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55"/>
        <w:gridCol w:w="46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855" w:type="dxa"/>
            <w:vMerge w:val="restart"/>
          </w:tcPr>
          <w:p>
            <w:pPr>
              <w:pStyle w:val="29"/>
              <w:jc w:val="center"/>
              <w:rPr>
                <w:rFonts w:hint="eastAsia" w:ascii="宋体" w:hAnsi="宋体" w:eastAsia="宋体" w:cs="宋体"/>
                <w:color w:val="auto"/>
                <w:spacing w:val="0"/>
                <w:w w:val="100"/>
                <w:position w:val="0"/>
                <w:sz w:val="16"/>
                <w:szCs w:val="20"/>
                <w:highlight w:val="none"/>
                <w:lang w:eastAsia="zh-CN"/>
              </w:rPr>
            </w:pPr>
            <w:r>
              <w:rPr>
                <w:rFonts w:hint="eastAsia" w:ascii="宋体" w:hAnsi="宋体" w:eastAsia="宋体" w:cs="宋体"/>
                <w:color w:val="auto"/>
                <w:spacing w:val="0"/>
                <w:w w:val="100"/>
                <w:position w:val="0"/>
                <w:sz w:val="16"/>
                <w:szCs w:val="20"/>
                <w:highlight w:val="none"/>
                <w:lang w:eastAsia="zh-CN"/>
              </w:rPr>
              <w:drawing>
                <wp:anchor distT="0" distB="0" distL="114300" distR="114300" simplePos="0" relativeHeight="251662336" behindDoc="0" locked="0" layoutInCell="1" allowOverlap="1">
                  <wp:simplePos x="0" y="0"/>
                  <wp:positionH relativeFrom="column">
                    <wp:posOffset>0</wp:posOffset>
                  </wp:positionH>
                  <wp:positionV relativeFrom="paragraph">
                    <wp:posOffset>95250</wp:posOffset>
                  </wp:positionV>
                  <wp:extent cx="540385" cy="316230"/>
                  <wp:effectExtent l="0" t="0" r="12065" b="7620"/>
                  <wp:wrapNone/>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pic:cNvPicPr>
                        </pic:nvPicPr>
                        <pic:blipFill>
                          <a:blip r:embed="rId13"/>
                          <a:stretch>
                            <a:fillRect/>
                          </a:stretch>
                        </pic:blipFill>
                        <pic:spPr>
                          <a:xfrm>
                            <a:off x="0" y="0"/>
                            <a:ext cx="540385" cy="316230"/>
                          </a:xfrm>
                          <a:prstGeom prst="rect">
                            <a:avLst/>
                          </a:prstGeom>
                        </pic:spPr>
                      </pic:pic>
                    </a:graphicData>
                  </a:graphic>
                </wp:anchor>
              </w:drawing>
            </w:r>
          </w:p>
        </w:tc>
        <w:tc>
          <w:tcPr>
            <w:tcW w:w="4601" w:type="dxa"/>
          </w:tcPr>
          <w:p>
            <w:pPr>
              <w:pStyle w:val="29"/>
              <w:spacing w:before="23"/>
              <w:ind w:left="44" w:right="141"/>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新疆华恒惠欣工程项目管理有限责任公司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 w:hRule="atLeast"/>
        </w:trPr>
        <w:tc>
          <w:tcPr>
            <w:tcW w:w="855" w:type="dxa"/>
            <w:vMerge w:val="continue"/>
            <w:tcBorders>
              <w:top w:val="nil"/>
            </w:tcBorders>
          </w:tcPr>
          <w:p>
            <w:pPr>
              <w:rPr>
                <w:rFonts w:hint="eastAsia" w:ascii="宋体" w:hAnsi="宋体" w:eastAsia="宋体" w:cs="宋体"/>
                <w:color w:val="auto"/>
                <w:spacing w:val="0"/>
                <w:w w:val="100"/>
                <w:position w:val="0"/>
                <w:sz w:val="2"/>
                <w:szCs w:val="2"/>
                <w:highlight w:val="none"/>
              </w:rPr>
            </w:pPr>
          </w:p>
        </w:tc>
        <w:tc>
          <w:tcPr>
            <w:tcW w:w="4601" w:type="dxa"/>
          </w:tcPr>
          <w:p>
            <w:pPr>
              <w:pStyle w:val="29"/>
              <w:spacing w:before="10" w:line="200" w:lineRule="exact"/>
              <w:ind w:left="134" w:right="141"/>
              <w:jc w:val="center"/>
              <w:rPr>
                <w:rFonts w:hint="eastAsia" w:ascii="宋体" w:hAnsi="宋体" w:eastAsia="宋体" w:cs="宋体"/>
                <w:b/>
                <w:color w:val="auto"/>
                <w:spacing w:val="0"/>
                <w:w w:val="100"/>
                <w:position w:val="0"/>
                <w:sz w:val="15"/>
                <w:szCs w:val="20"/>
                <w:highlight w:val="none"/>
              </w:rPr>
            </w:pPr>
            <w:r>
              <w:rPr>
                <w:rFonts w:hint="eastAsia" w:ascii="宋体" w:hAnsi="宋体" w:eastAsia="宋体" w:cs="宋体"/>
                <w:b/>
                <w:color w:val="auto"/>
                <w:spacing w:val="0"/>
                <w:w w:val="100"/>
                <w:position w:val="0"/>
                <w:sz w:val="15"/>
                <w:szCs w:val="20"/>
                <w:highlight w:val="none"/>
              </w:rPr>
              <w:t>Xinjiang huaheng huixin engineering project management co., ltd</w:t>
            </w:r>
          </w:p>
        </w:tc>
      </w:tr>
    </w:tbl>
    <w:p>
      <w:pPr>
        <w:pStyle w:val="12"/>
        <w:rPr>
          <w:rFonts w:hint="eastAsia" w:ascii="宋体" w:hAnsi="宋体" w:eastAsia="宋体" w:cs="宋体"/>
          <w:color w:val="auto"/>
          <w:spacing w:val="0"/>
          <w:w w:val="100"/>
          <w:position w:val="0"/>
          <w:sz w:val="16"/>
          <w:szCs w:val="21"/>
          <w:highlight w:val="none"/>
        </w:rPr>
      </w:pPr>
    </w:p>
    <w:p>
      <w:pPr>
        <w:pStyle w:val="12"/>
        <w:spacing w:before="1"/>
        <w:rPr>
          <w:rFonts w:hint="eastAsia" w:ascii="宋体" w:hAnsi="宋体" w:eastAsia="宋体" w:cs="宋体"/>
          <w:b/>
          <w:color w:val="auto"/>
          <w:spacing w:val="0"/>
          <w:w w:val="100"/>
          <w:position w:val="0"/>
          <w:sz w:val="96"/>
          <w:szCs w:val="24"/>
          <w:highlight w:val="none"/>
        </w:rPr>
      </w:pPr>
    </w:p>
    <w:p>
      <w:pPr>
        <w:pStyle w:val="13"/>
        <w:rPr>
          <w:rFonts w:hint="eastAsia" w:ascii="宋体" w:hAnsi="宋体" w:eastAsia="宋体" w:cs="宋体"/>
          <w:b/>
          <w:color w:val="auto"/>
          <w:spacing w:val="0"/>
          <w:w w:val="100"/>
          <w:position w:val="0"/>
          <w:sz w:val="96"/>
          <w:szCs w:val="24"/>
          <w:highlight w:val="none"/>
        </w:rPr>
      </w:pPr>
    </w:p>
    <w:p>
      <w:pPr>
        <w:pStyle w:val="5"/>
        <w:spacing w:before="1" w:line="240" w:lineRule="auto"/>
        <w:ind w:right="70" w:rightChars="0"/>
        <w:jc w:val="center"/>
        <w:outlineLvl w:val="9"/>
        <w:rPr>
          <w:rFonts w:hint="eastAsia" w:ascii="宋体" w:hAnsi="宋体" w:eastAsia="宋体" w:cs="宋体"/>
          <w:color w:val="auto"/>
          <w:spacing w:val="0"/>
          <w:w w:val="100"/>
          <w:position w:val="0"/>
          <w:sz w:val="112"/>
          <w:szCs w:val="112"/>
          <w:highlight w:val="none"/>
          <w:lang w:eastAsia="zh-CN"/>
        </w:rPr>
      </w:pPr>
      <w:r>
        <w:rPr>
          <w:rFonts w:hint="eastAsia" w:ascii="宋体" w:hAnsi="宋体" w:eastAsia="宋体" w:cs="宋体"/>
          <w:b/>
          <w:bCs w:val="0"/>
          <w:color w:val="auto"/>
          <w:spacing w:val="0"/>
          <w:w w:val="100"/>
          <w:position w:val="0"/>
          <w:sz w:val="112"/>
          <w:szCs w:val="112"/>
          <w:highlight w:val="none"/>
          <w:lang w:val="en-US" w:eastAsia="zh-CN"/>
        </w:rPr>
        <w:t>招 标 文 件</w:t>
      </w:r>
    </w:p>
    <w:p>
      <w:pPr>
        <w:pStyle w:val="5"/>
        <w:spacing w:before="1" w:line="364" w:lineRule="auto"/>
        <w:ind w:right="1127"/>
        <w:jc w:val="both"/>
        <w:outlineLvl w:val="9"/>
        <w:rPr>
          <w:rFonts w:hint="eastAsia" w:ascii="宋体" w:hAnsi="宋体" w:eastAsia="宋体" w:cs="宋体"/>
          <w:color w:val="auto"/>
          <w:spacing w:val="0"/>
          <w:w w:val="100"/>
          <w:position w:val="0"/>
          <w:sz w:val="28"/>
          <w:szCs w:val="28"/>
          <w:highlight w:val="none"/>
        </w:rPr>
      </w:pP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项目名称：</w:t>
      </w:r>
      <w:r>
        <w:rPr>
          <w:rFonts w:hint="eastAsia" w:cs="宋体"/>
          <w:b/>
          <w:color w:val="auto"/>
          <w:spacing w:val="0"/>
          <w:w w:val="100"/>
          <w:position w:val="0"/>
          <w:sz w:val="28"/>
          <w:szCs w:val="28"/>
          <w:highlight w:val="none"/>
          <w:lang w:eastAsia="zh-CN"/>
        </w:rPr>
        <w:t>自治区计量院第一批测量设备采购项目（一）</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项目编号：</w:t>
      </w:r>
      <w:r>
        <w:rPr>
          <w:rFonts w:hint="eastAsia" w:cs="宋体"/>
          <w:b/>
          <w:color w:val="auto"/>
          <w:spacing w:val="0"/>
          <w:w w:val="100"/>
          <w:position w:val="0"/>
          <w:sz w:val="28"/>
          <w:szCs w:val="28"/>
          <w:highlight w:val="none"/>
          <w:lang w:eastAsia="zh-CN"/>
        </w:rPr>
        <w:t>Hhhx2208-Zjly001-1</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val="en-US" w:eastAsia="zh-CN"/>
        </w:rPr>
      </w:pPr>
      <w:r>
        <w:rPr>
          <w:rFonts w:hint="eastAsia" w:ascii="宋体" w:hAnsi="宋体" w:eastAsia="宋体" w:cs="宋体"/>
          <w:b/>
          <w:color w:val="auto"/>
          <w:spacing w:val="0"/>
          <w:w w:val="100"/>
          <w:position w:val="0"/>
          <w:sz w:val="28"/>
          <w:szCs w:val="28"/>
          <w:highlight w:val="none"/>
          <w:lang w:val="en-US" w:eastAsia="zh-CN"/>
        </w:rPr>
        <w:t>包号：</w:t>
      </w:r>
      <w:r>
        <w:rPr>
          <w:rFonts w:hint="eastAsia" w:cs="宋体"/>
          <w:b/>
          <w:color w:val="auto"/>
          <w:spacing w:val="0"/>
          <w:w w:val="100"/>
          <w:position w:val="0"/>
          <w:sz w:val="28"/>
          <w:szCs w:val="28"/>
          <w:highlight w:val="none"/>
          <w:lang w:val="en-US" w:eastAsia="zh-CN"/>
        </w:rPr>
        <w:t>第五包</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rPr>
      </w:pPr>
      <w:r>
        <w:rPr>
          <w:rFonts w:hint="eastAsia" w:ascii="宋体" w:hAnsi="宋体" w:eastAsia="宋体" w:cs="宋体"/>
          <w:b/>
          <w:color w:val="auto"/>
          <w:spacing w:val="0"/>
          <w:w w:val="100"/>
          <w:position w:val="0"/>
          <w:sz w:val="28"/>
          <w:szCs w:val="28"/>
          <w:highlight w:val="none"/>
        </w:rPr>
        <w:t>包件名称</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测量设备采购项目（</w:t>
      </w:r>
      <w:r>
        <w:rPr>
          <w:rFonts w:hint="eastAsia" w:cs="宋体"/>
          <w:b/>
          <w:color w:val="auto"/>
          <w:spacing w:val="0"/>
          <w:w w:val="100"/>
          <w:position w:val="0"/>
          <w:sz w:val="28"/>
          <w:szCs w:val="28"/>
          <w:highlight w:val="none"/>
          <w:lang w:val="en-US" w:eastAsia="zh-CN"/>
        </w:rPr>
        <w:t>第五包</w:t>
      </w:r>
      <w:r>
        <w:rPr>
          <w:rFonts w:hint="eastAsia" w:ascii="宋体" w:hAnsi="宋体" w:eastAsia="宋体" w:cs="宋体"/>
          <w:b/>
          <w:color w:val="auto"/>
          <w:spacing w:val="0"/>
          <w:w w:val="100"/>
          <w:position w:val="0"/>
          <w:sz w:val="28"/>
          <w:szCs w:val="28"/>
          <w:highlight w:val="none"/>
          <w:lang w:val="en-US" w:eastAsia="zh-CN"/>
        </w:rPr>
        <w:t>）</w:t>
      </w: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采购人：</w:t>
      </w:r>
      <w:r>
        <w:rPr>
          <w:rFonts w:hint="eastAsia" w:ascii="宋体" w:hAnsi="宋体" w:eastAsia="宋体" w:cs="宋体"/>
          <w:b/>
          <w:color w:val="auto"/>
          <w:spacing w:val="0"/>
          <w:w w:val="100"/>
          <w:position w:val="0"/>
          <w:sz w:val="28"/>
          <w:szCs w:val="28"/>
          <w:highlight w:val="none"/>
          <w:u w:val="single"/>
          <w:lang w:eastAsia="zh-CN"/>
        </w:rPr>
        <w:t>新疆维吾尔自治区计量测试研究院</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盖章</w:t>
      </w:r>
      <w:r>
        <w:rPr>
          <w:rFonts w:hint="eastAsia" w:ascii="宋体" w:hAnsi="宋体" w:eastAsia="宋体" w:cs="宋体"/>
          <w:b/>
          <w:color w:val="auto"/>
          <w:spacing w:val="0"/>
          <w:w w:val="100"/>
          <w:position w:val="0"/>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采购代理机构：</w:t>
      </w:r>
      <w:r>
        <w:rPr>
          <w:rFonts w:hint="eastAsia" w:ascii="宋体" w:hAnsi="宋体" w:eastAsia="宋体" w:cs="宋体"/>
          <w:b/>
          <w:color w:val="auto"/>
          <w:spacing w:val="0"/>
          <w:w w:val="100"/>
          <w:position w:val="0"/>
          <w:sz w:val="28"/>
          <w:szCs w:val="28"/>
          <w:highlight w:val="none"/>
          <w:u w:val="single"/>
          <w:lang w:eastAsia="zh-CN"/>
        </w:rPr>
        <w:t>新疆华恒惠欣工程项目管理有限责任公司</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盖章</w:t>
      </w:r>
      <w:r>
        <w:rPr>
          <w:rFonts w:hint="eastAsia" w:ascii="宋体" w:hAnsi="宋体" w:eastAsia="宋体" w:cs="宋体"/>
          <w:b/>
          <w:color w:val="auto"/>
          <w:spacing w:val="0"/>
          <w:w w:val="100"/>
          <w:position w:val="0"/>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color w:val="auto"/>
          <w:spacing w:val="0"/>
          <w:w w:val="100"/>
          <w:position w:val="0"/>
          <w:sz w:val="24"/>
          <w:szCs w:val="20"/>
          <w:highlight w:val="none"/>
        </w:rPr>
      </w:pPr>
      <w:r>
        <w:rPr>
          <w:rFonts w:hint="eastAsia" w:ascii="宋体" w:hAnsi="宋体" w:eastAsia="宋体" w:cs="宋体"/>
          <w:b/>
          <w:color w:val="auto"/>
          <w:spacing w:val="0"/>
          <w:w w:val="100"/>
          <w:position w:val="0"/>
          <w:sz w:val="28"/>
          <w:szCs w:val="28"/>
          <w:highlight w:val="none"/>
          <w:lang w:eastAsia="zh-CN"/>
        </w:rPr>
        <w:t>二〇二</w:t>
      </w:r>
      <w:r>
        <w:rPr>
          <w:rFonts w:hint="eastAsia" w:ascii="宋体" w:hAnsi="宋体" w:eastAsia="宋体" w:cs="宋体"/>
          <w:b/>
          <w:color w:val="auto"/>
          <w:spacing w:val="0"/>
          <w:w w:val="100"/>
          <w:position w:val="0"/>
          <w:sz w:val="28"/>
          <w:szCs w:val="28"/>
          <w:highlight w:val="none"/>
          <w:lang w:val="en-US" w:eastAsia="zh-CN"/>
        </w:rPr>
        <w:t>二</w:t>
      </w:r>
      <w:r>
        <w:rPr>
          <w:rFonts w:hint="eastAsia" w:ascii="宋体" w:hAnsi="宋体" w:eastAsia="宋体" w:cs="宋体"/>
          <w:b/>
          <w:color w:val="auto"/>
          <w:spacing w:val="0"/>
          <w:w w:val="100"/>
          <w:position w:val="0"/>
          <w:sz w:val="28"/>
          <w:szCs w:val="28"/>
          <w:highlight w:val="none"/>
          <w:lang w:eastAsia="zh-CN"/>
        </w:rPr>
        <w:t>年</w:t>
      </w:r>
      <w:r>
        <w:rPr>
          <w:rFonts w:hint="eastAsia" w:cs="宋体"/>
          <w:b/>
          <w:color w:val="auto"/>
          <w:spacing w:val="0"/>
          <w:w w:val="100"/>
          <w:position w:val="0"/>
          <w:sz w:val="28"/>
          <w:szCs w:val="28"/>
          <w:highlight w:val="none"/>
          <w:lang w:val="en-US" w:eastAsia="zh-CN"/>
        </w:rPr>
        <w:t>五</w:t>
      </w:r>
      <w:r>
        <w:rPr>
          <w:rFonts w:hint="eastAsia" w:ascii="宋体" w:hAnsi="宋体" w:eastAsia="宋体" w:cs="宋体"/>
          <w:b/>
          <w:color w:val="auto"/>
          <w:spacing w:val="0"/>
          <w:w w:val="100"/>
          <w:position w:val="0"/>
          <w:sz w:val="28"/>
          <w:szCs w:val="28"/>
          <w:highlight w:val="none"/>
          <w:lang w:eastAsia="zh-CN"/>
        </w:rPr>
        <w:t>月</w:t>
      </w:r>
      <w:r>
        <w:rPr>
          <w:rFonts w:hint="eastAsia" w:ascii="宋体" w:hAnsi="宋体" w:eastAsia="宋体" w:cs="宋体"/>
          <w:color w:val="auto"/>
          <w:spacing w:val="0"/>
          <w:w w:val="100"/>
          <w:position w:val="0"/>
          <w:sz w:val="24"/>
          <w:szCs w:val="20"/>
          <w:highlight w:val="none"/>
        </w:rPr>
        <w:br w:type="page"/>
      </w:r>
    </w:p>
    <w:p>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pPr>
        <w:pStyle w:val="2"/>
        <w:rPr>
          <w:rFonts w:hint="eastAsia" w:ascii="宋体" w:hAnsi="宋体" w:eastAsia="宋体" w:cs="宋体"/>
          <w:color w:val="auto"/>
          <w:sz w:val="20"/>
          <w:szCs w:val="20"/>
          <w:highlight w:val="none"/>
        </w:rPr>
        <w:sectPr>
          <w:type w:val="continuous"/>
          <w:pgSz w:w="11910" w:h="16840"/>
          <w:pgMar w:top="1440" w:right="1080" w:bottom="1440" w:left="1080" w:header="850" w:footer="998" w:gutter="0"/>
          <w:pgBorders>
            <w:top w:val="none" w:sz="0" w:space="0"/>
            <w:left w:val="none" w:sz="0" w:space="0"/>
            <w:bottom w:val="none" w:sz="0" w:space="0"/>
            <w:right w:val="none" w:sz="0" w:space="0"/>
          </w:pgBorders>
          <w:cols w:space="720" w:num="1"/>
        </w:sectPr>
      </w:pPr>
    </w:p>
    <w:sdt>
      <w:sdtPr>
        <w:rPr>
          <w:rFonts w:hint="eastAsia" w:ascii="宋体" w:hAnsi="宋体" w:eastAsia="宋体" w:cs="宋体"/>
          <w:b/>
          <w:bCs/>
          <w:color w:val="auto"/>
          <w:sz w:val="32"/>
          <w:szCs w:val="32"/>
          <w:highlight w:val="none"/>
          <w:lang w:val="zh-CN" w:eastAsia="zh-CN" w:bidi="zh-CN"/>
        </w:rPr>
        <w:id w:val="147455356"/>
        <w15:color w:val="DBDBDB"/>
        <w:docPartObj>
          <w:docPartGallery w:val="Table of Contents"/>
          <w:docPartUnique/>
        </w:docPartObj>
      </w:sdtPr>
      <w:sdtEndPr>
        <w:rPr>
          <w:rFonts w:hint="eastAsia" w:ascii="宋体" w:hAnsi="宋体" w:eastAsia="宋体" w:cs="宋体"/>
          <w:b/>
          <w:bCs/>
          <w:color w:val="auto"/>
          <w:sz w:val="28"/>
          <w:szCs w:val="28"/>
          <w:highlight w:val="none"/>
          <w:lang w:val="zh-CN" w:eastAsia="zh-CN" w:bidi="zh-CN"/>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目录</w:t>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TOC \o "1-2" \h \u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\l _Toc2603 </w:instrText>
          </w:r>
          <w:r>
            <w:rPr>
              <w:rFonts w:hint="eastAsia" w:ascii="宋体" w:hAnsi="宋体" w:eastAsia="宋体" w:cs="宋体"/>
              <w:color w:val="auto"/>
              <w:szCs w:val="21"/>
              <w:highlight w:val="none"/>
            </w:rPr>
            <w:fldChar w:fldCharType="separate"/>
          </w:r>
          <w:r>
            <w:rPr>
              <w:rFonts w:hint="eastAsia" w:ascii="宋体" w:hAnsi="宋体" w:eastAsia="宋体" w:cs="宋体"/>
              <w:color w:val="auto"/>
              <w:spacing w:val="0"/>
              <w:w w:val="100"/>
              <w:position w:val="0"/>
              <w:szCs w:val="32"/>
              <w:highlight w:val="none"/>
            </w:rPr>
            <w:t>第一章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投标邀请</w:t>
          </w:r>
          <w:r>
            <w:rPr>
              <w:color w:val="auto"/>
            </w:rPr>
            <w:tab/>
          </w:r>
          <w:r>
            <w:rPr>
              <w:color w:val="auto"/>
            </w:rPr>
            <w:fldChar w:fldCharType="begin"/>
          </w:r>
          <w:r>
            <w:rPr>
              <w:color w:val="auto"/>
            </w:rPr>
            <w:instrText xml:space="preserve"> PAGEREF _Toc2603 \h </w:instrText>
          </w:r>
          <w:r>
            <w:rPr>
              <w:color w:val="auto"/>
            </w:rPr>
            <w:fldChar w:fldCharType="separate"/>
          </w:r>
          <w:r>
            <w:rPr>
              <w:color w:val="auto"/>
            </w:rPr>
            <w:t>- 1 -</w:t>
          </w:r>
          <w:r>
            <w:rPr>
              <w:color w:val="auto"/>
            </w:rPr>
            <w:fldChar w:fldCharType="end"/>
          </w:r>
          <w:r>
            <w:rPr>
              <w:rFonts w:hint="eastAsia" w:ascii="宋体" w:hAnsi="宋体" w:eastAsia="宋体" w:cs="宋体"/>
              <w:color w:val="auto"/>
              <w:szCs w:val="21"/>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_Toc15432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第二章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投标人须知前附表和投标人须知</w:t>
          </w:r>
          <w:r>
            <w:rPr>
              <w:color w:val="auto"/>
            </w:rPr>
            <w:tab/>
          </w:r>
          <w:r>
            <w:rPr>
              <w:color w:val="auto"/>
            </w:rPr>
            <w:fldChar w:fldCharType="begin"/>
          </w:r>
          <w:r>
            <w:rPr>
              <w:color w:val="auto"/>
            </w:rPr>
            <w:instrText xml:space="preserve"> PAGEREF _Toc15432 \h </w:instrText>
          </w:r>
          <w:r>
            <w:rPr>
              <w:color w:val="auto"/>
            </w:rPr>
            <w:fldChar w:fldCharType="separate"/>
          </w:r>
          <w:r>
            <w:rPr>
              <w:color w:val="auto"/>
            </w:rPr>
            <w:t>- 4 -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_Toc23090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投标人须知前附表</w:t>
          </w:r>
          <w:r>
            <w:rPr>
              <w:color w:val="auto"/>
            </w:rPr>
            <w:tab/>
          </w:r>
          <w:r>
            <w:rPr>
              <w:color w:val="auto"/>
            </w:rPr>
            <w:fldChar w:fldCharType="begin"/>
          </w:r>
          <w:r>
            <w:rPr>
              <w:color w:val="auto"/>
            </w:rPr>
            <w:instrText xml:space="preserve"> PAGEREF _Toc23090 \h </w:instrText>
          </w:r>
          <w:r>
            <w:rPr>
              <w:color w:val="auto"/>
            </w:rPr>
            <w:fldChar w:fldCharType="separate"/>
          </w:r>
          <w:r>
            <w:rPr>
              <w:color w:val="auto"/>
            </w:rPr>
            <w:t>- 4 -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_Toc19549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投标人须知</w:t>
          </w:r>
          <w:r>
            <w:rPr>
              <w:color w:val="auto"/>
            </w:rPr>
            <w:tab/>
          </w:r>
          <w:r>
            <w:rPr>
              <w:color w:val="auto"/>
            </w:rPr>
            <w:fldChar w:fldCharType="begin"/>
          </w:r>
          <w:r>
            <w:rPr>
              <w:color w:val="auto"/>
            </w:rPr>
            <w:instrText xml:space="preserve"> PAGEREF _Toc19549 \h </w:instrText>
          </w:r>
          <w:r>
            <w:rPr>
              <w:color w:val="auto"/>
            </w:rPr>
            <w:fldChar w:fldCharType="separate"/>
          </w:r>
          <w:r>
            <w:rPr>
              <w:color w:val="auto"/>
            </w:rPr>
            <w:t>- 11 -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_Toc6163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一、说 明</w:t>
          </w:r>
          <w:r>
            <w:rPr>
              <w:color w:val="auto"/>
            </w:rPr>
            <w:tab/>
          </w:r>
          <w:r>
            <w:rPr>
              <w:color w:val="auto"/>
            </w:rPr>
            <w:fldChar w:fldCharType="begin"/>
          </w:r>
          <w:r>
            <w:rPr>
              <w:color w:val="auto"/>
            </w:rPr>
            <w:instrText xml:space="preserve"> PAGEREF _Toc6163 \h </w:instrText>
          </w:r>
          <w:r>
            <w:rPr>
              <w:color w:val="auto"/>
            </w:rPr>
            <w:fldChar w:fldCharType="separate"/>
          </w:r>
          <w:r>
            <w:rPr>
              <w:color w:val="auto"/>
            </w:rPr>
            <w:t>- 11 -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_Toc31872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二、招标文件</w:t>
          </w:r>
          <w:r>
            <w:rPr>
              <w:color w:val="auto"/>
            </w:rPr>
            <w:tab/>
          </w:r>
          <w:r>
            <w:rPr>
              <w:color w:val="auto"/>
            </w:rPr>
            <w:fldChar w:fldCharType="begin"/>
          </w:r>
          <w:r>
            <w:rPr>
              <w:color w:val="auto"/>
            </w:rPr>
            <w:instrText xml:space="preserve"> PAGEREF _Toc31872 \h </w:instrText>
          </w:r>
          <w:r>
            <w:rPr>
              <w:color w:val="auto"/>
            </w:rPr>
            <w:fldChar w:fldCharType="separate"/>
          </w:r>
          <w:r>
            <w:rPr>
              <w:color w:val="auto"/>
            </w:rPr>
            <w:t>- 14 -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_Toc11774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三、投标文件的编制</w:t>
          </w:r>
          <w:r>
            <w:rPr>
              <w:color w:val="auto"/>
            </w:rPr>
            <w:tab/>
          </w:r>
          <w:r>
            <w:rPr>
              <w:color w:val="auto"/>
            </w:rPr>
            <w:fldChar w:fldCharType="begin"/>
          </w:r>
          <w:r>
            <w:rPr>
              <w:color w:val="auto"/>
            </w:rPr>
            <w:instrText xml:space="preserve"> PAGEREF _Toc11774 \h </w:instrText>
          </w:r>
          <w:r>
            <w:rPr>
              <w:color w:val="auto"/>
            </w:rPr>
            <w:fldChar w:fldCharType="separate"/>
          </w:r>
          <w:r>
            <w:rPr>
              <w:color w:val="auto"/>
            </w:rPr>
            <w:t>- 17 -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_Toc7399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四、投标文件的递交</w:t>
          </w:r>
          <w:r>
            <w:rPr>
              <w:color w:val="auto"/>
            </w:rPr>
            <w:tab/>
          </w:r>
          <w:r>
            <w:rPr>
              <w:color w:val="auto"/>
            </w:rPr>
            <w:fldChar w:fldCharType="begin"/>
          </w:r>
          <w:r>
            <w:rPr>
              <w:color w:val="auto"/>
            </w:rPr>
            <w:instrText xml:space="preserve"> PAGEREF _Toc7399 \h </w:instrText>
          </w:r>
          <w:r>
            <w:rPr>
              <w:color w:val="auto"/>
            </w:rPr>
            <w:fldChar w:fldCharType="separate"/>
          </w:r>
          <w:r>
            <w:rPr>
              <w:color w:val="auto"/>
            </w:rPr>
            <w:t>- 19 -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_Toc9969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五、开标与评标</w:t>
          </w:r>
          <w:r>
            <w:rPr>
              <w:color w:val="auto"/>
            </w:rPr>
            <w:tab/>
          </w:r>
          <w:r>
            <w:rPr>
              <w:color w:val="auto"/>
            </w:rPr>
            <w:fldChar w:fldCharType="begin"/>
          </w:r>
          <w:r>
            <w:rPr>
              <w:color w:val="auto"/>
            </w:rPr>
            <w:instrText xml:space="preserve"> PAGEREF _Toc9969 \h </w:instrText>
          </w:r>
          <w:r>
            <w:rPr>
              <w:color w:val="auto"/>
            </w:rPr>
            <w:fldChar w:fldCharType="separate"/>
          </w:r>
          <w:r>
            <w:rPr>
              <w:color w:val="auto"/>
            </w:rPr>
            <w:t>- 20 -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_Toc8625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六、授予合同</w:t>
          </w:r>
          <w:r>
            <w:rPr>
              <w:color w:val="auto"/>
            </w:rPr>
            <w:tab/>
          </w:r>
          <w:r>
            <w:rPr>
              <w:color w:val="auto"/>
            </w:rPr>
            <w:fldChar w:fldCharType="begin"/>
          </w:r>
          <w:r>
            <w:rPr>
              <w:color w:val="auto"/>
            </w:rPr>
            <w:instrText xml:space="preserve"> PAGEREF _Toc8625 \h </w:instrText>
          </w:r>
          <w:r>
            <w:rPr>
              <w:color w:val="auto"/>
            </w:rPr>
            <w:fldChar w:fldCharType="separate"/>
          </w:r>
          <w:r>
            <w:rPr>
              <w:color w:val="auto"/>
            </w:rPr>
            <w:t>- 29 -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_Toc20292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七、其他</w:t>
          </w:r>
          <w:r>
            <w:rPr>
              <w:color w:val="auto"/>
            </w:rPr>
            <w:tab/>
          </w:r>
          <w:r>
            <w:rPr>
              <w:color w:val="auto"/>
            </w:rPr>
            <w:fldChar w:fldCharType="begin"/>
          </w:r>
          <w:r>
            <w:rPr>
              <w:color w:val="auto"/>
            </w:rPr>
            <w:instrText xml:space="preserve"> PAGEREF _Toc20292 \h </w:instrText>
          </w:r>
          <w:r>
            <w:rPr>
              <w:color w:val="auto"/>
            </w:rPr>
            <w:fldChar w:fldCharType="separate"/>
          </w:r>
          <w:r>
            <w:rPr>
              <w:color w:val="auto"/>
            </w:rPr>
            <w:t>- 31 -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_Toc29637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w:t>
          </w:r>
          <w:r>
            <w:rPr>
              <w:rFonts w:hint="eastAsia" w:ascii="宋体" w:hAnsi="宋体" w:eastAsia="宋体" w:cs="宋体"/>
              <w:color w:val="auto"/>
              <w:spacing w:val="0"/>
              <w:w w:val="100"/>
              <w:position w:val="0"/>
              <w:szCs w:val="32"/>
              <w:highlight w:val="none"/>
              <w:lang w:val="en-US" w:eastAsia="zh-CN"/>
            </w:rPr>
            <w:t>三</w:t>
          </w:r>
          <w:r>
            <w:rPr>
              <w:rFonts w:hint="eastAsia" w:ascii="宋体" w:hAnsi="宋体" w:eastAsia="宋体" w:cs="宋体"/>
              <w:color w:val="auto"/>
              <w:spacing w:val="0"/>
              <w:w w:val="100"/>
              <w:position w:val="0"/>
              <w:szCs w:val="32"/>
              <w:highlight w:val="none"/>
            </w:rPr>
            <w:t>章</w:t>
          </w:r>
          <w:r>
            <w:rPr>
              <w:rFonts w:hint="eastAsia" w:ascii="宋体" w:hAnsi="宋体" w:eastAsia="宋体" w:cs="宋体"/>
              <w:color w:val="auto"/>
              <w:spacing w:val="0"/>
              <w:w w:val="100"/>
              <w:position w:val="0"/>
              <w:szCs w:val="32"/>
              <w:highlight w:val="none"/>
              <w:lang w:val="en-US" w:eastAsia="zh-CN"/>
            </w:rPr>
            <w:t xml:space="preserve"> 采购需求</w:t>
          </w:r>
          <w:r>
            <w:rPr>
              <w:color w:val="auto"/>
            </w:rPr>
            <w:tab/>
          </w:r>
          <w:r>
            <w:rPr>
              <w:color w:val="auto"/>
            </w:rPr>
            <w:fldChar w:fldCharType="begin"/>
          </w:r>
          <w:r>
            <w:rPr>
              <w:color w:val="auto"/>
            </w:rPr>
            <w:instrText xml:space="preserve"> PAGEREF _Toc29637 \h </w:instrText>
          </w:r>
          <w:r>
            <w:rPr>
              <w:color w:val="auto"/>
            </w:rPr>
            <w:fldChar w:fldCharType="separate"/>
          </w:r>
          <w:r>
            <w:rPr>
              <w:color w:val="auto"/>
            </w:rPr>
            <w:t>- 34 -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_Toc10884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w:t>
          </w:r>
          <w:r>
            <w:rPr>
              <w:rFonts w:hint="eastAsia" w:ascii="宋体" w:hAnsi="宋体" w:eastAsia="宋体" w:cs="宋体"/>
              <w:color w:val="auto"/>
              <w:spacing w:val="0"/>
              <w:w w:val="100"/>
              <w:position w:val="0"/>
              <w:szCs w:val="32"/>
              <w:highlight w:val="none"/>
              <w:lang w:val="en-US" w:eastAsia="zh-CN"/>
            </w:rPr>
            <w:t>四</w:t>
          </w:r>
          <w:r>
            <w:rPr>
              <w:rFonts w:hint="eastAsia" w:ascii="宋体" w:hAnsi="宋体" w:eastAsia="宋体" w:cs="宋体"/>
              <w:color w:val="auto"/>
              <w:spacing w:val="0"/>
              <w:w w:val="100"/>
              <w:position w:val="0"/>
              <w:szCs w:val="32"/>
              <w:highlight w:val="none"/>
            </w:rPr>
            <w:t>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评标方法和评标标准</w:t>
          </w:r>
          <w:r>
            <w:rPr>
              <w:color w:val="auto"/>
            </w:rPr>
            <w:tab/>
          </w:r>
          <w:r>
            <w:rPr>
              <w:color w:val="auto"/>
            </w:rPr>
            <w:fldChar w:fldCharType="begin"/>
          </w:r>
          <w:r>
            <w:rPr>
              <w:color w:val="auto"/>
            </w:rPr>
            <w:instrText xml:space="preserve"> PAGEREF _Toc10884 \h </w:instrText>
          </w:r>
          <w:r>
            <w:rPr>
              <w:color w:val="auto"/>
            </w:rPr>
            <w:fldChar w:fldCharType="separate"/>
          </w:r>
          <w:r>
            <w:rPr>
              <w:color w:val="auto"/>
            </w:rPr>
            <w:t>- 76 -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_Toc21938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一、评标方法</w:t>
          </w:r>
          <w:r>
            <w:rPr>
              <w:color w:val="auto"/>
            </w:rPr>
            <w:tab/>
          </w:r>
          <w:r>
            <w:rPr>
              <w:color w:val="auto"/>
            </w:rPr>
            <w:fldChar w:fldCharType="begin"/>
          </w:r>
          <w:r>
            <w:rPr>
              <w:color w:val="auto"/>
            </w:rPr>
            <w:instrText xml:space="preserve"> PAGEREF _Toc21938 \h </w:instrText>
          </w:r>
          <w:r>
            <w:rPr>
              <w:color w:val="auto"/>
            </w:rPr>
            <w:fldChar w:fldCharType="separate"/>
          </w:r>
          <w:r>
            <w:rPr>
              <w:color w:val="auto"/>
            </w:rPr>
            <w:t>- 76 -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_Toc29012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二、评标程序</w:t>
          </w:r>
          <w:r>
            <w:rPr>
              <w:color w:val="auto"/>
            </w:rPr>
            <w:tab/>
          </w:r>
          <w:r>
            <w:rPr>
              <w:color w:val="auto"/>
            </w:rPr>
            <w:fldChar w:fldCharType="begin"/>
          </w:r>
          <w:r>
            <w:rPr>
              <w:color w:val="auto"/>
            </w:rPr>
            <w:instrText xml:space="preserve"> PAGEREF _Toc29012 \h </w:instrText>
          </w:r>
          <w:r>
            <w:rPr>
              <w:color w:val="auto"/>
            </w:rPr>
            <w:fldChar w:fldCharType="separate"/>
          </w:r>
          <w:r>
            <w:rPr>
              <w:color w:val="auto"/>
            </w:rPr>
            <w:t>- 77 -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_Toc25757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三</w:t>
          </w:r>
          <w:r>
            <w:rPr>
              <w:rFonts w:hint="eastAsia" w:ascii="宋体" w:hAnsi="宋体" w:eastAsia="宋体" w:cs="宋体"/>
              <w:color w:val="auto"/>
              <w:spacing w:val="0"/>
              <w:w w:val="100"/>
              <w:position w:val="0"/>
              <w:szCs w:val="28"/>
              <w:highlight w:val="none"/>
            </w:rPr>
            <w:t>、评标中的落实政府采购</w:t>
          </w:r>
          <w:bookmarkStart w:id="164" w:name="_GoBack"/>
          <w:bookmarkEnd w:id="164"/>
          <w:r>
            <w:rPr>
              <w:rFonts w:hint="eastAsia" w:ascii="宋体" w:hAnsi="宋体" w:eastAsia="宋体" w:cs="宋体"/>
              <w:color w:val="auto"/>
              <w:spacing w:val="0"/>
              <w:w w:val="100"/>
              <w:position w:val="0"/>
              <w:szCs w:val="28"/>
              <w:highlight w:val="none"/>
            </w:rPr>
            <w:t>政策具体办法</w:t>
          </w:r>
          <w:r>
            <w:rPr>
              <w:color w:val="auto"/>
            </w:rPr>
            <w:tab/>
          </w:r>
          <w:r>
            <w:rPr>
              <w:color w:val="auto"/>
            </w:rPr>
            <w:fldChar w:fldCharType="begin"/>
          </w:r>
          <w:r>
            <w:rPr>
              <w:color w:val="auto"/>
            </w:rPr>
            <w:instrText xml:space="preserve"> PAGEREF _Toc25757 \h </w:instrText>
          </w:r>
          <w:r>
            <w:rPr>
              <w:color w:val="auto"/>
            </w:rPr>
            <w:fldChar w:fldCharType="separate"/>
          </w:r>
          <w:r>
            <w:rPr>
              <w:color w:val="auto"/>
            </w:rPr>
            <w:t>- 81 -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_Toc7979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四、评标标准</w:t>
          </w:r>
          <w:r>
            <w:rPr>
              <w:color w:val="auto"/>
            </w:rPr>
            <w:tab/>
          </w:r>
          <w:r>
            <w:rPr>
              <w:color w:val="auto"/>
            </w:rPr>
            <w:fldChar w:fldCharType="begin"/>
          </w:r>
          <w:r>
            <w:rPr>
              <w:color w:val="auto"/>
            </w:rPr>
            <w:instrText xml:space="preserve"> PAGEREF _Toc7979 \h </w:instrText>
          </w:r>
          <w:r>
            <w:rPr>
              <w:color w:val="auto"/>
            </w:rPr>
            <w:fldChar w:fldCharType="separate"/>
          </w:r>
          <w:r>
            <w:rPr>
              <w:color w:val="auto"/>
            </w:rPr>
            <w:t>- 84 -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_Toc15734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第五章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拟签订的合同文本</w:t>
          </w:r>
          <w:r>
            <w:rPr>
              <w:color w:val="auto"/>
            </w:rPr>
            <w:tab/>
          </w:r>
          <w:r>
            <w:rPr>
              <w:color w:val="auto"/>
            </w:rPr>
            <w:fldChar w:fldCharType="begin"/>
          </w:r>
          <w:r>
            <w:rPr>
              <w:color w:val="auto"/>
            </w:rPr>
            <w:instrText xml:space="preserve"> PAGEREF _Toc15734 \h </w:instrText>
          </w:r>
          <w:r>
            <w:rPr>
              <w:color w:val="auto"/>
            </w:rPr>
            <w:fldChar w:fldCharType="separate"/>
          </w:r>
          <w:r>
            <w:rPr>
              <w:color w:val="auto"/>
            </w:rPr>
            <w:t>- 87 -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_Toc5925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第六章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投标文件格式</w:t>
          </w:r>
          <w:r>
            <w:rPr>
              <w:color w:val="auto"/>
            </w:rPr>
            <w:tab/>
          </w:r>
          <w:r>
            <w:rPr>
              <w:color w:val="auto"/>
            </w:rPr>
            <w:fldChar w:fldCharType="begin"/>
          </w:r>
          <w:r>
            <w:rPr>
              <w:color w:val="auto"/>
            </w:rPr>
            <w:instrText xml:space="preserve"> PAGEREF _Toc5925 \h </w:instrText>
          </w:r>
          <w:r>
            <w:rPr>
              <w:color w:val="auto"/>
            </w:rPr>
            <w:fldChar w:fldCharType="separate"/>
          </w:r>
          <w:r>
            <w:rPr>
              <w:color w:val="auto"/>
            </w:rPr>
            <w:t>- 91 -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_Toc20754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投标</w:t>
          </w:r>
          <w:r>
            <w:rPr>
              <w:rFonts w:hint="eastAsia" w:ascii="宋体" w:hAnsi="宋体" w:eastAsia="宋体" w:cs="宋体"/>
              <w:color w:val="auto"/>
              <w:spacing w:val="0"/>
              <w:w w:val="100"/>
              <w:position w:val="0"/>
              <w:szCs w:val="28"/>
              <w:highlight w:val="none"/>
            </w:rPr>
            <w:t>文件封面建议格式</w:t>
          </w:r>
          <w:r>
            <w:rPr>
              <w:color w:val="auto"/>
            </w:rPr>
            <w:tab/>
          </w:r>
          <w:r>
            <w:rPr>
              <w:color w:val="auto"/>
            </w:rPr>
            <w:fldChar w:fldCharType="begin"/>
          </w:r>
          <w:r>
            <w:rPr>
              <w:color w:val="auto"/>
            </w:rPr>
            <w:instrText xml:space="preserve"> PAGEREF _Toc20754 \h </w:instrText>
          </w:r>
          <w:r>
            <w:rPr>
              <w:color w:val="auto"/>
            </w:rPr>
            <w:fldChar w:fldCharType="separate"/>
          </w:r>
          <w:r>
            <w:rPr>
              <w:color w:val="auto"/>
            </w:rPr>
            <w:t>- 92 -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_Toc24649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 投标函格式</w:t>
          </w:r>
          <w:r>
            <w:rPr>
              <w:color w:val="auto"/>
            </w:rPr>
            <w:tab/>
          </w:r>
          <w:r>
            <w:rPr>
              <w:color w:val="auto"/>
            </w:rPr>
            <w:fldChar w:fldCharType="begin"/>
          </w:r>
          <w:r>
            <w:rPr>
              <w:color w:val="auto"/>
            </w:rPr>
            <w:instrText xml:space="preserve"> PAGEREF _Toc24649 \h </w:instrText>
          </w:r>
          <w:r>
            <w:rPr>
              <w:color w:val="auto"/>
            </w:rPr>
            <w:fldChar w:fldCharType="separate"/>
          </w:r>
          <w:r>
            <w:rPr>
              <w:color w:val="auto"/>
            </w:rPr>
            <w:t>- 94 -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_Toc1502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2 开标一览表格式</w:t>
          </w:r>
          <w:r>
            <w:rPr>
              <w:color w:val="auto"/>
            </w:rPr>
            <w:tab/>
          </w:r>
          <w:r>
            <w:rPr>
              <w:color w:val="auto"/>
            </w:rPr>
            <w:fldChar w:fldCharType="begin"/>
          </w:r>
          <w:r>
            <w:rPr>
              <w:color w:val="auto"/>
            </w:rPr>
            <w:instrText xml:space="preserve"> PAGEREF _Toc1502 \h </w:instrText>
          </w:r>
          <w:r>
            <w:rPr>
              <w:color w:val="auto"/>
            </w:rPr>
            <w:fldChar w:fldCharType="separate"/>
          </w:r>
          <w:r>
            <w:rPr>
              <w:color w:val="auto"/>
            </w:rPr>
            <w:t>- 96 -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_Toc15586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3 投标分项报价表格式</w:t>
          </w:r>
          <w:r>
            <w:rPr>
              <w:color w:val="auto"/>
            </w:rPr>
            <w:tab/>
          </w:r>
          <w:r>
            <w:rPr>
              <w:color w:val="auto"/>
            </w:rPr>
            <w:fldChar w:fldCharType="begin"/>
          </w:r>
          <w:r>
            <w:rPr>
              <w:color w:val="auto"/>
            </w:rPr>
            <w:instrText xml:space="preserve"> PAGEREF _Toc15586 \h </w:instrText>
          </w:r>
          <w:r>
            <w:rPr>
              <w:color w:val="auto"/>
            </w:rPr>
            <w:fldChar w:fldCharType="separate"/>
          </w:r>
          <w:r>
            <w:rPr>
              <w:color w:val="auto"/>
            </w:rPr>
            <w:t>- 98 -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_Toc31803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4 技术服务需求偏离表格式</w:t>
          </w:r>
          <w:r>
            <w:rPr>
              <w:color w:val="auto"/>
            </w:rPr>
            <w:tab/>
          </w:r>
          <w:r>
            <w:rPr>
              <w:color w:val="auto"/>
            </w:rPr>
            <w:fldChar w:fldCharType="begin"/>
          </w:r>
          <w:r>
            <w:rPr>
              <w:color w:val="auto"/>
            </w:rPr>
            <w:instrText xml:space="preserve"> PAGEREF _Toc31803 \h </w:instrText>
          </w:r>
          <w:r>
            <w:rPr>
              <w:color w:val="auto"/>
            </w:rPr>
            <w:fldChar w:fldCharType="separate"/>
          </w:r>
          <w:r>
            <w:rPr>
              <w:color w:val="auto"/>
            </w:rPr>
            <w:t>- 99 -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_Toc15853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5 商务条款偏离表格式</w:t>
          </w:r>
          <w:r>
            <w:rPr>
              <w:color w:val="auto"/>
            </w:rPr>
            <w:tab/>
          </w:r>
          <w:r>
            <w:rPr>
              <w:color w:val="auto"/>
            </w:rPr>
            <w:fldChar w:fldCharType="begin"/>
          </w:r>
          <w:r>
            <w:rPr>
              <w:color w:val="auto"/>
            </w:rPr>
            <w:instrText xml:space="preserve"> PAGEREF _Toc15853 \h </w:instrText>
          </w:r>
          <w:r>
            <w:rPr>
              <w:color w:val="auto"/>
            </w:rPr>
            <w:fldChar w:fldCharType="separate"/>
          </w:r>
          <w:r>
            <w:rPr>
              <w:color w:val="auto"/>
            </w:rPr>
            <w:t>- 100 -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_Toc13009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6 法定代表人授权书格式</w:t>
          </w:r>
          <w:r>
            <w:rPr>
              <w:color w:val="auto"/>
            </w:rPr>
            <w:tab/>
          </w:r>
          <w:r>
            <w:rPr>
              <w:color w:val="auto"/>
            </w:rPr>
            <w:fldChar w:fldCharType="begin"/>
          </w:r>
          <w:r>
            <w:rPr>
              <w:color w:val="auto"/>
            </w:rPr>
            <w:instrText xml:space="preserve"> PAGEREF _Toc13009 \h </w:instrText>
          </w:r>
          <w:r>
            <w:rPr>
              <w:color w:val="auto"/>
            </w:rPr>
            <w:fldChar w:fldCharType="separate"/>
          </w:r>
          <w:r>
            <w:rPr>
              <w:color w:val="auto"/>
            </w:rPr>
            <w:t>- 101 -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_Toc15014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7 投标保证金承诺函格式</w:t>
          </w:r>
          <w:r>
            <w:rPr>
              <w:rFonts w:hint="eastAsia" w:ascii="宋体" w:hAnsi="宋体" w:eastAsia="宋体" w:cs="宋体"/>
              <w:color w:val="auto"/>
              <w:spacing w:val="0"/>
              <w:w w:val="100"/>
              <w:position w:val="0"/>
              <w:szCs w:val="28"/>
              <w:highlight w:val="none"/>
              <w:lang w:val="en-US" w:eastAsia="zh-CN"/>
            </w:rPr>
            <w:t>和</w:t>
          </w:r>
          <w:r>
            <w:rPr>
              <w:rFonts w:hint="eastAsia" w:ascii="宋体" w:hAnsi="宋体" w:eastAsia="宋体" w:cs="宋体"/>
              <w:bCs/>
              <w:color w:val="auto"/>
              <w:kern w:val="0"/>
              <w:szCs w:val="22"/>
              <w:highlight w:val="none"/>
              <w:lang w:val="en-US" w:eastAsia="zh-CN" w:bidi="ar-SA"/>
            </w:rPr>
            <w:t>退还保证金说明函</w:t>
          </w:r>
          <w:r>
            <w:rPr>
              <w:color w:val="auto"/>
            </w:rPr>
            <w:tab/>
          </w:r>
          <w:r>
            <w:rPr>
              <w:color w:val="auto"/>
            </w:rPr>
            <w:fldChar w:fldCharType="begin"/>
          </w:r>
          <w:r>
            <w:rPr>
              <w:color w:val="auto"/>
            </w:rPr>
            <w:instrText xml:space="preserve"> PAGEREF _Toc15014 \h </w:instrText>
          </w:r>
          <w:r>
            <w:rPr>
              <w:color w:val="auto"/>
            </w:rPr>
            <w:fldChar w:fldCharType="separate"/>
          </w:r>
          <w:r>
            <w:rPr>
              <w:color w:val="auto"/>
            </w:rPr>
            <w:t>- 102 -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pos="3200"/>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_Toc29268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8</w:t>
          </w:r>
          <w:r>
            <w:rPr>
              <w:rFonts w:hint="eastAsia" w:ascii="宋体" w:hAnsi="宋体" w:eastAsia="宋体" w:cs="宋体"/>
              <w:color w:val="auto"/>
              <w:spacing w:val="0"/>
              <w:w w:val="100"/>
              <w:position w:val="0"/>
              <w:szCs w:val="28"/>
              <w:highlight w:val="none"/>
            </w:rPr>
            <w:tab/>
          </w:r>
          <w:r>
            <w:rPr>
              <w:rFonts w:hint="eastAsia" w:ascii="宋体" w:hAnsi="宋体" w:eastAsia="宋体" w:cs="宋体"/>
              <w:color w:val="auto"/>
              <w:spacing w:val="0"/>
              <w:w w:val="100"/>
              <w:position w:val="0"/>
              <w:szCs w:val="28"/>
              <w:highlight w:val="none"/>
            </w:rPr>
            <w:t>代理服务费承诺函格式</w:t>
          </w:r>
          <w:r>
            <w:rPr>
              <w:color w:val="auto"/>
            </w:rPr>
            <w:tab/>
          </w:r>
          <w:r>
            <w:rPr>
              <w:color w:val="auto"/>
            </w:rPr>
            <w:fldChar w:fldCharType="begin"/>
          </w:r>
          <w:r>
            <w:rPr>
              <w:color w:val="auto"/>
            </w:rPr>
            <w:instrText xml:space="preserve"> PAGEREF _Toc29268 \h </w:instrText>
          </w:r>
          <w:r>
            <w:rPr>
              <w:color w:val="auto"/>
            </w:rPr>
            <w:fldChar w:fldCharType="separate"/>
          </w:r>
          <w:r>
            <w:rPr>
              <w:color w:val="auto"/>
            </w:rPr>
            <w:t>- 104 -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_Toc5555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9 投标人情况表建议格式</w:t>
          </w:r>
          <w:r>
            <w:rPr>
              <w:color w:val="auto"/>
            </w:rPr>
            <w:tab/>
          </w:r>
          <w:r>
            <w:rPr>
              <w:color w:val="auto"/>
            </w:rPr>
            <w:fldChar w:fldCharType="begin"/>
          </w:r>
          <w:r>
            <w:rPr>
              <w:color w:val="auto"/>
            </w:rPr>
            <w:instrText xml:space="preserve"> PAGEREF _Toc5555 \h </w:instrText>
          </w:r>
          <w:r>
            <w:rPr>
              <w:color w:val="auto"/>
            </w:rPr>
            <w:fldChar w:fldCharType="separate"/>
          </w:r>
          <w:r>
            <w:rPr>
              <w:color w:val="auto"/>
            </w:rPr>
            <w:t>- 106 -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_Toc25743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10 详细的技术服务响应</w:t>
          </w:r>
          <w:r>
            <w:rPr>
              <w:color w:val="auto"/>
            </w:rPr>
            <w:tab/>
          </w:r>
          <w:r>
            <w:rPr>
              <w:color w:val="auto"/>
            </w:rPr>
            <w:fldChar w:fldCharType="begin"/>
          </w:r>
          <w:r>
            <w:rPr>
              <w:color w:val="auto"/>
            </w:rPr>
            <w:instrText xml:space="preserve"> PAGEREF _Toc25743 \h </w:instrText>
          </w:r>
          <w:r>
            <w:rPr>
              <w:color w:val="auto"/>
            </w:rPr>
            <w:fldChar w:fldCharType="separate"/>
          </w:r>
          <w:r>
            <w:rPr>
              <w:color w:val="auto"/>
            </w:rPr>
            <w:t>- 107 -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_Toc17541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11 其他商务技术文件材料</w:t>
          </w:r>
          <w:r>
            <w:rPr>
              <w:color w:val="auto"/>
            </w:rPr>
            <w:tab/>
          </w:r>
          <w:r>
            <w:rPr>
              <w:color w:val="auto"/>
            </w:rPr>
            <w:fldChar w:fldCharType="begin"/>
          </w:r>
          <w:r>
            <w:rPr>
              <w:color w:val="auto"/>
            </w:rPr>
            <w:instrText xml:space="preserve"> PAGEREF _Toc17541 \h </w:instrText>
          </w:r>
          <w:r>
            <w:rPr>
              <w:color w:val="auto"/>
            </w:rPr>
            <w:fldChar w:fldCharType="separate"/>
          </w:r>
          <w:r>
            <w:rPr>
              <w:color w:val="auto"/>
            </w:rPr>
            <w:t>- 110 -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_Toc6324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附件 12 政府采购政策的证明文件</w:t>
          </w:r>
          <w:r>
            <w:rPr>
              <w:color w:val="auto"/>
            </w:rPr>
            <w:tab/>
          </w:r>
          <w:r>
            <w:rPr>
              <w:color w:val="auto"/>
            </w:rPr>
            <w:fldChar w:fldCharType="begin"/>
          </w:r>
          <w:r>
            <w:rPr>
              <w:color w:val="auto"/>
            </w:rPr>
            <w:instrText xml:space="preserve"> PAGEREF _Toc6324 \h </w:instrText>
          </w:r>
          <w:r>
            <w:rPr>
              <w:color w:val="auto"/>
            </w:rPr>
            <w:fldChar w:fldCharType="separate"/>
          </w:r>
          <w:r>
            <w:rPr>
              <w:color w:val="auto"/>
            </w:rPr>
            <w:t>- 111 -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_Toc29413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附件 13 资格、资信证明文件</w:t>
          </w:r>
          <w:r>
            <w:rPr>
              <w:color w:val="auto"/>
            </w:rPr>
            <w:tab/>
          </w:r>
          <w:r>
            <w:rPr>
              <w:color w:val="auto"/>
            </w:rPr>
            <w:fldChar w:fldCharType="begin"/>
          </w:r>
          <w:r>
            <w:rPr>
              <w:color w:val="auto"/>
            </w:rPr>
            <w:instrText xml:space="preserve"> PAGEREF _Toc29413 \h </w:instrText>
          </w:r>
          <w:r>
            <w:rPr>
              <w:color w:val="auto"/>
            </w:rPr>
            <w:fldChar w:fldCharType="separate"/>
          </w:r>
          <w:r>
            <w:rPr>
              <w:color w:val="auto"/>
            </w:rPr>
            <w:t>- 115 -</w:t>
          </w:r>
          <w:r>
            <w:rPr>
              <w:color w:val="auto"/>
            </w:rPr>
            <w:fldChar w:fldCharType="end"/>
          </w:r>
          <w:r>
            <w:rPr>
              <w:rFonts w:hint="eastAsia" w:ascii="宋体" w:hAnsi="宋体" w:eastAsia="宋体" w:cs="宋体"/>
              <w:color w:val="auto"/>
              <w:szCs w:val="20"/>
              <w:highlight w:val="none"/>
            </w:rPr>
            <w:fldChar w:fldCharType="end"/>
          </w:r>
        </w:p>
        <w:p>
          <w:pPr>
            <w:rPr>
              <w:rFonts w:hint="eastAsia" w:ascii="宋体" w:hAnsi="宋体" w:eastAsia="宋体" w:cs="宋体"/>
              <w:color w:val="auto"/>
              <w:sz w:val="20"/>
              <w:szCs w:val="20"/>
              <w:highlight w:val="none"/>
            </w:rPr>
          </w:pPr>
          <w:r>
            <w:rPr>
              <w:rFonts w:hint="eastAsia" w:ascii="宋体" w:hAnsi="宋体" w:eastAsia="宋体" w:cs="宋体"/>
              <w:color w:val="auto"/>
              <w:szCs w:val="20"/>
              <w:highlight w:val="none"/>
            </w:rPr>
            <w:fldChar w:fldCharType="end"/>
          </w:r>
        </w:p>
      </w:sdtContent>
    </w:sdt>
    <w:p>
      <w:pPr>
        <w:pStyle w:val="4"/>
        <w:tabs>
          <w:tab w:val="left" w:pos="1164"/>
        </w:tabs>
        <w:spacing w:before="39"/>
        <w:ind w:right="115"/>
        <w:outlineLvl w:val="0"/>
        <w:rPr>
          <w:rFonts w:hint="eastAsia" w:ascii="宋体" w:hAnsi="宋体" w:eastAsia="宋体" w:cs="宋体"/>
          <w:color w:val="auto"/>
          <w:spacing w:val="0"/>
          <w:w w:val="100"/>
          <w:position w:val="0"/>
          <w:sz w:val="28"/>
          <w:szCs w:val="28"/>
          <w:highlight w:val="none"/>
        </w:rPr>
        <w:sectPr>
          <w:headerReference r:id="rId5" w:type="default"/>
          <w:footerReference r:id="rId6" w:type="default"/>
          <w:pgSz w:w="11910" w:h="16840"/>
          <w:pgMar w:top="1440" w:right="1080" w:bottom="1440" w:left="1080" w:header="850" w:footer="998" w:gutter="0"/>
          <w:pgBorders>
            <w:top w:val="none" w:sz="0" w:space="0"/>
            <w:left w:val="none" w:sz="0" w:space="0"/>
            <w:bottom w:val="none" w:sz="0" w:space="0"/>
            <w:right w:val="none" w:sz="0" w:space="0"/>
          </w:pgBorders>
          <w:cols w:space="720" w:num="1"/>
        </w:sectPr>
      </w:pPr>
    </w:p>
    <w:p>
      <w:pPr>
        <w:pStyle w:val="4"/>
        <w:tabs>
          <w:tab w:val="left" w:pos="1164"/>
        </w:tabs>
        <w:spacing w:before="39"/>
        <w:ind w:right="115"/>
        <w:outlineLvl w:val="0"/>
        <w:rPr>
          <w:rFonts w:hint="eastAsia" w:ascii="宋体" w:hAnsi="宋体" w:eastAsia="宋体" w:cs="宋体"/>
          <w:color w:val="auto"/>
          <w:spacing w:val="0"/>
          <w:w w:val="100"/>
          <w:position w:val="0"/>
          <w:sz w:val="32"/>
          <w:szCs w:val="32"/>
          <w:highlight w:val="none"/>
        </w:rPr>
      </w:pPr>
      <w:bookmarkStart w:id="0" w:name="_Toc2603"/>
      <w:r>
        <w:rPr>
          <w:rFonts w:hint="eastAsia" w:ascii="宋体" w:hAnsi="宋体" w:eastAsia="宋体" w:cs="宋体"/>
          <w:color w:val="auto"/>
          <w:spacing w:val="0"/>
          <w:w w:val="100"/>
          <w:position w:val="0"/>
          <w:sz w:val="32"/>
          <w:szCs w:val="32"/>
          <w:highlight w:val="none"/>
        </w:rPr>
        <w:t>第一章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投标邀请</w:t>
      </w:r>
      <w:bookmarkEnd w:id="0"/>
    </w:p>
    <w:p>
      <w:pPr>
        <w:autoSpaceDE w:val="0"/>
        <w:autoSpaceDN w:val="0"/>
        <w:bidi w:val="0"/>
        <w:spacing w:before="0" w:after="0" w:line="240" w:lineRule="auto"/>
        <w:ind w:left="0" w:right="0"/>
        <w:jc w:val="center"/>
        <w:outlineLvl w:val="9"/>
        <w:rPr>
          <w:rFonts w:hint="eastAsia" w:ascii="宋体" w:hAnsi="宋体" w:eastAsia="宋体" w:cs="宋体"/>
          <w:b/>
          <w:bCs/>
          <w:color w:val="auto"/>
          <w:kern w:val="0"/>
          <w:sz w:val="28"/>
          <w:szCs w:val="28"/>
          <w:lang w:val="zh-CN" w:bidi="zh-CN"/>
        </w:rPr>
      </w:pPr>
      <w:bookmarkStart w:id="1" w:name="_bookmark1"/>
      <w:bookmarkEnd w:id="1"/>
      <w:r>
        <w:rPr>
          <w:rFonts w:hint="eastAsia" w:ascii="宋体" w:hAnsi="宋体" w:eastAsia="宋体" w:cs="宋体"/>
          <w:b/>
          <w:bCs/>
          <w:color w:val="auto"/>
          <w:kern w:val="0"/>
          <w:sz w:val="28"/>
          <w:szCs w:val="28"/>
          <w:lang w:val="zh-CN" w:eastAsia="zh-CN" w:bidi="zh-CN"/>
        </w:rPr>
        <w:t>自治区计量院第一批测量设备采购项目（一）（</w:t>
      </w:r>
      <w:r>
        <w:rPr>
          <w:rFonts w:hint="eastAsia" w:ascii="宋体" w:hAnsi="宋体" w:eastAsia="宋体" w:cs="宋体"/>
          <w:b/>
          <w:bCs/>
          <w:color w:val="auto"/>
          <w:kern w:val="0"/>
          <w:sz w:val="28"/>
          <w:szCs w:val="28"/>
          <w:lang w:val="en-US" w:eastAsia="zh-CN" w:bidi="zh-CN"/>
        </w:rPr>
        <w:t>二次</w:t>
      </w:r>
      <w:r>
        <w:rPr>
          <w:rFonts w:hint="eastAsia" w:ascii="宋体" w:hAnsi="宋体" w:eastAsia="宋体" w:cs="宋体"/>
          <w:b/>
          <w:bCs/>
          <w:color w:val="auto"/>
          <w:kern w:val="0"/>
          <w:sz w:val="28"/>
          <w:szCs w:val="28"/>
          <w:lang w:val="zh-CN" w:eastAsia="zh-CN" w:bidi="zh-CN"/>
        </w:rPr>
        <w:t>）</w:t>
      </w:r>
      <w:r>
        <w:rPr>
          <w:rFonts w:hint="eastAsia" w:ascii="宋体" w:hAnsi="宋体" w:eastAsia="宋体" w:cs="宋体"/>
          <w:b/>
          <w:bCs/>
          <w:color w:val="auto"/>
          <w:kern w:val="0"/>
          <w:sz w:val="28"/>
          <w:szCs w:val="28"/>
          <w:lang w:val="zh-CN" w:bidi="zh-CN"/>
        </w:rPr>
        <w:t>公开招标公告</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项目概况</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自治区计量院第一批测量设备采购项目（一）招标项目的潜在投标人应在</w:t>
      </w:r>
      <w:r>
        <w:rPr>
          <w:rFonts w:hint="eastAsia" w:ascii="宋体" w:hAnsi="宋体" w:eastAsia="宋体" w:cs="宋体"/>
          <w:color w:val="auto"/>
          <w:kern w:val="0"/>
          <w:sz w:val="21"/>
          <w:szCs w:val="21"/>
          <w:lang w:val="en-US" w:eastAsia="zh-CN" w:bidi="zh-CN"/>
        </w:rPr>
        <w:t>邮箱</w:t>
      </w:r>
      <w:r>
        <w:rPr>
          <w:rFonts w:hint="eastAsia" w:ascii="宋体" w:hAnsi="宋体" w:eastAsia="宋体" w:cs="宋体"/>
          <w:color w:val="auto"/>
          <w:kern w:val="0"/>
          <w:sz w:val="21"/>
          <w:szCs w:val="21"/>
          <w:lang w:val="zh-CN" w:eastAsia="zh-CN" w:bidi="zh-CN"/>
        </w:rPr>
        <w:t>获取招标文件，并于2022年0</w:t>
      </w:r>
      <w:r>
        <w:rPr>
          <w:rFonts w:hint="eastAsia" w:ascii="宋体" w:hAnsi="宋体" w:eastAsia="宋体" w:cs="宋体"/>
          <w:color w:val="auto"/>
          <w:kern w:val="0"/>
          <w:sz w:val="21"/>
          <w:szCs w:val="21"/>
          <w:lang w:val="en-US" w:eastAsia="zh-CN" w:bidi="zh-CN"/>
        </w:rPr>
        <w:t>6</w:t>
      </w:r>
      <w:r>
        <w:rPr>
          <w:rFonts w:hint="eastAsia" w:ascii="宋体" w:hAnsi="宋体" w:eastAsia="宋体" w:cs="宋体"/>
          <w:color w:val="auto"/>
          <w:kern w:val="0"/>
          <w:sz w:val="21"/>
          <w:szCs w:val="21"/>
          <w:lang w:val="zh-CN" w:eastAsia="zh-CN" w:bidi="zh-CN"/>
        </w:rPr>
        <w:t>月</w:t>
      </w:r>
      <w:r>
        <w:rPr>
          <w:rFonts w:hint="eastAsia" w:ascii="宋体" w:hAnsi="宋体" w:eastAsia="宋体" w:cs="宋体"/>
          <w:color w:val="auto"/>
          <w:kern w:val="0"/>
          <w:sz w:val="21"/>
          <w:szCs w:val="21"/>
          <w:lang w:val="en-US" w:eastAsia="zh-CN" w:bidi="zh-CN"/>
        </w:rPr>
        <w:t>07</w:t>
      </w:r>
      <w:r>
        <w:rPr>
          <w:rFonts w:hint="eastAsia" w:ascii="宋体" w:hAnsi="宋体" w:eastAsia="宋体" w:cs="宋体"/>
          <w:color w:val="auto"/>
          <w:kern w:val="0"/>
          <w:sz w:val="21"/>
          <w:szCs w:val="21"/>
          <w:lang w:val="zh-CN" w:eastAsia="zh-CN" w:bidi="zh-CN"/>
        </w:rPr>
        <w:t>日 11:00（北京时间）前递交投标文件。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一、项目基本情况</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default"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项目编号：</w:t>
      </w:r>
      <w:r>
        <w:rPr>
          <w:rFonts w:hint="eastAsia" w:cs="宋体"/>
          <w:color w:val="auto"/>
          <w:kern w:val="0"/>
          <w:sz w:val="21"/>
          <w:szCs w:val="21"/>
          <w:lang w:val="zh-CN" w:eastAsia="zh-CN" w:bidi="zh-CN"/>
        </w:rPr>
        <w:t>Hhhx2208-Zjly001-1</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项目名称：</w:t>
      </w:r>
      <w:r>
        <w:rPr>
          <w:rFonts w:hint="eastAsia" w:ascii="宋体" w:hAnsi="宋体" w:eastAsia="宋体" w:cs="宋体"/>
          <w:color w:val="auto"/>
          <w:kern w:val="0"/>
          <w:sz w:val="21"/>
          <w:szCs w:val="21"/>
          <w:lang w:val="en-US" w:eastAsia="zh-CN" w:bidi="zh-CN"/>
        </w:rPr>
        <w:t>自治区计量院第一批测量设备采购项目（一）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预算金额（元）：1620492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最高限价（元）：</w:t>
      </w:r>
      <w:r>
        <w:rPr>
          <w:rFonts w:hint="eastAsia" w:ascii="宋体" w:hAnsi="宋体" w:eastAsia="宋体" w:cs="宋体"/>
          <w:color w:val="auto"/>
          <w:kern w:val="0"/>
          <w:sz w:val="21"/>
          <w:szCs w:val="21"/>
          <w:lang w:val="en-US" w:eastAsia="zh-CN" w:bidi="zh-CN"/>
        </w:rPr>
        <w:t>595000，1025492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采购需求：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第三包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预算金额（元）:595000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简要规格描述或项目基本概况介绍、用途：定制高真空配置装置</w:t>
      </w:r>
      <w:r>
        <w:rPr>
          <w:rFonts w:hint="eastAsia" w:ascii="宋体" w:hAnsi="宋体" w:eastAsia="宋体" w:cs="宋体"/>
          <w:color w:val="auto"/>
          <w:kern w:val="0"/>
          <w:sz w:val="21"/>
          <w:szCs w:val="21"/>
          <w:lang w:val="en-US" w:eastAsia="zh-CN" w:bidi="zh-CN"/>
        </w:rPr>
        <w:t>、定制洗瓶机、定制6工位混匀装置采购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标项二</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第五包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w:t>
      </w:r>
      <w:r>
        <w:rPr>
          <w:rFonts w:hint="eastAsia" w:ascii="宋体" w:hAnsi="宋体" w:eastAsia="宋体" w:cs="宋体"/>
          <w:color w:val="auto"/>
          <w:kern w:val="0"/>
          <w:sz w:val="21"/>
          <w:szCs w:val="21"/>
          <w:lang w:val="en-US" w:eastAsia="zh-CN" w:bidi="zh-CN"/>
        </w:rPr>
        <w:t>1025492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标准量块、投影立式光学计、量块专用检具（块规夹子5个组）、双通道温度巡检仪、快速测温仪（恒温浴校准装置）、软热电偶、减压阀、真空泵、数字压力表、激光测距仪、金属探伤仪校准装置、数显标准测力仪、砝码、宽频分压器、感应分压器、程控射频开关、酸度计、在线浊度计、复合式气体检测报警器、材料烧结用高温炉、三相电能表现场校验仪、气相色谱仪(双FID+转化炉)</w:t>
      </w:r>
      <w:r>
        <w:rPr>
          <w:rFonts w:hint="eastAsia" w:ascii="宋体" w:hAnsi="宋体" w:eastAsia="宋体" w:cs="宋体"/>
          <w:color w:val="auto"/>
          <w:kern w:val="0"/>
          <w:sz w:val="21"/>
          <w:szCs w:val="21"/>
          <w:lang w:val="en-US" w:eastAsia="zh-CN" w:bidi="zh-CN"/>
        </w:rPr>
        <w:t>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合同履行期限：标项 1、2，</w:t>
      </w:r>
      <w:r>
        <w:rPr>
          <w:rFonts w:hint="eastAsia" w:ascii="宋体" w:hAnsi="宋体" w:eastAsia="宋体" w:cs="宋体"/>
          <w:color w:val="auto"/>
          <w:kern w:val="0"/>
          <w:sz w:val="21"/>
          <w:szCs w:val="21"/>
          <w:lang w:val="zh-CN" w:eastAsia="zh-CN" w:bidi="ar"/>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本项目（否）接受联合体投标。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二、申请人的资格要求：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1.满足《中华人民共和国政府采购法》第二十二条规定；</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2.落实政府采购政策需满足的资格要求：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（1）采购政策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政府采购应当优先采购本国货物、工程和服务，并执行节能产品、环境标志产品、中小企业、残疾人福利性单位、监</w:t>
      </w:r>
      <w:r>
        <w:rPr>
          <w:rFonts w:hint="eastAsia" w:ascii="宋体" w:hAnsi="宋体" w:eastAsia="宋体" w:cs="宋体"/>
          <w:color w:val="auto"/>
          <w:kern w:val="0"/>
          <w:sz w:val="21"/>
          <w:szCs w:val="21"/>
          <w:lang w:val="en-US" w:eastAsia="zh-CN" w:bidi="zh-CN"/>
        </w:rPr>
        <w:t xml:space="preserve"> </w:t>
      </w:r>
      <w:r>
        <w:rPr>
          <w:rFonts w:hint="eastAsia" w:ascii="宋体" w:hAnsi="宋体" w:eastAsia="宋体" w:cs="宋体"/>
          <w:color w:val="auto"/>
          <w:kern w:val="0"/>
          <w:sz w:val="21"/>
          <w:szCs w:val="21"/>
          <w:lang w:val="zh-CN" w:eastAsia="zh-CN" w:bidi="zh-CN"/>
        </w:rPr>
        <w:t>狱企业、商品外包装等适宜本项目的政府采购政策。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（2）政策依据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1）财政部、国家发展改革委、生态环境部、市场监管总局《关于调整优化节能产品、环境标志产品政府采购执行机制的通知》（财库[2019]9号文）；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2）财政部、生态环境部《关于印发环境标志产品政府采购品目清单的通知》（财库[2019]18号文）；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3）财政部、发展改革委《关于印发节能产品政府采购品目清单的通知》（财库[2019]19号文）；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4）市场监管总局《市场监管总局关于发布参与实施政府采购节能产品、环境标志产品认证机构名录的公告》（2019年第16号）；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5）财政部、工业和信息化部《关于印发《政府采购促进中小企业发展管理办法》的通知》（财库〔2020〕46号）；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6）财政部、民政部、中国残疾人联合会《关于促进残疾人就业政府采购政策的通知》（财库[2017]141号）；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7）财政部、司</w:t>
      </w:r>
      <w:r>
        <w:rPr>
          <w:rFonts w:hint="eastAsia" w:ascii="宋体" w:hAnsi="宋体" w:eastAsia="宋体" w:cs="宋体"/>
          <w:color w:val="auto"/>
          <w:kern w:val="0"/>
          <w:sz w:val="21"/>
          <w:szCs w:val="21"/>
          <w:lang w:val="en-US" w:eastAsia="zh-CN" w:bidi="zh-CN"/>
        </w:rPr>
        <w:t xml:space="preserve"> </w:t>
      </w:r>
      <w:r>
        <w:rPr>
          <w:rFonts w:hint="eastAsia" w:ascii="宋体" w:hAnsi="宋体" w:eastAsia="宋体" w:cs="宋体"/>
          <w:color w:val="auto"/>
          <w:kern w:val="0"/>
          <w:sz w:val="21"/>
          <w:szCs w:val="21"/>
          <w:lang w:val="zh-CN" w:eastAsia="zh-CN" w:bidi="zh-CN"/>
        </w:rPr>
        <w:t>法部《关于政府采购支持监</w:t>
      </w:r>
      <w:r>
        <w:rPr>
          <w:rFonts w:hint="eastAsia" w:ascii="宋体" w:hAnsi="宋体" w:eastAsia="宋体" w:cs="宋体"/>
          <w:color w:val="auto"/>
          <w:kern w:val="0"/>
          <w:sz w:val="21"/>
          <w:szCs w:val="21"/>
          <w:lang w:val="en-US" w:eastAsia="zh-CN" w:bidi="zh-CN"/>
        </w:rPr>
        <w:t xml:space="preserve"> </w:t>
      </w:r>
      <w:r>
        <w:rPr>
          <w:rFonts w:hint="eastAsia" w:ascii="宋体" w:hAnsi="宋体" w:eastAsia="宋体" w:cs="宋体"/>
          <w:color w:val="auto"/>
          <w:kern w:val="0"/>
          <w:sz w:val="21"/>
          <w:szCs w:val="21"/>
          <w:lang w:val="zh-CN" w:eastAsia="zh-CN" w:bidi="zh-CN"/>
        </w:rPr>
        <w:t>狱企业发展有关问题的通知》（财库[2014]68号文）；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en-US" w:eastAsia="zh-CN" w:bidi="zh-CN"/>
        </w:rPr>
        <w:t>8</w:t>
      </w:r>
      <w:r>
        <w:rPr>
          <w:rFonts w:hint="eastAsia" w:ascii="宋体" w:hAnsi="宋体" w:eastAsia="宋体" w:cs="宋体"/>
          <w:color w:val="auto"/>
          <w:kern w:val="0"/>
          <w:sz w:val="21"/>
          <w:szCs w:val="21"/>
          <w:lang w:val="zh-CN" w:eastAsia="zh-CN" w:bidi="zh-CN"/>
        </w:rPr>
        <w:t>）财政部、生态环境部、国家邮政局《关于印发《商品包装政府采购需求标准（试行）》、 《快递包装政府采购需求标准（试行）》的通知》（财办库〔2020〕123号）。</w:t>
      </w:r>
    </w:p>
    <w:p>
      <w:pPr>
        <w:keepNext w:val="0"/>
        <w:keepLines w:val="0"/>
        <w:widowControl/>
        <w:suppressLineNumbers w:val="0"/>
        <w:autoSpaceDE w:val="0"/>
        <w:autoSpaceDN w:val="0"/>
        <w:spacing w:before="0" w:after="0" w:line="300" w:lineRule="atLeast"/>
        <w:ind w:left="0" w:right="0" w:firstLine="420"/>
        <w:jc w:val="left"/>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3.本项目的特定资格要求：标项1、2：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1</w:t>
      </w:r>
      <w:r>
        <w:rPr>
          <w:rFonts w:hint="eastAsia" w:ascii="宋体" w:hAnsi="宋体" w:eastAsia="宋体" w:cs="宋体"/>
          <w:color w:val="auto"/>
          <w:kern w:val="0"/>
          <w:sz w:val="21"/>
          <w:szCs w:val="21"/>
          <w:lang w:val="zh-CN" w:eastAsia="zh-CN" w:bidi="zh-CN"/>
        </w:rPr>
        <w:t>）有效的工商营业执照、税务登记证、组织机构代码证或“三证合一”的营业执照或当地公证处出具的此资质的公证书；</w:t>
      </w:r>
    </w:p>
    <w:p>
      <w:pPr>
        <w:keepNext w:val="0"/>
        <w:keepLines w:val="0"/>
        <w:pageBreakBefore w:val="0"/>
        <w:widowControl/>
        <w:kinsoku/>
        <w:wordWrap w:val="0"/>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3</w:t>
      </w:r>
      <w:r>
        <w:rPr>
          <w:rFonts w:hint="eastAsia" w:ascii="宋体" w:hAnsi="宋体" w:eastAsia="宋体" w:cs="宋体"/>
          <w:color w:val="auto"/>
          <w:kern w:val="0"/>
          <w:sz w:val="21"/>
          <w:szCs w:val="21"/>
          <w:lang w:val="zh-CN" w:eastAsia="zh-CN" w:bidi="zh-CN"/>
        </w:rPr>
        <w:t>）单位负责人为同一人或者存在直接控股、管理关系的不同供应商，不得参加同一合同项下的政府采购活动；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）本项目不接受进口产品投标。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三、获取招标文件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年0</w:t>
      </w:r>
      <w:r>
        <w:rPr>
          <w:rFonts w:hint="eastAsia" w:ascii="宋体" w:hAnsi="宋体" w:eastAsia="宋体"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月</w:t>
      </w:r>
      <w:r>
        <w:rPr>
          <w:rFonts w:hint="eastAsia" w:ascii="宋体" w:hAnsi="宋体" w:eastAsia="宋体" w:cs="宋体"/>
          <w:color w:val="auto"/>
          <w:kern w:val="0"/>
          <w:sz w:val="21"/>
          <w:szCs w:val="21"/>
          <w:lang w:val="en-US" w:eastAsia="zh-CN" w:bidi="zh-CN"/>
        </w:rPr>
        <w:t>17</w:t>
      </w:r>
      <w:r>
        <w:rPr>
          <w:rFonts w:hint="eastAsia" w:ascii="宋体" w:hAnsi="宋体" w:eastAsia="宋体" w:cs="宋体"/>
          <w:color w:val="auto"/>
          <w:kern w:val="0"/>
          <w:sz w:val="21"/>
          <w:szCs w:val="21"/>
          <w:lang w:val="zh-CN" w:eastAsia="zh-CN" w:bidi="zh-CN"/>
        </w:rPr>
        <w:t>日至 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05</w:t>
      </w:r>
      <w:r>
        <w:rPr>
          <w:rFonts w:hint="eastAsia" w:ascii="宋体" w:hAnsi="宋体" w:eastAsia="宋体" w:cs="宋体"/>
          <w:color w:val="auto"/>
          <w:kern w:val="0"/>
          <w:sz w:val="21"/>
          <w:szCs w:val="21"/>
          <w:lang w:val="zh-CN" w:eastAsia="zh-CN" w:bidi="zh-CN"/>
        </w:rPr>
        <w:t>月</w:t>
      </w:r>
      <w:r>
        <w:rPr>
          <w:rFonts w:hint="eastAsia" w:ascii="宋体" w:hAnsi="宋体" w:eastAsia="宋体" w:cs="宋体"/>
          <w:color w:val="auto"/>
          <w:kern w:val="0"/>
          <w:sz w:val="21"/>
          <w:szCs w:val="21"/>
          <w:lang w:val="en-US" w:eastAsia="zh-CN" w:bidi="zh-CN"/>
        </w:rPr>
        <w:t>24</w:t>
      </w:r>
      <w:r>
        <w:rPr>
          <w:rFonts w:hint="eastAsia" w:ascii="宋体" w:hAnsi="宋体" w:eastAsia="宋体" w:cs="宋体"/>
          <w:color w:val="auto"/>
          <w:kern w:val="0"/>
          <w:sz w:val="21"/>
          <w:szCs w:val="21"/>
          <w:lang w:val="zh-CN" w:eastAsia="zh-CN" w:bidi="zh-CN"/>
        </w:rPr>
        <w:t>日，每天上午</w:t>
      </w:r>
      <w:r>
        <w:rPr>
          <w:rFonts w:hint="eastAsia" w:ascii="宋体" w:hAnsi="宋体" w:eastAsia="宋体"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0至1</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:00，下午1</w:t>
      </w:r>
      <w:r>
        <w:rPr>
          <w:rFonts w:hint="eastAsia" w:ascii="宋体" w:hAnsi="宋体" w:eastAsia="宋体"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:00至1</w:t>
      </w:r>
      <w:r>
        <w:rPr>
          <w:rFonts w:hint="eastAsia" w:ascii="宋体" w:hAnsi="宋体" w:eastAsia="宋体" w:cs="宋体"/>
          <w:color w:val="auto"/>
          <w:kern w:val="0"/>
          <w:sz w:val="21"/>
          <w:szCs w:val="21"/>
          <w:lang w:val="en-US" w:eastAsia="zh-CN" w:bidi="zh-CN"/>
        </w:rPr>
        <w:t>9</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0。（北京时间，法定节假日除外）</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地点：</w:t>
      </w:r>
      <w:r>
        <w:rPr>
          <w:rFonts w:hint="eastAsia" w:ascii="宋体" w:hAnsi="宋体" w:eastAsia="宋体" w:cs="宋体"/>
          <w:color w:val="auto"/>
          <w:kern w:val="0"/>
          <w:sz w:val="21"/>
          <w:szCs w:val="21"/>
          <w:lang w:val="en-US" w:eastAsia="zh-CN" w:bidi="zh-CN"/>
        </w:rPr>
        <w:t>邮箱</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方式：</w:t>
      </w:r>
      <w:r>
        <w:rPr>
          <w:rFonts w:hint="eastAsia" w:ascii="宋体" w:hAnsi="宋体" w:eastAsia="宋体" w:cs="宋体"/>
          <w:color w:val="auto"/>
          <w:kern w:val="0"/>
          <w:sz w:val="21"/>
          <w:szCs w:val="21"/>
          <w:lang w:val="en-US" w:eastAsia="zh-CN" w:bidi="zh-CN"/>
        </w:rPr>
        <w:t>邮箱</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售价：200元</w:t>
      </w:r>
      <w:r>
        <w:rPr>
          <w:rFonts w:hint="eastAsia" w:ascii="宋体" w:hAnsi="宋体" w:eastAsia="宋体" w:cs="宋体"/>
          <w:color w:val="auto"/>
          <w:kern w:val="0"/>
          <w:sz w:val="21"/>
          <w:szCs w:val="21"/>
          <w:lang w:val="en-US" w:eastAsia="zh-CN" w:bidi="zh-CN"/>
        </w:rPr>
        <w:t>/包，售后不退。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四、提交投标文件截止时间、开标时间和地点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提交投标文件截止时间：202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06</w:t>
      </w:r>
      <w:r>
        <w:rPr>
          <w:rFonts w:hint="eastAsia" w:ascii="宋体" w:hAnsi="宋体" w:eastAsia="宋体" w:cs="宋体"/>
          <w:color w:val="auto"/>
          <w:kern w:val="0"/>
          <w:sz w:val="21"/>
          <w:szCs w:val="21"/>
          <w:lang w:val="zh-CN" w:eastAsia="zh-CN" w:bidi="zh-CN"/>
        </w:rPr>
        <w:t>月</w:t>
      </w:r>
      <w:r>
        <w:rPr>
          <w:rFonts w:hint="eastAsia" w:ascii="宋体" w:hAnsi="宋体" w:eastAsia="宋体" w:cs="宋体"/>
          <w:color w:val="auto"/>
          <w:kern w:val="0"/>
          <w:sz w:val="21"/>
          <w:szCs w:val="21"/>
          <w:lang w:val="en-US" w:eastAsia="zh-CN" w:bidi="zh-CN"/>
        </w:rPr>
        <w:t>07</w:t>
      </w:r>
      <w:r>
        <w:rPr>
          <w:rFonts w:hint="eastAsia" w:ascii="宋体" w:hAnsi="宋体" w:eastAsia="宋体" w:cs="宋体"/>
          <w:color w:val="auto"/>
          <w:kern w:val="0"/>
          <w:sz w:val="21"/>
          <w:szCs w:val="21"/>
          <w:lang w:val="zh-CN" w:eastAsia="zh-CN" w:bidi="zh-CN"/>
        </w:rPr>
        <w:t xml:space="preserve">日 </w:t>
      </w:r>
      <w:r>
        <w:rPr>
          <w:rFonts w:hint="eastAsia" w:ascii="宋体" w:hAnsi="宋体" w:eastAsia="宋体" w:cs="宋体"/>
          <w:color w:val="auto"/>
          <w:kern w:val="0"/>
          <w:sz w:val="21"/>
          <w:szCs w:val="21"/>
          <w:lang w:val="en-US" w:eastAsia="zh-CN" w:bidi="zh-CN"/>
        </w:rPr>
        <w:t>11</w:t>
      </w:r>
      <w:r>
        <w:rPr>
          <w:rFonts w:hint="eastAsia" w:ascii="宋体" w:hAnsi="宋体" w:eastAsia="宋体" w:cs="宋体"/>
          <w:color w:val="auto"/>
          <w:kern w:val="0"/>
          <w:sz w:val="21"/>
          <w:szCs w:val="21"/>
          <w:lang w:val="zh-CN" w:eastAsia="zh-CN" w:bidi="zh-CN"/>
        </w:rPr>
        <w:t>点</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0分（北京时间）</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开标时间：202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06</w:t>
      </w:r>
      <w:r>
        <w:rPr>
          <w:rFonts w:hint="eastAsia" w:ascii="宋体" w:hAnsi="宋体" w:eastAsia="宋体" w:cs="宋体"/>
          <w:color w:val="auto"/>
          <w:kern w:val="0"/>
          <w:sz w:val="21"/>
          <w:szCs w:val="21"/>
          <w:lang w:val="zh-CN" w:eastAsia="zh-CN" w:bidi="zh-CN"/>
        </w:rPr>
        <w:t>月</w:t>
      </w:r>
      <w:r>
        <w:rPr>
          <w:rFonts w:hint="eastAsia" w:ascii="宋体" w:hAnsi="宋体" w:eastAsia="宋体" w:cs="宋体"/>
          <w:color w:val="auto"/>
          <w:kern w:val="0"/>
          <w:sz w:val="21"/>
          <w:szCs w:val="21"/>
          <w:lang w:val="en-US" w:eastAsia="zh-CN" w:bidi="zh-CN"/>
        </w:rPr>
        <w:t>07</w:t>
      </w:r>
      <w:r>
        <w:rPr>
          <w:rFonts w:hint="eastAsia" w:ascii="宋体" w:hAnsi="宋体" w:eastAsia="宋体" w:cs="宋体"/>
          <w:color w:val="auto"/>
          <w:kern w:val="0"/>
          <w:sz w:val="21"/>
          <w:szCs w:val="21"/>
          <w:lang w:val="zh-CN" w:eastAsia="zh-CN" w:bidi="zh-CN"/>
        </w:rPr>
        <w:t xml:space="preserve">日 </w:t>
      </w:r>
      <w:r>
        <w:rPr>
          <w:rFonts w:hint="eastAsia" w:ascii="宋体" w:hAnsi="宋体" w:eastAsia="宋体" w:cs="宋体"/>
          <w:color w:val="auto"/>
          <w:kern w:val="0"/>
          <w:sz w:val="21"/>
          <w:szCs w:val="21"/>
          <w:lang w:val="en-US" w:eastAsia="zh-CN" w:bidi="zh-CN"/>
        </w:rPr>
        <w:t>11</w:t>
      </w:r>
      <w:r>
        <w:rPr>
          <w:rFonts w:hint="eastAsia" w:ascii="宋体" w:hAnsi="宋体" w:eastAsia="宋体" w:cs="宋体"/>
          <w:color w:val="auto"/>
          <w:kern w:val="0"/>
          <w:sz w:val="21"/>
          <w:szCs w:val="21"/>
          <w:lang w:val="zh-CN" w:eastAsia="zh-CN" w:bidi="zh-CN"/>
        </w:rPr>
        <w:t>点</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0分（北京时间）</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地点：乌鲁木齐市经济技术开发区上海路浦东街三号创新空间一楼会议室</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五、公告期限</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自本公告发布之日起5个工作日。</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六、其他补充事宜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1</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w:t>
      </w: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本次招标公告在</w:t>
      </w: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新疆</w:t>
      </w: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政府采购网上发布，其他媒体转载无效。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2.凡有意参加本次政府采购的企业请按以下内容发送至邮箱1767495113@qq.com：</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（1）供应商发送邮箱“主题”包含项目名称及编号；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（2）供应商发送邮箱“正文”包含以下内容：1）项目名称（包号）、2）项目编号；3）公司名称；4）联系人；5）联系电话；6）邮箱号；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default" w:ascii="宋体" w:hAnsi="宋体" w:eastAsia="宋体" w:cs="宋体"/>
          <w:i w:val="0"/>
          <w:iCs w:val="0"/>
          <w:caps w:val="0"/>
          <w:color w:val="auto"/>
          <w:spacing w:val="0"/>
          <w:kern w:val="0"/>
          <w:sz w:val="21"/>
          <w:szCs w:val="21"/>
          <w:highlight w:val="none"/>
          <w:shd w:val="clear" w:color="auto"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zh-CN" w:eastAsia="zh-CN" w:bidi="zh-CN"/>
        </w:rPr>
        <w:t>（3）供应商发送邮箱“附件”包含：法定代表人证明或身份证扫描件、授权委托书和本人身份证扫描件（法定代表人不需要）、营业执照副本扫描件，扫描件需加盖公章。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3.监督电话：</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监    督：驻新疆维吾尔自治区市场监督管理局纪检组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监督电话：0991-2841556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color="auto" w:fill="FFFFFF"/>
          <w:vertAlign w:val="baseline"/>
          <w:lang w:val="en-US" w:eastAsia="zh-CN" w:bidi="zh-CN"/>
        </w:rPr>
        <w:t>4.</w:t>
      </w:r>
      <w:r>
        <w:rPr>
          <w:rFonts w:hint="eastAsia" w:ascii="宋体" w:hAnsi="宋体" w:eastAsia="宋体" w:cs="宋体"/>
          <w:color w:val="auto"/>
          <w:kern w:val="0"/>
          <w:sz w:val="21"/>
          <w:szCs w:val="21"/>
          <w:lang w:val="zh-CN" w:eastAsia="zh-CN" w:bidi="zh-CN"/>
        </w:rPr>
        <w:t>售价：200元</w:t>
      </w:r>
      <w:r>
        <w:rPr>
          <w:rFonts w:hint="eastAsia" w:ascii="宋体" w:hAnsi="宋体" w:eastAsia="宋体" w:cs="宋体"/>
          <w:color w:val="auto"/>
          <w:kern w:val="0"/>
          <w:sz w:val="21"/>
          <w:szCs w:val="21"/>
          <w:lang w:val="en-US" w:eastAsia="zh-CN" w:bidi="zh-CN"/>
        </w:rPr>
        <w:t>/包，售后不退。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七、对本次招标提出询问，请按以下方式联系。</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1.采购人信息</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名 称：新疆维吾尔自治区计量测试研究院</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地 址：乌鲁木齐市河北东路188号</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联系方式：0991-3191512</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2.采购代理机构信息</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名 称：新疆华恒惠欣工程项目管理有限责任公司</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地 址：乌鲁木齐市经济技术开发区上海路浦东街三号</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联系方式：18130912292</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3.项目联系方式</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项目联系人：冯工</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kern w:val="0"/>
          <w:sz w:val="21"/>
          <w:szCs w:val="21"/>
          <w:lang w:val="en-US" w:eastAsia="zh-CN" w:bidi="zh-CN"/>
        </w:rPr>
      </w:pPr>
      <w:r>
        <w:rPr>
          <w:rFonts w:hint="eastAsia" w:ascii="宋体" w:hAnsi="宋体" w:eastAsia="宋体" w:cs="宋体"/>
          <w:i w:val="0"/>
          <w:caps w:val="0"/>
          <w:color w:val="auto"/>
          <w:spacing w:val="0"/>
          <w:kern w:val="0"/>
          <w:sz w:val="21"/>
          <w:szCs w:val="21"/>
          <w:lang w:val="en-US" w:eastAsia="zh-CN" w:bidi="zh-CN"/>
        </w:rPr>
        <w:t>电 话：18130912292</w:t>
      </w:r>
    </w:p>
    <w:p>
      <w:pPr>
        <w:widowControl/>
        <w:autoSpaceDE w:val="0"/>
        <w:autoSpaceDN w:val="0"/>
        <w:spacing w:before="75" w:beforeAutospacing="0" w:after="75" w:afterAutospacing="0" w:line="240" w:lineRule="auto"/>
        <w:ind w:left="0" w:right="0"/>
        <w:jc w:val="right"/>
        <w:outlineLvl w:val="9"/>
        <w:rPr>
          <w:rFonts w:hint="eastAsia" w:ascii="宋体" w:hAnsi="宋体" w:eastAsia="宋体" w:cs="宋体"/>
          <w:b w:val="0"/>
          <w:bCs/>
          <w:color w:val="auto"/>
          <w:kern w:val="0"/>
          <w:sz w:val="21"/>
          <w:szCs w:val="21"/>
          <w:lang w:val="zh-CN" w:eastAsia="zh-CN" w:bidi="zh-CN"/>
        </w:rPr>
      </w:pPr>
    </w:p>
    <w:p>
      <w:pPr>
        <w:widowControl/>
        <w:autoSpaceDE w:val="0"/>
        <w:autoSpaceDN w:val="0"/>
        <w:spacing w:before="75" w:beforeAutospacing="0" w:after="75" w:afterAutospacing="0" w:line="240" w:lineRule="auto"/>
        <w:ind w:left="0" w:right="0"/>
        <w:jc w:val="right"/>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en-US" w:eastAsia="zh-CN" w:bidi="zh-CN"/>
        </w:rPr>
        <w:t>新疆华恒惠欣工程项目管理有限责任公司</w:t>
      </w:r>
    </w:p>
    <w:p>
      <w:pPr>
        <w:wordWrap w:val="0"/>
        <w:autoSpaceDE w:val="0"/>
        <w:autoSpaceDN w:val="0"/>
        <w:spacing w:before="0" w:after="0" w:line="240" w:lineRule="auto"/>
        <w:ind w:left="0" w:right="0"/>
        <w:jc w:val="right"/>
        <w:rPr>
          <w:rFonts w:hint="eastAsia" w:ascii="宋体" w:hAnsi="宋体" w:eastAsia="宋体" w:cs="宋体"/>
          <w:color w:val="auto"/>
          <w:kern w:val="0"/>
          <w:sz w:val="20"/>
          <w:szCs w:val="20"/>
          <w:lang w:val="en-US" w:bidi="zh-CN"/>
        </w:rPr>
      </w:pPr>
      <w:r>
        <w:rPr>
          <w:rFonts w:hint="eastAsia" w:ascii="宋体" w:hAnsi="宋体" w:eastAsia="宋体" w:cs="宋体"/>
          <w:color w:val="auto"/>
          <w:kern w:val="0"/>
          <w:sz w:val="21"/>
          <w:szCs w:val="21"/>
          <w:lang w:val="en-US" w:eastAsia="zh-CN" w:bidi="zh-CN"/>
        </w:rPr>
        <w:t xml:space="preserve">2022年05月17日           </w:t>
      </w:r>
    </w:p>
    <w:p>
      <w:pPr>
        <w:autoSpaceDE/>
        <w:autoSpaceDN/>
        <w:spacing w:before="0" w:after="0" w:line="240" w:lineRule="auto"/>
        <w:ind w:left="0" w:right="0"/>
        <w:jc w:val="both"/>
        <w:rPr>
          <w:rFonts w:ascii="Calibri" w:hAnsi="Calibri" w:cs="Times New Roman"/>
          <w:kern w:val="2"/>
          <w:sz w:val="21"/>
          <w:szCs w:val="24"/>
          <w:lang w:val="en-US" w:bidi="ar-SA"/>
        </w:rPr>
      </w:pP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tabs>
          <w:tab w:val="left" w:pos="1163"/>
        </w:tabs>
        <w:ind w:right="125"/>
        <w:outlineLvl w:val="0"/>
        <w:rPr>
          <w:rFonts w:hint="eastAsia" w:ascii="宋体" w:hAnsi="宋体" w:eastAsia="宋体" w:cs="宋体"/>
          <w:color w:val="auto"/>
          <w:spacing w:val="0"/>
          <w:w w:val="100"/>
          <w:position w:val="0"/>
          <w:sz w:val="32"/>
          <w:szCs w:val="32"/>
          <w:highlight w:val="none"/>
        </w:rPr>
      </w:pPr>
      <w:bookmarkStart w:id="2" w:name="_Toc15432"/>
      <w:r>
        <w:rPr>
          <w:rFonts w:hint="eastAsia" w:ascii="宋体" w:hAnsi="宋体" w:eastAsia="宋体" w:cs="宋体"/>
          <w:color w:val="auto"/>
          <w:spacing w:val="0"/>
          <w:w w:val="100"/>
          <w:position w:val="0"/>
          <w:sz w:val="32"/>
          <w:szCs w:val="32"/>
          <w:highlight w:val="none"/>
        </w:rPr>
        <w:t>第二章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投标人须知前附表和投标人须知</w:t>
      </w:r>
      <w:bookmarkEnd w:id="2"/>
    </w:p>
    <w:p>
      <w:pPr>
        <w:pStyle w:val="4"/>
        <w:spacing w:before="239"/>
        <w:ind w:right="119"/>
        <w:outlineLvl w:val="1"/>
        <w:rPr>
          <w:rFonts w:hint="eastAsia" w:ascii="宋体" w:hAnsi="宋体" w:eastAsia="宋体" w:cs="宋体"/>
          <w:color w:val="auto"/>
          <w:spacing w:val="0"/>
          <w:w w:val="100"/>
          <w:position w:val="0"/>
          <w:sz w:val="28"/>
          <w:szCs w:val="28"/>
          <w:highlight w:val="none"/>
        </w:rPr>
      </w:pPr>
      <w:bookmarkStart w:id="3" w:name="_Toc23090"/>
      <w:r>
        <w:rPr>
          <w:rFonts w:hint="eastAsia" w:ascii="宋体" w:hAnsi="宋体" w:eastAsia="宋体" w:cs="宋体"/>
          <w:color w:val="auto"/>
          <w:spacing w:val="0"/>
          <w:w w:val="100"/>
          <w:position w:val="0"/>
          <w:sz w:val="28"/>
          <w:szCs w:val="28"/>
          <w:highlight w:val="none"/>
        </w:rPr>
        <w:t>投标人须知前附表</w:t>
      </w:r>
      <w:bookmarkEnd w:id="3"/>
    </w:p>
    <w:p>
      <w:pPr>
        <w:pStyle w:val="12"/>
        <w:spacing w:before="215" w:line="302" w:lineRule="auto"/>
        <w:ind w:left="228" w:right="341" w:firstLine="4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投标人须知前附表是对投标人须知的具体说明、补充和修改，表格中的“对应条款号” 是对应投标人须知中的条款编号，如与投标人须知有矛盾，应以本表为准。</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915"/>
        <w:gridCol w:w="7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leftChars="0" w:right="0" w:rightChars="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序号及内容</w:t>
            </w:r>
          </w:p>
        </w:tc>
        <w:tc>
          <w:tcPr>
            <w:tcW w:w="915"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对应条款号</w:t>
            </w:r>
          </w:p>
        </w:tc>
        <w:tc>
          <w:tcPr>
            <w:tcW w:w="7593"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1.项目概述</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1.1</w:t>
            </w:r>
          </w:p>
        </w:tc>
        <w:tc>
          <w:tcPr>
            <w:tcW w:w="7593" w:type="dxa"/>
            <w:vAlign w:val="center"/>
          </w:tcPr>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1、项目名称：</w:t>
            </w:r>
            <w:r>
              <w:rPr>
                <w:rFonts w:hint="eastAsia"/>
                <w:color w:val="auto"/>
                <w:sz w:val="21"/>
                <w:szCs w:val="21"/>
                <w:lang w:val="zh-CN" w:eastAsia="zh-CN"/>
              </w:rPr>
              <w:t>自治区计量院第一批测量设备采购项目（一）</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2、项目编号：</w:t>
            </w:r>
            <w:r>
              <w:rPr>
                <w:rFonts w:hint="eastAsia"/>
                <w:color w:val="auto"/>
                <w:sz w:val="21"/>
                <w:szCs w:val="21"/>
                <w:lang w:val="zh-CN" w:eastAsia="zh-CN"/>
              </w:rPr>
              <w:t>Hhhx2208-Zjly001-1</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3、招标范围：本次</w:t>
            </w:r>
            <w:r>
              <w:rPr>
                <w:rFonts w:hint="eastAsia"/>
                <w:color w:val="auto"/>
                <w:sz w:val="21"/>
                <w:szCs w:val="21"/>
                <w:lang w:val="zh-CN" w:eastAsia="zh-CN"/>
              </w:rPr>
              <w:t>自治区计量院第一批测量设备采购项目（一）</w:t>
            </w:r>
            <w:r>
              <w:rPr>
                <w:rFonts w:hint="eastAsia"/>
                <w:color w:val="auto"/>
                <w:sz w:val="21"/>
                <w:szCs w:val="21"/>
                <w:lang w:val="en-US" w:eastAsia="zh-CN"/>
              </w:rPr>
              <w:t>，共5个包，具体详见采购清单：</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第五包：</w:t>
            </w:r>
            <w:r>
              <w:rPr>
                <w:rFonts w:hint="eastAsia"/>
                <w:color w:val="auto"/>
                <w:sz w:val="21"/>
                <w:szCs w:val="21"/>
                <w:lang w:val="zh-CN" w:eastAsia="zh-CN"/>
              </w:rPr>
              <w:t>标准量块、投影立式光学计、量块专用检具（块规夹子5个组）、双通道温度巡检仪、快速测温仪（恒温浴校准装置）、软热电偶、减压阀、真空泵、数字压力表、激光测距仪、金属探伤仪校准装置、数显标准测力仪、砝码、宽频分压器、感应分压器、程控射频开关、酸度计、在线浊度计、复合式气体检测报警器、材料烧结用高温炉、三相电能表现场校验仪、气相色谱仪(双FID+转化炉)</w:t>
            </w:r>
            <w:r>
              <w:rPr>
                <w:rFonts w:hint="eastAsia"/>
                <w:color w:val="auto"/>
                <w:sz w:val="21"/>
                <w:szCs w:val="21"/>
                <w:lang w:val="en-US" w:eastAsia="zh-CN"/>
              </w:rPr>
              <w:t>采购。</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4、项目地点：采购人指定地点</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5、招标方式：公开招标</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6、交货期：详见“采购需求”，送至采购人指定地点。</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7、</w:t>
            </w:r>
            <w:r>
              <w:rPr>
                <w:rFonts w:hint="eastAsia"/>
                <w:color w:val="auto"/>
                <w:sz w:val="21"/>
                <w:szCs w:val="21"/>
              </w:rPr>
              <w:t>资金来源及比例</w:t>
            </w:r>
            <w:r>
              <w:rPr>
                <w:rFonts w:hint="eastAsia"/>
                <w:color w:val="auto"/>
                <w:sz w:val="21"/>
                <w:szCs w:val="21"/>
                <w:lang w:eastAsia="zh-CN"/>
              </w:rPr>
              <w:t>：</w:t>
            </w:r>
            <w:r>
              <w:rPr>
                <w:rFonts w:hint="eastAsia"/>
                <w:color w:val="auto"/>
                <w:sz w:val="21"/>
                <w:szCs w:val="21"/>
                <w:lang w:val="en-US" w:eastAsia="zh-CN"/>
              </w:rPr>
              <w:t>自筹</w:t>
            </w:r>
            <w:r>
              <w:rPr>
                <w:rFonts w:hint="eastAsia"/>
                <w:color w:val="auto"/>
                <w:sz w:val="21"/>
                <w:szCs w:val="21"/>
                <w:lang w:eastAsia="zh-CN"/>
              </w:rPr>
              <w:t>资金</w:t>
            </w:r>
            <w:r>
              <w:rPr>
                <w:rFonts w:hint="eastAsia"/>
                <w:color w:val="auto"/>
                <w:sz w:val="21"/>
                <w:szCs w:val="21"/>
              </w:rPr>
              <w:t>100%</w:t>
            </w:r>
            <w:r>
              <w:rPr>
                <w:rFonts w:hint="eastAsia"/>
                <w:color w:val="auto"/>
                <w:sz w:val="21"/>
                <w:szCs w:val="21"/>
                <w:lang w:eastAsia="zh-CN"/>
              </w:rPr>
              <w:t>。</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8、资金落实情况：已落实</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9、采购人</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名称：新疆维吾尔自治区计量测试研究院</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地址：乌鲁木齐市河北东路188号</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联系人：张波</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电话：0991-3191512</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10、采购代理机构</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名称：新疆华恒惠欣工程项目管理有限责任公司</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地址：乌鲁木齐市经济技术开发区上海路浦东街三号</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联系人：冯工</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电话：18016893069</w:t>
            </w:r>
          </w:p>
          <w:p>
            <w:pPr>
              <w:pStyle w:val="2"/>
              <w:ind w:left="0" w:leftChars="0" w:firstLine="0" w:firstLineChars="0"/>
              <w:rPr>
                <w:rFonts w:hint="eastAsia"/>
                <w:color w:val="auto"/>
                <w:sz w:val="21"/>
                <w:szCs w:val="21"/>
                <w:lang w:val="en-US" w:eastAsia="zh-CN"/>
              </w:rPr>
            </w:pPr>
            <w:r>
              <w:rPr>
                <w:rFonts w:hint="eastAsia"/>
                <w:color w:val="auto"/>
                <w:sz w:val="21"/>
                <w:szCs w:val="21"/>
                <w:lang w:val="en-US" w:eastAsia="zh-CN"/>
              </w:rPr>
              <w:t>11.监督：</w:t>
            </w:r>
          </w:p>
          <w:p>
            <w:pPr>
              <w:pStyle w:val="2"/>
              <w:ind w:left="0" w:leftChars="0" w:firstLine="0" w:firstLineChars="0"/>
              <w:rPr>
                <w:rFonts w:hint="eastAsia"/>
                <w:color w:val="auto"/>
                <w:sz w:val="21"/>
                <w:szCs w:val="21"/>
                <w:lang w:val="en-US" w:eastAsia="zh-CN"/>
              </w:rPr>
            </w:pPr>
            <w:r>
              <w:rPr>
                <w:rFonts w:hint="eastAsia"/>
                <w:color w:val="auto"/>
                <w:sz w:val="21"/>
                <w:szCs w:val="21"/>
                <w:lang w:val="en-US" w:eastAsia="zh-CN"/>
              </w:rPr>
              <w:t>监    督：驻新疆维吾尔自治区市场监督管理局纪检组</w:t>
            </w:r>
          </w:p>
          <w:p>
            <w:pPr>
              <w:pStyle w:val="2"/>
              <w:ind w:left="0" w:leftChars="0" w:firstLine="0" w:firstLineChars="0"/>
              <w:rPr>
                <w:rFonts w:hint="eastAsia"/>
                <w:color w:val="auto"/>
                <w:lang w:val="en-US" w:eastAsia="zh-CN"/>
              </w:rPr>
            </w:pPr>
            <w:r>
              <w:rPr>
                <w:rFonts w:hint="eastAsia"/>
                <w:color w:val="auto"/>
                <w:sz w:val="21"/>
                <w:szCs w:val="21"/>
                <w:lang w:val="en-US" w:eastAsia="zh-CN"/>
              </w:rPr>
              <w:t>监督电话：0991-2841556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2.采购项目的属性</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3.采购标的对应的中小企业划分标准所属行业</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1.3</w:t>
            </w:r>
          </w:p>
        </w:tc>
        <w:tc>
          <w:tcPr>
            <w:tcW w:w="7593" w:type="dxa"/>
            <w:vAlign w:val="center"/>
          </w:tcPr>
          <w:p>
            <w:pPr>
              <w:shd w:val="clear"/>
              <w:spacing w:before="0" w:after="0" w:line="240" w:lineRule="auto"/>
              <w:ind w:left="0" w:right="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Cs/>
                <w:color w:val="auto"/>
                <w:sz w:val="21"/>
                <w:szCs w:val="21"/>
                <w:highlight w:val="none"/>
                <w:shd w:val="clear" w:color="auto" w:fill="auto"/>
                <w:lang w:val="en-US" w:eastAsia="zh-CN"/>
              </w:rPr>
              <w:t>依据《关于印发中小企业划型标准规定的通知》（工信部联企业〔2011〕300 号），本项目采购标的所属行业为：</w:t>
            </w:r>
            <w:r>
              <w:rPr>
                <w:rFonts w:hint="eastAsia" w:cs="宋体"/>
                <w:color w:val="auto"/>
                <w:spacing w:val="0"/>
                <w:w w:val="100"/>
                <w:kern w:val="0"/>
                <w:position w:val="0"/>
                <w:sz w:val="21"/>
                <w:szCs w:val="21"/>
                <w:highlight w:val="none"/>
                <w:lang w:val="en-US" w:eastAsia="zh-CN" w:bidi="ar"/>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4.投标人资格要求</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1、满足《中华人民共和国政府采购法》第二十二条的规定，包括：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（1）具有独立承担民事责任的能力；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（2）具有良好的商业信誉和健全的财务会计制度；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（3）具有履行合同所必需的设备和专业技术能力；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（4）有依法缴纳税收和社会保障资金的良好记录；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（5）参加此采购活动前三年内，在经营活动中没有重大违法记录；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（6）法律、行政法规规定的其他条件。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2、落实政府采购政策需满足的资格要求：</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（1）采购政策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政府采购应当优先采购本国货物、工程和服务，并执行节能产品、环境标志产品、中小企业、残疾人福利性单位、监狱企业、商品外包装等适宜本项目的政府采购政策。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（2）政策依据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1）财政部、国家发展改革委、生态环境部、市场监管总局《关于调整优化节能产品、环境标志产品政府采购执行机制的通知》（财库[2019]9号文）；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2）财政部、生态环境部《关于印发环境标志产品政府采购品目清单的通知》（财库[2019]18号文）；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3）财政部、发展改革委《关于印发节能产品政府采购品目清单的通知》（财库[2019]19号文）；</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4）市场监管总局《市场监管总局关于发布参与实施政府采购节能产品、环境标志产品认证机构名录的公告》（2019年第16号）；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5）财政部、工业和信息化部《关于印发《政府采购促进中小企业发展管理办法》的通知》（财库〔2020〕46号）；</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6）财政部、民政部、中国残疾人联合会《关于促进残疾人就业政府采购政策的通知》（财库[2017]141号）；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7）财政部、司法部《关于政府采购支持监狱企业发展有关问题的通知》（财库[2014]68号文）；</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8）财政部、生态环境部、国家邮政局《关于印发《商品包装政府采购需求标准（试行）》、 《快递包装政府采购需求标准（试行）》的通知》（财办库〔2020〕123号）。</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zh-CN" w:bidi="zh-CN"/>
              </w:rPr>
            </w:pPr>
            <w:r>
              <w:rPr>
                <w:rFonts w:hint="eastAsia" w:ascii="宋体" w:hAnsi="宋体" w:eastAsia="宋体" w:cs="宋体"/>
                <w:color w:val="auto"/>
                <w:spacing w:val="0"/>
                <w:w w:val="100"/>
                <w:kern w:val="0"/>
                <w:position w:val="0"/>
                <w:sz w:val="21"/>
                <w:szCs w:val="21"/>
                <w:highlight w:val="none"/>
                <w:lang w:val="en-US" w:eastAsia="zh-CN" w:bidi="ar"/>
              </w:rPr>
              <w:t xml:space="preserve">3、本项目的特定资格要求： </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1</w:t>
            </w:r>
            <w:r>
              <w:rPr>
                <w:rFonts w:hint="eastAsia" w:ascii="宋体" w:hAnsi="宋体" w:eastAsia="宋体" w:cs="宋体"/>
                <w:color w:val="auto"/>
                <w:kern w:val="0"/>
                <w:sz w:val="21"/>
                <w:szCs w:val="21"/>
                <w:highlight w:val="none"/>
                <w:lang w:val="zh-CN" w:eastAsia="zh-CN" w:bidi="zh-CN"/>
              </w:rPr>
              <w:t>）有效的工商营业执照、税务登记证、组织机构代码证或“三证合一”的营业执照或当地公证处出具的此资质的公证书；</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2</w:t>
            </w: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投标人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投标人需提供相关证明资料）；</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3</w:t>
            </w:r>
            <w:r>
              <w:rPr>
                <w:rFonts w:hint="eastAsia" w:ascii="宋体" w:hAnsi="宋体" w:eastAsia="宋体" w:cs="宋体"/>
                <w:color w:val="auto"/>
                <w:kern w:val="0"/>
                <w:sz w:val="21"/>
                <w:szCs w:val="21"/>
                <w:highlight w:val="none"/>
                <w:lang w:val="zh-CN" w:eastAsia="zh-CN" w:bidi="zh-CN"/>
              </w:rPr>
              <w:t>）单位负责人为同一人或者存在直接控股、管理关系的不同投标人，不得参加同一合同项下的政府采购活动；</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4</w:t>
            </w:r>
            <w:r>
              <w:rPr>
                <w:rFonts w:hint="eastAsia" w:ascii="宋体" w:hAnsi="宋体" w:eastAsia="宋体" w:cs="宋体"/>
                <w:color w:val="auto"/>
                <w:kern w:val="0"/>
                <w:sz w:val="21"/>
                <w:szCs w:val="21"/>
                <w:highlight w:val="none"/>
                <w:lang w:val="zh-CN" w:eastAsia="zh-CN" w:bidi="zh-CN"/>
              </w:rPr>
              <w:t>）本项目不接受进口产品投标。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5.对联合体投标的具体要求</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3.3</w:t>
            </w:r>
          </w:p>
        </w:tc>
        <w:tc>
          <w:tcPr>
            <w:tcW w:w="7593" w:type="dxa"/>
            <w:vAlign w:val="center"/>
          </w:tcPr>
          <w:p>
            <w:pPr>
              <w:keepNext w:val="0"/>
              <w:keepLines w:val="0"/>
              <w:widowControl/>
              <w:suppressLineNumbers w:val="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接受</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不接受</w:t>
            </w:r>
          </w:p>
          <w:p>
            <w:pPr>
              <w:keepNext w:val="0"/>
              <w:keepLines w:val="0"/>
              <w:widowControl/>
              <w:suppressLineNumbers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对联合体各方的要求：无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6.是否允许采购进口产品</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4.1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本项目</w:t>
            </w:r>
            <w:r>
              <w:rPr>
                <w:rFonts w:hint="eastAsia" w:ascii="宋体" w:hAnsi="宋体" w:eastAsia="宋体" w:cs="宋体"/>
                <w:b/>
                <w:color w:val="auto"/>
                <w:spacing w:val="0"/>
                <w:w w:val="100"/>
                <w:kern w:val="0"/>
                <w:position w:val="0"/>
                <w:sz w:val="21"/>
                <w:szCs w:val="21"/>
                <w:highlight w:val="none"/>
                <w:lang w:val="en-US" w:eastAsia="zh-CN" w:bidi="ar"/>
              </w:rPr>
              <w:t>不允许</w:t>
            </w:r>
            <w:r>
              <w:rPr>
                <w:rFonts w:hint="eastAsia" w:ascii="宋体" w:hAnsi="宋体" w:eastAsia="宋体" w:cs="宋体"/>
                <w:color w:val="auto"/>
                <w:spacing w:val="0"/>
                <w:w w:val="100"/>
                <w:kern w:val="0"/>
                <w:position w:val="0"/>
                <w:sz w:val="21"/>
                <w:szCs w:val="21"/>
                <w:highlight w:val="none"/>
                <w:lang w:val="en-US" w:eastAsia="zh-CN" w:bidi="ar"/>
              </w:rPr>
              <w:t>进口产品投标。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二、招标文件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7.现场踏勘</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9.3</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不组织</w:t>
            </w:r>
          </w:p>
          <w:p>
            <w:pPr>
              <w:widowControl w:val="0"/>
              <w:autoSpaceDE w:val="0"/>
              <w:autoSpaceDN w:val="0"/>
              <w:adjustRightInd w:val="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组织</w:t>
            </w:r>
          </w:p>
          <w:p>
            <w:pPr>
              <w:widowControl/>
              <w:rPr>
                <w:rFonts w:hint="eastAsia" w:ascii="宋体" w:hAnsi="宋体" w:eastAsia="宋体" w:cs="宋体"/>
                <w:color w:val="auto"/>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现场踏勘</w:t>
            </w:r>
            <w:r>
              <w:rPr>
                <w:rFonts w:hint="eastAsia" w:ascii="宋体" w:hAnsi="宋体" w:eastAsia="宋体" w:cs="宋体"/>
                <w:color w:val="auto"/>
                <w:sz w:val="21"/>
                <w:szCs w:val="21"/>
                <w:highlight w:val="none"/>
              </w:rPr>
              <w:t>时间：/</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现场踏勘</w:t>
            </w:r>
            <w:r>
              <w:rPr>
                <w:rFonts w:hint="eastAsia" w:ascii="宋体" w:hAnsi="宋体" w:eastAsia="宋体" w:cs="宋体"/>
                <w:color w:val="auto"/>
                <w:sz w:val="21"/>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8.标前会</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9.4</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不召开</w:t>
            </w:r>
          </w:p>
          <w:p>
            <w:pPr>
              <w:widowControl w:val="0"/>
              <w:autoSpaceDE w:val="0"/>
              <w:autoSpaceDN w:val="0"/>
              <w:adjustRightInd w:val="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召开</w:t>
            </w:r>
          </w:p>
          <w:p>
            <w:pPr>
              <w:widowControl/>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召开开标前答疑会时间：/</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rPr>
              <w:t>召开开标前答疑会地点：/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9</w:t>
            </w:r>
            <w:r>
              <w:rPr>
                <w:rFonts w:hint="eastAsia" w:ascii="宋体" w:hAnsi="宋体" w:eastAsia="宋体" w:cs="宋体"/>
                <w:color w:val="auto"/>
                <w:sz w:val="21"/>
                <w:szCs w:val="21"/>
                <w:highlight w:val="none"/>
              </w:rPr>
              <w:t>支持中小企业发展</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Align w:val="center"/>
          </w:tcPr>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1.是否为专门面向中小企业采购：否</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2.是否为本项目面向中小企业采购预留份额：</w:t>
            </w:r>
            <w:r>
              <w:rPr>
                <w:rFonts w:hint="eastAsia" w:cs="宋体"/>
                <w:color w:val="auto"/>
                <w:kern w:val="2"/>
                <w:sz w:val="21"/>
                <w:szCs w:val="21"/>
                <w:highlight w:val="none"/>
                <w:lang w:val="en-US" w:eastAsia="zh-CN" w:bidi="ar-SA"/>
              </w:rPr>
              <w:t>是，第四包为中小企业预览份额。</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3.符合要求的中小型和微型企业扣除比例：</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对符合规定的小微企业报价给予 6%—10%（工程项目为 3%—5%）的扣除，用扣除后的价格参与评标，本项目具体扣除比例为6%。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政府采购支持中小企业融资</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Merge w:val="restart"/>
            <w:vAlign w:val="center"/>
          </w:tcPr>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中小企业在融资、投标保证、履约保证等方面有需求的，可查询当地政府采购管理部门相关政策，通过专业化的担保途径解决。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政府采购信用担保</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Merge w:val="continue"/>
            <w:vAlign w:val="center"/>
          </w:tcPr>
          <w:p>
            <w:pPr>
              <w:keepNext w:val="0"/>
              <w:keepLines w:val="0"/>
              <w:widowControl/>
              <w:suppressLineNumbers w:val="0"/>
              <w:jc w:val="left"/>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政府采购促进残疾人就业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政府采购支持监狱企业发展</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Align w:val="center"/>
          </w:tcPr>
          <w:p>
            <w:pPr>
              <w:numPr>
                <w:ilvl w:val="0"/>
                <w:numId w:val="0"/>
              </w:numPr>
              <w:spacing w:line="300" w:lineRule="exact"/>
              <w:ind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符合条件的残疾人福利性单位在参加政府采购活动时，应当提供规定的《残疾人福利性单位声明函》（见附件），并对声明的真实性负责。任何单位或者个人在政府采购活动中均不得要求残疾人福利性单位提供其他证明声明函内容的材料。残疾人福利性单位视同小型、微型企业，享受评标中价格扣除等促进中小企业发展的政府采购政策。</w:t>
            </w:r>
            <w:r>
              <w:rPr>
                <w:rFonts w:hint="eastAsia" w:ascii="宋体" w:hAnsi="宋体" w:eastAsia="宋体" w:cs="宋体"/>
                <w:b/>
                <w:bCs/>
                <w:color w:val="auto"/>
                <w:kern w:val="2"/>
                <w:sz w:val="21"/>
                <w:szCs w:val="21"/>
                <w:highlight w:val="none"/>
                <w:lang w:val="en-US" w:eastAsia="zh-CN" w:bidi="ar-SA"/>
              </w:rPr>
              <w:t>本项目具体扣除比例为6%。</w:t>
            </w:r>
          </w:p>
          <w:p>
            <w:pPr>
              <w:pStyle w:val="23"/>
              <w:numPr>
                <w:ilvl w:val="0"/>
                <w:numId w:val="0"/>
              </w:numPr>
              <w:ind w:right="0" w:rightChars="0"/>
              <w:rPr>
                <w:rFonts w:hint="eastAsia" w:ascii="宋体" w:hAnsi="宋体" w:eastAsia="宋体" w:cs="宋体"/>
                <w:color w:val="auto"/>
                <w:sz w:val="21"/>
                <w:szCs w:val="21"/>
                <w:highlight w:val="none"/>
              </w:rPr>
            </w:pPr>
            <w:r>
              <w:rPr>
                <w:rFonts w:hint="eastAsia" w:ascii="宋体" w:hAnsi="宋体" w:eastAsia="宋体" w:cs="宋体"/>
                <w:snapToGrid/>
                <w:color w:val="auto"/>
                <w:sz w:val="21"/>
                <w:szCs w:val="21"/>
                <w:highlight w:val="none"/>
                <w:lang w:val="en-US" w:eastAsia="zh-CN"/>
              </w:rPr>
              <w:t>2.</w:t>
            </w:r>
            <w:r>
              <w:rPr>
                <w:rFonts w:hint="eastAsia" w:ascii="宋体" w:hAnsi="宋体" w:eastAsia="宋体" w:cs="宋体"/>
                <w:snapToGrid/>
                <w:color w:val="auto"/>
                <w:sz w:val="21"/>
                <w:szCs w:val="21"/>
                <w:highlight w:val="none"/>
              </w:rPr>
              <w:t>根据财政部、司法部印发的《关于政府采购支持监狱企业发展有关问题的通知》</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财库〔2014〕68号</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文件规定，凡监狱企业参加政府采购活动视同小型、微型企业，享受评审价格扣除的政府采购优惠政策。</w:t>
            </w:r>
            <w:r>
              <w:rPr>
                <w:rFonts w:hint="eastAsia" w:ascii="宋体" w:hAnsi="宋体" w:eastAsia="宋体" w:cs="宋体"/>
                <w:b/>
                <w:bCs/>
                <w:color w:val="auto"/>
                <w:kern w:val="0"/>
                <w:sz w:val="21"/>
                <w:szCs w:val="21"/>
                <w:highlight w:val="none"/>
              </w:rPr>
              <w:t>本项目具体扣除比例为6%</w:t>
            </w:r>
            <w:r>
              <w:rPr>
                <w:rFonts w:hint="eastAsia" w:ascii="宋体" w:hAnsi="宋体" w:eastAsia="宋体" w:cs="宋体"/>
                <w:snapToGrid/>
                <w:color w:val="auto"/>
                <w:sz w:val="21"/>
                <w:szCs w:val="21"/>
                <w:highlight w:val="none"/>
              </w:rPr>
              <w:t>，但必须提供由省级以上监狱管理局、戒毒管理局</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含新疆生产建设兵团</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出具的属于监狱企业的证明文件，否则评审时不予价格扣除优惠。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三、投标文件的编制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13.资格、资信证明部分构成</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b/>
                <w:color w:val="auto"/>
                <w:spacing w:val="0"/>
                <w:w w:val="100"/>
                <w:kern w:val="0"/>
                <w:position w:val="0"/>
                <w:sz w:val="21"/>
                <w:szCs w:val="21"/>
                <w:highlight w:val="none"/>
                <w:lang w:val="en-US" w:eastAsia="zh-CN" w:bidi="ar"/>
              </w:rPr>
              <w:t>基本资格、资信证明文件：</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（1）法人或者其他组织的有效营业执照等证明文件，</w:t>
            </w:r>
            <w:r>
              <w:rPr>
                <w:rFonts w:hint="eastAsia" w:ascii="宋体" w:hAnsi="宋体" w:eastAsia="宋体" w:cs="宋体"/>
                <w:b/>
                <w:bCs/>
                <w:color w:val="auto"/>
                <w:spacing w:val="0"/>
                <w:w w:val="100"/>
                <w:kern w:val="0"/>
                <w:position w:val="0"/>
                <w:sz w:val="21"/>
                <w:szCs w:val="21"/>
                <w:highlight w:val="none"/>
                <w:lang w:val="en-US" w:eastAsia="zh-CN" w:bidi="ar"/>
              </w:rPr>
              <w:t>其中：</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投标人是企业（包括合伙企业）的，应提供其在工商部门注册的有效“营业执照”复印件；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投标人是事业单位的，应提供其有效的“事业单位法人证书”复印件；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投标人是非企业专业服务机构的，应提供其有效的“执业许可证”复印件；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投标人是民办非企业单位的，应提供其有效的登记证书复印件；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投标人是个体工商户的，应提供其有效的“营业执照”复印件；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投标人是自然人的，应提供其有效的自然人身份证明复印件；</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（2）财务状况报告：</w:t>
            </w:r>
          </w:p>
          <w:p>
            <w:pPr>
              <w:keepNext w:val="0"/>
              <w:keepLines w:val="0"/>
              <w:widowControl/>
              <w:numPr>
                <w:ilvl w:val="0"/>
                <w:numId w:val="0"/>
              </w:numPr>
              <w:suppressLineNumbers w:val="0"/>
              <w:autoSpaceDE/>
              <w:autoSpaceDN/>
              <w:spacing w:before="0" w:after="0" w:line="240" w:lineRule="auto"/>
              <w:ind w:left="0" w:leftChars="0" w:right="0" w:rightChars="0" w:firstLine="420" w:firstLineChars="20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近一年由会计师事务所出具财务审计报告或提供由开标日前三个月内投标人开户银行出具的资信证明；新成立公司提供银行出具的有效期内的资信证明；其他组织和自然人，没有经审计的财务报告，提供银行出具的资信证明；或者投标人财务状况的承诺函。</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（3）依法缴纳税收的相关材料：</w:t>
            </w:r>
          </w:p>
          <w:p>
            <w:pPr>
              <w:keepNext w:val="0"/>
              <w:keepLines w:val="0"/>
              <w:widowControl/>
              <w:numPr>
                <w:ilvl w:val="0"/>
                <w:numId w:val="0"/>
              </w:numPr>
              <w:suppressLineNumbers w:val="0"/>
              <w:autoSpaceDE/>
              <w:autoSpaceDN/>
              <w:spacing w:before="0" w:after="0" w:line="240" w:lineRule="auto"/>
              <w:ind w:left="0" w:right="0" w:rightChars="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w:t>
            </w:r>
          </w:p>
          <w:p>
            <w:pPr>
              <w:keepNext w:val="0"/>
              <w:keepLines w:val="0"/>
              <w:widowControl/>
              <w:suppressLineNumbers w:val="0"/>
              <w:autoSpaceDE/>
              <w:autoSpaceDN/>
              <w:spacing w:before="0" w:after="0" w:line="240" w:lineRule="auto"/>
              <w:ind w:left="0" w:right="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缴纳凭证复印件须清晰可辨，并能显示出税种种类，单位代扣代缴的个人所得税不能作为单位纳税的凭证；</w:t>
            </w:r>
          </w:p>
          <w:p>
            <w:pPr>
              <w:keepNext w:val="0"/>
              <w:keepLines w:val="0"/>
              <w:widowControl/>
              <w:suppressLineNumbers w:val="0"/>
              <w:autoSpaceDE/>
              <w:autoSpaceDN/>
              <w:spacing w:before="0" w:after="0" w:line="240" w:lineRule="auto"/>
              <w:ind w:left="0" w:right="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依法免税的投标人，应提供相应文件证明其依法免税；</w:t>
            </w:r>
          </w:p>
          <w:p>
            <w:pPr>
              <w:keepNext w:val="0"/>
              <w:keepLines w:val="0"/>
              <w:widowControl/>
              <w:numPr>
                <w:ilvl w:val="0"/>
                <w:numId w:val="0"/>
              </w:numPr>
              <w:suppressLineNumbers w:val="0"/>
              <w:autoSpaceDE/>
              <w:autoSpaceDN/>
              <w:spacing w:before="0" w:after="0" w:line="240" w:lineRule="auto"/>
              <w:ind w:left="0" w:right="0" w:rightChars="0" w:firstLine="420" w:firstLineChars="2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或者依法缴纳税收的承诺函。</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（4）依法缴纳社会保障资金的相关材料：</w:t>
            </w:r>
          </w:p>
          <w:p>
            <w:pPr>
              <w:keepNext w:val="0"/>
              <w:keepLines w:val="0"/>
              <w:widowControl/>
              <w:numPr>
                <w:ilvl w:val="0"/>
                <w:numId w:val="0"/>
              </w:numPr>
              <w:suppressLineNumbers w:val="0"/>
              <w:autoSpaceDE/>
              <w:autoSpaceDN/>
              <w:spacing w:before="0" w:after="0" w:line="240" w:lineRule="auto"/>
              <w:ind w:left="0" w:leftChars="0" w:right="0" w:firstLine="420" w:firstLineChars="2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或者投标人依法缴纳社会保障资金的承诺函。</w:t>
            </w:r>
          </w:p>
          <w:p>
            <w:pPr>
              <w:keepNext w:val="0"/>
              <w:keepLines w:val="0"/>
              <w:widowControl/>
              <w:numPr>
                <w:ilvl w:val="0"/>
                <w:numId w:val="0"/>
              </w:numPr>
              <w:suppressLineNumbers w:val="0"/>
              <w:autoSpaceDE/>
              <w:autoSpaceDN/>
              <w:spacing w:before="0" w:after="0" w:line="240" w:lineRule="auto"/>
              <w:ind w:left="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（5）具备履行合同所必需的设备和专业技术能力的说明函</w:t>
            </w:r>
            <w:r>
              <w:rPr>
                <w:rFonts w:hint="eastAsia" w:ascii="宋体" w:hAnsi="宋体" w:eastAsia="宋体" w:cs="宋体"/>
                <w:color w:val="auto"/>
                <w:spacing w:val="0"/>
                <w:w w:val="100"/>
                <w:kern w:val="0"/>
                <w:position w:val="0"/>
                <w:sz w:val="21"/>
                <w:szCs w:val="21"/>
                <w:highlight w:val="none"/>
                <w:lang w:val="en-US" w:eastAsia="zh-CN" w:bidi="ar"/>
              </w:rPr>
              <w:t>（投标人自行出具，格式自拟，加盖公章）</w:t>
            </w:r>
          </w:p>
          <w:p>
            <w:pPr>
              <w:numPr>
                <w:ilvl w:val="0"/>
                <w:numId w:val="0"/>
              </w:numPr>
              <w:shd w:val="clear" w:color="auto" w:fill="auto"/>
              <w:autoSpaceDE/>
              <w:autoSpaceDN/>
              <w:spacing w:before="0" w:after="0" w:line="240" w:lineRule="auto"/>
              <w:ind w:left="0" w:right="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（6）信用查询</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after="0" w:line="240" w:lineRule="auto"/>
              <w:ind w:left="0" w:leftChars="0" w:right="0"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投标人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响应文件截止日当天核查结果为准，如相关失信记录已失效，投标人需提供相关证明资料）；</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（7）投标人须提供投标单位（投标人）参加政府采购活动前3年内在经营活动中没有重大违法记录的书面声明</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numPr>
                <w:ilvl w:val="0"/>
                <w:numId w:val="0"/>
              </w:numPr>
              <w:suppressLineNumbers w:val="0"/>
              <w:ind w:leftChars="0" w:right="0" w:rightChars="0"/>
              <w:jc w:val="left"/>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b/>
                <w:color w:val="auto"/>
                <w:spacing w:val="0"/>
                <w:w w:val="100"/>
                <w:kern w:val="0"/>
                <w:position w:val="0"/>
                <w:sz w:val="21"/>
                <w:szCs w:val="21"/>
                <w:highlight w:val="none"/>
                <w:lang w:val="en-US" w:eastAsia="zh-CN" w:bidi="ar"/>
              </w:rPr>
              <w:t>（8）投标人针对投标人限制行为的声明</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本表内所有内容未注明提供原件的，均可提供复印件。除以上内容外，其他投标文件纸质材料均应编入投标文件。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14.商务技术部分构成</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*1.投标函（格式见第六章附件 1）；</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*2.开标一览表（格式见第六章附件 2）；</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*3.投标分项报价表（格式见第六章附件 3）；</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*4.技术服务需求偏离表（格式见第六章附件 4）；</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*5.商务条款偏离表（格式见第六章附件 5）；</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*6.法定代表人授权书（格式见第六章附件 6） 或 法定代表人身份证明复印件（加注“*”的投标文件构成其他文件均由法定代表人在相应位置直接签署时，则无需提供法定代表人授权书，此情况下应提供法定代表人身份证明复印件）；</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*7.投标保证金承诺函（格式见第六章附件 7）；</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*8.代理服务费承诺函（格式见第六章附件 8）；</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9.投标人情况表（建议格式见第六章附件 9）；</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10.详细的技术服务响应方案（按照详细技术响应的相关要求编写）；</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11.第三章评标标准中提及的相关评审证明材料以及投标人认为需要提供的其他材料。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15.投标文件内容其他要求或注意事项</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1、货物及服务主要技术指标和性能的详细说明，应提供详细技术支持材料。技术支持材料形式为以下几种中的一种：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①第三方机构出具的检测报告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②投标产品制造商公开发布的印刷资料（或网页资料）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③产品技术手册/说明书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④产品制造商出具的技术参数承诺（加盖制造商公章）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⑤招标文件规定认可的其他形式。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投标人提供的多种技术支持材料内容出现矛盾的，按照从①至⑤的优先顺序进行认定（①为最优先）。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对照招标文件技术要求，说明所提供货物和服务已对采购人的技术要求逐项作出了明确响应，并申明与技术要求条文的偏差和例外。在填写技术服务需求偏离表时，对于可以用量化形式表示的条款，投标人应量化明确应答；对于非量化的条款投标人应以功能或性能描述应答，指出所提供的货物和服务是否满足，投标人应提供明确的说明文件及证明文件在投标文件中的页码索引，未提供索引或索引错误的后果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16.投标文件份数</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13.1</w:t>
            </w:r>
          </w:p>
        </w:tc>
        <w:tc>
          <w:tcPr>
            <w:tcW w:w="7593" w:type="dxa"/>
            <w:vAlign w:val="center"/>
          </w:tcPr>
          <w:p>
            <w:pPr>
              <w:keepNext w:val="0"/>
              <w:keepLines w:val="0"/>
              <w:widowControl/>
              <w:numPr>
                <w:ilvl w:val="0"/>
                <w:numId w:val="1"/>
              </w:numPr>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b/>
                <w:bCs/>
                <w:color w:val="auto"/>
                <w:spacing w:val="0"/>
                <w:w w:val="100"/>
                <w:kern w:val="0"/>
                <w:position w:val="0"/>
                <w:sz w:val="21"/>
                <w:szCs w:val="21"/>
                <w:highlight w:val="none"/>
                <w:lang w:val="en-US" w:eastAsia="zh-CN" w:bidi="ar"/>
              </w:rPr>
              <w:t>《投标文件》</w:t>
            </w:r>
            <w:r>
              <w:rPr>
                <w:rFonts w:hint="eastAsia" w:ascii="宋体" w:hAnsi="宋体" w:eastAsia="宋体" w:cs="宋体"/>
                <w:color w:val="auto"/>
                <w:spacing w:val="0"/>
                <w:w w:val="100"/>
                <w:kern w:val="0"/>
                <w:position w:val="0"/>
                <w:sz w:val="21"/>
                <w:szCs w:val="21"/>
                <w:highlight w:val="none"/>
                <w:lang w:val="en-US" w:eastAsia="zh-CN" w:bidi="ar"/>
              </w:rPr>
              <w:t>：正本1份，副本4份；</w:t>
            </w:r>
          </w:p>
          <w:p>
            <w:pPr>
              <w:pStyle w:val="23"/>
              <w:numPr>
                <w:ilvl w:val="0"/>
                <w:numId w:val="0"/>
              </w:numPr>
              <w:ind w:right="0" w:right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投标文件纸质正本及副本须在封面清楚地标明“正本”或“副本”，若投标文件有其他纸质组成部分或再分为多册装订等情况，则除了在封面清楚地标明“正本” 或“副本”外，还应尽量注明该纸质文件的内容（例如“上册”、“下册”、“图纸” 或“附件”等）。若投标文件副本与正本不符，以正本为准。电子版与纸制文件不符， 以纸制文件为准。</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w:t>
            </w:r>
            <w:r>
              <w:rPr>
                <w:rFonts w:hint="eastAsia" w:ascii="宋体" w:hAnsi="宋体" w:eastAsia="宋体" w:cs="宋体"/>
                <w:b/>
                <w:bCs/>
                <w:color w:val="auto"/>
                <w:spacing w:val="0"/>
                <w:w w:val="100"/>
                <w:kern w:val="0"/>
                <w:position w:val="0"/>
                <w:sz w:val="21"/>
                <w:szCs w:val="21"/>
                <w:highlight w:val="none"/>
                <w:lang w:val="en-US" w:eastAsia="zh-CN" w:bidi="ar"/>
              </w:rPr>
              <w:t>《电子文档》</w:t>
            </w:r>
            <w:r>
              <w:rPr>
                <w:rFonts w:hint="eastAsia" w:ascii="宋体" w:hAnsi="宋体" w:eastAsia="宋体" w:cs="宋体"/>
                <w:color w:val="auto"/>
                <w:spacing w:val="0"/>
                <w:w w:val="100"/>
                <w:kern w:val="0"/>
                <w:position w:val="0"/>
                <w:sz w:val="21"/>
                <w:szCs w:val="21"/>
                <w:highlight w:val="none"/>
                <w:lang w:val="en-US" w:eastAsia="zh-CN" w:bidi="ar"/>
              </w:rPr>
              <w:t>：1份（以U盘形式提供）</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投标文件电子版必须与纸质投标文件一致，内容必须包括：</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①投标文件所有页面的扫描件（含所有签字及盖章部分）电子版，为保证电子版不可编辑，格式必须为PDF或JPEG（电子版可以将签字盖章部分扫描后插入投标文件电子文档后以PDF或JPEG格式输出生成）。</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②投标报价明细表电子版，格式为Word或Excel。</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投标文件电子版要求包含投标文件全部内容，投标文件电子版与纸质版文件不一致时以纸质版文件为准。投标文件必须使用胶粘装订，如果出现拉杆或活页装订等活页装订将导致投标无效。</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w:t>
            </w:r>
            <w:r>
              <w:rPr>
                <w:rFonts w:hint="eastAsia" w:ascii="宋体" w:hAnsi="宋体" w:eastAsia="宋体" w:cs="宋体"/>
                <w:b/>
                <w:bCs/>
                <w:color w:val="auto"/>
                <w:spacing w:val="0"/>
                <w:w w:val="100"/>
                <w:kern w:val="0"/>
                <w:position w:val="0"/>
                <w:sz w:val="21"/>
                <w:szCs w:val="21"/>
                <w:highlight w:val="none"/>
                <w:lang w:val="en-US" w:eastAsia="zh-CN" w:bidi="ar"/>
              </w:rPr>
              <w:t>《开标一览表》</w:t>
            </w:r>
            <w:r>
              <w:rPr>
                <w:rFonts w:hint="eastAsia" w:ascii="宋体" w:hAnsi="宋体" w:eastAsia="宋体" w:cs="宋体"/>
                <w:color w:val="auto"/>
                <w:spacing w:val="0"/>
                <w:w w:val="100"/>
                <w:kern w:val="0"/>
                <w:position w:val="0"/>
                <w:sz w:val="21"/>
                <w:szCs w:val="21"/>
                <w:highlight w:val="none"/>
                <w:lang w:val="en-US" w:eastAsia="zh-CN" w:bidi="ar"/>
              </w:rPr>
              <w:t xml:space="preserve">：1 份（单独密封，应与《投标文件》中内容保持一致）；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4、</w:t>
            </w:r>
            <w:r>
              <w:rPr>
                <w:rFonts w:hint="eastAsia" w:ascii="宋体" w:hAnsi="宋体" w:eastAsia="宋体" w:cs="宋体"/>
                <w:b/>
                <w:bCs/>
                <w:color w:val="auto"/>
                <w:spacing w:val="0"/>
                <w:w w:val="100"/>
                <w:kern w:val="0"/>
                <w:position w:val="0"/>
                <w:sz w:val="21"/>
                <w:szCs w:val="21"/>
                <w:highlight w:val="none"/>
                <w:lang w:val="en-US" w:eastAsia="zh-CN" w:bidi="ar"/>
              </w:rPr>
              <w:t>《投标保证金缴纳凭证》</w:t>
            </w:r>
            <w:r>
              <w:rPr>
                <w:rFonts w:hint="eastAsia" w:ascii="宋体" w:hAnsi="宋体" w:eastAsia="宋体" w:cs="宋体"/>
                <w:color w:val="auto"/>
                <w:spacing w:val="0"/>
                <w:w w:val="100"/>
                <w:kern w:val="0"/>
                <w:position w:val="0"/>
                <w:sz w:val="21"/>
                <w:szCs w:val="21"/>
                <w:highlight w:val="none"/>
                <w:lang w:val="en-US" w:eastAsia="zh-CN" w:bidi="ar"/>
              </w:rPr>
              <w:t>（电汇时为电汇底单复印件）、</w:t>
            </w:r>
            <w:r>
              <w:rPr>
                <w:rFonts w:hint="eastAsia" w:ascii="宋体" w:hAnsi="宋体" w:eastAsia="宋体" w:cs="宋体"/>
                <w:b/>
                <w:bCs/>
                <w:color w:val="auto"/>
                <w:spacing w:val="0"/>
                <w:w w:val="100"/>
                <w:kern w:val="0"/>
                <w:position w:val="0"/>
                <w:sz w:val="21"/>
                <w:szCs w:val="21"/>
                <w:highlight w:val="none"/>
                <w:lang w:val="en-US" w:eastAsia="zh-CN" w:bidi="ar"/>
              </w:rPr>
              <w:t>《投标人开票信息表》、《退还保证金说明函》</w:t>
            </w:r>
            <w:r>
              <w:rPr>
                <w:rFonts w:hint="eastAsia" w:ascii="宋体" w:hAnsi="宋体" w:eastAsia="宋体" w:cs="宋体"/>
                <w:color w:val="auto"/>
                <w:spacing w:val="0"/>
                <w:w w:val="100"/>
                <w:kern w:val="0"/>
                <w:position w:val="0"/>
                <w:sz w:val="21"/>
                <w:szCs w:val="21"/>
                <w:highlight w:val="none"/>
                <w:lang w:val="en-US" w:eastAsia="zh-CN" w:bidi="ar"/>
              </w:rPr>
              <w:t>：各 1 份（三者一起包装，应与《投标文件》中内容保持一致）。</w:t>
            </w:r>
          </w:p>
          <w:p>
            <w:pPr>
              <w:keepNext w:val="0"/>
              <w:keepLines w:val="0"/>
              <w:widowControl/>
              <w:suppressLineNumbers w:val="0"/>
              <w:jc w:val="left"/>
              <w:rPr>
                <w:rFonts w:hint="eastAsia" w:ascii="宋体" w:hAnsi="宋体" w:eastAsia="宋体" w:cs="宋体"/>
                <w:color w:val="auto"/>
                <w:sz w:val="20"/>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5、投标文件的退还：</w:t>
            </w:r>
            <w:r>
              <w:rPr>
                <w:rFonts w:hint="eastAsia" w:ascii="宋体" w:hAnsi="宋体" w:eastAsia="宋体" w:cs="宋体"/>
                <w:b/>
                <w:bCs/>
                <w:color w:val="auto"/>
                <w:spacing w:val="0"/>
                <w:w w:val="100"/>
                <w:kern w:val="0"/>
                <w:position w:val="0"/>
                <w:sz w:val="21"/>
                <w:szCs w:val="21"/>
                <w:highlight w:val="none"/>
                <w:lang w:val="en-US" w:eastAsia="zh-CN" w:bidi="ar"/>
              </w:rPr>
              <w:t>所有响应招标文件要求合格投标人的投标文件正本一套、副本一套及随文件同时递交的图纸、U盘等附件不予退回，其余投标文件副本均予评标结束后退回。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restart"/>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17.投标报价</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开标一览表具体格式见“附件 2”</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报价方式：</w:t>
            </w:r>
            <w:r>
              <w:rPr>
                <w:rFonts w:hint="eastAsia" w:ascii="宋体" w:hAnsi="宋体" w:eastAsia="宋体" w:cs="宋体"/>
                <w:b/>
                <w:color w:val="auto"/>
                <w:spacing w:val="0"/>
                <w:w w:val="100"/>
                <w:kern w:val="0"/>
                <w:position w:val="0"/>
                <w:sz w:val="21"/>
                <w:szCs w:val="21"/>
                <w:highlight w:val="none"/>
                <w:lang w:val="en-US" w:eastAsia="zh-CN" w:bidi="ar"/>
              </w:rPr>
              <w:t>（货到）项目现场完税价。</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采购人就本合同约定内容将不再支付投标报价以外的费用。因投标发生的费用缺漏项将是投标人的风险，投标人将无条件给予补充完备，且投标价不变，否则其</w:t>
            </w:r>
            <w:r>
              <w:rPr>
                <w:rFonts w:hint="eastAsia" w:ascii="宋体" w:hAnsi="宋体" w:eastAsia="宋体" w:cs="宋体"/>
                <w:b/>
                <w:color w:val="auto"/>
                <w:spacing w:val="0"/>
                <w:w w:val="100"/>
                <w:kern w:val="0"/>
                <w:position w:val="0"/>
                <w:sz w:val="21"/>
                <w:szCs w:val="21"/>
                <w:highlight w:val="none"/>
                <w:lang w:val="en-US" w:eastAsia="zh-CN" w:bidi="ar"/>
              </w:rPr>
              <w:t>投标将被否决。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continue"/>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报价币种及单位：人民币元，币种及单位不符合该要求的投标将被否决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18.最高限价</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14.5</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最高限价（最高投标限价）：</w:t>
            </w:r>
            <w:r>
              <w:rPr>
                <w:rFonts w:hint="eastAsia" w:cs="宋体"/>
                <w:color w:val="auto"/>
                <w:spacing w:val="0"/>
                <w:w w:val="100"/>
                <w:kern w:val="0"/>
                <w:position w:val="0"/>
                <w:sz w:val="21"/>
                <w:szCs w:val="21"/>
                <w:highlight w:val="none"/>
                <w:lang w:val="en-US" w:eastAsia="zh-CN" w:bidi="ar"/>
              </w:rPr>
              <w:t>第五包</w:t>
            </w:r>
            <w:r>
              <w:rPr>
                <w:rFonts w:hint="eastAsia" w:ascii="宋体" w:hAnsi="宋体" w:eastAsia="宋体" w:cs="宋体"/>
                <w:color w:val="auto"/>
                <w:spacing w:val="0"/>
                <w:w w:val="100"/>
                <w:kern w:val="0"/>
                <w:position w:val="0"/>
                <w:sz w:val="21"/>
                <w:szCs w:val="21"/>
                <w:highlight w:val="none"/>
                <w:lang w:val="en-US" w:eastAsia="zh-CN" w:bidi="ar"/>
              </w:rPr>
              <w:t>：1025492</w:t>
            </w:r>
            <w:r>
              <w:rPr>
                <w:rFonts w:hint="eastAsia" w:ascii="宋体" w:hAnsi="宋体" w:eastAsia="宋体" w:cs="宋体"/>
                <w:color w:val="auto"/>
                <w:kern w:val="0"/>
                <w:sz w:val="21"/>
                <w:szCs w:val="21"/>
                <w:highlight w:val="none"/>
                <w:lang w:val="en-US" w:eastAsia="zh-CN" w:bidi="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19.投标有效期</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15.1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自投标截止时间之日起 60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20.投标保证金</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15.2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投标保证金金额：</w:t>
            </w:r>
            <w:r>
              <w:rPr>
                <w:rFonts w:hint="eastAsia" w:cs="宋体"/>
                <w:color w:val="auto"/>
                <w:spacing w:val="0"/>
                <w:w w:val="100"/>
                <w:kern w:val="0"/>
                <w:position w:val="0"/>
                <w:sz w:val="21"/>
                <w:szCs w:val="21"/>
                <w:highlight w:val="none"/>
                <w:lang w:val="en-US" w:eastAsia="zh-CN" w:bidi="ar"/>
              </w:rPr>
              <w:t>第五包</w:t>
            </w:r>
            <w:r>
              <w:rPr>
                <w:rFonts w:hint="eastAsia" w:ascii="宋体" w:hAnsi="宋体" w:eastAsia="宋体" w:cs="宋体"/>
                <w:color w:val="auto"/>
                <w:spacing w:val="0"/>
                <w:w w:val="100"/>
                <w:kern w:val="0"/>
                <w:position w:val="0"/>
                <w:sz w:val="21"/>
                <w:szCs w:val="21"/>
                <w:highlight w:val="none"/>
                <w:lang w:val="en-US" w:eastAsia="zh-CN" w:bidi="ar"/>
              </w:rPr>
              <w:t>：人民币 2</w:t>
            </w:r>
            <w:r>
              <w:rPr>
                <w:rFonts w:hint="eastAsia" w:cs="宋体"/>
                <w:color w:val="auto"/>
                <w:spacing w:val="0"/>
                <w:w w:val="100"/>
                <w:kern w:val="0"/>
                <w:position w:val="0"/>
                <w:sz w:val="21"/>
                <w:szCs w:val="21"/>
                <w:highlight w:val="none"/>
                <w:lang w:val="en-US" w:eastAsia="zh-CN" w:bidi="ar"/>
              </w:rPr>
              <w:t>0</w:t>
            </w:r>
            <w:r>
              <w:rPr>
                <w:rFonts w:hint="eastAsia" w:ascii="宋体" w:hAnsi="宋体" w:eastAsia="宋体" w:cs="宋体"/>
                <w:color w:val="auto"/>
                <w:spacing w:val="0"/>
                <w:w w:val="100"/>
                <w:kern w:val="0"/>
                <w:position w:val="0"/>
                <w:sz w:val="21"/>
                <w:szCs w:val="21"/>
                <w:highlight w:val="none"/>
                <w:lang w:val="en-US" w:eastAsia="zh-CN" w:bidi="ar"/>
              </w:rPr>
              <w:t>000 元（贰万元整）</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投标保证金形式：支票、汇票、本票、网上银行支付、金融机构或担保机构出具的保函等非现金形式</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提交截止时间：投标人应在提交首次响应文件截止时间前按采购文件规定的金额、形式等，将投标保证金交到保证金收款账户（采用电汇或网上银行支付的，须在提交首次响应文件截止时间前到账，并注明</w:t>
            </w:r>
            <w:r>
              <w:rPr>
                <w:rFonts w:hint="eastAsia" w:ascii="宋体" w:hAnsi="宋体" w:eastAsia="宋体" w:cs="宋体"/>
                <w:b/>
                <w:bCs/>
                <w:color w:val="auto"/>
                <w:spacing w:val="0"/>
                <w:w w:val="100"/>
                <w:kern w:val="0"/>
                <w:position w:val="0"/>
                <w:sz w:val="21"/>
                <w:szCs w:val="21"/>
                <w:highlight w:val="none"/>
                <w:lang w:val="en-US" w:eastAsia="zh-CN" w:bidi="ar"/>
              </w:rPr>
              <w:t>“交计量院第一批设备采购包</w:t>
            </w:r>
            <w:r>
              <w:rPr>
                <w:rFonts w:hint="eastAsia" w:cs="宋体"/>
                <w:b/>
                <w:bCs/>
                <w:color w:val="auto"/>
                <w:spacing w:val="0"/>
                <w:w w:val="100"/>
                <w:kern w:val="0"/>
                <w:position w:val="0"/>
                <w:sz w:val="21"/>
                <w:szCs w:val="21"/>
                <w:highlight w:val="none"/>
                <w:lang w:val="en-US" w:eastAsia="zh-CN" w:bidi="ar"/>
              </w:rPr>
              <w:t>5</w:t>
            </w:r>
            <w:r>
              <w:rPr>
                <w:rFonts w:hint="eastAsia" w:ascii="宋体" w:hAnsi="宋体" w:eastAsia="宋体" w:cs="宋体"/>
                <w:b/>
                <w:bCs/>
                <w:color w:val="auto"/>
                <w:spacing w:val="0"/>
                <w:w w:val="100"/>
                <w:kern w:val="0"/>
                <w:position w:val="0"/>
                <w:sz w:val="21"/>
                <w:szCs w:val="21"/>
                <w:highlight w:val="none"/>
                <w:lang w:val="en-US" w:eastAsia="zh-CN" w:bidi="ar"/>
              </w:rPr>
              <w:t>投标保证金”</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投标保证金银行账号：</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开户名称：新疆华恒惠欣工程项目管理有限责任公司</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账号：632815927</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开户银行：中国民生银行乌鲁木齐分行营业部</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行号：305881088014</w:t>
            </w:r>
          </w:p>
          <w:p>
            <w:pPr>
              <w:keepNext w:val="0"/>
              <w:keepLines w:val="0"/>
              <w:widowControl/>
              <w:suppressLineNumbers w:val="0"/>
              <w:jc w:val="left"/>
              <w:rPr>
                <w:rFonts w:hint="eastAsia" w:ascii="宋体" w:hAnsi="宋体" w:eastAsia="宋体" w:cs="宋体"/>
                <w:color w:val="auto"/>
                <w:sz w:val="20"/>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（汇款时，请输入开户银行全称，以避免出现汇款不成功）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四、投标文件的递交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21.投标文件的外包装</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16.1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1、投标人应将投标文件纸质正本和副本进行包装，在包装袋上标明投标项目名称、项目编号、包件号、包件名称、投标人名称、“正本”或“副本”和“于【投标截止时间】之前不得启封”的字样。</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2、投标人应将正本的“开标一览表”单独置于一个包装袋内，在包装袋上标明投标项目名称、项目编号、包件号、包件名称、投标人名称、并在该密封包装袋上标明“开标一览表”字样。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3、投标人应将投标文件电子文档单独置于一个包装袋内，并在该包装袋上标明投标项目名称、项目编号、包件号、包件名称、投标人名称、“电子文档”和“于【投标截止时间】之前不得启封”的字样。4、投标保证金或其凭证、投标人开票信息表和退还保证金说明函单独置于一个包装袋内，并在该包装袋上标明投标项目名称、项目编号、包件号、包件名称、投标人名称、“投标保证金、开票信息和退还说明”和“于【投标截止时间】之前不得启封”的字样。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5、投标人在投标截止时间前提交对其投标文件的修改（包括对开标一览表中价格的修改）的通知（如有）的，应按投标人须知 19.2 条规定施加明显标记并包装和密封，以便在开标时一并唱出。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22.</w:t>
            </w:r>
            <w:r>
              <w:rPr>
                <w:rFonts w:hint="eastAsia" w:ascii="宋体" w:hAnsi="宋体" w:eastAsia="宋体" w:cs="宋体"/>
                <w:color w:val="auto"/>
                <w:sz w:val="21"/>
                <w:szCs w:val="21"/>
                <w:highlight w:val="none"/>
              </w:rPr>
              <w:t>样品</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16.3</w:t>
            </w:r>
          </w:p>
        </w:tc>
        <w:tc>
          <w:tcPr>
            <w:tcW w:w="7593" w:type="dxa"/>
            <w:vAlign w:val="center"/>
          </w:tcPr>
          <w:p>
            <w:pPr>
              <w:widowControl w:val="0"/>
              <w:autoSpaceDE w:val="0"/>
              <w:autoSpaceDN w:val="0"/>
              <w:adjustRightInd w:val="0"/>
              <w:spacing w:line="34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无</w:t>
            </w:r>
          </w:p>
          <w:p>
            <w:pPr>
              <w:widowControl w:val="0"/>
              <w:autoSpaceDE w:val="0"/>
              <w:autoSpaceDN w:val="0"/>
              <w:adjustRightInd w:val="0"/>
              <w:spacing w:line="340" w:lineRule="exact"/>
              <w:jc w:val="both"/>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23.投标文件提交地点及截止时间</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18.1</w:t>
            </w:r>
          </w:p>
        </w:tc>
        <w:tc>
          <w:tcPr>
            <w:tcW w:w="7593" w:type="dxa"/>
            <w:vAlign w:val="center"/>
          </w:tcPr>
          <w:p>
            <w:pPr>
              <w:adjustRightInd w:val="0"/>
              <w:snapToGrid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提交地点：</w:t>
            </w:r>
            <w:r>
              <w:rPr>
                <w:rFonts w:hint="eastAsia" w:ascii="宋体" w:hAnsi="宋体" w:eastAsia="宋体" w:cs="宋体"/>
                <w:color w:val="auto"/>
                <w:sz w:val="21"/>
                <w:szCs w:val="21"/>
                <w:highlight w:val="none"/>
                <w:lang w:val="en-US" w:eastAsia="zh-CN"/>
              </w:rPr>
              <w:t>详见“第一章</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投标邀请”</w:t>
            </w:r>
          </w:p>
          <w:p>
            <w:pPr>
              <w:adjustRightInd w:val="0"/>
              <w:snapToGrid w:val="0"/>
              <w:rPr>
                <w:rFonts w:hint="eastAsia" w:ascii="宋体" w:hAnsi="宋体" w:eastAsia="宋体" w:cs="宋体"/>
                <w:color w:val="auto"/>
                <w:sz w:val="20"/>
                <w:szCs w:val="20"/>
                <w:highlight w:val="none"/>
              </w:rPr>
            </w:pPr>
            <w:r>
              <w:rPr>
                <w:rFonts w:hint="eastAsia" w:ascii="宋体" w:hAnsi="宋体" w:eastAsia="宋体" w:cs="宋体"/>
                <w:color w:val="auto"/>
                <w:sz w:val="21"/>
                <w:szCs w:val="21"/>
                <w:highlight w:val="none"/>
              </w:rPr>
              <w:t>投标截止时间：</w:t>
            </w:r>
            <w:r>
              <w:rPr>
                <w:rFonts w:hint="eastAsia" w:ascii="宋体" w:hAnsi="宋体" w:eastAsia="宋体" w:cs="宋体"/>
                <w:color w:val="auto"/>
                <w:sz w:val="21"/>
                <w:szCs w:val="21"/>
                <w:highlight w:val="none"/>
                <w:lang w:val="en-US" w:eastAsia="zh-CN"/>
              </w:rPr>
              <w:t>详见“第一章</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投标邀请”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五、开标与评标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24.开标时间和地点</w:t>
            </w:r>
          </w:p>
        </w:tc>
        <w:tc>
          <w:tcPr>
            <w:tcW w:w="91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20.1</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开标时间：详见“第一章</w:t>
            </w:r>
            <w:r>
              <w:rPr>
                <w:rFonts w:hint="eastAsia"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投标邀请”</w:t>
            </w:r>
          </w:p>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开标地点：详见“第一章</w:t>
            </w:r>
            <w:r>
              <w:rPr>
                <w:rFonts w:hint="eastAsia"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投标邀请”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25.评标委员会组成</w:t>
            </w:r>
          </w:p>
        </w:tc>
        <w:tc>
          <w:tcPr>
            <w:tcW w:w="91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21.3</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评标委员会构成：5人，业主代表1人，专家4人。</w:t>
            </w:r>
          </w:p>
          <w:p>
            <w:pPr>
              <w:widowControl w:val="0"/>
              <w:autoSpaceDE w:val="0"/>
              <w:autoSpaceDN w:val="0"/>
              <w:adjustRightInd w:val="0"/>
              <w:spacing w:line="32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评标专家确定方式：随机抽取。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46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26.评标办法</w:t>
            </w:r>
          </w:p>
        </w:tc>
        <w:tc>
          <w:tcPr>
            <w:tcW w:w="91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22.1</w:t>
            </w:r>
          </w:p>
        </w:tc>
        <w:tc>
          <w:tcPr>
            <w:tcW w:w="7593" w:type="dxa"/>
            <w:vAlign w:val="center"/>
          </w:tcPr>
          <w:p>
            <w:pPr>
              <w:widowControl w:val="0"/>
              <w:autoSpaceDE w:val="0"/>
              <w:autoSpaceDN w:val="0"/>
              <w:adjustRightInd w:val="0"/>
              <w:spacing w:line="34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√综合评分法</w:t>
            </w:r>
          </w:p>
          <w:p>
            <w:pPr>
              <w:widowControl w:val="0"/>
              <w:autoSpaceDE w:val="0"/>
              <w:autoSpaceDN w:val="0"/>
              <w:adjustRightInd w:val="0"/>
              <w:spacing w:line="34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SA"/>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27.其它无效投标情况</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22.2.3</w:t>
            </w:r>
          </w:p>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1）货物招标时，投标分项报价表中对采购需求一览表中所列货物的缺项或数量缺少都将被视为未实质性响应招标文件； </w:t>
            </w:r>
          </w:p>
          <w:p>
            <w:pPr>
              <w:keepNext w:val="0"/>
              <w:keepLines w:val="0"/>
              <w:widowControl/>
              <w:suppressLineNumbers w:val="0"/>
              <w:ind w:left="0" w:leftChars="0" w:right="0" w:rightChars="0"/>
              <w:jc w:val="left"/>
              <w:rPr>
                <w:rFonts w:hint="eastAsia" w:ascii="宋体" w:hAnsi="宋体" w:eastAsia="宋体" w:cs="宋体"/>
                <w:b/>
                <w:bCs/>
                <w:color w:val="auto"/>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2）评标委员会认为投标人的报价明显低于其他通过符合性审查投标人的报价，有可能影响产品质量或者不能诚信履约的，在要求其在评标现场合理的时间内提供书面说明或相关证明材料后，投标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28.核心产品</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22.2.6</w:t>
            </w:r>
          </w:p>
        </w:tc>
        <w:tc>
          <w:tcPr>
            <w:tcW w:w="7593" w:type="dxa"/>
            <w:vAlign w:val="center"/>
          </w:tcPr>
          <w:p>
            <w:pPr>
              <w:keepNext w:val="0"/>
              <w:keepLines w:val="0"/>
              <w:widowControl/>
              <w:suppressLineNumbers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本项目核心产品：</w:t>
            </w:r>
            <w:r>
              <w:rPr>
                <w:rFonts w:hint="eastAsia" w:cs="宋体"/>
                <w:color w:val="auto"/>
                <w:spacing w:val="0"/>
                <w:w w:val="100"/>
                <w:kern w:val="0"/>
                <w:position w:val="0"/>
                <w:sz w:val="21"/>
                <w:szCs w:val="21"/>
                <w:highlight w:val="none"/>
                <w:lang w:val="en-US" w:eastAsia="zh-CN" w:bidi="ar"/>
              </w:rPr>
              <w:t>第五包：气相色谱仪(双FID+转化炉)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29.提供相同品牌产品的不同投标人的中标候选人推荐原则</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23.1.5</w:t>
            </w:r>
          </w:p>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23.1.6</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提供相同品牌产品的不同投标人的中标候选人推荐原则是综合得分最高的为第一中标候选人。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30.兼投不兼中说明</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lang w:val="en-US" w:eastAsia="zh-CN"/>
              </w:rPr>
              <w:t>23.1.7</w:t>
            </w:r>
          </w:p>
        </w:tc>
        <w:tc>
          <w:tcPr>
            <w:tcW w:w="7593" w:type="dxa"/>
            <w:vAlign w:val="center"/>
          </w:tcPr>
          <w:p>
            <w:pPr>
              <w:keepNext w:val="0"/>
              <w:keepLines w:val="0"/>
              <w:widowControl/>
              <w:numPr>
                <w:ilvl w:val="0"/>
                <w:numId w:val="0"/>
              </w:numPr>
              <w:suppressLineNumbers w:val="0"/>
              <w:ind w:leftChars="0"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是否兼投不兼中：（是</w:t>
            </w:r>
            <w:r>
              <w:rPr>
                <w:rFonts w:hint="eastAsia" w:cs="宋体"/>
                <w:color w:val="auto"/>
                <w:spacing w:val="0"/>
                <w:w w:val="100"/>
                <w:kern w:val="0"/>
                <w:position w:val="0"/>
                <w:sz w:val="21"/>
                <w:szCs w:val="21"/>
                <w:highlight w:val="none"/>
                <w:lang w:val="en-US" w:eastAsia="zh-CN" w:bidi="ar"/>
              </w:rPr>
              <w:t>□</w:t>
            </w:r>
            <w:r>
              <w:rPr>
                <w:rFonts w:hint="eastAsia" w:ascii="宋体" w:hAnsi="宋体" w:eastAsia="宋体" w:cs="宋体"/>
                <w:color w:val="auto"/>
                <w:spacing w:val="0"/>
                <w:w w:val="100"/>
                <w:kern w:val="0"/>
                <w:position w:val="0"/>
                <w:sz w:val="21"/>
                <w:szCs w:val="21"/>
                <w:highlight w:val="none"/>
                <w:lang w:val="en-US" w:eastAsia="zh-CN" w:bidi="ar"/>
              </w:rPr>
              <w:t xml:space="preserve"> 否 </w:t>
            </w:r>
            <w:r>
              <w:rPr>
                <w:rFonts w:hint="eastAsia" w:cs="宋体"/>
                <w:color w:val="auto"/>
                <w:spacing w:val="0"/>
                <w:w w:val="100"/>
                <w:kern w:val="0"/>
                <w:position w:val="0"/>
                <w:sz w:val="21"/>
                <w:szCs w:val="21"/>
                <w:highlight w:val="none"/>
                <w:lang w:val="en-US" w:eastAsia="zh-CN" w:bidi="ar"/>
              </w:rPr>
              <w:t>☑</w:t>
            </w:r>
            <w:r>
              <w:rPr>
                <w:rFonts w:hint="eastAsia" w:ascii="宋体" w:hAnsi="宋体" w:eastAsia="宋体" w:cs="宋体"/>
                <w:color w:val="auto"/>
                <w:spacing w:val="0"/>
                <w:w w:val="100"/>
                <w:kern w:val="0"/>
                <w:position w:val="0"/>
                <w:sz w:val="21"/>
                <w:szCs w:val="21"/>
                <w:highlight w:val="none"/>
                <w:lang w:val="en-US" w:eastAsia="zh-CN" w:bidi="ar"/>
              </w:rPr>
              <w:t xml:space="preserve">）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本项目可以兼投兼中。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31.推荐的中标候选人数量</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23.3</w:t>
            </w:r>
          </w:p>
        </w:tc>
        <w:tc>
          <w:tcPr>
            <w:tcW w:w="7593" w:type="dxa"/>
            <w:vAlign w:val="center"/>
          </w:tcPr>
          <w:p>
            <w:pPr>
              <w:widowControl w:val="0"/>
              <w:autoSpaceDE w:val="0"/>
              <w:autoSpaceDN w:val="0"/>
              <w:adjustRightInd w:val="0"/>
              <w:spacing w:line="46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六、授予合同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32.定标主体</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28.1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采购人确定中标人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33.中标候选人并列的处理</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28.2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中标候选人并列的，采购人将确定报价得分较高者为中标人。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34.</w:t>
            </w:r>
            <w:r>
              <w:rPr>
                <w:rFonts w:hint="eastAsia" w:ascii="宋体" w:hAnsi="宋体" w:eastAsia="宋体" w:cs="宋体"/>
                <w:color w:val="auto"/>
                <w:sz w:val="21"/>
                <w:szCs w:val="21"/>
                <w:highlight w:val="none"/>
              </w:rPr>
              <w:t>财政部门指定的媒体</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29.1</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新疆政府采购网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position w:val="0"/>
                <w:sz w:val="21"/>
                <w:szCs w:val="21"/>
                <w:highlight w:val="none"/>
                <w:vertAlign w:val="baseline"/>
                <w:lang w:val="en-US" w:eastAsia="zh-CN" w:bidi="zh-CN"/>
              </w:rPr>
            </w:pPr>
            <w:r>
              <w:rPr>
                <w:rFonts w:hint="eastAsia" w:ascii="宋体" w:hAnsi="宋体" w:eastAsia="宋体" w:cs="宋体"/>
                <w:color w:val="auto"/>
                <w:spacing w:val="0"/>
                <w:w w:val="100"/>
                <w:kern w:val="0"/>
                <w:position w:val="0"/>
                <w:sz w:val="21"/>
                <w:szCs w:val="21"/>
                <w:highlight w:val="none"/>
                <w:lang w:val="en-US" w:eastAsia="zh-CN" w:bidi="ar"/>
              </w:rPr>
              <w:t>35.分包要求</w:t>
            </w:r>
          </w:p>
        </w:tc>
        <w:tc>
          <w:tcPr>
            <w:tcW w:w="915"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position w:val="0"/>
                <w:sz w:val="21"/>
                <w:szCs w:val="21"/>
                <w:highlight w:val="none"/>
                <w:vertAlign w:val="baseline"/>
                <w:lang w:val="en-US" w:eastAsia="zh-CN" w:bidi="zh-CN"/>
              </w:rPr>
            </w:pPr>
            <w:r>
              <w:rPr>
                <w:rFonts w:hint="eastAsia" w:ascii="宋体" w:hAnsi="宋体" w:eastAsia="宋体" w:cs="宋体"/>
                <w:color w:val="auto"/>
                <w:spacing w:val="0"/>
                <w:w w:val="100"/>
                <w:position w:val="0"/>
                <w:sz w:val="21"/>
                <w:szCs w:val="21"/>
                <w:highlight w:val="none"/>
                <w:vertAlign w:val="baseline"/>
                <w:lang w:val="en-US" w:eastAsia="zh-CN"/>
              </w:rPr>
              <w:t>31.6</w:t>
            </w:r>
          </w:p>
        </w:tc>
        <w:tc>
          <w:tcPr>
            <w:tcW w:w="7593" w:type="dxa"/>
            <w:vAlign w:val="center"/>
          </w:tcPr>
          <w:p>
            <w:pPr>
              <w:keepNext w:val="0"/>
              <w:keepLines w:val="0"/>
              <w:widowControl/>
              <w:suppressLineNumbers w:val="0"/>
              <w:ind w:left="0" w:leftChars="0" w:right="0" w:rightChars="0"/>
              <w:jc w:val="left"/>
              <w:rPr>
                <w:rFonts w:hint="eastAsia" w:ascii="宋体" w:hAnsi="宋体" w:eastAsia="宋体" w:cs="宋体"/>
                <w:color w:val="auto"/>
                <w:spacing w:val="0"/>
                <w:w w:val="100"/>
                <w:position w:val="0"/>
                <w:sz w:val="21"/>
                <w:szCs w:val="21"/>
                <w:highlight w:val="none"/>
                <w:vertAlign w:val="baseline"/>
                <w:lang w:val="zh-CN" w:eastAsia="zh-CN" w:bidi="zh-CN"/>
              </w:rPr>
            </w:pPr>
            <w:r>
              <w:rPr>
                <w:rFonts w:hint="eastAsia" w:ascii="宋体" w:hAnsi="宋体" w:eastAsia="宋体" w:cs="宋体"/>
                <w:color w:val="auto"/>
                <w:spacing w:val="0"/>
                <w:w w:val="100"/>
                <w:kern w:val="0"/>
                <w:position w:val="0"/>
                <w:sz w:val="21"/>
                <w:szCs w:val="21"/>
                <w:highlight w:val="none"/>
                <w:lang w:val="en-US" w:eastAsia="zh-CN" w:bidi="ar"/>
              </w:rPr>
              <w:t>不允许分包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36.</w:t>
            </w:r>
            <w:r>
              <w:rPr>
                <w:rFonts w:hint="eastAsia" w:ascii="宋体" w:hAnsi="宋体" w:eastAsia="宋体" w:cs="宋体"/>
                <w:color w:val="auto"/>
                <w:sz w:val="21"/>
                <w:szCs w:val="21"/>
                <w:highlight w:val="none"/>
              </w:rPr>
              <w:t>采购代理服务费金额、</w:t>
            </w:r>
            <w:r>
              <w:rPr>
                <w:rFonts w:hint="eastAsia" w:ascii="宋体" w:hAnsi="宋体" w:eastAsia="宋体" w:cs="宋体"/>
                <w:color w:val="auto"/>
                <w:sz w:val="21"/>
                <w:szCs w:val="21"/>
                <w:highlight w:val="none"/>
                <w:lang w:eastAsia="zh-CN"/>
              </w:rPr>
              <w:t>缴纳</w:t>
            </w:r>
            <w:r>
              <w:rPr>
                <w:rFonts w:hint="eastAsia" w:ascii="宋体" w:hAnsi="宋体" w:eastAsia="宋体" w:cs="宋体"/>
                <w:color w:val="auto"/>
                <w:sz w:val="21"/>
                <w:szCs w:val="21"/>
                <w:highlight w:val="none"/>
              </w:rPr>
              <w:t>方式和时限</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33.1</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采购代理服务费的计算与收取：中标人支付。</w:t>
            </w:r>
          </w:p>
          <w:p>
            <w:pPr>
              <w:pStyle w:val="29"/>
              <w:adjustRightInd w:val="0"/>
              <w:snapToGrid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依据《中华人民共和国国家发展和改革委员会令》（第31号），执行《政府采购代理机构管理暂行办法》（财库[2018]2号）的规定。</w:t>
            </w:r>
            <w:r>
              <w:rPr>
                <w:rFonts w:hint="eastAsia" w:ascii="宋体" w:hAnsi="宋体" w:eastAsia="宋体" w:cs="宋体"/>
                <w:color w:val="auto"/>
                <w:sz w:val="21"/>
                <w:szCs w:val="21"/>
                <w:highlight w:val="none"/>
                <w:lang w:val="en-US" w:eastAsia="zh-CN"/>
              </w:rPr>
              <w:t>本项目采购代理服务收费</w:t>
            </w:r>
            <w:r>
              <w:rPr>
                <w:rFonts w:hint="eastAsia" w:ascii="宋体" w:hAnsi="宋体" w:eastAsia="宋体" w:cs="宋体"/>
                <w:color w:val="auto"/>
                <w:sz w:val="21"/>
                <w:szCs w:val="21"/>
                <w:highlight w:val="none"/>
              </w:rPr>
              <w:t>参照《依据国家发展计划委员会文件关于印发《招标代理服务费管理暂行办法》的通知》（计价格〔2002〕1980号）中招标代理服务收费标准收取。由</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rPr>
              <w:t>在领取</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rPr>
              <w:t>通知书时一次性向代理机构支付。</w:t>
            </w:r>
          </w:p>
          <w:p>
            <w:pPr>
              <w:pStyle w:val="29"/>
              <w:adjustRightInd w:val="0"/>
              <w:snapToGrid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注：采购代理服务收费按差额定率累进法计算，不足3000元按3000元收取。</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代理服务费银行账号：</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收款单位：</w:t>
            </w:r>
            <w:r>
              <w:rPr>
                <w:rFonts w:hint="eastAsia" w:ascii="宋体" w:hAnsi="宋体" w:eastAsia="宋体" w:cs="宋体"/>
                <w:color w:val="auto"/>
                <w:spacing w:val="0"/>
                <w:w w:val="100"/>
                <w:kern w:val="0"/>
                <w:position w:val="0"/>
                <w:sz w:val="21"/>
                <w:szCs w:val="21"/>
                <w:highlight w:val="none"/>
                <w:lang w:val="en-US" w:eastAsia="zh-CN" w:bidi="ar"/>
              </w:rPr>
              <w:t>新疆华恒惠欣工程项目管理有限责任公司</w:t>
            </w:r>
            <w:r>
              <w:rPr>
                <w:rFonts w:hint="eastAsia" w:ascii="宋体" w:hAnsi="宋体" w:eastAsia="宋体" w:cs="宋体"/>
                <w:color w:val="auto"/>
                <w:sz w:val="21"/>
                <w:szCs w:val="21"/>
                <w:highlight w:val="none"/>
                <w:lang w:val="en-US" w:eastAsia="zh-CN"/>
              </w:rPr>
              <w:t xml:space="preserve"> </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银行账号：65050161665000001758</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开 户 行：中国建设银行股份有限公司乌鲁木齐经济技术开发区支行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lang w:val="en-US" w:eastAsia="zh-CN"/>
              </w:rPr>
              <w:t xml:space="preserve">开户行行号：105881000454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七、其他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37.接收质疑方式及联系方式</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34</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（1）质疑函及必要的证明材料应通过以下方式之一递交至采购代理机构：</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1）当面送达原件；</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2）信函邮寄、快递原件，采用此方式时，采购代理机构不受理逾期送达的质疑，投标人自行承担邮件误投、逾期或丢失的风险和责任；</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 xml:space="preserve">3）电子邮件将原件的扫描版发送至下列指定电子邮箱，采用此方式提出质疑的，投标人应在电子邮件发出后立即电话告知采购代理机构；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 xml:space="preserve">（2）采购代理机构接收质疑函的联系方式如下：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联系人：陆工</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电话：15299129605</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邮箱：645709441@qq.com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38.</w:t>
            </w:r>
            <w:r>
              <w:rPr>
                <w:rFonts w:hint="eastAsia" w:ascii="宋体" w:hAnsi="宋体" w:eastAsia="宋体" w:cs="宋体"/>
                <w:color w:val="auto"/>
                <w:sz w:val="21"/>
                <w:szCs w:val="21"/>
                <w:highlight w:val="none"/>
              </w:rPr>
              <w:t>招标会现场投标人需提供的证件原件</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w:t>
            </w:r>
          </w:p>
        </w:tc>
        <w:tc>
          <w:tcPr>
            <w:tcW w:w="7593" w:type="dxa"/>
            <w:vAlign w:val="center"/>
          </w:tcPr>
          <w:p>
            <w:pPr>
              <w:pStyle w:val="29"/>
              <w:adjustRightInd w:val="0"/>
              <w:snapToGrid w:val="0"/>
              <w:spacing w:line="360" w:lineRule="exact"/>
              <w:ind w:firstLine="210" w:firstLineChars="100"/>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color w:val="auto"/>
                <w:sz w:val="21"/>
                <w:szCs w:val="21"/>
                <w:highlight w:val="none"/>
                <w:lang w:eastAsia="zh-CN"/>
              </w:rPr>
              <w:t>开标前，将由监标人员和采购人</w:t>
            </w:r>
            <w:r>
              <w:rPr>
                <w:rFonts w:hint="eastAsia" w:ascii="宋体" w:hAnsi="宋体" w:eastAsia="宋体" w:cs="宋体"/>
                <w:b w:val="0"/>
                <w:bCs/>
                <w:color w:val="auto"/>
                <w:sz w:val="21"/>
                <w:szCs w:val="21"/>
                <w:highlight w:val="none"/>
                <w:lang w:eastAsia="zh-CN"/>
              </w:rPr>
              <w:t>审查投标人下列资格证件原件：</w:t>
            </w:r>
          </w:p>
          <w:p>
            <w:pPr>
              <w:pStyle w:val="29"/>
              <w:shd w:val="clear" w:color="auto" w:fill="auto"/>
              <w:adjustRightInd w:val="0"/>
              <w:snapToGrid w:val="0"/>
              <w:spacing w:line="360" w:lineRule="exact"/>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（1）企业法人营业执照副本原件（未办理三证合一的同时提供税务登记证和组织机构代码证原件）；</w:t>
            </w:r>
          </w:p>
          <w:p>
            <w:pPr>
              <w:pStyle w:val="29"/>
              <w:shd w:val="clear" w:color="auto" w:fill="auto"/>
              <w:adjustRightInd w:val="0"/>
              <w:snapToGrid w:val="0"/>
              <w:spacing w:line="360" w:lineRule="exact"/>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（2）法人授权委托书原件和被授权人身份证原件；</w:t>
            </w:r>
          </w:p>
          <w:p>
            <w:pPr>
              <w:pStyle w:val="29"/>
              <w:shd w:val="clear" w:color="auto" w:fill="auto"/>
              <w:adjustRightInd w:val="0"/>
              <w:snapToGrid w:val="0"/>
              <w:spacing w:line="360" w:lineRule="exact"/>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）投标保证金汇款凭证。</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b w:val="0"/>
                <w:bCs/>
                <w:color w:val="auto"/>
                <w:sz w:val="21"/>
                <w:szCs w:val="21"/>
                <w:highlight w:val="none"/>
              </w:rPr>
              <w:t>上述要求（1）--（</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）投标人必须提供，否则投标无效。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补充条款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38.履约保证金</w:t>
            </w:r>
          </w:p>
        </w:tc>
        <w:tc>
          <w:tcPr>
            <w:tcW w:w="91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38</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履约保证金的金额：/%。</w:t>
            </w:r>
          </w:p>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履约保证金的形式：转账或银行保函</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rPr>
              <w:t>履约保证金的缴纳方式：在收到中标通知书后，中标人须在</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个工作日内向招标人提交履约保证金，否则</w:t>
            </w:r>
            <w:r>
              <w:rPr>
                <w:rFonts w:hint="eastAsia" w:ascii="宋体" w:hAnsi="宋体" w:eastAsia="宋体" w:cs="宋体"/>
                <w:color w:val="auto"/>
                <w:sz w:val="21"/>
                <w:szCs w:val="21"/>
                <w:highlight w:val="none"/>
                <w:lang w:eastAsia="zh-CN"/>
              </w:rPr>
              <w:t>视为自动放弃</w:t>
            </w:r>
            <w:r>
              <w:rPr>
                <w:rFonts w:hint="eastAsia" w:ascii="宋体" w:hAnsi="宋体" w:eastAsia="宋体" w:cs="宋体"/>
                <w:color w:val="auto"/>
                <w:sz w:val="21"/>
                <w:szCs w:val="21"/>
                <w:highlight w:val="none"/>
              </w:rPr>
              <w:t>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position w:val="0"/>
                <w:sz w:val="21"/>
                <w:szCs w:val="21"/>
                <w:highlight w:val="none"/>
                <w:lang w:val="en-US" w:eastAsia="zh-CN"/>
              </w:rPr>
              <w:t>39.</w:t>
            </w:r>
            <w:r>
              <w:rPr>
                <w:rFonts w:hint="eastAsia" w:ascii="宋体" w:hAnsi="宋体" w:eastAsia="宋体" w:cs="宋体"/>
                <w:color w:val="auto"/>
                <w:spacing w:val="0"/>
                <w:w w:val="100"/>
                <w:position w:val="0"/>
                <w:sz w:val="21"/>
                <w:szCs w:val="21"/>
                <w:highlight w:val="none"/>
              </w:rPr>
              <w:t>解释权</w:t>
            </w:r>
          </w:p>
        </w:tc>
        <w:tc>
          <w:tcPr>
            <w:tcW w:w="91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w:t>
            </w:r>
          </w:p>
        </w:tc>
        <w:tc>
          <w:tcPr>
            <w:tcW w:w="7593"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left"/>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position w:val="0"/>
                <w:sz w:val="21"/>
                <w:szCs w:val="21"/>
                <w:highlight w:val="none"/>
              </w:rPr>
              <w:t>本</w:t>
            </w:r>
            <w:r>
              <w:rPr>
                <w:rFonts w:hint="eastAsia" w:ascii="宋体" w:hAnsi="宋体" w:eastAsia="宋体" w:cs="宋体"/>
                <w:color w:val="auto"/>
                <w:spacing w:val="0"/>
                <w:w w:val="100"/>
                <w:position w:val="0"/>
                <w:sz w:val="21"/>
                <w:szCs w:val="21"/>
                <w:highlight w:val="none"/>
                <w:lang w:val="en-US" w:eastAsia="zh-CN"/>
              </w:rPr>
              <w:t>招标</w:t>
            </w:r>
            <w:r>
              <w:rPr>
                <w:rFonts w:hint="eastAsia" w:ascii="宋体" w:hAnsi="宋体" w:eastAsia="宋体" w:cs="宋体"/>
                <w:color w:val="auto"/>
                <w:spacing w:val="0"/>
                <w:w w:val="100"/>
                <w:position w:val="0"/>
                <w:sz w:val="21"/>
                <w:szCs w:val="21"/>
                <w:highlight w:val="none"/>
              </w:rPr>
              <w:t>文件的解释权属于采购人。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1458"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40.其他</w:t>
            </w:r>
          </w:p>
        </w:tc>
        <w:tc>
          <w:tcPr>
            <w:tcW w:w="91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w:t>
            </w:r>
          </w:p>
        </w:tc>
        <w:tc>
          <w:tcPr>
            <w:tcW w:w="7593"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leftChars="0" w:right="0" w:rightChars="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z w:val="21"/>
                <w:szCs w:val="21"/>
                <w:highlight w:val="none"/>
              </w:rPr>
              <w:t>本表是对“投标人须知</w:t>
            </w:r>
            <w:r>
              <w:rPr>
                <w:rFonts w:hint="eastAsia" w:ascii="宋体" w:hAnsi="宋体" w:eastAsia="宋体" w:cs="宋体"/>
                <w:color w:val="auto"/>
                <w:sz w:val="21"/>
                <w:szCs w:val="21"/>
                <w:highlight w:val="none"/>
                <w:lang w:val="en-US" w:eastAsia="zh-CN"/>
              </w:rPr>
              <w:t>正文</w:t>
            </w:r>
            <w:r>
              <w:rPr>
                <w:rFonts w:hint="eastAsia" w:ascii="宋体" w:hAnsi="宋体" w:eastAsia="宋体" w:cs="宋体"/>
                <w:color w:val="auto"/>
                <w:sz w:val="21"/>
                <w:szCs w:val="21"/>
                <w:highlight w:val="none"/>
              </w:rPr>
              <w:t>”的具体补充和修改，如有矛盾，应以本表内容为准。</w:t>
            </w:r>
          </w:p>
        </w:tc>
      </w:tr>
    </w:tbl>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31" w:line="364" w:lineRule="auto"/>
        <w:ind w:left="0" w:leftChars="0" w:right="70" w:rightChars="0" w:firstLine="0" w:firstLineChars="0"/>
        <w:outlineLvl w:val="1"/>
        <w:rPr>
          <w:rFonts w:hint="eastAsia" w:ascii="宋体" w:hAnsi="宋体" w:eastAsia="宋体" w:cs="宋体"/>
          <w:color w:val="auto"/>
          <w:spacing w:val="0"/>
          <w:w w:val="100"/>
          <w:position w:val="0"/>
          <w:sz w:val="28"/>
          <w:szCs w:val="28"/>
          <w:highlight w:val="none"/>
        </w:rPr>
      </w:pPr>
      <w:bookmarkStart w:id="4" w:name="_bookmark20"/>
      <w:bookmarkEnd w:id="4"/>
      <w:bookmarkStart w:id="5" w:name="_bookmark19"/>
      <w:bookmarkEnd w:id="5"/>
      <w:bookmarkStart w:id="6" w:name="_bookmark26"/>
      <w:bookmarkEnd w:id="6"/>
      <w:bookmarkStart w:id="7" w:name="_bookmark25"/>
      <w:bookmarkEnd w:id="7"/>
      <w:bookmarkStart w:id="8" w:name="_bookmark23"/>
      <w:bookmarkEnd w:id="8"/>
      <w:bookmarkStart w:id="9" w:name="_bookmark9"/>
      <w:bookmarkEnd w:id="9"/>
      <w:bookmarkStart w:id="10" w:name="_bookmark21"/>
      <w:bookmarkEnd w:id="10"/>
      <w:bookmarkStart w:id="11" w:name="_bookmark10"/>
      <w:bookmarkEnd w:id="11"/>
      <w:bookmarkStart w:id="12" w:name="_bookmark22"/>
      <w:bookmarkEnd w:id="12"/>
      <w:bookmarkStart w:id="13" w:name="_bookmark2"/>
      <w:bookmarkEnd w:id="13"/>
      <w:bookmarkStart w:id="14" w:name="_bookmark8"/>
      <w:bookmarkEnd w:id="14"/>
      <w:bookmarkStart w:id="15" w:name="_bookmark28"/>
      <w:bookmarkEnd w:id="15"/>
      <w:bookmarkStart w:id="16" w:name="_bookmark24"/>
      <w:bookmarkEnd w:id="16"/>
      <w:bookmarkStart w:id="17" w:name="_Toc19549"/>
      <w:r>
        <w:rPr>
          <w:rFonts w:hint="eastAsia" w:ascii="宋体" w:hAnsi="宋体" w:eastAsia="宋体" w:cs="宋体"/>
          <w:color w:val="auto"/>
          <w:spacing w:val="0"/>
          <w:w w:val="100"/>
          <w:position w:val="0"/>
          <w:sz w:val="28"/>
          <w:szCs w:val="28"/>
          <w:highlight w:val="none"/>
        </w:rPr>
        <w:t>投标人须知</w:t>
      </w:r>
      <w:bookmarkEnd w:id="17"/>
      <w:bookmarkStart w:id="18" w:name="_bookmark29"/>
      <w:bookmarkEnd w:id="18"/>
    </w:p>
    <w:p>
      <w:pPr>
        <w:pStyle w:val="5"/>
        <w:spacing w:before="31" w:line="364" w:lineRule="auto"/>
        <w:ind w:left="0" w:leftChars="0" w:right="70" w:rightChars="0" w:firstLine="0" w:firstLineChars="0"/>
        <w:outlineLvl w:val="1"/>
        <w:rPr>
          <w:rFonts w:hint="eastAsia" w:ascii="宋体" w:hAnsi="宋体" w:eastAsia="宋体" w:cs="宋体"/>
          <w:color w:val="auto"/>
          <w:spacing w:val="0"/>
          <w:w w:val="100"/>
          <w:position w:val="0"/>
          <w:sz w:val="24"/>
          <w:szCs w:val="24"/>
          <w:highlight w:val="none"/>
        </w:rPr>
      </w:pPr>
      <w:bookmarkStart w:id="19" w:name="_Toc6163"/>
      <w:r>
        <w:rPr>
          <w:rFonts w:hint="eastAsia" w:ascii="宋体" w:hAnsi="宋体" w:eastAsia="宋体" w:cs="宋体"/>
          <w:color w:val="auto"/>
          <w:spacing w:val="0"/>
          <w:w w:val="100"/>
          <w:position w:val="0"/>
          <w:sz w:val="24"/>
          <w:szCs w:val="24"/>
          <w:highlight w:val="none"/>
        </w:rPr>
        <w:t>一、说 明</w:t>
      </w:r>
      <w:bookmarkEnd w:id="19"/>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1 </w:t>
      </w:r>
      <w:r>
        <w:rPr>
          <w:rFonts w:hint="eastAsia" w:ascii="宋体" w:hAnsi="宋体" w:eastAsia="宋体" w:cs="宋体"/>
          <w:color w:val="auto"/>
          <w:spacing w:val="0"/>
          <w:w w:val="100"/>
          <w:position w:val="0"/>
          <w:sz w:val="21"/>
          <w:szCs w:val="21"/>
          <w:highlight w:val="none"/>
        </w:rPr>
        <w:t>概述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0" w:name="_bookmark30"/>
      <w:bookmarkEnd w:id="20"/>
      <w:bookmarkStart w:id="21" w:name="_bookmark30"/>
      <w:bookmarkEnd w:id="21"/>
      <w:r>
        <w:rPr>
          <w:rFonts w:hint="eastAsia" w:ascii="宋体" w:hAnsi="宋体" w:eastAsia="宋体" w:cs="宋体"/>
          <w:color w:val="auto"/>
          <w:spacing w:val="0"/>
          <w:w w:val="100"/>
          <w:position w:val="0"/>
          <w:sz w:val="21"/>
          <w:szCs w:val="21"/>
          <w:highlight w:val="none"/>
          <w:lang w:val="en-US" w:eastAsia="zh-CN"/>
        </w:rPr>
        <w:t xml:space="preserve">1.1 </w:t>
      </w:r>
      <w:r>
        <w:rPr>
          <w:rFonts w:hint="eastAsia" w:ascii="宋体" w:hAnsi="宋体" w:eastAsia="宋体" w:cs="宋体"/>
          <w:color w:val="auto"/>
          <w:spacing w:val="0"/>
          <w:w w:val="100"/>
          <w:position w:val="0"/>
          <w:sz w:val="21"/>
          <w:szCs w:val="21"/>
          <w:highlight w:val="none"/>
        </w:rPr>
        <w:t>项目概述见《投标人须知前附表》。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2" w:name="_bookmark31"/>
      <w:bookmarkEnd w:id="22"/>
      <w:bookmarkStart w:id="23" w:name="_bookmark31"/>
      <w:bookmarkEnd w:id="23"/>
      <w:r>
        <w:rPr>
          <w:rFonts w:hint="eastAsia" w:ascii="宋体" w:hAnsi="宋体" w:eastAsia="宋体" w:cs="宋体"/>
          <w:color w:val="auto"/>
          <w:spacing w:val="0"/>
          <w:w w:val="100"/>
          <w:position w:val="0"/>
          <w:sz w:val="21"/>
          <w:szCs w:val="21"/>
          <w:highlight w:val="none"/>
          <w:lang w:val="en-US" w:eastAsia="zh-CN"/>
        </w:rPr>
        <w:t xml:space="preserve">1.2 </w:t>
      </w:r>
      <w:r>
        <w:rPr>
          <w:rFonts w:hint="eastAsia" w:ascii="宋体" w:hAnsi="宋体" w:eastAsia="宋体" w:cs="宋体"/>
          <w:color w:val="auto"/>
          <w:spacing w:val="0"/>
          <w:w w:val="100"/>
          <w:position w:val="0"/>
          <w:sz w:val="21"/>
          <w:szCs w:val="21"/>
          <w:highlight w:val="none"/>
        </w:rPr>
        <w:t>按照《政府采购货物和服务招标投标管理办法》第七条规定，采购人确定本次采购项目的属性见《投标人须知前附表》。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4" w:name="_bookmark32"/>
      <w:bookmarkEnd w:id="24"/>
      <w:bookmarkStart w:id="25" w:name="_bookmark32"/>
      <w:bookmarkEnd w:id="25"/>
      <w:r>
        <w:rPr>
          <w:rFonts w:hint="eastAsia" w:ascii="宋体" w:hAnsi="宋体" w:eastAsia="宋体" w:cs="宋体"/>
          <w:color w:val="auto"/>
          <w:spacing w:val="0"/>
          <w:w w:val="100"/>
          <w:position w:val="0"/>
          <w:sz w:val="21"/>
          <w:szCs w:val="21"/>
          <w:highlight w:val="none"/>
          <w:lang w:val="en-US" w:eastAsia="zh-CN"/>
        </w:rPr>
        <w:t xml:space="preserve">1.3 </w:t>
      </w:r>
      <w:r>
        <w:rPr>
          <w:rFonts w:hint="eastAsia" w:ascii="宋体" w:hAnsi="宋体" w:eastAsia="宋体" w:cs="宋体"/>
          <w:color w:val="auto"/>
          <w:spacing w:val="0"/>
          <w:w w:val="100"/>
          <w:position w:val="0"/>
          <w:sz w:val="21"/>
          <w:szCs w:val="21"/>
          <w:highlight w:val="none"/>
        </w:rPr>
        <w:t>按照《政府采购促进中小企业发展管理办法》第十二条规定，明确采购标的对应的中小企业划分标准所属行业详见《投标人须知前附表》。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 定义</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“采购人”是指依法进行政府采购的国家机关、事业单位、团体组织。采购人名称、地址、电话、联系人见</w:t>
      </w:r>
      <w:r>
        <w:rPr>
          <w:rFonts w:hint="eastAsia" w:ascii="宋体" w:hAnsi="宋体" w:eastAsia="宋体" w:cs="宋体"/>
          <w:color w:val="auto"/>
          <w:spacing w:val="0"/>
          <w:w w:val="100"/>
          <w:position w:val="0"/>
          <w:sz w:val="21"/>
          <w:szCs w:val="21"/>
          <w:highlight w:val="none"/>
        </w:rPr>
        <w:t>《投标人须知前附表》</w:t>
      </w:r>
      <w:r>
        <w:rPr>
          <w:rFonts w:hint="eastAsia" w:ascii="宋体" w:hAnsi="宋体" w:eastAsia="宋体" w:cs="宋体"/>
          <w:color w:val="auto"/>
          <w:sz w:val="21"/>
          <w:szCs w:val="21"/>
          <w:highlight w:val="none"/>
        </w:rPr>
        <w:t>。</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“采购代理机构”是指接受采购人委托，代理采购项目的集中采购机构和其他采购代理机构。采购代理机构名称、地址、电话、联系人见《投标人须知前附表》。</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“投标人”是指响应招标、参加投标竞争的法人、其他组织或者自然人。</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“货物”是指各种形态和种类的物品，包括原材料、燃料、设备、产品等，详见《政府采购品目分类目录》（财库[2013]189号）。</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r>
        <w:rPr>
          <w:rFonts w:hint="eastAsia" w:ascii="宋体" w:hAnsi="宋体" w:eastAsia="宋体" w:cs="宋体"/>
          <w:color w:val="auto"/>
          <w:sz w:val="21"/>
          <w:szCs w:val="21"/>
          <w:highlight w:val="none"/>
        </w:rPr>
        <w:t>“服务”系指按合同规定卖方须承担的运输、装卸、技术协助和交付使用后保修期内应履行的义务及售后服务等其他类似的义务。</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r>
        <w:rPr>
          <w:rFonts w:hint="eastAsia" w:ascii="宋体" w:hAnsi="宋体" w:eastAsia="宋体" w:cs="宋体"/>
          <w:color w:val="auto"/>
          <w:sz w:val="21"/>
          <w:szCs w:val="21"/>
          <w:highlight w:val="none"/>
        </w:rPr>
        <w:t>“卖方”系指提供合同货物和服务的经济实体。</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r>
        <w:rPr>
          <w:rFonts w:hint="eastAsia" w:ascii="宋体" w:hAnsi="宋体" w:eastAsia="宋体" w:cs="宋体"/>
          <w:color w:val="auto"/>
          <w:sz w:val="21"/>
          <w:szCs w:val="21"/>
          <w:highlight w:val="none"/>
        </w:rPr>
        <w:t>“买方”系指购买货物和服务的单位。</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8 </w:t>
      </w:r>
      <w:r>
        <w:rPr>
          <w:rFonts w:hint="eastAsia" w:ascii="宋体" w:hAnsi="宋体" w:eastAsia="宋体" w:cs="宋体"/>
          <w:color w:val="auto"/>
          <w:sz w:val="21"/>
          <w:szCs w:val="21"/>
          <w:highlight w:val="none"/>
        </w:rPr>
        <w:t>“节能产品”或者“环保产品”是指财政部发布的《节能产品政府采购清单》或者《环境标志产品政府采购清单》的产品。</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9 </w:t>
      </w:r>
      <w:r>
        <w:rPr>
          <w:rFonts w:hint="eastAsia" w:ascii="宋体" w:hAnsi="宋体" w:eastAsia="宋体" w:cs="宋体"/>
          <w:color w:val="auto"/>
          <w:sz w:val="21"/>
          <w:szCs w:val="21"/>
          <w:highlight w:val="none"/>
        </w:rPr>
        <w:t>“进口产品”是指通过中国海关报关验放进入中国境内且产自关境外的产品，详见</w:t>
      </w:r>
      <w:r>
        <w:rPr>
          <w:rFonts w:hint="eastAsia" w:ascii="宋体" w:hAnsi="宋体" w:eastAsia="宋体" w:cs="宋体"/>
          <w:color w:val="auto"/>
          <w:spacing w:val="0"/>
          <w:w w:val="100"/>
          <w:position w:val="0"/>
          <w:sz w:val="21"/>
          <w:szCs w:val="21"/>
          <w:highlight w:val="none"/>
        </w:rPr>
        <w:t>《政府采购进口产品管理办法》（财库［2007］119 号文）、《关于政府采购进口产品管理有关问题的通知》（财办库［2008］248 号文）</w:t>
      </w:r>
      <w:r>
        <w:rPr>
          <w:rFonts w:hint="eastAsia" w:ascii="宋体" w:hAnsi="宋体" w:eastAsia="宋体" w:cs="宋体"/>
          <w:color w:val="auto"/>
          <w:sz w:val="21"/>
          <w:szCs w:val="21"/>
          <w:highlight w:val="none"/>
        </w:rPr>
        <w:t>。</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10 </w:t>
      </w:r>
      <w:r>
        <w:rPr>
          <w:rFonts w:hint="eastAsia" w:ascii="宋体" w:hAnsi="宋体" w:eastAsia="宋体" w:cs="宋体"/>
          <w:color w:val="auto"/>
          <w:sz w:val="21"/>
          <w:szCs w:val="21"/>
          <w:highlight w:val="none"/>
        </w:rPr>
        <w:t>偏离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本条所称偏离为投标文件对招标</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的偏离，即不满足</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不响应招标文件的要求。偏离分为对招标文件的实质性要求条款偏离和对招标文件的一般商务和技术条款偏离。</w:t>
      </w:r>
    </w:p>
    <w:p>
      <w:pPr>
        <w:pStyle w:val="31"/>
        <w:snapToGrid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10</w:t>
      </w: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除法律、法规和规章规定外，招标文件中用“拒绝”、“不接受”、“无效”、“不得”等文字规定或标注“</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”符号的条款为实质性要求条款（即重要条款），对其中任何一条的偏离，在评标时将其视为无效投标</w:t>
      </w:r>
      <w:r>
        <w:rPr>
          <w:rFonts w:hint="eastAsia" w:ascii="宋体" w:hAnsi="宋体" w:eastAsia="宋体" w:cs="宋体"/>
          <w:color w:val="auto"/>
          <w:sz w:val="21"/>
          <w:szCs w:val="21"/>
          <w:highlight w:val="none"/>
        </w:rPr>
        <w:t>。未用上述文字规定或符号标注的条款为非实质性要求条款（即一般条款）。</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11 </w:t>
      </w:r>
      <w:r>
        <w:rPr>
          <w:rFonts w:hint="eastAsia" w:ascii="宋体" w:hAnsi="宋体" w:eastAsia="宋体" w:cs="宋体"/>
          <w:color w:val="auto"/>
          <w:spacing w:val="-13"/>
          <w:kern w:val="0"/>
          <w:sz w:val="21"/>
          <w:szCs w:val="21"/>
          <w:highlight w:val="none"/>
        </w:rPr>
        <w:t>若采购人员及相关人员与投标人（即投标人）有下列利害关系之一的，应当回避：</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参加采购活动前3年内与投标人存在劳动关系；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参加采购活动前3年内担任投标人的董事、监事；</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参加采购活动前3年内是投标人的控股股东或者实际控制人；</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与投标人的法定代表人或者负责人有夫妻、直系血亲、三代以内旁系血亲或者近姻亲关系；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与投标人有其他可能影响政府采购活动公平、公正进行的关系；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.6</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投标人认为采购人员及相关人员与其他投标人有利害关系的，可以向采购人或者采购代理机构书面提出回避申请，并说明理由。采购人或者采购代理机构应当及时询问被申请回避人员，有利害关系的被申请回避人员应当回避。</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12 </w:t>
      </w:r>
      <w:r>
        <w:rPr>
          <w:rFonts w:hint="eastAsia" w:ascii="宋体" w:hAnsi="宋体" w:eastAsia="宋体" w:cs="宋体"/>
          <w:color w:val="auto"/>
          <w:kern w:val="0"/>
          <w:sz w:val="21"/>
          <w:szCs w:val="21"/>
          <w:highlight w:val="none"/>
        </w:rPr>
        <w:t>采购人或者采购代理机构有下列情形之一的，属于以不合理的条件对投标人（即投标人）实行差别待遇或者歧视待遇：</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就同一采购项目向投标人提供有差别的项目信息；</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设定的资格、技术、商务条件与采购项目的具体特点和实际需要不相适应或者与合同履行无关；</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采购需求中的技术、服务等要求指向特定投标人、特定产品；</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对投标人采取不同的资格审查或者评标标准；</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限定或者指定特定的专利、商标、品牌或者投标人；</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.6</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非法限定投标人的所有制形式、组织形式或者所在地；</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.7</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以其他不合理条件限制或者排斥潜在投标人。</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13 </w:t>
      </w:r>
      <w:r>
        <w:rPr>
          <w:rFonts w:hint="eastAsia" w:ascii="宋体" w:hAnsi="宋体" w:eastAsia="宋体" w:cs="宋体"/>
          <w:color w:val="auto"/>
          <w:sz w:val="21"/>
          <w:szCs w:val="21"/>
          <w:highlight w:val="none"/>
        </w:rPr>
        <w:t>特别说明</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在本次招标活动中，必须遵循《中华人民共和国政府采购法》、《中华人民共和国政府采购法实施条例》、《政府采购货物和服务招标投标管理办法》（财政部令第84号）等相关法律、法规的规定。凡参加投标的投标人必须具有履行本招标文件规定的有关要求的能力，信誉良好；</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投标人参加投标所使用的资格、信誉、荣誉与相关认证等必须为投标人所拥有；</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投标人应仔细阅读招标文件的所有内容，按照招标文件的要求提交投标文件，并对所提供的全部资料的真实性承担法律责任；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投标人在投标活动中提供任何虚假材料，其</w:t>
      </w:r>
      <w:r>
        <w:rPr>
          <w:rFonts w:hint="eastAsia" w:ascii="宋体" w:hAnsi="宋体" w:eastAsia="宋体" w:cs="宋体"/>
          <w:b/>
          <w:bCs/>
          <w:color w:val="auto"/>
          <w:sz w:val="21"/>
          <w:szCs w:val="21"/>
          <w:highlight w:val="none"/>
        </w:rPr>
        <w:t>投标无效</w:t>
      </w:r>
      <w:r>
        <w:rPr>
          <w:rFonts w:hint="eastAsia" w:ascii="宋体" w:hAnsi="宋体" w:eastAsia="宋体" w:cs="宋体"/>
          <w:color w:val="auto"/>
          <w:sz w:val="21"/>
          <w:szCs w:val="21"/>
          <w:highlight w:val="none"/>
        </w:rPr>
        <w:t>并承担相应法律责任。</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 </w:t>
      </w:r>
      <w:r>
        <w:rPr>
          <w:rFonts w:hint="eastAsia" w:ascii="宋体" w:hAnsi="宋体" w:eastAsia="宋体" w:cs="宋体"/>
          <w:color w:val="auto"/>
          <w:spacing w:val="0"/>
          <w:w w:val="100"/>
          <w:position w:val="0"/>
          <w:sz w:val="21"/>
          <w:szCs w:val="21"/>
          <w:highlight w:val="none"/>
        </w:rPr>
        <w:t>合格投标人</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3.1 </w:t>
      </w:r>
      <w:r>
        <w:rPr>
          <w:rFonts w:hint="eastAsia" w:ascii="宋体" w:hAnsi="宋体" w:eastAsia="宋体" w:cs="宋体"/>
          <w:color w:val="auto"/>
          <w:spacing w:val="0"/>
          <w:w w:val="100"/>
          <w:position w:val="0"/>
          <w:sz w:val="21"/>
          <w:szCs w:val="21"/>
          <w:highlight w:val="none"/>
        </w:rPr>
        <w:t>“投标人”（也称为“申请人”）系指响应招标、参加本次投标竞争的法人、其他组织。</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6" w:name="_bookmark33"/>
      <w:bookmarkEnd w:id="26"/>
      <w:bookmarkStart w:id="27" w:name="_bookmark33"/>
      <w:bookmarkEnd w:id="27"/>
      <w:r>
        <w:rPr>
          <w:rFonts w:hint="eastAsia" w:ascii="宋体" w:hAnsi="宋体" w:eastAsia="宋体" w:cs="宋体"/>
          <w:color w:val="auto"/>
          <w:spacing w:val="0"/>
          <w:w w:val="100"/>
          <w:position w:val="0"/>
          <w:sz w:val="21"/>
          <w:szCs w:val="21"/>
          <w:highlight w:val="none"/>
          <w:lang w:val="en-US" w:eastAsia="zh-CN"/>
        </w:rPr>
        <w:t xml:space="preserve">3.2 </w:t>
      </w:r>
      <w:r>
        <w:rPr>
          <w:rFonts w:hint="eastAsia" w:ascii="宋体" w:hAnsi="宋体" w:eastAsia="宋体" w:cs="宋体"/>
          <w:color w:val="auto"/>
          <w:spacing w:val="0"/>
          <w:w w:val="100"/>
          <w:position w:val="0"/>
          <w:sz w:val="21"/>
          <w:szCs w:val="21"/>
          <w:highlight w:val="none"/>
        </w:rPr>
        <w:t>“合格的投标人”系指符合《投标人须知前附表》投标人资格要求的投标人。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28" w:name="_bookmark34"/>
      <w:bookmarkEnd w:id="28"/>
      <w:bookmarkStart w:id="29" w:name="_bookmark34"/>
      <w:bookmarkEnd w:id="29"/>
      <w:r>
        <w:rPr>
          <w:rFonts w:hint="eastAsia" w:ascii="宋体" w:hAnsi="宋体" w:eastAsia="宋体" w:cs="宋体"/>
          <w:color w:val="auto"/>
          <w:spacing w:val="0"/>
          <w:w w:val="100"/>
          <w:position w:val="0"/>
          <w:sz w:val="21"/>
          <w:szCs w:val="21"/>
          <w:highlight w:val="none"/>
          <w:lang w:val="en-US" w:eastAsia="zh-CN"/>
        </w:rPr>
        <w:t xml:space="preserve">3.3 </w:t>
      </w:r>
      <w:r>
        <w:rPr>
          <w:rFonts w:hint="eastAsia" w:ascii="宋体" w:hAnsi="宋体" w:eastAsia="宋体" w:cs="宋体"/>
          <w:b/>
          <w:color w:val="auto"/>
          <w:kern w:val="0"/>
          <w:sz w:val="21"/>
          <w:szCs w:val="21"/>
          <w:highlight w:val="none"/>
        </w:rPr>
        <w:t>联合体投标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3.3.1 </w:t>
      </w:r>
      <w:r>
        <w:rPr>
          <w:rFonts w:hint="eastAsia" w:ascii="宋体" w:hAnsi="宋体" w:eastAsia="宋体" w:cs="宋体"/>
          <w:color w:val="auto"/>
          <w:spacing w:val="0"/>
          <w:w w:val="100"/>
          <w:position w:val="0"/>
          <w:sz w:val="21"/>
          <w:szCs w:val="21"/>
          <w:highlight w:val="none"/>
        </w:rPr>
        <w:t xml:space="preserve">对于本须知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rPr>
        <w:t xml:space="preserve">.2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条中明确</w:t>
      </w:r>
      <w:r>
        <w:rPr>
          <w:rFonts w:hint="eastAsia" w:ascii="宋体" w:hAnsi="宋体" w:eastAsia="宋体" w:cs="宋体"/>
          <w:b/>
          <w:color w:val="auto"/>
          <w:spacing w:val="0"/>
          <w:w w:val="100"/>
          <w:position w:val="0"/>
          <w:sz w:val="21"/>
          <w:szCs w:val="21"/>
          <w:highlight w:val="none"/>
        </w:rPr>
        <w:t>接受</w:t>
      </w:r>
      <w:r>
        <w:rPr>
          <w:rFonts w:hint="eastAsia" w:ascii="宋体" w:hAnsi="宋体" w:eastAsia="宋体" w:cs="宋体"/>
          <w:color w:val="auto"/>
          <w:spacing w:val="0"/>
          <w:w w:val="100"/>
          <w:position w:val="0"/>
          <w:sz w:val="21"/>
          <w:szCs w:val="21"/>
          <w:highlight w:val="none"/>
        </w:rPr>
        <w:t xml:space="preserve">联合体投标的，对联合体的具体要求见《投标人须知前附表》；对于本须知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rPr>
        <w:t xml:space="preserve">.2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条中明确</w:t>
      </w:r>
      <w:r>
        <w:rPr>
          <w:rFonts w:hint="eastAsia" w:ascii="宋体" w:hAnsi="宋体" w:eastAsia="宋体" w:cs="宋体"/>
          <w:b/>
          <w:color w:val="auto"/>
          <w:spacing w:val="0"/>
          <w:w w:val="100"/>
          <w:position w:val="0"/>
          <w:sz w:val="21"/>
          <w:szCs w:val="21"/>
          <w:highlight w:val="none"/>
        </w:rPr>
        <w:t>不接受</w:t>
      </w:r>
      <w:r>
        <w:rPr>
          <w:rFonts w:hint="eastAsia" w:ascii="宋体" w:hAnsi="宋体" w:eastAsia="宋体" w:cs="宋体"/>
          <w:color w:val="auto"/>
          <w:spacing w:val="0"/>
          <w:w w:val="100"/>
          <w:position w:val="0"/>
          <w:sz w:val="21"/>
          <w:szCs w:val="21"/>
          <w:highlight w:val="none"/>
        </w:rPr>
        <w:t>联合体投标的，联合体具体要求不适用。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3.3.2</w:t>
      </w:r>
      <w:r>
        <w:rPr>
          <w:rFonts w:hint="eastAsia" w:ascii="宋体" w:hAnsi="宋体" w:eastAsia="宋体" w:cs="宋体"/>
          <w:color w:val="auto"/>
          <w:spacing w:val="0"/>
          <w:w w:val="100"/>
          <w:position w:val="0"/>
          <w:sz w:val="21"/>
          <w:szCs w:val="21"/>
          <w:highlight w:val="none"/>
        </w:rPr>
        <w:t>联合体是指两个以上的法人或者其他组织可以组成一个联合体，以一个投标人的身份共同投标。</w:t>
      </w:r>
      <w:r>
        <w:rPr>
          <w:rFonts w:hint="eastAsia" w:ascii="宋体" w:hAnsi="宋体" w:eastAsia="宋体" w:cs="宋体"/>
          <w:color w:val="auto"/>
          <w:sz w:val="21"/>
          <w:szCs w:val="21"/>
          <w:highlight w:val="none"/>
        </w:rPr>
        <w:t>投标人为联合体形式的，除应符合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条规定外，还应遵守以下规定：</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3.3.2.1 </w:t>
      </w:r>
      <w:r>
        <w:rPr>
          <w:rFonts w:hint="eastAsia" w:ascii="宋体" w:hAnsi="宋体" w:eastAsia="宋体" w:cs="宋体"/>
          <w:color w:val="auto"/>
          <w:sz w:val="21"/>
          <w:szCs w:val="21"/>
          <w:highlight w:val="none"/>
        </w:rPr>
        <w:t>联合体各方必须签订联合体协议书，明确联合体牵头人和各方的义务、工作、合同工作量比例；</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3.3.2.2 </w:t>
      </w:r>
      <w:r>
        <w:rPr>
          <w:rFonts w:hint="eastAsia" w:ascii="宋体" w:hAnsi="宋体" w:eastAsia="宋体" w:cs="宋体"/>
          <w:color w:val="auto"/>
          <w:sz w:val="21"/>
          <w:szCs w:val="21"/>
          <w:highlight w:val="none"/>
        </w:rPr>
        <w:t>联合体各方均应当符合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条规定的投标人基本资格条件；联合体中有同类资质的投标人按照联合体分工承担相同工作的，按照资质等级较低的投标人确定资质等级。</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3.3.2.3 </w:t>
      </w:r>
      <w:r>
        <w:rPr>
          <w:rFonts w:hint="eastAsia" w:ascii="宋体" w:hAnsi="宋体" w:eastAsia="宋体" w:cs="宋体"/>
          <w:color w:val="auto"/>
          <w:sz w:val="21"/>
          <w:szCs w:val="21"/>
          <w:highlight w:val="none"/>
        </w:rPr>
        <w:t>除</w:t>
      </w:r>
      <w:r>
        <w:rPr>
          <w:rFonts w:hint="eastAsia" w:ascii="宋体" w:hAnsi="宋体" w:eastAsia="宋体" w:cs="宋体"/>
          <w:color w:val="auto"/>
          <w:spacing w:val="0"/>
          <w:w w:val="100"/>
          <w:position w:val="0"/>
          <w:sz w:val="21"/>
          <w:szCs w:val="21"/>
          <w:highlight w:val="none"/>
        </w:rPr>
        <w:t>《投标人须知前附表》</w:t>
      </w:r>
      <w:r>
        <w:rPr>
          <w:rFonts w:hint="eastAsia" w:ascii="宋体" w:hAnsi="宋体" w:eastAsia="宋体" w:cs="宋体"/>
          <w:color w:val="auto"/>
          <w:sz w:val="21"/>
          <w:szCs w:val="21"/>
          <w:highlight w:val="none"/>
        </w:rPr>
        <w:t>中另有规定，联合体各方中至少有一方应当符合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条规定的投标人特定资格条件。</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3.3.3</w:t>
      </w:r>
      <w:r>
        <w:rPr>
          <w:rFonts w:hint="eastAsia" w:ascii="宋体" w:hAnsi="宋体" w:eastAsia="宋体" w:cs="宋体"/>
          <w:color w:val="auto"/>
          <w:sz w:val="21"/>
          <w:szCs w:val="21"/>
          <w:highlight w:val="none"/>
        </w:rPr>
        <w:t>大中型企业和其他自然人、法人或者其他组织与小型、微型企业组成联合体，联合体协议中约定，小型、微型企业的协议合同金额占到联合体协议合同总金额30%以上的，可给予联合体2%的价格扣除。</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联合体各方均为小型、微型企业的，联合体视同为小型、微型企业享受扶持政策。</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组成联合体的大中型企业和其他自然人、法人或者其他组织，与小型、微型企业之间不得存在投资关系，并附协议书。</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z w:val="21"/>
          <w:szCs w:val="21"/>
          <w:highlight w:val="none"/>
          <w:lang w:val="en-US" w:eastAsia="zh-CN"/>
        </w:rPr>
        <w:t>3.3.4</w:t>
      </w:r>
      <w:r>
        <w:rPr>
          <w:rFonts w:hint="eastAsia" w:ascii="宋体" w:hAnsi="宋体" w:eastAsia="宋体" w:cs="宋体"/>
          <w:color w:val="auto"/>
          <w:sz w:val="21"/>
          <w:szCs w:val="21"/>
          <w:highlight w:val="none"/>
        </w:rPr>
        <w:t>以联合体形式参加政府采购活动的，联合体各方不得再单独参加或者与其他投标人另外组成联合体参加同一合同项下的政府采购活动。</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4 </w:t>
      </w:r>
      <w:r>
        <w:rPr>
          <w:rFonts w:hint="eastAsia" w:ascii="宋体" w:hAnsi="宋体" w:eastAsia="宋体" w:cs="宋体"/>
          <w:color w:val="auto"/>
          <w:sz w:val="21"/>
          <w:szCs w:val="21"/>
          <w:highlight w:val="none"/>
        </w:rPr>
        <w:t>投标人不得存在下列情形之一：</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与采购人、采购代理机构存在利害关系；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受到刑事处罚，或者受到3万元以上的罚款、责令停产停业、在1至3年内禁止参加政府采购活动、暂扣或者吊销许可证、暂扣或者吊销执照等情形之一的行政处罚，或者存在财政部门认定的其他重大违法记录。</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5 </w:t>
      </w:r>
      <w:r>
        <w:rPr>
          <w:rFonts w:hint="eastAsia" w:ascii="宋体" w:hAnsi="宋体" w:eastAsia="宋体" w:cs="宋体"/>
          <w:color w:val="auto"/>
          <w:sz w:val="21"/>
          <w:szCs w:val="21"/>
          <w:highlight w:val="none"/>
        </w:rPr>
        <w:t>投标人具有履行合同所必需的设备和专业技术能力，在人员、设备、资金等方面具有相应能力；投标人提供</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产品必须是成熟产品；在项目地具有技术支持和后续服务等能力。</w:t>
      </w:r>
    </w:p>
    <w:p>
      <w:pPr>
        <w:pStyle w:val="31"/>
        <w:snapToGrid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3.</w:t>
      </w:r>
      <w:r>
        <w:rPr>
          <w:rFonts w:hint="eastAsia" w:ascii="宋体" w:hAnsi="宋体" w:eastAsia="宋体" w:cs="宋体"/>
          <w:b/>
          <w:bCs/>
          <w:color w:val="auto"/>
          <w:sz w:val="21"/>
          <w:szCs w:val="21"/>
          <w:highlight w:val="none"/>
          <w:lang w:val="en-US" w:eastAsia="zh-CN"/>
        </w:rPr>
        <w:t xml:space="preserve">6 </w:t>
      </w:r>
      <w:r>
        <w:rPr>
          <w:rFonts w:hint="eastAsia" w:ascii="宋体" w:hAnsi="宋体" w:eastAsia="宋体" w:cs="宋体"/>
          <w:b/>
          <w:bCs/>
          <w:color w:val="auto"/>
          <w:sz w:val="21"/>
          <w:szCs w:val="21"/>
          <w:highlight w:val="none"/>
        </w:rPr>
        <w:t>使用综合评分法的采购项目</w:t>
      </w:r>
      <w:r>
        <w:rPr>
          <w:rFonts w:hint="eastAsia" w:ascii="宋体" w:hAnsi="宋体" w:eastAsia="宋体" w:cs="宋体"/>
          <w:color w:val="auto"/>
          <w:sz w:val="21"/>
          <w:szCs w:val="21"/>
          <w:highlight w:val="none"/>
        </w:rPr>
        <w:t>，提供相同品牌产品且通过资格审查、符合性审查的不同投标人参加同一合同项下投标的，按一家投标人计算，评标后得分最高的同品牌投标人获得中标人推荐资格；评标得分相同的，由采购人或者采购人委托评标委员会按照招标文件规定的方式确定一个投标人获得中标人推荐资格，招标文件未规定的采取随机抽取方式确定，其他同品牌投标人不作为中标候选人。</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z w:val="21"/>
          <w:szCs w:val="21"/>
          <w:highlight w:val="none"/>
        </w:rPr>
        <w:t>非单一产品采购项目，采购人应当根据采购项目技术构成、产品价格比重等合理确定核心产品，并在招标文件中载明。多家投标人提供的核心产品品牌相同的，同上处理。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4 </w:t>
      </w:r>
      <w:r>
        <w:rPr>
          <w:rFonts w:hint="eastAsia" w:ascii="宋体" w:hAnsi="宋体" w:eastAsia="宋体" w:cs="宋体"/>
          <w:color w:val="auto"/>
          <w:spacing w:val="0"/>
          <w:w w:val="100"/>
          <w:position w:val="0"/>
          <w:sz w:val="21"/>
          <w:szCs w:val="21"/>
          <w:highlight w:val="none"/>
        </w:rPr>
        <w:t>进口产品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30" w:name="_bookmark35"/>
      <w:bookmarkEnd w:id="30"/>
      <w:bookmarkStart w:id="31" w:name="_bookmark35"/>
      <w:bookmarkEnd w:id="31"/>
      <w:r>
        <w:rPr>
          <w:rFonts w:hint="eastAsia" w:ascii="宋体" w:hAnsi="宋体" w:eastAsia="宋体" w:cs="宋体"/>
          <w:color w:val="auto"/>
          <w:spacing w:val="0"/>
          <w:w w:val="100"/>
          <w:position w:val="0"/>
          <w:sz w:val="21"/>
          <w:szCs w:val="21"/>
          <w:highlight w:val="none"/>
          <w:lang w:val="en-US" w:eastAsia="zh-CN"/>
        </w:rPr>
        <w:t xml:space="preserve">4.1 </w:t>
      </w:r>
      <w:r>
        <w:rPr>
          <w:rFonts w:hint="eastAsia" w:ascii="宋体" w:hAnsi="宋体" w:eastAsia="宋体" w:cs="宋体"/>
          <w:color w:val="auto"/>
          <w:spacing w:val="0"/>
          <w:w w:val="100"/>
          <w:position w:val="0"/>
          <w:sz w:val="21"/>
          <w:szCs w:val="21"/>
          <w:highlight w:val="none"/>
        </w:rPr>
        <w:t>本项目是否能够采购进口产品见《投标人须知前附表》。进口产品是指通过中国海关报关验放进入中国境内且产自关境外的产品，包括已经进入中国境内的进口产品。此处所述产品是指通过制造、加工或元部件装配，最终形成的产品。关于进口产品的相关规定依据《政府采购进口产品管理办法》（财库［2007］119 号文）、《关于政府采购进口产品管理有关问题的通知》（财办库［2008］248 号文）。</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 投标费用和知识产权</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5.1 投标人应承担其参加本招标活动自身所发生的费用。招标文件所提供的资料，是采购人现有的能被投标人利用的资料，采购人对投标人作出的任何推论、理解和结论均不负责任。</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5.2 投标人应保证，在中华人民共和国境内使用投标成果、服务或其任何一部分时，不会产生因第三方提出侵犯其专利权或其他知识产权而引起的法律和经济纠纷。如投标人不拥有相应的知识产权，则在报价中须包括合法获取该知识产权的相关费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6 </w:t>
      </w:r>
      <w:r>
        <w:rPr>
          <w:rFonts w:hint="eastAsia" w:ascii="宋体" w:hAnsi="宋体" w:eastAsia="宋体" w:cs="宋体"/>
          <w:color w:val="auto"/>
          <w:spacing w:val="0"/>
          <w:w w:val="100"/>
          <w:position w:val="0"/>
          <w:sz w:val="21"/>
          <w:szCs w:val="21"/>
          <w:highlight w:val="none"/>
        </w:rPr>
        <w:t>通知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6.1 </w:t>
      </w:r>
      <w:r>
        <w:rPr>
          <w:rFonts w:hint="eastAsia" w:ascii="宋体" w:hAnsi="宋体" w:eastAsia="宋体" w:cs="宋体"/>
          <w:color w:val="auto"/>
          <w:spacing w:val="0"/>
          <w:w w:val="100"/>
          <w:position w:val="0"/>
          <w:sz w:val="21"/>
          <w:szCs w:val="21"/>
          <w:highlight w:val="none"/>
        </w:rPr>
        <w:t>对与本项目有关的通知，采购代理机构将以书面形式（包括书面材料、信函、电子邮件、传真、中化商务电子招投标平台通知等，下同）或在本次招标公告刊登的媒体上发布公告的形式，向潜在投标人发出，电子邮箱、传真和手机号码以潜在投标人购买招标文件时的平台登记信息为准。收到通知的投标人应以立即予以回复确认。因信息登记有误、传真线路故障或其他任何意外情形，导致所发出的通知延迟送达或无法到达投标人，除非有适当的证据表明采购代理机构已经明知该项应当通知的事项并未实际有效到达且采购代理机构认为仍有条件和必要及时地再次补发通知而故意拖延或不予补发通知，采购代理机构不因此承担任何责任，有关的招标活动可以继续有效地进行。</w:t>
      </w:r>
    </w:p>
    <w:p>
      <w:pPr>
        <w:pStyle w:val="5"/>
        <w:spacing w:before="31"/>
        <w:ind w:right="113"/>
        <w:outlineLvl w:val="1"/>
        <w:rPr>
          <w:rFonts w:hint="eastAsia" w:ascii="宋体" w:hAnsi="宋体" w:eastAsia="宋体" w:cs="宋体"/>
          <w:color w:val="auto"/>
          <w:spacing w:val="0"/>
          <w:w w:val="100"/>
          <w:position w:val="0"/>
          <w:sz w:val="24"/>
          <w:szCs w:val="24"/>
          <w:highlight w:val="none"/>
        </w:rPr>
      </w:pPr>
      <w:bookmarkStart w:id="32" w:name="_bookmark36"/>
      <w:bookmarkEnd w:id="32"/>
      <w:bookmarkStart w:id="33" w:name="_Toc31872"/>
      <w:r>
        <w:rPr>
          <w:rFonts w:hint="eastAsia" w:ascii="宋体" w:hAnsi="宋体" w:eastAsia="宋体" w:cs="宋体"/>
          <w:color w:val="auto"/>
          <w:spacing w:val="0"/>
          <w:w w:val="100"/>
          <w:position w:val="0"/>
          <w:sz w:val="24"/>
          <w:szCs w:val="24"/>
          <w:highlight w:val="none"/>
        </w:rPr>
        <w:t>二、招标文件</w:t>
      </w:r>
      <w:bookmarkEnd w:id="33"/>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7 招标文件构成</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7.1 “招标文件”以下六部分组成，包括：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第一章 投标邀请；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第二章 投标人须知前附表和投标人须知；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第三章 评标方法和评标标准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第四章 技术服务需求；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第五章 拟签订的合同文本；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第六章 投标文件格式。</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8 对招标文件的询问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8.1 任何已从投标邀请中规定渠道获取了招标文件并向采购代理机构进行了登记的潜在投标人（以下简称“获取了招标文件的潜在投标人”）对招标文件如有疑问，可通过投标邀请中载明的联系方式在投标截止时间以前向采购人或采购代理机构提出询问。采购人或采购代理机构将在收到询问后以适当形式予以答复，并在必要时将答复以澄清形式抄送并书面通知给每个获取了招标文件的潜在投标人（答复中不包括问题的来源）。如果获取了招标文件的潜在投标人认为招标文件的部分设置使自己的合法权益受到损害，请按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"_bookmark63"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34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条规定提出质疑。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 招标文件的澄清和修改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9.1 采购人、采购代理机构可以对已发出的招标文件进行必要的澄清或者修改。澄清或者修改将在本项目招标公告发布媒体上发布更正公告，并以书面形式通知所有获取招标文件的潜在投标人。澄清或者修改的内容可能影响投标文件编制的，将在投标截止时间至少 15 日前，以书面形式通知所有获取了招标文件的潜在投标人；不足 15 日的，将顺延提交投标文件的截止时间和开标时间。获取了招标文件的潜在投标人在收到上述通知后，应立即向采购代理机构回复确认，但是投标人的确认不作为其收到上述通知的唯一证据。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9.2 招标文件的澄清或者修改的内容为招标文件的组成部分，并对所有获取了招标文件的潜在投标人具有约束力。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34" w:name="_bookmark37"/>
      <w:bookmarkEnd w:id="34"/>
      <w:bookmarkStart w:id="35" w:name="_bookmark37"/>
      <w:bookmarkEnd w:id="35"/>
      <w:r>
        <w:rPr>
          <w:rFonts w:hint="eastAsia" w:ascii="宋体" w:hAnsi="宋体" w:eastAsia="宋体" w:cs="宋体"/>
          <w:color w:val="auto"/>
          <w:spacing w:val="0"/>
          <w:w w:val="100"/>
          <w:position w:val="0"/>
          <w:sz w:val="21"/>
          <w:szCs w:val="21"/>
          <w:highlight w:val="none"/>
          <w:lang w:val="en-US" w:eastAsia="zh-CN"/>
        </w:rPr>
        <w:t>9.3 采购人、采购代理机构将视情况确定是否有必要安排所有获取了招标文件的潜在投标人踏勘现场，相关要求见《投标人须知前附表》。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36" w:name="_bookmark38"/>
      <w:bookmarkEnd w:id="36"/>
      <w:bookmarkStart w:id="37" w:name="_bookmark38"/>
      <w:bookmarkEnd w:id="37"/>
      <w:r>
        <w:rPr>
          <w:rFonts w:hint="eastAsia" w:ascii="宋体" w:hAnsi="宋体" w:eastAsia="宋体" w:cs="宋体"/>
          <w:color w:val="auto"/>
          <w:spacing w:val="0"/>
          <w:w w:val="100"/>
          <w:position w:val="0"/>
          <w:sz w:val="21"/>
          <w:szCs w:val="21"/>
          <w:highlight w:val="none"/>
          <w:lang w:val="en-US" w:eastAsia="zh-CN"/>
        </w:rPr>
        <w:t>9.4 采购人、采购代理机构将视情况确定是否有必要召开标前会，相关要求见《投标人须知前附表》。</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10 政府采购政策支持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10.1促进中小企业、残疾人福利性单位、监狱企业政策落实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（1）《政府采购促进中小企业发展管理办法》（财库[2020]46 号，以下简称“发展管理办法”）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（2）在政府采购活动中，投标人提供的货物、工程或者服务符合下列情形的，享受本办法规定的中小企业扶持政策：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（一）在货物采购项目中，货物由中小企业制造，即货物由中小企业生产且使用该中小企业商号或者注册商标；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（二）在工程采购项目中，工程由中小企业承建，即工程施工单位为中小企业；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（三）在服务采购项目中，服务由中小企业承接，即提供服务的人员为中小企业依照《中华人民共和国劳动合同法》订立劳动合同的从业人员。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在货物采购项目中，投标人提供的货物既有中小企业制造货物，也有大型企业制造货物的，不享受本办法规定的中小企业扶持政策。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以联合体形式参加政府采购活动，联合体各方均为中小企业的，联合体视同中小企业。其中，联合体各方均为小微企业的，联合体视同小微企业。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（3）对符合规定的小微企业报价给予 6%—10%（工程项目为 3%—5%）的扣除，用扣除后的价格参加评审。适用招标投标法的政府采购工程建设项目，采用综合评估法但未采用低价优先法计算价格分的，评标时应当在采用原报价进行评分的基础上增加其价格得分的 3%—5%作为其价格分。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价格扣除比例或者价格分加分比例对小型企业和微型企业同等对待，不作区分。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（4）中小企业参加政府采购活动，应当出具《中小企业声明函》，否则不得享受相关中小企业扶持政策，《中小企业声明函》格式见第六章投标文件格式附件12。</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（5）根据《关于政府采购支持监狱企业发展有关问题的通知》（财库[2014]68 号）的要求，监狱和戒毒企业（以下简称监狱企业）参加政府采购活动时，应当提供由省级以上监狱管理局、戒毒管理局（含新疆生产建设兵团）出具的属于监狱企业的证明文件。监狱企业视同小型、微型企业，享受招标文件规定的评审中价格扣除等促进中小企业发展的政府采购政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（6）根据《关于促进残疾人就业政府采购政策的通知》（财库〔2017〕141 号）规定， 投标人如符合该规定享受政府采购支持政策的残疾人福利性单位的条件，应提供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残疾人福利性单位声明函》，格式见第六章投标文件格式附件13。残疾人福利性单位视同小型、微型企业，享受招标文件规定的评审中价格扣除等促进中小企业发展的政府采购政策。残疾人福利性单位属于小型、微型企业的，不重复享受政策。享受政府采购支持政策的残疾人福利性单位应当同时满足以下条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（一）安置的残疾人占本单位在职职工人数的比例不低于 25%（含 25%），并且安置的残疾人人数不少于 10 人（含 10 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（二）依法与安置的每位残疾人签订了一年以上（含一年）的劳动合同或服务协议；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（三）为安置的每位残疾人按月足额缴纳了基本养老保险、基本医疗保险、失业保险、工伤保险和生育保险等社会保险费；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（四）通过银行等金融机构向安置的每位残疾人，按月支付了不低于单位所在区县适用的经省级人民政府批准的月最低工资标准的工资；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（五）提供本单位制造的货物、承担的工程或者服务（以下简称产品），或者提供其他残疾人福利性单位制造的货物（不包括使用非残疾人福利性单位注册商标的货物）。</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（7）若投标报价中有小型、微型企业、监狱企业或残疾人福利性单位报价的，需填报《分项报价表Ⅱ（仅针对小型、微型企业、监狱企业或残疾人福利性单位产品）》。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10.2鼓励节能、环保政策落实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（1）鼓励节能政策：在性能、技术、服务等指标同等条件下，优先采购国家确定的认证机构出具的、处于有效期之内的节能产品认证证书标志产品。投标涉及上述产品的， 投标人应提供带有投标产品型号的节能产品认证证书复印件作为证明。</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（2）鼓励环保政策：在性能、技术、服务等指标同等条件下，优先采购国家确定的认证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机构出具的、处于有效期之内的环境标志产品认证证书标志产品。投标涉及上述产品的，投标人应提供带有投标产品型号的环境标志产品认证证书复印件作为证明。</w:t>
      </w:r>
    </w:p>
    <w:p>
      <w:pPr>
        <w:pStyle w:val="5"/>
        <w:spacing w:line="409" w:lineRule="exact"/>
        <w:ind w:right="119"/>
        <w:outlineLvl w:val="1"/>
        <w:rPr>
          <w:rFonts w:hint="eastAsia" w:ascii="宋体" w:hAnsi="宋体" w:eastAsia="宋体" w:cs="宋体"/>
          <w:color w:val="auto"/>
          <w:spacing w:val="0"/>
          <w:w w:val="100"/>
          <w:position w:val="0"/>
          <w:sz w:val="24"/>
          <w:szCs w:val="24"/>
          <w:highlight w:val="none"/>
        </w:rPr>
      </w:pPr>
      <w:bookmarkStart w:id="38" w:name="_bookmark39"/>
      <w:bookmarkEnd w:id="38"/>
      <w:bookmarkStart w:id="39" w:name="_Toc11774"/>
      <w:r>
        <w:rPr>
          <w:rFonts w:hint="eastAsia" w:ascii="宋体" w:hAnsi="宋体" w:eastAsia="宋体" w:cs="宋体"/>
          <w:color w:val="auto"/>
          <w:spacing w:val="0"/>
          <w:w w:val="100"/>
          <w:position w:val="0"/>
          <w:sz w:val="24"/>
          <w:szCs w:val="24"/>
          <w:highlight w:val="none"/>
        </w:rPr>
        <w:t>三、投标文件的编制</w:t>
      </w:r>
      <w:bookmarkEnd w:id="39"/>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 投标文件的语言和计量单位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11.1 投标人提交的投标文件（包括技术文件、电子投标文件和投标资料、图纸中的说明等）以及投标人与采购人或采购代理机构就有关投标的所有来往函电均应使用中文简体字。投标人提交的支持材料或已印刷的文献可以用另一种语言，但相应内容应附有中文翻译本，在解释投标文件时以中文翻译本为准，未附中文翻译本或翻译本中文内容明显与外文内容不一致的不利后果均由投标人自行承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11.2 投标文件所使用的计量单位，应使用国家法定计量单位，但招标文件技术服务需求中已使用了法定之外计量单位的情况除外。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12 投标文件构成</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0" w:name="_bookmark40"/>
      <w:bookmarkEnd w:id="40"/>
      <w:bookmarkStart w:id="41" w:name="_bookmark40"/>
      <w:bookmarkEnd w:id="41"/>
      <w:r>
        <w:rPr>
          <w:rFonts w:hint="eastAsia" w:ascii="宋体" w:hAnsi="宋体" w:eastAsia="宋体" w:cs="宋体"/>
          <w:color w:val="auto"/>
          <w:spacing w:val="0"/>
          <w:w w:val="100"/>
          <w:position w:val="0"/>
          <w:sz w:val="21"/>
          <w:szCs w:val="21"/>
          <w:highlight w:val="none"/>
          <w:lang w:val="en-US" w:eastAsia="zh-CN"/>
        </w:rPr>
        <w:t xml:space="preserve">12.1 投标人编写的投标文件应包括但不限于《投标人须知前附表》所列资格、资信证明部分和第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"_bookmark12"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条所列商务技术部分中的内容。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2" w:name="_bookmark41"/>
      <w:bookmarkEnd w:id="42"/>
      <w:bookmarkStart w:id="43" w:name="_bookmark41"/>
      <w:bookmarkEnd w:id="43"/>
      <w:r>
        <w:rPr>
          <w:rFonts w:hint="eastAsia" w:ascii="宋体" w:hAnsi="宋体" w:eastAsia="宋体" w:cs="宋体"/>
          <w:color w:val="auto"/>
          <w:spacing w:val="0"/>
          <w:w w:val="100"/>
          <w:position w:val="0"/>
          <w:sz w:val="21"/>
          <w:szCs w:val="21"/>
          <w:highlight w:val="none"/>
          <w:lang w:val="en-US" w:eastAsia="zh-CN"/>
        </w:rPr>
        <w:t>12.2 投标人编写的投标文件具体内容的其他要求或注意事项见《投标人须知前附表》。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12.3 投标人应保证投标文件所提供的全部资料真实可靠，并接受评标委员会对其中任何资料进一步审查的要求。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 投标文件的式样和签署</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4" w:name="_bookmark42"/>
      <w:bookmarkEnd w:id="44"/>
      <w:bookmarkStart w:id="45" w:name="_bookmark42"/>
      <w:bookmarkEnd w:id="45"/>
      <w:r>
        <w:rPr>
          <w:rFonts w:hint="eastAsia" w:ascii="宋体" w:hAnsi="宋体" w:eastAsia="宋体" w:cs="宋体"/>
          <w:color w:val="auto"/>
          <w:spacing w:val="0"/>
          <w:w w:val="100"/>
          <w:position w:val="0"/>
          <w:sz w:val="21"/>
          <w:szCs w:val="21"/>
          <w:highlight w:val="none"/>
          <w:lang w:val="en-US" w:eastAsia="zh-CN"/>
        </w:rPr>
        <w:t>13.1 投标人应按《投标人须知前附表》规定的份数准备投标文件。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*报价部分、资格、资信证明部分、商务技术部分不分开装订成册，全部装订到一起。如太厚无法胶装为一册时可分两册或几册胶装，但不得单独一个部分装订成册。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投标文件纸质正本及副本须在封面清楚地标明“正本”或“副本”，若投标文件有其他纸质组成部分或再分为多册装订等情况，则除了在封面清楚地标明“正本” 或“副本”外，还应尽量注明该纸质文件的内容（例如“上册”、“下册”、“图纸” 或“附件”等）。若投标文件副本与正本不符，以正本为准。电子版与纸制文件不符， 以纸制文件为准。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13.2 投标文件幅面规格请使用 A4 规格纸张，按照招标文件第六章规定的顺序，统一编目编码装订，尽量采用双面印刷。由于编排混乱导致投标文件被误读或相关信息查找不到，其责任应当由投标人承担。投标文件装订采用胶订或线订形式进行牢固装订（左侧装订），不得采用活页装订。未牢固装订的纸质材料将不作为投标文件的组成部分，不作为评审依据，但投标人在投标截止时间前提交的投标文件的补充或修改材料以及投标人按照评标委员会要求进行的澄清、修改或补正材料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13.3 投标人在投标文件及相关文件的签订、履行、通知等事项的书面文件中的单位盖章、印章、公章等处均是指与当事人名称全称相一致的标准公章，如使用投标专用章或其他印章，须提供特别说明函，明确该投标专用章或其他印章效力等同于公章（该特别说明函须同时加盖公章和投标专用章或其他印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13.4 投标文件的正本应用不褪色的墨水书写或打印，在封面或扉页或骑缝加盖投标人单位公章并在投标函中由投标人的法定代表人签署（法定代表人签署说明：法定代表人签字、盖手签章或盖姓名章均为有效签署）或者由法定代表人授权的代理人（也称“被授权人”，下同）签字后有效。由代理人签字的，应附《法定代表人授权书》，《法定代表人授权书》应符合第六章的格式要求。投标人为无法定代表人的其他团体组织等时，法定代表人则系指其负责人，下同。投标文件的副本可采用正本的复印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13.5 投标文件应尽量避免涂改、行间插字或增删，如果出现上述情况，改动之处必须由投标人的法定代表人签署或者被授权人签字或者盖公章才有效。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13.6 若本项目采购需求分为两个或以上包件，除非招标文件中另有规定，投标人对本项目的多个包件进行投标时，投标文件须按包件分别编制并装订提交。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13.7</w:t>
      </w:r>
      <w:r>
        <w:rPr>
          <w:rFonts w:hint="eastAsia" w:ascii="宋体" w:hAnsi="宋体" w:eastAsia="宋体" w:cs="宋体"/>
          <w:color w:val="auto"/>
          <w:spacing w:val="0"/>
          <w:w w:val="100"/>
          <w:kern w:val="0"/>
          <w:position w:val="0"/>
          <w:sz w:val="21"/>
          <w:szCs w:val="21"/>
          <w:highlight w:val="none"/>
          <w:lang w:val="en-US" w:eastAsia="zh-CN" w:bidi="ar"/>
        </w:rPr>
        <w:t>投标文件的退还：</w:t>
      </w:r>
      <w:r>
        <w:rPr>
          <w:rFonts w:hint="eastAsia" w:ascii="宋体" w:hAnsi="宋体" w:eastAsia="宋体" w:cs="宋体"/>
          <w:color w:val="auto"/>
          <w:spacing w:val="0"/>
          <w:w w:val="100"/>
          <w:position w:val="0"/>
          <w:sz w:val="21"/>
          <w:szCs w:val="21"/>
          <w:highlight w:val="none"/>
          <w:lang w:val="en-US" w:eastAsia="zh-CN"/>
        </w:rPr>
        <w:t>投标人应按《投标人须知前附表》规定退还投标文件。</w:t>
      </w:r>
      <w:r>
        <w:rPr>
          <w:rFonts w:hint="eastAsia" w:ascii="宋体" w:hAnsi="宋体" w:eastAsia="宋体" w:cs="宋体"/>
          <w:b/>
          <w:bCs/>
          <w:color w:val="auto"/>
          <w:spacing w:val="0"/>
          <w:w w:val="100"/>
          <w:kern w:val="0"/>
          <w:position w:val="0"/>
          <w:sz w:val="21"/>
          <w:szCs w:val="21"/>
          <w:highlight w:val="none"/>
          <w:lang w:val="en-US" w:eastAsia="zh-CN" w:bidi="ar"/>
        </w:rPr>
        <w:t>所有响应招标文件要求合格投标人的投标文件正本一套、副本一套及随文件同时递交的图纸、U盘等附件不予退回，其余投标文件副本均予评标结束后退回。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 投标报价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6" w:name="_bookmark43"/>
      <w:bookmarkEnd w:id="46"/>
      <w:bookmarkStart w:id="47" w:name="_bookmark43"/>
      <w:bookmarkEnd w:id="47"/>
      <w:r>
        <w:rPr>
          <w:rFonts w:hint="eastAsia" w:ascii="宋体" w:hAnsi="宋体" w:eastAsia="宋体" w:cs="宋体"/>
          <w:color w:val="auto"/>
          <w:spacing w:val="0"/>
          <w:w w:val="100"/>
          <w:position w:val="0"/>
          <w:sz w:val="21"/>
          <w:szCs w:val="21"/>
          <w:highlight w:val="none"/>
          <w:lang w:val="en-US" w:eastAsia="zh-CN"/>
        </w:rPr>
        <w:t>14.1 报价方式详见《投标人须知前附表》。所有投标报价均以《投标人须知前附表》规定的币种和单位为计量单位。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14.2 投标人必须对其参加的一个包件或多个包件内的所有货物和服务以包为单位进行报价，不得将几个包件合报一个价格，也不得将一个包件中的内容拆开报价。如果招标文件采购内容未注明分包件采购，即为全部需求内容是一个包件（即第 1 包件）。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14.3 投标报价中不得包含招标文件要求以外的内容，否则，在评标时不予核减。投标报价中也不应缺漏招标文件所要求的内容。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14.4 本次招标不接受可选择或可调整的投标和报价，投标人对每种货物或服务只允许有一个报价，任何有选择的或可调整的投标人案和报价将被视为无效投标。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8" w:name="_bookmark44"/>
      <w:bookmarkEnd w:id="48"/>
      <w:bookmarkStart w:id="49" w:name="_bookmark44"/>
      <w:bookmarkEnd w:id="49"/>
      <w:r>
        <w:rPr>
          <w:rFonts w:hint="eastAsia" w:ascii="宋体" w:hAnsi="宋体" w:eastAsia="宋体" w:cs="宋体"/>
          <w:color w:val="auto"/>
          <w:spacing w:val="0"/>
          <w:w w:val="100"/>
          <w:position w:val="0"/>
          <w:sz w:val="21"/>
          <w:szCs w:val="21"/>
          <w:highlight w:val="none"/>
          <w:lang w:val="en-US" w:eastAsia="zh-CN"/>
        </w:rPr>
        <w:t>14.5 本次招标设定的最高投标限价见《投标人须知前附表》。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15 投标有效期和投标保证金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0" w:name="_bookmark45"/>
      <w:bookmarkEnd w:id="50"/>
      <w:bookmarkStart w:id="51" w:name="_bookmark45"/>
      <w:bookmarkEnd w:id="51"/>
      <w:r>
        <w:rPr>
          <w:rFonts w:hint="eastAsia" w:ascii="宋体" w:hAnsi="宋体" w:eastAsia="宋体" w:cs="宋体"/>
          <w:color w:val="auto"/>
          <w:spacing w:val="0"/>
          <w:w w:val="100"/>
          <w:position w:val="0"/>
          <w:sz w:val="21"/>
          <w:szCs w:val="21"/>
          <w:highlight w:val="none"/>
          <w:lang w:val="en-US" w:eastAsia="zh-CN"/>
        </w:rPr>
        <w:t>15.1 投标有效期见《投标人须知前附表》。投标有效期短于要求的投标文件将被视为无效投标。特殊情况下，在原投标有效期截止之前，采购代理机构可要求投标人延长投标有效期。这种要求与答复均应以书面形式提交。投标人可拒绝采购代理机构的这种要求，其投标保证金将予以退还，但其投标在原投标有效期期满后将不再有效。同意延长投标有效期的投标人将不会被要求和允许修正其投标，而只会被要求相应地延长其投标保证金的有效期。在这种情况下，在这种情况下，本须知内有关投标保证金的退还和不予退还的规定将在延长了的有效期内继续有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2" w:name="_bookmark46"/>
      <w:bookmarkEnd w:id="52"/>
      <w:bookmarkStart w:id="53" w:name="_bookmark46"/>
      <w:bookmarkEnd w:id="53"/>
      <w:r>
        <w:rPr>
          <w:rFonts w:hint="eastAsia" w:ascii="宋体" w:hAnsi="宋体" w:eastAsia="宋体" w:cs="宋体"/>
          <w:color w:val="auto"/>
          <w:spacing w:val="0"/>
          <w:w w:val="100"/>
          <w:position w:val="0"/>
          <w:sz w:val="21"/>
          <w:szCs w:val="21"/>
          <w:highlight w:val="none"/>
          <w:lang w:val="en-US" w:eastAsia="zh-CN"/>
        </w:rPr>
        <w:t>15.2 投标保证金金额应满足《投标人须知前附表》的要求。投标保证金提交方式建议见《投标人须知前附表》，同时，接受法律法规规定可以使用的其他形式的投标保证金。以电汇形式提交投标保证金的，汇款底单或截图复印件作为凭证随投标文件一同提交；以其他形式提交投标保证金的，保证金原件随投标文件一同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15.3 采购代理机构自中标通知书发出之日起 5 个工作日内退还未中标人的投标保证金， 自政府采购合同签订之日起 5 个工作日内退还中标人的投标保证金。因投标人自身原因导致其投标保证金未能在规定时间内退还的，采购代理机构不承担任何责任。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4" w:name="_bookmark47"/>
      <w:bookmarkEnd w:id="54"/>
      <w:bookmarkStart w:id="55" w:name="_bookmark47"/>
      <w:bookmarkEnd w:id="55"/>
      <w:r>
        <w:rPr>
          <w:rFonts w:hint="eastAsia" w:ascii="宋体" w:hAnsi="宋体" w:eastAsia="宋体" w:cs="宋体"/>
          <w:color w:val="auto"/>
          <w:spacing w:val="0"/>
          <w:w w:val="100"/>
          <w:position w:val="0"/>
          <w:sz w:val="21"/>
          <w:szCs w:val="21"/>
          <w:highlight w:val="none"/>
          <w:lang w:val="en-US" w:eastAsia="zh-CN"/>
        </w:rPr>
        <w:t>15.4 投标保证金是为了保护采购代理机构和采购人免遭因投标人的行为而蒙受损失。下列任一情况发生时，投标保证金将不退还投标人：</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bookmarkStart w:id="56" w:name="_bookmark48"/>
      <w:bookmarkEnd w:id="56"/>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投标人在投标有效期内撤销投标文件的；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中标后无正当理由不与采购人签订合同的；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将中标项目转让给他人，或者在投标文件中未说明，且未经采购人同意，将中标项目转包或部分分包给他人的；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中标人未按招标文件规定缴纳履约保证金的；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拒绝履行合同义务的。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投标人恶意串通，妨碍其他投标人的竞争行为，损害采购人或者其他投标人的合法权益的。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投标人出现</w:t>
      </w:r>
      <w:r>
        <w:rPr>
          <w:rFonts w:hint="eastAsia" w:ascii="宋体" w:hAnsi="宋体" w:eastAsia="宋体" w:cs="宋体"/>
          <w:color w:val="auto"/>
          <w:spacing w:val="0"/>
          <w:w w:val="100"/>
          <w:position w:val="0"/>
          <w:sz w:val="21"/>
          <w:szCs w:val="21"/>
          <w:highlight w:val="none"/>
          <w:lang w:val="en-US" w:eastAsia="zh-CN"/>
        </w:rPr>
        <w:t xml:space="preserve">本须知第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"_bookmark47"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20.7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w:t>
      </w:r>
      <w:r>
        <w:rPr>
          <w:rFonts w:hint="eastAsia" w:ascii="宋体" w:hAnsi="宋体" w:eastAsia="宋体" w:cs="宋体"/>
          <w:color w:val="auto"/>
          <w:kern w:val="0"/>
          <w:sz w:val="21"/>
          <w:szCs w:val="21"/>
          <w:highlight w:val="none"/>
        </w:rPr>
        <w:t>所述情形之一的，视为投标人串通投标，其投标无效。</w:t>
      </w:r>
    </w:p>
    <w:p>
      <w:pPr>
        <w:pStyle w:val="5"/>
        <w:spacing w:before="31"/>
        <w:ind w:right="119"/>
        <w:outlineLvl w:val="1"/>
        <w:rPr>
          <w:rFonts w:hint="eastAsia" w:ascii="宋体" w:hAnsi="宋体" w:eastAsia="宋体" w:cs="宋体"/>
          <w:color w:val="auto"/>
          <w:spacing w:val="0"/>
          <w:w w:val="100"/>
          <w:position w:val="0"/>
          <w:sz w:val="24"/>
          <w:szCs w:val="24"/>
          <w:highlight w:val="none"/>
        </w:rPr>
      </w:pPr>
      <w:bookmarkStart w:id="57" w:name="_Toc7399"/>
      <w:r>
        <w:rPr>
          <w:rFonts w:hint="eastAsia" w:ascii="宋体" w:hAnsi="宋体" w:eastAsia="宋体" w:cs="宋体"/>
          <w:color w:val="auto"/>
          <w:spacing w:val="0"/>
          <w:w w:val="100"/>
          <w:position w:val="0"/>
          <w:sz w:val="24"/>
          <w:szCs w:val="24"/>
          <w:highlight w:val="none"/>
        </w:rPr>
        <w:t>四、投标文件的递交</w:t>
      </w:r>
      <w:bookmarkEnd w:id="57"/>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16 投标文件的包装及标记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8" w:name="_bookmark49"/>
      <w:bookmarkEnd w:id="58"/>
      <w:bookmarkStart w:id="59" w:name="_bookmark49"/>
      <w:bookmarkEnd w:id="59"/>
      <w:r>
        <w:rPr>
          <w:rFonts w:hint="eastAsia" w:ascii="宋体" w:hAnsi="宋体" w:eastAsia="宋体" w:cs="宋体"/>
          <w:color w:val="auto"/>
          <w:spacing w:val="0"/>
          <w:w w:val="100"/>
          <w:position w:val="0"/>
          <w:sz w:val="21"/>
          <w:szCs w:val="21"/>
          <w:highlight w:val="none"/>
          <w:lang w:val="en-US" w:eastAsia="zh-CN"/>
        </w:rPr>
        <w:t>16.1 投标文件的包装及标记要求见《投标人须知前附表》。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16.2 如果未按本须知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"_bookmark49"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16.1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条要求加写标记，采购人和采购代理机构对误投或提前启封或错误启封或无法正确宣读/记录概不负责。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如</w:t>
      </w:r>
      <w:r>
        <w:rPr>
          <w:rFonts w:hint="eastAsia" w:ascii="宋体" w:hAnsi="宋体" w:eastAsia="宋体" w:cs="宋体"/>
          <w:color w:val="auto"/>
          <w:spacing w:val="0"/>
          <w:w w:val="100"/>
          <w:position w:val="0"/>
          <w:sz w:val="21"/>
          <w:szCs w:val="21"/>
          <w:highlight w:val="none"/>
          <w:lang w:val="en-US" w:eastAsia="zh-CN"/>
        </w:rPr>
        <w:t>《投标人须知前附表》</w:t>
      </w:r>
      <w:r>
        <w:rPr>
          <w:rFonts w:hint="eastAsia" w:ascii="宋体" w:hAnsi="宋体" w:eastAsia="宋体" w:cs="宋体"/>
          <w:color w:val="auto"/>
          <w:kern w:val="0"/>
          <w:sz w:val="21"/>
          <w:szCs w:val="21"/>
          <w:highlight w:val="none"/>
        </w:rPr>
        <w:t>中要求提供样品的，应按要求提供样品及相关资料。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.1提供样品的包件，必须提供与投标型号相同的现场实样展示；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.2</w:t>
      </w:r>
      <w:r>
        <w:rPr>
          <w:rFonts w:hint="eastAsia" w:ascii="宋体" w:hAnsi="宋体" w:eastAsia="宋体" w:cs="宋体"/>
          <w:color w:val="auto"/>
          <w:sz w:val="21"/>
          <w:szCs w:val="21"/>
          <w:highlight w:val="none"/>
        </w:rPr>
        <w:t>未提供样品的投标人，该包件投标将不进入样品评审，样品评审环节不得分。</w:t>
      </w:r>
      <w:r>
        <w:rPr>
          <w:rFonts w:hint="eastAsia" w:ascii="宋体" w:hAnsi="宋体" w:eastAsia="宋体" w:cs="宋体"/>
          <w:b/>
          <w:color w:val="auto"/>
          <w:sz w:val="21"/>
          <w:szCs w:val="21"/>
          <w:highlight w:val="none"/>
        </w:rPr>
        <w:t>样品外醒目处必须用不干胶材料（自粘标签材料）粘贴并注明投标单位全称、</w:t>
      </w:r>
      <w:r>
        <w:rPr>
          <w:rFonts w:hint="eastAsia" w:ascii="宋体" w:hAnsi="宋体" w:eastAsia="宋体" w:cs="宋体"/>
          <w:color w:val="auto"/>
          <w:sz w:val="21"/>
          <w:szCs w:val="21"/>
          <w:highlight w:val="none"/>
        </w:rPr>
        <w:t>器材（装备）名称、型号，并与投标样品清单相对应，不干胶材料大小小于4cm*4cm。</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.3样品按招标文件要求制作，材质、式样及规格、型号必须满足招标文件的实质性要求，并为检测合格的产品。中标后由采购人予以封存；未中标的投标样品由采购代理机构统一退还。</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.4样品提交要求：</w:t>
      </w:r>
      <w:r>
        <w:rPr>
          <w:rFonts w:hint="eastAsia" w:ascii="宋体" w:hAnsi="宋体" w:eastAsia="宋体" w:cs="宋体"/>
          <w:color w:val="auto"/>
          <w:sz w:val="21"/>
          <w:szCs w:val="21"/>
          <w:highlight w:val="none"/>
        </w:rPr>
        <w:t>递交样品时需同时递交投标样品清单及</w:t>
      </w:r>
      <w:r>
        <w:rPr>
          <w:rFonts w:hint="eastAsia" w:ascii="宋体" w:hAnsi="宋体" w:eastAsia="宋体" w:cs="宋体"/>
          <w:color w:val="auto"/>
          <w:sz w:val="21"/>
          <w:szCs w:val="21"/>
          <w:highlight w:val="none"/>
          <w:lang w:eastAsia="zh-CN"/>
        </w:rPr>
        <w:t>U盘</w:t>
      </w:r>
      <w:r>
        <w:rPr>
          <w:rFonts w:hint="eastAsia" w:ascii="宋体" w:hAnsi="宋体" w:eastAsia="宋体" w:cs="宋体"/>
          <w:color w:val="auto"/>
          <w:sz w:val="21"/>
          <w:szCs w:val="21"/>
          <w:highlight w:val="none"/>
        </w:rPr>
        <w:t>一套。</w:t>
      </w:r>
      <w:r>
        <w:rPr>
          <w:rFonts w:hint="eastAsia" w:ascii="宋体" w:hAnsi="宋体" w:eastAsia="宋体" w:cs="宋体"/>
          <w:color w:val="auto"/>
          <w:sz w:val="21"/>
          <w:szCs w:val="21"/>
          <w:highlight w:val="none"/>
          <w:lang w:eastAsia="zh-CN"/>
        </w:rPr>
        <w:t>U盘</w:t>
      </w:r>
      <w:r>
        <w:rPr>
          <w:rFonts w:hint="eastAsia" w:ascii="宋体" w:hAnsi="宋体" w:eastAsia="宋体" w:cs="宋体"/>
          <w:color w:val="auto"/>
          <w:sz w:val="21"/>
          <w:szCs w:val="21"/>
          <w:highlight w:val="none"/>
        </w:rPr>
        <w:t>内容为电子版投标样品清单，格式为EXCEL或WORD。（样品清单表格</w:t>
      </w:r>
      <w:r>
        <w:rPr>
          <w:rFonts w:hint="eastAsia" w:ascii="宋体" w:hAnsi="宋体" w:eastAsia="宋体" w:cs="宋体"/>
          <w:color w:val="auto"/>
          <w:sz w:val="21"/>
          <w:szCs w:val="21"/>
          <w:highlight w:val="none"/>
          <w:lang w:eastAsia="zh-CN"/>
        </w:rPr>
        <w:t>自拟</w:t>
      </w:r>
      <w:r>
        <w:rPr>
          <w:rFonts w:hint="eastAsia" w:ascii="宋体" w:hAnsi="宋体" w:eastAsia="宋体" w:cs="宋体"/>
          <w:color w:val="auto"/>
          <w:sz w:val="21"/>
          <w:szCs w:val="21"/>
          <w:highlight w:val="none"/>
        </w:rPr>
        <w:t>）样品清单须包含正面、背面、左侧面45度角清晰照片三张。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.5采购人不对样品支付任何补偿。</w:t>
      </w:r>
    </w:p>
    <w:p>
      <w:pPr>
        <w:adjustRightInd w:val="0"/>
        <w:snapToGrid w:val="0"/>
        <w:spacing w:line="360" w:lineRule="auto"/>
        <w:ind w:firstLine="420" w:firstLineChars="200"/>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采购活动结束后，对于未中标人提供的样品，应当及时退还或者经未中标人同意后自行处理；对于中标人提供的样品，应当按照招标文件的规定进行保管、封存，并作为履约验收的参考。</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 投标文件的密封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17.1 投标人的所有投标文件及其组成部分的包装均应进行密封。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17.2 为了方便唱标，放有开标一览表的包装应当单独密封，与装订成册的投标文件正副本及其他组成部分一起递交。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17.3 为了方便开标时唱出，放有修改投标文件的通知（如有的话）的包装应当单独密封。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 投标截止时间及投标地点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18.1 提交投标文件截止时间（即“投标截止时间”）见第一章投标邀请。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18.2 投标文件须按照招标文件规定的时间、地点送达，在投标截止时间以后（以文件送达并完成递交登记为准）送达的投标文件，采购代理机构应当拒收。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18.3 采购代理机构可以依法酌情延长投标截止时间。在此情况下，采购人和投标人受投标截止时间制约的所有权利和义务均应延长至新的投标截止时间。</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 投标文件的修改与撤回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19.1 投标人可以在投标截止时间前，对所递交的投标文件进行修改（修改包括补充，下同）或者撤回，并以书面形式通知采购代理机构。投标文件的修改是投标文件的组成部分。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0" w:name="_bookmark50"/>
      <w:bookmarkEnd w:id="60"/>
      <w:bookmarkStart w:id="61" w:name="_bookmark50"/>
      <w:bookmarkEnd w:id="61"/>
      <w:r>
        <w:rPr>
          <w:rFonts w:hint="eastAsia" w:ascii="宋体" w:hAnsi="宋体" w:eastAsia="宋体" w:cs="宋体"/>
          <w:color w:val="auto"/>
          <w:spacing w:val="0"/>
          <w:w w:val="100"/>
          <w:position w:val="0"/>
          <w:sz w:val="21"/>
          <w:szCs w:val="21"/>
          <w:highlight w:val="none"/>
          <w:lang w:val="en-US" w:eastAsia="zh-CN"/>
        </w:rPr>
        <w:t>19.2 投标人修改投标文件的通知应逐页加盖公章或者逐页由投标人法定代表人签署或由被授权人签字，并应单独包装同时在包装袋上标明“投标文件修改通知”、 项目名称、项目编号、包件号、包件名称、投标人名称和“在【投标截止时间】之前不得启封”的字样，单独密封后提交。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19.3 投标人撤回投标文件的通知应由投标人法定代表人签署或由被授权人签字。</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19.4 从投标截止时间起至投标有效期期满这段时间内，投标人不得撤销其投标文件，否则采购人或采购代理机构可以按照本须知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"_bookmark47"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15.4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条的规定不退还其投标保证金。</w:t>
      </w:r>
    </w:p>
    <w:p>
      <w:pPr>
        <w:pStyle w:val="5"/>
        <w:spacing w:before="2"/>
        <w:ind w:right="113"/>
        <w:outlineLvl w:val="1"/>
        <w:rPr>
          <w:rFonts w:hint="eastAsia" w:ascii="宋体" w:hAnsi="宋体" w:eastAsia="宋体" w:cs="宋体"/>
          <w:color w:val="auto"/>
          <w:spacing w:val="0"/>
          <w:w w:val="100"/>
          <w:position w:val="0"/>
          <w:sz w:val="24"/>
          <w:szCs w:val="24"/>
          <w:highlight w:val="none"/>
        </w:rPr>
      </w:pPr>
      <w:bookmarkStart w:id="62" w:name="_bookmark51"/>
      <w:bookmarkEnd w:id="62"/>
      <w:bookmarkStart w:id="63" w:name="_Toc9969"/>
      <w:r>
        <w:rPr>
          <w:rFonts w:hint="eastAsia" w:ascii="宋体" w:hAnsi="宋体" w:eastAsia="宋体" w:cs="宋体"/>
          <w:color w:val="auto"/>
          <w:spacing w:val="0"/>
          <w:w w:val="100"/>
          <w:position w:val="0"/>
          <w:sz w:val="24"/>
          <w:szCs w:val="24"/>
          <w:highlight w:val="none"/>
        </w:rPr>
        <w:t>五、开标与评标</w:t>
      </w:r>
      <w:bookmarkEnd w:id="63"/>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20.开标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20.1采购代理机构在招标文件规定的投标截止时间的同一时间即开标时间和规定的地点组织公开开标，开标由采购人或者采购代理机构主持，并邀请所有投标人法定代表人或其授权代表参加。参加开标的投标人代表应签名以证明其出席。评标委员会成员不得参加开标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20.2开标时，应当由投标人或者其推选的代表检查投标文件的密封情况；经确认无误后，由采购人或者采购代理机构工作人员当众拆封，宣布投标人名称、投标价格和招标文件规定的需要宣布的其他内容，并记录在案。</w:t>
      </w:r>
    </w:p>
    <w:p>
      <w:pPr>
        <w:adjustRightInd w:val="0"/>
        <w:snapToGrid w:val="0"/>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如果递交投标文件的投标人不足3家，将不进行开标，采购人将依法重新组织招标或采用</w:t>
      </w:r>
      <w:r>
        <w:rPr>
          <w:rFonts w:hint="eastAsia" w:ascii="宋体" w:hAnsi="宋体" w:eastAsia="宋体" w:cs="宋体"/>
          <w:b/>
          <w:color w:val="auto"/>
          <w:sz w:val="21"/>
          <w:szCs w:val="21"/>
          <w:highlight w:val="none"/>
          <w:lang w:eastAsia="zh-CN"/>
        </w:rPr>
        <w:t>其他</w:t>
      </w:r>
      <w:r>
        <w:rPr>
          <w:rFonts w:hint="eastAsia" w:ascii="宋体" w:hAnsi="宋体" w:eastAsia="宋体" w:cs="宋体"/>
          <w:b/>
          <w:color w:val="auto"/>
          <w:sz w:val="21"/>
          <w:szCs w:val="21"/>
          <w:highlight w:val="none"/>
        </w:rPr>
        <w:t>采购方式采购。</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.3开标过程由采购代理机构负责记录，由参加开标的各投标人代表、采购人代表、监督人、记录人和相关工作人员签字确认后随采购文件一并存档。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投标人未参加开标的，视同认可开标结果。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.4公开招标数额标准以上的采购项目，投标截止时间后投标人不足3家或者通过资格审查或符合性审查的投标人不足3家的，除采购任务取消情形外，按照以下方式处理：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.4.1招标文件存在不合理条款或者招标程序不符合规定的，采购人、采购代理机构改正后依法重新招标；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.4.2招标文件没有不合理条款、招标程序符合规定，需要采用其他采购方式采购的，采购人应当依法报财政部门批准。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.5开标结束后，采购人或者采购代理机构应当依法对投标人的资格进行审查。</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如果资格审查合格的投标人不足3家，将不进行评标，</w:t>
      </w:r>
      <w:r>
        <w:rPr>
          <w:rFonts w:hint="eastAsia" w:ascii="宋体" w:hAnsi="宋体" w:eastAsia="宋体" w:cs="宋体"/>
          <w:b/>
          <w:color w:val="auto"/>
          <w:sz w:val="21"/>
          <w:szCs w:val="21"/>
          <w:highlight w:val="none"/>
        </w:rPr>
        <w:t>采购人将依法重新组织招标或采用</w:t>
      </w:r>
      <w:r>
        <w:rPr>
          <w:rFonts w:hint="eastAsia" w:ascii="宋体" w:hAnsi="宋体" w:eastAsia="宋体" w:cs="宋体"/>
          <w:b/>
          <w:color w:val="auto"/>
          <w:sz w:val="21"/>
          <w:szCs w:val="21"/>
          <w:highlight w:val="none"/>
          <w:lang w:eastAsia="zh-CN"/>
        </w:rPr>
        <w:t>其他</w:t>
      </w:r>
      <w:r>
        <w:rPr>
          <w:rFonts w:hint="eastAsia" w:ascii="宋体" w:hAnsi="宋体" w:eastAsia="宋体" w:cs="宋体"/>
          <w:b/>
          <w:color w:val="auto"/>
          <w:sz w:val="21"/>
          <w:szCs w:val="21"/>
          <w:highlight w:val="none"/>
        </w:rPr>
        <w:t>采购方式采购。</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.6投标人应当遵循公平竞争的原则，不得恶意串通，不得妨碍其他投标人的竞争行为，不得损害采购人或者其他投标人的合法权益。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在评标过程中发现投标人有上述情形的，评标委员会应当认定其</w:t>
      </w:r>
      <w:r>
        <w:rPr>
          <w:rFonts w:hint="eastAsia" w:ascii="宋体" w:hAnsi="宋体" w:eastAsia="宋体" w:cs="宋体"/>
          <w:b/>
          <w:color w:val="auto"/>
          <w:kern w:val="0"/>
          <w:sz w:val="21"/>
          <w:szCs w:val="21"/>
          <w:highlight w:val="none"/>
        </w:rPr>
        <w:t>投标无效</w:t>
      </w:r>
      <w:r>
        <w:rPr>
          <w:rFonts w:hint="eastAsia" w:ascii="宋体" w:hAnsi="宋体" w:eastAsia="宋体" w:cs="宋体"/>
          <w:color w:val="auto"/>
          <w:kern w:val="0"/>
          <w:sz w:val="21"/>
          <w:szCs w:val="21"/>
          <w:highlight w:val="none"/>
        </w:rPr>
        <w:t>，并书面报告本级财政部门。</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20</w:t>
      </w:r>
      <w:r>
        <w:rPr>
          <w:rFonts w:hint="eastAsia" w:ascii="宋体" w:hAnsi="宋体" w:eastAsia="宋体" w:cs="宋体"/>
          <w:b/>
          <w:color w:val="auto"/>
          <w:kern w:val="0"/>
          <w:sz w:val="21"/>
          <w:szCs w:val="21"/>
          <w:highlight w:val="none"/>
        </w:rPr>
        <w:t>.7</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有下列情形之一的，视为投标人串通投标，其投标无效</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并对投标人依照《政府采购法》第七十七条的规定追究法律责任：</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不同投标人的投标文件由同一单位或者个人编制；</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不同投标人委托同一单位或者个人办理投标事宜；</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不同投标人的投标文件载明的项目管理成员或者联系人员为同一人；</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不同投标人的投标文件异常一致或者投标报价呈规律性差异；</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不同投标人的投标文件相互混装；</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不同投标人的投标保证金从同一单位或者个人的账户转出。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21.评标委员会</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.1采购人或者采购代理机构负责组织评标工作，并履行下列职责：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.1.1核对评标专家身份和采购人代表授权函，对评标专家在政府采购活动中的职责履行情况予以记录，并及时将有关违法违规行为向财政部门报告；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.1.2宣布评标纪律；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.1.3公布投标人名单，告知评标专家应当回避的情形；</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.1.4组织评标委员会推选评标组长</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采购人代表不得担任组长；</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.1.5在评标期间采取必要的通讯管理措施</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保证评标活动不受外界干扰；</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.1.6根据评标委员会的要求介绍政府采购相关政策法规、招标文件；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.1.7维护评标秩序，监督评标委员会依照招标文件规定的评标程序、方法和标准进行独立评标，及时制止和纠正采购人代表、评标专家的倾向性言论或者违法违规行为；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.1.8核对评标结果，有</w:t>
      </w:r>
      <w:r>
        <w:rPr>
          <w:rFonts w:hint="eastAsia" w:ascii="宋体" w:hAnsi="宋体" w:eastAsia="宋体" w:cs="宋体"/>
          <w:color w:val="auto"/>
          <w:spacing w:val="0"/>
          <w:w w:val="100"/>
          <w:position w:val="0"/>
          <w:sz w:val="21"/>
          <w:szCs w:val="21"/>
          <w:highlight w:val="none"/>
        </w:rPr>
        <w:t xml:space="preserve">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22.11</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w:t>
      </w:r>
      <w:r>
        <w:rPr>
          <w:rFonts w:hint="eastAsia" w:ascii="宋体" w:hAnsi="宋体" w:eastAsia="宋体" w:cs="宋体"/>
          <w:color w:val="auto"/>
          <w:kern w:val="0"/>
          <w:sz w:val="21"/>
          <w:szCs w:val="21"/>
          <w:highlight w:val="none"/>
        </w:rPr>
        <w:t>规定情形的，要求评标委员会复核或者书面说明理由，评标委员会拒绝的，应予记录并向本级财政部门报告；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.1.9评标工作完成后，按照规定向评标专家支付劳务报酬和异地评标差旅费，不得向评标专家以外的其他人员支付评标劳务报酬；</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.1.10处理与评标有关的其他事项。</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采购人可以在评标前说明项目背景和采购需求，说明内容不得含有歧视性、倾向性意见，不得超出招标文件所述范围。说明应当提交书面材料，并随采购文件一并存档。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.2评标委员会负责具体评标事务，并独立履行下列职责：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.2.1审查、评价投标文件是否符合招标文件的商务、技术等实质性要求；</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bookmarkStart w:id="64" w:name="OLE_LINK4"/>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w:t>
      </w:r>
      <w:bookmarkEnd w:id="64"/>
      <w:r>
        <w:rPr>
          <w:rFonts w:hint="eastAsia" w:ascii="宋体" w:hAnsi="宋体" w:eastAsia="宋体" w:cs="宋体"/>
          <w:color w:val="auto"/>
          <w:kern w:val="0"/>
          <w:sz w:val="21"/>
          <w:szCs w:val="21"/>
          <w:highlight w:val="none"/>
        </w:rPr>
        <w:t>2要求投标人对投标文件有关事项作出澄清或者说明；</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.2.3对投标文件进行比较和评价；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.2.4确定中标候选人名单，或者根据采购人委托直接确定中标人；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.2.5向采购人、采购代理机构或者有关部门报告评标中发现的违法行为。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.3评标委员会由采购人代表和评标专家组成，成员人数应当为5人以上单数，其中评标专家不得少于成员总数的三分之二。评标委员会成员与投标人存在利害关系的，应当回避。</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.3.1采购项目符合下列情形之一的，评标委员会成员人数应当为7人以上单数：</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（1）采购预算金额在1000万元以上；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（2）技术复杂；</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（3）社会影响较大。</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3.2评标专家对本单位的采购项目只能作为采购人代表参与评标，对技术复杂、专业性强的采购项目，通过随机方式难以确定合适评标专家的，经主管预算单位同意，采购人可以自行选定相应专业领域的评标专家情形除外。采购代理机构工作人员不得参加由本机构代理的政府采购项目的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.3.3评标委员会成员名单在评标结果公告前应当保密。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.4采购人或者采购代理机构应当从省级以上财政部门设立的政府采购评标专家库中，通过随机方式抽取评标专家。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对技术复杂、专业性强的采购项目，通过随机方式难以确定合适评标专家的，经主管预算单位同意，采购人可以自行选定相应专业领域的评标专家。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5评标中因评标委员会成员缺席、回避或者健康等特殊原因导致评标委员会组成不符合《中华人民共和国政府采购法》、《中华人民共和国政府采购法实施条例》、《政府采购货物和服务招标投标管理办法》相关规定的，采购人或者采购代理机构应当依法补足后继续评标。被更换的评标委员会成员所作出的评标意见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无法及时补足评标委员会成员的，采购人或者采购代理机构应当停止评标活动，封存所有投标文件和开标、评标资料，依法重新组建评标委员会进行评标。原评标委员会所作出的评标意见无效。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采购人或者采购代理机构应当将变更、重新组建评标委员会的情况予以记录，并随采购文件一并存档。</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21</w:t>
      </w:r>
      <w:r>
        <w:rPr>
          <w:rFonts w:hint="eastAsia" w:ascii="宋体" w:hAnsi="宋体" w:eastAsia="宋体" w:cs="宋体"/>
          <w:b/>
          <w:color w:val="auto"/>
          <w:kern w:val="0"/>
          <w:sz w:val="21"/>
          <w:szCs w:val="21"/>
          <w:highlight w:val="none"/>
        </w:rPr>
        <w:t>.6采购人委派代表参加评标委员会的，应当向采购代理机构出具授权函，采购人代表不得担任评标委员会主任委员。除授权代表外，采购人可以委派纪检监察等相关人员进入评标现场，对评标工作实施监督，但不得超过２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.7评标委员会成员应认真执行《中华人民共和国政府采购法》、《中华人民共和国政府采购法实施条例》、《政府采购货物和服务招标投标管理办法》及相关法规规定，同时维护采购人与投标人的合法权益。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.8评标委员会及其成员不得有下列行为：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（1）确定参与评标至评标结束前私自接触投标人；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（2）接受投标人提出的与投标文件不一致的澄清或者说明，本招标文件投标须知正文第2</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.2条规定的情形除外；</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（3）违反评标纪律发表倾向性意见或者征询采购人的倾向性意见；</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（4）对需要专业判断的主观评标因素协商评分；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（5）在评标过程中擅离职守，影响评标程序正常进行的；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（6）记录、复制或者带走任何评标资料；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（7）其他不遵守评标纪律的行为。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评标委员会成员有以上第1至5项行为之一的，其评标意见无效，并不得获取评标劳务报酬和报销异地评标差旅费。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9评标委员会成员要严格遵守评标时间，主动出具身份证明，遵守评标工作纪律和评标回避的相关规定。在评标工作开始前，将手机等通讯工具或相关电子设备交由采购人或采购代理机构统一保管，拒不上交的，采购人或采购代理机构可以拒绝其参加评标工作并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成员和评标工作有关人员不得干预或者影响正常评标工作，不得明示或者暗示其倾向性、引导性意见，不得修改或细化采购文件确定的评标程序、评标方法、评标因素和评标标准，不得接受投标人主动提出的澄清和解释，不得征询采购人代表的倾向性意见，不得协商评分，不得记录、复制或带走任何评标资料。评标结果汇总完成后，采购人、采购代理机构和评标委员会均不得修改评标结果或者要求重新评标，但资格性检查认定错误、分值汇总计算错误、分项评分超出评分标准范围、客观分评分不一致、经评标委员会一致认定评分畸高、畸低的情形除外。出现上述除外情形的，评标委员会应当现场修改评标结果，并在评标报告中明确记载。</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.评标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.1评标委员会按照第三章“评标方法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标准”规定的评标方法、评标因素、标准和程序以及有关法律、法规及规章对投标文件进行评标，评标委员会应当对符合资格的投标人的投标文件进行符合性审查，以确定其是否满足招标文件的实质性要求。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 投标文件的初步审查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22.2.1 资格审查标准：详见</w:t>
      </w:r>
      <w:r>
        <w:rPr>
          <w:rFonts w:hint="eastAsia" w:ascii="宋体" w:hAnsi="宋体" w:eastAsia="宋体" w:cs="宋体"/>
          <w:color w:val="auto"/>
          <w:spacing w:val="0"/>
          <w:w w:val="100"/>
          <w:position w:val="0"/>
          <w:sz w:val="21"/>
          <w:szCs w:val="21"/>
          <w:highlight w:val="none"/>
          <w:lang w:val="zh-CN" w:eastAsia="zh-CN"/>
        </w:rPr>
        <w:t>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22.2.2 符合性审查标准：详见</w:t>
      </w:r>
      <w:r>
        <w:rPr>
          <w:rFonts w:hint="eastAsia" w:ascii="宋体" w:hAnsi="宋体" w:eastAsia="宋体" w:cs="宋体"/>
          <w:color w:val="auto"/>
          <w:spacing w:val="0"/>
          <w:w w:val="100"/>
          <w:position w:val="0"/>
          <w:sz w:val="21"/>
          <w:szCs w:val="21"/>
          <w:highlight w:val="none"/>
          <w:lang w:val="zh-CN" w:eastAsia="zh-CN"/>
        </w:rPr>
        <w:t>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5" w:name="_bookmark52"/>
      <w:bookmarkEnd w:id="65"/>
      <w:bookmarkStart w:id="66" w:name="_bookmark52"/>
      <w:bookmarkEnd w:id="66"/>
      <w:r>
        <w:rPr>
          <w:rFonts w:hint="eastAsia" w:ascii="宋体" w:hAnsi="宋体" w:eastAsia="宋体" w:cs="宋体"/>
          <w:color w:val="auto"/>
          <w:spacing w:val="0"/>
          <w:w w:val="100"/>
          <w:position w:val="0"/>
          <w:sz w:val="21"/>
          <w:szCs w:val="21"/>
          <w:highlight w:val="none"/>
          <w:lang w:val="en-US" w:eastAsia="zh-CN"/>
        </w:rPr>
        <w:t>22.2.3 在符合性审查时，如发现下列情况之一的，其</w:t>
      </w:r>
      <w:r>
        <w:rPr>
          <w:rFonts w:hint="eastAsia" w:ascii="宋体" w:hAnsi="宋体" w:eastAsia="宋体" w:cs="宋体"/>
          <w:b/>
          <w:bCs/>
          <w:color w:val="auto"/>
          <w:spacing w:val="0"/>
          <w:w w:val="100"/>
          <w:position w:val="0"/>
          <w:sz w:val="21"/>
          <w:szCs w:val="21"/>
          <w:highlight w:val="none"/>
          <w:lang w:val="en-US" w:eastAsia="zh-CN"/>
        </w:rPr>
        <w:t>投标也将被否决</w:t>
      </w:r>
      <w:r>
        <w:rPr>
          <w:rFonts w:hint="eastAsia" w:ascii="宋体" w:hAnsi="宋体" w:eastAsia="宋体" w:cs="宋体"/>
          <w:color w:val="auto"/>
          <w:spacing w:val="0"/>
          <w:w w:val="100"/>
          <w:position w:val="0"/>
          <w:sz w:val="21"/>
          <w:szCs w:val="21"/>
          <w:highlight w:val="none"/>
          <w:lang w:val="en-US" w:eastAsia="zh-CN"/>
        </w:rPr>
        <w:t>，为无效投标：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（1）投标文件含有采购人不能接受的附加条件的；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（2）出现《投标人须知前附表》列明的其他无效投标情况之一的；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（3）法律、法规规定的其他无效情形；</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（4）投标文件符合招标文件中规定投标被否决的其他条款。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22.2.4 评标委员会决定投标的响应性质根据投标本身的真实无误的内容，而不依据外部的证据，但投标有不真实不正确的内容时除外。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22.2.5 投标文件报价出现前后不一致的，除《投标人须知前附表》另有规定外，按照下列规定修正：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（1）公开唱出的开标一览表投标总价与投标文件中相应内容不一致的，以公开唱出的开标一览表为准；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（2）公开唱出的开标一览表大写金额和小写金额不一致的，以大写金额为准；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（3）分项报价表中汇总金额与公开唱出的价格不一致，以公开唱出的开标一览表的总价为准，并修改单价。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修正后的报价按照本须知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"_bookmark54"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24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条的规定经投标人确认后产生约束力，投标人不确认的， 其投标将被否决。</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7" w:name="_bookmark53"/>
      <w:bookmarkEnd w:id="67"/>
      <w:bookmarkStart w:id="68" w:name="_bookmark53"/>
      <w:bookmarkEnd w:id="68"/>
      <w:r>
        <w:rPr>
          <w:rFonts w:hint="eastAsia" w:ascii="宋体" w:hAnsi="宋体" w:eastAsia="宋体" w:cs="宋体"/>
          <w:color w:val="auto"/>
          <w:spacing w:val="0"/>
          <w:w w:val="100"/>
          <w:position w:val="0"/>
          <w:sz w:val="21"/>
          <w:szCs w:val="21"/>
          <w:highlight w:val="none"/>
          <w:lang w:val="en-US" w:eastAsia="zh-CN"/>
        </w:rPr>
        <w:t>22.2.6 提供相同品牌核心产品且通过资格审查、符合性审查的不同投标人参加同一合同项下投标的，按一家投标人计算。非单一产品采购项目，多家投标人提供的核心产品品牌相同的，视同为提供相同品牌产品，同样按一家投标人计算。核心产品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对于投标文件中含义不明确、同类问题表述不一致或者有明显文字和计算错误的内容，评标委员会应当以书面形式要求投标人作出必要的澄清、说明或者补正。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投标人的澄清、说明或者补正应当采用书面形式，并加盖公章或者由法定代表人或其授权的代表签字。投标人的澄清、说明或者补正不得超出投标文件的范围或者改变投标文件的实质性内容。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投标文件报价出现前后不一致的，除招标文件另有规定外，按照下列规定修正：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.1投标文件中开标一览表（报价表）内容与投标文件中相应内容不一致的，以开标一览表（报价表）为准；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.2大写金额和小写金额不一致的，以大写金额为准；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.3单价金额小数点或者百分比有明显错位的，以开标一览表的总价为准，并修改单价；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.4总价金额与按单价汇总金额不一致的，以单价金额计算结果为准。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同时出现两种以上不一致的，按照前款规定的顺序修正。修正后的报价按照本招标文件</w:t>
      </w:r>
      <w:r>
        <w:rPr>
          <w:rFonts w:hint="eastAsia" w:ascii="宋体" w:hAnsi="宋体" w:eastAsia="宋体" w:cs="宋体"/>
          <w:color w:val="auto"/>
          <w:spacing w:val="0"/>
          <w:w w:val="100"/>
          <w:position w:val="0"/>
          <w:sz w:val="21"/>
          <w:szCs w:val="21"/>
          <w:highlight w:val="none"/>
          <w:lang w:val="en-US" w:eastAsia="zh-CN"/>
        </w:rPr>
        <w:t xml:space="preserve">本须知 </w:t>
      </w: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 xml:space="preserve"> 条</w:t>
      </w:r>
      <w:r>
        <w:rPr>
          <w:rFonts w:hint="eastAsia" w:ascii="宋体" w:hAnsi="宋体" w:eastAsia="宋体" w:cs="宋体"/>
          <w:color w:val="auto"/>
          <w:spacing w:val="0"/>
          <w:w w:val="100"/>
          <w:position w:val="0"/>
          <w:sz w:val="21"/>
          <w:szCs w:val="21"/>
          <w:highlight w:val="none"/>
          <w:lang w:val="zh-CN" w:eastAsia="zh-CN"/>
        </w:rPr>
        <w:t>的规定经投标人确认后产生约束力，*投标人拒绝确认的，其投标无效。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5</w:t>
      </w:r>
      <w:r>
        <w:rPr>
          <w:rFonts w:hint="eastAsia" w:ascii="宋体" w:hAnsi="宋体" w:eastAsia="宋体" w:cs="宋体"/>
          <w:color w:val="auto"/>
          <w:spacing w:val="0"/>
          <w:w w:val="100"/>
          <w:position w:val="0"/>
          <w:sz w:val="21"/>
          <w:szCs w:val="21"/>
          <w:highlight w:val="none"/>
          <w:lang w:val="zh-CN"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6</w:t>
      </w:r>
      <w:r>
        <w:rPr>
          <w:rFonts w:hint="eastAsia" w:ascii="宋体" w:hAnsi="宋体" w:eastAsia="宋体" w:cs="宋体"/>
          <w:color w:val="auto"/>
          <w:spacing w:val="0"/>
          <w:w w:val="100"/>
          <w:position w:val="0"/>
          <w:sz w:val="21"/>
          <w:szCs w:val="21"/>
          <w:highlight w:val="none"/>
          <w:lang w:val="zh-CN" w:eastAsia="zh-CN"/>
        </w:rPr>
        <w:t>评标委员会成员对需要共同认定的事项存在争议的，应当按照少数服从多数的原则作出结论。持不同意见的评标委员会成员应当在评标报告上签署不同意见及理由，否则视为同意评标报告。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7</w:t>
      </w:r>
      <w:r>
        <w:rPr>
          <w:rFonts w:hint="eastAsia" w:ascii="宋体" w:hAnsi="宋体" w:eastAsia="宋体" w:cs="宋体"/>
          <w:color w:val="auto"/>
          <w:spacing w:val="0"/>
          <w:w w:val="100"/>
          <w:position w:val="0"/>
          <w:sz w:val="21"/>
          <w:szCs w:val="21"/>
          <w:highlight w:val="none"/>
          <w:lang w:val="zh-CN" w:eastAsia="zh-CN"/>
        </w:rPr>
        <w:t>评标委员会应当按照招标文件中规定的评标方法和标准，对资格性审查、符合性审查合格的投标文件进行商务和技术评估，综合比较与评价。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本项目评标方法为：综合评分法。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.1综合评分法，是投标文件满足招标文件全部实质性要求，且按照评标因素的量化指标评标得分最高的投标人为中标候选人的评标方法。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评标因素的设定与投标人所提供货物服务的质量相关，包括投标报价、技术或者服务水平、履约能力、售后服务等。资格条件不得作为评标因素。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.2评标时，评标委员会各成员应当独立对每个投标人的投标文件进行评价，并汇总每个投标人的得分。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.3评标过程中，不得去掉报价中的最高报价和最低报价。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.4因落实政府采购政策进行价格调整的，以调整后的价格计算评标基准价和投标报价。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9</w:t>
      </w:r>
      <w:r>
        <w:rPr>
          <w:rFonts w:hint="eastAsia" w:ascii="宋体" w:hAnsi="宋体" w:eastAsia="宋体" w:cs="宋体"/>
          <w:color w:val="auto"/>
          <w:spacing w:val="0"/>
          <w:w w:val="100"/>
          <w:position w:val="0"/>
          <w:sz w:val="21"/>
          <w:szCs w:val="21"/>
          <w:highlight w:val="none"/>
          <w:lang w:val="zh-CN" w:eastAsia="zh-CN"/>
        </w:rPr>
        <w:t>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10</w:t>
      </w:r>
      <w:r>
        <w:rPr>
          <w:rFonts w:hint="eastAsia" w:ascii="宋体" w:hAnsi="宋体" w:eastAsia="宋体" w:cs="宋体"/>
          <w:color w:val="auto"/>
          <w:spacing w:val="0"/>
          <w:w w:val="100"/>
          <w:position w:val="0"/>
          <w:sz w:val="21"/>
          <w:szCs w:val="21"/>
          <w:highlight w:val="none"/>
          <w:lang w:val="zh-CN" w:eastAsia="zh-CN"/>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1</w:t>
      </w:r>
      <w:r>
        <w:rPr>
          <w:rFonts w:hint="eastAsia" w:ascii="宋体" w:hAnsi="宋体" w:eastAsia="宋体" w:cs="宋体"/>
          <w:color w:val="auto"/>
          <w:spacing w:val="0"/>
          <w:w w:val="100"/>
          <w:position w:val="0"/>
          <w:sz w:val="21"/>
          <w:szCs w:val="21"/>
          <w:highlight w:val="none"/>
          <w:lang w:val="zh-CN" w:eastAsia="zh-CN"/>
        </w:rPr>
        <w:t>评标结果汇总完成后，除下列情形外，任何人不得修改评标结果：</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（1）分值汇总计算错误的；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（2）分项评分超出评分标准范围的；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（3）评标委员会成员对客观评标因素评分不一致的；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（4）经评标委员会认定评分畸高、畸低的。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评标报告签署前，经复核发现存在以上情形之一的，评标委员会应当当场修改评标结果，并在评标报告中记载；评标报告签署后，采购人或者采购代理机构发现存在以上情形之一的，应当组织原评标委员会进行重新评标，重新评标改变评标结果的，书面报告本级财政部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投标人对上述(1)～(4)项提出质疑的，采购人或者采购代理机构可以组织原评标委员会进行重新评标，重新评标改变评标结果的，应当书面报告本级财政部门。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评标委员会根据全体评标成员签字的原始评标记录和评标结果编写评标报告。评标报告应当包括以下内容：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（1）招标公告刊登的媒体名称、开标日期和地点；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（2）投标人名单和评标委员会成员名单；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（3）评标方法和标准；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（4）开标记录和评标情况及说明，包括无效投标人名单及原因；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（5）评标结果，确定的中标候选人名单或者经采购人委托直接确定的中标人；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（6）其他需要说明的情况，包括评标过程中投标人根据评标委员会要求进行的澄清、说明或者补正，评标委员会成员的更换等。</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采购人、采购代理机构应当采取必要措施加强评标现场管理，与评标工作无关的人员不得进入评标现场，保证评标在严格保密的情况下进行。除采购人代表、评标现场组织人员外，采购人的其他工作人员以及与评标工作无关的人员不得进入评标现场。评标委员会成员及其他有关人员对评标情况以及在评标过程中获悉的国家秘密、商业秘密负有保密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评标委员会或者其成员存在下列情形导致评标结果无效的，采购人、采购代理机构可以重新组建评标委员会进行评标，并书面报告本级财政部门，但采购合同已经履行的除外：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（1）评标委员会组成不符合本招标文件规定的；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（2）有《政府采购货物和服务招标投标管理办法》（财政部令第87号）第六十二条第一至五项（即：</w:t>
      </w:r>
      <w:r>
        <w:rPr>
          <w:rFonts w:hint="eastAsia" w:ascii="宋体" w:hAnsi="宋体" w:eastAsia="宋体" w:cs="宋体"/>
          <w:color w:val="auto"/>
          <w:spacing w:val="0"/>
          <w:w w:val="100"/>
          <w:position w:val="0"/>
          <w:sz w:val="21"/>
          <w:szCs w:val="21"/>
          <w:highlight w:val="none"/>
        </w:rPr>
        <w:t xml:space="preserve">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21.8</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w:t>
      </w:r>
      <w:r>
        <w:rPr>
          <w:rFonts w:hint="eastAsia" w:ascii="宋体" w:hAnsi="宋体" w:eastAsia="宋体" w:cs="宋体"/>
          <w:color w:val="auto"/>
          <w:spacing w:val="0"/>
          <w:w w:val="100"/>
          <w:position w:val="0"/>
          <w:sz w:val="21"/>
          <w:szCs w:val="21"/>
          <w:highlight w:val="none"/>
          <w:lang w:val="zh-CN" w:eastAsia="zh-CN"/>
        </w:rPr>
        <w:t>第（1）至（5）项）情形的；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（3）评标委员会及其成员独立评标受到非法干预的；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（4）有《政府采购法实施条例》第七十五条规定的违法行为的。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有违法违规行为的原评标委员会成员不得参加重新组建的评标委员会。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5</w:t>
      </w:r>
      <w:r>
        <w:rPr>
          <w:rFonts w:hint="eastAsia" w:ascii="宋体" w:hAnsi="宋体" w:eastAsia="宋体" w:cs="宋体"/>
          <w:color w:val="auto"/>
          <w:spacing w:val="0"/>
          <w:w w:val="100"/>
          <w:position w:val="0"/>
          <w:sz w:val="21"/>
          <w:szCs w:val="21"/>
          <w:highlight w:val="none"/>
          <w:lang w:val="zh-CN" w:eastAsia="zh-CN"/>
        </w:rPr>
        <w:t>评标委员会发现采购文件存在歧义、重大缺陷导致评标工作无法进行，或者采购文件内容违反国家有关规定的，要停止评标工作并向采购人或采购代理机构书面说明情况，采购人或采购代理机构应当修改采购文件后重新组织采购活动；发现投标人提供虚假材料、串通等违法违规行为的，要及时向采购人或采购代理机构报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.确定中标人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.1定标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.1.1采购代理机构应当在评标结束后2个工作日内将评标报告送采购人。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1.2采购人应当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1.3采购人应当确定排名第一的中标候选人为中标人。排名第一的中标候选人拒绝签订合同而放弃中标或因不可抗力提出不能履行合同，或者招标文件规定应当提交履约保证金而在规定的期限内未能提交的，采购人可以确定排名第二的中标候选人为中标人，以此类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.1.4采购人在收到评标报告5个工作日内未按评标报告推荐的中标候选人顺序确定中标人，又不能说明合法理由的，视同按评标报告推荐的顺序确定排名第一的中标候选人为中标人。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en-US" w:eastAsia="zh-CN"/>
        </w:rPr>
        <w:t>23.1.5</w:t>
      </w:r>
      <w:r>
        <w:rPr>
          <w:rFonts w:hint="eastAsia" w:ascii="宋体" w:hAnsi="宋体" w:eastAsia="宋体" w:cs="宋体"/>
          <w:color w:val="auto"/>
          <w:spacing w:val="0"/>
          <w:w w:val="100"/>
          <w:position w:val="0"/>
          <w:sz w:val="21"/>
          <w:szCs w:val="21"/>
          <w:highlight w:val="none"/>
          <w:lang w:val="zh-CN" w:eastAsia="zh-CN"/>
        </w:rPr>
        <w:t xml:space="preserve"> 采用最低评标价法的采购项目，提供相同品牌核心产品的不同投标人参加同一合同项下投标的，以其中通过资格审查、符合性审查且报价最低的参加评标；报价相同的，由采购人或者采购人委托评标委员会按照《投标人须知前附表》规定的方式确定一个参加评标的投标人，其他投标无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en-US" w:eastAsia="zh-CN"/>
        </w:rPr>
        <w:t>23.1.6</w:t>
      </w:r>
      <w:r>
        <w:rPr>
          <w:rFonts w:hint="eastAsia" w:ascii="宋体" w:hAnsi="宋体" w:eastAsia="宋体" w:cs="宋体"/>
          <w:color w:val="auto"/>
          <w:spacing w:val="0"/>
          <w:w w:val="100"/>
          <w:position w:val="0"/>
          <w:sz w:val="21"/>
          <w:szCs w:val="21"/>
          <w:highlight w:val="none"/>
          <w:lang w:val="zh-CN" w:eastAsia="zh-CN"/>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评标委员会按照《投标人须知前附表》规定的方式确定一个投标人获得中标人推荐资格，其他同品牌投标人不作为中标候选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23.1.7关于兼投不兼中要求：详见《投标人须知前附表》。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.2中标结果公告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.2.1采购人或者采购代理机构应当自中标人确定之日起2个工作日内，在省级以上财政部门指定的媒体上公告中标结果，招标文件应当随中标结果同时公告。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2.2中标结果公告内容应当包括采购人及其委托的采购代理机构的名称、地址、联系方式，项目名称和项目编号，中标人名称、地址和中标金额，主要中标标的的名称、规格型号、数量、单价、服务要求，中标公告期限以及评标专家名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.2.3中标公告期限为1个工作日。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2.4在公告中标结果的同时，采购人或者采购代理机构应当向中标人发出中标通知书；对未通过资格审查的投标人，应当告知其未通过的原因；采用综合评分法评标的，还应当告知未中标人本人的评标得分与排序。</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.3采购人不保证将合同授予最低投标报价的投标人。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.4在确定中标人前，招标采购单位不得与投标人就投标价格、投标方案等实质性内容进行谈判。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.5采购人有权在定标之前拒绝任何有不正当行为或扰乱正常招标工作的投标人，由此对投标人造成的损失不负任何责任，同时对此也不做任何解释。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9" w:name="_bookmark54"/>
      <w:bookmarkEnd w:id="69"/>
      <w:bookmarkStart w:id="70" w:name="_bookmark54"/>
      <w:bookmarkEnd w:id="70"/>
      <w:r>
        <w:rPr>
          <w:rFonts w:hint="eastAsia" w:ascii="宋体" w:hAnsi="宋体" w:eastAsia="宋体" w:cs="宋体"/>
          <w:color w:val="auto"/>
          <w:spacing w:val="0"/>
          <w:w w:val="100"/>
          <w:position w:val="0"/>
          <w:sz w:val="21"/>
          <w:szCs w:val="21"/>
          <w:highlight w:val="none"/>
          <w:lang w:val="en-US" w:eastAsia="zh-CN"/>
        </w:rPr>
        <w:t>24 投标文件的澄清、说明或补正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24.1 投标人不得主动对投标文件进行澄清、说明或补正，评标委员会也不接受投标人的主动澄清、说明或补正。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24.2 在评标期间，对于投标文件中含义不明确、同类问题表述不一致或者有明显文字和计算错误的内容，评标委员会将以书面形式要求投标人作出必要的澄清、说明或者补正。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24.3 投标人必须按照评标委员会要求的时间、地点提交澄清、说明或者补正，投标人的澄清、说明或者补正应当采用书面形式，并逐页加盖公章或者由法定代表人逐页签署或由被授权代表逐页签字。投标人的澄清、说明或者补正不得超出投标文件的范围或者改变投标文件的实质性内容。投标人拒不按照要求对投标文件进行澄清、说明或者补正的，视其放弃该项权利。评标委员会也不接受投标人超出投标文件的范围或者改变投标文件的实质性内容的澄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25.招标终止</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w:t>
      </w:r>
      <w:r>
        <w:rPr>
          <w:rFonts w:hint="eastAsia" w:ascii="宋体" w:hAnsi="宋体" w:eastAsia="宋体" w:cs="宋体"/>
          <w:b/>
          <w:color w:val="auto"/>
          <w:kern w:val="0"/>
          <w:sz w:val="21"/>
          <w:szCs w:val="21"/>
          <w:highlight w:val="none"/>
          <w:lang w:val="en-US" w:eastAsia="zh-CN"/>
        </w:rPr>
        <w:t>5</w:t>
      </w:r>
      <w:r>
        <w:rPr>
          <w:rFonts w:hint="eastAsia" w:ascii="宋体" w:hAnsi="宋体" w:eastAsia="宋体" w:cs="宋体"/>
          <w:b/>
          <w:color w:val="auto"/>
          <w:kern w:val="0"/>
          <w:sz w:val="21"/>
          <w:szCs w:val="21"/>
          <w:highlight w:val="none"/>
        </w:rPr>
        <w:t>.1在招标采购中，出现下列情形之一的，应予废标：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（1）符合专业条件的投标人或者对招标文件作实质响应的投标人不足三家的；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（2）出现影响采购公正的违法、违规行为的；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（3）投标人的报价均超过了采购预算，采购人不能支付的；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（4）因重大变故，采购任务取消的。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废标后，采购人应当将废标理由通知所有投标人。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废标后，除采购任务取消情形外，应当重新组织招标；需要采取其他方式采购的，应当在采购活动开始前获得设区的市、自治州以上人民政府采购监督管理部门或者政府有关部门批准。</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w:t>
      </w:r>
      <w:r>
        <w:rPr>
          <w:rFonts w:hint="eastAsia" w:ascii="宋体" w:hAnsi="宋体" w:eastAsia="宋体" w:cs="宋体"/>
          <w:b/>
          <w:color w:val="auto"/>
          <w:kern w:val="0"/>
          <w:sz w:val="21"/>
          <w:szCs w:val="21"/>
          <w:highlight w:val="none"/>
          <w:lang w:val="en-US" w:eastAsia="zh-CN"/>
        </w:rPr>
        <w:t>5</w:t>
      </w:r>
      <w:r>
        <w:rPr>
          <w:rFonts w:hint="eastAsia" w:ascii="宋体" w:hAnsi="宋体" w:eastAsia="宋体" w:cs="宋体"/>
          <w:b/>
          <w:color w:val="auto"/>
          <w:kern w:val="0"/>
          <w:sz w:val="21"/>
          <w:szCs w:val="21"/>
          <w:highlight w:val="none"/>
        </w:rPr>
        <w:t>.2出现下列情形之一的，采购人或者采购代理机构应当终止招标采购活动，在财政部门指定的媒体上发布项目终止公告并说明原因，重新开展采购活动：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.2.1因情况变化，不再符合规定的招标采购方式适用情形的；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.2.2出现影响采购公正的违法、违规行为的；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.2.3已确定中标人但尚未签订政府采购合同的，中标结果无效，需从合格的中标候选人中另行确定中标人但没有合格的中标候选人的；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.2.4政府采购合同已签订但尚未履行的，撤销合同，需从合格的中标候选人中另行确定中标人但没有合格的中标候选人的；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.2.5因重大变故，采购任务取消的。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.重新评标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.1除本须知</w:t>
      </w:r>
      <w:r>
        <w:rPr>
          <w:rFonts w:hint="eastAsia" w:ascii="宋体" w:hAnsi="宋体" w:eastAsia="宋体" w:cs="宋体"/>
          <w:color w:val="auto"/>
          <w:kern w:val="0"/>
          <w:sz w:val="21"/>
          <w:szCs w:val="21"/>
          <w:highlight w:val="none"/>
          <w:lang w:val="en-US" w:eastAsia="zh-CN"/>
        </w:rPr>
        <w:t xml:space="preserve"> 22.11 条</w:t>
      </w:r>
      <w:r>
        <w:rPr>
          <w:rFonts w:hint="eastAsia" w:ascii="宋体" w:hAnsi="宋体" w:eastAsia="宋体" w:cs="宋体"/>
          <w:color w:val="auto"/>
          <w:kern w:val="0"/>
          <w:sz w:val="21"/>
          <w:szCs w:val="21"/>
          <w:highlight w:val="none"/>
        </w:rPr>
        <w:t>所述情形外，采购人或者采购代理机构不能以任何理由组织重新评标。采购人、采购代理机构发现评标委员会未按照招标文件规定的评标标准进行评标的，应当重新开展采购活动，并同时书面报告本级财政部门。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.保密与纪律事项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.1评标委员会成员以及与评标工作有关的人员不得泄露评标情况以及评标过程中获悉的国家秘密、商业秘密。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过程保密是指评标开始后评标委员会对投标人资格审查开始至中标公告期结束、中标通知书发出等与项目相关所有的文字、评标委员会的对话、音视频等相关资料的保密，如与采购项目相关的采购人、采购代理机构、评标委员会及公共资源交易中心人员及其他相关人员泄密，从而导致评标结果出现不公正性，有关行政主管部门将根据《政府采购法》、《政府采购法实施条例》及相关法律法规规定将责任人提请上级行政主管部门追究其责任；构成犯罪的，将提请司法机关依法追究其刑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2投标人不得与采购人、采购代理机构、其他投标人恶意串通；不得向采购人、采购代理机构或者评标委员会成员行贿或者提供其他不正当利益；不得提供虚假材料谋取中标；不得以任何方式干扰、影响采购工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.3有下列情形之一的，属于恶意串通，投标无效，并依照《政府采购法》第七十七条的规定追究法律责任：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（1）投标人直接或者间接从采购人、采购代理机构获得其他投标人的投标情况，并修改其投标文件的；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（2）投标人按照采购人或采购代理机构授意撤换、修改投标文件的；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（3）投标人之间协商技术方案、合同条款以及报价等投标文件实质性内容的；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（4）属于同一集团、协会、商会等组织成员的投标人按照该组织要求协同参加政府采购活动的；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（5）投标人之间事先约定由某一特定投标人中标的；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（6）投标人之间商定部分投标人放弃提交投标文件或者退出招标或者放弃中标的；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（7）投标人与采购人、采购代理机构以及评标委员会成员之间、投标人相互之间，为谋求特定投标人中标或者排斥其他投标人的其他串通行为的。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（8）法律、行政法规或规章规定的其他串通行为。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4投标人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（1）提供虚假材料谋取中标的；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（2）采取不正当手段诋毁、排挤其他投标人的；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（3）与采购人、其他投标人或者采购代理机构恶意串通的；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（4）向采购人、采购代理机构行贿或者提供其他不正当利益的；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（5）在招标采购过程中与采购人进行协商谈判的；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（6）拒绝有关部门监督检查或者提供虚假情况的。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投标人有上述第（1）至（5）项情形之一的，中标无效。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.5投标人有下列情形之一的，依照《政府采购法》第七十七条第一款的规定追究法律责任：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（1）向评标委员会成员行贿或者提供其他不正当利益；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（2）中标后无正当理由拒不与采购人签订政府采购合同；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（3）未按照采购文件确定的事项签订政府采购合同；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（4）将政府采购合同转包；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（5）提供假冒伪劣产品；</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（6）擅自变更、中止或者终止政府采购合同。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有上述第一项规定情形的，中标无效。评标阶段资格发生变化，投标人未依照《政府采购法实施条例》第二十一条的规定通知采购人和采购代理机构的，处以采购金额5‰的罚款，列入不良行为记录名单，中标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.6投标人捏造事实、提供虚假材料或者以非法手段取得证明材料进行投诉的，由财政部门列入不良行为记录名单，禁止其1至3年内参加政府采购活动。</w:t>
      </w:r>
    </w:p>
    <w:p>
      <w:pPr>
        <w:pStyle w:val="5"/>
        <w:spacing w:before="80"/>
        <w:ind w:right="113"/>
        <w:outlineLvl w:val="1"/>
        <w:rPr>
          <w:rFonts w:hint="eastAsia" w:ascii="宋体" w:hAnsi="宋体" w:eastAsia="宋体" w:cs="宋体"/>
          <w:color w:val="auto"/>
          <w:spacing w:val="0"/>
          <w:w w:val="100"/>
          <w:position w:val="0"/>
          <w:sz w:val="24"/>
          <w:szCs w:val="24"/>
          <w:highlight w:val="none"/>
        </w:rPr>
      </w:pPr>
      <w:bookmarkStart w:id="71" w:name="_bookmark57"/>
      <w:bookmarkEnd w:id="71"/>
      <w:bookmarkStart w:id="72" w:name="_Toc8625"/>
      <w:r>
        <w:rPr>
          <w:rFonts w:hint="eastAsia" w:ascii="宋体" w:hAnsi="宋体" w:eastAsia="宋体" w:cs="宋体"/>
          <w:color w:val="auto"/>
          <w:spacing w:val="0"/>
          <w:w w:val="100"/>
          <w:position w:val="0"/>
          <w:sz w:val="24"/>
          <w:szCs w:val="24"/>
          <w:highlight w:val="none"/>
        </w:rPr>
        <w:t>六、授予合同</w:t>
      </w:r>
      <w:bookmarkEnd w:id="72"/>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28 中标人的确定及合同授予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3" w:name="_bookmark58"/>
      <w:bookmarkEnd w:id="73"/>
      <w:bookmarkStart w:id="74" w:name="_bookmark58"/>
      <w:bookmarkEnd w:id="74"/>
      <w:r>
        <w:rPr>
          <w:rFonts w:hint="eastAsia" w:ascii="宋体" w:hAnsi="宋体" w:eastAsia="宋体" w:cs="宋体"/>
          <w:color w:val="auto"/>
          <w:spacing w:val="0"/>
          <w:w w:val="100"/>
          <w:position w:val="0"/>
          <w:sz w:val="21"/>
          <w:szCs w:val="21"/>
          <w:highlight w:val="none"/>
          <w:lang w:val="en-US" w:eastAsia="zh-CN"/>
        </w:rPr>
        <w:t>28.1 采购人将在评标报告确定的中标候选人名单中按顺序确定中标人，或者，采购人委托评标委员会直接确定的中标人，采用上述何种方式确定中标人详见《投标人须知前附表》。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5" w:name="_bookmark59"/>
      <w:bookmarkEnd w:id="75"/>
      <w:bookmarkStart w:id="76" w:name="_bookmark59"/>
      <w:bookmarkEnd w:id="76"/>
      <w:r>
        <w:rPr>
          <w:rFonts w:hint="eastAsia" w:ascii="宋体" w:hAnsi="宋体" w:eastAsia="宋体" w:cs="宋体"/>
          <w:color w:val="auto"/>
          <w:spacing w:val="0"/>
          <w:w w:val="100"/>
          <w:position w:val="0"/>
          <w:sz w:val="21"/>
          <w:szCs w:val="21"/>
          <w:highlight w:val="none"/>
          <w:lang w:val="en-US" w:eastAsia="zh-CN"/>
        </w:rPr>
        <w:t>28.2 中标候选人并列的，由采购人或评标委员会按照《投标人须知前附表》规定的方式确定中标人；《投标人须知前附表》未规定的，采取随机抽取的方式确定。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29.中标信息的公布</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29.1采购人或者采购代理机构应当自中标人确定之日起2个工作日内，发出中标通知书，并在省级以上人民政府财政部门指定的媒体上公告中标结果，招标文件随中标结果同时公告。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29.2中标通知书对采购人和中标人具有同等法律效力。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30.中标通知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30.1中标人确定后，采购人或采购代理机构将以书面形式向中标人发出中标通知书。中标通知书对采购人和中标人具有同等法律效力。中标通知书发出后，采购人不得违法改变中标结果，中标人无正当理由不得放弃中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30.2中标人在收到中标通知书后10日内，应按照投标须知前附表的规定，向采购人提交履约担保。联合体中标的，履约担保由联合体各方或联合体中牵头人的名义提交。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30.3招标文件要求中标人提交履约保证金的，中标人应当以电汇、支票、汇票、本票或者金融机构、担保机构出具的保函等非现金形式提交。中标人没有按照规定提交履约担保的，视为放弃中标资格，其投标保证金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30.4中标人拒绝与采购人签订合同的，采购人可以按照评标报告推荐的中标候选人名单排序，确定下一候选人为中标人，也可以重新开展政府采购活动。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31.签订合同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31.1采购人应当自中标通知书发出之日起30日内，按照招标文件和中标人投标文件的规定，与中标人签订书面合同。所签订的合同不得对招标文件确定的事项和中标人投标文件作实质性修改。中标通知书是合同文件的组成部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采购人不得向中标人提出任何不合理的要求作为签订合同的条件。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31.2政府采购合同应当包括采购人与中标人的名称和住所、标的、数量、质量、价款或者报酬、履行期限及地点和方式、验收要求、违约责任、解决争议的方法等内容。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31.3采购人与中标人应当根据合同的约定依法履行合同义务。</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政府采购合同的履行、违约责任和解决争议的方法等适用《中华人民共和国民法典》。</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31.4采购人应当及时对采购项目进行验收。采购人可以邀请参加本项目的其他投标人或者第三方机构参与验收。参与验收的投标人或者第三方机构的意见作为验收书的参考资料一并存档。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31.5采购人应当加强对中标人的履约管理，并按照采购合同约定，及时向中标人支付采购资金。对于中标人违反采购合同约定的行为，采购人应当及时处理，依法追究其违约责任。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31.6中标人应当按照合同约定履行义务。中标人不得向他人转让中标项目，也不得将中标项目分包后分别向他人转让。合同分包需在投标文件中予以说明，并需经采购人同意。否则，采购人有权取消中标人的中标资格。</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31.7中标人有下列情形之一的，责令限期改正，情节严重的，列入不良行为记录名单，在1至3年内禁止参加政府采购活动，并予以通报：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31.7.1中标后无正当理由不与采购人签订合同的；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31.7.2未按照招标文件确定的事项签订政府采购合同，或者与采购人另行订立背离合同实质性内容的协议的；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31.7.3拒绝履行合同义务的；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31.7.4违反法律、规章、规范性文件规定的。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31.8政府采购合同的双方当事人不得擅自变更、中止或者终止合同。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政府采购合同继续履行将损害国家利益和社会公共利益的，双方当事人应当变更、中止或者终止合同。有过错的一方应当承担赔偿责任，双方都有过错的，各自承担相应的责任。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31.9采购人应当自政府采购合同签订之日起2个工作日内，将政府采购合同在省级以上人民政府财政部门指定的媒体上公告，但政府采购合同中涉及国家秘密、商业秘密的内容除外。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32.政府采购合同履行中数量的变更</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32.1政府采购合同履行中，采购人需追加与合同标的相同的货物、工程或者服务的，在不改变合同其他条款的前提下，可以与中标人协商签订补充合同，但所有补充合同的采购金额不得超过原合同采购金额的10%。</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33 采购代理服务费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7" w:name="_bookmark61"/>
      <w:bookmarkEnd w:id="77"/>
      <w:bookmarkStart w:id="78" w:name="_bookmark61"/>
      <w:bookmarkEnd w:id="78"/>
      <w:r>
        <w:rPr>
          <w:rFonts w:hint="eastAsia" w:ascii="宋体" w:hAnsi="宋体" w:eastAsia="宋体" w:cs="宋体"/>
          <w:color w:val="auto"/>
          <w:spacing w:val="0"/>
          <w:w w:val="100"/>
          <w:position w:val="0"/>
          <w:sz w:val="21"/>
          <w:szCs w:val="21"/>
          <w:highlight w:val="none"/>
          <w:lang w:val="en-US" w:eastAsia="zh-CN"/>
        </w:rPr>
        <w:t>33.1 中标人须在领取中标通知书的同时，按照《投标人须知前附表》规定的标准向采购代理机构支付采购代理服务费。</w:t>
      </w:r>
    </w:p>
    <w:p>
      <w:pPr>
        <w:pStyle w:val="5"/>
        <w:spacing w:before="2"/>
        <w:ind w:right="113"/>
        <w:outlineLvl w:val="1"/>
        <w:rPr>
          <w:rFonts w:hint="eastAsia" w:ascii="宋体" w:hAnsi="宋体" w:eastAsia="宋体" w:cs="宋体"/>
          <w:color w:val="auto"/>
          <w:spacing w:val="0"/>
          <w:w w:val="100"/>
          <w:position w:val="0"/>
          <w:sz w:val="24"/>
          <w:szCs w:val="24"/>
          <w:highlight w:val="none"/>
        </w:rPr>
      </w:pPr>
      <w:bookmarkStart w:id="79" w:name="_bookmark62"/>
      <w:bookmarkEnd w:id="79"/>
      <w:bookmarkStart w:id="80" w:name="_Toc20292"/>
      <w:r>
        <w:rPr>
          <w:rFonts w:hint="eastAsia" w:ascii="宋体" w:hAnsi="宋体" w:eastAsia="宋体" w:cs="宋体"/>
          <w:color w:val="auto"/>
          <w:spacing w:val="0"/>
          <w:w w:val="100"/>
          <w:position w:val="0"/>
          <w:sz w:val="24"/>
          <w:szCs w:val="24"/>
          <w:highlight w:val="none"/>
        </w:rPr>
        <w:t>七、其他</w:t>
      </w:r>
      <w:bookmarkEnd w:id="80"/>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81" w:name="_bookmark63"/>
      <w:bookmarkEnd w:id="81"/>
      <w:bookmarkStart w:id="82" w:name="_bookmark63"/>
      <w:bookmarkEnd w:id="82"/>
      <w:r>
        <w:rPr>
          <w:rFonts w:hint="eastAsia" w:ascii="宋体" w:hAnsi="宋体" w:eastAsia="宋体" w:cs="宋体"/>
          <w:color w:val="auto"/>
          <w:spacing w:val="0"/>
          <w:w w:val="100"/>
          <w:position w:val="0"/>
          <w:sz w:val="21"/>
          <w:szCs w:val="21"/>
          <w:highlight w:val="none"/>
          <w:lang w:val="en-US" w:eastAsia="zh-CN"/>
        </w:rPr>
        <w:t>34.询问及质疑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34.1投标人对政府采购活动事项有疑问的，可以向采购人或采购代理机构提出询问，采购人或采购代理机构将在三个工作日内作出答复。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34.2投标人若认为招标文件、招标过程和中标结果使自己的权益受到损害，应当在下列时间内以书面形式向采购人或采购代理机构提出：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34.2.1对可以质疑的招标文件提出质疑的，应在收到招标文件之日7个工作日内。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34.2.2对采购过程提出质疑的，应在该采购程序环节结束之日起7个工作日内提出。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34.2.3关于中标结果的质疑，应在中标结果信息发布后7个工作日内提出。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34.3投标人提出质疑的，应提供质疑书原件。采购人或采购代理机构应当向质疑投标人签收回执。</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.4质疑书应当包括下列内容：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.4.1质疑投标人的名称、地址及有效联系方式；</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.4.2质疑事项；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.4.3事实依据及相关证明材料；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.4.4相关请求及主张。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.5质疑书应当由投标人法定代表人或其授权代表签字并加盖投标人单位章，质疑书由授权代表签字的应附投标人法定代表人委托授权书。</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.6采购人或采购代理机构将在签收回执之日起7个工作日内作出书面答复，并以书面形式通知质疑</w:t>
      </w:r>
      <w:r>
        <w:rPr>
          <w:rFonts w:hint="eastAsia" w:ascii="宋体" w:hAnsi="宋体" w:eastAsia="宋体" w:cs="宋体"/>
          <w:color w:val="auto"/>
          <w:kern w:val="0"/>
          <w:sz w:val="21"/>
          <w:szCs w:val="21"/>
          <w:highlight w:val="none"/>
          <w:lang w:eastAsia="zh-CN"/>
        </w:rPr>
        <w:t>投标</w:t>
      </w:r>
      <w:r>
        <w:rPr>
          <w:rFonts w:hint="eastAsia" w:ascii="宋体" w:hAnsi="宋体" w:eastAsia="宋体" w:cs="宋体"/>
          <w:color w:val="auto"/>
          <w:kern w:val="0"/>
          <w:sz w:val="21"/>
          <w:szCs w:val="21"/>
          <w:highlight w:val="none"/>
        </w:rPr>
        <w:t>人和其他有关的投标人。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.7投标人对采购人或采购代理机构的答复不满意，或者采购人或采购代理机构未在规定的期限作出答复的，可在答复期满后15个工作日内，按政府采购相关法律法规的规定及程序，向同级财政部门提出投诉。</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8参与政府采购活动的投标人对评标过程或者结果提出质疑的，采购人或采购代理机构可以组织原评标委员会协助处理质疑事项，并依据评标委员会出具的意见进行答复。质疑答复导致中标结果改变的，采购人或采购代理机构应当将相关情况报财政部门备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 投标人的商业秘密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35.1 投标人应在投标文件中将属于其商业秘密的内容进行明确标注，采购人、采购代理机构及其有关人员和评标委员会将对投标人的商业秘密进行保密。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35.2 投标标的名称、规格型号、单价及合同金额等内容不得作为商业秘密。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36 保密条款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37.1 除了投标人为投标所雇人员外，在未经采购人书面同意的情况下，投标人不得将本项目、与项目中相关的任何内容、资料（包括纸质和电子介质资料，下同）透露给任何人。否则，投标人必须承担因此给采购人造成的一切经济损失，采购人保留追究其法律责任的权利。投标人须在对外保密的前提下，对其从事本项目投标的雇佣人员提供有关情况，所提供的情况仅限于执行投标必不可少的范围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37.2 除非执行合同需要，在事先未得到采购人书面同意的情况下，投标人不得使用本招标书中所提供的任何文件和资料。</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37.3 采购人对投标人提交的文件将给予保密，但无论中标与否，投标人的投标文件不予退还。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 履约保证金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38.1 第一成交候选人在收到成交公示结束后7个工作日内（签订合同前）向采购人缴纳采购人规定的履约保证金。否则视为自动放弃成交资格，由第二候选人成交，以此类推。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38.2 履约保证金形式：转账或银行保函</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成交单位未按本文件规定缴纳履约保证金的，其保证金将不予退还。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38.3 履约保证金缴纳账户信息：根据签订合同账户汇款。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38.4 履约保证金的退还：合同履约完成，质保期（一年）结束，无息退还履约保证金。成交单位未按照合同、法律法规、招标文件等相关规定履行责任，采购人有权扣除履约保证金，并解除合同，由此造成的一切损失，由成交单位自行承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 其他规定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39.1 采购人、采购代理机构应当建立真实完整的招标采购档案，妥善保存每项采购活动的采购文件。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39.2 招标文件的其他规定见《投标人须知前附表》。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39.3 本招标文件是根据《中华人民共和国政府采购法》、《中华人民共和国政府采购法实施条例》和《政府采购货物和服务招标投标管理办法》（财政部令第87号）的规定编制，解释权属采购人与采购代理机构。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39.3 参与本次招标的投标人应当派商务、技术人员参加开标会议，并对评标委员会提出的商务、技术问题进行答疑和澄清。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p>
    <w:p>
      <w:pPr>
        <w:rPr>
          <w:rFonts w:hint="eastAsia" w:ascii="宋体" w:hAnsi="宋体" w:eastAsia="宋体" w:cs="宋体"/>
          <w:color w:val="auto"/>
          <w:spacing w:val="0"/>
          <w:w w:val="100"/>
          <w:position w:val="0"/>
          <w:sz w:val="20"/>
          <w:szCs w:val="20"/>
          <w:highlight w:val="none"/>
        </w:rPr>
      </w:pPr>
      <w:bookmarkStart w:id="83" w:name="_bookmark65"/>
      <w:bookmarkEnd w:id="83"/>
      <w:r>
        <w:rPr>
          <w:rFonts w:hint="eastAsia" w:ascii="宋体" w:hAnsi="宋体" w:eastAsia="宋体" w:cs="宋体"/>
          <w:color w:val="auto"/>
          <w:spacing w:val="0"/>
          <w:w w:val="100"/>
          <w:position w:val="0"/>
          <w:sz w:val="20"/>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lang w:val="en-US" w:eastAsia="zh-CN"/>
        </w:rPr>
      </w:pPr>
      <w:bookmarkStart w:id="84" w:name="_Toc29637"/>
      <w:r>
        <w:rPr>
          <w:rFonts w:hint="eastAsia" w:ascii="宋体" w:hAnsi="宋体" w:eastAsia="宋体" w:cs="宋体"/>
          <w:color w:val="auto"/>
          <w:spacing w:val="0"/>
          <w:w w:val="100"/>
          <w:position w:val="0"/>
          <w:sz w:val="32"/>
          <w:szCs w:val="32"/>
          <w:highlight w:val="none"/>
        </w:rPr>
        <w:t>第</w:t>
      </w:r>
      <w:r>
        <w:rPr>
          <w:rFonts w:hint="eastAsia" w:ascii="宋体" w:hAnsi="宋体" w:eastAsia="宋体" w:cs="宋体"/>
          <w:color w:val="auto"/>
          <w:spacing w:val="0"/>
          <w:w w:val="100"/>
          <w:position w:val="0"/>
          <w:sz w:val="32"/>
          <w:szCs w:val="32"/>
          <w:highlight w:val="none"/>
          <w:lang w:val="en-US" w:eastAsia="zh-CN"/>
        </w:rPr>
        <w:t>三</w:t>
      </w:r>
      <w:r>
        <w:rPr>
          <w:rFonts w:hint="eastAsia" w:ascii="宋体" w:hAnsi="宋体" w:eastAsia="宋体" w:cs="宋体"/>
          <w:color w:val="auto"/>
          <w:spacing w:val="0"/>
          <w:w w:val="100"/>
          <w:position w:val="0"/>
          <w:sz w:val="32"/>
          <w:szCs w:val="32"/>
          <w:highlight w:val="none"/>
        </w:rPr>
        <w:t>章</w:t>
      </w:r>
      <w:r>
        <w:rPr>
          <w:rFonts w:hint="eastAsia" w:ascii="宋体" w:hAnsi="宋体" w:eastAsia="宋体" w:cs="宋体"/>
          <w:color w:val="auto"/>
          <w:spacing w:val="0"/>
          <w:w w:val="100"/>
          <w:position w:val="0"/>
          <w:sz w:val="32"/>
          <w:szCs w:val="32"/>
          <w:highlight w:val="none"/>
          <w:lang w:val="en-US" w:eastAsia="zh-CN"/>
        </w:rPr>
        <w:t xml:space="preserve"> 采购需求</w:t>
      </w:r>
      <w:bookmarkEnd w:id="84"/>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说明：1、</w:t>
      </w:r>
      <w:r>
        <w:rPr>
          <w:rFonts w:hint="eastAsia" w:ascii="宋体" w:hAnsi="宋体" w:eastAsia="宋体" w:cs="宋体"/>
          <w:b/>
          <w:bCs/>
          <w:color w:val="auto"/>
          <w:kern w:val="2"/>
          <w:sz w:val="21"/>
          <w:szCs w:val="21"/>
          <w:highlight w:val="none"/>
          <w:lang w:val="en-US" w:eastAsia="zh-CN" w:bidi="ar-SA"/>
        </w:rPr>
        <w:t>投标人</w:t>
      </w:r>
      <w:r>
        <w:rPr>
          <w:rFonts w:hint="eastAsia" w:ascii="宋体" w:hAnsi="宋体" w:eastAsia="宋体" w:cs="宋体"/>
          <w:b/>
          <w:bCs/>
          <w:color w:val="auto"/>
          <w:kern w:val="2"/>
          <w:sz w:val="21"/>
          <w:szCs w:val="21"/>
          <w:highlight w:val="none"/>
          <w:lang w:val="en-US" w:bidi="ar-SA"/>
        </w:rPr>
        <w:t>须对以本项目为单位的</w:t>
      </w:r>
      <w:r>
        <w:rPr>
          <w:rFonts w:hint="eastAsia" w:ascii="宋体" w:hAnsi="宋体" w:eastAsia="宋体" w:cs="宋体"/>
          <w:b/>
          <w:bCs/>
          <w:color w:val="auto"/>
          <w:kern w:val="2"/>
          <w:sz w:val="21"/>
          <w:szCs w:val="21"/>
          <w:highlight w:val="none"/>
          <w:lang w:val="en-US" w:eastAsia="zh-CN" w:bidi="ar-SA"/>
        </w:rPr>
        <w:t>供货</w:t>
      </w:r>
      <w:r>
        <w:rPr>
          <w:rFonts w:hint="eastAsia" w:ascii="宋体" w:hAnsi="宋体" w:eastAsia="宋体" w:cs="宋体"/>
          <w:b/>
          <w:bCs/>
          <w:color w:val="auto"/>
          <w:kern w:val="2"/>
          <w:sz w:val="21"/>
          <w:szCs w:val="21"/>
          <w:highlight w:val="none"/>
          <w:lang w:val="en-US" w:bidi="ar-SA"/>
        </w:rPr>
        <w:t>进行响应，任何只对其中一部分内容进行的响应都被视为无效响应。</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2、注有“</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bidi="ar-SA"/>
        </w:rPr>
        <w:t>”号的条款为重要技术条款</w:t>
      </w:r>
      <w:r>
        <w:rPr>
          <w:rFonts w:hint="eastAsia" w:ascii="宋体" w:hAnsi="宋体" w:eastAsia="宋体" w:cs="宋体"/>
          <w:b/>
          <w:bCs/>
          <w:color w:val="auto"/>
          <w:kern w:val="2"/>
          <w:sz w:val="21"/>
          <w:szCs w:val="21"/>
          <w:highlight w:val="none"/>
          <w:lang w:val="en-US" w:eastAsia="zh-CN" w:bidi="ar-SA"/>
        </w:rPr>
        <w:t>，出现负偏离为</w:t>
      </w:r>
      <w:r>
        <w:rPr>
          <w:rFonts w:hint="eastAsia" w:ascii="宋体" w:hAnsi="宋体" w:eastAsia="宋体" w:cs="宋体"/>
          <w:b/>
          <w:bCs/>
          <w:color w:val="auto"/>
          <w:kern w:val="2"/>
          <w:sz w:val="21"/>
          <w:szCs w:val="21"/>
          <w:highlight w:val="none"/>
          <w:lang w:val="en-US" w:bidi="ar-SA"/>
        </w:rPr>
        <w:t>无效响应。</w:t>
      </w:r>
    </w:p>
    <w:tbl>
      <w:tblPr>
        <w:tblStyle w:val="24"/>
        <w:tblW w:w="93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8"/>
        <w:gridCol w:w="2814"/>
        <w:gridCol w:w="1394"/>
        <w:gridCol w:w="1798"/>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1208" w:type="dxa"/>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center"/>
              <w:textAlignment w:val="baseline"/>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vertAlign w:val="baseline"/>
                <w:lang w:val="en-US" w:eastAsia="zh-CN" w:bidi="zh-CN"/>
              </w:rPr>
              <w:t>包号</w:t>
            </w:r>
          </w:p>
        </w:tc>
        <w:tc>
          <w:tcPr>
            <w:tcW w:w="2814" w:type="dxa"/>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center"/>
              <w:textAlignment w:val="baseline"/>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vertAlign w:val="baseline"/>
                <w:lang w:val="en-US" w:eastAsia="zh-CN" w:bidi="zh-CN"/>
              </w:rPr>
              <w:t>包件</w:t>
            </w:r>
            <w:r>
              <w:rPr>
                <w:rFonts w:hint="eastAsia" w:ascii="宋体" w:hAnsi="宋体" w:eastAsia="宋体" w:cs="宋体"/>
                <w:color w:val="auto"/>
                <w:kern w:val="0"/>
                <w:sz w:val="21"/>
                <w:szCs w:val="21"/>
                <w:highlight w:val="none"/>
                <w:vertAlign w:val="baseline"/>
                <w:lang w:val="zh-CN" w:eastAsia="zh-CN" w:bidi="zh-CN"/>
              </w:rPr>
              <w:t>名称</w:t>
            </w:r>
          </w:p>
        </w:tc>
        <w:tc>
          <w:tcPr>
            <w:tcW w:w="139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c>
          <w:tcPr>
            <w:tcW w:w="179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最高限价</w:t>
            </w:r>
          </w:p>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（人民币元）</w:t>
            </w:r>
          </w:p>
        </w:tc>
        <w:tc>
          <w:tcPr>
            <w:tcW w:w="217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供货期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jc w:val="center"/>
        </w:trPr>
        <w:tc>
          <w:tcPr>
            <w:tcW w:w="120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第五包</w:t>
            </w:r>
          </w:p>
        </w:tc>
        <w:tc>
          <w:tcPr>
            <w:tcW w:w="281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en-US" w:eastAsia="zh-CN" w:bidi="zh-CN"/>
              </w:rPr>
              <w:t>测量设备采购项目（第五包）</w:t>
            </w:r>
          </w:p>
        </w:tc>
        <w:tc>
          <w:tcPr>
            <w:tcW w:w="139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en-US" w:eastAsia="zh-CN" w:bidi="zh-CN"/>
              </w:rPr>
            </w:pPr>
            <w:r>
              <w:rPr>
                <w:rFonts w:hint="eastAsia" w:ascii="宋体" w:hAnsi="宋体" w:eastAsia="宋体" w:cs="宋体"/>
                <w:color w:val="auto"/>
                <w:kern w:val="0"/>
                <w:sz w:val="21"/>
                <w:szCs w:val="21"/>
                <w:highlight w:val="none"/>
                <w:lang w:val="en-US" w:eastAsia="zh-CN" w:bidi="zh-CN"/>
              </w:rPr>
              <w:t>1批</w:t>
            </w:r>
          </w:p>
        </w:tc>
        <w:tc>
          <w:tcPr>
            <w:tcW w:w="179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1025492</w:t>
            </w:r>
          </w:p>
        </w:tc>
        <w:tc>
          <w:tcPr>
            <w:tcW w:w="217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采购标的</w:t>
            </w:r>
            <w:r>
              <w:rPr>
                <w:rFonts w:hint="eastAsia" w:ascii="宋体" w:hAnsi="宋体" w:eastAsia="宋体" w:cs="宋体"/>
                <w:b/>
                <w:bCs/>
                <w:color w:val="auto"/>
                <w:kern w:val="2"/>
                <w:sz w:val="21"/>
                <w:szCs w:val="21"/>
                <w:highlight w:val="none"/>
                <w:lang w:val="en-US" w:eastAsia="zh-CN" w:bidi="ar-SA"/>
              </w:rPr>
              <w:t>内容</w:t>
            </w:r>
            <w:r>
              <w:rPr>
                <w:rFonts w:hint="eastAsia" w:ascii="宋体" w:hAnsi="宋体" w:eastAsia="宋体" w:cs="宋体"/>
                <w:color w:val="auto"/>
                <w:kern w:val="2"/>
                <w:sz w:val="21"/>
                <w:szCs w:val="21"/>
                <w:highlight w:val="none"/>
                <w:lang w:val="en-US" w:eastAsia="zh-CN" w:bidi="ar-SA"/>
              </w:rPr>
              <w:t>”</w:t>
            </w:r>
          </w:p>
        </w:tc>
      </w:tr>
    </w:tbl>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注：1、</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必须对本项目的全部内容进行</w:t>
      </w:r>
      <w:r>
        <w:rPr>
          <w:rFonts w:hint="eastAsia" w:ascii="宋体" w:hAnsi="宋体" w:eastAsia="宋体" w:cs="宋体"/>
          <w:color w:val="auto"/>
          <w:kern w:val="2"/>
          <w:sz w:val="21"/>
          <w:szCs w:val="21"/>
          <w:highlight w:val="none"/>
          <w:lang w:val="en-US" w:eastAsia="zh-CN" w:bidi="ar-SA"/>
        </w:rPr>
        <w:t>投标报价</w:t>
      </w:r>
      <w:r>
        <w:rPr>
          <w:rFonts w:hint="eastAsia" w:ascii="宋体" w:hAnsi="宋体" w:eastAsia="宋体" w:cs="宋体"/>
          <w:color w:val="auto"/>
          <w:kern w:val="2"/>
          <w:sz w:val="21"/>
          <w:szCs w:val="21"/>
          <w:highlight w:val="none"/>
          <w:lang w:val="en-US" w:bidi="ar-SA"/>
        </w:rPr>
        <w:t>，如有缺漏，将导致</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无效。</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2、开标时</w:t>
      </w:r>
      <w:r>
        <w:rPr>
          <w:rFonts w:hint="eastAsia" w:ascii="宋体" w:hAnsi="宋体" w:eastAsia="宋体" w:cs="宋体"/>
          <w:color w:val="auto"/>
          <w:kern w:val="2"/>
          <w:sz w:val="21"/>
          <w:szCs w:val="21"/>
          <w:highlight w:val="none"/>
          <w:lang w:val="en-US" w:eastAsia="zh-CN" w:bidi="ar-SA"/>
        </w:rPr>
        <w:t>投标报价</w:t>
      </w:r>
      <w:r>
        <w:rPr>
          <w:rFonts w:hint="eastAsia" w:ascii="宋体" w:hAnsi="宋体" w:eastAsia="宋体" w:cs="宋体"/>
          <w:color w:val="auto"/>
          <w:kern w:val="2"/>
          <w:sz w:val="21"/>
          <w:szCs w:val="21"/>
          <w:highlight w:val="none"/>
          <w:lang w:val="en-US" w:bidi="ar-SA"/>
        </w:rPr>
        <w:t>超过预算金额为</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无效。</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3、本项目为政府采购项目。</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一、采购标的需实现的功能或者目标，以及为落实政府采购政策需满足的要求：</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（一）采购标的需实现的功能或者目标</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本次招标采购是为</w:t>
      </w:r>
      <w:r>
        <w:rPr>
          <w:rFonts w:hint="eastAsia" w:cs="宋体"/>
          <w:color w:val="auto"/>
          <w:kern w:val="2"/>
          <w:sz w:val="21"/>
          <w:szCs w:val="21"/>
          <w:highlight w:val="none"/>
          <w:lang w:val="en-US" w:eastAsia="zh-CN" w:bidi="ar-SA"/>
        </w:rPr>
        <w:t>自治区计量院第一批测量设备采购项目（一）</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应根据</w:t>
      </w:r>
      <w:r>
        <w:rPr>
          <w:rFonts w:hint="eastAsia" w:ascii="宋体" w:hAnsi="宋体" w:eastAsia="宋体" w:cs="宋体"/>
          <w:color w:val="auto"/>
          <w:kern w:val="2"/>
          <w:sz w:val="21"/>
          <w:szCs w:val="21"/>
          <w:highlight w:val="none"/>
          <w:lang w:val="en-US" w:eastAsia="zh-CN" w:bidi="ar-SA"/>
        </w:rPr>
        <w:t>招标文件</w:t>
      </w:r>
      <w:r>
        <w:rPr>
          <w:rFonts w:hint="eastAsia" w:ascii="宋体" w:hAnsi="宋体" w:eastAsia="宋体" w:cs="宋体"/>
          <w:color w:val="auto"/>
          <w:kern w:val="2"/>
          <w:sz w:val="21"/>
          <w:szCs w:val="21"/>
          <w:highlight w:val="none"/>
          <w:lang w:val="en-US" w:bidi="ar-SA"/>
        </w:rPr>
        <w:t>所提出的</w:t>
      </w:r>
      <w:r>
        <w:rPr>
          <w:rFonts w:hint="eastAsia" w:ascii="宋体" w:hAnsi="宋体" w:eastAsia="宋体" w:cs="宋体"/>
          <w:color w:val="auto"/>
          <w:kern w:val="2"/>
          <w:sz w:val="21"/>
          <w:szCs w:val="21"/>
          <w:highlight w:val="none"/>
          <w:lang w:val="en-US" w:eastAsia="zh-CN" w:bidi="ar-SA"/>
        </w:rPr>
        <w:t>产品</w:t>
      </w:r>
      <w:r>
        <w:rPr>
          <w:rFonts w:hint="eastAsia" w:ascii="宋体" w:hAnsi="宋体" w:eastAsia="宋体" w:cs="宋体"/>
          <w:color w:val="auto"/>
          <w:kern w:val="2"/>
          <w:sz w:val="21"/>
          <w:szCs w:val="21"/>
          <w:highlight w:val="none"/>
          <w:lang w:val="en-US" w:bidi="ar-SA"/>
        </w:rPr>
        <w:t>规格和服务要求，综合考虑</w:t>
      </w:r>
      <w:r>
        <w:rPr>
          <w:rFonts w:hint="eastAsia" w:ascii="宋体" w:hAnsi="宋体" w:eastAsia="宋体" w:cs="宋体"/>
          <w:color w:val="auto"/>
          <w:kern w:val="2"/>
          <w:sz w:val="21"/>
          <w:szCs w:val="21"/>
          <w:highlight w:val="none"/>
          <w:lang w:val="en-US" w:eastAsia="zh-CN" w:bidi="ar-SA"/>
        </w:rPr>
        <w:t>商品</w:t>
      </w:r>
      <w:r>
        <w:rPr>
          <w:rFonts w:hint="eastAsia" w:ascii="宋体" w:hAnsi="宋体" w:eastAsia="宋体" w:cs="宋体"/>
          <w:color w:val="auto"/>
          <w:kern w:val="2"/>
          <w:sz w:val="21"/>
          <w:szCs w:val="21"/>
          <w:highlight w:val="none"/>
          <w:lang w:val="en-US" w:bidi="ar-SA"/>
        </w:rPr>
        <w:t>的适用性，及性能价格比前来</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应以</w:t>
      </w:r>
      <w:r>
        <w:rPr>
          <w:rFonts w:hint="eastAsia" w:ascii="宋体" w:hAnsi="宋体" w:eastAsia="宋体" w:cs="宋体"/>
          <w:color w:val="auto"/>
          <w:kern w:val="2"/>
          <w:sz w:val="21"/>
          <w:szCs w:val="21"/>
          <w:highlight w:val="none"/>
          <w:lang w:val="en-US" w:eastAsia="zh-CN" w:bidi="ar-SA"/>
        </w:rPr>
        <w:t>优良的商品</w:t>
      </w:r>
      <w:r>
        <w:rPr>
          <w:rFonts w:hint="eastAsia" w:ascii="宋体" w:hAnsi="宋体" w:eastAsia="宋体" w:cs="宋体"/>
          <w:color w:val="auto"/>
          <w:kern w:val="2"/>
          <w:sz w:val="21"/>
          <w:szCs w:val="21"/>
          <w:highlight w:val="none"/>
          <w:lang w:val="en-US" w:bidi="ar-SA"/>
        </w:rPr>
        <w:t>、优良的服务和优惠的价格，充分显示自己的竞争实力。</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（二）为落实政府采购政策需满足的要求（专门面向中小企业采购或预留份额的情况不享受政策优惠扣除）</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促进中小企业发展政策：根据《政府采购促进中小企业发展管理办法》的通知（财库〔2020〕46号）规定，本项目</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所投产品为中小企业制造的，</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应出具</w:t>
      </w:r>
      <w:r>
        <w:rPr>
          <w:rFonts w:hint="eastAsia" w:ascii="宋体" w:hAnsi="宋体" w:eastAsia="宋体" w:cs="宋体"/>
          <w:color w:val="auto"/>
          <w:kern w:val="2"/>
          <w:sz w:val="21"/>
          <w:szCs w:val="21"/>
          <w:highlight w:val="none"/>
          <w:lang w:val="en-US" w:eastAsia="zh-CN" w:bidi="ar-SA"/>
        </w:rPr>
        <w:t>招标文件</w:t>
      </w:r>
      <w:r>
        <w:rPr>
          <w:rFonts w:hint="eastAsia" w:ascii="宋体" w:hAnsi="宋体" w:eastAsia="宋体" w:cs="宋体"/>
          <w:color w:val="auto"/>
          <w:kern w:val="2"/>
          <w:sz w:val="21"/>
          <w:szCs w:val="21"/>
          <w:highlight w:val="none"/>
          <w:lang w:val="en-US" w:bidi="ar-SA"/>
        </w:rPr>
        <w:t>要求的《中小企业声明函》给予证明，否则评标时不予认可。</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应对提交的中小企业声明函的真实性负责，提交的中小企业声明函不真实的，应承担相应的法律责任。</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4.鼓励节能政策：</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所投产品如属于财政部、国家发展改革委发布的最新一期的《节能产品政府采购清单》中的产品，</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需提供证明材料。《节能产品政府采购清单》可以在中国政府采购网（http：//www.ccgp.gov.cn/）上查阅下载。</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5.鼓励环保政策：</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所投产品如属于财政部、环境保护部发布的最新一期的《环境标志产品政府采购清单》中的产品，</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需提供证明材料。《环境标志产品政府采购清单》可以在中国政府采购网（http：//www.ccgp.gov.cn/）上查阅下载。</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eastAsia="zh-CN" w:bidi="ar-SA"/>
        </w:rPr>
        <w:t>二、</w:t>
      </w:r>
      <w:r>
        <w:rPr>
          <w:rFonts w:hint="eastAsia" w:ascii="宋体" w:hAnsi="宋体" w:eastAsia="宋体" w:cs="宋体"/>
          <w:b/>
          <w:bCs/>
          <w:color w:val="auto"/>
          <w:kern w:val="2"/>
          <w:sz w:val="21"/>
          <w:szCs w:val="21"/>
          <w:highlight w:val="none"/>
          <w:lang w:val="en-US" w:bidi="ar-SA"/>
        </w:rPr>
        <w:t>采购标的需执行的国家相关标准、行业标准、地方标准或者其他标准、规范：</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产品及制造商应符合国家有关部门规定的相应技术法规及标准，如国家有关部门对投标产品或其制造商有强制性规定或要求的，投标产品或其制造商必须符合相应规定或要求，投标人须提供相关证明文件的复印件并加盖单位公章。</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三、采购标的的数量、采购项目交付或者实施的时间和地点：</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（一）采购标的</w:t>
      </w:r>
      <w:r>
        <w:rPr>
          <w:rFonts w:hint="eastAsia" w:ascii="宋体" w:hAnsi="宋体" w:eastAsia="宋体" w:cs="宋体"/>
          <w:b/>
          <w:bCs/>
          <w:color w:val="auto"/>
          <w:kern w:val="2"/>
          <w:sz w:val="21"/>
          <w:szCs w:val="21"/>
          <w:highlight w:val="none"/>
          <w:lang w:val="en-US" w:eastAsia="zh-CN" w:bidi="ar-SA"/>
        </w:rPr>
        <w:t>内容（标注★品目为</w:t>
      </w:r>
      <w:r>
        <w:rPr>
          <w:rFonts w:hint="eastAsia" w:ascii="宋体" w:hAnsi="宋体" w:eastAsia="宋体" w:cs="宋体"/>
          <w:b/>
          <w:bCs/>
          <w:color w:val="auto"/>
          <w:spacing w:val="0"/>
          <w:w w:val="100"/>
          <w:kern w:val="0"/>
          <w:position w:val="0"/>
          <w:sz w:val="21"/>
          <w:szCs w:val="21"/>
          <w:highlight w:val="none"/>
          <w:lang w:val="en-US" w:eastAsia="zh-CN" w:bidi="ar"/>
        </w:rPr>
        <w:t>核心产品</w:t>
      </w:r>
      <w:r>
        <w:rPr>
          <w:rFonts w:hint="eastAsia" w:ascii="宋体" w:hAnsi="宋体" w:eastAsia="宋体" w:cs="宋体"/>
          <w:b/>
          <w:bCs/>
          <w:color w:val="auto"/>
          <w:kern w:val="2"/>
          <w:sz w:val="21"/>
          <w:szCs w:val="21"/>
          <w:highlight w:val="none"/>
          <w:lang w:val="en-US" w:eastAsia="zh-CN" w:bidi="ar-SA"/>
        </w:rPr>
        <w:t>）</w:t>
      </w:r>
    </w:p>
    <w:tbl>
      <w:tblPr>
        <w:tblStyle w:val="24"/>
        <w:tblW w:w="961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1705"/>
        <w:gridCol w:w="3204"/>
        <w:gridCol w:w="1035"/>
        <w:gridCol w:w="1065"/>
        <w:gridCol w:w="165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952"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包号</w:t>
            </w:r>
          </w:p>
        </w:tc>
        <w:tc>
          <w:tcPr>
            <w:tcW w:w="170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包名称</w:t>
            </w: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品目名称</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数量</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*质保期</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*供货期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restart"/>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第五包</w:t>
            </w:r>
          </w:p>
        </w:tc>
        <w:tc>
          <w:tcPr>
            <w:tcW w:w="1705" w:type="dxa"/>
            <w:vMerge w:val="restart"/>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en-US" w:eastAsia="zh-CN" w:bidi="zh-CN"/>
              </w:rPr>
              <w:t>测量设备采购项目（第五包）</w:t>
            </w: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标准量块</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6盒</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投影立式光学计</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量块专用检具（块规夹子5个组）</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1套</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双通道温度巡检仪</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快速测温仪（恒温浴校准装置）</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软热电偶</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减压阀</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真空泵</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数字压力表</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1块</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激光测距仪</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金属探伤仪校准装置</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数显标准测力仪</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砝码</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23个</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宽频分压器</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60个月</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感应分压器</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120日历天内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程控射频开关</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酸度计</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在线浊度计</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复合式气体检测报警器</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材料烧结用高温炉</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1套</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三相电能表现场校验仪</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气相色谱仪(双FID+转化炉)</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30日历天内</w:t>
            </w:r>
          </w:p>
        </w:tc>
      </w:tr>
    </w:tbl>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（二）采购项目交付或者实施的时间</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bidi="ar-SA"/>
        </w:rPr>
        <w:t>地点</w:t>
      </w:r>
      <w:r>
        <w:rPr>
          <w:rFonts w:hint="eastAsia" w:ascii="宋体" w:hAnsi="宋体" w:eastAsia="宋体" w:cs="宋体"/>
          <w:b/>
          <w:bCs/>
          <w:color w:val="auto"/>
          <w:kern w:val="2"/>
          <w:sz w:val="21"/>
          <w:szCs w:val="21"/>
          <w:highlight w:val="none"/>
          <w:lang w:val="en-US" w:eastAsia="zh-CN" w:bidi="ar-SA"/>
        </w:rPr>
        <w:t>和付款方式</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1.采购项目（标的）</w:t>
      </w:r>
      <w:r>
        <w:rPr>
          <w:rFonts w:hint="eastAsia" w:ascii="宋体" w:hAnsi="宋体" w:eastAsia="宋体" w:cs="宋体"/>
          <w:color w:val="auto"/>
          <w:kern w:val="2"/>
          <w:sz w:val="21"/>
          <w:szCs w:val="21"/>
          <w:highlight w:val="none"/>
          <w:lang w:val="en-US" w:eastAsia="zh-CN" w:bidi="ar-SA"/>
        </w:rPr>
        <w:t>交货期</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采购标的</w:t>
      </w:r>
      <w:r>
        <w:rPr>
          <w:rFonts w:hint="eastAsia" w:ascii="宋体" w:hAnsi="宋体" w:eastAsia="宋体" w:cs="宋体"/>
          <w:b/>
          <w:bCs/>
          <w:color w:val="auto"/>
          <w:kern w:val="2"/>
          <w:sz w:val="21"/>
          <w:szCs w:val="21"/>
          <w:highlight w:val="none"/>
          <w:lang w:val="en-US" w:eastAsia="zh-CN" w:bidi="ar-SA"/>
        </w:rPr>
        <w:t>内容</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2.采购项目（标的）</w:t>
      </w:r>
      <w:r>
        <w:rPr>
          <w:rFonts w:hint="eastAsia" w:ascii="宋体" w:hAnsi="宋体" w:eastAsia="宋体" w:cs="宋体"/>
          <w:color w:val="auto"/>
          <w:kern w:val="2"/>
          <w:sz w:val="21"/>
          <w:szCs w:val="21"/>
          <w:highlight w:val="none"/>
          <w:lang w:val="en-US" w:eastAsia="zh-CN" w:bidi="ar-SA"/>
        </w:rPr>
        <w:t>交货</w:t>
      </w:r>
      <w:r>
        <w:rPr>
          <w:rFonts w:hint="eastAsia" w:ascii="宋体" w:hAnsi="宋体" w:eastAsia="宋体" w:cs="宋体"/>
          <w:color w:val="auto"/>
          <w:kern w:val="2"/>
          <w:sz w:val="21"/>
          <w:szCs w:val="21"/>
          <w:highlight w:val="none"/>
          <w:lang w:val="en-US" w:bidi="ar-SA"/>
        </w:rPr>
        <w:t>地点：</w:t>
      </w:r>
      <w:r>
        <w:rPr>
          <w:rFonts w:hint="eastAsia" w:ascii="宋体" w:hAnsi="宋体" w:eastAsia="宋体" w:cs="宋体"/>
          <w:color w:val="auto"/>
          <w:kern w:val="2"/>
          <w:sz w:val="21"/>
          <w:szCs w:val="21"/>
          <w:highlight w:val="none"/>
          <w:lang w:val="en-US" w:eastAsia="zh-CN" w:bidi="ar-SA"/>
        </w:rPr>
        <w:t>采购人指定地点</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付款方式：合同签订后七日内支付给中标人合同总价30%的预付款。全部设备交货，且安装调试完毕后，由采购人和中标人双方共同组织验收且经采购人验收合格后一个月内，先由中标人提供向采购人出具合同总金额100%的正式发票（增值税专用发票），随后采购人出具付款手续，支付给中标人合同总金额60%的货款，按合同总金额的10%预留质量保证金。从全部设备验收合格之日起，1年后经再次复核并且产品均无质量问题，由采购人将质量保证金一次性支付给中标人。</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四、采购标的需满足的服务标准、期限、效率等要求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1.投标人应有能力做好售后服务工作和提供技术保障。投标人或投标产品制造商应设有专业的售后服务维修机构，有充足的零件储备和能力相当的技术服务人员，并保证投标产品停产后的备件供应。投标时须提供有关其投标产品专业的售后服务（维修站）的信息，包括售后服务机构名称、服务人员的数量和水平、联系人和联系方式（保修电话、固定电话）、零备件的储备等，说明投标人与该售后服务（维修站）的关系并附上相关的证明文件，如合作协议等。质量保证期内的免费售后维修及服务包括所有投标产品及配件，并含第三方产品，同时投标人应定期对所有投标产品提供维护保养服务。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2.投标人发运货物时，每台设备要提供一整套中文的技术资料，包括安装、操作手册、使用说明、维修保养手册、电路图、零配件清单等，这些资料费应包括在投标报价内。如果采购人确认投标人提供的技术资料不完整或在运输过程中丢失，投标人需保证在收到采购人通知后 3 天内将这些资料免费寄给采购人。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3.投标人应在保证在接到采购人通知的一周内，自付费用在采购人指定所在地对设备进行安装、调试和试运行，直到该产品的技术指标完全符合合同要求为止。投标人技术人员的费用，如：差旅费、住宿费等应计入投标报价。投标人安装人员应自备必要的专用工具、量具及调试用的材料等。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4.投标人应负责投标货物质量保证期内的免费维修和配件供应，投标人售后服务维修机构应备有所购货物及时维修所需的关键零部件。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5.投标人应保证在质量保证期内提供投标货物专用的软件和相应数据库资料的免费升级服务。（如果有）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6.在合同执行期和质量保证期内，投标人应保证在收到要求提供维修服务的通知后 2 小时内给予反馈，24 小时内派合格的技术人员赴现场提供免费服务，解决问题。如不能按采购人要求的时间予以修复，投标人应保证免费提供同类备用设备，供采购人使用。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7.投标人需提供设备易损件及消耗品清单。</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五、采购标的的验收标准</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七、需要满足的其他技术规格要求</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六、采购标的的其他技术、服务等要求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1.投标人须在投标文件中按照招标文件技术规格的要求提供技术应答的证明材料，如技术规格中无特殊要求，则应提交本条款规定的技术支持资料。其中 “技术支持资料”指生产厂家公开发布的印刷资料或制造厂家出具证明材料或制造商的官网截图（附截图的网址链接）或检测机构出具的检验报告。若投标人技术响应与技术支持资料（或证明材料）不一致，将以技术支持资料（或证明材料）为准；若技术支持资料（或证明材料）之间不一致，评审依据依次为检测报告、官网截图、印刷资料。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对于技术规格中标注“★”号和“*”的技术参数，投标人未提供投标产品技术支持资料（或证明材料）的，或提供的投标产品技术支持资料（或证明材料）未加盖投标人公章的，或提供的技术支持资料（或证明材料）无法证明技术响应满足招标文件要求的，或提供的技术支持材料（或证明材料）语言为外文，且未提供中文翻译文本的，或在技术偏离表中未标明/未标清支持材料所在页码及所在具体位置，导致评标委员会无法找到响应依据的，评标委员会可不予承认，并可认为该技术应答不符合招标文件要求。由此产生的评标风险，由投标人承担。</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3.投标人应对招标文件第三章采购需求中技术参数的内容给予逐条响应，以投标产品和服务所能达到的内容予以填写，而不应复制招标的技术要求作为响应内容，特别对有具体参数要求的指标，投标人必须提供所投产品的具体参数值，否则视为无效投标。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4.投标人所提供的部件之间及设备之间的连线或接插件均视为设备内部部件，应包含在相应的配置中。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5.工作条件：除了在技术规格中另有规定外，投标人提供的一切仪器、设备和系统，应符合下列条件：</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（1）仪器设备的插头要符合中国电工标准。如不符合，则应提供适合仪器插头的插座，必须要有接地。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（2）如果仪器设备需特殊的工作条件（如：水、电源、磁场强度、特殊温度、湿度、震动强度等），投标人应在有关投标文件中加以说明。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6.培训要求：培训是指涉及产品基本原理、安装、调试、操作使用和保养维修等有关内容的学习。投标人应保证在采购人指定交货地点对每包（品目）最终用户设备操作人员提供不少于 1 天的免费培训。投标人投标时应提供详细的培训方案。培训教员的差旅费、食宿费、培训教材等费用，应计入投标报价。</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七、需要满足的其他技术规格要求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第五包</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Chars="200" w:right="0" w:rightChars="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cs="宋体"/>
          <w:b/>
          <w:bCs/>
          <w:color w:val="auto"/>
          <w:kern w:val="2"/>
          <w:sz w:val="21"/>
          <w:szCs w:val="21"/>
          <w:highlight w:val="none"/>
          <w:lang w:val="en-US" w:eastAsia="zh-CN" w:bidi="ar-SA"/>
        </w:rPr>
        <w:t>一、</w:t>
      </w:r>
      <w:r>
        <w:rPr>
          <w:rFonts w:hint="eastAsia" w:ascii="宋体" w:hAnsi="宋体" w:eastAsia="宋体" w:cs="宋体"/>
          <w:b/>
          <w:bCs/>
          <w:color w:val="auto"/>
          <w:kern w:val="2"/>
          <w:sz w:val="21"/>
          <w:szCs w:val="21"/>
          <w:highlight w:val="none"/>
          <w:lang w:val="en-US" w:eastAsia="zh-CN" w:bidi="ar-SA"/>
        </w:rPr>
        <w:t>测量设备名称：标准量块  6盒</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rightChars="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（一）技术参数</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1、准确度/最大允许误差/不确定度：2等量块、3等量块</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2、（0.991～1）mm  10块组  2等</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（1～1.009）mm  10块组  2等</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（0.5～100）mm  83块组  2等</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（5.12～100）mm  20块组 3等</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（125～500）mm   8块组  3等</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（10～291.8）mm  12块组 3等</w:t>
      </w:r>
    </w:p>
    <w:p>
      <w:pPr>
        <w:keepNext w:val="0"/>
        <w:keepLines w:val="0"/>
        <w:pageBreakBefore w:val="0"/>
        <w:widowControl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w:t>
      </w:r>
      <w:r>
        <w:rPr>
          <w:rFonts w:hint="eastAsia" w:ascii="宋体" w:hAnsi="宋体" w:eastAsia="宋体" w:cs="宋体"/>
          <w:b/>
          <w:color w:val="auto"/>
          <w:kern w:val="2"/>
          <w:sz w:val="21"/>
          <w:szCs w:val="21"/>
          <w:highlight w:val="none"/>
          <w:lang w:val="en-US" w:eastAsia="zh-CN" w:bidi="ar-SA"/>
        </w:rPr>
        <w:t>二</w:t>
      </w:r>
      <w:r>
        <w:rPr>
          <w:rFonts w:hint="eastAsia" w:ascii="宋体" w:hAnsi="宋体" w:eastAsia="宋体" w:cs="宋体"/>
          <w:b/>
          <w:color w:val="auto"/>
          <w:kern w:val="2"/>
          <w:sz w:val="21"/>
          <w:szCs w:val="21"/>
          <w:highlight w:val="none"/>
          <w:lang w:val="en-US" w:bidi="ar-SA"/>
        </w:rPr>
        <w:t>）、交货时间</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eastAsia="zh-CN" w:bidi="ar-SA"/>
        </w:rPr>
        <w:t>6</w:t>
      </w:r>
      <w:r>
        <w:rPr>
          <w:rFonts w:hint="eastAsia" w:ascii="宋体" w:hAnsi="宋体" w:eastAsia="宋体" w:cs="宋体"/>
          <w:b/>
          <w:color w:val="auto"/>
          <w:kern w:val="2"/>
          <w:sz w:val="21"/>
          <w:szCs w:val="21"/>
          <w:highlight w:val="none"/>
          <w:u w:val="single"/>
          <w:lang w:val="en-US" w:bidi="ar-SA"/>
        </w:rPr>
        <w:t xml:space="preserve">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二、测量设备名称：投影立式光学计   1台</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eastAsia="zh-CN" w:bidi="ar-SA"/>
        </w:rPr>
        <w:t>1</w:t>
      </w:r>
      <w:r>
        <w:rPr>
          <w:rFonts w:hint="eastAsia" w:ascii="宋体" w:hAnsi="宋体" w:eastAsia="宋体" w:cs="宋体"/>
          <w:b/>
          <w:color w:val="auto"/>
          <w:kern w:val="2"/>
          <w:sz w:val="21"/>
          <w:szCs w:val="21"/>
          <w:highlight w:val="none"/>
          <w:lang w:val="en-US" w:bidi="ar-SA"/>
        </w:rPr>
        <w:t>、规格参数：</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.1、测量范围（㎜）：0</w:t>
      </w:r>
      <w:r>
        <w:rPr>
          <w:rFonts w:hint="eastAsia" w:ascii="宋体" w:hAnsi="宋体" w:eastAsia="宋体" w:cs="宋体"/>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180</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.2、工作台：</w:t>
      </w:r>
    </w:p>
    <w:p>
      <w:pPr>
        <w:keepNext w:val="0"/>
        <w:keepLines w:val="0"/>
        <w:pageBreakBefore w:val="0"/>
        <w:widowControl w:val="0"/>
        <w:tabs>
          <w:tab w:val="left" w:pos="0"/>
          <w:tab w:val="left" w:pos="518"/>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圆形平面工作台（㎜）：φ88</w:t>
      </w:r>
    </w:p>
    <w:p>
      <w:pPr>
        <w:keepNext w:val="0"/>
        <w:keepLines w:val="0"/>
        <w:pageBreakBefore w:val="0"/>
        <w:widowControl w:val="0"/>
        <w:tabs>
          <w:tab w:val="left" w:pos="0"/>
          <w:tab w:val="left" w:pos="518"/>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圆形带筋工作台（㎜）：φ88</w:t>
      </w:r>
    </w:p>
    <w:p>
      <w:pPr>
        <w:keepNext w:val="0"/>
        <w:keepLines w:val="0"/>
        <w:pageBreakBefore w:val="0"/>
        <w:widowControl w:val="0"/>
        <w:tabs>
          <w:tab w:val="left" w:pos="0"/>
          <w:tab w:val="left" w:pos="518"/>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方形带筋工作台（㎜）：142×130</w:t>
      </w:r>
    </w:p>
    <w:p>
      <w:pPr>
        <w:keepNext w:val="0"/>
        <w:keepLines w:val="0"/>
        <w:pageBreakBefore w:val="0"/>
        <w:widowControl w:val="0"/>
        <w:tabs>
          <w:tab w:val="left" w:pos="0"/>
          <w:tab w:val="left" w:pos="518"/>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辅助工作台测轴与测帽配合的外径尺寸：φ6g6</w:t>
      </w:r>
    </w:p>
    <w:p>
      <w:pPr>
        <w:keepNext w:val="0"/>
        <w:keepLines w:val="0"/>
        <w:pageBreakBefore w:val="0"/>
        <w:widowControl w:val="0"/>
        <w:tabs>
          <w:tab w:val="left" w:pos="0"/>
          <w:tab w:val="left" w:pos="518"/>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小三点工作台平行度误差：0.0015㎜</w:t>
      </w:r>
    </w:p>
    <w:p>
      <w:pPr>
        <w:keepNext w:val="0"/>
        <w:keepLines w:val="0"/>
        <w:pageBreakBefore w:val="0"/>
        <w:widowControl w:val="0"/>
        <w:tabs>
          <w:tab w:val="left" w:pos="0"/>
          <w:tab w:val="left" w:pos="518"/>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.3、仪器精度指标：</w:t>
      </w:r>
    </w:p>
    <w:p>
      <w:pPr>
        <w:keepNext w:val="0"/>
        <w:keepLines w:val="0"/>
        <w:pageBreakBefore w:val="0"/>
        <w:widowControl w:val="0"/>
        <w:tabs>
          <w:tab w:val="left" w:pos="0"/>
          <w:tab w:val="left" w:pos="518"/>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示值误差：60μm范围内：±0.20μm</w:t>
      </w:r>
    </w:p>
    <w:p>
      <w:pPr>
        <w:keepNext w:val="0"/>
        <w:keepLines w:val="0"/>
        <w:pageBreakBefore w:val="0"/>
        <w:widowControl w:val="0"/>
        <w:tabs>
          <w:tab w:val="left" w:pos="0"/>
          <w:tab w:val="left" w:pos="518"/>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超过60μm范围：±0.25μm </w:t>
      </w:r>
    </w:p>
    <w:p>
      <w:pPr>
        <w:keepNext w:val="0"/>
        <w:keepLines w:val="0"/>
        <w:pageBreakBefore w:val="0"/>
        <w:widowControl w:val="0"/>
        <w:tabs>
          <w:tab w:val="left" w:pos="0"/>
          <w:tab w:val="left" w:pos="518"/>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.4、示值稳定性：0.1μm</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.5、投影光学计管：</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分划板分划值：0.001㎜</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分划板分度范围：±0.1㎜</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.6、测量力（N）：2±0.2</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.7、零位调节范围：20格</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.8、测量杆的自由升降距离：0.5㎜</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.9、投影光学计管外径配合尺寸：φ28h6</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.10、测量杆与测帽配合的外径尺寸：φ6g6</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.11、仪器的外形尺寸（㎜）：340×160×750</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.12、仪器重量（KG）：21kg</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.13、工作环境要求：</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室温</w:t>
      </w:r>
      <w:r>
        <w:rPr>
          <w:rFonts w:hint="eastAsia" w:ascii="宋体" w:hAnsi="宋体" w:eastAsia="宋体" w:cs="宋体"/>
          <w:bCs/>
          <w:color w:val="auto"/>
          <w:kern w:val="2"/>
          <w:sz w:val="21"/>
          <w:szCs w:val="21"/>
          <w:highlight w:val="none"/>
          <w:lang w:val="en-US" w:bidi="ar-SA"/>
        </w:rPr>
        <w:t>温度：20</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Cs/>
          <w:color w:val="auto"/>
          <w:kern w:val="2"/>
          <w:sz w:val="21"/>
          <w:szCs w:val="21"/>
          <w:highlight w:val="none"/>
          <w:lang w:val="en-US" w:bidi="ar-SA"/>
        </w:rPr>
        <w:t xml:space="preserve">3℃  </w:t>
      </w:r>
      <w:r>
        <w:rPr>
          <w:rFonts w:hint="eastAsia" w:ascii="宋体" w:hAnsi="宋体" w:eastAsia="宋体" w:cs="宋体"/>
          <w:color w:val="auto"/>
          <w:kern w:val="2"/>
          <w:sz w:val="21"/>
          <w:szCs w:val="21"/>
          <w:highlight w:val="none"/>
          <w:lang w:val="en-US" w:bidi="ar-SA"/>
        </w:rPr>
        <w:t>温度梯度: 1℃/h</w:t>
      </w:r>
      <w:r>
        <w:rPr>
          <w:rFonts w:hint="eastAsia" w:ascii="宋体" w:hAnsi="宋体" w:eastAsia="宋体" w:cs="宋体"/>
          <w:bCs/>
          <w:color w:val="auto"/>
          <w:kern w:val="2"/>
          <w:sz w:val="21"/>
          <w:szCs w:val="21"/>
          <w:highlight w:val="none"/>
          <w:lang w:val="en-US" w:bidi="ar-SA"/>
        </w:rPr>
        <w:t xml:space="preserve">  </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相对湿度≤60</w:t>
      </w:r>
      <w:r>
        <w:rPr>
          <w:rFonts w:hint="eastAsia" w:ascii="宋体" w:hAnsi="宋体" w:eastAsia="宋体" w:cs="宋体"/>
          <w:color w:val="auto"/>
          <w:kern w:val="2"/>
          <w:sz w:val="21"/>
          <w:szCs w:val="21"/>
          <w:highlight w:val="none"/>
          <w:lang w:val="en-US" w:bidi="ar-SA"/>
        </w:rPr>
        <w:t>%RH</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工作电压： 220V±10%，50 Hz交流电</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工作环境防尘、防潮、防震</w:t>
      </w:r>
    </w:p>
    <w:p>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eastAsia="zh-CN" w:bidi="ar-SA"/>
        </w:rPr>
        <w:t>2</w:t>
      </w:r>
      <w:r>
        <w:rPr>
          <w:rFonts w:hint="eastAsia" w:ascii="宋体" w:hAnsi="宋体" w:eastAsia="宋体" w:cs="宋体"/>
          <w:b/>
          <w:bCs/>
          <w:color w:val="auto"/>
          <w:kern w:val="2"/>
          <w:sz w:val="21"/>
          <w:szCs w:val="21"/>
          <w:highlight w:val="none"/>
          <w:lang w:val="en-US" w:bidi="ar-SA"/>
        </w:rPr>
        <w:t>、仪器装箱单：</w:t>
      </w:r>
    </w:p>
    <w:tbl>
      <w:tblPr>
        <w:tblStyle w:val="24"/>
        <w:tblW w:w="806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979"/>
        <w:gridCol w:w="561"/>
        <w:gridCol w:w="242"/>
        <w:gridCol w:w="634"/>
        <w:gridCol w:w="148"/>
        <w:gridCol w:w="848"/>
        <w:gridCol w:w="18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仪器主体（光学计管、工作台座）</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台</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圆形平面工作台（调整式）</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件</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圆形带筋工作台（调整式）</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件</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带筋方工作台（固定式）</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件</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小三点工作台</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件</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辅助工作台</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件</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量块移动架</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套</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φ2平面测帽</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只</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φ8平面测帽</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只</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R20球面测帽</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只</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1.5×8刃口测帽</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只</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φ14平面测帽</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只</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测帽提升器</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件</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测力减压装置</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件</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15</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投影照明灯</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件</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16</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变压器（6伏15瓦）</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件</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17</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照明灯泡（6伏15瓦）</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只</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其中备用4只</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18</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支架挡板</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件</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51"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19</w:t>
            </w: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技术文件</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5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产品使用说明书</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本</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5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产品出厂合格证</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份</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5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c>
          <w:tcPr>
            <w:tcW w:w="354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产品装箱单</w:t>
            </w:r>
          </w:p>
        </w:tc>
        <w:tc>
          <w:tcPr>
            <w:tcW w:w="87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份</w:t>
            </w:r>
          </w:p>
        </w:tc>
        <w:tc>
          <w:tcPr>
            <w:tcW w:w="9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8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063" w:type="dxa"/>
            <w:gridSpan w:val="8"/>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选  购  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5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297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1×2刃口测帽</w:t>
            </w:r>
          </w:p>
        </w:tc>
        <w:tc>
          <w:tcPr>
            <w:tcW w:w="80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件</w:t>
            </w:r>
          </w:p>
        </w:tc>
        <w:tc>
          <w:tcPr>
            <w:tcW w:w="78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c>
          <w:tcPr>
            <w:tcW w:w="264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bl>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eastAsia="zh-CN" w:bidi="ar-SA"/>
        </w:rPr>
        <w:t>3</w:t>
      </w:r>
      <w:r>
        <w:rPr>
          <w:rFonts w:hint="eastAsia" w:ascii="宋体" w:hAnsi="宋体" w:eastAsia="宋体" w:cs="宋体"/>
          <w:b/>
          <w:bCs/>
          <w:color w:val="auto"/>
          <w:kern w:val="2"/>
          <w:sz w:val="21"/>
          <w:szCs w:val="21"/>
          <w:highlight w:val="none"/>
          <w:lang w:val="en-US" w:bidi="ar-SA"/>
        </w:rPr>
        <w:t>、售后服务、验收、安装、调试和培训：</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安装调试和最终验收在需方现场进行，安装调试由供方负责，需方给予配合。正式最终验收由双方共同进行。</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eastAsia="宋体" w:cs="宋体"/>
          <w:bCs/>
          <w:color w:val="auto"/>
          <w:kern w:val="2"/>
          <w:sz w:val="21"/>
          <w:szCs w:val="21"/>
          <w:highlight w:val="none"/>
          <w:lang w:val="en-US" w:bidi="ar-SA"/>
        </w:rPr>
        <w:t>.1、安装调试：</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eastAsia="宋体" w:cs="宋体"/>
          <w:bCs/>
          <w:color w:val="auto"/>
          <w:kern w:val="2"/>
          <w:sz w:val="21"/>
          <w:szCs w:val="21"/>
          <w:highlight w:val="none"/>
          <w:lang w:val="en-US" w:bidi="ar-SA"/>
        </w:rPr>
        <w:t>.1.1、供方派遣技术人员负责设备的安装、调试工作；</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eastAsia="宋体" w:cs="宋体"/>
          <w:bCs/>
          <w:color w:val="auto"/>
          <w:kern w:val="2"/>
          <w:sz w:val="21"/>
          <w:szCs w:val="21"/>
          <w:highlight w:val="none"/>
          <w:lang w:val="en-US" w:bidi="ar-SA"/>
        </w:rPr>
        <w:t>.1.2、供方在设备发出时，需方应做好如下工作：安装场地准备完毕；所有电源联接到位。</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eastAsia="宋体" w:cs="宋体"/>
          <w:bCs/>
          <w:color w:val="auto"/>
          <w:kern w:val="2"/>
          <w:sz w:val="21"/>
          <w:szCs w:val="21"/>
          <w:highlight w:val="none"/>
          <w:lang w:val="en-US" w:bidi="ar-SA"/>
        </w:rPr>
        <w:t>.1.3、设备运抵需方工厂，双方共同开箱、清理、就位和联接，完成安装准备工作。</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eastAsia="宋体" w:cs="宋体"/>
          <w:bCs/>
          <w:color w:val="auto"/>
          <w:kern w:val="2"/>
          <w:sz w:val="21"/>
          <w:szCs w:val="21"/>
          <w:highlight w:val="none"/>
          <w:lang w:val="en-US" w:bidi="ar-SA"/>
        </w:rPr>
        <w:t>.2、最终验收：设备在需方现场正式验收合格后，由双方代表签署最终验收文件，才能视为正式交货。验收标准：按双方技术参数验收。</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eastAsia="宋体" w:cs="宋体"/>
          <w:bCs/>
          <w:color w:val="auto"/>
          <w:kern w:val="2"/>
          <w:sz w:val="21"/>
          <w:szCs w:val="21"/>
          <w:highlight w:val="none"/>
          <w:lang w:val="en-US" w:bidi="ar-SA"/>
        </w:rPr>
        <w:t>.3、培训：供方负责对需方操作人员进行培训，需方受训人员要求对几何测量知识有一定基础认识。</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1397"/>
        <w:gridCol w:w="1152"/>
        <w:gridCol w:w="4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地点</w:t>
            </w:r>
          </w:p>
        </w:tc>
        <w:tc>
          <w:tcPr>
            <w:tcW w:w="139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工作时间</w:t>
            </w:r>
          </w:p>
        </w:tc>
        <w:tc>
          <w:tcPr>
            <w:tcW w:w="1152"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人数</w:t>
            </w:r>
          </w:p>
        </w:tc>
        <w:tc>
          <w:tcPr>
            <w:tcW w:w="423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需方现场</w:t>
            </w:r>
          </w:p>
        </w:tc>
        <w:tc>
          <w:tcPr>
            <w:tcW w:w="139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1小时</w:t>
            </w:r>
          </w:p>
        </w:tc>
        <w:tc>
          <w:tcPr>
            <w:tcW w:w="1152"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423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安装调试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需方现场</w:t>
            </w:r>
          </w:p>
        </w:tc>
        <w:tc>
          <w:tcPr>
            <w:tcW w:w="139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0.5小时</w:t>
            </w:r>
          </w:p>
        </w:tc>
        <w:tc>
          <w:tcPr>
            <w:tcW w:w="1152"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w:t>
            </w:r>
          </w:p>
        </w:tc>
        <w:tc>
          <w:tcPr>
            <w:tcW w:w="423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机器保养维护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需方现场</w:t>
            </w:r>
          </w:p>
        </w:tc>
        <w:tc>
          <w:tcPr>
            <w:tcW w:w="139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4小时</w:t>
            </w:r>
          </w:p>
        </w:tc>
        <w:tc>
          <w:tcPr>
            <w:tcW w:w="1152"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w:t>
            </w:r>
          </w:p>
        </w:tc>
        <w:tc>
          <w:tcPr>
            <w:tcW w:w="423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仪器使用及实操培训</w:t>
            </w:r>
          </w:p>
        </w:tc>
      </w:tr>
    </w:tbl>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eastAsia="zh-CN" w:bidi="ar-SA"/>
        </w:rPr>
        <w:t>4</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b/>
          <w:color w:val="auto"/>
          <w:kern w:val="2"/>
          <w:sz w:val="21"/>
          <w:szCs w:val="21"/>
          <w:highlight w:val="none"/>
          <w:lang w:val="en-US" w:bidi="ar-SA"/>
        </w:rPr>
        <w:t>质量保证和技术服务：</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bidi="ar-SA"/>
        </w:rPr>
        <w:t>.1、设备在需方现场正式验收合格后，才能视为正式交货。整机为1年的保修服务。在保修期内出现各类故障供方及时免费维修服务，对非人为造成的各类零件损坏，及时免费更换。</w:t>
      </w:r>
    </w:p>
    <w:p>
      <w:pPr>
        <w:keepNext w:val="0"/>
        <w:keepLines w:val="0"/>
        <w:pageBreakBefore w:val="0"/>
        <w:kinsoku/>
        <w:wordWrap/>
        <w:overflowPunct/>
        <w:topLinePunct w:val="0"/>
        <w:autoSpaceDE w:val="0"/>
        <w:autoSpaceDN w:val="0"/>
        <w:bidi w:val="0"/>
        <w:adjustRightInd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bidi="ar-SA"/>
        </w:rPr>
        <w:t>.2、供方在接到报修信息后，供方维修人员应8小时内电话响应，48小时内到达需方现场，48小时内排除故障。</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textAlignment w:val="auto"/>
        <w:outlineLvl w:val="9"/>
        <w:rPr>
          <w:rFonts w:hint="eastAsia" w:ascii="宋体" w:hAnsi="宋体" w:eastAsia="宋体" w:cs="宋体"/>
          <w:b/>
          <w:strike w:val="0"/>
          <w:dstrike w:val="0"/>
          <w:color w:val="auto"/>
          <w:kern w:val="2"/>
          <w:sz w:val="21"/>
          <w:szCs w:val="21"/>
          <w:highlight w:val="none"/>
          <w:lang w:val="en-US" w:bidi="ar-SA"/>
        </w:rPr>
      </w:pPr>
      <w:r>
        <w:rPr>
          <w:rFonts w:hint="eastAsia" w:ascii="宋体" w:hAnsi="宋体" w:eastAsia="宋体" w:cs="宋体"/>
          <w:b/>
          <w:strike w:val="0"/>
          <w:dstrike w:val="0"/>
          <w:color w:val="auto"/>
          <w:kern w:val="2"/>
          <w:sz w:val="21"/>
          <w:szCs w:val="21"/>
          <w:highlight w:val="none"/>
          <w:lang w:val="en-US" w:eastAsia="zh-CN" w:bidi="ar-SA"/>
        </w:rPr>
        <w:t>5</w:t>
      </w:r>
      <w:r>
        <w:rPr>
          <w:rFonts w:hint="eastAsia" w:ascii="宋体" w:hAnsi="宋体" w:eastAsia="宋体" w:cs="宋体"/>
          <w:b/>
          <w:strike w:val="0"/>
          <w:dstrike w:val="0"/>
          <w:color w:val="auto"/>
          <w:kern w:val="2"/>
          <w:sz w:val="21"/>
          <w:szCs w:val="21"/>
          <w:highlight w:val="none"/>
          <w:lang w:val="en-US" w:bidi="ar-SA"/>
        </w:rPr>
        <w:t>、交货时间</w:t>
      </w:r>
    </w:p>
    <w:p>
      <w:pPr>
        <w:keepNext w:val="0"/>
        <w:keepLines w:val="0"/>
        <w:pageBreakBefore w:val="0"/>
        <w:numPr>
          <w:ilvl w:val="0"/>
          <w:numId w:val="0"/>
        </w:numPr>
        <w:kinsoku/>
        <w:wordWrap/>
        <w:overflowPunct/>
        <w:topLinePunct w:val="0"/>
        <w:autoSpaceDE/>
        <w:autoSpaceDN/>
        <w:bidi w:val="0"/>
        <w:snapToGrid/>
        <w:spacing w:before="0" w:after="0" w:line="360" w:lineRule="auto"/>
        <w:ind w:left="0" w:leftChars="0" w:right="0" w:firstLine="420"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strike w:val="0"/>
          <w:dstrike w:val="0"/>
          <w:color w:val="auto"/>
          <w:kern w:val="2"/>
          <w:sz w:val="21"/>
          <w:szCs w:val="21"/>
          <w:highlight w:val="none"/>
          <w:lang w:val="en-US" w:eastAsia="zh-CN" w:bidi="ar-SA"/>
        </w:rPr>
        <w:t>5.1</w:t>
      </w:r>
      <w:r>
        <w:rPr>
          <w:rFonts w:hint="eastAsia" w:ascii="宋体" w:hAnsi="宋体" w:eastAsia="宋体" w:cs="宋体"/>
          <w:strike w:val="0"/>
          <w:dstrike w:val="0"/>
          <w:color w:val="auto"/>
          <w:kern w:val="2"/>
          <w:sz w:val="21"/>
          <w:szCs w:val="21"/>
          <w:highlight w:val="none"/>
          <w:lang w:val="en-US" w:bidi="ar-SA"/>
        </w:rPr>
        <w:t>、交货时间：</w:t>
      </w:r>
      <w:r>
        <w:rPr>
          <w:rFonts w:hint="eastAsia" w:ascii="宋体" w:hAnsi="宋体" w:eastAsia="宋体" w:cs="宋体"/>
          <w:b/>
          <w:strike w:val="0"/>
          <w:dstrike w:val="0"/>
          <w:color w:val="auto"/>
          <w:kern w:val="2"/>
          <w:sz w:val="21"/>
          <w:szCs w:val="21"/>
          <w:highlight w:val="none"/>
          <w:u w:val="single"/>
          <w:lang w:val="en-US" w:eastAsia="zh-CN" w:bidi="ar-SA"/>
        </w:rPr>
        <w:t>6</w:t>
      </w:r>
      <w:r>
        <w:rPr>
          <w:rFonts w:hint="eastAsia" w:ascii="宋体" w:hAnsi="宋体" w:eastAsia="宋体" w:cs="宋体"/>
          <w:b/>
          <w:strike w:val="0"/>
          <w:dstrike w:val="0"/>
          <w:color w:val="auto"/>
          <w:kern w:val="2"/>
          <w:sz w:val="21"/>
          <w:szCs w:val="21"/>
          <w:highlight w:val="none"/>
          <w:u w:val="single"/>
          <w:lang w:val="en-US" w:bidi="ar-SA"/>
        </w:rPr>
        <w:t xml:space="preserve">0 </w:t>
      </w:r>
      <w:r>
        <w:rPr>
          <w:rFonts w:hint="eastAsia" w:ascii="宋体" w:hAnsi="宋体" w:eastAsia="宋体" w:cs="宋体"/>
          <w:strike w:val="0"/>
          <w:dstrike w:val="0"/>
          <w:color w:val="auto"/>
          <w:kern w:val="2"/>
          <w:sz w:val="21"/>
          <w:szCs w:val="21"/>
          <w:highlight w:val="none"/>
          <w:lang w:val="en-US" w:bidi="ar-SA"/>
        </w:rPr>
        <w:t>日</w:t>
      </w:r>
      <w:r>
        <w:rPr>
          <w:rFonts w:hint="eastAsia" w:ascii="宋体" w:hAnsi="宋体" w:eastAsia="宋体" w:cs="宋体"/>
          <w:strike w:val="0"/>
          <w:dstrike w:val="0"/>
          <w:color w:val="auto"/>
          <w:kern w:val="2"/>
          <w:sz w:val="21"/>
          <w:szCs w:val="21"/>
          <w:highlight w:val="none"/>
          <w:lang w:val="en-US" w:eastAsia="zh-CN" w:bidi="ar-SA"/>
        </w:rPr>
        <w:t>历天</w:t>
      </w:r>
      <w:r>
        <w:rPr>
          <w:rFonts w:hint="eastAsia" w:ascii="宋体" w:hAnsi="宋体" w:eastAsia="宋体" w:cs="宋体"/>
          <w:strike w:val="0"/>
          <w:dstrike w:val="0"/>
          <w:color w:val="auto"/>
          <w:kern w:val="2"/>
          <w:sz w:val="21"/>
          <w:szCs w:val="21"/>
          <w:highlight w:val="none"/>
          <w:lang w:val="en-US" w:bidi="ar-SA"/>
        </w:rPr>
        <w:t>内</w:t>
      </w:r>
    </w:p>
    <w:p>
      <w:pPr>
        <w:keepNext w:val="0"/>
        <w:keepLines w:val="0"/>
        <w:pageBreakBefore w:val="0"/>
        <w:numPr>
          <w:ilvl w:val="0"/>
          <w:numId w:val="0"/>
        </w:numPr>
        <w:kinsoku/>
        <w:wordWrap/>
        <w:overflowPunct/>
        <w:topLinePunct w:val="0"/>
        <w:autoSpaceDE/>
        <w:autoSpaceDN/>
        <w:bidi w:val="0"/>
        <w:snapToGrid/>
        <w:spacing w:before="0" w:after="0" w:line="360" w:lineRule="auto"/>
        <w:ind w:left="0" w:leftChars="0" w:right="0" w:firstLine="422" w:firstLineChars="200"/>
        <w:jc w:val="both"/>
        <w:textAlignment w:val="auto"/>
        <w:outlineLvl w:val="9"/>
        <w:rPr>
          <w:rFonts w:hint="eastAsia" w:ascii="宋体" w:hAnsi="宋体" w:eastAsia="宋体" w:cs="宋体"/>
          <w:strike w:val="0"/>
          <w:dstrike w:val="0"/>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三、测量设备名称：</w:t>
      </w:r>
      <w:r>
        <w:rPr>
          <w:rFonts w:hint="eastAsia" w:ascii="宋体" w:hAnsi="宋体" w:eastAsia="宋体" w:cs="宋体"/>
          <w:color w:val="auto"/>
          <w:kern w:val="2"/>
          <w:sz w:val="21"/>
          <w:szCs w:val="21"/>
          <w:highlight w:val="none"/>
          <w:lang w:val="en-US" w:eastAsia="zh-CN" w:bidi="ar-SA"/>
        </w:rPr>
        <w:t>量块专用检具(</w:t>
      </w:r>
      <w:r>
        <w:rPr>
          <w:rFonts w:hint="eastAsia" w:ascii="宋体" w:hAnsi="宋体" w:eastAsia="宋体" w:cs="宋体"/>
          <w:b/>
          <w:bCs/>
          <w:strike w:val="0"/>
          <w:dstrike w:val="0"/>
          <w:color w:val="auto"/>
          <w:kern w:val="2"/>
          <w:sz w:val="21"/>
          <w:szCs w:val="21"/>
          <w:highlight w:val="none"/>
          <w:lang w:val="en-US" w:eastAsia="zh-CN" w:bidi="ar-SA"/>
        </w:rPr>
        <w:t xml:space="preserve">块规夹子 </w:t>
      </w:r>
      <w:r>
        <w:rPr>
          <w:rFonts w:hint="eastAsia" w:ascii="宋体" w:hAnsi="宋体" w:eastAsia="宋体" w:cs="宋体"/>
          <w:strike w:val="0"/>
          <w:dstrike w:val="0"/>
          <w:color w:val="auto"/>
          <w:kern w:val="2"/>
          <w:sz w:val="21"/>
          <w:szCs w:val="21"/>
          <w:highlight w:val="none"/>
          <w:lang w:val="en-US" w:eastAsia="zh-CN" w:bidi="ar-SA"/>
        </w:rPr>
        <w:t xml:space="preserve"> 5个组)</w:t>
      </w:r>
    </w:p>
    <w:p>
      <w:pPr>
        <w:keepNext w:val="0"/>
        <w:keepLines w:val="0"/>
        <w:pageBreakBefore w:val="0"/>
        <w:kinsoku/>
        <w:wordWrap/>
        <w:overflowPunct/>
        <w:topLinePunct w:val="0"/>
        <w:autoSpaceDE/>
        <w:autoSpaceDN/>
        <w:bidi w:val="0"/>
        <w:snapToGrid/>
        <w:spacing w:before="0" w:after="0" w:line="360" w:lineRule="auto"/>
        <w:ind w:left="0" w:leftChars="0" w:right="0" w:firstLine="422" w:firstLineChars="200"/>
        <w:jc w:val="both"/>
        <w:textAlignment w:val="auto"/>
        <w:outlineLvl w:val="9"/>
        <w:rPr>
          <w:rFonts w:hint="eastAsia" w:ascii="宋体" w:hAnsi="宋体" w:eastAsia="宋体" w:cs="宋体"/>
          <w:b/>
          <w:strike w:val="0"/>
          <w:dstrike w:val="0"/>
          <w:color w:val="auto"/>
          <w:kern w:val="2"/>
          <w:sz w:val="21"/>
          <w:szCs w:val="21"/>
          <w:highlight w:val="none"/>
          <w:lang w:val="en-US" w:bidi="ar-SA"/>
        </w:rPr>
      </w:pPr>
      <w:r>
        <w:rPr>
          <w:rFonts w:hint="eastAsia" w:ascii="宋体" w:hAnsi="宋体" w:eastAsia="宋体" w:cs="宋体"/>
          <w:b/>
          <w:strike w:val="0"/>
          <w:dstrike w:val="0"/>
          <w:color w:val="auto"/>
          <w:kern w:val="2"/>
          <w:sz w:val="21"/>
          <w:szCs w:val="21"/>
          <w:highlight w:val="none"/>
          <w:lang w:val="en-US" w:bidi="ar-SA"/>
        </w:rPr>
        <w:t>（</w:t>
      </w:r>
      <w:r>
        <w:rPr>
          <w:rFonts w:hint="eastAsia" w:ascii="宋体" w:hAnsi="宋体" w:eastAsia="宋体" w:cs="宋体"/>
          <w:b/>
          <w:strike w:val="0"/>
          <w:dstrike w:val="0"/>
          <w:color w:val="auto"/>
          <w:kern w:val="2"/>
          <w:sz w:val="21"/>
          <w:szCs w:val="21"/>
          <w:highlight w:val="none"/>
          <w:lang w:val="en-US" w:eastAsia="zh-CN" w:bidi="ar-SA"/>
        </w:rPr>
        <w:t>一</w:t>
      </w:r>
      <w:r>
        <w:rPr>
          <w:rFonts w:hint="eastAsia" w:ascii="宋体" w:hAnsi="宋体" w:eastAsia="宋体" w:cs="宋体"/>
          <w:b/>
          <w:strike w:val="0"/>
          <w:dstrike w:val="0"/>
          <w:color w:val="auto"/>
          <w:kern w:val="2"/>
          <w:sz w:val="21"/>
          <w:szCs w:val="21"/>
          <w:highlight w:val="none"/>
          <w:lang w:val="en-US" w:bidi="ar-SA"/>
        </w:rPr>
        <w:t>）、交货时间</w:t>
      </w:r>
    </w:p>
    <w:p>
      <w:pPr>
        <w:keepNext w:val="0"/>
        <w:keepLines w:val="0"/>
        <w:pageBreakBefore w:val="0"/>
        <w:numPr>
          <w:ilvl w:val="0"/>
          <w:numId w:val="0"/>
        </w:numPr>
        <w:kinsoku/>
        <w:wordWrap/>
        <w:overflowPunct/>
        <w:topLinePunct w:val="0"/>
        <w:autoSpaceDE/>
        <w:autoSpaceDN/>
        <w:bidi w:val="0"/>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trike w:val="0"/>
          <w:dstrike w:val="0"/>
          <w:color w:val="auto"/>
          <w:kern w:val="2"/>
          <w:sz w:val="21"/>
          <w:szCs w:val="21"/>
          <w:highlight w:val="none"/>
          <w:lang w:val="en-US" w:bidi="ar-SA"/>
        </w:rPr>
        <w:t>1、交货时间：</w:t>
      </w:r>
      <w:r>
        <w:rPr>
          <w:rFonts w:hint="eastAsia" w:ascii="宋体" w:hAnsi="宋体" w:eastAsia="宋体" w:cs="宋体"/>
          <w:b/>
          <w:strike w:val="0"/>
          <w:dstrike w:val="0"/>
          <w:color w:val="auto"/>
          <w:kern w:val="2"/>
          <w:sz w:val="21"/>
          <w:szCs w:val="21"/>
          <w:highlight w:val="none"/>
          <w:u w:val="single"/>
          <w:lang w:val="en-US" w:eastAsia="zh-CN" w:bidi="ar-SA"/>
        </w:rPr>
        <w:t>6</w:t>
      </w:r>
      <w:r>
        <w:rPr>
          <w:rFonts w:hint="eastAsia" w:ascii="宋体" w:hAnsi="宋体" w:eastAsia="宋体" w:cs="宋体"/>
          <w:b/>
          <w:strike w:val="0"/>
          <w:dstrike w:val="0"/>
          <w:color w:val="auto"/>
          <w:kern w:val="2"/>
          <w:sz w:val="21"/>
          <w:szCs w:val="21"/>
          <w:highlight w:val="none"/>
          <w:u w:val="single"/>
          <w:lang w:val="en-US" w:bidi="ar-SA"/>
        </w:rPr>
        <w:t xml:space="preserve">0 </w:t>
      </w:r>
      <w:r>
        <w:rPr>
          <w:rFonts w:hint="eastAsia" w:ascii="宋体" w:hAnsi="宋体" w:eastAsia="宋体" w:cs="宋体"/>
          <w:strike w:val="0"/>
          <w:dstrike w:val="0"/>
          <w:color w:val="auto"/>
          <w:kern w:val="2"/>
          <w:sz w:val="21"/>
          <w:szCs w:val="21"/>
          <w:highlight w:val="none"/>
          <w:lang w:val="en-US" w:bidi="ar-SA"/>
        </w:rPr>
        <w:t>日</w:t>
      </w:r>
      <w:r>
        <w:rPr>
          <w:rFonts w:hint="eastAsia" w:ascii="宋体" w:hAnsi="宋体" w:eastAsia="宋体" w:cs="宋体"/>
          <w:strike w:val="0"/>
          <w:dstrike w:val="0"/>
          <w:color w:val="auto"/>
          <w:kern w:val="2"/>
          <w:sz w:val="21"/>
          <w:szCs w:val="21"/>
          <w:highlight w:val="none"/>
          <w:lang w:val="en-US" w:eastAsia="zh-CN" w:bidi="ar-SA"/>
        </w:rPr>
        <w:t>历天</w:t>
      </w:r>
      <w:r>
        <w:rPr>
          <w:rFonts w:hint="eastAsia" w:ascii="宋体" w:hAnsi="宋体" w:eastAsia="宋体" w:cs="宋体"/>
          <w:strike w:val="0"/>
          <w:dstrike w:val="0"/>
          <w:color w:val="auto"/>
          <w:kern w:val="2"/>
          <w:sz w:val="21"/>
          <w:szCs w:val="21"/>
          <w:highlight w:val="none"/>
          <w:lang w:val="en-US" w:bidi="ar-SA"/>
        </w:rPr>
        <w:t>内</w:t>
      </w:r>
      <w:r>
        <w:rPr>
          <w:rFonts w:hint="eastAsia" w:ascii="宋体" w:hAnsi="宋体" w:eastAsia="宋体" w:cs="宋体"/>
          <w:color w:val="auto"/>
          <w:kern w:val="2"/>
          <w:sz w:val="21"/>
          <w:szCs w:val="21"/>
          <w:highlight w:val="none"/>
          <w:lang w:val="en-US" w:eastAsia="zh-CN" w:bidi="ar-SA"/>
        </w:rPr>
        <w:t xml:space="preserve">  </w:t>
      </w:r>
    </w:p>
    <w:p>
      <w:pPr>
        <w:keepNext w:val="0"/>
        <w:keepLines w:val="0"/>
        <w:pageBreakBefore w:val="0"/>
        <w:numPr>
          <w:ilvl w:val="0"/>
          <w:numId w:val="0"/>
        </w:numPr>
        <w:kinsoku/>
        <w:wordWrap/>
        <w:overflowPunct/>
        <w:topLinePunct w:val="0"/>
        <w:autoSpaceDE/>
        <w:autoSpaceDN/>
        <w:bidi w:val="0"/>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w:t>
      </w:r>
      <w:r>
        <w:rPr>
          <w:rFonts w:hint="eastAsia" w:ascii="宋体" w:hAnsi="宋体" w:eastAsia="宋体" w:cs="宋体"/>
          <w:color w:val="auto"/>
          <w:kern w:val="2"/>
          <w:sz w:val="21"/>
          <w:szCs w:val="21"/>
          <w:highlight w:val="none"/>
          <w:lang w:val="en-US" w:bidi="ar-SA"/>
        </w:rPr>
        <w:t xml:space="preserve"> </w:t>
      </w:r>
      <w:r>
        <w:rPr>
          <w:rFonts w:hint="eastAsia" w:ascii="宋体" w:hAnsi="宋体" w:eastAsia="宋体" w:cs="宋体"/>
          <w:b/>
          <w:color w:val="auto"/>
          <w:kern w:val="2"/>
          <w:sz w:val="21"/>
          <w:szCs w:val="21"/>
          <w:highlight w:val="none"/>
          <w:lang w:val="en-US" w:bidi="ar-SA"/>
        </w:rPr>
        <w:t>测量设备名称：双通道温度巡检仪    4台</w:t>
      </w:r>
    </w:p>
    <w:p>
      <w:pPr>
        <w:keepNext w:val="0"/>
        <w:keepLines w:val="0"/>
        <w:pageBreakBefore w:val="0"/>
        <w:kinsoku/>
        <w:wordWrap/>
        <w:overflowPunct/>
        <w:topLinePunct w:val="0"/>
        <w:autoSpaceDE/>
        <w:autoSpaceDN/>
        <w:bidi w:val="0"/>
        <w:snapToGrid/>
        <w:spacing w:before="0" w:after="0" w:line="360" w:lineRule="auto"/>
        <w:ind w:left="0" w:leftChars="0" w:right="0" w:firstLine="422" w:firstLineChars="200"/>
        <w:jc w:val="both"/>
        <w:textAlignment w:val="auto"/>
        <w:outlineLvl w:val="9"/>
        <w:rPr>
          <w:rFonts w:hint="eastAsia" w:ascii="宋体" w:hAnsi="宋体" w:eastAsia="宋体" w:cs="宋体"/>
          <w:b/>
          <w:strike w:val="0"/>
          <w:dstrike w:val="0"/>
          <w:color w:val="auto"/>
          <w:kern w:val="2"/>
          <w:sz w:val="21"/>
          <w:szCs w:val="21"/>
          <w:highlight w:val="none"/>
          <w:lang w:val="en-US" w:bidi="ar-SA"/>
        </w:rPr>
      </w:pPr>
      <w:r>
        <w:rPr>
          <w:rFonts w:hint="eastAsia" w:ascii="宋体" w:hAnsi="宋体" w:eastAsia="宋体" w:cs="宋体"/>
          <w:b/>
          <w:strike w:val="0"/>
          <w:dstrike w:val="0"/>
          <w:color w:val="auto"/>
          <w:kern w:val="2"/>
          <w:sz w:val="21"/>
          <w:szCs w:val="21"/>
          <w:highlight w:val="none"/>
          <w:lang w:val="en-US" w:eastAsia="zh-CN" w:bidi="ar-SA"/>
        </w:rPr>
        <w:t>（一）</w:t>
      </w:r>
      <w:r>
        <w:rPr>
          <w:rFonts w:hint="eastAsia" w:ascii="宋体" w:hAnsi="宋体" w:eastAsia="宋体" w:cs="宋体"/>
          <w:b/>
          <w:strike w:val="0"/>
          <w:dstrike w:val="0"/>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测温仪(T520)</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1、温度范围：-200℃ ～ +850℃(决定于所配的测温电阻)；</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2、通 道 数：2；</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3、屏幕：触摸屏，同时显示双通道的温度，实时观测温度变化；</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4、分 辨 率：0.001℃；测温准确度：±0.05℃；</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5、单 位：℃/K/Ω/F 可自由切换；</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6、采集频率：1s/通道；</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7、显 示 屏：5.0 寸触摸屏；</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8、通讯接口：USB；</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铂电阻温度计(T6225，配AA级铂电阻)</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1、温度范围：-50℃～﹢250℃；</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2、准 确 度：±0.05℃；</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3、尺 寸：φ5mm*250mm；</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4、连 接 线：4*1.5m</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1、计量性能及技术招标必须符合JJF 1101-2019《环境试验设备温度、湿度参数校准规范》。</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2、如果测量设备所使用的软件，甲方享受免费升级，如发现软件开发商在软件中设置影响软件使用的限制，乙方承担一切责任和损失。同时甲方有权追究法律责任。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3、软件需能保证检测数据的安全，可以按照甲方要求导出数据，软件具有检测数据自动备份、电脑输出、手动清理的功能。</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4、该测量设备由新疆计量测试研究院自行检定，出具计量检定证书。</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（三）、设备及附件清单</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测试主机T520</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铂电阻温度计T6225</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充电器5V-2A  线长1M</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用户手册T500系列（中文版）</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配置清单</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出厂检测报告</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产品参数报T6225</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24</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r>
        <w:rPr>
          <w:rFonts w:hint="eastAsia" w:ascii="宋体" w:hAnsi="宋体" w:eastAsia="宋体" w:cs="宋体"/>
          <w:b/>
          <w:color w:val="auto"/>
          <w:kern w:val="2"/>
          <w:sz w:val="21"/>
          <w:szCs w:val="21"/>
          <w:highlight w:val="none"/>
          <w:lang w:val="en-US" w:bidi="ar-SA"/>
        </w:rPr>
        <w:t>用户手册T500系列（中文版）</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r>
        <w:rPr>
          <w:rFonts w:hint="eastAsia" w:ascii="宋体" w:hAnsi="宋体" w:eastAsia="宋体" w:cs="宋体"/>
          <w:b/>
          <w:color w:val="auto"/>
          <w:kern w:val="2"/>
          <w:sz w:val="21"/>
          <w:szCs w:val="21"/>
          <w:highlight w:val="none"/>
          <w:lang w:val="en-US" w:bidi="ar-SA"/>
        </w:rPr>
        <w:t>出厂检测报告</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right="0" w:rightChars="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cs="宋体"/>
          <w:b/>
          <w:color w:val="auto"/>
          <w:kern w:val="2"/>
          <w:sz w:val="21"/>
          <w:szCs w:val="21"/>
          <w:highlight w:val="none"/>
          <w:lang w:val="en-US" w:eastAsia="zh-CN" w:bidi="ar-SA"/>
        </w:rPr>
        <w:t>3、</w:t>
      </w:r>
      <w:r>
        <w:rPr>
          <w:rFonts w:hint="eastAsia" w:ascii="宋体" w:hAnsi="宋体" w:eastAsia="宋体" w:cs="宋体"/>
          <w:b/>
          <w:color w:val="auto"/>
          <w:kern w:val="2"/>
          <w:sz w:val="21"/>
          <w:szCs w:val="21"/>
          <w:highlight w:val="none"/>
          <w:lang w:val="en-US" w:bidi="ar-SA"/>
        </w:rPr>
        <w:t>产品参数报告</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right="0" w:rightChars="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cs="宋体"/>
          <w:b/>
          <w:color w:val="auto"/>
          <w:kern w:val="2"/>
          <w:sz w:val="21"/>
          <w:szCs w:val="21"/>
          <w:highlight w:val="none"/>
          <w:lang w:val="en-US" w:eastAsia="zh-CN" w:bidi="ar-SA"/>
        </w:rPr>
        <w:t>4、</w:t>
      </w:r>
      <w:r>
        <w:rPr>
          <w:rFonts w:hint="eastAsia" w:ascii="宋体" w:hAnsi="宋体" w:eastAsia="宋体" w:cs="宋体"/>
          <w:b/>
          <w:color w:val="auto"/>
          <w:kern w:val="2"/>
          <w:sz w:val="21"/>
          <w:szCs w:val="21"/>
          <w:highlight w:val="none"/>
          <w:lang w:val="en-US" w:bidi="ar-SA"/>
        </w:rPr>
        <w:t>配置清单</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7、质保期：验收合格后1年。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3、仪器现场安装、调试后，供方通知需方共同组织对仪器进行性能验收，验收依据为双方认可的第三方计量部门或新疆计量院出具的检定或校准证书报告或根据双方协商的验收测试方法进行测试验收。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日历天内</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五、测量设备名称：快速测温仪（恒温浴校准装置）   10台</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（一）、技术参数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1.1★测量范围：-50℃~400℃</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1.2★测量精度：±0.05℃</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1.3分辨率：0.01/0.1℃，一键切换</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1.4温度单位℃/F，一键切换</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1.5按键功能：“记录”键进行温度记录，“回放”键显示温度的最大值、最小值</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1.6锁定功能：温度显示保持不变</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（二）、通用技术要求</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1、计量性能及技术招标必须符合JJF 1030-2010《恒温槽技术性能校准规范》。</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4、该测量设备由由疆计量测试研究院自行检定验收，出具计量检定证书，费用由供方支付。</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温度计 TM-907A</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PT-100 铂金电阻探头</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9V电池</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操作说明书</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产品合格证</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1、中文操作手册十份；</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2、合格证十份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日历天内</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六、测量设备名称：软热电偶    1台</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（一）、技术参数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1.1★测量最高温度：1090℃</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1.2★绝缘层材料：二氧化硅纱纤维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1.3准确度等级：I级</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1.4性能：可弯曲延展</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（二）、通用技术要求:/</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软热电偶 XS-K-14-1000</w:t>
            </w:r>
          </w:p>
        </w:tc>
        <w:tc>
          <w:tcPr>
            <w:tcW w:w="87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1卷</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7、质保期：验收合格后1年。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3、仪器现场安装、调试后，供方通知需方共同组织对仪器进行性能验收，验收依据为双方认可的计量部门出具的检定或校准证书报告或根据双方协商的验收测试方法进行测试验收。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单位：新疆计量测试研究院出具的证书。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60 </w:t>
      </w:r>
      <w:r>
        <w:rPr>
          <w:rFonts w:hint="eastAsia" w:ascii="宋体" w:hAnsi="宋体" w:eastAsia="宋体" w:cs="宋体"/>
          <w:color w:val="auto"/>
          <w:kern w:val="2"/>
          <w:sz w:val="21"/>
          <w:szCs w:val="21"/>
          <w:highlight w:val="none"/>
          <w:lang w:val="en-US" w:bidi="ar-SA"/>
        </w:rPr>
        <w:t>日历天内</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Chars="200" w:right="0" w:rightChars="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cs="宋体"/>
          <w:b/>
          <w:bCs/>
          <w:color w:val="auto"/>
          <w:kern w:val="2"/>
          <w:sz w:val="21"/>
          <w:szCs w:val="21"/>
          <w:highlight w:val="none"/>
          <w:lang w:val="en-US" w:eastAsia="zh-CN" w:bidi="ar-SA"/>
        </w:rPr>
        <w:t>七、</w:t>
      </w:r>
      <w:r>
        <w:rPr>
          <w:rFonts w:hint="eastAsia" w:ascii="宋体" w:hAnsi="宋体" w:eastAsia="宋体" w:cs="宋体"/>
          <w:b/>
          <w:bCs/>
          <w:color w:val="auto"/>
          <w:kern w:val="2"/>
          <w:sz w:val="21"/>
          <w:szCs w:val="21"/>
          <w:highlight w:val="none"/>
          <w:lang w:val="en-US" w:bidi="ar-SA"/>
        </w:rPr>
        <w:t>测量设备名称：减压阀  10台</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（一）技术参数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不锈钢316材质，双表， </w:t>
      </w:r>
      <w:r>
        <w:rPr>
          <w:rFonts w:hint="eastAsia" w:ascii="宋体" w:hAnsi="宋体" w:eastAsia="宋体" w:cs="宋体"/>
          <w:b/>
          <w:bCs/>
          <w:color w:val="auto"/>
          <w:kern w:val="2"/>
          <w:sz w:val="21"/>
          <w:szCs w:val="21"/>
          <w:highlight w:val="none"/>
          <w:lang w:val="en-US" w:bidi="ar-SA"/>
        </w:rPr>
        <w:t xml:space="preserve">   </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691"/>
        <w:gridCol w:w="1417"/>
        <w:gridCol w:w="1560"/>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69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量程</w:t>
            </w:r>
          </w:p>
        </w:tc>
        <w:tc>
          <w:tcPr>
            <w:tcW w:w="1417"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进气</w:t>
            </w:r>
          </w:p>
        </w:tc>
        <w:tc>
          <w:tcPr>
            <w:tcW w:w="1560"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出气</w:t>
            </w:r>
          </w:p>
        </w:tc>
        <w:tc>
          <w:tcPr>
            <w:tcW w:w="708"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9" w:hRule="atLeast"/>
          <w:jc w:val="center"/>
        </w:trPr>
        <w:tc>
          <w:tcPr>
            <w:tcW w:w="369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40MPa/0.25M压27.6MPa/1.7MPa）</w:t>
            </w:r>
          </w:p>
        </w:tc>
        <w:tc>
          <w:tcPr>
            <w:tcW w:w="1417" w:type="dxa"/>
            <w:vMerge w:val="restart"/>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G5/8-RH(F).</w:t>
            </w:r>
          </w:p>
        </w:tc>
        <w:tc>
          <w:tcPr>
            <w:tcW w:w="1560" w:type="dxa"/>
            <w:vMerge w:val="restart"/>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1/4NPT(M)    均有外丝接头</w:t>
            </w:r>
          </w:p>
        </w:tc>
        <w:tc>
          <w:tcPr>
            <w:tcW w:w="708"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69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40MPa/1.6MPa</w:t>
            </w:r>
          </w:p>
        </w:tc>
        <w:tc>
          <w:tcPr>
            <w:tcW w:w="1417" w:type="dxa"/>
            <w:vMerge w:val="continue"/>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p>
        </w:tc>
        <w:tc>
          <w:tcPr>
            <w:tcW w:w="1560" w:type="dxa"/>
            <w:vMerge w:val="continue"/>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p>
        </w:tc>
        <w:tc>
          <w:tcPr>
            <w:tcW w:w="708"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8" w:hRule="atLeast"/>
          <w:jc w:val="center"/>
        </w:trPr>
        <w:tc>
          <w:tcPr>
            <w:tcW w:w="369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40MPa/2.5MPa</w:t>
            </w:r>
          </w:p>
        </w:tc>
        <w:tc>
          <w:tcPr>
            <w:tcW w:w="1417" w:type="dxa"/>
            <w:vMerge w:val="continue"/>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p>
        </w:tc>
        <w:tc>
          <w:tcPr>
            <w:tcW w:w="1560" w:type="dxa"/>
            <w:vMerge w:val="continue"/>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p>
        </w:tc>
        <w:tc>
          <w:tcPr>
            <w:tcW w:w="708"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69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40MPa/6MPa</w:t>
            </w:r>
          </w:p>
        </w:tc>
        <w:tc>
          <w:tcPr>
            <w:tcW w:w="1417" w:type="dxa"/>
            <w:vMerge w:val="continue"/>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p>
        </w:tc>
        <w:tc>
          <w:tcPr>
            <w:tcW w:w="1560" w:type="dxa"/>
            <w:vMerge w:val="continue"/>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p>
        </w:tc>
        <w:tc>
          <w:tcPr>
            <w:tcW w:w="708"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69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40MPa/16MPa</w:t>
            </w:r>
          </w:p>
        </w:tc>
        <w:tc>
          <w:tcPr>
            <w:tcW w:w="1417" w:type="dxa"/>
            <w:vMerge w:val="continue"/>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p>
        </w:tc>
        <w:tc>
          <w:tcPr>
            <w:tcW w:w="1560" w:type="dxa"/>
            <w:vMerge w:val="continue"/>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lang w:val="en-US" w:bidi="ar-SA"/>
              </w:rPr>
            </w:pPr>
          </w:p>
        </w:tc>
        <w:tc>
          <w:tcPr>
            <w:tcW w:w="708"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r>
    </w:tbl>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Chars="0" w:right="0" w:rightChars="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cs="宋体"/>
          <w:b/>
          <w:color w:val="auto"/>
          <w:kern w:val="2"/>
          <w:sz w:val="21"/>
          <w:szCs w:val="21"/>
          <w:highlight w:val="none"/>
          <w:lang w:val="en-US" w:eastAsia="zh-CN" w:bidi="ar-SA"/>
        </w:rPr>
        <w:t>（二）</w:t>
      </w:r>
      <w:r>
        <w:rPr>
          <w:rFonts w:hint="eastAsia" w:ascii="宋体" w:hAnsi="宋体" w:eastAsia="宋体" w:cs="宋体"/>
          <w:b/>
          <w:color w:val="auto"/>
          <w:kern w:val="2"/>
          <w:sz w:val="21"/>
          <w:szCs w:val="21"/>
          <w:highlight w:val="none"/>
          <w:lang w:val="en-US" w:eastAsia="zh-CN" w:bidi="ar-SA"/>
        </w:rPr>
        <w:t>质保期：</w:t>
      </w:r>
      <w:r>
        <w:rPr>
          <w:rFonts w:hint="eastAsia" w:ascii="宋体" w:hAnsi="宋体" w:eastAsia="宋体" w:cs="宋体"/>
          <w:color w:val="auto"/>
          <w:kern w:val="2"/>
          <w:sz w:val="21"/>
          <w:szCs w:val="21"/>
          <w:highlight w:val="none"/>
          <w:lang w:val="en-US" w:bidi="ar-SA"/>
        </w:rPr>
        <w:t>验收合格后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u w:val="single"/>
          <w:lang w:val="en-US" w:bidi="ar-SA"/>
        </w:rPr>
        <w:t xml:space="preserve">2 </w:t>
      </w:r>
      <w:r>
        <w:rPr>
          <w:rFonts w:hint="eastAsia" w:ascii="宋体" w:hAnsi="宋体" w:eastAsia="宋体" w:cs="宋体"/>
          <w:color w:val="auto"/>
          <w:kern w:val="2"/>
          <w:sz w:val="21"/>
          <w:szCs w:val="21"/>
          <w:highlight w:val="none"/>
          <w:lang w:val="en-US" w:bidi="ar-SA"/>
        </w:rPr>
        <w:t>年</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Chars="0" w:right="0" w:rightChars="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cs="宋体"/>
          <w:b/>
          <w:color w:val="auto"/>
          <w:kern w:val="2"/>
          <w:sz w:val="21"/>
          <w:szCs w:val="21"/>
          <w:highlight w:val="none"/>
          <w:lang w:val="en-US" w:eastAsia="zh-CN" w:bidi="ar-SA"/>
        </w:rPr>
        <w:t>（三）</w:t>
      </w:r>
      <w:r>
        <w:rPr>
          <w:rFonts w:hint="eastAsia" w:ascii="宋体" w:hAnsi="宋体" w:eastAsia="宋体" w:cs="宋体"/>
          <w:b/>
          <w:bCs/>
          <w:color w:val="auto"/>
          <w:kern w:val="2"/>
          <w:sz w:val="21"/>
          <w:szCs w:val="21"/>
          <w:highlight w:val="none"/>
          <w:lang w:val="en-US" w:bidi="ar-SA"/>
        </w:rPr>
        <w:t>交货时间：</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eastAsia="zh-CN" w:bidi="ar-SA"/>
        </w:rPr>
        <w:t>八、</w:t>
      </w:r>
      <w:r>
        <w:rPr>
          <w:rFonts w:hint="eastAsia" w:ascii="宋体" w:hAnsi="宋体" w:eastAsia="宋体" w:cs="宋体"/>
          <w:b/>
          <w:bCs/>
          <w:color w:val="auto"/>
          <w:kern w:val="2"/>
          <w:sz w:val="21"/>
          <w:szCs w:val="21"/>
          <w:highlight w:val="none"/>
          <w:lang w:val="en-US" w:bidi="ar-SA"/>
        </w:rPr>
        <w:t>测量设备名称：真空泵   2台</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（一）、技术参数</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1.1</w:t>
      </w:r>
      <w:r>
        <w:rPr>
          <w:rFonts w:hint="eastAsia" w:ascii="宋体" w:hAnsi="宋体" w:eastAsia="宋体" w:cs="宋体"/>
          <w:color w:val="auto"/>
          <w:kern w:val="2"/>
          <w:sz w:val="21"/>
          <w:szCs w:val="21"/>
          <w:highlight w:val="none"/>
          <w:lang w:val="en-US" w:bidi="ar-SA"/>
        </w:rPr>
        <w:t>油封旋片泵，驱动电机与泵主体直接用法兰连接，泵与电机的轴由弹性联轴器直接连接</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 抽速（50Hz）8.11m3/h，极限真空：≤5*10</w:t>
      </w:r>
      <w:r>
        <w:rPr>
          <w:rFonts w:hint="eastAsia" w:ascii="宋体" w:hAnsi="宋体" w:eastAsia="宋体" w:cs="宋体"/>
          <w:color w:val="auto"/>
          <w:kern w:val="2"/>
          <w:sz w:val="21"/>
          <w:szCs w:val="21"/>
          <w:highlight w:val="none"/>
          <w:vertAlign w:val="superscript"/>
          <w:lang w:val="en-US" w:bidi="ar-SA"/>
        </w:rPr>
        <w:t xml:space="preserve">-3 </w:t>
      </w:r>
      <w:r>
        <w:rPr>
          <w:rFonts w:hint="eastAsia" w:ascii="宋体" w:hAnsi="宋体" w:eastAsia="宋体" w:cs="宋体"/>
          <w:color w:val="auto"/>
          <w:kern w:val="2"/>
          <w:sz w:val="21"/>
          <w:szCs w:val="21"/>
          <w:highlight w:val="none"/>
          <w:lang w:val="en-US" w:bidi="ar-SA"/>
        </w:rPr>
        <w:t>mbar,分辨力1Pa</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 带自动排空气阀和高压排气单向阀</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1.4噪音 54/56dB（A）</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（二）</w:t>
      </w:r>
      <w:r>
        <w:rPr>
          <w:rFonts w:hint="eastAsia" w:ascii="宋体" w:hAnsi="宋体" w:eastAsia="宋体" w:cs="宋体"/>
          <w:color w:val="auto"/>
          <w:kern w:val="2"/>
          <w:sz w:val="21"/>
          <w:szCs w:val="21"/>
          <w:highlight w:val="none"/>
          <w:lang w:val="en-US" w:bidi="ar-SA"/>
        </w:rPr>
        <w:t>质保期：验收合格后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u w:val="single"/>
          <w:lang w:val="en-US" w:bidi="ar-SA"/>
        </w:rPr>
        <w:t xml:space="preserve">2 </w:t>
      </w:r>
      <w:r>
        <w:rPr>
          <w:rFonts w:hint="eastAsia" w:ascii="宋体" w:hAnsi="宋体" w:eastAsia="宋体" w:cs="宋体"/>
          <w:color w:val="auto"/>
          <w:kern w:val="2"/>
          <w:sz w:val="21"/>
          <w:szCs w:val="21"/>
          <w:highlight w:val="none"/>
          <w:lang w:val="en-US" w:bidi="ar-SA"/>
        </w:rPr>
        <w:t>年</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（三）</w:t>
      </w:r>
      <w:r>
        <w:rPr>
          <w:rFonts w:hint="eastAsia" w:ascii="宋体" w:hAnsi="宋体" w:eastAsia="宋体" w:cs="宋体"/>
          <w:color w:val="auto"/>
          <w:kern w:val="2"/>
          <w:sz w:val="21"/>
          <w:szCs w:val="21"/>
          <w:highlight w:val="none"/>
          <w:lang w:val="en-US" w:bidi="ar-SA"/>
        </w:rPr>
        <w:t>交货时间：</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九、数字压力表  1块</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（一）、技术参数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1.1测量范围：（0-15）MPa</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1.2准确度等级：0.05级</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1.3仪器分辨率：10 kPa。</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1.4工作电压：国内标准，有保护。 </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（二）、通用技术要求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1、计量性能及技术招标必须符合JJG 875-2019 数字压力计检定规程的计量性能要求。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4、该测量设备由第三方法定计量检定机构检测，出具计量检定或校准证书，费用由供方承担。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电源或电池模块</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包装袋</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检定或校准证书</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使用说明书、出厂合格证</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2、维修手册一份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eastAsia="zh-CN" w:bidi="ar-SA"/>
        </w:rPr>
        <w:t>24</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u w:val="single"/>
          <w:lang w:val="en-US" w:bidi="ar-SA"/>
        </w:rPr>
        <w:t xml:space="preserve">2 </w:t>
      </w:r>
      <w:r>
        <w:rPr>
          <w:rFonts w:hint="eastAsia" w:ascii="宋体" w:hAnsi="宋体" w:eastAsia="宋体" w:cs="宋体"/>
          <w:color w:val="auto"/>
          <w:kern w:val="2"/>
          <w:sz w:val="21"/>
          <w:szCs w:val="21"/>
          <w:highlight w:val="none"/>
          <w:lang w:val="en-US" w:bidi="ar-SA"/>
        </w:rPr>
        <w:t>年。</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3、仪器现场安装、调试后，供方通知需方共同组织对仪器进行性能验收，验收依据为双方认可的第三方计量部门(法定计量检定机构)出具的检定或校准证书或根据双方协商的验收测试方法进行测试验收。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单位：第三方法定计量检定机构出具的测试证书。</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十、</w:t>
      </w:r>
      <w:r>
        <w:rPr>
          <w:rFonts w:hint="eastAsia" w:ascii="宋体" w:hAnsi="宋体" w:eastAsia="宋体" w:cs="宋体"/>
          <w:b/>
          <w:color w:val="auto"/>
          <w:kern w:val="2"/>
          <w:sz w:val="21"/>
          <w:szCs w:val="21"/>
          <w:highlight w:val="none"/>
          <w:lang w:val="en-US" w:bidi="ar-SA"/>
        </w:rPr>
        <w:t>激光测距仪</w:t>
      </w:r>
      <w:r>
        <w:rPr>
          <w:rFonts w:hint="eastAsia" w:ascii="宋体" w:hAnsi="宋体" w:eastAsia="宋体" w:cs="宋体"/>
          <w:b/>
          <w:color w:val="auto"/>
          <w:kern w:val="2"/>
          <w:sz w:val="21"/>
          <w:szCs w:val="21"/>
          <w:highlight w:val="none"/>
          <w:lang w:val="en-US" w:eastAsia="zh-CN" w:bidi="ar-SA"/>
        </w:rPr>
        <w:t xml:space="preserve">  2台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星号★为必须满足的参数指标。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1.1测量范围：不小于200m★</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1.2最大允许误差：±1mm★</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1.3适用温度范围：（5～40）℃。</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1.4适用相对湿度：≤65%RH。</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1.5供电方式：锂电池★。</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1.6 显示方式：液晶屏显示。</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1.7 控制方式：触控方式★。</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420" w:firstLineChars="200"/>
        <w:jc w:val="both"/>
        <w:textAlignment w:val="auto"/>
        <w:outlineLvl w:val="9"/>
        <w:rPr>
          <w:rFonts w:hint="eastAsia" w:ascii="宋体" w:hAnsi="宋体" w:eastAsia="宋体" w:cs="宋体"/>
          <w:b w:val="0"/>
          <w:color w:val="auto"/>
          <w:kern w:val="2"/>
          <w:sz w:val="21"/>
          <w:szCs w:val="21"/>
          <w:highlight w:val="none"/>
          <w:lang w:val="en-US" w:bidi="ar-SA"/>
        </w:rPr>
      </w:pPr>
      <w:r>
        <w:rPr>
          <w:rFonts w:hint="eastAsia" w:ascii="宋体" w:hAnsi="宋体" w:eastAsia="宋体" w:cs="宋体"/>
          <w:b w:val="0"/>
          <w:color w:val="auto"/>
          <w:kern w:val="2"/>
          <w:sz w:val="21"/>
          <w:szCs w:val="21"/>
          <w:highlight w:val="none"/>
          <w:lang w:val="en-US" w:bidi="ar-SA"/>
        </w:rPr>
        <w:t>1、计量性能及技术招标必须符合《JJG966-2010手持式激光测距仪检定规程》。</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4、该测量设备由省级及以上法定计量技术机构检定，出具计量检定证书，费用由供方承担。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激光测距仪</w:t>
            </w:r>
          </w:p>
        </w:tc>
        <w:tc>
          <w:tcPr>
            <w:tcW w:w="8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配套锂电池</w:t>
            </w:r>
          </w:p>
        </w:tc>
        <w:tc>
          <w:tcPr>
            <w:tcW w:w="8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充电器</w:t>
            </w:r>
          </w:p>
        </w:tc>
        <w:tc>
          <w:tcPr>
            <w:tcW w:w="8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皮套</w:t>
            </w:r>
          </w:p>
        </w:tc>
        <w:tc>
          <w:tcPr>
            <w:tcW w:w="8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58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手环</w:t>
            </w:r>
          </w:p>
        </w:tc>
        <w:tc>
          <w:tcPr>
            <w:tcW w:w="8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58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使用说明书、出厂合格证</w:t>
            </w:r>
          </w:p>
        </w:tc>
        <w:tc>
          <w:tcPr>
            <w:tcW w:w="8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eastAsia="zh-CN" w:bidi="ar-SA"/>
        </w:rPr>
        <w:t>24</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5、仪器安装调试完成后，经验收确认合格后，由供方和需方共同在验收报告上签字，仪器的安装调试工作方可完成。</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单位：省级及以上第三方或新疆计量测试研究院出具的测试证书。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十一、</w:t>
      </w:r>
      <w:r>
        <w:rPr>
          <w:rFonts w:hint="eastAsia" w:ascii="宋体" w:hAnsi="宋体" w:eastAsia="宋体" w:cs="宋体"/>
          <w:b/>
          <w:color w:val="auto"/>
          <w:kern w:val="2"/>
          <w:sz w:val="21"/>
          <w:szCs w:val="21"/>
          <w:highlight w:val="none"/>
          <w:lang w:val="en-US" w:bidi="ar-SA"/>
        </w:rPr>
        <w:t>金属探伤仪校准装置</w:t>
      </w:r>
      <w:r>
        <w:rPr>
          <w:rFonts w:hint="eastAsia" w:ascii="宋体" w:hAnsi="宋体" w:eastAsia="宋体" w:cs="宋体"/>
          <w:b/>
          <w:color w:val="auto"/>
          <w:kern w:val="2"/>
          <w:sz w:val="21"/>
          <w:szCs w:val="21"/>
          <w:highlight w:val="none"/>
          <w:lang w:val="en-US" w:eastAsia="zh-CN" w:bidi="ar-SA"/>
        </w:rPr>
        <w:t xml:space="preserve">    1台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（一）、技术参数</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*1）标准试样3块</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单位：mm</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材质：Q235钢、HT250铁和6061铝各1块</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试样参数见表1，试样示意见图1和2</w:t>
      </w:r>
    </w:p>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表1 试样参数表</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9"/>
        <w:gridCol w:w="2410"/>
        <w:gridCol w:w="2806"/>
        <w:gridCol w:w="21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241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参数</w:t>
            </w:r>
          </w:p>
        </w:tc>
        <w:tc>
          <w:tcPr>
            <w:tcW w:w="280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数值</w:t>
            </w:r>
          </w:p>
        </w:tc>
        <w:tc>
          <w:tcPr>
            <w:tcW w:w="21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70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241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裂缝深度</w:t>
            </w:r>
          </w:p>
        </w:tc>
        <w:tc>
          <w:tcPr>
            <w:tcW w:w="280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0.5mm、1.0mm、1.5mm</w:t>
            </w:r>
          </w:p>
        </w:tc>
        <w:tc>
          <w:tcPr>
            <w:tcW w:w="21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MPE:±0.05mm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241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裂缝宽度</w:t>
            </w:r>
          </w:p>
        </w:tc>
        <w:tc>
          <w:tcPr>
            <w:tcW w:w="280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0.5mm</w:t>
            </w:r>
          </w:p>
        </w:tc>
        <w:tc>
          <w:tcPr>
            <w:tcW w:w="21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MPE:±0.1mm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6" w:hRule="atLeast"/>
          <w:jc w:val="center"/>
        </w:trPr>
        <w:tc>
          <w:tcPr>
            <w:tcW w:w="70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241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试样厚度</w:t>
            </w:r>
          </w:p>
        </w:tc>
        <w:tc>
          <w:tcPr>
            <w:tcW w:w="280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6mm</w:t>
            </w:r>
          </w:p>
        </w:tc>
        <w:tc>
          <w:tcPr>
            <w:tcW w:w="21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MPE:±0.1mm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241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试样长度</w:t>
            </w:r>
          </w:p>
        </w:tc>
        <w:tc>
          <w:tcPr>
            <w:tcW w:w="280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100mm</w:t>
            </w:r>
          </w:p>
        </w:tc>
        <w:tc>
          <w:tcPr>
            <w:tcW w:w="21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MPE:±0.1mm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241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试样宽度</w:t>
            </w:r>
          </w:p>
        </w:tc>
        <w:tc>
          <w:tcPr>
            <w:tcW w:w="280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50mm</w:t>
            </w:r>
          </w:p>
        </w:tc>
        <w:tc>
          <w:tcPr>
            <w:tcW w:w="21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MPE:±0.1mm</w:t>
            </w:r>
          </w:p>
        </w:tc>
      </w:tr>
    </w:tbl>
    <w:p>
      <w:pPr>
        <w:keepNext w:val="0"/>
        <w:keepLines w:val="0"/>
        <w:pageBreakBefore w:val="0"/>
        <w:kinsoku/>
        <w:wordWrap/>
        <w:overflowPunct/>
        <w:topLinePunct w:val="0"/>
        <w:autoSpaceDE/>
        <w:autoSpaceDN/>
        <w:bidi w:val="0"/>
        <w:snapToGrid/>
        <w:spacing w:before="0" w:after="0" w:line="240" w:lineRule="auto"/>
        <w:ind w:left="0" w:leftChars="0" w:right="0" w:rightChars="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drawing>
          <wp:inline distT="0" distB="0" distL="114300" distR="114300">
            <wp:extent cx="5273040" cy="925195"/>
            <wp:effectExtent l="0" t="0" r="3810" b="8255"/>
            <wp:docPr id="1" name="图片 1" descr="C:\Users\lenovo\AppData\Local\Temp\WeChat Files\596e8807b1e321de7678ffa54bf4a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AppData\Local\Temp\WeChat Files\596e8807b1e321de7678ffa54bf4a16.jpg"/>
                    <pic:cNvPicPr>
                      <a:picLocks noChangeAspect="1"/>
                    </pic:cNvPicPr>
                  </pic:nvPicPr>
                  <pic:blipFill>
                    <a:blip r:embed="rId14"/>
                    <a:srcRect b="67825"/>
                    <a:stretch>
                      <a:fillRect/>
                    </a:stretch>
                  </pic:blipFill>
                  <pic:spPr>
                    <a:xfrm>
                      <a:off x="0" y="0"/>
                      <a:ext cx="5273040" cy="92519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图1 标准试样主视图</w:t>
      </w:r>
    </w:p>
    <w:p>
      <w:pPr>
        <w:keepNext w:val="0"/>
        <w:keepLines w:val="0"/>
        <w:pageBreakBefore w:val="0"/>
        <w:kinsoku/>
        <w:wordWrap/>
        <w:overflowPunct/>
        <w:topLinePunct w:val="0"/>
        <w:autoSpaceDE/>
        <w:autoSpaceDN/>
        <w:bidi w:val="0"/>
        <w:snapToGrid/>
        <w:spacing w:before="0" w:after="0" w:line="240" w:lineRule="auto"/>
        <w:ind w:left="0" w:leftChars="0" w:right="0" w:rightChars="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drawing>
          <wp:inline distT="0" distB="0" distL="114300" distR="114300">
            <wp:extent cx="5274310" cy="26219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5274310" cy="262191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图2 标准试样俯视图</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*2）金属探伤仪一台套</w:t>
      </w:r>
    </w:p>
    <w:p>
      <w:pPr>
        <w:keepNext w:val="0"/>
        <w:keepLines w:val="0"/>
        <w:pageBreakBefore w:val="0"/>
        <w:numPr>
          <w:ilvl w:val="0"/>
          <w:numId w:val="0"/>
        </w:numPr>
        <w:kinsoku/>
        <w:wordWrap/>
        <w:overflowPunct/>
        <w:topLinePunct w:val="0"/>
        <w:bidi w:val="0"/>
        <w:adjustRightInd/>
        <w:snapToGrid/>
        <w:spacing w:before="0" w:after="0"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bookmarkStart w:id="85" w:name="_Toc82595049"/>
      <w:bookmarkStart w:id="86" w:name="_Toc90886899"/>
      <w:r>
        <w:rPr>
          <w:rFonts w:hint="eastAsia" w:ascii="宋体" w:hAnsi="宋体" w:eastAsia="宋体" w:cs="宋体"/>
          <w:color w:val="auto"/>
          <w:kern w:val="2"/>
          <w:sz w:val="21"/>
          <w:szCs w:val="21"/>
          <w:highlight w:val="none"/>
          <w:lang w:val="en-US" w:eastAsia="zh-CN" w:bidi="ar-SA"/>
        </w:rPr>
        <w:t>2.1</w:t>
      </w:r>
      <w:bookmarkEnd w:id="85"/>
      <w:bookmarkEnd w:id="86"/>
      <w:r>
        <w:rPr>
          <w:rFonts w:hint="eastAsia" w:ascii="宋体" w:hAnsi="宋体" w:eastAsia="宋体" w:cs="宋体"/>
          <w:color w:val="auto"/>
          <w:kern w:val="2"/>
          <w:sz w:val="21"/>
          <w:szCs w:val="21"/>
          <w:highlight w:val="none"/>
          <w:lang w:val="en-US" w:eastAsia="zh-CN" w:bidi="ar-SA"/>
        </w:rPr>
        <w:t>零点误差一般不超过0.1mm。</w:t>
      </w:r>
    </w:p>
    <w:p>
      <w:pPr>
        <w:keepNext w:val="0"/>
        <w:keepLines w:val="0"/>
        <w:pageBreakBefore w:val="0"/>
        <w:numPr>
          <w:ilvl w:val="0"/>
          <w:numId w:val="0"/>
        </w:numPr>
        <w:kinsoku/>
        <w:wordWrap/>
        <w:overflowPunct/>
        <w:topLinePunct w:val="0"/>
        <w:bidi w:val="0"/>
        <w:adjustRightInd/>
        <w:snapToGrid/>
        <w:spacing w:before="0" w:after="0"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bookmarkStart w:id="87" w:name="_Toc90886900"/>
      <w:bookmarkStart w:id="88" w:name="_Toc82595050"/>
      <w:r>
        <w:rPr>
          <w:rFonts w:hint="eastAsia" w:ascii="宋体" w:hAnsi="宋体" w:eastAsia="宋体" w:cs="宋体"/>
          <w:color w:val="auto"/>
          <w:kern w:val="2"/>
          <w:sz w:val="21"/>
          <w:szCs w:val="21"/>
          <w:highlight w:val="none"/>
          <w:lang w:val="en-US" w:eastAsia="zh-CN" w:bidi="ar-SA"/>
        </w:rPr>
        <w:t>2.2</w:t>
      </w:r>
      <w:bookmarkEnd w:id="87"/>
      <w:bookmarkEnd w:id="88"/>
      <w:r>
        <w:rPr>
          <w:rFonts w:hint="eastAsia" w:ascii="宋体" w:hAnsi="宋体" w:eastAsia="宋体" w:cs="宋体"/>
          <w:color w:val="auto"/>
          <w:kern w:val="2"/>
          <w:sz w:val="21"/>
          <w:szCs w:val="21"/>
          <w:highlight w:val="none"/>
          <w:lang w:val="en-US" w:eastAsia="zh-CN" w:bidi="ar-SA"/>
        </w:rPr>
        <w:t>零点漂移一般不超过0.1mm。</w:t>
      </w:r>
    </w:p>
    <w:p>
      <w:pPr>
        <w:keepNext w:val="0"/>
        <w:keepLines w:val="0"/>
        <w:pageBreakBefore w:val="0"/>
        <w:numPr>
          <w:ilvl w:val="0"/>
          <w:numId w:val="0"/>
        </w:numPr>
        <w:kinsoku/>
        <w:wordWrap/>
        <w:overflowPunct/>
        <w:topLinePunct w:val="0"/>
        <w:bidi w:val="0"/>
        <w:adjustRightInd/>
        <w:snapToGrid/>
        <w:spacing w:before="0" w:after="0"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bookmarkStart w:id="89" w:name="_Toc90886901"/>
      <w:bookmarkStart w:id="90" w:name="_Toc82595051"/>
      <w:r>
        <w:rPr>
          <w:rFonts w:hint="eastAsia" w:ascii="宋体" w:hAnsi="宋体" w:eastAsia="宋体" w:cs="宋体"/>
          <w:color w:val="auto"/>
          <w:kern w:val="2"/>
          <w:sz w:val="21"/>
          <w:szCs w:val="21"/>
          <w:highlight w:val="none"/>
          <w:lang w:val="en-US" w:eastAsia="zh-CN" w:bidi="ar-SA"/>
        </w:rPr>
        <w:t>2.3灵敏度</w:t>
      </w:r>
      <w:bookmarkEnd w:id="89"/>
      <w:bookmarkEnd w:id="90"/>
      <w:r>
        <w:rPr>
          <w:rFonts w:hint="eastAsia" w:ascii="宋体" w:hAnsi="宋体" w:eastAsia="宋体" w:cs="宋体"/>
          <w:color w:val="auto"/>
          <w:kern w:val="2"/>
          <w:sz w:val="21"/>
          <w:szCs w:val="21"/>
          <w:highlight w:val="none"/>
          <w:lang w:val="en-US" w:eastAsia="zh-CN" w:bidi="ar-SA"/>
        </w:rPr>
        <w:t>：对于专用标准试块表面深于0.1mm的裂纹应能显示，浅于0.1mm的裂纹应能调至无明显反应。</w:t>
      </w:r>
    </w:p>
    <w:p>
      <w:pPr>
        <w:keepNext w:val="0"/>
        <w:keepLines w:val="0"/>
        <w:pageBreakBefore w:val="0"/>
        <w:numPr>
          <w:ilvl w:val="0"/>
          <w:numId w:val="0"/>
        </w:numPr>
        <w:kinsoku/>
        <w:wordWrap/>
        <w:overflowPunct/>
        <w:topLinePunct w:val="0"/>
        <w:bidi w:val="0"/>
        <w:adjustRightInd/>
        <w:snapToGrid/>
        <w:spacing w:before="0" w:after="0"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bookmarkStart w:id="91" w:name="_Toc90886902"/>
      <w:bookmarkStart w:id="92" w:name="_Toc82595052"/>
      <w:r>
        <w:rPr>
          <w:rFonts w:hint="eastAsia" w:ascii="宋体" w:hAnsi="宋体" w:eastAsia="宋体" w:cs="宋体"/>
          <w:color w:val="auto"/>
          <w:kern w:val="2"/>
          <w:sz w:val="21"/>
          <w:szCs w:val="21"/>
          <w:highlight w:val="none"/>
          <w:lang w:val="en-US" w:eastAsia="zh-CN" w:bidi="ar-SA"/>
        </w:rPr>
        <w:t>2.4</w:t>
      </w:r>
      <w:bookmarkEnd w:id="91"/>
      <w:bookmarkEnd w:id="92"/>
      <w:r>
        <w:rPr>
          <w:rFonts w:hint="eastAsia" w:ascii="宋体" w:hAnsi="宋体" w:eastAsia="宋体" w:cs="宋体"/>
          <w:color w:val="auto"/>
          <w:kern w:val="2"/>
          <w:sz w:val="21"/>
          <w:szCs w:val="21"/>
          <w:highlight w:val="none"/>
          <w:lang w:val="en-US" w:eastAsia="zh-CN" w:bidi="ar-SA"/>
        </w:rPr>
        <w:t>最大允许误差：±0.2mm或±20%。</w:t>
      </w:r>
    </w:p>
    <w:p>
      <w:pPr>
        <w:keepNext w:val="0"/>
        <w:keepLines w:val="0"/>
        <w:pageBreakBefore w:val="0"/>
        <w:widowControl/>
        <w:kinsoku/>
        <w:wordWrap/>
        <w:overflowPunct/>
        <w:topLinePunct w:val="0"/>
        <w:bidi w:val="0"/>
        <w:adjustRightInd/>
        <w:snapToGrid/>
        <w:spacing w:before="0" w:beforeAutospacing="0" w:after="0" w:afterAutospacing="0" w:line="360" w:lineRule="auto"/>
        <w:ind w:left="0" w:leftChars="0" w:right="0" w:firstLine="420" w:firstLineChars="200"/>
        <w:jc w:val="left"/>
        <w:textAlignment w:val="auto"/>
        <w:outlineLvl w:val="9"/>
        <w:rPr>
          <w:rFonts w:hint="eastAsia" w:ascii="宋体" w:hAnsi="宋体" w:eastAsia="宋体" w:cs="宋体"/>
          <w:color w:val="auto"/>
          <w:kern w:val="2"/>
          <w:sz w:val="21"/>
          <w:szCs w:val="21"/>
          <w:highlight w:val="none"/>
          <w:lang w:val="en-US" w:eastAsia="zh-CN" w:bidi="ar-SA"/>
        </w:rPr>
      </w:pPr>
      <w:bookmarkStart w:id="93" w:name="_Toc82595053"/>
      <w:bookmarkStart w:id="94" w:name="_Toc90886903"/>
      <w:r>
        <w:rPr>
          <w:rFonts w:hint="eastAsia" w:ascii="宋体" w:hAnsi="宋体" w:eastAsia="宋体" w:cs="宋体"/>
          <w:color w:val="auto"/>
          <w:kern w:val="2"/>
          <w:sz w:val="21"/>
          <w:szCs w:val="21"/>
          <w:highlight w:val="none"/>
          <w:lang w:val="en-US" w:eastAsia="zh-CN" w:bidi="ar-SA"/>
        </w:rPr>
        <w:t>2.5</w:t>
      </w:r>
      <w:bookmarkEnd w:id="93"/>
      <w:bookmarkEnd w:id="94"/>
      <w:bookmarkStart w:id="95" w:name="_Toc82595054"/>
      <w:r>
        <w:rPr>
          <w:rFonts w:hint="eastAsia" w:ascii="宋体" w:hAnsi="宋体" w:eastAsia="宋体" w:cs="宋体"/>
          <w:color w:val="auto"/>
          <w:kern w:val="2"/>
          <w:sz w:val="21"/>
          <w:szCs w:val="21"/>
          <w:highlight w:val="none"/>
          <w:lang w:val="en-US" w:eastAsia="zh-CN" w:bidi="ar-SA"/>
        </w:rPr>
        <w:t>重复性一般不超过±15%。</w:t>
      </w:r>
      <w:bookmarkEnd w:id="95"/>
    </w:p>
    <w:p>
      <w:pPr>
        <w:keepNext w:val="0"/>
        <w:keepLines w:val="0"/>
        <w:pageBreakBefore w:val="0"/>
        <w:widowControl/>
        <w:kinsoku/>
        <w:wordWrap/>
        <w:overflowPunct/>
        <w:topLinePunct w:val="0"/>
        <w:bidi w:val="0"/>
        <w:adjustRightInd/>
        <w:snapToGrid/>
        <w:spacing w:before="0" w:beforeAutospacing="0" w:after="0" w:afterAutospacing="0" w:line="360" w:lineRule="auto"/>
        <w:ind w:left="0" w:leftChars="0" w:right="0" w:firstLine="420" w:firstLineChars="200"/>
        <w:jc w:val="left"/>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2.6材料范围：电导率（0.5—60）S／m。</w:t>
      </w:r>
    </w:p>
    <w:p>
      <w:pPr>
        <w:keepNext w:val="0"/>
        <w:keepLines w:val="0"/>
        <w:pageBreakBefore w:val="0"/>
        <w:widowControl/>
        <w:kinsoku/>
        <w:wordWrap/>
        <w:overflowPunct/>
        <w:topLinePunct w:val="0"/>
        <w:bidi w:val="0"/>
        <w:adjustRightInd/>
        <w:snapToGrid/>
        <w:spacing w:before="0" w:beforeAutospacing="0" w:after="0" w:afterAutospacing="0" w:line="360" w:lineRule="auto"/>
        <w:ind w:left="0" w:leftChars="0" w:right="0" w:firstLine="420" w:firstLineChars="200"/>
        <w:jc w:val="left"/>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2.7边缘效应影响：探头距边缘6mm无影响。</w:t>
      </w:r>
    </w:p>
    <w:p>
      <w:pPr>
        <w:keepNext w:val="0"/>
        <w:keepLines w:val="0"/>
        <w:pageBreakBefore w:val="0"/>
        <w:widowControl/>
        <w:kinsoku/>
        <w:wordWrap/>
        <w:overflowPunct/>
        <w:topLinePunct w:val="0"/>
        <w:bidi w:val="0"/>
        <w:adjustRightInd/>
        <w:snapToGrid/>
        <w:spacing w:before="0" w:beforeAutospacing="0" w:after="0" w:afterAutospacing="0" w:line="360" w:lineRule="auto"/>
        <w:ind w:left="0" w:leftChars="0" w:right="0" w:firstLine="420" w:firstLineChars="200"/>
        <w:jc w:val="left"/>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2.8报警方式：“声”、“光”报警指示断裂部位，机上仪表显示裂纹深度。</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注：本项目所有技术参数均不接受负偏离，否则作无效投标处理。</w:t>
      </w:r>
    </w:p>
    <w:p>
      <w:pPr>
        <w:keepNext w:val="0"/>
        <w:keepLines w:val="0"/>
        <w:pageBreakBefore w:val="0"/>
        <w:numPr>
          <w:ilvl w:val="0"/>
          <w:numId w:val="0"/>
        </w:numPr>
        <w:kinsoku/>
        <w:wordWrap/>
        <w:overflowPunct/>
        <w:topLinePunct w:val="0"/>
        <w:bidi w:val="0"/>
        <w:adjustRightInd/>
        <w:snapToGrid/>
        <w:spacing w:before="0" w:after="0" w:line="360" w:lineRule="auto"/>
        <w:ind w:left="0" w:leftChars="0" w:right="0" w:firstLine="422" w:firstLineChars="200"/>
        <w:textAlignment w:val="auto"/>
        <w:outlineLvl w:val="9"/>
        <w:rPr>
          <w:rFonts w:hint="eastAsia" w:ascii="宋体" w:hAnsi="宋体" w:eastAsia="宋体" w:cs="宋体"/>
          <w:b/>
          <w:color w:val="auto"/>
          <w:sz w:val="21"/>
          <w:szCs w:val="21"/>
          <w:highlight w:val="none"/>
          <w:lang w:val="en-US" w:eastAsia="zh-CN" w:bidi="ar-SA"/>
        </w:rPr>
      </w:pPr>
      <w:r>
        <w:rPr>
          <w:rFonts w:hint="eastAsia" w:ascii="宋体" w:hAnsi="宋体" w:eastAsia="宋体" w:cs="宋体"/>
          <w:b/>
          <w:color w:val="auto"/>
          <w:sz w:val="21"/>
          <w:szCs w:val="21"/>
          <w:highlight w:val="none"/>
          <w:lang w:val="en-US" w:eastAsia="zh-CN" w:bidi="ar-SA"/>
        </w:rPr>
        <w:t>（二）、通用技术要求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 符合GB38900-2020《机动车安全技术检验项目和方法》、JJF 1692-2018 《涡流电导率仪校准规范》、GB/T 12604.6-2021 《无损检测 术语 涡流检测》等要求，取得省级及以上法定计量检定机构相应等级证书。</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1、金属探伤仪校准专用工装4套。</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2、使用说明书及合格证书各1份。</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1、乙方应该向甲方提供所购测量设备、配套设备的清单、产品合格证、使用说明书、计量校准证书等有关技术资料。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5、在保证期内，如设备出现质量问题，乙方在接到甲方通知后应在</w:t>
      </w:r>
      <w:r>
        <w:rPr>
          <w:rFonts w:hint="eastAsia" w:ascii="宋体" w:hAnsi="宋体" w:eastAsia="宋体" w:cs="宋体"/>
          <w:color w:val="auto"/>
          <w:kern w:val="2"/>
          <w:sz w:val="21"/>
          <w:szCs w:val="21"/>
          <w:highlight w:val="none"/>
          <w:u w:val="single"/>
          <w:lang w:val="en-US" w:bidi="ar-SA"/>
        </w:rPr>
        <w:t xml:space="preserve"> 48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6</w:t>
      </w:r>
      <w:r>
        <w:rPr>
          <w:rFonts w:hint="eastAsia" w:ascii="宋体" w:hAnsi="宋体" w:eastAsia="宋体" w:cs="宋体"/>
          <w:color w:val="auto"/>
          <w:kern w:val="2"/>
          <w:sz w:val="21"/>
          <w:szCs w:val="21"/>
          <w:highlight w:val="none"/>
          <w:lang w:val="en-US" w:bidi="ar-SA"/>
        </w:rPr>
        <w:t>、质保期：验收合格后</w:t>
      </w: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1、乙方在交货前应按合同规定的方法，进行检定或校准。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2、对重要关键设备，按合同规定由甲乙双方共同进行验收。对一般设备，由甲方负责验收。设备到货后，甲方应由</w:t>
      </w:r>
      <w:r>
        <w:rPr>
          <w:rFonts w:hint="eastAsia" w:ascii="宋体" w:hAnsi="宋体" w:eastAsia="宋体" w:cs="宋体"/>
          <w:color w:val="auto"/>
          <w:kern w:val="2"/>
          <w:sz w:val="21"/>
          <w:szCs w:val="21"/>
          <w:highlight w:val="none"/>
          <w:u w:val="single"/>
          <w:lang w:val="en-US" w:bidi="ar-SA"/>
        </w:rPr>
        <w:t xml:space="preserve">  30 </w:t>
      </w:r>
      <w:r>
        <w:rPr>
          <w:rFonts w:hint="eastAsia" w:ascii="宋体" w:hAnsi="宋体" w:eastAsia="宋体" w:cs="宋体"/>
          <w:color w:val="auto"/>
          <w:kern w:val="2"/>
          <w:sz w:val="21"/>
          <w:szCs w:val="21"/>
          <w:highlight w:val="none"/>
          <w:u w:val="none"/>
          <w:lang w:val="en-US" w:eastAsia="zh-CN" w:bidi="ar-SA"/>
        </w:rPr>
        <w:t>日历</w:t>
      </w:r>
      <w:r>
        <w:rPr>
          <w:rFonts w:hint="eastAsia" w:ascii="宋体" w:hAnsi="宋体" w:eastAsia="宋体" w:cs="宋体"/>
          <w:color w:val="auto"/>
          <w:kern w:val="2"/>
          <w:sz w:val="21"/>
          <w:szCs w:val="21"/>
          <w:highlight w:val="none"/>
          <w:lang w:val="en-US" w:bidi="ar-SA"/>
        </w:rPr>
        <w:t>天内验收完毕。</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1、交货时间：90日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十二、测量设备名称：</w:t>
      </w:r>
      <w:r>
        <w:rPr>
          <w:rFonts w:hint="eastAsia" w:ascii="宋体" w:hAnsi="宋体" w:eastAsia="宋体" w:cs="宋体"/>
          <w:b/>
          <w:color w:val="auto"/>
          <w:kern w:val="2"/>
          <w:sz w:val="21"/>
          <w:szCs w:val="21"/>
          <w:highlight w:val="none"/>
          <w:lang w:val="en-US" w:bidi="ar-SA"/>
        </w:rPr>
        <w:t>数显标准测力仪</w:t>
      </w:r>
      <w:r>
        <w:rPr>
          <w:rFonts w:hint="eastAsia" w:ascii="宋体" w:hAnsi="宋体" w:eastAsia="宋体" w:cs="宋体"/>
          <w:b/>
          <w:color w:val="auto"/>
          <w:kern w:val="2"/>
          <w:sz w:val="21"/>
          <w:szCs w:val="21"/>
          <w:highlight w:val="none"/>
          <w:lang w:val="en-US" w:eastAsia="zh-CN" w:bidi="ar-SA"/>
        </w:rPr>
        <w:t xml:space="preserve">   1台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（一）、技术参数</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*1）准确度等级：0.3级</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*2）测量范围：（0—5000）N</w:t>
      </w:r>
      <w:r>
        <w:rPr>
          <w:rFonts w:hint="eastAsia" w:ascii="宋体" w:hAnsi="宋体" w:eastAsia="宋体" w:cs="宋体"/>
          <w:color w:val="auto"/>
          <w:kern w:val="2"/>
          <w:sz w:val="21"/>
          <w:szCs w:val="21"/>
          <w:highlight w:val="none"/>
          <w:lang w:val="en-US" w:eastAsia="zh-CN" w:bidi="ar-SA"/>
        </w:rPr>
        <w:t xml:space="preserve">  </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3）测量显示器逻辑通道不少于20个</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4）具有峰值跟踪和拉压测试功能</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5）具有多种单位显示</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6）全面板式数字调校及参数设置，重要参数提供密码保护</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7）可由面板键盘进行标定、通道转换、单位转换等操作</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8）具有模拟标定和标定数据恢复及移植功能</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9）可对存储的检定数据进行查询、删除等操作</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10）面板键盘应具有数字键和功能键，方便操作</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11）显示部分应有数字显示及单位和工作状态指示</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12）力值传感器应采用S形，具有拉压功能，外形尺寸高度不超过10cm。</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注：本项目所有技术参数均不接受负偏离，否则作无效投标处理。</w:t>
      </w:r>
    </w:p>
    <w:p>
      <w:pPr>
        <w:keepNext w:val="0"/>
        <w:keepLines w:val="0"/>
        <w:pageBreakBefore w:val="0"/>
        <w:numPr>
          <w:ilvl w:val="0"/>
          <w:numId w:val="0"/>
        </w:numPr>
        <w:kinsoku/>
        <w:wordWrap/>
        <w:overflowPunct/>
        <w:topLinePunct w:val="0"/>
        <w:bidi w:val="0"/>
        <w:adjustRightInd/>
        <w:snapToGrid/>
        <w:spacing w:before="0" w:after="0" w:line="360" w:lineRule="auto"/>
        <w:ind w:left="0" w:leftChars="0" w:right="0" w:firstLine="422" w:firstLineChars="200"/>
        <w:textAlignment w:val="auto"/>
        <w:outlineLvl w:val="9"/>
        <w:rPr>
          <w:rFonts w:hint="eastAsia" w:ascii="宋体" w:hAnsi="宋体" w:eastAsia="宋体" w:cs="宋体"/>
          <w:b/>
          <w:color w:val="auto"/>
          <w:sz w:val="21"/>
          <w:szCs w:val="21"/>
          <w:highlight w:val="none"/>
          <w:lang w:val="en-US" w:eastAsia="zh-CN" w:bidi="ar-SA"/>
        </w:rPr>
      </w:pPr>
      <w:r>
        <w:rPr>
          <w:rFonts w:hint="eastAsia" w:ascii="宋体" w:hAnsi="宋体" w:eastAsia="宋体" w:cs="宋体"/>
          <w:b/>
          <w:color w:val="auto"/>
          <w:sz w:val="21"/>
          <w:szCs w:val="21"/>
          <w:highlight w:val="none"/>
          <w:lang w:val="en-US" w:eastAsia="zh-CN" w:bidi="ar-SA"/>
        </w:rPr>
        <w:t>（二）、通用技术要求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 符合JJG 144-2007《标准测力仪检定规程》及JJG906-2015《滚筒反力式制动检验台检定规程》等要求，取得省级及以上法定计量检定机构相应等级证书。</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1、测量显示器1台</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2、5kN传感器1只</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3、仪器箱2个</w:t>
      </w:r>
    </w:p>
    <w:p>
      <w:pPr>
        <w:keepNext w:val="0"/>
        <w:keepLines w:val="0"/>
        <w:pageBreakBefore w:val="0"/>
        <w:tabs>
          <w:tab w:val="left" w:pos="465"/>
        </w:tabs>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4、使用说明书及合格证书各1份。</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1、乙方应该向甲方提供所购测量设备、配套设备的清单、产品合格证、使用说明书、计量校准证书等有关技术资料。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5、在保证期内，如设备出现质量问题，乙方在接到甲方通知后应在</w:t>
      </w:r>
      <w:r>
        <w:rPr>
          <w:rFonts w:hint="eastAsia" w:ascii="宋体" w:hAnsi="宋体" w:eastAsia="宋体" w:cs="宋体"/>
          <w:color w:val="auto"/>
          <w:kern w:val="2"/>
          <w:sz w:val="21"/>
          <w:szCs w:val="21"/>
          <w:highlight w:val="none"/>
          <w:u w:val="single"/>
          <w:lang w:val="en-US" w:bidi="ar-SA"/>
        </w:rPr>
        <w:t xml:space="preserve"> 48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6</w:t>
      </w:r>
      <w:r>
        <w:rPr>
          <w:rFonts w:hint="eastAsia" w:ascii="宋体" w:hAnsi="宋体" w:eastAsia="宋体" w:cs="宋体"/>
          <w:color w:val="auto"/>
          <w:kern w:val="2"/>
          <w:sz w:val="21"/>
          <w:szCs w:val="21"/>
          <w:highlight w:val="none"/>
          <w:lang w:val="en-US" w:bidi="ar-SA"/>
        </w:rPr>
        <w:t>、质保期：验收合格后</w:t>
      </w: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1、乙方在交货前应按合同规定的方法，进行检定或校准。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2、对重要关键设备，按合同规定由甲乙双方共同进行验收。对一般设备，由甲方负责验收。设备到货后，甲方应由</w:t>
      </w:r>
      <w:r>
        <w:rPr>
          <w:rFonts w:hint="eastAsia" w:ascii="宋体" w:hAnsi="宋体" w:eastAsia="宋体" w:cs="宋体"/>
          <w:color w:val="auto"/>
          <w:kern w:val="2"/>
          <w:sz w:val="21"/>
          <w:szCs w:val="21"/>
          <w:highlight w:val="none"/>
          <w:u w:val="single"/>
          <w:lang w:val="en-US" w:bidi="ar-SA"/>
        </w:rPr>
        <w:t xml:space="preserve"> 30 </w:t>
      </w:r>
      <w:r>
        <w:rPr>
          <w:rFonts w:hint="eastAsia" w:ascii="宋体" w:hAnsi="宋体" w:eastAsia="宋体" w:cs="宋体"/>
          <w:color w:val="auto"/>
          <w:kern w:val="2"/>
          <w:sz w:val="21"/>
          <w:szCs w:val="21"/>
          <w:highlight w:val="none"/>
          <w:u w:val="none"/>
          <w:lang w:val="en-US" w:eastAsia="zh-CN" w:bidi="ar-SA"/>
        </w:rPr>
        <w:t>日历</w:t>
      </w:r>
      <w:r>
        <w:rPr>
          <w:rFonts w:hint="eastAsia" w:ascii="宋体" w:hAnsi="宋体" w:eastAsia="宋体" w:cs="宋体"/>
          <w:color w:val="auto"/>
          <w:kern w:val="2"/>
          <w:sz w:val="21"/>
          <w:szCs w:val="21"/>
          <w:highlight w:val="none"/>
          <w:lang w:val="en-US" w:bidi="ar-SA"/>
        </w:rPr>
        <w:t>天内验收完毕。</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1、交货时间：90日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十三、测量设备名称：砝码   23个</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1.1</w:t>
      </w:r>
      <w:r>
        <w:rPr>
          <w:rFonts w:hint="eastAsia" w:ascii="宋体" w:hAnsi="宋体" w:eastAsia="宋体" w:cs="宋体"/>
          <w:color w:val="auto"/>
          <w:kern w:val="2"/>
          <w:sz w:val="21"/>
          <w:szCs w:val="21"/>
          <w:highlight w:val="none"/>
          <w:lang w:val="en-US" w:eastAsia="zh-CN" w:bidi="ar-SA"/>
        </w:rPr>
        <w:t>型号</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(型号-数量)</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kg组：20kg-2个；10kg-1个；5kg-1个；2kg-2个；1kg-1个。</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g组：500g-1个；200g-2个；100g-1个；50g-1个；20g-2个；</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10g-1个。</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g、mg组:5g-1个；2g-2个；1g-1个;500mg-1个；200mg-2个；100mg-1个。</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1.2</w:t>
      </w:r>
      <w:r>
        <w:rPr>
          <w:rFonts w:hint="eastAsia" w:ascii="宋体" w:hAnsi="宋体" w:eastAsia="宋体" w:cs="宋体"/>
          <w:color w:val="auto"/>
          <w:kern w:val="2"/>
          <w:sz w:val="21"/>
          <w:szCs w:val="21"/>
          <w:highlight w:val="none"/>
          <w:lang w:val="en-US" w:eastAsia="zh-CN" w:bidi="ar-SA"/>
        </w:rPr>
        <w:t>准确度等级</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M</w:t>
      </w:r>
      <w:r>
        <w:rPr>
          <w:rFonts w:hint="eastAsia" w:ascii="宋体" w:hAnsi="宋体" w:eastAsia="宋体" w:cs="宋体"/>
          <w:color w:val="auto"/>
          <w:kern w:val="2"/>
          <w:sz w:val="21"/>
          <w:szCs w:val="21"/>
          <w:highlight w:val="none"/>
          <w:vertAlign w:val="subscript"/>
          <w:lang w:val="en-US" w:eastAsia="zh-CN" w:bidi="ar-SA"/>
        </w:rPr>
        <w:t>1</w:t>
      </w:r>
      <w:r>
        <w:rPr>
          <w:rFonts w:hint="eastAsia" w:ascii="宋体" w:hAnsi="宋体" w:eastAsia="宋体" w:cs="宋体"/>
          <w:color w:val="auto"/>
          <w:kern w:val="2"/>
          <w:sz w:val="21"/>
          <w:szCs w:val="21"/>
          <w:highlight w:val="none"/>
          <w:lang w:val="en-US" w:eastAsia="zh-CN" w:bidi="ar-SA"/>
        </w:rPr>
        <w:t>等级。</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bidi="ar-SA"/>
        </w:rPr>
        <w:t>温度范围：（</w:t>
      </w:r>
      <w:r>
        <w:rPr>
          <w:rFonts w:hint="eastAsia" w:ascii="宋体" w:hAnsi="宋体" w:eastAsia="宋体" w:cs="宋体"/>
          <w:color w:val="auto"/>
          <w:kern w:val="2"/>
          <w:sz w:val="21"/>
          <w:szCs w:val="21"/>
          <w:highlight w:val="none"/>
          <w:lang w:val="en-US" w:eastAsia="zh-CN" w:bidi="ar-SA"/>
        </w:rPr>
        <w:t>-10～40</w:t>
      </w:r>
      <w:r>
        <w:rPr>
          <w:rFonts w:hint="eastAsia" w:ascii="宋体" w:hAnsi="宋体" w:eastAsia="宋体" w:cs="宋体"/>
          <w:color w:val="auto"/>
          <w:kern w:val="2"/>
          <w:sz w:val="21"/>
          <w:szCs w:val="21"/>
          <w:highlight w:val="none"/>
          <w:lang w:val="en-US" w:bidi="ar-SA"/>
        </w:rPr>
        <w:t>）℃。</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1、计量性能及技术招标必须符合JJ</w:t>
      </w:r>
      <w:r>
        <w:rPr>
          <w:rFonts w:hint="eastAsia" w:ascii="宋体" w:hAnsi="宋体" w:eastAsia="宋体" w:cs="宋体"/>
          <w:color w:val="auto"/>
          <w:kern w:val="2"/>
          <w:sz w:val="21"/>
          <w:szCs w:val="21"/>
          <w:highlight w:val="none"/>
          <w:lang w:val="en-US" w:eastAsia="zh-CN" w:bidi="ar-SA"/>
        </w:rPr>
        <w:t>G</w:t>
      </w:r>
      <w:r>
        <w:rPr>
          <w:rFonts w:hint="eastAsia" w:ascii="宋体" w:hAnsi="宋体" w:eastAsia="宋体" w:cs="宋体"/>
          <w:color w:val="auto"/>
          <w:kern w:val="2"/>
          <w:sz w:val="21"/>
          <w:szCs w:val="21"/>
          <w:highlight w:val="none"/>
          <w:lang w:val="en-US" w:bidi="ar-SA"/>
        </w:rPr>
        <w:t xml:space="preserve"> </w:t>
      </w:r>
      <w:r>
        <w:rPr>
          <w:rFonts w:hint="eastAsia" w:ascii="宋体" w:hAnsi="宋体" w:eastAsia="宋体" w:cs="宋体"/>
          <w:color w:val="auto"/>
          <w:kern w:val="2"/>
          <w:sz w:val="21"/>
          <w:szCs w:val="21"/>
          <w:highlight w:val="none"/>
          <w:lang w:val="en-US" w:eastAsia="zh-CN" w:bidi="ar-SA"/>
        </w:rPr>
        <w:t>99</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2006</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砝码</w:t>
      </w:r>
      <w:r>
        <w:rPr>
          <w:rFonts w:hint="eastAsia" w:ascii="宋体" w:hAnsi="宋体" w:eastAsia="宋体" w:cs="宋体"/>
          <w:color w:val="auto"/>
          <w:kern w:val="2"/>
          <w:sz w:val="21"/>
          <w:szCs w:val="21"/>
          <w:highlight w:val="none"/>
          <w:lang w:val="en-US" w:bidi="ar-SA"/>
        </w:rPr>
        <w:t>检定规程》</w:t>
      </w:r>
      <w:r>
        <w:rPr>
          <w:rFonts w:hint="eastAsia" w:ascii="宋体" w:hAnsi="宋体" w:eastAsia="宋体" w:cs="宋体"/>
          <w:color w:val="auto"/>
          <w:kern w:val="2"/>
          <w:sz w:val="21"/>
          <w:szCs w:val="21"/>
          <w:highlight w:val="none"/>
          <w:lang w:val="en-US" w:eastAsia="zh-CN" w:bidi="ar-SA"/>
        </w:rPr>
        <w:t>中M</w:t>
      </w:r>
      <w:r>
        <w:rPr>
          <w:rFonts w:hint="eastAsia" w:ascii="宋体" w:hAnsi="宋体" w:eastAsia="宋体" w:cs="宋体"/>
          <w:color w:val="auto"/>
          <w:kern w:val="2"/>
          <w:sz w:val="21"/>
          <w:szCs w:val="21"/>
          <w:highlight w:val="none"/>
          <w:vertAlign w:val="subscript"/>
          <w:lang w:val="en-US" w:eastAsia="zh-CN" w:bidi="ar-SA"/>
        </w:rPr>
        <w:t>1</w:t>
      </w:r>
      <w:r>
        <w:rPr>
          <w:rFonts w:hint="eastAsia" w:ascii="宋体" w:hAnsi="宋体" w:eastAsia="宋体" w:cs="宋体"/>
          <w:color w:val="auto"/>
          <w:kern w:val="2"/>
          <w:sz w:val="21"/>
          <w:szCs w:val="21"/>
          <w:highlight w:val="none"/>
          <w:lang w:val="en-US" w:eastAsia="zh-CN" w:bidi="ar-SA"/>
        </w:rPr>
        <w:t>等级相关要求。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r>
        <w:rPr>
          <w:rFonts w:hint="eastAsia" w:ascii="宋体" w:hAnsi="宋体" w:eastAsia="宋体" w:cs="宋体"/>
          <w:color w:val="auto"/>
          <w:kern w:val="2"/>
          <w:sz w:val="21"/>
          <w:szCs w:val="21"/>
          <w:highlight w:val="none"/>
          <w:lang w:val="en-US" w:eastAsia="zh-CN" w:bidi="ar-SA"/>
        </w:rPr>
        <w:t>砝码的材质为不锈钢，砝码的形状、结构、磁性、密度、表面状况、调整、标记、砝码盒及砝码标牌均符合</w:t>
      </w:r>
      <w:r>
        <w:rPr>
          <w:rFonts w:hint="eastAsia" w:ascii="宋体" w:hAnsi="宋体" w:eastAsia="宋体" w:cs="宋体"/>
          <w:color w:val="auto"/>
          <w:kern w:val="2"/>
          <w:sz w:val="21"/>
          <w:szCs w:val="21"/>
          <w:highlight w:val="none"/>
          <w:lang w:val="en-US" w:bidi="ar-SA"/>
        </w:rPr>
        <w:t>JJ</w:t>
      </w:r>
      <w:r>
        <w:rPr>
          <w:rFonts w:hint="eastAsia" w:ascii="宋体" w:hAnsi="宋体" w:eastAsia="宋体" w:cs="宋体"/>
          <w:color w:val="auto"/>
          <w:kern w:val="2"/>
          <w:sz w:val="21"/>
          <w:szCs w:val="21"/>
          <w:highlight w:val="none"/>
          <w:lang w:val="en-US" w:eastAsia="zh-CN" w:bidi="ar-SA"/>
        </w:rPr>
        <w:t>G</w:t>
      </w:r>
      <w:r>
        <w:rPr>
          <w:rFonts w:hint="eastAsia" w:ascii="宋体" w:hAnsi="宋体" w:eastAsia="宋体" w:cs="宋体"/>
          <w:color w:val="auto"/>
          <w:kern w:val="2"/>
          <w:sz w:val="21"/>
          <w:szCs w:val="21"/>
          <w:highlight w:val="none"/>
          <w:lang w:val="en-US" w:bidi="ar-SA"/>
        </w:rPr>
        <w:t xml:space="preserve"> </w:t>
      </w:r>
      <w:r>
        <w:rPr>
          <w:rFonts w:hint="eastAsia" w:ascii="宋体" w:hAnsi="宋体" w:eastAsia="宋体" w:cs="宋体"/>
          <w:color w:val="auto"/>
          <w:kern w:val="2"/>
          <w:sz w:val="21"/>
          <w:szCs w:val="21"/>
          <w:highlight w:val="none"/>
          <w:lang w:val="en-US" w:eastAsia="zh-CN" w:bidi="ar-SA"/>
        </w:rPr>
        <w:t>99</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2006</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砝码</w:t>
      </w:r>
      <w:r>
        <w:rPr>
          <w:rFonts w:hint="eastAsia" w:ascii="宋体" w:hAnsi="宋体" w:eastAsia="宋体" w:cs="宋体"/>
          <w:color w:val="auto"/>
          <w:kern w:val="2"/>
          <w:sz w:val="21"/>
          <w:szCs w:val="21"/>
          <w:highlight w:val="none"/>
          <w:lang w:val="en-US" w:bidi="ar-SA"/>
        </w:rPr>
        <w:t>检定规程》</w:t>
      </w:r>
      <w:r>
        <w:rPr>
          <w:rFonts w:hint="eastAsia" w:ascii="宋体" w:hAnsi="宋体" w:eastAsia="宋体" w:cs="宋体"/>
          <w:color w:val="auto"/>
          <w:kern w:val="2"/>
          <w:sz w:val="21"/>
          <w:szCs w:val="21"/>
          <w:highlight w:val="none"/>
          <w:lang w:val="en-US" w:eastAsia="zh-CN" w:bidi="ar-SA"/>
        </w:rPr>
        <w:t>中通用技术要求。</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bidi="ar-SA"/>
        </w:rPr>
        <w:t>、该测量设备由</w:t>
      </w:r>
      <w:r>
        <w:rPr>
          <w:rFonts w:hint="eastAsia" w:ascii="宋体" w:hAnsi="宋体" w:eastAsia="宋体" w:cs="宋体"/>
          <w:color w:val="auto"/>
          <w:kern w:val="2"/>
          <w:sz w:val="21"/>
          <w:szCs w:val="21"/>
          <w:highlight w:val="none"/>
          <w:lang w:val="en-US" w:eastAsia="zh-CN" w:bidi="ar-SA"/>
        </w:rPr>
        <w:t>新疆维吾尔自治区计量测试研究院</w:t>
      </w:r>
      <w:r>
        <w:rPr>
          <w:rFonts w:hint="eastAsia" w:ascii="宋体" w:hAnsi="宋体" w:eastAsia="宋体" w:cs="宋体"/>
          <w:color w:val="auto"/>
          <w:kern w:val="2"/>
          <w:sz w:val="21"/>
          <w:szCs w:val="21"/>
          <w:highlight w:val="none"/>
          <w:lang w:val="en-US" w:bidi="ar-SA"/>
        </w:rPr>
        <w:t>检定，出具计量检定证书，费用由供方承担。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8"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配套运输拉杆箱</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砝码专用镊子</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1、操作手册一</w:t>
      </w:r>
      <w:r>
        <w:rPr>
          <w:rFonts w:hint="eastAsia" w:ascii="宋体" w:hAnsi="宋体" w:eastAsia="宋体" w:cs="宋体"/>
          <w:color w:val="auto"/>
          <w:kern w:val="2"/>
          <w:sz w:val="21"/>
          <w:szCs w:val="21"/>
          <w:highlight w:val="none"/>
          <w:lang w:val="en-US" w:eastAsia="zh-CN" w:bidi="ar-SA"/>
        </w:rPr>
        <w:t>份</w:t>
      </w:r>
      <w:r>
        <w:rPr>
          <w:rFonts w:hint="eastAsia" w:ascii="宋体" w:hAnsi="宋体" w:eastAsia="宋体" w:cs="宋体"/>
          <w:color w:val="auto"/>
          <w:kern w:val="2"/>
          <w:sz w:val="21"/>
          <w:szCs w:val="21"/>
          <w:highlight w:val="none"/>
          <w:lang w:val="en-US"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r>
        <w:rPr>
          <w:rFonts w:hint="eastAsia" w:ascii="宋体" w:hAnsi="宋体" w:eastAsia="宋体" w:cs="宋体"/>
          <w:color w:val="auto"/>
          <w:kern w:val="2"/>
          <w:sz w:val="21"/>
          <w:szCs w:val="21"/>
          <w:highlight w:val="none"/>
          <w:lang w:val="en-US" w:eastAsia="zh-CN" w:bidi="ar-SA"/>
        </w:rPr>
        <w:t>合格证。</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eastAsia="zh-CN" w:bidi="ar-SA"/>
        </w:rPr>
        <w:t>24</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w:t>
      </w:r>
      <w:r>
        <w:rPr>
          <w:rFonts w:hint="eastAsia" w:ascii="宋体" w:hAnsi="宋体" w:eastAsia="宋体" w:cs="宋体"/>
          <w:color w:val="auto"/>
          <w:kern w:val="2"/>
          <w:sz w:val="21"/>
          <w:szCs w:val="21"/>
          <w:highlight w:val="none"/>
          <w:lang w:val="en-US" w:eastAsia="zh-CN" w:bidi="ar-SA"/>
        </w:rPr>
        <w:t>运输费用由乙方承担，</w:t>
      </w:r>
      <w:r>
        <w:rPr>
          <w:rFonts w:hint="eastAsia" w:ascii="宋体" w:hAnsi="宋体" w:eastAsia="宋体" w:cs="宋体"/>
          <w:color w:val="auto"/>
          <w:kern w:val="2"/>
          <w:sz w:val="21"/>
          <w:szCs w:val="21"/>
          <w:highlight w:val="none"/>
          <w:lang w:val="en-US" w:bidi="ar-SA"/>
        </w:rPr>
        <w:t>在运输中造成的锈蚀、破损、丢失等均</w:t>
      </w:r>
      <w:r>
        <w:rPr>
          <w:rFonts w:hint="eastAsia" w:ascii="宋体" w:hAnsi="宋体" w:eastAsia="宋体" w:cs="宋体"/>
          <w:color w:val="auto"/>
          <w:kern w:val="2"/>
          <w:sz w:val="21"/>
          <w:szCs w:val="21"/>
          <w:highlight w:val="none"/>
          <w:lang w:val="en-US" w:eastAsia="zh-CN" w:bidi="ar-SA"/>
        </w:rPr>
        <w:t>由</w:t>
      </w:r>
      <w:r>
        <w:rPr>
          <w:rFonts w:hint="eastAsia" w:ascii="宋体" w:hAnsi="宋体" w:eastAsia="宋体" w:cs="宋体"/>
          <w:color w:val="auto"/>
          <w:kern w:val="2"/>
          <w:sz w:val="21"/>
          <w:szCs w:val="21"/>
          <w:highlight w:val="none"/>
          <w:lang w:val="en-US" w:bidi="ar-SA"/>
        </w:rPr>
        <w:t>乙方承担责任。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bidi="ar-SA"/>
        </w:rPr>
        <w:t>、在保证期内，如设备出现质量问题，乙方在接到甲方通知后应在</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6</w:t>
      </w:r>
      <w:r>
        <w:rPr>
          <w:rFonts w:hint="eastAsia" w:ascii="宋体" w:hAnsi="宋体" w:eastAsia="宋体" w:cs="宋体"/>
          <w:color w:val="auto"/>
          <w:kern w:val="2"/>
          <w:sz w:val="21"/>
          <w:szCs w:val="21"/>
          <w:highlight w:val="none"/>
          <w:lang w:val="en-US" w:bidi="ar-SA"/>
        </w:rPr>
        <w:t>、质保期：验收合格后2年。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w:t>
      </w:r>
      <w:r>
        <w:rPr>
          <w:rFonts w:hint="eastAsia" w:ascii="宋体" w:hAnsi="宋体" w:eastAsia="宋体" w:cs="宋体"/>
          <w:color w:val="auto"/>
          <w:kern w:val="2"/>
          <w:sz w:val="21"/>
          <w:szCs w:val="21"/>
          <w:highlight w:val="none"/>
          <w:lang w:val="en-US" w:eastAsia="zh-CN" w:bidi="ar-SA"/>
        </w:rPr>
        <w:t>开箱</w:t>
      </w:r>
      <w:r>
        <w:rPr>
          <w:rFonts w:hint="eastAsia" w:ascii="宋体" w:hAnsi="宋体" w:eastAsia="宋体" w:cs="宋体"/>
          <w:color w:val="auto"/>
          <w:kern w:val="2"/>
          <w:sz w:val="21"/>
          <w:szCs w:val="21"/>
          <w:highlight w:val="none"/>
          <w:lang w:val="en-US" w:bidi="ar-SA"/>
        </w:rPr>
        <w:t>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w:t>
      </w:r>
      <w:r>
        <w:rPr>
          <w:rFonts w:hint="eastAsia" w:ascii="宋体" w:hAnsi="宋体" w:eastAsia="宋体" w:cs="宋体"/>
          <w:color w:val="auto"/>
          <w:kern w:val="2"/>
          <w:sz w:val="21"/>
          <w:szCs w:val="21"/>
          <w:highlight w:val="none"/>
          <w:lang w:val="en-US" w:eastAsia="zh-CN" w:bidi="ar-SA"/>
        </w:rPr>
        <w:t>由</w:t>
      </w:r>
      <w:r>
        <w:rPr>
          <w:rFonts w:hint="eastAsia" w:ascii="宋体" w:hAnsi="宋体" w:eastAsia="宋体" w:cs="宋体"/>
          <w:color w:val="auto"/>
          <w:kern w:val="2"/>
          <w:sz w:val="21"/>
          <w:szCs w:val="21"/>
          <w:highlight w:val="none"/>
          <w:lang w:val="en-US" w:bidi="ar-SA"/>
        </w:rPr>
        <w:t>供方通知需方共同组织对仪器进行性能验收，验收依据为双方认可的计量部门(</w:t>
      </w:r>
      <w:r>
        <w:rPr>
          <w:rFonts w:hint="eastAsia" w:ascii="宋体" w:hAnsi="宋体" w:eastAsia="宋体" w:cs="宋体"/>
          <w:color w:val="auto"/>
          <w:kern w:val="2"/>
          <w:sz w:val="21"/>
          <w:szCs w:val="21"/>
          <w:highlight w:val="none"/>
          <w:lang w:val="en-US" w:eastAsia="zh-CN" w:bidi="ar-SA"/>
        </w:rPr>
        <w:t>新疆维吾尔自治区计量测试研究院</w:t>
      </w:r>
      <w:r>
        <w:rPr>
          <w:rFonts w:hint="eastAsia" w:ascii="宋体" w:hAnsi="宋体" w:eastAsia="宋体" w:cs="宋体"/>
          <w:color w:val="auto"/>
          <w:kern w:val="2"/>
          <w:sz w:val="21"/>
          <w:szCs w:val="21"/>
          <w:highlight w:val="none"/>
          <w:lang w:val="en-US" w:bidi="ar-SA"/>
        </w:rPr>
        <w:t>)出具的检定证书进行验收。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bidi="ar-SA"/>
        </w:rPr>
        <w:t>、仪器经验收确认合格后，由供方和需方共同在验收报告上签字，仪器的</w:t>
      </w:r>
      <w:r>
        <w:rPr>
          <w:rFonts w:hint="eastAsia" w:ascii="宋体" w:hAnsi="宋体" w:eastAsia="宋体" w:cs="宋体"/>
          <w:color w:val="auto"/>
          <w:kern w:val="2"/>
          <w:sz w:val="21"/>
          <w:szCs w:val="21"/>
          <w:highlight w:val="none"/>
          <w:lang w:val="en-US" w:eastAsia="zh-CN" w:bidi="ar-SA"/>
        </w:rPr>
        <w:t>验收</w:t>
      </w:r>
      <w:r>
        <w:rPr>
          <w:rFonts w:hint="eastAsia" w:ascii="宋体" w:hAnsi="宋体" w:eastAsia="宋体" w:cs="宋体"/>
          <w:color w:val="auto"/>
          <w:kern w:val="2"/>
          <w:sz w:val="21"/>
          <w:szCs w:val="21"/>
          <w:highlight w:val="none"/>
          <w:lang w:val="en-US" w:bidi="ar-SA"/>
        </w:rPr>
        <w:t xml:space="preserve">工作完成。    </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单位：新疆</w:t>
      </w:r>
      <w:r>
        <w:rPr>
          <w:rFonts w:hint="eastAsia" w:ascii="宋体" w:hAnsi="宋体" w:eastAsia="宋体" w:cs="宋体"/>
          <w:color w:val="auto"/>
          <w:kern w:val="2"/>
          <w:sz w:val="21"/>
          <w:szCs w:val="21"/>
          <w:highlight w:val="none"/>
          <w:lang w:val="en-US" w:eastAsia="zh-CN" w:bidi="ar-SA"/>
        </w:rPr>
        <w:t>维吾尔自治区</w:t>
      </w:r>
      <w:r>
        <w:rPr>
          <w:rFonts w:hint="eastAsia" w:ascii="宋体" w:hAnsi="宋体" w:eastAsia="宋体" w:cs="宋体"/>
          <w:color w:val="auto"/>
          <w:kern w:val="2"/>
          <w:sz w:val="21"/>
          <w:szCs w:val="21"/>
          <w:highlight w:val="none"/>
          <w:lang w:val="en-US" w:bidi="ar-SA"/>
        </w:rPr>
        <w:t>计量测试研究院出具的</w:t>
      </w:r>
      <w:r>
        <w:rPr>
          <w:rFonts w:hint="eastAsia" w:ascii="宋体" w:hAnsi="宋体" w:eastAsia="宋体" w:cs="宋体"/>
          <w:color w:val="auto"/>
          <w:kern w:val="2"/>
          <w:sz w:val="21"/>
          <w:szCs w:val="21"/>
          <w:highlight w:val="none"/>
          <w:lang w:val="en-US" w:eastAsia="zh-CN" w:bidi="ar-SA"/>
        </w:rPr>
        <w:t>检定</w:t>
      </w:r>
      <w:r>
        <w:rPr>
          <w:rFonts w:hint="eastAsia" w:ascii="宋体" w:hAnsi="宋体" w:eastAsia="宋体" w:cs="宋体"/>
          <w:color w:val="auto"/>
          <w:kern w:val="2"/>
          <w:sz w:val="21"/>
          <w:szCs w:val="21"/>
          <w:highlight w:val="none"/>
          <w:lang w:val="en-US" w:bidi="ar-SA"/>
        </w:rPr>
        <w:t>证书。</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十四、测量设备名称：宽频分压器   1台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1.1测量范围：（</w:t>
      </w: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200</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kV；</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1.2</w:t>
      </w:r>
      <w:r>
        <w:rPr>
          <w:rFonts w:hint="eastAsia" w:ascii="宋体" w:hAnsi="宋体" w:eastAsia="宋体" w:cs="宋体"/>
          <w:color w:val="auto"/>
          <w:kern w:val="2"/>
          <w:sz w:val="21"/>
          <w:szCs w:val="21"/>
          <w:highlight w:val="none"/>
          <w:lang w:val="en-US" w:eastAsia="zh-CN" w:bidi="ar-SA"/>
        </w:rPr>
        <w:t>频率范围：直流DC和交流：30Hz~300Hz；</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1.3</w:t>
      </w:r>
      <w:r>
        <w:rPr>
          <w:rFonts w:hint="eastAsia" w:ascii="宋体" w:hAnsi="宋体" w:eastAsia="宋体" w:cs="宋体"/>
          <w:color w:val="auto"/>
          <w:kern w:val="2"/>
          <w:sz w:val="21"/>
          <w:szCs w:val="21"/>
          <w:highlight w:val="none"/>
          <w:lang w:val="en-US" w:bidi="ar-SA"/>
        </w:rPr>
        <w:t>最大允许误差：DC±0.5%</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AC±1.0%</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w:t>
      </w:r>
      <w:r>
        <w:rPr>
          <w:rFonts w:hint="eastAsia" w:ascii="宋体" w:hAnsi="宋体" w:eastAsia="宋体" w:cs="宋体"/>
          <w:color w:val="auto"/>
          <w:kern w:val="2"/>
          <w:sz w:val="21"/>
          <w:szCs w:val="21"/>
          <w:highlight w:val="none"/>
          <w:lang w:val="en-US" w:eastAsia="zh-CN" w:bidi="ar-SA"/>
        </w:rPr>
        <w:t>4分压器配备的表头需采用是德科技的34461A通用数字多用表；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1.5分压器连同仪器箱的外形尺寸：高度≤1200mm，重量≤30kg；</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1.6使用条件-15℃~40℃；</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1.7为了保证稳定性，分压器需采用油浸式，内部组成为高稳定性的纸膜复合电容单元和加密电阻；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1.8分压器的输出接口采用BNC接头。</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1、计量性能及技术招标必须符合JJG496-2016</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工频高压分压器检定规程</w:t>
      </w:r>
      <w:r>
        <w:rPr>
          <w:rFonts w:hint="eastAsia" w:ascii="宋体" w:hAnsi="宋体" w:eastAsia="宋体" w:cs="宋体"/>
          <w:color w:val="auto"/>
          <w:kern w:val="2"/>
          <w:sz w:val="21"/>
          <w:szCs w:val="21"/>
          <w:highlight w:val="none"/>
          <w:lang w:val="en-US" w:eastAsia="zh-CN" w:bidi="ar-SA"/>
        </w:rPr>
        <w:t>》和</w:t>
      </w:r>
      <w:r>
        <w:rPr>
          <w:rFonts w:hint="eastAsia" w:ascii="宋体" w:hAnsi="宋体" w:eastAsia="宋体" w:cs="宋体"/>
          <w:color w:val="auto"/>
          <w:kern w:val="2"/>
          <w:sz w:val="21"/>
          <w:szCs w:val="21"/>
          <w:highlight w:val="none"/>
          <w:lang w:val="en-US" w:bidi="ar-SA"/>
        </w:rPr>
        <w:t>JJG1007-2005</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直流高压分压器检定规程</w:t>
      </w:r>
      <w:r>
        <w:rPr>
          <w:rFonts w:hint="eastAsia" w:ascii="宋体" w:hAnsi="宋体" w:eastAsia="宋体" w:cs="宋体"/>
          <w:color w:val="auto"/>
          <w:kern w:val="2"/>
          <w:sz w:val="21"/>
          <w:szCs w:val="21"/>
          <w:highlight w:val="none"/>
          <w:lang w:val="en-US" w:eastAsia="zh-CN" w:bidi="ar-SA"/>
        </w:rPr>
        <w:t>》之规定</w:t>
      </w:r>
      <w:r>
        <w:rPr>
          <w:rFonts w:hint="eastAsia" w:ascii="宋体" w:hAnsi="宋体" w:eastAsia="宋体" w:cs="宋体"/>
          <w:color w:val="auto"/>
          <w:kern w:val="2"/>
          <w:sz w:val="21"/>
          <w:szCs w:val="21"/>
          <w:highlight w:val="none"/>
          <w:lang w:val="en-US"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2、该测量设备由</w:t>
      </w:r>
      <w:r>
        <w:rPr>
          <w:rFonts w:hint="eastAsia" w:ascii="宋体" w:hAnsi="宋体" w:eastAsia="宋体" w:cs="宋体"/>
          <w:color w:val="auto"/>
          <w:kern w:val="2"/>
          <w:sz w:val="21"/>
          <w:szCs w:val="21"/>
          <w:highlight w:val="none"/>
          <w:lang w:val="en-US" w:eastAsia="zh-CN" w:bidi="ar-SA"/>
        </w:rPr>
        <w:t>国家计量院或大区级计量中心检定或校准</w:t>
      </w:r>
      <w:r>
        <w:rPr>
          <w:rFonts w:hint="eastAsia" w:ascii="宋体" w:hAnsi="宋体" w:eastAsia="宋体" w:cs="宋体"/>
          <w:color w:val="auto"/>
          <w:kern w:val="2"/>
          <w:sz w:val="21"/>
          <w:szCs w:val="21"/>
          <w:highlight w:val="none"/>
          <w:lang w:val="en-US" w:bidi="ar-SA"/>
        </w:rPr>
        <w:t>，出具计量检定</w:t>
      </w:r>
      <w:r>
        <w:rPr>
          <w:rFonts w:hint="eastAsia" w:ascii="宋体" w:hAnsi="宋体" w:eastAsia="宋体" w:cs="宋体"/>
          <w:color w:val="auto"/>
          <w:kern w:val="2"/>
          <w:sz w:val="21"/>
          <w:szCs w:val="21"/>
          <w:highlight w:val="none"/>
          <w:lang w:val="en-US" w:eastAsia="zh-CN" w:bidi="ar-SA"/>
        </w:rPr>
        <w:t>或校准证书</w:t>
      </w:r>
      <w:r>
        <w:rPr>
          <w:rFonts w:hint="eastAsia" w:ascii="宋体" w:hAnsi="宋体" w:eastAsia="宋体" w:cs="宋体"/>
          <w:color w:val="auto"/>
          <w:kern w:val="2"/>
          <w:sz w:val="21"/>
          <w:szCs w:val="21"/>
          <w:highlight w:val="none"/>
          <w:lang w:val="en-US" w:bidi="ar-SA"/>
        </w:rPr>
        <w:t>，费用由供方承担</w:t>
      </w:r>
      <w:r>
        <w:rPr>
          <w:rFonts w:hint="eastAsia" w:ascii="宋体" w:hAnsi="宋体" w:eastAsia="宋体" w:cs="宋体"/>
          <w:color w:val="auto"/>
          <w:kern w:val="2"/>
          <w:sz w:val="21"/>
          <w:szCs w:val="21"/>
          <w:highlight w:val="none"/>
          <w:lang w:val="en-US" w:eastAsia="zh-CN" w:bidi="ar-SA"/>
        </w:rPr>
        <w:t>，证书中需体现</w:t>
      </w:r>
      <w:r>
        <w:rPr>
          <w:rFonts w:hint="eastAsia" w:ascii="宋体" w:hAnsi="宋体" w:eastAsia="宋体" w:cs="宋体"/>
          <w:b/>
          <w:bCs/>
          <w:color w:val="auto"/>
          <w:kern w:val="2"/>
          <w:sz w:val="21"/>
          <w:szCs w:val="21"/>
          <w:highlight w:val="none"/>
          <w:lang w:val="en-US" w:eastAsia="zh-CN" w:bidi="ar-SA"/>
        </w:rPr>
        <w:t>直流、50H和300Hz</w:t>
      </w:r>
      <w:r>
        <w:rPr>
          <w:rFonts w:hint="eastAsia" w:ascii="宋体" w:hAnsi="宋体" w:eastAsia="宋体" w:cs="宋体"/>
          <w:color w:val="auto"/>
          <w:kern w:val="2"/>
          <w:sz w:val="21"/>
          <w:szCs w:val="21"/>
          <w:highlight w:val="none"/>
          <w:lang w:val="en-US" w:eastAsia="zh-CN" w:bidi="ar-SA"/>
        </w:rPr>
        <w:t>下的电压校准数据</w:t>
      </w:r>
      <w:r>
        <w:rPr>
          <w:rFonts w:hint="eastAsia" w:ascii="宋体" w:hAnsi="宋体" w:eastAsia="宋体" w:cs="宋体"/>
          <w:color w:val="auto"/>
          <w:kern w:val="2"/>
          <w:sz w:val="21"/>
          <w:szCs w:val="21"/>
          <w:highlight w:val="none"/>
          <w:lang w:val="en-US"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测试电缆3米</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测试电缆5米</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便携式仪器箱</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使用说明书、出厂合格证</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2、维修手册一份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eastAsia="zh-CN" w:bidi="ar-SA"/>
        </w:rPr>
        <w:t>60</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1、乙方在交货前应按合同规定的方法，进行检定或校准。</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2、对重要关键设备，按合同规定由甲乙双方共同进行验收。对一般设备，由甲方负责验收。设备到货后，甲方应由15日历天内验收完毕。</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十五、测量设备名称：</w:t>
      </w:r>
      <w:r>
        <w:rPr>
          <w:rFonts w:hint="eastAsia" w:ascii="宋体" w:hAnsi="宋体" w:eastAsia="宋体" w:cs="宋体"/>
          <w:b/>
          <w:color w:val="auto"/>
          <w:kern w:val="2"/>
          <w:sz w:val="21"/>
          <w:szCs w:val="21"/>
          <w:highlight w:val="none"/>
          <w:lang w:val="en-US" w:bidi="ar-SA"/>
        </w:rPr>
        <w:t>感应分压器</w:t>
      </w:r>
      <w:r>
        <w:rPr>
          <w:rFonts w:hint="eastAsia" w:ascii="宋体" w:hAnsi="宋体" w:eastAsia="宋体" w:cs="宋体"/>
          <w:b/>
          <w:color w:val="auto"/>
          <w:kern w:val="2"/>
          <w:sz w:val="21"/>
          <w:szCs w:val="21"/>
          <w:highlight w:val="none"/>
          <w:lang w:val="en-US" w:eastAsia="zh-CN" w:bidi="ar-SA"/>
        </w:rPr>
        <w:t xml:space="preserve">    1台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具体技术要求见下表1：</w:t>
      </w:r>
    </w:p>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表1  感应分压器技术要求</w:t>
      </w:r>
    </w:p>
    <w:tbl>
      <w:tblPr>
        <w:tblStyle w:val="25"/>
        <w:tblW w:w="8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80"/>
        <w:gridCol w:w="5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参数名称</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准确度等级</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不低于0.002级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固定电压比</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10</w:t>
            </w:r>
            <w:r>
              <w:rPr>
                <w:rFonts w:hint="eastAsia" w:ascii="宋体" w:hAnsi="宋体" w:eastAsia="宋体" w:cs="宋体"/>
                <w:bCs/>
                <w:color w:val="auto"/>
                <w:kern w:val="2"/>
                <w:sz w:val="21"/>
                <w:szCs w:val="21"/>
                <w:highlight w:val="none"/>
                <w:vertAlign w:val="superscript"/>
                <w:lang w:val="en-US" w:bidi="ar-SA"/>
              </w:rPr>
              <w:t>-1</w:t>
            </w:r>
            <w:r>
              <w:rPr>
                <w:rFonts w:hint="eastAsia" w:ascii="宋体" w:hAnsi="宋体" w:eastAsia="宋体" w:cs="宋体"/>
                <w:bCs/>
                <w:color w:val="auto"/>
                <w:kern w:val="2"/>
                <w:sz w:val="21"/>
                <w:szCs w:val="21"/>
                <w:highlight w:val="none"/>
                <w:lang w:val="en-US" w:bidi="ar-SA"/>
              </w:rPr>
              <w:t>，10</w:t>
            </w:r>
            <w:r>
              <w:rPr>
                <w:rFonts w:hint="eastAsia" w:ascii="宋体" w:hAnsi="宋体" w:eastAsia="宋体" w:cs="宋体"/>
                <w:bCs/>
                <w:color w:val="auto"/>
                <w:kern w:val="2"/>
                <w:sz w:val="21"/>
                <w:szCs w:val="21"/>
                <w:highlight w:val="none"/>
                <w:vertAlign w:val="superscript"/>
                <w:lang w:val="en-US" w:bidi="ar-SA"/>
              </w:rPr>
              <w:t>-2</w:t>
            </w:r>
            <w:r>
              <w:rPr>
                <w:rFonts w:hint="eastAsia" w:ascii="宋体" w:hAnsi="宋体" w:eastAsia="宋体" w:cs="宋体"/>
                <w:bCs/>
                <w:color w:val="auto"/>
                <w:kern w:val="2"/>
                <w:sz w:val="21"/>
                <w:szCs w:val="21"/>
                <w:highlight w:val="none"/>
                <w:lang w:val="en-US" w:bidi="ar-SA"/>
              </w:rPr>
              <w:t>，10</w:t>
            </w:r>
            <w:r>
              <w:rPr>
                <w:rFonts w:hint="eastAsia" w:ascii="宋体" w:hAnsi="宋体" w:eastAsia="宋体" w:cs="宋体"/>
                <w:bCs/>
                <w:color w:val="auto"/>
                <w:kern w:val="2"/>
                <w:sz w:val="21"/>
                <w:szCs w:val="21"/>
                <w:highlight w:val="none"/>
                <w:vertAlign w:val="superscript"/>
                <w:lang w:val="en-US"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可调电压比</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10 × (10</w:t>
            </w:r>
            <w:r>
              <w:rPr>
                <w:rFonts w:hint="eastAsia" w:ascii="宋体" w:hAnsi="宋体" w:eastAsia="宋体" w:cs="宋体"/>
                <w:bCs/>
                <w:color w:val="auto"/>
                <w:kern w:val="2"/>
                <w:sz w:val="21"/>
                <w:szCs w:val="21"/>
                <w:highlight w:val="none"/>
                <w:vertAlign w:val="superscript"/>
                <w:lang w:val="en-US" w:bidi="ar-SA"/>
              </w:rPr>
              <w:t xml:space="preserve">-1 </w:t>
            </w:r>
            <w:r>
              <w:rPr>
                <w:rFonts w:hint="eastAsia" w:ascii="宋体" w:hAnsi="宋体" w:eastAsia="宋体" w:cs="宋体"/>
                <w:bCs/>
                <w:color w:val="auto"/>
                <w:kern w:val="2"/>
                <w:sz w:val="21"/>
                <w:szCs w:val="21"/>
                <w:highlight w:val="none"/>
                <w:lang w:val="en-US" w:bidi="ar-SA"/>
              </w:rPr>
              <w:t>+ 10</w:t>
            </w:r>
            <w:r>
              <w:rPr>
                <w:rFonts w:hint="eastAsia" w:ascii="宋体" w:hAnsi="宋体" w:eastAsia="宋体" w:cs="宋体"/>
                <w:bCs/>
                <w:color w:val="auto"/>
                <w:kern w:val="2"/>
                <w:sz w:val="21"/>
                <w:szCs w:val="21"/>
                <w:highlight w:val="none"/>
                <w:vertAlign w:val="superscript"/>
                <w:lang w:val="en-US" w:bidi="ar-SA"/>
              </w:rPr>
              <w:t xml:space="preserve">-2 </w:t>
            </w:r>
            <w:r>
              <w:rPr>
                <w:rFonts w:hint="eastAsia" w:ascii="宋体" w:hAnsi="宋体" w:eastAsia="宋体" w:cs="宋体"/>
                <w:bCs/>
                <w:color w:val="auto"/>
                <w:kern w:val="2"/>
                <w:sz w:val="21"/>
                <w:szCs w:val="21"/>
                <w:highlight w:val="none"/>
                <w:lang w:val="en-US" w:bidi="ar-SA"/>
              </w:rPr>
              <w:t>+ 10</w:t>
            </w:r>
            <w:r>
              <w:rPr>
                <w:rFonts w:hint="eastAsia" w:ascii="宋体" w:hAnsi="宋体" w:eastAsia="宋体" w:cs="宋体"/>
                <w:bCs/>
                <w:color w:val="auto"/>
                <w:kern w:val="2"/>
                <w:sz w:val="21"/>
                <w:szCs w:val="21"/>
                <w:highlight w:val="none"/>
                <w:vertAlign w:val="superscript"/>
                <w:lang w:val="en-US" w:bidi="ar-SA"/>
              </w:rPr>
              <w:t>-3</w:t>
            </w:r>
            <w:r>
              <w:rPr>
                <w:rFonts w:hint="eastAsia" w:ascii="宋体" w:hAnsi="宋体" w:eastAsia="宋体" w:cs="宋体"/>
                <w:bCs/>
                <w:color w:val="auto"/>
                <w:kern w:val="2"/>
                <w:sz w:val="21"/>
                <w:szCs w:val="21"/>
                <w:highlight w:val="none"/>
                <w:lang w:val="en-US" w:bidi="ar-SA"/>
              </w:rPr>
              <w:t xml:space="preserve"> + 10</w:t>
            </w:r>
            <w:r>
              <w:rPr>
                <w:rFonts w:hint="eastAsia" w:ascii="宋体" w:hAnsi="宋体" w:eastAsia="宋体" w:cs="宋体"/>
                <w:bCs/>
                <w:color w:val="auto"/>
                <w:kern w:val="2"/>
                <w:sz w:val="21"/>
                <w:szCs w:val="21"/>
                <w:highlight w:val="none"/>
                <w:vertAlign w:val="superscript"/>
                <w:lang w:val="en-US" w:bidi="ar-SA"/>
              </w:rPr>
              <w:t>-4</w:t>
            </w:r>
            <w:r>
              <w:rPr>
                <w:rFonts w:hint="eastAsia" w:ascii="宋体" w:hAnsi="宋体" w:eastAsia="宋体" w:cs="宋体"/>
                <w:bCs/>
                <w:color w:val="auto"/>
                <w:kern w:val="2"/>
                <w:sz w:val="21"/>
                <w:szCs w:val="21"/>
                <w:highlight w:val="none"/>
                <w:lang w:val="en-US" w:bidi="ar-SA"/>
              </w:rPr>
              <w:t xml:space="preserve"> + 10</w:t>
            </w:r>
            <w:r>
              <w:rPr>
                <w:rFonts w:hint="eastAsia" w:ascii="宋体" w:hAnsi="宋体" w:eastAsia="宋体" w:cs="宋体"/>
                <w:bCs/>
                <w:color w:val="auto"/>
                <w:kern w:val="2"/>
                <w:sz w:val="21"/>
                <w:szCs w:val="21"/>
                <w:highlight w:val="none"/>
                <w:vertAlign w:val="superscript"/>
                <w:lang w:val="en-US" w:bidi="ar-SA"/>
              </w:rPr>
              <w:t>-5</w:t>
            </w:r>
            <w:r>
              <w:rPr>
                <w:rFonts w:hint="eastAsia" w:ascii="宋体" w:hAnsi="宋体" w:eastAsia="宋体" w:cs="宋体"/>
                <w:bCs/>
                <w:color w:val="auto"/>
                <w:kern w:val="2"/>
                <w:sz w:val="21"/>
                <w:szCs w:val="21"/>
                <w:highlight w:val="none"/>
                <w:lang w:val="en-US" w:bidi="ar-SA"/>
              </w:rPr>
              <w:t xml:space="preserve"> + 10</w:t>
            </w:r>
            <w:r>
              <w:rPr>
                <w:rFonts w:hint="eastAsia" w:ascii="宋体" w:hAnsi="宋体" w:eastAsia="宋体" w:cs="宋体"/>
                <w:bCs/>
                <w:color w:val="auto"/>
                <w:kern w:val="2"/>
                <w:sz w:val="21"/>
                <w:szCs w:val="21"/>
                <w:highlight w:val="none"/>
                <w:vertAlign w:val="superscript"/>
                <w:lang w:val="en-US" w:bidi="ar-SA"/>
              </w:rPr>
              <w:t>-6</w:t>
            </w:r>
            <w:r>
              <w:rPr>
                <w:rFonts w:hint="eastAsia" w:ascii="宋体" w:hAnsi="宋体" w:eastAsia="宋体" w:cs="宋体"/>
                <w:bCs/>
                <w:color w:val="auto"/>
                <w:kern w:val="2"/>
                <w:sz w:val="21"/>
                <w:szCs w:val="21"/>
                <w:highlight w:val="none"/>
                <w:lang w:val="en-US" w:bidi="ar-SA"/>
              </w:rPr>
              <w:t xml:space="preserve"> + 10</w:t>
            </w:r>
            <w:r>
              <w:rPr>
                <w:rFonts w:hint="eastAsia" w:ascii="宋体" w:hAnsi="宋体" w:eastAsia="宋体" w:cs="宋体"/>
                <w:bCs/>
                <w:color w:val="auto"/>
                <w:kern w:val="2"/>
                <w:sz w:val="21"/>
                <w:szCs w:val="21"/>
                <w:highlight w:val="none"/>
                <w:vertAlign w:val="superscript"/>
                <w:lang w:val="en-US" w:bidi="ar-SA"/>
              </w:rPr>
              <w:t>-7</w:t>
            </w:r>
            <w:r>
              <w:rPr>
                <w:rFonts w:hint="eastAsia" w:ascii="宋体" w:hAnsi="宋体" w:eastAsia="宋体" w:cs="宋体"/>
                <w:bCs/>
                <w:color w:val="auto"/>
                <w:kern w:val="2"/>
                <w:sz w:val="21"/>
                <w:szCs w:val="21"/>
                <w:highlight w:val="none"/>
                <w:lang w:val="en-US" w:bidi="ar-SA"/>
              </w:rPr>
              <w:t>).Un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输入阻抗</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&gt;100kΩ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输出阻抗</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&lt;3Ω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额定输入电压</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1000V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额定输出电压</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w:t>
            </w:r>
            <w:r>
              <w:rPr>
                <w:rFonts w:hint="eastAsia" w:ascii="宋体" w:hAnsi="宋体" w:eastAsia="宋体" w:cs="宋体"/>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1000V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工作范围</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(20%--120%).Un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频率</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50/60Hz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温度</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5°C ~ 40°C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2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w:t>
            </w:r>
          </w:p>
        </w:tc>
        <w:tc>
          <w:tcPr>
            <w:tcW w:w="1980"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相对湿度（RH）</w:t>
            </w:r>
          </w:p>
        </w:tc>
        <w:tc>
          <w:tcPr>
            <w:tcW w:w="5692" w:type="dxa"/>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&lt;</w:t>
            </w:r>
            <w:r>
              <w:rPr>
                <w:rFonts w:hint="eastAsia" w:ascii="宋体" w:hAnsi="宋体" w:eastAsia="宋体" w:cs="宋体"/>
                <w:bCs/>
                <w:color w:val="auto"/>
                <w:kern w:val="2"/>
                <w:sz w:val="21"/>
                <w:szCs w:val="21"/>
                <w:highlight w:val="none"/>
                <w:lang w:val="en-US" w:bidi="ar-SA"/>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392" w:type="dxa"/>
            <w:gridSpan w:val="3"/>
            <w:noWrap w:val="0"/>
            <w:vAlign w:val="center"/>
          </w:tcPr>
          <w:p>
            <w:pPr>
              <w:keepNext w:val="0"/>
              <w:keepLines w:val="0"/>
              <w:pageBreakBefore w:val="0"/>
              <w:widowControl w:val="0"/>
              <w:tabs>
                <w:tab w:val="left" w:pos="362"/>
              </w:tabs>
              <w:kinsoku/>
              <w:wordWrap/>
              <w:overflowPunct/>
              <w:topLinePunct w:val="0"/>
              <w:autoSpaceDE/>
              <w:autoSpaceDN/>
              <w:bidi w:val="0"/>
              <w:adjustRightInd/>
              <w:snapToGrid/>
              <w:spacing w:before="0" w:beforeLines="50" w:after="0" w:afterLines="50" w:line="240" w:lineRule="auto"/>
              <w:ind w:left="0" w:leftChars="0" w:right="0" w:firstLine="0" w:firstLineChars="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备注：其它未列的技术要求按JJG 244-2003《感应分压器》要求执行，之外的技术问题，双方协商解决。</w:t>
            </w:r>
          </w:p>
        </w:tc>
      </w:tr>
    </w:tbl>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（二）、通用技术要求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1、计量性能及技术招标必须符合JJG 244-2003《感应分压器》。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2、测量设备所使用的软件，甲方享受免费升级，如发现软件开发商在软件中设置影响软件使用的限制，乙方承担一切责任和损失。同时甲方有权追究法律责任。（如设备涉及软件，该条适用）</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3、测量设备应有具备相应资质的国家级技术机构检定合格后出具检定证书，费用由供方承担。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4423"/>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2294"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专用测试线</w:t>
            </w:r>
          </w:p>
        </w:tc>
        <w:tc>
          <w:tcPr>
            <w:tcW w:w="2294"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2套（1用1备）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4423"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专用仪器箱（适合外出携带，具备防撞、减震等功能）</w:t>
            </w:r>
          </w:p>
        </w:tc>
        <w:tc>
          <w:tcPr>
            <w:tcW w:w="2294"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1个</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2、维修手册一份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7、质保期：验收合格后1年。</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3、仪器现场安装、调试后，甲方依照技术要求按程序对设备进行验收。</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120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十六、测量设备名称：</w:t>
      </w:r>
      <w:r>
        <w:rPr>
          <w:rFonts w:hint="eastAsia" w:ascii="宋体" w:hAnsi="宋体" w:eastAsia="宋体" w:cs="宋体"/>
          <w:b/>
          <w:color w:val="auto"/>
          <w:kern w:val="2"/>
          <w:sz w:val="21"/>
          <w:szCs w:val="21"/>
          <w:highlight w:val="none"/>
          <w:lang w:val="en-US" w:bidi="ar-SA"/>
        </w:rPr>
        <w:t>程控射频开关</w:t>
      </w:r>
      <w:r>
        <w:rPr>
          <w:rFonts w:hint="eastAsia" w:ascii="宋体" w:hAnsi="宋体" w:eastAsia="宋体" w:cs="宋体"/>
          <w:b/>
          <w:color w:val="auto"/>
          <w:kern w:val="2"/>
          <w:sz w:val="21"/>
          <w:szCs w:val="21"/>
          <w:highlight w:val="none"/>
          <w:lang w:val="en-US" w:eastAsia="zh-CN" w:bidi="ar-SA"/>
        </w:rPr>
        <w:t xml:space="preserve">   1台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1</w:t>
      </w:r>
      <w:r>
        <w:rPr>
          <w:rFonts w:hint="eastAsia" w:ascii="宋体" w:hAnsi="宋体" w:eastAsia="宋体" w:cs="宋体"/>
          <w:color w:val="auto"/>
          <w:kern w:val="2"/>
          <w:sz w:val="21"/>
          <w:szCs w:val="21"/>
          <w:highlight w:val="none"/>
          <w:lang w:val="en-US" w:eastAsia="zh-CN" w:bidi="ar-SA"/>
        </w:rPr>
        <w:t>）输入通道1路，输出通道16路</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（2）输出信号频率：DC~100MHz</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（3）输入通道间隔离度：5MHz≦-120dB；100MHz≦-90dB</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（4）可靠性指标：MTBF（θ）≧8000小时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程控射频开关</w:t>
      </w:r>
      <w:r>
        <w:rPr>
          <w:rFonts w:hint="eastAsia" w:ascii="宋体" w:hAnsi="宋体" w:eastAsia="宋体" w:cs="宋体"/>
          <w:color w:val="auto"/>
          <w:kern w:val="2"/>
          <w:sz w:val="21"/>
          <w:szCs w:val="21"/>
          <w:highlight w:val="none"/>
          <w:lang w:val="en-US" w:eastAsia="zh-CN" w:bidi="ar-SA"/>
        </w:rPr>
        <w:t>和现有晶振测试软件可以正常匹配使用，</w:t>
      </w:r>
      <w:r>
        <w:rPr>
          <w:rFonts w:hint="eastAsia" w:ascii="宋体" w:hAnsi="宋体" w:eastAsia="宋体" w:cs="宋体"/>
          <w:color w:val="auto"/>
          <w:kern w:val="2"/>
          <w:sz w:val="21"/>
          <w:szCs w:val="21"/>
          <w:highlight w:val="none"/>
          <w:lang w:val="en-US" w:bidi="ar-SA"/>
        </w:rPr>
        <w:t>如发现软件开发商在软件中设置影响使用的限制，乙方承担一切责任和损失</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同时甲方有权追究法律责任。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201"/>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20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151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20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软件通讯测试线</w:t>
            </w:r>
          </w:p>
        </w:tc>
        <w:tc>
          <w:tcPr>
            <w:tcW w:w="151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w:t>
      </w:r>
      <w:r>
        <w:rPr>
          <w:rFonts w:hint="eastAsia" w:ascii="宋体" w:hAnsi="宋体" w:eastAsia="宋体" w:cs="宋体"/>
          <w:color w:val="auto"/>
          <w:kern w:val="2"/>
          <w:sz w:val="21"/>
          <w:szCs w:val="21"/>
          <w:highlight w:val="none"/>
          <w:lang w:val="en-US" w:eastAsia="zh-CN" w:bidi="ar-SA"/>
        </w:rPr>
        <w:t>说明书</w:t>
      </w:r>
      <w:r>
        <w:rPr>
          <w:rFonts w:hint="eastAsia" w:ascii="宋体" w:hAnsi="宋体" w:eastAsia="宋体" w:cs="宋体"/>
          <w:color w:val="auto"/>
          <w:kern w:val="2"/>
          <w:sz w:val="21"/>
          <w:szCs w:val="21"/>
          <w:highlight w:val="none"/>
          <w:lang w:val="en-US" w:bidi="ar-SA"/>
        </w:rPr>
        <w:t>一套；</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2、出厂检测合格证明一份；</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bidi="ar-SA"/>
        </w:rPr>
        <w:t>、维修手册一份</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4、保修单一份；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bidi="ar-SA"/>
        </w:rPr>
        <w:t>、装箱单一份。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bidi="ar-SA"/>
        </w:rPr>
        <w:t>、仪器安装调试完成后，经验收确认合格后，由供方和需方共同在验收报告上签字，仪器的安装调试工作方可完成。</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十七、测量设备名称：酸度计  1台</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0" w:right="0" w:rightChars="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eastAsia="zh-CN"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1、</w:t>
      </w:r>
      <w:r>
        <w:rPr>
          <w:rFonts w:hint="eastAsia" w:ascii="宋体" w:hAnsi="宋体" w:eastAsia="宋体" w:cs="宋体"/>
          <w:b/>
          <w:bCs/>
          <w:color w:val="auto"/>
          <w:kern w:val="0"/>
          <w:sz w:val="21"/>
          <w:szCs w:val="21"/>
          <w:highlight w:val="none"/>
          <w:lang w:val="en-US" w:bidi="ar-SA"/>
        </w:rPr>
        <w:t>功能</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*1.1测量快速、精确，可测量pH、ORP和各种单位的离子浓度</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1.2友好的操作界面 </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*1.3包括中文的10种菜单语言 </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1.4清晰直观的彩色显示屏</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*1.5可连接多种外围设备 </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*1.6符合GLP规范  </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*1.7全面的服务(包括IQ/OQ认证)</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*1.8电极支架：单手就能方便操作，可完全垂直上下移动，避免样品容器的翻倒和电极的损坏。</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1.9自动校正，自动识别缓冲液</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1.10电极状态及斜率显示，随时监测电极状态</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1.11自动终点锁定功能，消除人为读数误差</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1.12关机后能长时间保持校正数据 ，对于不同样品可选择最佳的终点方式</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1.13有自动和手动两种温度补偿方式，补偿温度范围均在-30至130℃间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1.14灵活的数据处理：通过RS232接口和USB接口连接电脑和打印机，可将数据存储在仪表中、打印、传输至电脑。</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1.15独特的仪表自检功能帮助判断测量出错原因</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2、</w:t>
      </w:r>
      <w:r>
        <w:rPr>
          <w:rFonts w:hint="eastAsia" w:ascii="宋体" w:hAnsi="宋体" w:eastAsia="宋体" w:cs="宋体"/>
          <w:b/>
          <w:bCs/>
          <w:color w:val="auto"/>
          <w:kern w:val="0"/>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 pH范围： -2.000 至 20.000</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*2.2 pH分辨率：用户可定义的： 0.001 / 0.01 / 0.1</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2.3 pH精度：±0.002</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2.4 mV范围：-2000.0 至 2000.0</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*2.5 mV分辨率：用户可定义的： 0.1 / 1</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2.6 mV精度：± 0.2</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2.7离子浓度范围：（1.00E-9～9.99E+9）mg/L(mmol/L、mol/L) ，-2.000～20.000 pX</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2.8离子浓度分辨率</w:t>
      </w:r>
      <w:r>
        <w:rPr>
          <w:rFonts w:hint="eastAsia" w:ascii="宋体" w:hAnsi="宋体" w:eastAsia="宋体" w:cs="宋体"/>
          <w:color w:val="auto"/>
          <w:kern w:val="2"/>
          <w:sz w:val="21"/>
          <w:szCs w:val="21"/>
          <w:highlight w:val="none"/>
          <w:lang w:val="en-US" w:bidi="ar-SA"/>
        </w:rPr>
        <w:tab/>
      </w:r>
      <w:r>
        <w:rPr>
          <w:rFonts w:hint="eastAsia" w:ascii="宋体" w:hAnsi="宋体" w:eastAsia="宋体" w:cs="宋体"/>
          <w:color w:val="auto"/>
          <w:kern w:val="2"/>
          <w:sz w:val="21"/>
          <w:szCs w:val="21"/>
          <w:highlight w:val="none"/>
          <w:lang w:val="en-US" w:bidi="ar-SA"/>
        </w:rPr>
        <w:t>：±最后一位有效数字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2.9离子浓度精度：±0.5%</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2.10温度范围 ℃：-30.0 至 130.0 </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2.11温度分辨率℃：0.1</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2.12温度精度 ℃：± 0.1</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*2.13校准点：最多5点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*2.14缓冲液组：8组预置，1组自定义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*2.15数据存储：1000组测量数据</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*2.16显示屏：TFT 颜色 4.3 英寸</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2.17电源：外部电源 9-12V/10W</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2.18尺寸/重量：204×174×74mm/890g</w:t>
      </w:r>
    </w:p>
    <w:p>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0" w:right="0" w:rightChars="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eastAsia="zh-CN"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1.计量性能及技术指标必须符合JJG119-2018实验pH(酸度)计检定规程。</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4.该测量设备由省级以上法定技术机构检测，出具证书，费用由供方承担。</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0" w:right="0" w:rightChars="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cs="宋体"/>
          <w:b/>
          <w:color w:val="auto"/>
          <w:kern w:val="2"/>
          <w:sz w:val="21"/>
          <w:szCs w:val="21"/>
          <w:highlight w:val="none"/>
          <w:lang w:val="en-US" w:eastAsia="zh-CN" w:bidi="ar-SA"/>
        </w:rPr>
        <w:t>（三）</w:t>
      </w:r>
      <w:r>
        <w:rPr>
          <w:rFonts w:hint="eastAsia" w:ascii="宋体" w:hAnsi="宋体" w:eastAsia="宋体" w:cs="宋体"/>
          <w:b/>
          <w:color w:val="auto"/>
          <w:kern w:val="2"/>
          <w:sz w:val="21"/>
          <w:szCs w:val="21"/>
          <w:highlight w:val="none"/>
          <w:lang w:val="en-US" w:bidi="ar-SA"/>
        </w:rPr>
        <w:t>、配套设备及附件</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1.S220  pH计主机</w:t>
      </w:r>
      <w:r>
        <w:rPr>
          <w:rFonts w:hint="eastAsia" w:ascii="宋体" w:hAnsi="宋体" w:eastAsia="宋体" w:cs="宋体"/>
          <w:color w:val="auto"/>
          <w:kern w:val="2"/>
          <w:sz w:val="21"/>
          <w:szCs w:val="21"/>
          <w:highlight w:val="none"/>
          <w:lang w:val="en-US" w:bidi="ar-SA"/>
        </w:rPr>
        <w:tab/>
      </w:r>
      <w:r>
        <w:rPr>
          <w:rFonts w:hint="eastAsia" w:ascii="宋体" w:hAnsi="宋体" w:eastAsia="宋体" w:cs="宋体"/>
          <w:color w:val="auto"/>
          <w:kern w:val="2"/>
          <w:sz w:val="21"/>
          <w:szCs w:val="21"/>
          <w:highlight w:val="none"/>
          <w:lang w:val="en-US" w:bidi="ar-SA"/>
        </w:rPr>
        <w:t>1套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2.pH电极Inlab Expert Pro-ISM</w:t>
      </w:r>
      <w:r>
        <w:rPr>
          <w:rFonts w:hint="eastAsia" w:ascii="宋体" w:hAnsi="宋体" w:eastAsia="宋体" w:cs="宋体"/>
          <w:color w:val="auto"/>
          <w:kern w:val="2"/>
          <w:sz w:val="21"/>
          <w:szCs w:val="21"/>
          <w:highlight w:val="none"/>
          <w:lang w:val="en-US" w:bidi="ar-SA"/>
        </w:rPr>
        <w:tab/>
      </w:r>
      <w:r>
        <w:rPr>
          <w:rFonts w:hint="eastAsia" w:ascii="宋体" w:hAnsi="宋体" w:eastAsia="宋体" w:cs="宋体"/>
          <w:color w:val="auto"/>
          <w:kern w:val="2"/>
          <w:sz w:val="21"/>
          <w:szCs w:val="21"/>
          <w:highlight w:val="none"/>
          <w:lang w:val="en-US" w:bidi="ar-SA"/>
        </w:rPr>
        <w:t>1支</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3.电极支架</w:t>
      </w:r>
      <w:r>
        <w:rPr>
          <w:rFonts w:hint="eastAsia" w:ascii="宋体" w:hAnsi="宋体" w:eastAsia="宋体" w:cs="宋体"/>
          <w:color w:val="auto"/>
          <w:kern w:val="2"/>
          <w:sz w:val="21"/>
          <w:szCs w:val="21"/>
          <w:highlight w:val="none"/>
          <w:lang w:val="en-US" w:bidi="ar-SA"/>
        </w:rPr>
        <w:tab/>
      </w:r>
      <w:r>
        <w:rPr>
          <w:rFonts w:hint="eastAsia" w:ascii="宋体" w:hAnsi="宋体" w:eastAsia="宋体" w:cs="宋体"/>
          <w:color w:val="auto"/>
          <w:kern w:val="2"/>
          <w:sz w:val="21"/>
          <w:szCs w:val="21"/>
          <w:highlight w:val="none"/>
          <w:lang w:val="en-US" w:bidi="ar-SA"/>
        </w:rPr>
        <w:t>1套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4.袋装缓冲溶液1套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5.保护罩1个</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6.电源</w:t>
      </w:r>
      <w:r>
        <w:rPr>
          <w:rFonts w:hint="eastAsia" w:ascii="宋体" w:hAnsi="宋体" w:eastAsia="宋体" w:cs="宋体"/>
          <w:color w:val="auto"/>
          <w:kern w:val="2"/>
          <w:sz w:val="21"/>
          <w:szCs w:val="21"/>
          <w:highlight w:val="none"/>
          <w:lang w:val="en-US" w:bidi="ar-SA"/>
        </w:rPr>
        <w:tab/>
      </w:r>
      <w:r>
        <w:rPr>
          <w:rFonts w:hint="eastAsia" w:ascii="宋体" w:hAnsi="宋体" w:eastAsia="宋体" w:cs="宋体"/>
          <w:color w:val="auto"/>
          <w:kern w:val="2"/>
          <w:sz w:val="21"/>
          <w:szCs w:val="21"/>
          <w:highlight w:val="none"/>
          <w:lang w:val="en-US" w:bidi="ar-SA"/>
        </w:rPr>
        <w:t>1个</w:t>
      </w:r>
    </w:p>
    <w:p>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0" w:right="0" w:rightChars="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cs="宋体"/>
          <w:b/>
          <w:color w:val="auto"/>
          <w:kern w:val="2"/>
          <w:sz w:val="21"/>
          <w:szCs w:val="21"/>
          <w:highlight w:val="none"/>
          <w:lang w:val="en-US" w:eastAsia="zh-CN" w:bidi="ar-SA"/>
        </w:rPr>
        <w:t>（四）</w:t>
      </w:r>
      <w:r>
        <w:rPr>
          <w:rFonts w:hint="eastAsia" w:ascii="宋体" w:hAnsi="宋体" w:eastAsia="宋体" w:cs="宋体"/>
          <w:b/>
          <w:color w:val="auto"/>
          <w:kern w:val="2"/>
          <w:sz w:val="21"/>
          <w:szCs w:val="21"/>
          <w:highlight w:val="none"/>
          <w:lang w:val="en-US" w:bidi="ar-SA"/>
        </w:rPr>
        <w:t>、技术资料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1.使用说明书 1本</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2.保修卡  1个</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3.检定证书  1份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b/>
          <w:color w:val="auto"/>
          <w:kern w:val="2"/>
          <w:sz w:val="21"/>
          <w:szCs w:val="21"/>
          <w:highlight w:val="none"/>
          <w:u w:val="single"/>
          <w:lang w:val="en-US" w:bidi="ar-SA"/>
        </w:rPr>
        <w:t>24</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3、仪器现场安装、调试后，供方通知需方共同组织对仪器进行性能验收，验收依据为双方认可的第三方计量部门(西北中心)出具的检定或校准证书报告或根据双方协商的验收测试方法进行测试验收。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单位：第三方或新疆计量测试研究院出具的测试证书。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30 </w:t>
      </w:r>
      <w:r>
        <w:rPr>
          <w:rFonts w:hint="eastAsia" w:ascii="宋体" w:hAnsi="宋体" w:eastAsia="宋体" w:cs="宋体"/>
          <w:color w:val="auto"/>
          <w:kern w:val="2"/>
          <w:sz w:val="21"/>
          <w:szCs w:val="21"/>
          <w:highlight w:val="none"/>
          <w:lang w:val="en-US" w:bidi="ar-SA"/>
        </w:rPr>
        <w:t>日历天内</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十八、测量设备名称：在线浊度计   1台</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Chars="200" w:right="0" w:rightChars="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eastAsia="zh-CN" w:bidi="ar-SA"/>
        </w:rPr>
        <w:t>（一）</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（1）*测量原理：光源为近红外650 nm（EPA）或850 nm（ISO）的激光，测量样品中悬浮物颗粒产生的散射光；与入射光束呈90°的散射光，通过锥形反射镜后360°环绕样品 ，最终被检测器检测到；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（2）量程：</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EPA：0 至 700 NTU、FNU、TE/F、FTU；0 至 175 EBC；</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（3）准确度：0 至 40 NTU 读数的±2% 或±0.01 NTU（取较大值）；根据 Formazin 主要标准，在 25 ℃下，40 至 1000 NTU 时，读数的±10%；</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（4）分辨率：0.0001 NTU/ FNU/ TE/F/ FTU/ EBC；</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（5）*重复性：0.002NTU或读数的1%（取较大值），在25℃ （&gt;0.025 NTU量程）；</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（6）*响应时间：在 100 mL/min 时，T90 &lt; 30 秒；</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（7）样品流量：100 至 1000 mL/min；最佳流速：200 至500 mL/min；</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bookmarkStart w:id="96" w:name="_Hlk516646727"/>
      <w:r>
        <w:rPr>
          <w:rFonts w:hint="eastAsia" w:ascii="宋体" w:hAnsi="宋体" w:eastAsia="宋体" w:cs="宋体"/>
          <w:color w:val="auto"/>
          <w:kern w:val="2"/>
          <w:sz w:val="21"/>
          <w:szCs w:val="21"/>
          <w:highlight w:val="none"/>
          <w:lang w:val="en-US" w:bidi="ar-SA"/>
        </w:rPr>
        <w:t>（8）样品压力：2至40℃最大 6 bar (87 psi)；40℃至60℃最大 3 bar (43.5 psi)；</w:t>
      </w:r>
    </w:p>
    <w:bookmarkEnd w:id="96"/>
    <w:p>
      <w:pPr>
        <w:keepNext w:val="0"/>
        <w:keepLines w:val="0"/>
        <w:pageBreakBefore w:val="0"/>
        <w:tabs>
          <w:tab w:val="left" w:pos="81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（9）*认证：符合 CE 标准；US FDA 检索号：1420493依据激光公告第 50 条，本产品符合IEC/EN 60825-1 和 21 CFR 1040.10；</w:t>
      </w:r>
    </w:p>
    <w:p>
      <w:pPr>
        <w:keepNext w:val="0"/>
        <w:keepLines w:val="0"/>
        <w:pageBreakBefore w:val="0"/>
        <w:tabs>
          <w:tab w:val="left" w:pos="90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（10）安装方式：壁挂式；</w:t>
      </w:r>
    </w:p>
    <w:p>
      <w:pPr>
        <w:keepNext w:val="0"/>
        <w:keepLines w:val="0"/>
        <w:pageBreakBefore w:val="0"/>
        <w:tabs>
          <w:tab w:val="left" w:pos="900"/>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（11）*功能：具有自诊断功能和自清洗功能；</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控制器技术参数：</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（1）*显示：图形数据点阵LCD，带LED背景灯照明，半透明反射式；在任意光线下可读；</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（2）显示屏分辨率：160×240像素；</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（3）显示屏尺寸：48×68mm；</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（4）安全等级：两个密码保护；</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（5）*探头输入：单通道或双通道；</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（6）*输出：两路模拟的0/4-20mA输出信号，带独立的PID控制功能；</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（7）继电器：四个SPDT （C型）触头，1200W，5 A，250Vac；</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（8）*数据存储：有2个数据记录仪，每个为128Kb。记录数据以XML的格式被下载到SD（4G）卡上；</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（9）外壳防护等级：NEMA4X/IP66；</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（10）*电源：100~240VAC±10%，50/60Hz；24Vdc -15%， + 20%；</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（11）通讯协议：可选MODBUS RS232/RS485、Profibus DPV1、Hart协议；</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（12）电子认证：EMC：CE认证，电磁和辐射排放符合EN50081-2，抗干扰符合EN 61000-6-2；</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（13）安装方式：壁挂/面板/夹管式安装；</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（14）外壳材质：聚碳酸酯，铝质（镀粉末）；</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（15）控制器尺寸：144×144×181mm；</w:t>
      </w:r>
    </w:p>
    <w:p>
      <w:pPr>
        <w:keepNext w:val="0"/>
        <w:keepLines w:val="0"/>
        <w:pageBreakBefore w:val="0"/>
        <w:tabs>
          <w:tab w:val="left" w:pos="851"/>
        </w:tabs>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（16）控制器重量：1.70kg。</w:t>
      </w:r>
    </w:p>
    <w:p>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Chars="200" w:right="0" w:rightChars="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eastAsia="zh-CN" w:bidi="ar-SA"/>
        </w:rPr>
        <w:t>（二）</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1.计量性能及技术指标必须符合JJG880-2006浊度计检定规程。</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4.该测量设备由省级以上法定技术机构检测，出具证书，费用由供方承担。</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Chars="200" w:right="0" w:rightChars="0"/>
        <w:jc w:val="both"/>
        <w:textAlignment w:val="auto"/>
        <w:outlineLvl w:val="9"/>
        <w:rPr>
          <w:rFonts w:hint="eastAsia" w:ascii="宋体" w:hAnsi="宋体" w:eastAsia="宋体" w:cs="宋体"/>
          <w:b/>
          <w:color w:val="auto"/>
          <w:kern w:val="2"/>
          <w:sz w:val="21"/>
          <w:szCs w:val="21"/>
          <w:highlight w:val="none"/>
          <w:lang w:val="en-US" w:bidi="ar-SA"/>
        </w:rPr>
      </w:pPr>
      <w:r>
        <w:rPr>
          <w:rFonts w:hint="eastAsia" w:cs="宋体"/>
          <w:b/>
          <w:color w:val="auto"/>
          <w:kern w:val="2"/>
          <w:sz w:val="21"/>
          <w:szCs w:val="21"/>
          <w:highlight w:val="none"/>
          <w:lang w:val="en-US" w:eastAsia="zh-CN" w:bidi="ar-SA"/>
        </w:rPr>
        <w:t>（三）</w:t>
      </w:r>
      <w:r>
        <w:rPr>
          <w:rFonts w:hint="eastAsia" w:ascii="宋体" w:hAnsi="宋体" w:eastAsia="宋体" w:cs="宋体"/>
          <w:b/>
          <w:color w:val="auto"/>
          <w:kern w:val="2"/>
          <w:sz w:val="21"/>
          <w:szCs w:val="21"/>
          <w:highlight w:val="none"/>
          <w:lang w:val="en-US" w:bidi="ar-SA"/>
        </w:rPr>
        <w:t>、配套设备及附件</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1、TU5300在线激光浊度仪，EPA版本，一套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2、SC200通用控制器，单通道，一套</w:t>
      </w:r>
    </w:p>
    <w:p>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Chars="200" w:right="0" w:rightChars="0"/>
        <w:jc w:val="both"/>
        <w:textAlignment w:val="auto"/>
        <w:outlineLvl w:val="9"/>
        <w:rPr>
          <w:rFonts w:hint="eastAsia" w:ascii="宋体" w:hAnsi="宋体" w:eastAsia="宋体" w:cs="宋体"/>
          <w:b/>
          <w:color w:val="auto"/>
          <w:kern w:val="2"/>
          <w:sz w:val="21"/>
          <w:szCs w:val="21"/>
          <w:highlight w:val="none"/>
          <w:lang w:val="en-US" w:bidi="ar-SA"/>
        </w:rPr>
      </w:pPr>
      <w:r>
        <w:rPr>
          <w:rFonts w:hint="eastAsia" w:cs="宋体"/>
          <w:b/>
          <w:color w:val="auto"/>
          <w:kern w:val="2"/>
          <w:sz w:val="21"/>
          <w:szCs w:val="21"/>
          <w:highlight w:val="none"/>
          <w:lang w:val="en-US" w:eastAsia="zh-CN" w:bidi="ar-SA"/>
        </w:rPr>
        <w:t>（四）</w:t>
      </w:r>
      <w:r>
        <w:rPr>
          <w:rFonts w:hint="eastAsia" w:ascii="宋体" w:hAnsi="宋体" w:eastAsia="宋体" w:cs="宋体"/>
          <w:b/>
          <w:color w:val="auto"/>
          <w:kern w:val="2"/>
          <w:sz w:val="21"/>
          <w:szCs w:val="21"/>
          <w:highlight w:val="none"/>
          <w:lang w:val="en-US" w:bidi="ar-SA"/>
        </w:rPr>
        <w:t>、技术资料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1、设备配套说明书一套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2、CE证书一套</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w:t>
      </w:r>
      <w:r>
        <w:rPr>
          <w:rFonts w:hint="eastAsia" w:cs="宋体"/>
          <w:b/>
          <w:color w:val="auto"/>
          <w:kern w:val="2"/>
          <w:sz w:val="21"/>
          <w:szCs w:val="21"/>
          <w:highlight w:val="none"/>
          <w:lang w:val="en-US" w:eastAsia="zh-CN" w:bidi="ar-SA"/>
        </w:rPr>
        <w:t>五</w:t>
      </w:r>
      <w:r>
        <w:rPr>
          <w:rFonts w:hint="eastAsia" w:ascii="宋体" w:hAnsi="宋体" w:eastAsia="宋体" w:cs="宋体"/>
          <w:b/>
          <w:color w:val="auto"/>
          <w:kern w:val="2"/>
          <w:sz w:val="21"/>
          <w:szCs w:val="21"/>
          <w:highlight w:val="none"/>
          <w:lang w:val="en-US" w:bidi="ar-SA"/>
        </w:rPr>
        <w:t>）、质量保证及售后服务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7、质保期：验收合格后1年。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3、仪器现场安装、调试后，供方通知需方共同组织对仪器进行性能验收，验收依据为双方认可的第三方计量部门(西北中心)出具的检定或校准证书报告或根据双方协商的验收测试方法进行测试验收。</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1、交货时间：90 日历天内</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Chars="200" w:right="0" w:rightChars="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cs="宋体"/>
          <w:b/>
          <w:color w:val="auto"/>
          <w:kern w:val="2"/>
          <w:sz w:val="21"/>
          <w:szCs w:val="21"/>
          <w:highlight w:val="none"/>
          <w:lang w:val="en-US" w:eastAsia="zh-CN" w:bidi="ar-SA"/>
        </w:rPr>
        <w:t>十九、</w:t>
      </w:r>
      <w:r>
        <w:rPr>
          <w:rFonts w:hint="eastAsia" w:ascii="宋体" w:hAnsi="宋体" w:eastAsia="宋体" w:cs="宋体"/>
          <w:b/>
          <w:color w:val="auto"/>
          <w:kern w:val="2"/>
          <w:sz w:val="21"/>
          <w:szCs w:val="21"/>
          <w:highlight w:val="none"/>
          <w:lang w:val="en-US" w:bidi="ar-SA"/>
        </w:rPr>
        <w:t>测量设备名称：</w:t>
      </w:r>
      <w:r>
        <w:rPr>
          <w:rFonts w:hint="eastAsia" w:ascii="宋体" w:hAnsi="宋体" w:eastAsia="宋体" w:cs="宋体"/>
          <w:b/>
          <w:bCs/>
          <w:color w:val="auto"/>
          <w:kern w:val="2"/>
          <w:sz w:val="21"/>
          <w:szCs w:val="21"/>
          <w:highlight w:val="none"/>
          <w:lang w:val="en-US" w:bidi="ar-SA"/>
        </w:rPr>
        <w:t>复合式气体检测报警器   1台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1</w:t>
      </w:r>
      <w:r>
        <w:rPr>
          <w:rFonts w:hint="eastAsia" w:ascii="宋体" w:hAnsi="宋体" w:eastAsia="宋体" w:cs="宋体"/>
          <w:color w:val="auto"/>
          <w:kern w:val="2"/>
          <w:sz w:val="21"/>
          <w:szCs w:val="21"/>
          <w:highlight w:val="none"/>
          <w:lang w:val="en-US" w:eastAsia="zh-CN" w:bidi="ar-SA"/>
        </w:rPr>
        <w:t>检测气体：一氧化碳、硫化氢、氧气、可燃气体（甲烷）；</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2</w:t>
      </w:r>
      <w:r>
        <w:rPr>
          <w:rFonts w:hint="eastAsia" w:ascii="宋体" w:hAnsi="宋体" w:eastAsia="宋体" w:cs="宋体"/>
          <w:color w:val="auto"/>
          <w:kern w:val="2"/>
          <w:sz w:val="21"/>
          <w:szCs w:val="21"/>
          <w:highlight w:val="none"/>
          <w:lang w:val="en-US" w:eastAsia="zh-CN" w:bidi="ar-SA"/>
        </w:rPr>
        <w:t>量程：一氧化碳（不小于300μmol/mol）、硫化氢（不小于100μmol/mol）、氧气（不小于25%mol/mol）、可燃气体（100%LEL）；</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1.3液晶显示，蜂鸣器报警、指示灯报警、振动报警、便携式；</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1.4分辨力：一氧化碳（不低于1μmol/mol）、硫化氢（0.1μmol/mol）、氧气（0.1%mol/mol）、可燃气体（0.1%LEL）</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1.5示值误差：</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bidi="ar-SA"/>
        </w:rPr>
        <w:t>%FS</w:t>
      </w:r>
      <w:r>
        <w:rPr>
          <w:rFonts w:hint="eastAsia" w:ascii="宋体" w:hAnsi="宋体" w:eastAsia="宋体" w:cs="宋体"/>
          <w:color w:val="auto"/>
          <w:kern w:val="2"/>
          <w:sz w:val="21"/>
          <w:szCs w:val="21"/>
          <w:highlight w:val="none"/>
          <w:lang w:val="en-US" w:eastAsia="zh-CN" w:bidi="ar-SA"/>
        </w:rPr>
        <w:t>（可燃）；</w:t>
      </w:r>
      <w:r>
        <w:rPr>
          <w:rFonts w:hint="eastAsia" w:ascii="宋体" w:hAnsi="宋体" w:eastAsia="宋体" w:cs="宋体"/>
          <w:color w:val="auto"/>
          <w:kern w:val="2"/>
          <w:sz w:val="21"/>
          <w:szCs w:val="21"/>
          <w:highlight w:val="none"/>
          <w:lang w:val="en-US" w:bidi="ar-SA"/>
        </w:rPr>
        <w:t>±2%FS</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氧气</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一氧化碳</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硫化氢</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1.6检测原理：电化学（有毒）、催化燃烧（可燃）</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1.7防爆等级：ExibCT4Gb</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1.8 重复性：不大于1%；</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1.9仪器具有菜单调试功能，可以标定零点、量程和更改报警浓度值。</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2.0采样方式：泵吸或扩散式，优先选用泵吸式。</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w:t>
      </w:r>
      <w:r>
        <w:rPr>
          <w:rFonts w:hint="eastAsia" w:ascii="宋体" w:hAnsi="宋体" w:eastAsia="宋体" w:cs="宋体"/>
          <w:color w:val="auto"/>
          <w:kern w:val="2"/>
          <w:sz w:val="21"/>
          <w:szCs w:val="21"/>
          <w:highlight w:val="none"/>
          <w:lang w:val="en-US" w:eastAsia="zh-CN" w:bidi="ar-SA"/>
        </w:rPr>
        <w:t>国家计量检定规程</w:t>
      </w:r>
      <w:r>
        <w:rPr>
          <w:rFonts w:hint="eastAsia" w:ascii="宋体" w:hAnsi="宋体" w:eastAsia="宋体" w:cs="宋体"/>
          <w:color w:val="auto"/>
          <w:kern w:val="2"/>
          <w:sz w:val="21"/>
          <w:szCs w:val="21"/>
          <w:highlight w:val="none"/>
          <w:lang w:val="en-US" w:bidi="ar-SA"/>
        </w:rPr>
        <w:t>JJ</w:t>
      </w:r>
      <w:r>
        <w:rPr>
          <w:rFonts w:hint="eastAsia" w:ascii="宋体" w:hAnsi="宋体" w:eastAsia="宋体" w:cs="宋体"/>
          <w:color w:val="auto"/>
          <w:kern w:val="2"/>
          <w:sz w:val="21"/>
          <w:szCs w:val="21"/>
          <w:highlight w:val="none"/>
          <w:lang w:val="en-US" w:eastAsia="zh-CN" w:bidi="ar-SA"/>
        </w:rPr>
        <w:t>G</w:t>
      </w:r>
      <w:r>
        <w:rPr>
          <w:rFonts w:hint="eastAsia" w:ascii="宋体" w:hAnsi="宋体" w:eastAsia="宋体" w:cs="宋体"/>
          <w:color w:val="auto"/>
          <w:kern w:val="2"/>
          <w:sz w:val="21"/>
          <w:szCs w:val="21"/>
          <w:highlight w:val="none"/>
          <w:lang w:val="en-US" w:bidi="ar-SA"/>
        </w:rPr>
        <w:t>69</w:t>
      </w: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bidi="ar-SA"/>
        </w:rPr>
        <w:t>-201</w:t>
      </w:r>
      <w:r>
        <w:rPr>
          <w:rFonts w:hint="eastAsia" w:ascii="宋体" w:hAnsi="宋体" w:eastAsia="宋体" w:cs="宋体"/>
          <w:color w:val="auto"/>
          <w:kern w:val="2"/>
          <w:sz w:val="21"/>
          <w:szCs w:val="21"/>
          <w:highlight w:val="none"/>
          <w:lang w:val="en-US" w:eastAsia="zh-CN" w:bidi="ar-SA"/>
        </w:rPr>
        <w:t>1、JJG365-2008、JJG695-2019、JJG915-2008的要求</w:t>
      </w:r>
      <w:r>
        <w:rPr>
          <w:rFonts w:hint="eastAsia" w:ascii="宋体" w:hAnsi="宋体" w:eastAsia="宋体" w:cs="宋体"/>
          <w:color w:val="auto"/>
          <w:kern w:val="2"/>
          <w:sz w:val="21"/>
          <w:szCs w:val="21"/>
          <w:highlight w:val="none"/>
          <w:lang w:val="en-US" w:bidi="ar-SA"/>
        </w:rPr>
        <w:t>。</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3、该测量设备由</w:t>
      </w:r>
      <w:r>
        <w:rPr>
          <w:rFonts w:hint="eastAsia" w:ascii="宋体" w:hAnsi="宋体" w:eastAsia="宋体" w:cs="宋体"/>
          <w:color w:val="auto"/>
          <w:kern w:val="2"/>
          <w:sz w:val="21"/>
          <w:szCs w:val="21"/>
          <w:highlight w:val="none"/>
          <w:lang w:val="en-US" w:eastAsia="zh-CN" w:bidi="ar-SA"/>
        </w:rPr>
        <w:t>新疆计量院</w:t>
      </w:r>
      <w:r>
        <w:rPr>
          <w:rFonts w:hint="eastAsia" w:ascii="宋体" w:hAnsi="宋体" w:eastAsia="宋体" w:cs="宋体"/>
          <w:color w:val="auto"/>
          <w:kern w:val="2"/>
          <w:sz w:val="21"/>
          <w:szCs w:val="21"/>
          <w:highlight w:val="none"/>
          <w:lang w:val="en-US" w:bidi="ar-SA"/>
        </w:rPr>
        <w:t>检定，出具计量检定证书，费用由供方承担。</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复合式</w:t>
            </w:r>
            <w:r>
              <w:rPr>
                <w:rFonts w:hint="eastAsia" w:ascii="宋体" w:hAnsi="宋体" w:eastAsia="宋体" w:cs="宋体"/>
                <w:color w:val="auto"/>
                <w:kern w:val="2"/>
                <w:sz w:val="21"/>
                <w:szCs w:val="21"/>
                <w:highlight w:val="none"/>
                <w:lang w:val="en-US" w:eastAsia="zh-CN" w:bidi="ar-SA"/>
              </w:rPr>
              <w:t>便携</w:t>
            </w:r>
            <w:r>
              <w:rPr>
                <w:rFonts w:hint="eastAsia" w:ascii="宋体" w:hAnsi="宋体" w:eastAsia="宋体" w:cs="宋体"/>
                <w:color w:val="auto"/>
                <w:kern w:val="2"/>
                <w:sz w:val="21"/>
                <w:szCs w:val="21"/>
                <w:highlight w:val="none"/>
                <w:lang w:val="en-US" w:bidi="ar-SA"/>
              </w:rPr>
              <w:t xml:space="preserve">气体检测报警器 </w:t>
            </w:r>
          </w:p>
        </w:tc>
        <w:tc>
          <w:tcPr>
            <w:tcW w:w="876" w:type="dxa"/>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使用说明书、出厂合格证</w:t>
            </w:r>
            <w:r>
              <w:rPr>
                <w:rFonts w:hint="eastAsia" w:ascii="宋体" w:hAnsi="宋体" w:eastAsia="宋体" w:cs="宋体"/>
                <w:color w:val="auto"/>
                <w:kern w:val="2"/>
                <w:sz w:val="21"/>
                <w:szCs w:val="21"/>
                <w:highlight w:val="none"/>
                <w:lang w:val="en-US" w:eastAsia="zh-CN" w:bidi="ar-SA"/>
              </w:rPr>
              <w:t>、附件</w:t>
            </w:r>
          </w:p>
        </w:tc>
        <w:tc>
          <w:tcPr>
            <w:tcW w:w="876" w:type="dxa"/>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2、维修手册一份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24</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24</w:t>
      </w:r>
      <w:r>
        <w:rPr>
          <w:rFonts w:hint="eastAsia" w:ascii="宋体" w:hAnsi="宋体" w:eastAsia="宋体" w:cs="宋体"/>
          <w:color w:val="auto"/>
          <w:kern w:val="2"/>
          <w:sz w:val="21"/>
          <w:szCs w:val="21"/>
          <w:highlight w:val="none"/>
          <w:lang w:val="en-US" w:bidi="ar-SA"/>
        </w:rPr>
        <w:t>小时提供解决方案。</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color w:val="auto"/>
          <w:kern w:val="2"/>
          <w:sz w:val="21"/>
          <w:szCs w:val="21"/>
          <w:highlight w:val="none"/>
          <w:u w:val="single"/>
          <w:lang w:val="en-US" w:eastAsia="zh-CN" w:bidi="ar-SA"/>
        </w:rPr>
        <w:t>6</w:t>
      </w:r>
      <w:r>
        <w:rPr>
          <w:rFonts w:hint="eastAsia" w:ascii="宋体" w:hAnsi="宋体" w:eastAsia="宋体" w:cs="宋体"/>
          <w:b/>
          <w:color w:val="auto"/>
          <w:kern w:val="2"/>
          <w:sz w:val="21"/>
          <w:szCs w:val="21"/>
          <w:highlight w:val="none"/>
          <w:u w:val="single"/>
          <w:lang w:val="en-US" w:bidi="ar-SA"/>
        </w:rPr>
        <w:t xml:space="preserve">0 </w:t>
      </w:r>
      <w:r>
        <w:rPr>
          <w:rFonts w:hint="eastAsia" w:ascii="宋体" w:hAnsi="宋体" w:eastAsia="宋体" w:cs="宋体"/>
          <w:color w:val="auto"/>
          <w:kern w:val="2"/>
          <w:sz w:val="21"/>
          <w:szCs w:val="21"/>
          <w:highlight w:val="none"/>
          <w:lang w:val="en-US" w:bidi="ar-SA"/>
        </w:rPr>
        <w:t>日历天内</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二十、</w:t>
      </w:r>
      <w:r>
        <w:rPr>
          <w:rFonts w:hint="eastAsia" w:ascii="宋体" w:hAnsi="宋体" w:eastAsia="宋体" w:cs="宋体"/>
          <w:b/>
          <w:color w:val="auto"/>
          <w:kern w:val="2"/>
          <w:sz w:val="21"/>
          <w:szCs w:val="21"/>
          <w:highlight w:val="none"/>
          <w:lang w:val="en-US" w:bidi="ar-SA"/>
        </w:rPr>
        <w:t>测量设备名称：全自动无创血压检定仪</w:t>
      </w:r>
      <w:r>
        <w:rPr>
          <w:rFonts w:hint="eastAsia" w:ascii="宋体" w:hAnsi="宋体" w:eastAsia="宋体" w:cs="宋体"/>
          <w:b/>
          <w:color w:val="auto"/>
          <w:kern w:val="2"/>
          <w:sz w:val="21"/>
          <w:szCs w:val="21"/>
          <w:highlight w:val="none"/>
          <w:lang w:val="en-US" w:eastAsia="zh-CN" w:bidi="ar-SA"/>
        </w:rPr>
        <w:t xml:space="preserve"> 1台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widowControl w:val="0"/>
        <w:numPr>
          <w:ilvl w:val="0"/>
          <w:numId w:val="0"/>
        </w:numPr>
        <w:kinsoku/>
        <w:wordWrap/>
        <w:overflowPunct/>
        <w:topLinePunct w:val="0"/>
        <w:bidi w:val="0"/>
        <w:adjustRightInd/>
        <w:snapToGrid/>
        <w:spacing w:line="360" w:lineRule="auto"/>
        <w:ind w:leftChars="0" w:right="0" w:rightChars="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1.1 静态参数压力</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范围：</w:t>
      </w:r>
      <w:r>
        <w:rPr>
          <w:rFonts w:hint="eastAsia" w:ascii="宋体" w:hAnsi="宋体" w:eastAsia="宋体" w:cs="宋体"/>
          <w:color w:val="auto"/>
          <w:kern w:val="2"/>
          <w:sz w:val="21"/>
          <w:szCs w:val="21"/>
          <w:highlight w:val="none"/>
          <w:lang w:val="en-US" w:eastAsia="zh-CN" w:bidi="ar-SA"/>
        </w:rPr>
        <w:t>≥40</w:t>
      </w:r>
      <w:r>
        <w:rPr>
          <w:rFonts w:hint="eastAsia" w:ascii="宋体" w:hAnsi="宋体" w:eastAsia="宋体" w:cs="宋体"/>
          <w:color w:val="auto"/>
          <w:kern w:val="2"/>
          <w:sz w:val="21"/>
          <w:szCs w:val="21"/>
          <w:highlight w:val="none"/>
          <w:lang w:val="en-US" w:bidi="ar-SA"/>
        </w:rPr>
        <w:t>kPa</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最大允许误差</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±0.1kPa</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静态压力分辨率：0.001kPa</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内部泄漏率：≤0.20kPa/min</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压力计静态压力对比:(0-40) kPa阶梯设置压力值，静态压力动态调整，可以阶梯升压或降压。</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单位：kPa、mmHg</w:t>
      </w:r>
    </w:p>
    <w:p>
      <w:pPr>
        <w:keepNext w:val="0"/>
        <w:keepLines w:val="0"/>
        <w:pageBreakBefore w:val="0"/>
        <w:widowControl w:val="0"/>
        <w:numPr>
          <w:ilvl w:val="0"/>
          <w:numId w:val="0"/>
        </w:numPr>
        <w:kinsoku/>
        <w:wordWrap/>
        <w:overflowPunct/>
        <w:topLinePunct w:val="0"/>
        <w:bidi w:val="0"/>
        <w:adjustRightInd/>
        <w:snapToGrid/>
        <w:spacing w:line="360" w:lineRule="auto"/>
        <w:ind w:leftChars="0" w:right="0" w:rightChars="0" w:firstLine="422"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1.2 动态血压模拟</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脉搏模拟</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30bpm-240bpm：</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可以模拟多种状态心率数值:</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健康(60bpm-100bpm) </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弱脉(心率正常，脉动量弱)</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轻度锻炼(心率80-120bpm)</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剧烈运动(120bpm-160bpm)</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肥胖(脉搏宽度大，心率正常)</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老人(脉搏宽度大，脉动弱)</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心动过速(150bpm-240bpm)     </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心动过缓(30bpm-60bpm) 等脉搏值     </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脉动量模拟参数: 0.1CC-1.4CC:心率准确度≤1bpm: 内置缓冲袖带</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动态血压数值模拟 单位：mmHg</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160/30(40)、80/50(60)、100/65(76)、120/80(93)、150/100(116)、200/150(166)、 255/195(215)。</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以上脉搏可以在范围内随意设置，脉动量(容积量)可以在范围内随意设置:支持肥胖，老人、新生儿、成人模式:血压示值重复性:</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0.27kPa</w:t>
      </w:r>
      <w:r>
        <w:rPr>
          <w:rFonts w:hint="eastAsia" w:ascii="宋体" w:hAnsi="宋体" w:eastAsia="宋体" w:cs="宋体"/>
          <w:color w:val="auto"/>
          <w:kern w:val="2"/>
          <w:sz w:val="21"/>
          <w:szCs w:val="21"/>
          <w:highlight w:val="none"/>
          <w:lang w:val="en-US" w:eastAsia="zh-CN" w:bidi="ar-SA"/>
        </w:rPr>
        <w:t>（2mmHg）。</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1、计量性能及技术招标必须符合JJF</w:t>
      </w:r>
      <w:r>
        <w:rPr>
          <w:rFonts w:hint="eastAsia" w:ascii="宋体" w:hAnsi="宋体" w:eastAsia="宋体" w:cs="宋体"/>
          <w:color w:val="auto"/>
          <w:kern w:val="2"/>
          <w:sz w:val="21"/>
          <w:szCs w:val="21"/>
          <w:highlight w:val="none"/>
          <w:lang w:val="en-US" w:eastAsia="zh-CN" w:bidi="ar-SA"/>
        </w:rPr>
        <w:t>692</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2010</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无创自动测量血压计</w:t>
      </w:r>
      <w:r>
        <w:rPr>
          <w:rFonts w:hint="eastAsia" w:ascii="宋体" w:hAnsi="宋体" w:eastAsia="宋体" w:cs="宋体"/>
          <w:color w:val="auto"/>
          <w:kern w:val="2"/>
          <w:sz w:val="21"/>
          <w:szCs w:val="21"/>
          <w:highlight w:val="none"/>
          <w:lang w:val="en-US" w:bidi="ar-SA"/>
        </w:rPr>
        <w:t>检定规程》。</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bidi="ar-SA"/>
        </w:rPr>
        <w:t>、该测量设备由西北中心检定，出具计量检定证书，费用由供方承担。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硬质金属容器，容积：500ml/100ml，MPE：±5%</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使用说明书、出厂合格证</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2、维修手册一份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u w:val="single"/>
          <w:lang w:val="en-US" w:eastAsia="zh-CN" w:bidi="ar-SA"/>
        </w:rPr>
        <w:t>24</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eastAsia="zh-CN" w:bidi="ar-SA"/>
        </w:rPr>
        <w:t>24</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w:t>
      </w:r>
      <w:r>
        <w:rPr>
          <w:rFonts w:hint="eastAsia" w:ascii="宋体" w:hAnsi="宋体" w:eastAsia="宋体" w:cs="宋体"/>
          <w:color w:val="auto"/>
          <w:kern w:val="2"/>
          <w:sz w:val="21"/>
          <w:szCs w:val="21"/>
          <w:highlight w:val="none"/>
          <w:lang w:val="en-US" w:eastAsia="zh-CN" w:bidi="ar-SA"/>
        </w:rPr>
        <w:t>提供解决方案</w:t>
      </w:r>
      <w:r>
        <w:rPr>
          <w:rFonts w:hint="eastAsia" w:ascii="宋体" w:hAnsi="宋体" w:eastAsia="宋体" w:cs="宋体"/>
          <w:color w:val="auto"/>
          <w:kern w:val="2"/>
          <w:sz w:val="21"/>
          <w:szCs w:val="21"/>
          <w:highlight w:val="none"/>
          <w:lang w:val="en-US" w:bidi="ar-SA"/>
        </w:rPr>
        <w:t>。</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3、仪器现场安装、调试后，供方通知需方共同组织对仪器进行性能验收，验收依据为双方认可的第三方计量部门(西北中心)出具的检定或校准证书报告或根据双方协商的验收测试方法进行测试验收。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二十一、</w:t>
      </w:r>
      <w:r>
        <w:rPr>
          <w:rFonts w:hint="eastAsia" w:ascii="宋体" w:hAnsi="宋体" w:eastAsia="宋体" w:cs="宋体"/>
          <w:b/>
          <w:color w:val="auto"/>
          <w:kern w:val="2"/>
          <w:sz w:val="21"/>
          <w:szCs w:val="21"/>
          <w:highlight w:val="none"/>
          <w:lang w:val="en-US" w:bidi="ar-SA"/>
        </w:rPr>
        <w:t>测量设备名称：材料烧结用高温炉  1套</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leftChars="200" w:right="0" w:rightChars="0"/>
        <w:jc w:val="both"/>
        <w:textAlignment w:val="auto"/>
        <w:outlineLvl w:val="9"/>
        <w:rPr>
          <w:rFonts w:hint="eastAsia" w:ascii="宋体" w:hAnsi="宋体" w:eastAsia="宋体" w:cs="宋体"/>
          <w:b/>
          <w:color w:val="auto"/>
          <w:kern w:val="2"/>
          <w:sz w:val="21"/>
          <w:szCs w:val="21"/>
          <w:highlight w:val="none"/>
          <w:lang w:val="en-US" w:bidi="ar-SA"/>
        </w:rPr>
      </w:pPr>
      <w:r>
        <w:rPr>
          <w:rFonts w:hint="eastAsia" w:cs="宋体"/>
          <w:color w:val="auto"/>
          <w:kern w:val="2"/>
          <w:sz w:val="21"/>
          <w:szCs w:val="21"/>
          <w:highlight w:val="none"/>
          <w:lang w:val="en-US" w:eastAsia="zh-CN" w:bidi="ar-SA"/>
        </w:rPr>
        <w:t>（一）</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1、温度范围：室温 ～ 1700℃，炉膛内中去心（长） 150×（宽）150×（深）300mm ，区域温度温差在±10ºC 以内；</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2、炉温稳定度：±4.0℃；</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3、炉温均匀度：±8.0℃；</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4、加热恒温工作室尺寸：不小于300mm*300mm*300mm；</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5、控温曲线：不少于30段程序仪表自动控制，可任意输入一条或多条温度曲线，升温区，保温区，降温区根据工件需要自动设置；</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6、电气部分：程序仪表自动控制，可任意输入一条或多条温度曲线，升温区，保温区，降温区根据工件需要自动设置。</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1、计量性能及技术招标必须符合JJF 1376-2012《箱式电阻炉校准规范》。</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2、如果测量设备所使用的软件，甲方享受免费升级，如发现软件开发商在软件中设置影响软件使用的限制，乙方承担一切责任和损失。同时甲方有权追究法律责任。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3、软件需能保证检测数据的安全，可以按照甲方要求导出数据，软件具有检测数据自动备份、电脑输出、手动清理的功能。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4、该测量设备由新疆计量测试研究院自行校准，出具计量校准证书。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箱式电阻炉</w:t>
            </w:r>
          </w:p>
        </w:tc>
        <w:tc>
          <w:tcPr>
            <w:tcW w:w="876"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备件加热棒</w:t>
            </w:r>
          </w:p>
        </w:tc>
        <w:tc>
          <w:tcPr>
            <w:tcW w:w="876"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热电偶 B型</w:t>
            </w:r>
          </w:p>
        </w:tc>
        <w:tc>
          <w:tcPr>
            <w:tcW w:w="876"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感温手套/坩埚钳/内六方</w:t>
            </w:r>
          </w:p>
        </w:tc>
        <w:tc>
          <w:tcPr>
            <w:tcW w:w="876"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5841"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说明书</w:t>
            </w:r>
          </w:p>
        </w:tc>
        <w:tc>
          <w:tcPr>
            <w:tcW w:w="876"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5841"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保修证书</w:t>
            </w:r>
          </w:p>
        </w:tc>
        <w:tc>
          <w:tcPr>
            <w:tcW w:w="876"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r>
        <w:rPr>
          <w:rFonts w:hint="eastAsia" w:ascii="宋体" w:hAnsi="宋体" w:eastAsia="宋体" w:cs="宋体"/>
          <w:b/>
          <w:color w:val="auto"/>
          <w:kern w:val="2"/>
          <w:sz w:val="21"/>
          <w:szCs w:val="21"/>
          <w:highlight w:val="none"/>
          <w:lang w:val="en-US" w:bidi="ar-SA"/>
        </w:rPr>
        <w:t>说明书</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r>
        <w:rPr>
          <w:rFonts w:hint="eastAsia" w:ascii="宋体" w:hAnsi="宋体" w:eastAsia="宋体" w:cs="宋体"/>
          <w:b/>
          <w:color w:val="auto"/>
          <w:kern w:val="2"/>
          <w:sz w:val="21"/>
          <w:szCs w:val="21"/>
          <w:highlight w:val="none"/>
          <w:lang w:val="en-US" w:bidi="ar-SA"/>
        </w:rPr>
        <w:t>保修证书</w:t>
      </w:r>
    </w:p>
    <w:p>
      <w:pPr>
        <w:keepNext w:val="0"/>
        <w:keepLines w:val="0"/>
        <w:pageBreakBefore w:val="0"/>
        <w:numPr>
          <w:ilvl w:val="0"/>
          <w:numId w:val="0"/>
        </w:numPr>
        <w:kinsoku/>
        <w:wordWrap/>
        <w:overflowPunct/>
        <w:topLinePunct w:val="0"/>
        <w:autoSpaceDE/>
        <w:autoSpaceDN/>
        <w:bidi w:val="0"/>
        <w:adjustRightInd/>
        <w:snapToGrid/>
        <w:spacing w:before="0" w:after="0" w:line="360" w:lineRule="auto"/>
        <w:ind w:right="0" w:rightChars="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cs="宋体"/>
          <w:b/>
          <w:color w:val="auto"/>
          <w:kern w:val="2"/>
          <w:sz w:val="21"/>
          <w:szCs w:val="21"/>
          <w:highlight w:val="none"/>
          <w:lang w:val="en-US" w:eastAsia="zh-CN" w:bidi="ar-SA"/>
        </w:rPr>
        <w:t>3、</w:t>
      </w:r>
      <w:r>
        <w:rPr>
          <w:rFonts w:hint="eastAsia" w:ascii="宋体" w:hAnsi="宋体" w:eastAsia="宋体" w:cs="宋体"/>
          <w:b/>
          <w:color w:val="auto"/>
          <w:kern w:val="2"/>
          <w:sz w:val="21"/>
          <w:szCs w:val="21"/>
          <w:highlight w:val="none"/>
          <w:lang w:val="en-US" w:bidi="ar-SA"/>
        </w:rPr>
        <w:t>装箱单</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7、质保期：验收合格后1年。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3、仪器现场安装、调试后，供方通知需方共同组织对仪器进行性能验收，验收依据为双方认可的第三方计量部门或新疆计量院出具的检定或校准证书报告或根据双方协商的验收测试方法进行测试验收。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4、仪器安装调试完成后，经验收确认合格后，由供方和需方共同在验收报告上签字，仪器的安装调试工作方可完成。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单位：第三方或新疆计量测试研究院出具的测试证书。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日历天内</w:t>
      </w:r>
    </w:p>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both"/>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二十二、</w:t>
      </w:r>
      <w:r>
        <w:rPr>
          <w:rFonts w:hint="eastAsia" w:ascii="宋体" w:hAnsi="宋体" w:eastAsia="宋体" w:cs="宋体"/>
          <w:b/>
          <w:color w:val="auto"/>
          <w:kern w:val="2"/>
          <w:sz w:val="21"/>
          <w:szCs w:val="21"/>
          <w:highlight w:val="none"/>
          <w:lang w:val="en-US" w:bidi="ar-SA"/>
        </w:rPr>
        <w:t>测量设备名称：三相电能表现场校验仪</w:t>
      </w:r>
      <w:r>
        <w:rPr>
          <w:rFonts w:hint="eastAsia" w:ascii="宋体" w:hAnsi="宋体" w:eastAsia="宋体" w:cs="宋体"/>
          <w:b/>
          <w:color w:val="auto"/>
          <w:kern w:val="2"/>
          <w:sz w:val="21"/>
          <w:szCs w:val="21"/>
          <w:highlight w:val="none"/>
          <w:lang w:val="en-US" w:eastAsia="zh-CN" w:bidi="ar-SA"/>
        </w:rPr>
        <w:t xml:space="preserve">    3台</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其中：</w:t>
      </w:r>
      <w:r>
        <w:rPr>
          <w:rFonts w:hint="eastAsia" w:ascii="宋体" w:hAnsi="宋体" w:eastAsia="宋体" w:cs="宋体"/>
          <w:b/>
          <w:bCs/>
          <w:color w:val="auto"/>
          <w:kern w:val="2"/>
          <w:sz w:val="21"/>
          <w:szCs w:val="21"/>
          <w:highlight w:val="none"/>
          <w:lang w:val="en-US" w:bidi="ar-SA"/>
        </w:rPr>
        <w:t>三相电能表现场校验仪</w:t>
      </w:r>
      <w:r>
        <w:rPr>
          <w:rFonts w:hint="eastAsia" w:ascii="宋体" w:hAnsi="宋体" w:eastAsia="宋体" w:cs="宋体"/>
          <w:b/>
          <w:bCs/>
          <w:color w:val="auto"/>
          <w:kern w:val="2"/>
          <w:sz w:val="21"/>
          <w:szCs w:val="21"/>
          <w:highlight w:val="none"/>
          <w:lang w:val="en-US" w:eastAsia="zh-CN" w:bidi="ar-SA"/>
        </w:rPr>
        <w:t xml:space="preserve">   2台</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1.1测量范围：</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电压：57.7V、100V、220V、380V</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电流量限：1A、5A</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电流钳表测量：　二次：5A/100A　</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1.2最大允许误差：</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0.02%(直接测量）</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0.2%（5A电流钳）</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0.5%（100A电流钳）</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1.3温度范围：-10℃～45℃。</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1.4相对湿度：≤65%RH。</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1.5仪器分辨率：误差显示5位。</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1.6工作电压：50～380V，有内附电池供电。 </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adjustRightInd w:val="0"/>
        <w:snapToGrid/>
        <w:spacing w:before="0" w:after="0" w:line="360" w:lineRule="auto"/>
        <w:ind w:left="0" w:leftChars="0" w:right="0" w:firstLine="420" w:firstLineChars="200"/>
        <w:jc w:val="both"/>
        <w:textAlignment w:val="baseline"/>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1、计量性能及技术招标必须符合GB/T 17215.211-2021 《交流电测量设备 通用要求、试验和试验条件》。</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4、该测量设备由新疆计量院检定，出具计量检定证书，费用由供方承担。</w:t>
      </w:r>
    </w:p>
    <w:p>
      <w:pPr>
        <w:keepNext w:val="0"/>
        <w:keepLines w:val="0"/>
        <w:pageBreakBefore w:val="0"/>
        <w:kinsoku/>
        <w:wordWrap/>
        <w:overflowPunct/>
        <w:topLinePunct w:val="0"/>
        <w:autoSpaceDE/>
        <w:autoSpaceDN/>
        <w:bidi w:val="0"/>
        <w:snapToGrid/>
        <w:spacing w:before="0" w:after="0" w:line="360" w:lineRule="auto"/>
        <w:ind w:left="0" w:leftChars="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SA"/>
              </w:rPr>
              <w:t>便携式三相电能表现场校验仪</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SA"/>
              </w:rPr>
              <w:t>配5A、100A电流钳</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SA"/>
              </w:rPr>
              <w:t>电压电流测试线</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SA"/>
              </w:rPr>
              <w:t>光电采样器</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包装箱</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测量用脉冲线</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工具（中号螺丝刀）</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w:t>
            </w:r>
          </w:p>
        </w:tc>
        <w:tc>
          <w:tcPr>
            <w:tcW w:w="5841"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使用说明书、出厂合格证</w:t>
            </w:r>
          </w:p>
        </w:tc>
        <w:tc>
          <w:tcPr>
            <w:tcW w:w="876" w:type="dxa"/>
            <w:noWrap w:val="0"/>
            <w:vAlign w:val="center"/>
          </w:tcPr>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2套</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2、维修手册一份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eastAsia="zh-CN" w:bidi="ar-SA"/>
        </w:rPr>
        <w:t>24</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3、仪器现场安装、调试后，供方通知需方共同组织对仪器进行性能验收，验收依据为双方认可的第三方计量部门(西北中心)出具的检定或校准证书报告或根据双方协商的验收测试方法进行测试验收。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单位：第三方或新疆计量测试研究院出具的测试证书。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三相电能表现场校验仪</w:t>
      </w:r>
      <w:r>
        <w:rPr>
          <w:rFonts w:hint="eastAsia" w:ascii="宋体" w:hAnsi="宋体" w:eastAsia="宋体" w:cs="宋体"/>
          <w:b/>
          <w:bCs/>
          <w:color w:val="auto"/>
          <w:kern w:val="2"/>
          <w:sz w:val="21"/>
          <w:szCs w:val="21"/>
          <w:highlight w:val="none"/>
          <w:lang w:val="en-US" w:eastAsia="zh-CN" w:bidi="ar-SA"/>
        </w:rPr>
        <w:t xml:space="preserve">  1台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1.1、</w:t>
      </w:r>
      <w:r>
        <w:rPr>
          <w:rFonts w:hint="eastAsia" w:ascii="宋体" w:hAnsi="宋体" w:eastAsia="宋体" w:cs="宋体"/>
          <w:b w:val="0"/>
          <w:bCs/>
          <w:color w:val="auto"/>
          <w:kern w:val="2"/>
          <w:sz w:val="21"/>
          <w:szCs w:val="21"/>
          <w:highlight w:val="none"/>
          <w:lang w:val="en-US" w:eastAsia="zh-CN" w:bidi="ar-SA"/>
        </w:rPr>
        <w:t>三相</w:t>
      </w:r>
      <w:r>
        <w:rPr>
          <w:rFonts w:hint="eastAsia" w:ascii="宋体" w:hAnsi="宋体" w:eastAsia="宋体" w:cs="宋体"/>
          <w:color w:val="auto"/>
          <w:kern w:val="2"/>
          <w:sz w:val="21"/>
          <w:szCs w:val="21"/>
          <w:highlight w:val="none"/>
          <w:lang w:val="en-US" w:bidi="ar-SA"/>
        </w:rPr>
        <w:t>电压测量范围：10 V～</w:t>
      </w:r>
      <w:r>
        <w:rPr>
          <w:rFonts w:hint="eastAsia" w:ascii="宋体" w:hAnsi="宋体" w:eastAsia="宋体" w:cs="宋体"/>
          <w:color w:val="auto"/>
          <w:kern w:val="2"/>
          <w:sz w:val="21"/>
          <w:szCs w:val="21"/>
          <w:highlight w:val="none"/>
          <w:lang w:val="en-US" w:eastAsia="zh-CN" w:bidi="ar-SA"/>
        </w:rPr>
        <w:t>600</w:t>
      </w:r>
      <w:r>
        <w:rPr>
          <w:rFonts w:hint="eastAsia" w:ascii="宋体" w:hAnsi="宋体" w:eastAsia="宋体" w:cs="宋体"/>
          <w:color w:val="auto"/>
          <w:kern w:val="2"/>
          <w:sz w:val="21"/>
          <w:szCs w:val="21"/>
          <w:highlight w:val="none"/>
          <w:lang w:val="en-US" w:bidi="ar-SA"/>
        </w:rPr>
        <w:t>V，</w:t>
      </w:r>
      <w:r>
        <w:rPr>
          <w:rFonts w:hint="eastAsia" w:ascii="宋体" w:hAnsi="宋体" w:eastAsia="宋体" w:cs="宋体"/>
          <w:color w:val="auto"/>
          <w:kern w:val="2"/>
          <w:sz w:val="21"/>
          <w:szCs w:val="21"/>
          <w:highlight w:val="none"/>
          <w:lang w:val="en-US" w:eastAsia="zh-CN" w:bidi="ar-SA"/>
        </w:rPr>
        <w:t>MPE:±0.05%</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三相</w:t>
      </w:r>
      <w:r>
        <w:rPr>
          <w:rFonts w:hint="eastAsia" w:ascii="宋体" w:hAnsi="宋体" w:eastAsia="宋体" w:cs="宋体"/>
          <w:color w:val="auto"/>
          <w:kern w:val="2"/>
          <w:sz w:val="21"/>
          <w:szCs w:val="21"/>
          <w:highlight w:val="none"/>
          <w:lang w:val="en-US" w:bidi="ar-SA"/>
        </w:rPr>
        <w:t>电流测量范围</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fldChar w:fldCharType="begin"/>
      </w:r>
      <w:r>
        <w:rPr>
          <w:rFonts w:hint="eastAsia" w:ascii="宋体" w:hAnsi="宋体" w:eastAsia="宋体" w:cs="宋体"/>
          <w:color w:val="auto"/>
          <w:kern w:val="2"/>
          <w:sz w:val="21"/>
          <w:szCs w:val="21"/>
          <w:highlight w:val="none"/>
          <w:lang w:val="en-US" w:eastAsia="zh-CN" w:bidi="ar-SA"/>
        </w:rPr>
        <w:instrText xml:space="preserve"> = 1 \* GB3 \* MERGEFORMAT </w:instrText>
      </w:r>
      <w:r>
        <w:rPr>
          <w:rFonts w:hint="eastAsia" w:ascii="宋体" w:hAnsi="宋体" w:eastAsia="宋体" w:cs="宋体"/>
          <w:color w:val="auto"/>
          <w:kern w:val="2"/>
          <w:sz w:val="21"/>
          <w:szCs w:val="21"/>
          <w:highlight w:val="none"/>
          <w:lang w:val="en-US" w:eastAsia="zh-CN" w:bidi="ar-SA"/>
        </w:rPr>
        <w:fldChar w:fldCharType="separate"/>
      </w:r>
      <w:r>
        <w:rPr>
          <w:rFonts w:hint="eastAsia" w:ascii="宋体" w:hAnsi="宋体" w:eastAsia="宋体" w:cs="宋体"/>
          <w:color w:val="auto"/>
          <w:kern w:val="2"/>
          <w:sz w:val="21"/>
          <w:szCs w:val="21"/>
          <w:highlight w:val="none"/>
          <w:lang w:val="en-US" w:bidi="ar-SA"/>
        </w:rPr>
        <w:t>①</w:t>
      </w:r>
      <w:r>
        <w:rPr>
          <w:rFonts w:hint="eastAsia" w:ascii="宋体" w:hAnsi="宋体" w:eastAsia="宋体" w:cs="宋体"/>
          <w:color w:val="auto"/>
          <w:kern w:val="2"/>
          <w:sz w:val="21"/>
          <w:szCs w:val="21"/>
          <w:highlight w:val="none"/>
          <w:lang w:val="en-US" w:eastAsia="zh-CN" w:bidi="ar-SA"/>
        </w:rPr>
        <w:fldChar w:fldCharType="end"/>
      </w:r>
      <w:r>
        <w:rPr>
          <w:rFonts w:hint="eastAsia" w:ascii="宋体" w:hAnsi="宋体" w:eastAsia="宋体" w:cs="宋体"/>
          <w:color w:val="auto"/>
          <w:kern w:val="2"/>
          <w:sz w:val="21"/>
          <w:szCs w:val="21"/>
          <w:highlight w:val="none"/>
          <w:lang w:val="en-US" w:bidi="ar-SA"/>
        </w:rPr>
        <w:t>直接</w:t>
      </w:r>
      <w:r>
        <w:rPr>
          <w:rFonts w:hint="eastAsia" w:ascii="宋体" w:hAnsi="宋体" w:eastAsia="宋体" w:cs="宋体"/>
          <w:color w:val="auto"/>
          <w:kern w:val="2"/>
          <w:sz w:val="21"/>
          <w:szCs w:val="21"/>
          <w:highlight w:val="none"/>
          <w:lang w:val="en-US" w:eastAsia="zh-CN" w:bidi="ar-SA"/>
        </w:rPr>
        <w:t>接入</w:t>
      </w:r>
      <w:r>
        <w:rPr>
          <w:rFonts w:hint="eastAsia" w:ascii="宋体" w:hAnsi="宋体" w:eastAsia="宋体" w:cs="宋体"/>
          <w:color w:val="auto"/>
          <w:kern w:val="2"/>
          <w:sz w:val="21"/>
          <w:szCs w:val="21"/>
          <w:highlight w:val="none"/>
          <w:lang w:val="en-US" w:bidi="ar-SA"/>
        </w:rPr>
        <w:t>：0.05 A～1</w:t>
      </w:r>
      <w:r>
        <w:rPr>
          <w:rFonts w:hint="eastAsia" w:ascii="宋体" w:hAnsi="宋体" w:eastAsia="宋体" w:cs="宋体"/>
          <w:color w:val="auto"/>
          <w:kern w:val="2"/>
          <w:sz w:val="21"/>
          <w:szCs w:val="21"/>
          <w:highlight w:val="none"/>
          <w:lang w:val="en-US" w:eastAsia="zh-CN" w:bidi="ar-SA"/>
        </w:rPr>
        <w:t>0</w:t>
      </w:r>
      <w:r>
        <w:rPr>
          <w:rFonts w:hint="eastAsia" w:ascii="宋体" w:hAnsi="宋体" w:eastAsia="宋体" w:cs="宋体"/>
          <w:color w:val="auto"/>
          <w:kern w:val="2"/>
          <w:sz w:val="21"/>
          <w:szCs w:val="21"/>
          <w:highlight w:val="none"/>
          <w:lang w:val="en-US" w:bidi="ar-SA"/>
        </w:rPr>
        <w:t xml:space="preserve"> A，</w:t>
      </w:r>
      <w:r>
        <w:rPr>
          <w:rFonts w:hint="eastAsia" w:ascii="宋体" w:hAnsi="宋体" w:eastAsia="宋体" w:cs="宋体"/>
          <w:color w:val="auto"/>
          <w:kern w:val="2"/>
          <w:sz w:val="21"/>
          <w:szCs w:val="21"/>
          <w:highlight w:val="none"/>
          <w:lang w:val="en-US" w:eastAsia="zh-CN" w:bidi="ar-SA"/>
        </w:rPr>
        <w:t>MPE:±0.05%</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fldChar w:fldCharType="begin"/>
      </w:r>
      <w:r>
        <w:rPr>
          <w:rFonts w:hint="eastAsia" w:ascii="宋体" w:hAnsi="宋体" w:eastAsia="宋体" w:cs="宋体"/>
          <w:color w:val="auto"/>
          <w:kern w:val="2"/>
          <w:sz w:val="21"/>
          <w:szCs w:val="21"/>
          <w:highlight w:val="none"/>
          <w:lang w:val="en-US" w:eastAsia="zh-CN" w:bidi="ar-SA"/>
        </w:rPr>
        <w:instrText xml:space="preserve"> = 2 \* GB3 \* MERGEFORMAT </w:instrText>
      </w:r>
      <w:r>
        <w:rPr>
          <w:rFonts w:hint="eastAsia" w:ascii="宋体" w:hAnsi="宋体" w:eastAsia="宋体" w:cs="宋体"/>
          <w:color w:val="auto"/>
          <w:kern w:val="2"/>
          <w:sz w:val="21"/>
          <w:szCs w:val="21"/>
          <w:highlight w:val="none"/>
          <w:lang w:val="en-US" w:eastAsia="zh-CN" w:bidi="ar-SA"/>
        </w:rPr>
        <w:fldChar w:fldCharType="separate"/>
      </w:r>
      <w:r>
        <w:rPr>
          <w:rFonts w:hint="eastAsia" w:ascii="宋体" w:hAnsi="宋体" w:eastAsia="宋体" w:cs="宋体"/>
          <w:color w:val="auto"/>
          <w:kern w:val="2"/>
          <w:sz w:val="21"/>
          <w:szCs w:val="21"/>
          <w:highlight w:val="none"/>
          <w:lang w:val="en-US" w:bidi="ar-SA"/>
        </w:rPr>
        <w:t>②</w:t>
      </w:r>
      <w:r>
        <w:rPr>
          <w:rFonts w:hint="eastAsia" w:ascii="宋体" w:hAnsi="宋体" w:eastAsia="宋体" w:cs="宋体"/>
          <w:color w:val="auto"/>
          <w:kern w:val="2"/>
          <w:sz w:val="21"/>
          <w:szCs w:val="21"/>
          <w:highlight w:val="none"/>
          <w:lang w:val="en-US" w:eastAsia="zh-CN" w:bidi="ar-SA"/>
        </w:rPr>
        <w:fldChar w:fldCharType="end"/>
      </w:r>
      <w:r>
        <w:rPr>
          <w:rFonts w:hint="eastAsia" w:ascii="宋体" w:hAnsi="宋体" w:eastAsia="宋体" w:cs="宋体"/>
          <w:color w:val="auto"/>
          <w:kern w:val="2"/>
          <w:sz w:val="21"/>
          <w:szCs w:val="21"/>
          <w:highlight w:val="none"/>
          <w:lang w:val="en-US" w:bidi="ar-SA"/>
        </w:rPr>
        <w:t>钳形</w:t>
      </w:r>
      <w:r>
        <w:rPr>
          <w:rFonts w:hint="eastAsia" w:ascii="宋体" w:hAnsi="宋体" w:eastAsia="宋体" w:cs="宋体"/>
          <w:color w:val="auto"/>
          <w:kern w:val="2"/>
          <w:sz w:val="21"/>
          <w:szCs w:val="21"/>
          <w:highlight w:val="none"/>
          <w:lang w:val="en-US" w:eastAsia="zh-CN" w:bidi="ar-SA"/>
        </w:rPr>
        <w:t>接入</w:t>
      </w:r>
      <w:r>
        <w:rPr>
          <w:rFonts w:hint="eastAsia" w:ascii="宋体" w:hAnsi="宋体" w:eastAsia="宋体" w:cs="宋体"/>
          <w:color w:val="auto"/>
          <w:kern w:val="2"/>
          <w:sz w:val="21"/>
          <w:szCs w:val="21"/>
          <w:highlight w:val="none"/>
          <w:lang w:val="en-US" w:bidi="ar-SA"/>
        </w:rPr>
        <w:t>：0.1 A～</w:t>
      </w:r>
      <w:r>
        <w:rPr>
          <w:rFonts w:hint="eastAsia" w:ascii="宋体" w:hAnsi="宋体" w:eastAsia="宋体" w:cs="宋体"/>
          <w:color w:val="auto"/>
          <w:kern w:val="2"/>
          <w:sz w:val="21"/>
          <w:szCs w:val="21"/>
          <w:highlight w:val="none"/>
          <w:lang w:val="en-US" w:eastAsia="zh-CN" w:bidi="ar-SA"/>
        </w:rPr>
        <w:t>10</w:t>
      </w:r>
      <w:r>
        <w:rPr>
          <w:rFonts w:hint="eastAsia" w:ascii="宋体" w:hAnsi="宋体" w:eastAsia="宋体" w:cs="宋体"/>
          <w:color w:val="auto"/>
          <w:kern w:val="2"/>
          <w:sz w:val="21"/>
          <w:szCs w:val="21"/>
          <w:highlight w:val="none"/>
          <w:lang w:val="en-US" w:bidi="ar-SA"/>
        </w:rPr>
        <w:t xml:space="preserve"> A，</w:t>
      </w:r>
      <w:r>
        <w:rPr>
          <w:rFonts w:hint="eastAsia" w:ascii="宋体" w:hAnsi="宋体" w:eastAsia="宋体" w:cs="宋体"/>
          <w:color w:val="auto"/>
          <w:kern w:val="2"/>
          <w:sz w:val="21"/>
          <w:szCs w:val="21"/>
          <w:highlight w:val="none"/>
          <w:lang w:val="en-US" w:eastAsia="zh-CN" w:bidi="ar-SA"/>
        </w:rPr>
        <w:t>MPE:±0.2%</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1.2、电能测量：</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fldChar w:fldCharType="begin"/>
      </w:r>
      <w:r>
        <w:rPr>
          <w:rFonts w:hint="eastAsia" w:ascii="宋体" w:hAnsi="宋体" w:eastAsia="宋体" w:cs="宋体"/>
          <w:color w:val="auto"/>
          <w:kern w:val="2"/>
          <w:sz w:val="21"/>
          <w:szCs w:val="21"/>
          <w:highlight w:val="none"/>
          <w:lang w:val="en-US" w:eastAsia="zh-CN" w:bidi="ar-SA"/>
        </w:rPr>
        <w:instrText xml:space="preserve"> = 1 \* GB3 \* MERGEFORMAT </w:instrText>
      </w:r>
      <w:r>
        <w:rPr>
          <w:rFonts w:hint="eastAsia" w:ascii="宋体" w:hAnsi="宋体" w:eastAsia="宋体" w:cs="宋体"/>
          <w:color w:val="auto"/>
          <w:kern w:val="2"/>
          <w:sz w:val="21"/>
          <w:szCs w:val="21"/>
          <w:highlight w:val="none"/>
          <w:lang w:val="en-US" w:eastAsia="zh-CN" w:bidi="ar-SA"/>
        </w:rPr>
        <w:fldChar w:fldCharType="separate"/>
      </w:r>
      <w:r>
        <w:rPr>
          <w:rFonts w:hint="eastAsia" w:ascii="宋体" w:hAnsi="宋体" w:eastAsia="宋体" w:cs="宋体"/>
          <w:color w:val="auto"/>
          <w:kern w:val="2"/>
          <w:sz w:val="21"/>
          <w:szCs w:val="21"/>
          <w:highlight w:val="none"/>
          <w:lang w:val="en-US" w:bidi="ar-SA"/>
        </w:rPr>
        <w:t>①</w:t>
      </w:r>
      <w:r>
        <w:rPr>
          <w:rFonts w:hint="eastAsia" w:ascii="宋体" w:hAnsi="宋体" w:eastAsia="宋体" w:cs="宋体"/>
          <w:color w:val="auto"/>
          <w:kern w:val="2"/>
          <w:sz w:val="21"/>
          <w:szCs w:val="21"/>
          <w:highlight w:val="none"/>
          <w:lang w:val="en-US" w:eastAsia="zh-CN" w:bidi="ar-SA"/>
        </w:rPr>
        <w:fldChar w:fldCharType="end"/>
      </w:r>
      <w:r>
        <w:rPr>
          <w:rFonts w:hint="eastAsia" w:ascii="宋体" w:hAnsi="宋体" w:eastAsia="宋体" w:cs="宋体"/>
          <w:color w:val="auto"/>
          <w:kern w:val="2"/>
          <w:sz w:val="21"/>
          <w:szCs w:val="21"/>
          <w:highlight w:val="none"/>
          <w:lang w:val="en-US" w:eastAsia="zh-CN" w:bidi="ar-SA"/>
        </w:rPr>
        <w:t>电流直接接入：MPE:±0.05%</w:t>
      </w:r>
      <w:r>
        <w:rPr>
          <w:rFonts w:hint="eastAsia" w:ascii="宋体" w:hAnsi="宋体" w:eastAsia="宋体" w:cs="宋体"/>
          <w:color w:val="auto"/>
          <w:kern w:val="2"/>
          <w:sz w:val="21"/>
          <w:szCs w:val="21"/>
          <w:highlight w:val="none"/>
          <w:lang w:val="en-US" w:bidi="ar-SA"/>
        </w:rPr>
        <w:t></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fldChar w:fldCharType="begin"/>
      </w:r>
      <w:r>
        <w:rPr>
          <w:rFonts w:hint="eastAsia" w:ascii="宋体" w:hAnsi="宋体" w:eastAsia="宋体" w:cs="宋体"/>
          <w:color w:val="auto"/>
          <w:kern w:val="2"/>
          <w:sz w:val="21"/>
          <w:szCs w:val="21"/>
          <w:highlight w:val="none"/>
          <w:lang w:val="en-US" w:eastAsia="zh-CN" w:bidi="ar-SA"/>
        </w:rPr>
        <w:instrText xml:space="preserve"> = 2 \* GB3 \* MERGEFORMAT </w:instrText>
      </w:r>
      <w:r>
        <w:rPr>
          <w:rFonts w:hint="eastAsia" w:ascii="宋体" w:hAnsi="宋体" w:eastAsia="宋体" w:cs="宋体"/>
          <w:color w:val="auto"/>
          <w:kern w:val="2"/>
          <w:sz w:val="21"/>
          <w:szCs w:val="21"/>
          <w:highlight w:val="none"/>
          <w:lang w:val="en-US" w:eastAsia="zh-CN" w:bidi="ar-SA"/>
        </w:rPr>
        <w:fldChar w:fldCharType="separate"/>
      </w:r>
      <w:r>
        <w:rPr>
          <w:rFonts w:hint="eastAsia" w:ascii="宋体" w:hAnsi="宋体" w:eastAsia="宋体" w:cs="宋体"/>
          <w:color w:val="auto"/>
          <w:kern w:val="2"/>
          <w:sz w:val="21"/>
          <w:szCs w:val="21"/>
          <w:highlight w:val="none"/>
          <w:lang w:val="en-US" w:bidi="ar-SA"/>
        </w:rPr>
        <w:t>②</w:t>
      </w:r>
      <w:r>
        <w:rPr>
          <w:rFonts w:hint="eastAsia" w:ascii="宋体" w:hAnsi="宋体" w:eastAsia="宋体" w:cs="宋体"/>
          <w:color w:val="auto"/>
          <w:kern w:val="2"/>
          <w:sz w:val="21"/>
          <w:szCs w:val="21"/>
          <w:highlight w:val="none"/>
          <w:lang w:val="en-US" w:eastAsia="zh-CN" w:bidi="ar-SA"/>
        </w:rPr>
        <w:fldChar w:fldCharType="end"/>
      </w:r>
      <w:r>
        <w:rPr>
          <w:rFonts w:hint="eastAsia" w:ascii="宋体" w:hAnsi="宋体" w:eastAsia="宋体" w:cs="宋体"/>
          <w:color w:val="auto"/>
          <w:kern w:val="2"/>
          <w:sz w:val="21"/>
          <w:szCs w:val="21"/>
          <w:highlight w:val="none"/>
          <w:lang w:val="en-US" w:bidi="ar-SA"/>
        </w:rPr>
        <w:t>电流钳形</w:t>
      </w:r>
      <w:r>
        <w:rPr>
          <w:rFonts w:hint="eastAsia" w:ascii="宋体" w:hAnsi="宋体" w:eastAsia="宋体" w:cs="宋体"/>
          <w:color w:val="auto"/>
          <w:kern w:val="2"/>
          <w:sz w:val="21"/>
          <w:szCs w:val="21"/>
          <w:highlight w:val="none"/>
          <w:lang w:val="en-US" w:eastAsia="zh-CN" w:bidi="ar-SA"/>
        </w:rPr>
        <w:t>接入</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MPE:±0.2%</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1.3、测量三相电量间相位差，并通过相量图的形式直观显示；测量频率和功率因数；</w:t>
      </w:r>
      <w:r>
        <w:rPr>
          <w:rFonts w:hint="eastAsia" w:ascii="宋体" w:hAnsi="宋体" w:eastAsia="宋体" w:cs="宋体"/>
          <w:color w:val="auto"/>
          <w:kern w:val="2"/>
          <w:sz w:val="21"/>
          <w:szCs w:val="21"/>
          <w:highlight w:val="none"/>
          <w:lang w:val="en-US" w:bidi="ar-SA"/>
        </w:rPr>
        <w:t>测量通道具有示波器功能，可实时显示被测电量的波形①电流直接接入：MPE:±0.05%②电流钳形接入：MPE:±0.2%</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1.4</w:t>
      </w:r>
      <w:r>
        <w:rPr>
          <w:rFonts w:hint="eastAsia" w:ascii="宋体" w:hAnsi="宋体" w:eastAsia="宋体" w:cs="宋体"/>
          <w:color w:val="auto"/>
          <w:kern w:val="2"/>
          <w:sz w:val="21"/>
          <w:szCs w:val="21"/>
          <w:highlight w:val="none"/>
          <w:lang w:val="en-US" w:bidi="ar-SA"/>
        </w:rPr>
        <w:t>测量2～3</w:t>
      </w:r>
      <w:r>
        <w:rPr>
          <w:rFonts w:hint="eastAsia" w:ascii="宋体" w:hAnsi="宋体" w:eastAsia="宋体" w:cs="宋体"/>
          <w:color w:val="auto"/>
          <w:kern w:val="2"/>
          <w:sz w:val="21"/>
          <w:szCs w:val="21"/>
          <w:highlight w:val="none"/>
          <w:lang w:val="en-US" w:eastAsia="zh-CN" w:bidi="ar-SA"/>
        </w:rPr>
        <w:t>0</w:t>
      </w:r>
      <w:r>
        <w:rPr>
          <w:rFonts w:hint="eastAsia" w:ascii="宋体" w:hAnsi="宋体" w:eastAsia="宋体" w:cs="宋体"/>
          <w:color w:val="auto"/>
          <w:kern w:val="2"/>
          <w:sz w:val="21"/>
          <w:szCs w:val="21"/>
          <w:highlight w:val="none"/>
          <w:lang w:val="en-US" w:bidi="ar-SA"/>
        </w:rPr>
        <w:t>次谐波，显示各次谐波的含量、总谐波失真、谐波直方图</w:t>
      </w:r>
      <w:r>
        <w:rPr>
          <w:rFonts w:hint="eastAsia" w:ascii="宋体" w:hAnsi="宋体" w:eastAsia="宋体" w:cs="宋体"/>
          <w:color w:val="auto"/>
          <w:kern w:val="2"/>
          <w:sz w:val="21"/>
          <w:szCs w:val="21"/>
          <w:highlight w:val="none"/>
          <w:lang w:val="en-US" w:eastAsia="zh-CN" w:bidi="ar-SA"/>
        </w:rPr>
        <w:t>。谐波：</w:t>
      </w:r>
      <w:r>
        <w:rPr>
          <w:rFonts w:hint="eastAsia" w:ascii="宋体" w:hAnsi="宋体" w:eastAsia="宋体" w:cs="宋体"/>
          <w:color w:val="auto"/>
          <w:kern w:val="2"/>
          <w:sz w:val="21"/>
          <w:szCs w:val="21"/>
          <w:highlight w:val="none"/>
          <w:lang w:val="en-US" w:bidi="ar-SA"/>
        </w:rPr>
        <w:t>MPE:±0.2%</w:t>
      </w:r>
      <w:r>
        <w:rPr>
          <w:rFonts w:hint="eastAsia" w:ascii="宋体" w:hAnsi="宋体" w:eastAsia="宋体" w:cs="宋体"/>
          <w:color w:val="auto"/>
          <w:kern w:val="2"/>
          <w:sz w:val="21"/>
          <w:szCs w:val="21"/>
          <w:highlight w:val="none"/>
          <w:lang w:val="en-US" w:eastAsia="zh-CN" w:bidi="ar-SA"/>
        </w:rPr>
        <w:t>；可以识别各种三相接线方式，并给出电量纠正系数。</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1.5配两种脉冲接入方式：脉冲输入和配便携式光电头，方便现场校验。</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1.6供电电源应提供大容量锂电池或额外便携式蓄电池(可连续工作时间不小于8 小时)。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1.7可记录被检电能表的测量数据，自动生成原始记录和证书，并能转存至新疆计量院配套的管理软件上。</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bidi="ar-SA"/>
        </w:rPr>
        <w:t>1、</w:t>
      </w:r>
      <w:r>
        <w:rPr>
          <w:rFonts w:hint="eastAsia" w:ascii="宋体" w:hAnsi="宋体" w:eastAsia="宋体" w:cs="宋体"/>
          <w:color w:val="auto"/>
          <w:kern w:val="2"/>
          <w:sz w:val="21"/>
          <w:szCs w:val="21"/>
          <w:highlight w:val="none"/>
          <w:lang w:val="en-US" w:eastAsia="zh-CN" w:bidi="ar-SA"/>
        </w:rPr>
        <w:t>可以对0.2S级及以下电能表进行现场检测或校准，</w:t>
      </w:r>
      <w:r>
        <w:rPr>
          <w:rFonts w:hint="eastAsia" w:ascii="宋体" w:hAnsi="宋体" w:eastAsia="宋体" w:cs="宋体"/>
          <w:color w:val="auto"/>
          <w:kern w:val="2"/>
          <w:sz w:val="21"/>
          <w:szCs w:val="21"/>
          <w:highlight w:val="none"/>
          <w:lang w:val="en-US" w:bidi="ar-SA"/>
        </w:rPr>
        <w:t>计量性能及技术</w:t>
      </w:r>
      <w:r>
        <w:rPr>
          <w:rFonts w:hint="eastAsia" w:ascii="宋体" w:hAnsi="宋体" w:eastAsia="宋体" w:cs="宋体"/>
          <w:color w:val="auto"/>
          <w:kern w:val="2"/>
          <w:sz w:val="21"/>
          <w:szCs w:val="21"/>
          <w:highlight w:val="none"/>
          <w:lang w:val="en-US" w:eastAsia="zh-CN" w:bidi="ar-SA"/>
        </w:rPr>
        <w:t>指</w:t>
      </w:r>
      <w:r>
        <w:rPr>
          <w:rFonts w:hint="eastAsia" w:ascii="宋体" w:hAnsi="宋体" w:eastAsia="宋体" w:cs="宋体"/>
          <w:color w:val="auto"/>
          <w:kern w:val="2"/>
          <w:sz w:val="21"/>
          <w:szCs w:val="21"/>
          <w:highlight w:val="none"/>
          <w:lang w:val="en-US" w:bidi="ar-SA"/>
        </w:rPr>
        <w:t>标必须符合</w:t>
      </w:r>
      <w:r>
        <w:rPr>
          <w:rFonts w:hint="eastAsia" w:ascii="宋体" w:hAnsi="宋体" w:eastAsia="宋体" w:cs="宋体"/>
          <w:color w:val="auto"/>
          <w:kern w:val="2"/>
          <w:sz w:val="21"/>
          <w:szCs w:val="21"/>
          <w:highlight w:val="none"/>
          <w:lang w:val="en-US" w:eastAsia="zh-CN" w:bidi="ar-SA"/>
        </w:rPr>
        <w:t>以下文件要求：</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DL/T 1664-2016《电能计量装置现场检验规程》</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JJG596-2012《电子式交流电能表检定规程》</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bidi="ar-SA"/>
        </w:rPr>
        <w:t>4、该测量设备由</w:t>
      </w:r>
      <w:r>
        <w:rPr>
          <w:rFonts w:hint="eastAsia" w:ascii="宋体" w:hAnsi="宋体" w:eastAsia="宋体" w:cs="宋体"/>
          <w:color w:val="auto"/>
          <w:kern w:val="2"/>
          <w:sz w:val="21"/>
          <w:szCs w:val="21"/>
          <w:highlight w:val="none"/>
          <w:lang w:val="en-US" w:eastAsia="zh-CN" w:bidi="ar-SA"/>
        </w:rPr>
        <w:t>中国计量科学研究院或新疆维吾尔自治区计量测试研究院</w:t>
      </w:r>
      <w:r>
        <w:rPr>
          <w:rFonts w:hint="eastAsia" w:ascii="宋体" w:hAnsi="宋体" w:eastAsia="宋体" w:cs="宋体"/>
          <w:color w:val="auto"/>
          <w:kern w:val="2"/>
          <w:sz w:val="21"/>
          <w:szCs w:val="21"/>
          <w:highlight w:val="none"/>
          <w:lang w:val="en-US" w:bidi="ar-SA"/>
        </w:rPr>
        <w:t>检定</w:t>
      </w:r>
      <w:r>
        <w:rPr>
          <w:rFonts w:hint="eastAsia" w:ascii="宋体" w:hAnsi="宋体" w:eastAsia="宋体" w:cs="宋体"/>
          <w:color w:val="auto"/>
          <w:kern w:val="2"/>
          <w:sz w:val="21"/>
          <w:szCs w:val="21"/>
          <w:highlight w:val="none"/>
          <w:lang w:val="en-US" w:eastAsia="zh-CN" w:bidi="ar-SA"/>
        </w:rPr>
        <w:t>或校准</w:t>
      </w:r>
      <w:r>
        <w:rPr>
          <w:rFonts w:hint="eastAsia" w:ascii="宋体" w:hAnsi="宋体" w:eastAsia="宋体" w:cs="宋体"/>
          <w:color w:val="auto"/>
          <w:kern w:val="2"/>
          <w:sz w:val="21"/>
          <w:szCs w:val="21"/>
          <w:highlight w:val="none"/>
          <w:lang w:val="en-US" w:bidi="ar-SA"/>
        </w:rPr>
        <w:t>，费用由供方承担。</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三相电能表现场校验仪</w:t>
            </w:r>
          </w:p>
        </w:tc>
        <w:tc>
          <w:tcPr>
            <w:tcW w:w="876"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测试线、工具包</w:t>
            </w:r>
          </w:p>
        </w:tc>
        <w:tc>
          <w:tcPr>
            <w:tcW w:w="876"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设备箱</w:t>
            </w:r>
          </w:p>
        </w:tc>
        <w:tc>
          <w:tcPr>
            <w:tcW w:w="876"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使用说明书、出厂合格证</w:t>
            </w:r>
          </w:p>
        </w:tc>
        <w:tc>
          <w:tcPr>
            <w:tcW w:w="876" w:type="dxa"/>
            <w:noWrap w:val="0"/>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2、维修手册一份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eastAsia="zh-CN" w:bidi="ar-SA"/>
        </w:rPr>
        <w:t>24</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w:t>
      </w:r>
      <w:r>
        <w:rPr>
          <w:rFonts w:hint="eastAsia" w:ascii="宋体" w:hAnsi="宋体" w:eastAsia="宋体" w:cs="宋体"/>
          <w:color w:val="auto"/>
          <w:kern w:val="2"/>
          <w:sz w:val="21"/>
          <w:szCs w:val="21"/>
          <w:highlight w:val="none"/>
          <w:lang w:val="en-US" w:eastAsia="zh-CN" w:bidi="ar-SA"/>
        </w:rPr>
        <w:t>中国计量科学研究院或新疆维吾尔自治区计量测试研究院</w:t>
      </w:r>
      <w:r>
        <w:rPr>
          <w:rFonts w:hint="eastAsia" w:ascii="宋体" w:hAnsi="宋体" w:eastAsia="宋体" w:cs="宋体"/>
          <w:color w:val="auto"/>
          <w:kern w:val="2"/>
          <w:sz w:val="21"/>
          <w:szCs w:val="21"/>
          <w:highlight w:val="none"/>
          <w:lang w:val="en-US" w:bidi="ar-SA"/>
        </w:rPr>
        <w:t>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w:t>
      </w:r>
      <w:r>
        <w:rPr>
          <w:rFonts w:hint="eastAsia" w:ascii="宋体" w:hAnsi="宋体" w:eastAsia="宋体" w:cs="宋体"/>
          <w:color w:val="auto"/>
          <w:kern w:val="2"/>
          <w:sz w:val="21"/>
          <w:szCs w:val="21"/>
          <w:highlight w:val="none"/>
          <w:lang w:val="en-US" w:eastAsia="zh-CN" w:bidi="ar-SA"/>
        </w:rPr>
        <w:t>中国计量科学研究院</w:t>
      </w:r>
      <w:r>
        <w:rPr>
          <w:rFonts w:hint="eastAsia" w:ascii="宋体" w:hAnsi="宋体" w:eastAsia="宋体" w:cs="宋体"/>
          <w:color w:val="auto"/>
          <w:kern w:val="2"/>
          <w:sz w:val="21"/>
          <w:szCs w:val="21"/>
          <w:highlight w:val="none"/>
          <w:lang w:val="en-US" w:bidi="ar-SA"/>
        </w:rPr>
        <w:t>或新疆计量测试研究院出具的测试证书。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二十三、测量设备名称：气相色谱仪(双FID+转化炉) 1台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1柱箱</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1.1 大体积柱箱</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 柱箱温控范围：（室温+5）℃～400℃，增量0.1℃</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 程序升温速率：0.1℃/min～40℃/min (最小增量0.1℃/min)</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1.4 高精度温度控制系统，控温精度（柱箱温度稳定性）≤±0.03℃（或不超过0.1%）</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1.5 程序升温重复性：≤1%</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1.6 程序升温最大阶数：14阶</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1.7 程序升温最长时间：每阶999.9min(最小增量0.1min)</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1.8 定性重复性≤1%</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1.9 过温保护：</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软硬件双重过温保护，通过仪器操作面板设置保护温度和通过仪器电路硬件设置超温保护,提供稳定工作状态；</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1.10温控区：8路独立控温，满足仪器分析不同温度设定需求；</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 xml:space="preserve">1.11色谱柱：需安装4mm大口径不锈钢填充柱，玻璃柱及毛细管柱 </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1.12智能化的仪器报警与自诊断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2进样系统</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 进样方式：</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填充柱进样口（带隔垫吹扫）；</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分流/不分流进样口（毛细柱进样口，带隔垫吹扫）；</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冷进样；</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阀进样（全自动进口）；</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2.2 温度范围： （室温+5）℃～400℃；</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2.3 控温最小精度：0.1℃；</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2.4 进样系统分流比范围：（1:1）～（500:1）</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2.5 载气控制：   仪器空置自动吹扫功能，降低仪器分析系统污染，提高分析精度；</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EPC气体流量控制（全程反控操作/显示），参数如下：</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氮气/空气：（0～999.9）mL（可依实际需要配置），流量最小可控0.1mL；</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氢气：（0～999.9）mL（可依实际需要配置），最小0.1mL；</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压力最小可控0.1KPa</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2.6采用不影响柱箱的温控控制精度，不影响分析误差，不降低热解析速度及分析灵敏度，提高分析效率的高精度全二维气相色谱调制器技术。（提供权威部门出具的材料佐证）</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3检测器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3.1 火焰离子化检测器（FID）</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3.1.1检测限：≤3.2pg/s（毛细柱）；≤1.6pg/s（填充柱）；（提供检测报告证明）</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3.1.2基线漂移：≤0.05pA/30min；（提供检测报告证明）</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3.1.3基线噪声：≤0.02pA。（提供检测报告证明）</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3.1.4定性重复性：≤0.02%（毛细柱）；≤0.06%（填充柱）；（提供检测报告证明）</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3.1.5定量重复性：≤0.84%（毛细柱）；≤0.28%（填充柱）；（提供检测报告证明）</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3.2带有转化炉装置；</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 色谱数据处理系统软件</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4.1 原厂工作站软件，人性化中文用户界面；全PC控制GC参数，无需键盘设定；软件可以设置和控制各个模块的温度，包括柱箱、进样口、检测器，还可控制EPC的流量/压力。</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4.2 色谱数据处理系统可自动检测仪器配置，根据配置自动调整仪器控制参数，包括：进样口、检测器、EPC。</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4.3支持多个检测器同时采集，可同时承担更多分析任务：色谱数据处理系统插件最多支持4个通道的同时采集，四路模拟信号，四路数字信号输出。</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4.4信号采集频率：1～100Hz可设定。</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4.5 输出信号范围：-1250 mV～1250 mV。</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4.6 采集精度：1微伏。</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4.7运行环境：可以在Win10系统</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64位</w:t>
      </w:r>
      <w:r>
        <w:rPr>
          <w:rFonts w:hint="eastAsia" w:ascii="宋体" w:hAnsi="宋体" w:eastAsia="宋体" w:cs="宋体"/>
          <w:color w:val="auto"/>
          <w:kern w:val="2"/>
          <w:sz w:val="21"/>
          <w:szCs w:val="21"/>
          <w:highlight w:val="none"/>
          <w:lang w:val="en-US" w:eastAsia="zh-CN" w:bidi="ar-SA"/>
        </w:rPr>
        <w:t>)或以上</w:t>
      </w:r>
      <w:r>
        <w:rPr>
          <w:rFonts w:hint="eastAsia" w:ascii="宋体" w:hAnsi="宋体" w:eastAsia="宋体" w:cs="宋体"/>
          <w:color w:val="auto"/>
          <w:kern w:val="2"/>
          <w:sz w:val="21"/>
          <w:szCs w:val="21"/>
          <w:highlight w:val="none"/>
          <w:lang w:val="en-US" w:bidi="ar-SA"/>
        </w:rPr>
        <w:t>工作。</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4.8支持多内标功能，灵活多样的组分分组功能，支持分组校准、未知物分组。</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4.9可输出符合国际标准AIA格式及文本格式的色谱数据文件,便于其他色谱处理软件读取分析谱图数据。</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4.10可随时查看任意通道最近的色谱信号，支持多谱图同时处理；数据实时采集和事后处理可多窗体并行操作；自动+手动谱图积分，准确判定色谱峰,根据谱图可计算峰的保留时间、峰面积或峰高的重复性（相对标准偏差、标准偏差）。</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4.11提供多种定量方法：外标法、内标法、归一法、修正归一法； 提供多种曲线校正功能：外标、内标、双对数曲线；</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4.12 使用鼠标选取谱图范围计算噪声、漂移、信噪比，软件包含仪器灵敏度或检测限计算公式；</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4.13 强大的谱图管理功能，批处理功能使得对仪器的控制、自动进样器序列进样、自动积分校正及报告输出。</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4.14仪器具有自动完成色谱柱老化功能。</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4.15配合外部事件功能，可实现气体样品分析的自动化。</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bidi="ar-SA"/>
        </w:rPr>
        <w:t xml:space="preserve"> 计算机配置及打印机</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计算机</w:t>
      </w:r>
      <w:r>
        <w:rPr>
          <w:rFonts w:hint="eastAsia" w:ascii="宋体" w:hAnsi="宋体" w:eastAsia="宋体" w:cs="宋体"/>
          <w:color w:val="auto"/>
          <w:kern w:val="2"/>
          <w:sz w:val="21"/>
          <w:szCs w:val="21"/>
          <w:highlight w:val="none"/>
          <w:lang w:val="en-US" w:bidi="ar-SA"/>
        </w:rPr>
        <w:tab/>
      </w:r>
      <w:r>
        <w:rPr>
          <w:rFonts w:hint="eastAsia" w:ascii="宋体" w:hAnsi="宋体" w:eastAsia="宋体" w:cs="宋体"/>
          <w:color w:val="auto"/>
          <w:kern w:val="2"/>
          <w:sz w:val="21"/>
          <w:szCs w:val="21"/>
          <w:highlight w:val="none"/>
          <w:lang w:val="en-US" w:bidi="ar-SA"/>
        </w:rPr>
        <w:t>19寸或以上液晶显示器；内存8G；主频2.5GHz或以上；固态硬盘500GB或以上；串行数据接口；激光打印机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1、计量性能及技术招标必须符合JJG700-2016《气相色谱仪检定规程》。</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4、人员培训：厂家在中国境内有多个实验室。按每台仪器提供在厂家实验室2人次免费培训名额。</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5、技术支持</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5.1在新疆拥有常驻技术支持工程师。</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5.2自验收投入使用后，技术支持工程师需提供标气制备检测方法开发、色谱改装调试等服务。连续3年，每年不少于15个工作日现场技术服务。供货商在接到用户技术支持申请后48小时内派技术支持工程师到现场技术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9094" w:type="dxa"/>
        <w:jc w:val="center"/>
        <w:tblLayout w:type="autofit"/>
        <w:tblCellMar>
          <w:top w:w="15" w:type="dxa"/>
          <w:left w:w="15" w:type="dxa"/>
          <w:bottom w:w="15" w:type="dxa"/>
          <w:right w:w="15" w:type="dxa"/>
        </w:tblCellMar>
      </w:tblPr>
      <w:tblGrid>
        <w:gridCol w:w="1053"/>
        <w:gridCol w:w="6967"/>
        <w:gridCol w:w="1074"/>
      </w:tblGrid>
      <w:tr>
        <w:tblPrEx>
          <w:tblCellMar>
            <w:top w:w="15" w:type="dxa"/>
            <w:left w:w="15" w:type="dxa"/>
            <w:bottom w:w="15" w:type="dxa"/>
            <w:right w:w="15" w:type="dxa"/>
          </w:tblCellMar>
        </w:tblPrEx>
        <w:trPr>
          <w:trHeight w:val="285"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名称及型号描述</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CellMar>
            <w:top w:w="15" w:type="dxa"/>
            <w:left w:w="15" w:type="dxa"/>
            <w:bottom w:w="15" w:type="dxa"/>
            <w:right w:w="15" w:type="dxa"/>
          </w:tblCellMar>
        </w:tblPrEx>
        <w:trPr>
          <w:trHeight w:val="51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气相色谱仪主机、带有隔垫吹扫功能、后开门</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473"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气相色谱数据处理系统双通道中文数据处理软件及接口</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计算机</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打印机</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（氮氢空）高纯气</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毛细管装置</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气体进样装置（全自动进口）</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备品备件</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专用工具</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EPC装置</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FID检测器</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填充柱进样口</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毛细柱进样口</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转化炉</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15</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转化柱</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16</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GDX-502(色谱柱2m*4mm)</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17</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TDX-01（色谱柱2m*4mm)</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18</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KB-AL2O3/Na2SO4  50*0.53*20.00（进口毛细柱）</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19</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减压阀</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r>
      <w:tr>
        <w:tblPrEx>
          <w:tblCellMar>
            <w:top w:w="15" w:type="dxa"/>
            <w:left w:w="15" w:type="dxa"/>
            <w:bottom w:w="15" w:type="dxa"/>
            <w:right w:w="15" w:type="dxa"/>
          </w:tblCellMar>
        </w:tblPrEx>
        <w:trPr>
          <w:trHeight w:val="360" w:hRule="atLeast"/>
          <w:jc w:val="center"/>
        </w:trPr>
        <w:tc>
          <w:tcPr>
            <w:tcW w:w="1053"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20</w:t>
            </w:r>
          </w:p>
        </w:tc>
        <w:tc>
          <w:tcPr>
            <w:tcW w:w="6967"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（氮氢空）捕集阱</w:t>
            </w:r>
          </w:p>
        </w:tc>
        <w:tc>
          <w:tcPr>
            <w:tcW w:w="1074" w:type="dxa"/>
            <w:tcBorders>
              <w:top w:val="single" w:color="000000" w:sz="4" w:space="0"/>
              <w:left w:val="single" w:color="000000" w:sz="4" w:space="0"/>
              <w:bottom w:val="single" w:color="000000" w:sz="4" w:space="0"/>
              <w:right w:val="single" w:color="000000" w:sz="4" w:space="0"/>
            </w:tcBorders>
            <w:noWrap/>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2、维修手册一份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4、合格证一份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b/>
          <w:color w:val="auto"/>
          <w:kern w:val="2"/>
          <w:sz w:val="21"/>
          <w:szCs w:val="21"/>
          <w:highlight w:val="none"/>
          <w:u w:val="single"/>
          <w:lang w:val="en-US" w:eastAsia="zh-CN" w:bidi="ar-SA"/>
        </w:rPr>
        <w:t>24</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3、仪器现场安装、调试后，供方通知需方共同组织对仪器进行性能验收，验收依据为双方认可的第三方计量部门出具的检定或校准证书报告或根据双方协商的验收测试方法进行测试验收。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单位：第三方或新疆计量测试研究院出具的测试证书。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1、交货时间：3</w:t>
      </w:r>
      <w:r>
        <w:rPr>
          <w:rFonts w:hint="eastAsia" w:ascii="宋体" w:hAnsi="宋体" w:eastAsia="宋体" w:cs="宋体"/>
          <w:b/>
          <w:color w:val="auto"/>
          <w:kern w:val="2"/>
          <w:sz w:val="21"/>
          <w:szCs w:val="21"/>
          <w:highlight w:val="none"/>
          <w:u w:val="single"/>
          <w:lang w:val="en-US" w:bidi="ar-SA"/>
        </w:rPr>
        <w:t xml:space="preserve">0 </w:t>
      </w:r>
      <w:r>
        <w:rPr>
          <w:rFonts w:hint="eastAsia" w:ascii="宋体" w:hAnsi="宋体" w:eastAsia="宋体" w:cs="宋体"/>
          <w:color w:val="auto"/>
          <w:kern w:val="2"/>
          <w:sz w:val="21"/>
          <w:szCs w:val="21"/>
          <w:highlight w:val="none"/>
          <w:lang w:val="en-US" w:bidi="ar-SA"/>
        </w:rPr>
        <w:t>日历天内</w:t>
      </w:r>
    </w:p>
    <w:p>
      <w:pPr>
        <w:autoSpaceDE/>
        <w:autoSpaceDN/>
        <w:spacing w:before="0" w:after="0" w:line="240" w:lineRule="auto"/>
        <w:ind w:left="0" w:right="0"/>
        <w:jc w:val="both"/>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both"/>
        <w:outlineLvl w:val="9"/>
        <w:rPr>
          <w:rFonts w:hint="eastAsia" w:ascii="宋体" w:hAnsi="宋体" w:eastAsia="宋体" w:cs="宋体"/>
          <w:color w:val="auto"/>
          <w:kern w:val="2"/>
          <w:sz w:val="21"/>
          <w:szCs w:val="21"/>
          <w:highlight w:val="none"/>
          <w:lang w:val="en-US" w:eastAsia="zh-CN" w:bidi="ar-SA"/>
        </w:rPr>
      </w:pPr>
    </w:p>
    <w:p>
      <w:pPr>
        <w:autoSpaceDE/>
        <w:autoSpaceDN/>
        <w:spacing w:before="0" w:after="0" w:line="240" w:lineRule="auto"/>
        <w:ind w:left="0" w:right="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97" w:name="_Toc10884"/>
      <w:r>
        <w:rPr>
          <w:rFonts w:hint="eastAsia" w:ascii="宋体" w:hAnsi="宋体" w:eastAsia="宋体" w:cs="宋体"/>
          <w:color w:val="auto"/>
          <w:spacing w:val="0"/>
          <w:w w:val="100"/>
          <w:position w:val="0"/>
          <w:sz w:val="32"/>
          <w:szCs w:val="32"/>
          <w:highlight w:val="none"/>
        </w:rPr>
        <w:t>第</w:t>
      </w:r>
      <w:r>
        <w:rPr>
          <w:rFonts w:hint="eastAsia" w:ascii="宋体" w:hAnsi="宋体" w:eastAsia="宋体" w:cs="宋体"/>
          <w:color w:val="auto"/>
          <w:spacing w:val="0"/>
          <w:w w:val="100"/>
          <w:position w:val="0"/>
          <w:sz w:val="32"/>
          <w:szCs w:val="32"/>
          <w:highlight w:val="none"/>
          <w:lang w:val="en-US" w:eastAsia="zh-CN"/>
        </w:rPr>
        <w:t>四</w:t>
      </w:r>
      <w:r>
        <w:rPr>
          <w:rFonts w:hint="eastAsia" w:ascii="宋体" w:hAnsi="宋体" w:eastAsia="宋体" w:cs="宋体"/>
          <w:color w:val="auto"/>
          <w:spacing w:val="0"/>
          <w:w w:val="100"/>
          <w:position w:val="0"/>
          <w:sz w:val="32"/>
          <w:szCs w:val="32"/>
          <w:highlight w:val="none"/>
        </w:rPr>
        <w:t>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评标方法和评标标准</w:t>
      </w:r>
      <w:bookmarkEnd w:id="97"/>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rPr>
      </w:pPr>
      <w:bookmarkStart w:id="98" w:name="_bookmark66"/>
      <w:bookmarkEnd w:id="98"/>
      <w:bookmarkStart w:id="99" w:name="_Toc21938"/>
      <w:r>
        <w:rPr>
          <w:rFonts w:hint="eastAsia" w:ascii="宋体" w:hAnsi="宋体" w:eastAsia="宋体" w:cs="宋体"/>
          <w:color w:val="auto"/>
          <w:spacing w:val="0"/>
          <w:w w:val="100"/>
          <w:position w:val="0"/>
          <w:sz w:val="28"/>
          <w:szCs w:val="28"/>
          <w:highlight w:val="none"/>
        </w:rPr>
        <w:t>一、评标方法</w:t>
      </w:r>
      <w:bookmarkEnd w:id="99"/>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1.评标委员会</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1.1评标由依法组建的评标委员会负责</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其成员构成方式详见投标须知前附表。</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2.评标方法</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2.1本项目评标方法为：综合评分法。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2.1.1综合评分法，是投标文件满足招标文件全部实质性要求，且按照评标因素的量化指标评标得分最高的投标人为中标候选人的评标方法。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评标因素的设定与投标人所提供货物服务的质量相关，包括投标报价、技术或者服务水平、履约能力、售后服务等。资格条件不得作为评标因素。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2.1.2评标时，评标委员会各成员应当独立对每个投标人的投标文件进行评价，并汇总每个投标人的得分。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2.1.3评标过程中，不得去掉报价中的最高报价和最低报价。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2.1.4因落实政府采购政策进行价格调整的，以调整后的价格计算评标基准价和投标报价。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3.评标原则和评标纪律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评标委员会成员应当按照客观、公正、审慎的原则，根据招标文件规定的评标程序、评标方法和评标标准进行独立评标。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3.2评标委员会成员应当在评标报告上签字，对自己的评标意见承担法律责任。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3.3.1采购人委派代表参加评标委员会的，应当向采购代理机构出具授权函。除授权代表外，采购人可以委派纪检监察等相关人员进入评标现场，对评标工作实施监督，但不得超过２人。采购人需要在评标前介绍项目背景和技术需求的，应当事先提交书面介绍材料，介绍内容不得存在歧视性、倾向性意见，不得超出采购文件所述范围，书面介绍材料作为采购项目文件随其他文件一并存档。</w:t>
      </w:r>
      <w:r>
        <w:rPr>
          <w:rFonts w:hint="eastAsia" w:ascii="宋体" w:hAnsi="宋体" w:eastAsia="宋体" w:cs="宋体"/>
          <w:b/>
          <w:color w:val="auto"/>
          <w:kern w:val="0"/>
          <w:sz w:val="21"/>
          <w:szCs w:val="21"/>
          <w:highlight w:val="none"/>
        </w:rPr>
        <w:t>评标委员会应当推选组长，但采购人代表不得担任组长</w:t>
      </w:r>
      <w:r>
        <w:rPr>
          <w:rFonts w:hint="eastAsia" w:ascii="宋体" w:hAnsi="宋体" w:eastAsia="宋体" w:cs="宋体"/>
          <w:color w:val="auto"/>
          <w:kern w:val="0"/>
          <w:sz w:val="21"/>
          <w:szCs w:val="21"/>
          <w:highlight w:val="none"/>
        </w:rPr>
        <w:t>。</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3.3.2评标委员会成员要严格遵守评标时间，主动出具身份证明，遵守评标工作纪律和评标回避的相关规定。在评标工作开始前，将手机等通讯工具或相关电子设备交由采购人或采购代理机构统一保管，拒不上交的，采购人或采购代理机构可以拒绝其参加评标工作并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3.3.3评标委员会成员和评标工作有关人员不得干预或者影响正常评标工作，不得明示或者暗示其倾向性、引导性意见，不得修改或细化采购文件确定的评标程序、评标方法、评标因素和评标标准，不得接受投标人主动提出的澄清和解释，不得征询采购人代表的倾向性意见，不得协商评分，不得记录、复制或带走任何评标资料。评标结果汇总完成后，采购人、采购代理机构和评标委员会均不得修改评标结果或者要求重新评标，但资格性检查认定错误、分值汇总计算错误、分项评分超出评分标准范围、客观分评分不一致、经评标委员会一致认定评分畸高、畸低的情形除外。出现上述除外情形的，评标委员会应当现场修改评标结果，并在评标报告中明确记载。</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3.3.4评标委员会成员不得私自泄露评标内容。评标过程应严格遵守保密制度。开标后</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直到授予中标人合同止，凡是属于审查、澄清、评价和比较的有关资料以及授标建议等均不得向投标人或其他无关的人员透露。</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3.3.5采购人、采购代理机构要加强评标现场管理，与评标工作无关的人员不得进入评标现场。各级财政部门对评标活动相关各方违反评标工作纪律及要求的行为，将依法严肃处理。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3.4评标委员会成员应当履行的义务</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3.4.1评标委员会成员应根据政府采购法律法规和采购文件所载明的评标方法、标准进行评标，遵纪守法，客观、公正、廉洁地履行职责。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3.4.2评标委员会成员应熟悉和理解采购文件，认真阅读所有投标人的投标文件，对所有投标文件逐一进行资格性、符合性检查，按采购文件规定的评标方法和标准，进行比较和评价；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3.4.3对投标人的价格分等客观评分项的评分应当一致，对其他需要借助专业知识评判的主观评分项，应当严格按照评分细则公正评分。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3.4.4评标委员会如需要投标人对投标文件有关事项作出澄清的，应当给予投标人必要的反馈时间，但澄清事项不得超出投标文件的范围，不得实质性改变投标文件的内容，不得通过澄清等方式对投标人实行差别对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3.4.5评标委员会应对评分汇总情况进行复核，特别是对排名第一的、报价最低的投标或相应文件被认定为无效的情形进行重点复核，并根据评标结果推荐中标候选人，或者根据采购人委托协议规定直接确定中标人，起草并签署评标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3.4.6评标委员会应在采购项目招标失败时，出具招标文件是否存在不合理条款的论证意见，并协助采购人、采购代理机构、财政部门答复质疑或处理投诉事项。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3.4.7评标委员会应对评标过程和结果以及投标人的商业秘密保密。</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lang w:eastAsia="zh-CN"/>
        </w:rPr>
      </w:pPr>
      <w:bookmarkStart w:id="100" w:name="_Toc29012"/>
      <w:r>
        <w:rPr>
          <w:rFonts w:hint="eastAsia" w:ascii="宋体" w:hAnsi="宋体" w:eastAsia="宋体" w:cs="宋体"/>
          <w:color w:val="auto"/>
          <w:spacing w:val="0"/>
          <w:w w:val="100"/>
          <w:position w:val="0"/>
          <w:sz w:val="28"/>
          <w:szCs w:val="28"/>
          <w:highlight w:val="none"/>
        </w:rPr>
        <w:t>二、评标程序</w:t>
      </w:r>
      <w:bookmarkEnd w:id="100"/>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4．投标文件的初步评标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4.1初步评标分为资格性检查和符合性检查。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4.1.1资格性检查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根据法律法规和招标文件的规定，对投标文件中的资格证明文件、投标保证金等进行审查，以确定</w:t>
      </w:r>
      <w:r>
        <w:rPr>
          <w:rFonts w:hint="eastAsia" w:ascii="宋体" w:hAnsi="宋体" w:eastAsia="宋体" w:cs="宋体"/>
          <w:color w:val="auto"/>
          <w:kern w:val="0"/>
          <w:sz w:val="21"/>
          <w:szCs w:val="21"/>
          <w:highlight w:val="none"/>
          <w:lang w:eastAsia="zh-CN"/>
        </w:rPr>
        <w:t>投标</w:t>
      </w:r>
      <w:r>
        <w:rPr>
          <w:rFonts w:hint="eastAsia" w:ascii="宋体" w:hAnsi="宋体" w:eastAsia="宋体" w:cs="宋体"/>
          <w:color w:val="auto"/>
          <w:kern w:val="0"/>
          <w:sz w:val="21"/>
          <w:szCs w:val="21"/>
          <w:highlight w:val="none"/>
        </w:rPr>
        <w:t>人是否具备投标资格。审查事项如下：</w:t>
      </w:r>
    </w:p>
    <w:p>
      <w:pPr>
        <w:snapToGrid w:val="0"/>
        <w:spacing w:line="240" w:lineRule="auto"/>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资格性检查表</w:t>
      </w:r>
    </w:p>
    <w:tbl>
      <w:tblPr>
        <w:tblStyle w:val="24"/>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600"/>
        <w:gridCol w:w="2657"/>
        <w:gridCol w:w="6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05" w:type="dxa"/>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3257" w:type="dxa"/>
            <w:gridSpan w:val="2"/>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检查因素</w:t>
            </w:r>
          </w:p>
        </w:tc>
        <w:tc>
          <w:tcPr>
            <w:tcW w:w="6127" w:type="dxa"/>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7" w:hRule="atLeast"/>
          <w:jc w:val="center"/>
        </w:trPr>
        <w:tc>
          <w:tcPr>
            <w:tcW w:w="505" w:type="dxa"/>
            <w:vMerge w:val="restart"/>
            <w:vAlign w:val="center"/>
          </w:tcPr>
          <w:p>
            <w:pPr>
              <w:spacing w:before="0" w:after="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600" w:type="dxa"/>
            <w:vMerge w:val="restart"/>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符合《中华人民共和国政府采购法》第二十二条规定</w:t>
            </w: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（1）具有独立承担民事责任的能力</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投标人是企业（包括合伙企业）的，应提供其在工商部门注册的有效“营业执照”；投标人是事业单位的，应提供其有效的“事业单位法人证书”；投标人是非企业专业服务机构的，应提供其有效的“执业许可证”；投标人是民办非企业单位的，应提供其有效的登记证书；投标人是个体工商户的，应提供其有效的“营业执照”；投标人是自然人的，应提供其有效的自然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w:t>
            </w:r>
            <w:r>
              <w:rPr>
                <w:rFonts w:hint="eastAsia" w:ascii="宋体" w:hAnsi="宋体" w:eastAsia="宋体" w:cs="宋体"/>
                <w:color w:val="auto"/>
                <w:sz w:val="21"/>
                <w:szCs w:val="21"/>
                <w:highlight w:val="none"/>
              </w:rPr>
              <w:t>具有良好的商业信誉和健全的财务会计制度</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提供由会计师事务所出具的上一年度财务审计报告或提供由开标日前三个月内投标人开户银行出具的资信证明；新成立公司提供银行出具的有效期内的资信证明；其他组织和自然人，没有经审计的财务报告，提供银行出具的资信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（3）具有履行合同所必需的设备和专业技术能力</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具备履行合同所必需的设备和专业技术能力的说明函（投标人自行出具，格式自拟，加盖公章）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3"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（4）有依法缴纳税收和社会保障资金的良好记录</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1）依法缴纳税收的相关材料：</w:t>
            </w:r>
          </w:p>
          <w:p>
            <w:pPr>
              <w:keepNext w:val="0"/>
              <w:keepLines w:val="0"/>
              <w:widowControl/>
              <w:numPr>
                <w:ilvl w:val="0"/>
                <w:numId w:val="0"/>
              </w:numPr>
              <w:suppressLineNumbers w:val="0"/>
              <w:autoSpaceDE/>
              <w:autoSpaceDN/>
              <w:spacing w:before="0" w:after="0" w:line="240" w:lineRule="auto"/>
              <w:ind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缴纳凭证复印件须清晰可辨，并能显示出税种种类，单位代扣代缴的个人所得税不能作为单位纳税的凭证；依法免税的投标人，应提供相应文件证明其依法免税；或者依法缴纳税收的承诺函。</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2）依法缴纳社会保障资金的相关材料：</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或者投标人依法缴纳社会保障资金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（5）参加政府采购活动近3年内，在经营活动中没有重大违法记录</w:t>
            </w:r>
          </w:p>
        </w:tc>
        <w:tc>
          <w:tcPr>
            <w:tcW w:w="6127" w:type="dxa"/>
            <w:vAlign w:val="center"/>
          </w:tcPr>
          <w:p>
            <w:pPr>
              <w:widowControl w:val="0"/>
              <w:autoSpaceDE w:val="0"/>
              <w:autoSpaceDN w:val="0"/>
              <w:spacing w:before="0" w:after="0" w:line="240" w:lineRule="auto"/>
              <w:ind w:left="0" w:leftChars="0" w:right="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投标人须提供投标人参加政府采购活动前3年内在经营活动中没有重大违法记录的书面声明（格式自拟）；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0"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信用查询</w:t>
            </w:r>
          </w:p>
        </w:tc>
        <w:tc>
          <w:tcPr>
            <w:tcW w:w="6127" w:type="dxa"/>
            <w:vAlign w:val="center"/>
          </w:tcPr>
          <w:p>
            <w:pPr>
              <w:keepNext w:val="0"/>
              <w:keepLines w:val="0"/>
              <w:pageBreakBefore w:val="0"/>
              <w:widowControl/>
              <w:numPr>
                <w:ilvl w:val="0"/>
                <w:numId w:val="0"/>
              </w:numPr>
              <w:suppressLineNumbers w:val="0"/>
              <w:kinsoku/>
              <w:wordWrap w:val="0"/>
              <w:overflowPunct/>
              <w:topLinePunct w:val="0"/>
              <w:autoSpaceDE w:val="0"/>
              <w:autoSpaceDN w:val="0"/>
              <w:bidi w:val="0"/>
              <w:adjustRightInd/>
              <w:snapToGrid/>
              <w:spacing w:before="0" w:after="0" w:line="240" w:lineRule="auto"/>
              <w:ind w:left="0" w:leftChars="0" w:right="0" w:rightChars="0"/>
              <w:jc w:val="left"/>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限制行为</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单位负责人为同一人或者存在直接控股、管理关系的不同投标人，不得参加同一合同项下的政府采购活动；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其他要求</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w:t>
            </w:r>
          </w:p>
        </w:tc>
      </w:tr>
    </w:tbl>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4.1.2符合性检查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4.1.2.1依据招标文件的规定，从投标文件的有效性、完整性和对招标文件的响应程度进行审查，以确定是否对招标文件的实质性要求</w:t>
      </w:r>
      <w:r>
        <w:rPr>
          <w:rFonts w:hint="eastAsia" w:ascii="宋体" w:hAnsi="宋体" w:eastAsia="宋体" w:cs="宋体"/>
          <w:color w:val="auto"/>
          <w:kern w:val="0"/>
          <w:sz w:val="21"/>
          <w:szCs w:val="21"/>
          <w:highlight w:val="none"/>
          <w:lang w:eastAsia="zh-CN"/>
        </w:rPr>
        <w:t>做出</w:t>
      </w:r>
      <w:r>
        <w:rPr>
          <w:rFonts w:hint="eastAsia" w:ascii="宋体" w:hAnsi="宋体" w:eastAsia="宋体" w:cs="宋体"/>
          <w:color w:val="auto"/>
          <w:kern w:val="0"/>
          <w:sz w:val="21"/>
          <w:szCs w:val="21"/>
          <w:highlight w:val="none"/>
        </w:rPr>
        <w:t>响应。评标委员会评标投标文件的响应</w:t>
      </w:r>
      <w:r>
        <w:rPr>
          <w:rFonts w:hint="eastAsia" w:ascii="宋体" w:hAnsi="宋体" w:eastAsia="宋体" w:cs="宋体"/>
          <w:color w:val="auto"/>
          <w:kern w:val="0"/>
          <w:sz w:val="21"/>
          <w:szCs w:val="21"/>
          <w:highlight w:val="none"/>
          <w:lang w:eastAsia="zh-CN"/>
        </w:rPr>
        <w:t>性质</w:t>
      </w:r>
      <w:r>
        <w:rPr>
          <w:rFonts w:hint="eastAsia" w:ascii="宋体" w:hAnsi="宋体" w:eastAsia="宋体" w:cs="宋体"/>
          <w:color w:val="auto"/>
          <w:kern w:val="0"/>
          <w:sz w:val="21"/>
          <w:szCs w:val="21"/>
          <w:highlight w:val="none"/>
        </w:rPr>
        <w:t>根据投标文件真实无误的内容，而不依据外部的证据，但投标文件有不真实、不正确的内容时除外。</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4.1.2.2投标人不得通过修正或撤销不符合要求的偏离从而使其投标成为实质上响应的投标。</w:t>
      </w:r>
    </w:p>
    <w:p>
      <w:pPr>
        <w:snapToGrid w:val="0"/>
        <w:spacing w:line="500" w:lineRule="exac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符合性检查表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93"/>
        <w:gridCol w:w="2268"/>
        <w:gridCol w:w="5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75" w:type="dxa"/>
            <w:noWrap w:val="0"/>
            <w:vAlign w:val="center"/>
          </w:tcPr>
          <w:p>
            <w:pPr>
              <w:jc w:val="center"/>
              <w:rPr>
                <w:rFonts w:hint="eastAsia" w:ascii="宋体" w:hAnsi="宋体" w:eastAsia="宋体" w:cs="宋体"/>
                <w:color w:val="auto"/>
                <w:kern w:val="0"/>
                <w:sz w:val="21"/>
                <w:szCs w:val="21"/>
                <w:highlight w:val="none"/>
              </w:rPr>
            </w:pPr>
            <w:bookmarkStart w:id="101" w:name="_bookmark67"/>
            <w:bookmarkEnd w:id="101"/>
            <w:r>
              <w:rPr>
                <w:rFonts w:hint="eastAsia" w:ascii="宋体" w:hAnsi="宋体" w:eastAsia="宋体" w:cs="宋体"/>
                <w:color w:val="auto"/>
                <w:kern w:val="0"/>
                <w:sz w:val="21"/>
                <w:szCs w:val="21"/>
                <w:highlight w:val="none"/>
              </w:rPr>
              <w:t>序号</w:t>
            </w:r>
          </w:p>
        </w:tc>
        <w:tc>
          <w:tcPr>
            <w:tcW w:w="3261" w:type="dxa"/>
            <w:gridSpan w:val="2"/>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w:t>
            </w:r>
          </w:p>
        </w:tc>
        <w:tc>
          <w:tcPr>
            <w:tcW w:w="5870"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75"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993"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有效性</w:t>
            </w:r>
          </w:p>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审查</w:t>
            </w: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p>
        </w:tc>
        <w:tc>
          <w:tcPr>
            <w:tcW w:w="587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投标文件签署</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投标文件上法定代表人或其授权代理人的签字、投标人的单位章齐全符合招标文件规定。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法定代表人身份证明及授权委托书</w:t>
            </w:r>
          </w:p>
        </w:tc>
        <w:tc>
          <w:tcPr>
            <w:tcW w:w="587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法定代表人身份证明及授权委托书有效。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投标方案</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每个分包只能有一个方案投标。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报价唯一</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其报价未超过采购预算金额，且</w:t>
            </w:r>
            <w:r>
              <w:rPr>
                <w:rFonts w:hint="eastAsia" w:ascii="宋体" w:hAnsi="宋体" w:eastAsia="宋体" w:cs="宋体"/>
                <w:color w:val="auto"/>
                <w:sz w:val="21"/>
                <w:szCs w:val="21"/>
                <w:highlight w:val="none"/>
              </w:rPr>
              <w:t>只有一个有效报价，不得提交选择性报价。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w:t>
            </w:r>
          </w:p>
        </w:tc>
        <w:tc>
          <w:tcPr>
            <w:tcW w:w="5870"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按时、足额缴纳投标保证金。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675"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993"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完整性</w:t>
            </w:r>
          </w:p>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审查</w:t>
            </w: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投标文件份数</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投标文件正本、副本、电子版数量符合招标文件要求。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75"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993" w:type="dxa"/>
            <w:vMerge w:val="restart"/>
            <w:noWrap w:val="0"/>
            <w:vAlign w:val="center"/>
          </w:tcPr>
          <w:p>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kern w:val="0"/>
                <w:sz w:val="21"/>
                <w:szCs w:val="21"/>
                <w:highlight w:val="none"/>
              </w:rPr>
              <w:t>对招标文件的响应程度审查</w:t>
            </w:r>
          </w:p>
        </w:tc>
        <w:tc>
          <w:tcPr>
            <w:tcW w:w="2268" w:type="dxa"/>
            <w:noWrap w:val="0"/>
            <w:vAlign w:val="center"/>
          </w:tcPr>
          <w:p>
            <w:pPr>
              <w:jc w:val="left"/>
              <w:rPr>
                <w:rFonts w:hint="eastAsia" w:ascii="宋体" w:hAnsi="宋体" w:eastAsia="宋体" w:cs="宋体"/>
                <w:color w:val="auto"/>
                <w:kern w:val="0"/>
                <w:sz w:val="21"/>
                <w:szCs w:val="21"/>
                <w:highlight w:val="none"/>
              </w:rPr>
            </w:pPr>
            <w:bookmarkStart w:id="102" w:name="OLE_LINK2"/>
            <w:r>
              <w:rPr>
                <w:rFonts w:hint="eastAsia" w:ascii="宋体" w:hAnsi="宋体" w:eastAsia="宋体" w:cs="宋体"/>
                <w:color w:val="auto"/>
                <w:kern w:val="0"/>
                <w:sz w:val="21"/>
                <w:szCs w:val="21"/>
                <w:highlight w:val="none"/>
              </w:rPr>
              <w:t>供货范围</w:t>
            </w:r>
            <w:bookmarkEnd w:id="102"/>
          </w:p>
        </w:tc>
        <w:tc>
          <w:tcPr>
            <w:tcW w:w="5870"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对招标文件规定的</w:t>
            </w:r>
            <w:r>
              <w:rPr>
                <w:rFonts w:hint="eastAsia" w:ascii="宋体" w:hAnsi="宋体" w:eastAsia="宋体" w:cs="宋体"/>
                <w:color w:val="auto"/>
                <w:kern w:val="0"/>
                <w:sz w:val="21"/>
                <w:szCs w:val="21"/>
                <w:highlight w:val="none"/>
              </w:rPr>
              <w:t>供货范围</w:t>
            </w:r>
            <w:r>
              <w:rPr>
                <w:rFonts w:hint="eastAsia" w:ascii="宋体" w:hAnsi="宋体" w:eastAsia="宋体" w:cs="宋体"/>
                <w:color w:val="auto"/>
                <w:sz w:val="21"/>
                <w:szCs w:val="21"/>
                <w:highlight w:val="none"/>
                <w:lang w:val="zh-CN"/>
              </w:rPr>
              <w:t>全部做出响应。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交货期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质保期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投标有效期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w:t>
            </w:r>
            <w:r>
              <w:rPr>
                <w:rFonts w:hint="eastAsia" w:ascii="宋体" w:hAnsi="宋体" w:eastAsia="宋体" w:cs="宋体"/>
                <w:color w:val="auto"/>
                <w:sz w:val="21"/>
                <w:szCs w:val="21"/>
                <w:highlight w:val="none"/>
                <w:lang w:val="zh-CN"/>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付款方式</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投标文件承诺</w:t>
            </w:r>
            <w:r>
              <w:rPr>
                <w:rFonts w:hint="eastAsia" w:ascii="宋体" w:hAnsi="宋体" w:eastAsia="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rPr>
              <w:t>付款方式满足招标文件要求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sz w:val="21"/>
                <w:szCs w:val="21"/>
                <w:highlight w:val="none"/>
                <w:lang w:val="zh-CN"/>
              </w:rPr>
            </w:pPr>
          </w:p>
        </w:tc>
        <w:tc>
          <w:tcPr>
            <w:tcW w:w="2268" w:type="dxa"/>
            <w:tcBorders>
              <w:bottom w:val="single" w:color="auto" w:sz="4" w:space="0"/>
            </w:tcBorders>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其他</w:t>
            </w:r>
          </w:p>
        </w:tc>
        <w:tc>
          <w:tcPr>
            <w:tcW w:w="5870" w:type="dxa"/>
            <w:tcBorders>
              <w:bottom w:val="single" w:color="auto" w:sz="4" w:space="0"/>
            </w:tcBorders>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投标文件未附有采购人不能接受的附加条件及法律、法规和招标文件规定的其他无效情形。</w:t>
            </w:r>
          </w:p>
        </w:tc>
      </w:tr>
    </w:tbl>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4.2有下列情形之一时</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评标委员会应予废标</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并将理由通知所有投标人：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符合专业条件的投标人或者对招标文件作实质性响应的投标人不足三家的；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出现影响招标公正的违法、违规行为的；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投标人的报价均超过了采购预算</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采购人不能支付的；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因重大变故，采购任务取消的。</w:t>
      </w:r>
    </w:p>
    <w:p>
      <w:pPr>
        <w:pStyle w:val="11"/>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如发现有二份及以上投标文件的相互之间有相同或高度相似之处，且无合理解释的，经评标委员会半数以上成员认定有串通投标嫌疑的，其投标文件按无效投标处理，予以废除，不再对其进行评审，也不影响招标工作继续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4.3废标后，除采购任务取消情形外，招标采购单位应当重新组织招标。需要采取其他采购方式的，应当在采购活动开始前获得设区的市、自治州以上人民政府财政部门的批准。</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5．澄清有关问题</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5.1对于投标文件中含义不明确、同类问题表述不一致或者有明显文字和计算错误的内容，评标委员会应当以书面形式要求投标人作出必要的澄清、说明或者补正。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5.2投标人不得对下列内容进行澄清或补充：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投标报价、质量标准、合同履行期限等实质性内容。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不满足投标人须知2.10</w:t>
      </w:r>
      <w:r>
        <w:rPr>
          <w:rFonts w:hint="eastAsia" w:ascii="宋体" w:hAnsi="宋体" w:eastAsia="宋体" w:cs="宋体"/>
          <w:color w:val="auto"/>
          <w:kern w:val="0"/>
          <w:sz w:val="21"/>
          <w:szCs w:val="21"/>
          <w:highlight w:val="none"/>
          <w:lang w:val="en-US" w:eastAsia="zh-CN"/>
        </w:rPr>
        <w:t>条</w:t>
      </w:r>
      <w:r>
        <w:rPr>
          <w:rFonts w:hint="eastAsia" w:ascii="宋体" w:hAnsi="宋体" w:eastAsia="宋体" w:cs="宋体"/>
          <w:color w:val="auto"/>
          <w:kern w:val="0"/>
          <w:sz w:val="21"/>
          <w:szCs w:val="21"/>
          <w:highlight w:val="none"/>
        </w:rPr>
        <w:t>规定的实质性要求的投标文件内容。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5.3投标文件报价出现前后不一致的，除招标文件另有规定外，按照下列规定修正：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（1）投标文件中开标一览表（报价表）内容与投标文件中相应内容不一致的，以开标一览表（报价表）为准；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（2）大写金额和小写金额不一致的，以大写金额为准；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（3）单价金额小数点或者百分比有明显错位的，以开标一览表的总价为准，并修改单价；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（4）总价金额与按单价汇总金额不一致的，以单价金额计算结果为准。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同时出现两种以上不一致的，按照前款规定的顺序修正。修正后的报价按照本章5.1款的规定经投标人确认后产生约束力，▲</w:t>
      </w:r>
      <w:r>
        <w:rPr>
          <w:rFonts w:hint="eastAsia" w:ascii="宋体" w:hAnsi="宋体" w:eastAsia="宋体" w:cs="宋体"/>
          <w:b/>
          <w:color w:val="auto"/>
          <w:kern w:val="0"/>
          <w:sz w:val="21"/>
          <w:szCs w:val="21"/>
          <w:highlight w:val="none"/>
        </w:rPr>
        <w:t>投标人不确认或拒绝修正的，其投标无效</w:t>
      </w:r>
      <w:r>
        <w:rPr>
          <w:rFonts w:hint="eastAsia" w:ascii="宋体" w:hAnsi="宋体" w:eastAsia="宋体" w:cs="宋体"/>
          <w:color w:val="auto"/>
          <w:kern w:val="0"/>
          <w:sz w:val="21"/>
          <w:szCs w:val="21"/>
          <w:highlight w:val="none"/>
        </w:rPr>
        <w:t>。</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5.4投标人按照评标委员会要求提供的有效书面澄清材料，是投标文件的补充材料，成为其投标文件的组成部分。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5.5评标委员会认为投标人的报价明显低于其他通过符合性审查投标人的报价，有可能影响产品质量或者不能诚信履约的，应当要求其在评标现场合理的时间内提供书面说明，必要时提交相关证明材料；▲</w:t>
      </w:r>
      <w:r>
        <w:rPr>
          <w:rFonts w:hint="eastAsia" w:ascii="宋体" w:hAnsi="宋体" w:eastAsia="宋体" w:cs="宋体"/>
          <w:b/>
          <w:color w:val="auto"/>
          <w:kern w:val="0"/>
          <w:sz w:val="21"/>
          <w:szCs w:val="21"/>
          <w:highlight w:val="none"/>
        </w:rPr>
        <w:t>投标人规定的时间内不能证明其报价合理性的，评标委员会应当将其作为无效投标处理</w:t>
      </w:r>
      <w:r>
        <w:rPr>
          <w:rFonts w:hint="eastAsia" w:ascii="宋体" w:hAnsi="宋体" w:eastAsia="宋体" w:cs="宋体"/>
          <w:color w:val="auto"/>
          <w:kern w:val="0"/>
          <w:sz w:val="21"/>
          <w:szCs w:val="21"/>
          <w:highlight w:val="none"/>
        </w:rPr>
        <w:t>。</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6．详细评标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6.1评标委员会应按照招标文件中规定的评标方法、标准和评标因素，对资格性检查和符合性检查合格的投标文件进行商务和技术评估，综合比较与评价。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adjustRightInd w:val="0"/>
        <w:snapToGrid w:val="0"/>
        <w:spacing w:line="360" w:lineRule="auto"/>
        <w:ind w:firstLine="42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kern w:val="0"/>
          <w:sz w:val="21"/>
          <w:szCs w:val="21"/>
          <w:highlight w:val="none"/>
          <w:lang w:eastAsia="zh-CN"/>
        </w:rPr>
        <w:t>非单一产品采购项目，采购人应当根据采购项目技术构成、产品价格比重等合理确定核心产品，并在招标文件中载明。多家投标人提供的核心产品品牌相同的，按前两款规定处理。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6.2评标时，评标委员会各成员应当独立对每个投标人的投标文件进行评价、评分，然后汇总每个投标人每项评分因素的得分。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6.3投标人在评标过程中，所进行的试图影响评标结果的不符合招标规则的活动，可能导致其被取消中标资格。</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6.4评分标准：具体</w:t>
      </w:r>
      <w:r>
        <w:rPr>
          <w:rFonts w:hint="eastAsia" w:ascii="宋体" w:hAnsi="宋体" w:eastAsia="宋体" w:cs="宋体"/>
          <w:color w:val="auto"/>
          <w:kern w:val="0"/>
          <w:sz w:val="21"/>
          <w:szCs w:val="21"/>
          <w:highlight w:val="none"/>
          <w:lang w:val="en-US" w:eastAsia="zh-CN"/>
        </w:rPr>
        <w:t>见三、评标标准</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7．推荐中标候选人名单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7.1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7.2评标结果汇总完成后，除下列情形外，任何人不得修改评标结果：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分值汇总计算错误的；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分项评分超出评分标准范围的；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评标委员会成员对客观评标因素评分不一致的；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经评标委员会认定评分畸高、畸低的。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标，重新评标改变评标结果的，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投标人对上述</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1)～(4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提出质疑的，采购人或者采购代理机构可以组织原评标委员会进行重新评标，重新评标改变评标结果的，应当书面报告本级财政部门。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7.3评标委员会根据全体评标成员签字的原始评标记录和评标结果编写评标报告。评标报告应当包括以下内容：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（1）招标公告刊登的媒体名称、开标日期和地点；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（2）投标人名单和评标委员会成员名单；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（3）评标方法和标准；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（4）开标记录和评标情况及说明，包括无效投标人名单及原因；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（5）评标结果，确定的中标候选人名单或者经采购人委托直接确定的中标人；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（6）其他需要说明的情况，包括评标过程中投标人根据评标委员会要求进行的澄清、说明或者补正，评标委员会成员的更换等。</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7.4本次招标采购推荐的中标候选人数量见投标须知前附表。</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rPr>
      </w:pPr>
      <w:bookmarkStart w:id="103" w:name="_Toc25757"/>
      <w:r>
        <w:rPr>
          <w:rFonts w:hint="eastAsia" w:ascii="宋体" w:hAnsi="宋体" w:eastAsia="宋体" w:cs="宋体"/>
          <w:color w:val="auto"/>
          <w:spacing w:val="0"/>
          <w:w w:val="100"/>
          <w:position w:val="0"/>
          <w:sz w:val="28"/>
          <w:szCs w:val="28"/>
          <w:highlight w:val="none"/>
          <w:lang w:val="en-US" w:eastAsia="zh-CN"/>
        </w:rPr>
        <w:t>三</w:t>
      </w:r>
      <w:r>
        <w:rPr>
          <w:rFonts w:hint="eastAsia" w:ascii="宋体" w:hAnsi="宋体" w:eastAsia="宋体" w:cs="宋体"/>
          <w:color w:val="auto"/>
          <w:spacing w:val="0"/>
          <w:w w:val="100"/>
          <w:position w:val="0"/>
          <w:sz w:val="28"/>
          <w:szCs w:val="28"/>
          <w:highlight w:val="none"/>
        </w:rPr>
        <w:t>、评标中的落实政府采购政策具体办法</w:t>
      </w:r>
      <w:bookmarkEnd w:id="103"/>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24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bookmarkStart w:id="104" w:name="_bookmark68"/>
      <w:bookmarkEnd w:id="104"/>
      <w:r>
        <w:rPr>
          <w:rFonts w:hint="eastAsia" w:ascii="宋体" w:hAnsi="宋体" w:eastAsia="宋体" w:cs="宋体"/>
          <w:b/>
          <w:bCs/>
          <w:color w:val="auto"/>
          <w:spacing w:val="0"/>
          <w:w w:val="100"/>
          <w:position w:val="0"/>
          <w:sz w:val="21"/>
          <w:szCs w:val="21"/>
          <w:highlight w:val="none"/>
          <w:lang w:val="en-US" w:eastAsia="zh-CN"/>
        </w:rPr>
        <w:t>1、促进中小企业、残疾人福利性单位、监狱企业政策落实</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bookmarkStart w:id="105" w:name="_bookmark69"/>
      <w:bookmarkEnd w:id="105"/>
      <w:r>
        <w:rPr>
          <w:rFonts w:hint="eastAsia" w:ascii="宋体" w:hAnsi="宋体" w:eastAsia="宋体" w:cs="宋体"/>
          <w:color w:val="auto"/>
          <w:spacing w:val="0"/>
          <w:sz w:val="21"/>
          <w:szCs w:val="24"/>
          <w:highlight w:val="none"/>
          <w:lang w:val="en-US" w:eastAsia="zh-CN"/>
        </w:rPr>
        <w:t>（1）《政府采购促进中小企业发展管理办法》（财库[2020]46 号，以下简称“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（2）在政府采购活动中，投标人提供的货物、工程或者服务符合下列情形的，享受本办法规定的中小企业扶持政策：</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（一）在货物采购项目中，货物由中小企业制造，即货物由中小企业生产且使用该中小企业商号或者注册商标；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（二）在工程采购项目中，工程由中小企业承建，即工程施工单位为中小企业；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（三）在服务采购项目中，服务由中小企业承接，即提供服务的人员为中小企业依照《中华人民共和国劳动合同法》订立劳动合同的从业人员。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在货物采购项目中，投标人提供的货物既有中小企业制造货物，也有大型企业制造货物的，不享受本办法规定的中小企业扶持政策。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以联合体形式参加政府采购活动，联合体各方均为中小企业的，联合体视同中小企业。其中，联合体各方均为小微企业的，联合体视同小微企业。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根据发展管理办法第九条要求：</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对于经主管预算单位统筹后未预留份额专门面向中小企业采购的采购项目，以及预留份额项目中的非预留部分采购包，采购人、采购代理机构应当对符合本办法规定的小微企业报价给予 6%—10%（工程项目为 3%—5%）的扣4除，用扣除后的价格参加评审。适用招标投标法的政府采购工程建设项目，采用综合评估法但未采用低价优先法计算价格分的，评标时应当在采用原报价进行评分的基础上增加其价格得分的 3%—5%作为其价格分。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（4）中小企业参加政府采购活动，应当出具《中小企业声明函》，否则不得享受相关中小企业扶持政策，《中小企业声明函》格式见第六章投标文件格式。</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（5）根据《关于政府采购支持监狱企业发展有关问题的通知》（财库[2014]68 号）的要求，监狱和戒毒企业（以下简称监狱企业）参加政府采购活动时，应当提供由省级以上监狱管理局、戒毒管理局（含新疆生产建设兵团）出具的属于监狱企业的证明文件。监狱企业视同小型、微型企业，享受招标文件规定的评审中价格扣除等促进中小企业发展的政府采购政策。</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（6）根据《关于促进残疾人就业政府采购政策的通知》（财库〔2017〕141 号）规定， 投标人如符合该规定享受政府采购支持政策的残疾人福利性单位的条件，应提供《残疾人福利性单位声明函》，格式见第六章投标文件格式。残疾人福利性单位视同小型、微型企业，享受招标文件规定的评审中价格扣除等促进中小企业发展的政府采购政策。残疾人福利性单位属于小型、微型企业的，不重复享受政策。享受政府采购支持政策的残疾人福利性单位应当同时满足以下条件：</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（一）安置的残疾人占本单位在职职工人数的比例不低于 25%（含 25%），并且安置的残疾人人数不少于 10 人（含 10 人）；</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（二）依法与安置的每位残疾人签订了一年以上（含一年）的劳动合同或服务协议；</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（三）为安置的每位残疾人按月足额缴纳了基本养老保险、基本医疗保险、失业保险、工伤保险和生育保险等社会保险费；</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（四）通过银行等金融机构向安置的每位残疾人，按月支付了不低于单位所在区县适用的经省级人民政府批准的月最低工资标准的工资；</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（五）提供本单位制造的货物、承担的工程或者服务（以下简称产品），或者提供其他残疾人福利性单位制造的货物（不包括使用非残疾人福利性单位注册商标的货物）。</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（7）若投标报价中有小型、微型企业、监狱企业或残疾人福利性单位报价的，需填报《分项报价表Ⅱ（仅针对小型、微型企业、监狱企业或残疾人福利性单位产品）》。</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4、具体投标报价扣除比例说明：</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4.1对给予小型和微型企业产品的价格给予6%-10%的扣除，用扣除后的价格参与评标，</w:t>
      </w:r>
      <w:r>
        <w:rPr>
          <w:rFonts w:hint="eastAsia" w:ascii="宋体" w:hAnsi="宋体" w:eastAsia="宋体" w:cs="宋体"/>
          <w:b/>
          <w:bCs/>
          <w:color w:val="auto"/>
          <w:spacing w:val="0"/>
          <w:sz w:val="21"/>
          <w:szCs w:val="24"/>
          <w:highlight w:val="none"/>
          <w:lang w:val="en-US" w:eastAsia="zh-CN"/>
        </w:rPr>
        <w:t>本项目具体扣除比例为6%。</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b/>
          <w:bCs/>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4.2符合条件的残疾人福利性单位在参加政府采购活动时，应当提供规定的《残疾人福利性单位声明函》，并对声明的真实性负责。任何单位或者个人在政府采购活动中均不得要求残疾人福利性单位提供其他证明声明函内容的材料。残疾人福利性单位视同小型、微型企业，享受评标中价格扣除等促进中小企业发展的政府采购政策。</w:t>
      </w:r>
      <w:r>
        <w:rPr>
          <w:rFonts w:hint="eastAsia" w:ascii="宋体" w:hAnsi="宋体" w:eastAsia="宋体" w:cs="宋体"/>
          <w:b/>
          <w:bCs/>
          <w:color w:val="auto"/>
          <w:spacing w:val="0"/>
          <w:sz w:val="21"/>
          <w:szCs w:val="24"/>
          <w:highlight w:val="none"/>
          <w:lang w:val="en-US" w:eastAsia="zh-CN"/>
        </w:rPr>
        <w:t>本项目具体扣除比例为6%。</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24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2、鼓励节能、环保政策落实</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bookmarkStart w:id="106" w:name="_bookmark70"/>
      <w:bookmarkEnd w:id="106"/>
      <w:r>
        <w:rPr>
          <w:rFonts w:hint="eastAsia" w:ascii="宋体" w:hAnsi="宋体" w:eastAsia="宋体" w:cs="宋体"/>
          <w:color w:val="auto"/>
          <w:spacing w:val="0"/>
          <w:w w:val="100"/>
          <w:position w:val="0"/>
          <w:sz w:val="21"/>
          <w:szCs w:val="21"/>
          <w:highlight w:val="none"/>
          <w:lang w:val="en-US" w:eastAsia="zh-CN" w:bidi="zh-CN"/>
        </w:rPr>
        <w:t>（1）鼓励节能政策：在性能、技术、服务等指标同等条件下，优先采购国家确定的认证机构出具的、处于有效期之内的节能产品认证证书标志产品。投标涉及上述产品的，投标人应提供带有投标产品型号的节能产品认证证书复印件作为证明。</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2）鼓励环保政策：在性能、技术、服务等指标同等条件下，优先采购国家确定的认证机构出具的、处于有效期之内的环境标志产品认证证书标志产品。投标涉及上述产品的，投标人应提供带有投标产品型号的环境标志产品认证证书复印件作为证明。</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lang w:val="en-US" w:eastAsia="zh-CN"/>
        </w:rPr>
      </w:pPr>
      <w:bookmarkStart w:id="107" w:name="_Toc7979"/>
      <w:r>
        <w:rPr>
          <w:rFonts w:hint="eastAsia" w:ascii="宋体" w:hAnsi="宋体" w:eastAsia="宋体" w:cs="宋体"/>
          <w:color w:val="auto"/>
          <w:spacing w:val="0"/>
          <w:w w:val="100"/>
          <w:position w:val="0"/>
          <w:sz w:val="28"/>
          <w:szCs w:val="28"/>
          <w:highlight w:val="none"/>
          <w:lang w:val="en-US" w:eastAsia="zh-CN"/>
        </w:rPr>
        <w:t>四、评标标准</w:t>
      </w:r>
      <w:bookmarkEnd w:id="107"/>
    </w:p>
    <w:p>
      <w:pPr>
        <w:jc w:val="center"/>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详细评标表（满分100分）</w:t>
      </w:r>
    </w:p>
    <w:tbl>
      <w:tblPr>
        <w:tblStyle w:val="24"/>
        <w:tblW w:w="629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915"/>
        <w:gridCol w:w="338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6" w:hRule="atLeast"/>
          <w:jc w:val="center"/>
        </w:trPr>
        <w:tc>
          <w:tcPr>
            <w:tcW w:w="2915" w:type="dxa"/>
            <w:tcBorders>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评分因素</w:t>
            </w:r>
          </w:p>
        </w:tc>
        <w:tc>
          <w:tcPr>
            <w:tcW w:w="3383" w:type="dxa"/>
            <w:tcBorders>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分值分配</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9"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投标报价</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30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商务部分</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20</w:t>
            </w:r>
            <w:r>
              <w:rPr>
                <w:rFonts w:hint="eastAsia" w:ascii="宋体" w:hAnsi="宋体" w:eastAsia="宋体" w:cs="宋体"/>
                <w:color w:val="auto"/>
                <w:spacing w:val="0"/>
                <w:w w:val="100"/>
                <w:position w:val="0"/>
                <w:sz w:val="21"/>
                <w:szCs w:val="20"/>
                <w:highlight w:val="none"/>
              </w:rPr>
              <w:t xml:space="preserve">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技术部分</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50</w:t>
            </w:r>
            <w:r>
              <w:rPr>
                <w:rFonts w:hint="eastAsia" w:ascii="宋体" w:hAnsi="宋体" w:eastAsia="宋体" w:cs="宋体"/>
                <w:color w:val="auto"/>
                <w:spacing w:val="0"/>
                <w:w w:val="100"/>
                <w:position w:val="0"/>
                <w:sz w:val="21"/>
                <w:szCs w:val="20"/>
                <w:highlight w:val="none"/>
              </w:rPr>
              <w:t xml:space="preserve">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right w:val="single" w:color="000000" w:sz="6" w:space="0"/>
            </w:tcBorders>
            <w:vAlign w:val="center"/>
          </w:tcPr>
          <w:p>
            <w:pPr>
              <w:pStyle w:val="29"/>
              <w:spacing w:before="5"/>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合计</w:t>
            </w:r>
          </w:p>
        </w:tc>
        <w:tc>
          <w:tcPr>
            <w:tcW w:w="3383" w:type="dxa"/>
            <w:tcBorders>
              <w:top w:val="single" w:color="000000" w:sz="6" w:space="0"/>
              <w:left w:val="single" w:color="000000" w:sz="6" w:space="0"/>
            </w:tcBorders>
            <w:vAlign w:val="center"/>
          </w:tcPr>
          <w:p>
            <w:pPr>
              <w:pStyle w:val="29"/>
              <w:spacing w:before="5"/>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100 分</w:t>
            </w:r>
          </w:p>
        </w:tc>
      </w:tr>
    </w:tbl>
    <w:p>
      <w:pPr>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评分细则</w:t>
      </w:r>
    </w:p>
    <w:p>
      <w:pPr>
        <w:jc w:val="center"/>
        <w:outlineLvl w:val="9"/>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en-US" w:eastAsia="zh-CN"/>
        </w:rPr>
        <w:t>投标价格部分30分</w:t>
      </w:r>
    </w:p>
    <w:tbl>
      <w:tblPr>
        <w:tblStyle w:val="25"/>
        <w:tblW w:w="99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753"/>
        <w:gridCol w:w="7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kern w:val="0"/>
                <w:sz w:val="21"/>
                <w:szCs w:val="21"/>
                <w:highlight w:val="none"/>
                <w:lang w:val="en-US" w:eastAsia="zh-CN" w:bidi="ar-SA"/>
              </w:rPr>
              <w:t>评审内容</w:t>
            </w:r>
          </w:p>
        </w:tc>
        <w:tc>
          <w:tcPr>
            <w:tcW w:w="75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分值</w:t>
            </w: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r>
              <w:rPr>
                <w:rFonts w:hint="eastAsia" w:ascii="宋体" w:hAnsi="宋体" w:eastAsia="宋体" w:cs="宋体"/>
                <w:b w:val="0"/>
                <w:bCs w:val="0"/>
                <w:color w:val="auto"/>
                <w:kern w:val="2"/>
                <w:sz w:val="21"/>
                <w:szCs w:val="21"/>
                <w:vertAlign w:val="baseline"/>
                <w:lang w:val="en-US" w:eastAsia="zh-CN" w:bidi="ar-SA"/>
              </w:rPr>
              <w:t>投标价格</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r>
              <w:rPr>
                <w:rFonts w:hint="eastAsia" w:ascii="宋体" w:hAnsi="宋体" w:eastAsia="宋体" w:cs="宋体"/>
                <w:b w:val="0"/>
                <w:bCs w:val="0"/>
                <w:color w:val="auto"/>
                <w:kern w:val="2"/>
                <w:sz w:val="21"/>
                <w:szCs w:val="21"/>
                <w:vertAlign w:val="baseline"/>
                <w:lang w:val="en-US" w:eastAsia="zh-CN" w:bidi="ar-SA"/>
              </w:rPr>
              <w:t>（残疾人福利性单位，属于小型、微型企业的，不重复享受政策。）</w:t>
            </w:r>
          </w:p>
        </w:tc>
        <w:tc>
          <w:tcPr>
            <w:tcW w:w="753"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30分</w:t>
            </w: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投标人的价格分统一按照下列公式计算：</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投标报价得分=（评标基准价／修正后投标报价）×30%×100</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备注：</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1.投标价格评分采用低价优先法计算；</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2.评标基准价：满足招标文件要求且经修正，依据政府采购政策进行价格扣除后的最低报价为评标基准价；</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highlight w:val="none"/>
                <w:lang w:val="en-US" w:eastAsia="zh-CN" w:bidi="ar-SA"/>
              </w:rPr>
              <w:t>3.修正后投标报价：评标委员会以开标一览表中投标报价为基础，对其进行修正，依据政府采购政策进行价格扣除后，作为投标报价计算的依据。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p>
        </w:tc>
        <w:tc>
          <w:tcPr>
            <w:tcW w:w="75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b/>
                <w:bCs/>
                <w:color w:val="auto"/>
                <w:kern w:val="2"/>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SA"/>
              </w:rPr>
              <w:t>属于中小企业评标优惠内容及价格扣除幅度</w:t>
            </w:r>
            <w:r>
              <w:rPr>
                <w:rFonts w:hint="eastAsia" w:ascii="宋体" w:hAnsi="宋体" w:eastAsia="宋体" w:cs="宋体"/>
                <w:b/>
                <w:bCs/>
                <w:color w:val="auto"/>
                <w:kern w:val="2"/>
                <w:sz w:val="21"/>
                <w:szCs w:val="21"/>
                <w:highlight w:val="none"/>
                <w:lang w:val="en-US" w:eastAsia="zh-CN" w:bidi="ar"/>
              </w:rPr>
              <w:t>，本项目的价格扣除为6%。具体标准详见“二、评标中的落实政府采购政策具体办法”。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p>
        </w:tc>
        <w:tc>
          <w:tcPr>
            <w:tcW w:w="75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属于享受政府采购支持政策的残疾人福利性单位评标优惠内容及价格扣除幅度</w:t>
            </w:r>
            <w:r>
              <w:rPr>
                <w:rFonts w:hint="eastAsia" w:ascii="宋体" w:hAnsi="宋体" w:eastAsia="宋体" w:cs="宋体"/>
                <w:b/>
                <w:bCs/>
                <w:color w:val="auto"/>
                <w:kern w:val="2"/>
                <w:sz w:val="21"/>
                <w:szCs w:val="21"/>
                <w:highlight w:val="none"/>
                <w:lang w:val="en-US" w:eastAsia="zh-CN" w:bidi="ar"/>
              </w:rPr>
              <w:t>按小型、微型企业评标中价格扣除</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eastAsia="zh-CN" w:bidi="ar"/>
              </w:rPr>
              <w:t>本项目的价格扣除为6%。具体标准详见“二、评标中的落实政府采购政策具体办法”。</w:t>
            </w:r>
          </w:p>
        </w:tc>
      </w:tr>
    </w:tbl>
    <w:p>
      <w:pPr>
        <w:autoSpaceDE/>
        <w:autoSpaceDN/>
        <w:spacing w:before="0" w:after="0" w:line="240" w:lineRule="auto"/>
        <w:ind w:left="0" w:right="0"/>
        <w:jc w:val="both"/>
        <w:rPr>
          <w:rFonts w:hint="eastAsia" w:ascii="宋体" w:hAnsi="宋体" w:eastAsia="宋体" w:cs="宋体"/>
          <w:color w:val="auto"/>
          <w:kern w:val="2"/>
          <w:sz w:val="18"/>
          <w:szCs w:val="21"/>
          <w:lang w:val="en-US" w:bidi="ar-SA"/>
        </w:rPr>
      </w:pPr>
    </w:p>
    <w:p>
      <w:pPr>
        <w:jc w:val="center"/>
        <w:outlineLvl w:val="9"/>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sz w:val="24"/>
          <w:szCs w:val="24"/>
          <w:highlight w:val="none"/>
          <w:lang w:val="en-US" w:eastAsia="zh-CN"/>
        </w:rPr>
        <w:t>商务部分20分</w:t>
      </w:r>
    </w:p>
    <w:tbl>
      <w:tblPr>
        <w:tblStyle w:val="25"/>
        <w:tblW w:w="9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648"/>
        <w:gridCol w:w="7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kern w:val="0"/>
                <w:sz w:val="21"/>
                <w:szCs w:val="21"/>
                <w:highlight w:val="none"/>
                <w:lang w:val="en-US" w:eastAsia="zh-CN" w:bidi="ar-SA"/>
              </w:rPr>
              <w:t>评审内容</w:t>
            </w:r>
          </w:p>
        </w:tc>
        <w:tc>
          <w:tcPr>
            <w:tcW w:w="648"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分值</w:t>
            </w:r>
          </w:p>
        </w:tc>
        <w:tc>
          <w:tcPr>
            <w:tcW w:w="7096"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b w:val="0"/>
                <w:bCs w:val="0"/>
                <w:color w:val="auto"/>
                <w:kern w:val="0"/>
                <w:sz w:val="21"/>
                <w:szCs w:val="21"/>
                <w:vertAlign w:val="baseline"/>
                <w:lang w:val="en-US" w:eastAsia="zh-CN" w:bidi="ar-SA"/>
              </w:rPr>
            </w:pPr>
            <w:r>
              <w:rPr>
                <w:rFonts w:hint="eastAsia" w:ascii="宋体" w:hAnsi="宋体" w:eastAsia="宋体" w:cs="宋体"/>
                <w:color w:val="auto"/>
                <w:kern w:val="0"/>
                <w:sz w:val="21"/>
                <w:szCs w:val="21"/>
                <w:lang w:val="en-US" w:eastAsia="zh-CN" w:bidi="ar"/>
              </w:rPr>
              <w:t>类似业绩</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color w:val="auto"/>
                <w:kern w:val="0"/>
                <w:sz w:val="21"/>
                <w:szCs w:val="21"/>
                <w:lang w:val="en-US" w:eastAsia="zh-CN" w:bidi="ar"/>
              </w:rPr>
              <w:t>5分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lang w:val="en-US" w:eastAsia="zh-CN" w:bidi="ar"/>
              </w:rPr>
              <w:t>供应商应提供近三年（2019 年至 2022 年）同类产品（同类产品指：至少包含核心产品）的相关业绩证明资料（合同首页、金额页、合同双方盖章页）。（审核依据为证明资料复印件并加盖投标人单位公章）每提供一份有效的业绩得 1 分，满分为 5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cs="宋体"/>
                <w:color w:val="auto"/>
                <w:kern w:val="2"/>
                <w:sz w:val="21"/>
                <w:szCs w:val="21"/>
                <w:vertAlign w:val="baseline"/>
                <w:lang w:val="en-US" w:eastAsia="zh-CN" w:bidi="ar-SA"/>
              </w:rPr>
              <w:t>2</w:t>
            </w:r>
          </w:p>
        </w:tc>
        <w:tc>
          <w:tcPr>
            <w:tcW w:w="1469" w:type="dxa"/>
            <w:vMerge w:val="restart"/>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对投标人培训方案、售后服务能力的评价及备品备件</w:t>
            </w:r>
          </w:p>
        </w:tc>
        <w:tc>
          <w:tcPr>
            <w:tcW w:w="648" w:type="dxa"/>
            <w:vMerge w:val="restart"/>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w:t>
            </w:r>
            <w:r>
              <w:rPr>
                <w:rFonts w:hint="eastAsia"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1、培训方案、售后服务能力（5分）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在满足招标文件要求的质量保证期（保修期）前提下，对投标人提供的售后服务方案和措施、售后服务机构、培训方案进行评价，其中：</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1）培训方案具体且有针对性，能够保证操作人员熟练使用，售后服务方案和措施完整、维护响应时间方案具体且设立的售后服务机构能够完全满足招标文件要求的得5分；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2）培训方案、售后服务方案措施和维护响应时间方案基本具体或设立的售后服务机构满足招标文件要求的得3分；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en-US" w:eastAsia="zh-CN" w:bidi="zh-CN"/>
              </w:rPr>
            </w:pPr>
            <w:r>
              <w:rPr>
                <w:rFonts w:hint="eastAsia" w:ascii="宋体" w:hAnsi="宋体" w:eastAsia="宋体" w:cs="宋体"/>
                <w:color w:val="auto"/>
                <w:kern w:val="0"/>
                <w:sz w:val="21"/>
                <w:szCs w:val="21"/>
                <w:lang w:val="en-US" w:eastAsia="zh-CN" w:bidi="ar"/>
              </w:rPr>
              <w:t>3）培训方案、售后服务方案措施和维护响应时间方案不够具体或设立的售后服务机构基本满足招标文件要求的得1分；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4）未提供培训方案、售后服务方案措施和维护响应时间方案或没有售后服务机构的得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2、年度维保费用（2分）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质保期结束后，响应的年度维保费用低于合同金额 5%（含）的得 </w:t>
            </w: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质保期结束后，响应的年度维保费用低于合同金额 7%（含）的得 </w:t>
            </w: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质保期结束后，响应的年度维保费用高于合同金额7%（不含）的得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3、质量保证期（2分）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投标人提供的整机（该包全部品目）（含第三方设备或配件）质量保证期（保修期）在招标文件要求的基础上每多一年加 </w:t>
            </w: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分，最多得 </w:t>
            </w: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4、备品、备件（5分）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针对各供应商的投标产品所能提供的易损易坏部件、以及所提供的备品备件的品种、数量或其他优惠条件等进行综合比较评审；</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1）提供的投标产品的易损易坏部件以及备品备件的品种、数量较多，优于产品需求，其他优惠条件优厚的得</w:t>
            </w:r>
            <w:r>
              <w:rPr>
                <w:rFonts w:hint="eastAsia" w:cs="宋体"/>
                <w:color w:val="auto"/>
                <w:kern w:val="0"/>
                <w:sz w:val="21"/>
                <w:szCs w:val="21"/>
                <w:lang w:val="en-US" w:eastAsia="zh-CN" w:bidi="ar"/>
              </w:rPr>
              <w:t>5</w:t>
            </w:r>
            <w:r>
              <w:rPr>
                <w:rFonts w:hint="eastAsia" w:ascii="宋体" w:hAnsi="宋体" w:eastAsia="宋体" w:cs="宋体"/>
                <w:color w:val="auto"/>
                <w:kern w:val="0"/>
                <w:sz w:val="21"/>
                <w:szCs w:val="21"/>
                <w:lang w:val="en-US" w:eastAsia="zh-CN" w:bidi="ar"/>
              </w:rPr>
              <w:t>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2）提供的投标产品的易损易坏部件以及备品备件的品种、数量一般，基本满足产品需求，有其他优惠条件的得</w:t>
            </w:r>
            <w:r>
              <w:rPr>
                <w:rFonts w:hint="eastAsia"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en-US" w:eastAsia="zh-CN" w:bidi="zh-CN"/>
              </w:rPr>
            </w:pPr>
            <w:r>
              <w:rPr>
                <w:rFonts w:hint="eastAsia" w:ascii="宋体" w:hAnsi="宋体" w:eastAsia="宋体" w:cs="宋体"/>
                <w:color w:val="auto"/>
                <w:kern w:val="0"/>
                <w:sz w:val="21"/>
                <w:szCs w:val="21"/>
                <w:lang w:val="en-US" w:eastAsia="zh-CN" w:bidi="ar"/>
              </w:rPr>
              <w:t>3）有提供投标产品的易损易坏部件以及备品备件的品种、数量的得1分；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0"/>
                <w:lang w:val="en-US" w:eastAsia="zh-CN" w:bidi="zh-CN"/>
              </w:rPr>
            </w:pPr>
            <w:r>
              <w:rPr>
                <w:rFonts w:hint="eastAsia" w:ascii="宋体" w:hAnsi="宋体" w:eastAsia="宋体" w:cs="宋体"/>
                <w:color w:val="auto"/>
                <w:kern w:val="0"/>
                <w:sz w:val="21"/>
                <w:szCs w:val="21"/>
                <w:lang w:val="en-US" w:eastAsia="zh-CN" w:bidi="ar"/>
              </w:rPr>
              <w:t>4）没有提供投标产品的易损易坏部件以及备品备件的品种、数量的得0分。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cs="宋体"/>
                <w:color w:val="auto"/>
                <w:kern w:val="2"/>
                <w:sz w:val="21"/>
                <w:szCs w:val="21"/>
                <w:vertAlign w:val="baseline"/>
                <w:lang w:val="en-US" w:eastAsia="zh-CN" w:bidi="ar-SA"/>
              </w:rPr>
              <w:t>3</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“节能产品政府采购清单”和“环境标志产品政府采购清单”</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政府采购的强制产品除外：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投标产品属于“节能产品政府采购清单”产品的，且认证证书在有效截止日期内，得 0.5 分；不是的为 0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投标产品属于“环境标志产品政府采购清单”产品的，且认证证书在有效截止日期内，得 0.5 分；不是的为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160" w:type="dxa"/>
            <w:gridSpan w:val="2"/>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合计</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20分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p>
        </w:tc>
      </w:tr>
    </w:tbl>
    <w:p>
      <w:pPr>
        <w:autoSpaceDE/>
        <w:autoSpaceDN/>
        <w:spacing w:before="0" w:after="0" w:line="240" w:lineRule="auto"/>
        <w:ind w:left="0" w:right="0"/>
        <w:jc w:val="both"/>
        <w:rPr>
          <w:rFonts w:hint="eastAsia" w:ascii="宋体" w:hAnsi="宋体" w:eastAsia="宋体" w:cs="宋体"/>
          <w:color w:val="auto"/>
          <w:kern w:val="2"/>
          <w:sz w:val="18"/>
          <w:szCs w:val="21"/>
          <w:lang w:val="en-US" w:bidi="ar-SA"/>
        </w:rPr>
      </w:pPr>
    </w:p>
    <w:p>
      <w:pPr>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技术部分50分</w:t>
      </w:r>
    </w:p>
    <w:tbl>
      <w:tblPr>
        <w:tblStyle w:val="25"/>
        <w:tblW w:w="9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663"/>
        <w:gridCol w:w="7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b/>
                <w:bCs/>
                <w:color w:val="auto"/>
                <w:kern w:val="0"/>
                <w:sz w:val="21"/>
                <w:szCs w:val="21"/>
                <w:highlight w:val="none"/>
                <w:lang w:val="en-US" w:eastAsia="zh-CN" w:bidi="ar-SA"/>
              </w:rPr>
              <w:t>评审内容</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分值</w:t>
            </w:r>
          </w:p>
        </w:tc>
        <w:tc>
          <w:tcPr>
            <w:tcW w:w="7067"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Align w:val="center"/>
          </w:tcPr>
          <w:p>
            <w:pPr>
              <w:keepNext w:val="0"/>
              <w:keepLines w:val="0"/>
              <w:widowControl/>
              <w:suppressLineNumbers w:val="0"/>
              <w:autoSpaceDE w:val="0"/>
              <w:autoSpaceDN w:val="0"/>
              <w:spacing w:before="0" w:after="0" w:line="240" w:lineRule="auto"/>
              <w:ind w:left="0" w:right="0"/>
              <w:jc w:val="center"/>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color w:val="auto"/>
                <w:kern w:val="0"/>
                <w:sz w:val="21"/>
                <w:szCs w:val="21"/>
                <w:vertAlign w:val="baseline"/>
                <w:lang w:val="en-US" w:eastAsia="zh-CN" w:bidi="ar-SA"/>
              </w:rPr>
              <w:t>产品技术参数响应</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30分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lang w:val="en-US" w:eastAsia="zh-CN" w:bidi="ar"/>
              </w:rPr>
              <w:t>全部满足招标文件第三章采购需求中的产品技术参数要求的得 30 分；带“★”或“*”项指标存在负偏离的一项扣 2 分，扣完为止；未带 “★”、“*”项指标存在负偏离的一项扣 1 分，扣完为止。（带★或*指标需提供厂家证明材料复印件并加盖厂家公章，不提供视为不满足。）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2</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vertAlign w:val="baseline"/>
                <w:lang w:val="en-US" w:eastAsia="zh-CN" w:bidi="zh-CN"/>
              </w:rPr>
            </w:pPr>
            <w:r>
              <w:rPr>
                <w:rFonts w:hint="eastAsia" w:ascii="宋体" w:hAnsi="宋体" w:eastAsia="宋体" w:cs="宋体"/>
                <w:color w:val="auto"/>
                <w:kern w:val="0"/>
                <w:sz w:val="21"/>
                <w:szCs w:val="21"/>
                <w:vertAlign w:val="baseline"/>
                <w:lang w:val="en-US" w:eastAsia="zh-CN" w:bidi="ar-SA"/>
              </w:rPr>
              <w:t>对投标产品整体性能的评价</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根据招标文件要求结合项目需求，对投标产品</w:t>
            </w:r>
            <w:r>
              <w:rPr>
                <w:rFonts w:hint="eastAsia" w:ascii="宋体" w:hAnsi="宋体" w:eastAsia="宋体" w:cs="宋体"/>
                <w:color w:val="auto"/>
                <w:kern w:val="0"/>
                <w:sz w:val="21"/>
                <w:szCs w:val="20"/>
                <w:lang w:val="zh-CN" w:bidi="zh-CN"/>
              </w:rPr>
              <w:t>选型过程中，提供的投标产品</w:t>
            </w:r>
            <w:r>
              <w:rPr>
                <w:rFonts w:hint="eastAsia" w:ascii="宋体" w:hAnsi="宋体" w:eastAsia="宋体" w:cs="宋体"/>
                <w:color w:val="auto"/>
                <w:kern w:val="0"/>
                <w:sz w:val="21"/>
                <w:szCs w:val="20"/>
                <w:lang w:val="en-US" w:eastAsia="zh-CN" w:bidi="zh-CN"/>
              </w:rPr>
              <w:t>的</w:t>
            </w:r>
            <w:r>
              <w:rPr>
                <w:rFonts w:hint="eastAsia" w:ascii="宋体" w:hAnsi="宋体" w:eastAsia="宋体" w:cs="宋体"/>
                <w:color w:val="auto"/>
                <w:kern w:val="0"/>
                <w:sz w:val="21"/>
                <w:szCs w:val="20"/>
                <w:lang w:val="zh-CN" w:bidi="zh-CN"/>
              </w:rPr>
              <w:t>功能、质量、产品配置、性能优良，并满足用户对产品功能、质量、使用、操作等方面的需求</w:t>
            </w:r>
            <w:r>
              <w:rPr>
                <w:rFonts w:hint="eastAsia" w:ascii="宋体" w:hAnsi="宋体" w:eastAsia="宋体" w:cs="宋体"/>
                <w:color w:val="auto"/>
                <w:kern w:val="0"/>
                <w:sz w:val="21"/>
                <w:szCs w:val="21"/>
                <w:lang w:val="en-US" w:eastAsia="zh-CN" w:bidi="ar"/>
              </w:rPr>
              <w:t>进行评价，其中：</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1）投标产品整体技术性能、质量、使用及操作方法满足或优于项目需求，得 5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2）投标产品整体技术性能、质量、使用及操作方法基本满足项目需求，得 3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3）投标产品整体技术性能、质量、使用及操作方法与项目需求相差较多得 1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zh-CN" w:bidi="zh-CN"/>
              </w:rPr>
            </w:pPr>
            <w:r>
              <w:rPr>
                <w:rFonts w:hint="eastAsia" w:ascii="宋体" w:hAnsi="宋体" w:eastAsia="宋体" w:cs="宋体"/>
                <w:color w:val="auto"/>
                <w:kern w:val="0"/>
                <w:sz w:val="21"/>
                <w:szCs w:val="21"/>
                <w:lang w:val="en-US" w:eastAsia="zh-CN" w:bidi="ar"/>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安装调试方案</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对投标人响应的系统安装、调试、试运行、产品/系统质量承诺的完整性、合理性进行评价，其中：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1）能根据本项目实际情况提出方案，且安装调试方案科学、合理、安装程序与进度保障措施完善的得 5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2）安装调试方案基本可行、具备安装程序与进度保障措施的得 3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3）安装调试方案不完善、安装程序与进度保障措施考虑不周全的得 1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zh-CN" w:bidi="zh-CN"/>
              </w:rPr>
            </w:pPr>
            <w:r>
              <w:rPr>
                <w:rFonts w:hint="eastAsia" w:ascii="宋体" w:hAnsi="宋体" w:eastAsia="宋体" w:cs="宋体"/>
                <w:color w:val="auto"/>
                <w:kern w:val="0"/>
                <w:sz w:val="21"/>
                <w:szCs w:val="21"/>
                <w:lang w:val="en-US" w:eastAsia="zh-CN" w:bidi="ar"/>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4</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实施方案</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10分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根据供应商针对本项目提供的实施方案、验收方案、培训方案（包括但不限于项目人员组成及实施、时间进度安排、验收方案、人员技术培训等）综合打分：根据投标人提供的项目安装实施及验收方案（包括：实施环境、项目实施计划、验收方案、项目团队职责等）进行评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1）方案内容详细完善，可操作性强，得 10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 xml:space="preserve">2）方案内容基本完整，可操作性能满足项目基本要求，得 7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3）方案内容一般，得 4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2160"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合计</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default"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50</w:t>
            </w:r>
            <w:r>
              <w:rPr>
                <w:rFonts w:hint="eastAsia" w:cs="宋体"/>
                <w:color w:val="auto"/>
                <w:kern w:val="2"/>
                <w:sz w:val="21"/>
                <w:szCs w:val="21"/>
                <w:vertAlign w:val="baseline"/>
                <w:lang w:val="en-US" w:eastAsia="zh-CN" w:bidi="ar-SA"/>
              </w:rPr>
              <w:t>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en-US" w:eastAsia="zh-CN" w:bidi="zh-CN"/>
              </w:rPr>
            </w:pPr>
          </w:p>
        </w:tc>
      </w:tr>
    </w:tbl>
    <w:p>
      <w:pPr>
        <w:widowControl w:val="0"/>
        <w:autoSpaceDE w:val="0"/>
        <w:autoSpaceDN w:val="0"/>
        <w:adjustRightInd w:val="0"/>
        <w:spacing w:before="0" w:after="0" w:line="240" w:lineRule="auto"/>
        <w:ind w:left="0" w:right="0"/>
        <w:jc w:val="both"/>
        <w:rPr>
          <w:rFonts w:hint="eastAsia" w:ascii="宋体" w:hAnsi="宋体" w:eastAsia="宋体" w:cs="宋体"/>
          <w:color w:val="auto"/>
          <w:kern w:val="2"/>
          <w:sz w:val="18"/>
          <w:szCs w:val="21"/>
          <w:lang w:val="en-US" w:eastAsia="zh-CN" w:bidi="ar-SA"/>
        </w:rPr>
      </w:pPr>
    </w:p>
    <w:p>
      <w:pPr>
        <w:widowControl w:val="0"/>
        <w:autoSpaceDE w:val="0"/>
        <w:autoSpaceDN w:val="0"/>
        <w:adjustRightInd w:val="0"/>
        <w:spacing w:before="0" w:after="0" w:line="240" w:lineRule="auto"/>
        <w:ind w:left="0" w:right="0"/>
        <w:jc w:val="both"/>
        <w:rPr>
          <w:rFonts w:hint="eastAsia" w:ascii="宋体" w:hAnsi="宋体" w:eastAsia="宋体" w:cs="宋体"/>
          <w:color w:val="auto"/>
          <w:kern w:val="2"/>
          <w:sz w:val="18"/>
          <w:szCs w:val="21"/>
          <w:lang w:val="en-US" w:eastAsia="zh-CN" w:bidi="ar-SA"/>
        </w:rPr>
      </w:pPr>
    </w:p>
    <w:p>
      <w:pPr>
        <w:pStyle w:val="13"/>
        <w:rPr>
          <w:rFonts w:hint="eastAsia" w:ascii="宋体" w:hAnsi="宋体" w:eastAsia="宋体" w:cs="宋体"/>
          <w:color w:val="auto"/>
          <w:sz w:val="16"/>
          <w:szCs w:val="16"/>
          <w:highlight w:val="none"/>
        </w:rPr>
      </w:pPr>
    </w:p>
    <w:p>
      <w:pPr>
        <w:pStyle w:val="13"/>
        <w:rPr>
          <w:rFonts w:hint="eastAsia" w:ascii="宋体" w:hAnsi="宋体" w:eastAsia="宋体" w:cs="宋体"/>
          <w:color w:val="auto"/>
          <w:sz w:val="16"/>
          <w:szCs w:val="16"/>
          <w:highlight w:val="none"/>
        </w:rPr>
      </w:pP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108" w:name="_bookmark71"/>
      <w:bookmarkEnd w:id="108"/>
      <w:bookmarkStart w:id="109" w:name="_bookmark80"/>
      <w:bookmarkEnd w:id="109"/>
      <w:bookmarkStart w:id="110" w:name="_Toc15734"/>
      <w:r>
        <w:rPr>
          <w:rFonts w:hint="eastAsia" w:ascii="宋体" w:hAnsi="宋体" w:eastAsia="宋体" w:cs="宋体"/>
          <w:color w:val="auto"/>
          <w:spacing w:val="0"/>
          <w:w w:val="100"/>
          <w:position w:val="0"/>
          <w:sz w:val="32"/>
          <w:szCs w:val="32"/>
          <w:highlight w:val="none"/>
        </w:rPr>
        <w:t>第五章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拟签订的合同文本</w:t>
      </w:r>
      <w:bookmarkEnd w:id="110"/>
    </w:p>
    <w:p>
      <w:pPr>
        <w:numPr>
          <w:ilvl w:val="0"/>
          <w:numId w:val="0"/>
        </w:numPr>
        <w:ind w:left="0" w:leftChars="0" w:right="0" w:rightChars="0" w:firstLine="0" w:firstLineChars="0"/>
        <w:jc w:val="center"/>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（以最终签订合同为准，本合同条款仅供参考）</w:t>
      </w:r>
    </w:p>
    <w:p>
      <w:pPr>
        <w:widowControl w:val="0"/>
        <w:autoSpaceDE w:val="0"/>
        <w:autoSpaceDN w:val="0"/>
        <w:adjustRightInd w:val="0"/>
        <w:spacing w:line="480" w:lineRule="auto"/>
        <w:jc w:val="center"/>
        <w:rPr>
          <w:rFonts w:hint="eastAsia" w:ascii="宋体" w:hAnsi="宋体" w:eastAsia="宋体" w:cs="宋体"/>
          <w:b/>
          <w:color w:val="auto"/>
          <w:sz w:val="40"/>
          <w:szCs w:val="21"/>
          <w:highlight w:val="none"/>
          <w:lang w:val="en-US" w:eastAsia="zh-CN" w:bidi="ar-SA"/>
        </w:rPr>
      </w:pPr>
      <w:r>
        <w:rPr>
          <w:rFonts w:hint="eastAsia" w:ascii="宋体" w:hAnsi="宋体" w:eastAsia="宋体" w:cs="宋体"/>
          <w:b/>
          <w:color w:val="auto"/>
          <w:sz w:val="40"/>
          <w:szCs w:val="40"/>
          <w:highlight w:val="none"/>
          <w:lang w:val="en-US" w:eastAsia="zh-CN" w:bidi="ar-SA"/>
        </w:rPr>
        <w:t>新疆维吾尔自治区计量测试研究院</w:t>
      </w:r>
    </w:p>
    <w:p>
      <w:pPr>
        <w:widowControl w:val="0"/>
        <w:autoSpaceDE w:val="0"/>
        <w:autoSpaceDN w:val="0"/>
        <w:adjustRightInd w:val="0"/>
        <w:spacing w:line="360" w:lineRule="auto"/>
        <w:jc w:val="center"/>
        <w:rPr>
          <w:rFonts w:hint="eastAsia" w:ascii="宋体" w:hAnsi="宋体" w:eastAsia="宋体" w:cs="宋体"/>
          <w:color w:val="auto"/>
          <w:sz w:val="40"/>
          <w:szCs w:val="21"/>
          <w:highlight w:val="none"/>
          <w:lang w:val="en-US" w:eastAsia="zh-CN" w:bidi="ar-SA"/>
        </w:rPr>
      </w:pPr>
    </w:p>
    <w:p>
      <w:pPr>
        <w:widowControl w:val="0"/>
        <w:autoSpaceDE w:val="0"/>
        <w:autoSpaceDN w:val="0"/>
        <w:adjustRightInd w:val="0"/>
        <w:spacing w:line="360" w:lineRule="auto"/>
        <w:rPr>
          <w:rFonts w:hint="eastAsia" w:ascii="宋体" w:hAnsi="宋体" w:eastAsia="宋体" w:cs="宋体"/>
          <w:color w:val="auto"/>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z w:val="96"/>
          <w:szCs w:val="96"/>
          <w:highlight w:val="none"/>
          <w:lang w:val="en-US" w:eastAsia="zh-CN" w:bidi="ar-SA"/>
        </w:rPr>
      </w:pPr>
      <w:r>
        <w:rPr>
          <w:rFonts w:hint="eastAsia" w:ascii="宋体" w:hAnsi="宋体" w:eastAsia="宋体" w:cs="宋体"/>
          <w:color w:val="auto"/>
          <w:sz w:val="96"/>
          <w:szCs w:val="96"/>
          <w:highlight w:val="none"/>
          <w:lang w:val="en-US" w:eastAsia="zh-CN" w:bidi="ar-SA"/>
        </w:rPr>
        <w:t>合  同  文  本</w:t>
      </w:r>
    </w:p>
    <w:p>
      <w:pPr>
        <w:widowControl w:val="0"/>
        <w:autoSpaceDE w:val="0"/>
        <w:autoSpaceDN w:val="0"/>
        <w:adjustRightInd w:val="0"/>
        <w:spacing w:line="360" w:lineRule="auto"/>
        <w:rPr>
          <w:rFonts w:hint="eastAsia" w:ascii="宋体" w:hAnsi="宋体" w:eastAsia="宋体" w:cs="宋体"/>
          <w:color w:val="auto"/>
          <w:sz w:val="24"/>
          <w:szCs w:val="21"/>
          <w:highlight w:val="none"/>
          <w:lang w:val="en-US" w:eastAsia="zh-CN" w:bidi="ar-SA"/>
        </w:rPr>
      </w:pPr>
      <w:r>
        <w:rPr>
          <w:rFonts w:hint="eastAsia" w:ascii="宋体" w:hAnsi="宋体" w:eastAsia="宋体" w:cs="宋体"/>
          <w:color w:val="auto"/>
          <w:sz w:val="24"/>
          <w:szCs w:val="21"/>
          <w:highlight w:val="none"/>
          <w:lang w:val="en-US" w:eastAsia="zh-CN" w:bidi="ar-SA"/>
        </w:rPr>
        <w:t xml:space="preserve">                                               </w:t>
      </w:r>
    </w:p>
    <w:p>
      <w:pPr>
        <w:widowControl w:val="0"/>
        <w:autoSpaceDE w:val="0"/>
        <w:autoSpaceDN w:val="0"/>
        <w:adjustRightInd w:val="0"/>
        <w:spacing w:line="360" w:lineRule="auto"/>
        <w:ind w:firstLine="1440" w:firstLineChars="600"/>
        <w:rPr>
          <w:rFonts w:hint="eastAsia" w:ascii="宋体" w:hAnsi="宋体" w:eastAsia="宋体" w:cs="宋体"/>
          <w:color w:val="auto"/>
          <w:sz w:val="24"/>
          <w:szCs w:val="21"/>
          <w:highlight w:val="none"/>
          <w:lang w:val="en-US" w:eastAsia="zh-CN" w:bidi="ar-SA"/>
        </w:rPr>
      </w:pPr>
    </w:p>
    <w:p>
      <w:pPr>
        <w:autoSpaceDE/>
        <w:autoSpaceDN/>
        <w:spacing w:before="0" w:after="0" w:line="240" w:lineRule="auto"/>
        <w:ind w:left="2341" w:leftChars="1064" w:right="0"/>
        <w:jc w:val="both"/>
        <w:rPr>
          <w:rFonts w:hint="eastAsia" w:ascii="宋体" w:hAnsi="宋体" w:eastAsia="宋体" w:cs="宋体"/>
          <w:color w:val="auto"/>
          <w:kern w:val="2"/>
          <w:sz w:val="21"/>
          <w:szCs w:val="21"/>
          <w:highlight w:val="none"/>
          <w:lang w:val="en-US" w:bidi="ar-SA"/>
        </w:rPr>
      </w:pPr>
    </w:p>
    <w:p>
      <w:pPr>
        <w:widowControl w:val="0"/>
        <w:autoSpaceDE w:val="0"/>
        <w:autoSpaceDN w:val="0"/>
        <w:adjustRightInd w:val="0"/>
        <w:spacing w:line="360" w:lineRule="auto"/>
        <w:ind w:firstLine="708" w:firstLineChars="295"/>
        <w:rPr>
          <w:rFonts w:hint="eastAsia" w:ascii="宋体" w:hAnsi="宋体" w:eastAsia="宋体" w:cs="宋体"/>
          <w:color w:val="auto"/>
          <w:sz w:val="24"/>
          <w:szCs w:val="24"/>
          <w:highlight w:val="none"/>
          <w:lang w:val="en-US" w:eastAsia="zh-CN" w:bidi="ar-SA"/>
        </w:rPr>
      </w:pPr>
    </w:p>
    <w:p>
      <w:pPr>
        <w:widowControl w:val="0"/>
        <w:autoSpaceDE w:val="0"/>
        <w:autoSpaceDN w:val="0"/>
        <w:adjustRightInd w:val="0"/>
        <w:spacing w:line="360" w:lineRule="auto"/>
        <w:ind w:firstLine="944" w:firstLineChars="295"/>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r>
        <w:rPr>
          <w:rFonts w:hint="eastAsia" w:ascii="宋体" w:hAnsi="宋体" w:eastAsia="宋体" w:cs="宋体"/>
          <w:color w:val="auto"/>
          <w:spacing w:val="40"/>
          <w:sz w:val="24"/>
          <w:szCs w:val="21"/>
          <w:highlight w:val="none"/>
          <w:lang w:val="en-US" w:eastAsia="zh-CN" w:bidi="ar-SA"/>
        </w:rPr>
        <w:t>二〇二二年  月  日</w:t>
      </w:r>
    </w:p>
    <w:p>
      <w:pPr>
        <w:widowControl/>
        <w:autoSpaceDE/>
        <w:autoSpaceDN/>
        <w:spacing w:before="0" w:after="0" w:line="240" w:lineRule="auto"/>
        <w:ind w:left="0" w:right="0"/>
        <w:jc w:val="left"/>
        <w:rPr>
          <w:rFonts w:hint="eastAsia" w:ascii="宋体" w:hAnsi="宋体" w:eastAsia="宋体" w:cs="宋体"/>
          <w:color w:val="auto"/>
          <w:spacing w:val="40"/>
          <w:kern w:val="0"/>
          <w:sz w:val="24"/>
          <w:szCs w:val="21"/>
          <w:highlight w:val="none"/>
          <w:lang w:val="en-US" w:bidi="ar-SA"/>
        </w:rPr>
      </w:pPr>
      <w:r>
        <w:rPr>
          <w:rFonts w:hint="eastAsia" w:ascii="宋体" w:hAnsi="宋体" w:eastAsia="宋体" w:cs="宋体"/>
          <w:color w:val="auto"/>
          <w:spacing w:val="40"/>
          <w:kern w:val="2"/>
          <w:sz w:val="24"/>
          <w:szCs w:val="21"/>
          <w:highlight w:val="none"/>
          <w:lang w:val="en-US" w:bidi="ar-SA"/>
        </w:rPr>
        <w:br w:type="page"/>
      </w:r>
    </w:p>
    <w:p>
      <w:pPr>
        <w:autoSpaceDE/>
        <w:autoSpaceDN/>
        <w:spacing w:before="0" w:after="0" w:line="240" w:lineRule="auto"/>
        <w:ind w:left="0" w:right="0"/>
        <w:jc w:val="center"/>
        <w:rPr>
          <w:rFonts w:hint="eastAsia" w:ascii="宋体" w:hAnsi="宋体" w:eastAsia="宋体" w:cs="宋体"/>
          <w:color w:val="auto"/>
          <w:kern w:val="2"/>
          <w:sz w:val="24"/>
          <w:szCs w:val="24"/>
          <w:highlight w:val="none"/>
          <w:lang w:val="en-US" w:bidi="ar-SA"/>
        </w:rPr>
      </w:pPr>
      <w:bookmarkStart w:id="111" w:name="OLE_LINK3"/>
      <w:bookmarkStart w:id="112" w:name="OLE_LINK6"/>
      <w:bookmarkStart w:id="113" w:name="OLE_LINK5"/>
      <w:bookmarkStart w:id="114" w:name="OLE_LINK1"/>
      <w:r>
        <w:rPr>
          <w:rFonts w:hint="eastAsia" w:ascii="宋体" w:hAnsi="宋体" w:eastAsia="宋体" w:cs="宋体"/>
          <w:b/>
          <w:color w:val="auto"/>
          <w:kern w:val="2"/>
          <w:sz w:val="40"/>
          <w:szCs w:val="40"/>
          <w:highlight w:val="none"/>
          <w:lang w:val="en-US" w:bidi="ar-SA"/>
        </w:rPr>
        <w:t>新疆维吾尔自治区政府采购合同</w:t>
      </w:r>
    </w:p>
    <w:bookmarkEnd w:id="111"/>
    <w:bookmarkEnd w:id="112"/>
    <w:bookmarkEnd w:id="113"/>
    <w:bookmarkEnd w:id="114"/>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甲方：</w:t>
      </w:r>
      <w:r>
        <w:rPr>
          <w:rFonts w:hint="eastAsia" w:ascii="宋体" w:hAnsi="宋体" w:eastAsia="宋体" w:cs="宋体"/>
          <w:b/>
          <w:bCs/>
          <w:color w:val="auto"/>
          <w:kern w:val="2"/>
          <w:sz w:val="21"/>
          <w:szCs w:val="21"/>
          <w:highlight w:val="none"/>
          <w:u w:val="single"/>
          <w:lang w:val="en-US" w:eastAsia="zh-CN" w:bidi="ar-SA"/>
        </w:rPr>
        <w:t>新疆维吾尔自治区计量测试研究院</w:t>
      </w:r>
      <w:r>
        <w:rPr>
          <w:rFonts w:hint="eastAsia" w:ascii="宋体" w:hAnsi="宋体" w:eastAsia="宋体" w:cs="宋体"/>
          <w:color w:val="auto"/>
          <w:kern w:val="2"/>
          <w:sz w:val="21"/>
          <w:szCs w:val="21"/>
          <w:highlight w:val="none"/>
          <w:u w:val="single"/>
          <w:lang w:val="en-US" w:bidi="ar-SA"/>
        </w:rPr>
        <w:t xml:space="preserve"> </w:t>
      </w:r>
    </w:p>
    <w:p>
      <w:pPr>
        <w:autoSpaceDE/>
        <w:autoSpaceDN/>
        <w:spacing w:before="0" w:after="0" w:line="240" w:lineRule="auto"/>
        <w:ind w:left="0" w:right="0"/>
        <w:jc w:val="both"/>
        <w:rPr>
          <w:rFonts w:hint="eastAsia" w:ascii="宋体" w:hAnsi="宋体" w:eastAsia="宋体" w:cs="宋体"/>
          <w:b/>
          <w:bCs/>
          <w:color w:val="auto"/>
          <w:kern w:val="2"/>
          <w:sz w:val="21"/>
          <w:szCs w:val="21"/>
          <w:highlight w:val="none"/>
          <w:u w:val="single"/>
          <w:lang w:val="en-US" w:bidi="ar-SA"/>
        </w:rPr>
      </w:pPr>
      <w:r>
        <w:rPr>
          <w:rFonts w:hint="eastAsia" w:ascii="宋体" w:hAnsi="宋体" w:eastAsia="宋体" w:cs="宋体"/>
          <w:color w:val="auto"/>
          <w:kern w:val="2"/>
          <w:sz w:val="21"/>
          <w:szCs w:val="21"/>
          <w:highlight w:val="none"/>
          <w:lang w:val="en-US" w:bidi="ar-SA"/>
        </w:rPr>
        <w:t>乙方：</w:t>
      </w:r>
      <w:r>
        <w:rPr>
          <w:rFonts w:hint="eastAsia" w:ascii="宋体" w:hAnsi="宋体" w:eastAsia="宋体" w:cs="宋体"/>
          <w:b/>
          <w:bCs/>
          <w:color w:val="auto"/>
          <w:kern w:val="2"/>
          <w:sz w:val="21"/>
          <w:szCs w:val="21"/>
          <w:highlight w:val="none"/>
          <w:u w:val="single"/>
          <w:lang w:val="en-US" w:bidi="ar-SA"/>
        </w:rPr>
        <w:t xml:space="preserve">                                       </w:t>
      </w:r>
    </w:p>
    <w:p>
      <w:pPr>
        <w:autoSpaceDE/>
        <w:autoSpaceDN/>
        <w:spacing w:before="0" w:after="0" w:line="360" w:lineRule="auto"/>
        <w:ind w:left="0" w:right="-209" w:rightChars="-95" w:firstLine="365" w:firstLineChars="174"/>
        <w:jc w:val="left"/>
        <w:rPr>
          <w:rFonts w:hint="eastAsia" w:ascii="宋体" w:hAnsi="宋体" w:eastAsia="宋体" w:cs="宋体"/>
          <w:b/>
          <w:bCs/>
          <w:color w:val="auto"/>
          <w:kern w:val="2"/>
          <w:sz w:val="21"/>
          <w:szCs w:val="21"/>
          <w:highlight w:val="none"/>
          <w:u w:val="single"/>
          <w:lang w:val="en-US" w:bidi="ar-SA"/>
        </w:rPr>
      </w:pPr>
      <w:r>
        <w:rPr>
          <w:rFonts w:hint="eastAsia" w:ascii="宋体" w:hAnsi="宋体" w:eastAsia="宋体" w:cs="宋体"/>
          <w:color w:val="auto"/>
          <w:kern w:val="2"/>
          <w:sz w:val="21"/>
          <w:szCs w:val="21"/>
          <w:highlight w:val="none"/>
          <w:lang w:val="en-US" w:bidi="ar-SA"/>
        </w:rPr>
        <w:t>由</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组织的关于</w:t>
      </w:r>
      <w:r>
        <w:rPr>
          <w:rFonts w:hint="eastAsia" w:ascii="宋体" w:hAnsi="宋体" w:eastAsia="宋体" w:cs="宋体"/>
          <w:b/>
          <w:bCs/>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bidi="ar-SA"/>
        </w:rPr>
        <w:t>的招标采购中，经评定，乙方为中标方，中标金额为人民币：</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w:t>
      </w:r>
    </w:p>
    <w:p>
      <w:pPr>
        <w:autoSpaceDE/>
        <w:autoSpaceDN/>
        <w:spacing w:before="0" w:after="0" w:line="240" w:lineRule="auto"/>
        <w:ind w:left="0" w:right="0" w:firstLine="420" w:firstLineChars="20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甲、乙双方根据《中华人民共和国政府采购法》和《中华人民共和国民法典》的规定，按照公平、公正、平等自愿和诚实信用、协商一致的原则，甲、乙双方授权代表就所供设备的购销、安装、调试和售后服务等事宜达成如下条款。</w:t>
      </w:r>
    </w:p>
    <w:p>
      <w:pPr>
        <w:numPr>
          <w:ilvl w:val="0"/>
          <w:numId w:val="2"/>
        </w:numPr>
        <w:autoSpaceDE/>
        <w:autoSpaceDN/>
        <w:spacing w:before="0" w:after="0" w:line="240" w:lineRule="auto"/>
        <w:ind w:left="1350" w:right="0" w:hanging="72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货物名称、型号、数量及价格</w:t>
      </w:r>
    </w:p>
    <w:tbl>
      <w:tblPr>
        <w:tblStyle w:val="24"/>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58"/>
        <w:gridCol w:w="1352"/>
        <w:gridCol w:w="1210"/>
        <w:gridCol w:w="723"/>
        <w:gridCol w:w="1351"/>
        <w:gridCol w:w="1454"/>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blHeader/>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w:t>
            </w:r>
          </w:p>
        </w:tc>
        <w:tc>
          <w:tcPr>
            <w:tcW w:w="1352"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品牌</w:t>
            </w: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型号</w:t>
            </w: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总数</w:t>
            </w:r>
          </w:p>
        </w:tc>
        <w:tc>
          <w:tcPr>
            <w:tcW w:w="1351"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单价（万元）</w:t>
            </w:r>
          </w:p>
        </w:tc>
        <w:tc>
          <w:tcPr>
            <w:tcW w:w="1454"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总价（万元）</w:t>
            </w:r>
          </w:p>
        </w:tc>
        <w:tc>
          <w:tcPr>
            <w:tcW w:w="85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2"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1"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1454"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850" w:type="dxa"/>
            <w:vMerge w:val="restart"/>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2"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1"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1454"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850" w:type="dxa"/>
            <w:vMerge w:val="continue"/>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4743" w:type="dxa"/>
            <w:gridSpan w:val="4"/>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合计：      元（          元整）</w:t>
            </w:r>
          </w:p>
        </w:tc>
        <w:tc>
          <w:tcPr>
            <w:tcW w:w="1351"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4"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850" w:type="dxa"/>
            <w:vMerge w:val="continue"/>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bl>
    <w:p>
      <w:pPr>
        <w:autoSpaceDE w:val="0"/>
        <w:autoSpaceDN w:val="0"/>
        <w:spacing w:before="0" w:after="0" w:line="240" w:lineRule="auto"/>
        <w:ind w:left="0" w:right="0" w:firstLine="315" w:firstLineChars="150"/>
        <w:jc w:val="left"/>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1、本合同中“中标货物”、“设备”均指上面列表中的货物及相关软件。</w:t>
      </w:r>
    </w:p>
    <w:p>
      <w:pPr>
        <w:widowControl w:val="0"/>
        <w:autoSpaceDE w:val="0"/>
        <w:autoSpaceDN w:val="0"/>
        <w:adjustRightInd/>
        <w:ind w:firstLine="315" w:firstLineChars="15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2、“技术服务”指由乙方所提供的有关运输、保险、安装、集成、调试、培训、技术支持、维护和维修以及其他使货物正常运转所必需的服务。</w:t>
      </w:r>
    </w:p>
    <w:p>
      <w:pPr>
        <w:numPr>
          <w:ilvl w:val="0"/>
          <w:numId w:val="0"/>
        </w:numPr>
        <w:autoSpaceDE/>
        <w:autoSpaceDN/>
        <w:spacing w:before="0" w:after="0" w:line="240" w:lineRule="auto"/>
        <w:ind w:right="0" w:rightChars="0" w:firstLine="422" w:firstLineChars="20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eastAsia="zh-CN" w:bidi="ar-SA"/>
        </w:rPr>
        <w:t>二、</w:t>
      </w:r>
      <w:r>
        <w:rPr>
          <w:rFonts w:hint="eastAsia" w:ascii="宋体" w:hAnsi="宋体" w:eastAsia="宋体" w:cs="宋体"/>
          <w:b/>
          <w:color w:val="auto"/>
          <w:kern w:val="2"/>
          <w:sz w:val="21"/>
          <w:szCs w:val="21"/>
          <w:highlight w:val="none"/>
          <w:lang w:val="en-US" w:bidi="ar-SA"/>
        </w:rPr>
        <w:t>报价币种、合同总价</w:t>
      </w:r>
    </w:p>
    <w:p>
      <w:pPr>
        <w:autoSpaceDE/>
        <w:autoSpaceDN/>
        <w:spacing w:before="0" w:after="0" w:line="240" w:lineRule="auto"/>
        <w:ind w:left="0" w:right="0" w:firstLine="420" w:firstLineChars="20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1、本合同总金额</w:t>
      </w:r>
      <w:r>
        <w:rPr>
          <w:rFonts w:hint="eastAsia" w:ascii="宋体" w:hAnsi="宋体" w:eastAsia="宋体" w:cs="宋体"/>
          <w:color w:val="auto"/>
          <w:kern w:val="2"/>
          <w:sz w:val="21"/>
          <w:szCs w:val="21"/>
          <w:highlight w:val="none"/>
          <w:u w:val="single"/>
          <w:lang w:val="en-US" w:bidi="ar-SA"/>
        </w:rPr>
        <w:t xml:space="preserve">        元整</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u w:val="single"/>
          <w:lang w:val="en-US" w:bidi="ar-SA"/>
        </w:rPr>
        <w:t>￥</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lang w:val="en-US" w:bidi="ar-SA"/>
        </w:rPr>
        <w:t>元</w:t>
      </w:r>
      <w:r>
        <w:rPr>
          <w:rFonts w:hint="eastAsia" w:ascii="宋体" w:hAnsi="宋体" w:eastAsia="宋体" w:cs="宋体"/>
          <w:color w:val="auto"/>
          <w:kern w:val="2"/>
          <w:sz w:val="21"/>
          <w:szCs w:val="21"/>
          <w:highlight w:val="none"/>
          <w:lang w:val="en-US" w:bidi="ar-SA"/>
        </w:rPr>
        <w:t>。合同总金额中包含设备及其运输、保管、税金、保险、组装、服务等所有的费用。</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2、本合同正式签订后，若无重大变更，价格不再做任何调整，甲方为此项目不再向乙方</w:t>
      </w:r>
      <w:r>
        <w:rPr>
          <w:rFonts w:hint="eastAsia" w:ascii="宋体" w:hAnsi="宋体" w:eastAsia="宋体" w:cs="宋体"/>
          <w:color w:val="auto"/>
          <w:kern w:val="2"/>
          <w:sz w:val="21"/>
          <w:szCs w:val="21"/>
          <w:highlight w:val="none"/>
          <w:lang w:val="en-US" w:eastAsia="zh-CN" w:bidi="ar-SA"/>
        </w:rPr>
        <w:t>支付</w:t>
      </w:r>
      <w:r>
        <w:rPr>
          <w:rFonts w:hint="eastAsia" w:ascii="宋体" w:hAnsi="宋体" w:eastAsia="宋体" w:cs="宋体"/>
          <w:color w:val="auto"/>
          <w:kern w:val="2"/>
          <w:sz w:val="21"/>
          <w:szCs w:val="21"/>
          <w:highlight w:val="none"/>
          <w:lang w:val="en-US" w:bidi="ar-SA"/>
        </w:rPr>
        <w:t>任何费用。</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三、付款方式</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1、合同签订后七日内支付给乙方合同总价30%的预付款，计人民币</w:t>
      </w:r>
      <w:r>
        <w:rPr>
          <w:rFonts w:hint="eastAsia" w:ascii="宋体" w:hAnsi="宋体" w:eastAsia="宋体" w:cs="宋体"/>
          <w:color w:val="auto"/>
          <w:kern w:val="2"/>
          <w:sz w:val="21"/>
          <w:szCs w:val="21"/>
          <w:highlight w:val="none"/>
          <w:u w:val="single"/>
          <w:lang w:val="en-US" w:bidi="ar-SA"/>
        </w:rPr>
        <w:t xml:space="preserve">        元</w:t>
      </w:r>
      <w:r>
        <w:rPr>
          <w:rFonts w:hint="eastAsia" w:ascii="宋体" w:hAnsi="宋体" w:eastAsia="宋体" w:cs="宋体"/>
          <w:b/>
          <w:bCs/>
          <w:color w:val="auto"/>
          <w:kern w:val="2"/>
          <w:sz w:val="21"/>
          <w:szCs w:val="21"/>
          <w:highlight w:val="none"/>
          <w:u w:val="single"/>
          <w:lang w:val="en-US" w:bidi="ar-SA"/>
        </w:rPr>
        <w:t>整</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
          <w:bCs/>
          <w:color w:val="auto"/>
          <w:kern w:val="0"/>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w:t>
      </w:r>
    </w:p>
    <w:p>
      <w:pPr>
        <w:autoSpaceDE/>
        <w:autoSpaceDN/>
        <w:spacing w:before="0" w:after="0" w:line="240" w:lineRule="auto"/>
        <w:ind w:left="0" w:right="0" w:firstLine="420" w:firstLineChars="200"/>
        <w:jc w:val="both"/>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2、全部设备交货，且安装调试完毕后，由甲乙双方共同组织验收且经甲方验收合格后一个月内，先由乙方提供向甲方出具合同总金额100%的正式发票</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增值税专用发票</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，随后甲方出具付款手续，支付给乙方合同总金额65%的货款，计人民币</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b/>
          <w:bCs/>
          <w:color w:val="auto"/>
          <w:kern w:val="0"/>
          <w:sz w:val="21"/>
          <w:szCs w:val="21"/>
          <w:highlight w:val="none"/>
          <w:u w:val="single"/>
          <w:lang w:val="en-US" w:bidi="ar-SA"/>
        </w:rPr>
        <w:t xml:space="preserve">         </w:t>
      </w:r>
      <w:r>
        <w:rPr>
          <w:rFonts w:hint="eastAsia" w:ascii="宋体" w:hAnsi="宋体" w:eastAsia="宋体" w:cs="宋体"/>
          <w:b/>
          <w:bCs/>
          <w:color w:val="auto"/>
          <w:kern w:val="2"/>
          <w:sz w:val="21"/>
          <w:szCs w:val="21"/>
          <w:highlight w:val="none"/>
          <w:lang w:val="en-US" w:bidi="ar-SA"/>
        </w:rPr>
        <w:t>元。</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3、按合同总金额的5%预留质量保证金，计人民币</w:t>
      </w:r>
      <w:r>
        <w:rPr>
          <w:rFonts w:hint="eastAsia" w:ascii="宋体" w:hAnsi="宋体" w:eastAsia="宋体" w:cs="宋体"/>
          <w:b/>
          <w:bCs/>
          <w:color w:val="auto"/>
          <w:kern w:val="2"/>
          <w:sz w:val="21"/>
          <w:szCs w:val="21"/>
          <w:highlight w:val="none"/>
          <w:u w:val="single"/>
          <w:lang w:val="en-US" w:bidi="ar-SA"/>
        </w:rPr>
        <w:t xml:space="preserve">        元整</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元。从全部设备验收合格之日起，1年后经再次复核并且产品均无质量问题，由甲方将质量保证金一次性支付给乙方。</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四、交货日期</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合同签订后30个日历日内到货，安装调试根据用户实际情况安排。</w:t>
      </w:r>
    </w:p>
    <w:p>
      <w:pPr>
        <w:autoSpaceDE/>
        <w:autoSpaceDN/>
        <w:spacing w:before="0" w:after="0" w:line="240" w:lineRule="auto"/>
        <w:ind w:left="0" w:right="0" w:firstLine="411"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其他</w:t>
      </w:r>
      <w:r>
        <w:rPr>
          <w:rFonts w:hint="eastAsia" w:ascii="宋体" w:hAnsi="宋体" w:eastAsia="宋体" w:cs="宋体"/>
          <w:color w:val="auto"/>
          <w:kern w:val="2"/>
          <w:sz w:val="21"/>
          <w:szCs w:val="21"/>
          <w:highlight w:val="none"/>
          <w:lang w:val="en-US" w:bidi="ar-SA"/>
        </w:rPr>
        <w:t>备注说明：乙方技术人员必须来甲方使用现场进行设备的安装调试，并指导、培训甲方设备使用人员，确保甲方人员会操作使用设备。</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五、交货地点、方式及运费承担</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交货地点：送货至甲方指定的地点（详细收货地址由甲方另行提供）</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运费、装卸搬运费由乙方承担。</w:t>
      </w:r>
    </w:p>
    <w:p>
      <w:pPr>
        <w:autoSpaceDE/>
        <w:autoSpaceDN/>
        <w:spacing w:before="0" w:after="0" w:line="240" w:lineRule="auto"/>
        <w:ind w:left="0" w:right="0" w:firstLine="420" w:firstLineChars="20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新疆维吾尔自治区计量测试研究院</w:t>
      </w:r>
      <w:r>
        <w:rPr>
          <w:rFonts w:hint="eastAsia" w:ascii="宋体" w:hAnsi="宋体" w:eastAsia="宋体" w:cs="宋体"/>
          <w:color w:val="auto"/>
          <w:kern w:val="2"/>
          <w:sz w:val="21"/>
          <w:szCs w:val="21"/>
          <w:highlight w:val="none"/>
          <w:lang w:val="en-US" w:bidi="ar-SA"/>
        </w:rPr>
        <w:t>指定的设备安装现场。</w:t>
      </w:r>
    </w:p>
    <w:p>
      <w:pPr>
        <w:autoSpaceDE/>
        <w:autoSpaceDN/>
        <w:spacing w:before="0" w:after="0" w:line="24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六、产品质量保证</w:t>
      </w:r>
    </w:p>
    <w:p>
      <w:pPr>
        <w:autoSpaceDE/>
        <w:autoSpaceDN/>
        <w:spacing w:before="0" w:after="0" w:line="240" w:lineRule="auto"/>
        <w:ind w:left="0" w:right="0" w:firstLine="72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1、乙方保证提供的</w:t>
      </w:r>
      <w:r>
        <w:rPr>
          <w:rFonts w:hint="eastAsia" w:ascii="宋体" w:hAnsi="宋体" w:eastAsia="宋体" w:cs="宋体"/>
          <w:color w:val="auto"/>
          <w:kern w:val="2"/>
          <w:sz w:val="21"/>
          <w:szCs w:val="21"/>
          <w:highlight w:val="none"/>
          <w:u w:val="single"/>
          <w:lang w:val="en-US" w:bidi="ar-SA"/>
        </w:rPr>
        <w:t>合同</w:t>
      </w:r>
      <w:r>
        <w:rPr>
          <w:rFonts w:hint="eastAsia" w:ascii="宋体" w:hAnsi="宋体" w:eastAsia="宋体" w:cs="宋体"/>
          <w:color w:val="auto"/>
          <w:kern w:val="2"/>
          <w:sz w:val="21"/>
          <w:szCs w:val="21"/>
          <w:highlight w:val="none"/>
          <w:lang w:val="en-US" w:bidi="ar-SA"/>
        </w:rPr>
        <w:t>货物为全新的产品。</w:t>
      </w:r>
    </w:p>
    <w:p>
      <w:pPr>
        <w:autoSpaceDE w:val="0"/>
        <w:autoSpaceDN w:val="0"/>
        <w:spacing w:before="0" w:after="0" w:line="240" w:lineRule="auto"/>
        <w:ind w:left="0" w:right="0" w:firstLine="315" w:firstLineChars="15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2、乙方所提供的货物的型号、数量、规格及技术、质量标准、售后服务必须满足</w:t>
      </w:r>
      <w:r>
        <w:rPr>
          <w:rFonts w:hint="eastAsia" w:ascii="宋体" w:hAnsi="宋体" w:eastAsia="宋体" w:cs="宋体"/>
          <w:color w:val="auto"/>
          <w:kern w:val="2"/>
          <w:sz w:val="21"/>
          <w:szCs w:val="21"/>
          <w:highlight w:val="none"/>
          <w:u w:val="single"/>
          <w:lang w:val="en-US" w:bidi="ar-SA"/>
        </w:rPr>
        <w:t>附件</w:t>
      </w:r>
      <w:r>
        <w:rPr>
          <w:rFonts w:hint="eastAsia" w:ascii="宋体" w:hAnsi="宋体" w:eastAsia="宋体" w:cs="宋体"/>
          <w:color w:val="auto"/>
          <w:kern w:val="2"/>
          <w:sz w:val="21"/>
          <w:szCs w:val="21"/>
          <w:highlight w:val="none"/>
          <w:lang w:val="en-US" w:bidi="ar-SA"/>
        </w:rPr>
        <w:t>文件规定的技术要求。</w:t>
      </w:r>
    </w:p>
    <w:p>
      <w:pPr>
        <w:autoSpaceDE/>
        <w:autoSpaceDN/>
        <w:spacing w:before="0" w:after="0" w:line="240" w:lineRule="auto"/>
        <w:ind w:left="0" w:right="0" w:firstLine="72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3、乙方保证提供的货物按国家标准要求制造，质量完全满足甲方用户的要求。</w:t>
      </w:r>
    </w:p>
    <w:p>
      <w:pPr>
        <w:autoSpaceDE/>
        <w:autoSpaceDN/>
        <w:spacing w:before="0" w:after="0" w:line="24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七、质量保证期</w:t>
      </w:r>
    </w:p>
    <w:p>
      <w:pPr>
        <w:autoSpaceDE w:val="0"/>
        <w:autoSpaceDN w:val="0"/>
        <w:spacing w:before="0" w:after="0" w:line="240" w:lineRule="auto"/>
        <w:ind w:left="0" w:right="0" w:firstLine="315" w:firstLineChars="15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w:t>
      </w:r>
      <w:r>
        <w:rPr>
          <w:rFonts w:hint="eastAsia" w:ascii="宋体" w:hAnsi="宋体" w:eastAsia="宋体" w:cs="宋体"/>
          <w:color w:val="auto"/>
          <w:kern w:val="2"/>
          <w:sz w:val="21"/>
          <w:szCs w:val="21"/>
          <w:highlight w:val="none"/>
          <w:u w:val="single"/>
          <w:lang w:val="en-US" w:bidi="ar-SA"/>
        </w:rPr>
        <w:t>中标</w:t>
      </w:r>
      <w:r>
        <w:rPr>
          <w:rFonts w:hint="eastAsia" w:ascii="宋体" w:hAnsi="宋体" w:eastAsia="宋体" w:cs="宋体"/>
          <w:color w:val="auto"/>
          <w:kern w:val="2"/>
          <w:sz w:val="21"/>
          <w:szCs w:val="21"/>
          <w:highlight w:val="none"/>
          <w:lang w:val="en-US" w:bidi="ar-SA"/>
        </w:rPr>
        <w:t>货物质保期为</w:t>
      </w:r>
      <w:r>
        <w:rPr>
          <w:rFonts w:hint="eastAsia" w:ascii="宋体" w:hAnsi="宋体" w:eastAsia="宋体" w:cs="宋体"/>
          <w:color w:val="auto"/>
          <w:kern w:val="2"/>
          <w:sz w:val="21"/>
          <w:szCs w:val="21"/>
          <w:highlight w:val="none"/>
          <w:u w:val="single"/>
          <w:lang w:val="en-US" w:bidi="ar-SA"/>
        </w:rPr>
        <w:t>叁</w:t>
      </w:r>
      <w:r>
        <w:rPr>
          <w:rFonts w:hint="eastAsia" w:ascii="宋体" w:hAnsi="宋体" w:eastAsia="宋体" w:cs="宋体"/>
          <w:color w:val="auto"/>
          <w:kern w:val="2"/>
          <w:sz w:val="21"/>
          <w:szCs w:val="21"/>
          <w:highlight w:val="none"/>
          <w:lang w:val="en-US" w:bidi="ar-SA"/>
        </w:rPr>
        <w:t>年，自全部中标货物验收合格之日起算。在质量保证期内，因产品质量出现问题，乙方负责免费维修或更换，并承担与维修和更换相关的运费、安装、调试、保险等全部费用。因维修或更换造成产品无法正常使用的时间，应当相应顺延质保期限。</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八、技术资料</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乙方需向甲方提供下述资料：</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所供货物的型号、规格、数量及生产厂家的产品检验证书、出厂检验报告、保修证明，提供甲方认可的省级以上计量检定机构出具确认合格的校准/检定证书。</w:t>
      </w:r>
    </w:p>
    <w:p>
      <w:pPr>
        <w:widowControl w:val="0"/>
        <w:autoSpaceDE w:val="0"/>
        <w:autoSpaceDN w:val="0"/>
        <w:adjustRightInd/>
        <w:ind w:firstLine="422" w:firstLineChars="200"/>
        <w:outlineLvl w:val="9"/>
        <w:rPr>
          <w:rFonts w:hint="eastAsia" w:ascii="宋体" w:hAnsi="宋体" w:eastAsia="宋体" w:cs="宋体"/>
          <w:b/>
          <w:color w:val="auto"/>
          <w:sz w:val="21"/>
          <w:szCs w:val="21"/>
          <w:highlight w:val="none"/>
          <w:lang w:val="en-US" w:eastAsia="zh-CN" w:bidi="ar-SA"/>
        </w:rPr>
      </w:pPr>
      <w:r>
        <w:rPr>
          <w:rFonts w:hint="eastAsia" w:ascii="宋体" w:hAnsi="宋体" w:eastAsia="宋体" w:cs="宋体"/>
          <w:b/>
          <w:color w:val="auto"/>
          <w:sz w:val="21"/>
          <w:szCs w:val="21"/>
          <w:highlight w:val="none"/>
          <w:lang w:val="en-US" w:eastAsia="zh-CN" w:bidi="ar-SA"/>
        </w:rPr>
        <w:t>九、包装及验收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１、乙方所提供设备必须进行包装，免收包装费，包装物不回收。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２、设备运输过程中的保险费用由乙方承担，在运输过程中发生毁损、灭失均由乙方承担完全责任。</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３、验收方式、标准：</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3.1货物接收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设备运到甲方指定地点当日，由甲乙双方按本合同要求共同验货。验货按乙方提供的《货物签收单》要求进行。验货合格后，双方共同签署《货物签收单》。</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3.2货物验收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3.2.1开箱检验：</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甲乙双方根据装箱单和产品的技术指标及性能共同验收，如发现有不合格产品、错漏、损坏部件或与本合同约定的技术要求和规格不符时，双方应在现场联合作记录，签署备忘录。乙方负责在10天内按本合同要求标准予以更换，确保不影响工作进展，并承担一切费用。</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3.2.2安装验收：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工作须在签署《货物签收单》之日后30个自然日内完成，安装测试结果如不符或测试结果不能确认，乙方应在10个自然日内调整配置直至重新测试合格，如果仍然测试不通过，甲方有权停止验收、拒收设备并解除合同，由乙方承担违约责任。如因甲方或不可抗力原因导致未能进行安装验收，甲方须向乙方出具和签署相关证明。</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3.2.3调试验收：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全部产品由乙方安装并调试正常后，乙方负责派出相关技术人员现场指导甲方对设备功能进行测试，由甲乙双方按投标文件规定的型号、技术参数、数量、产地，并根据制造商签发的《产品合格证》、《出厂清单》、乙方向甲方提供包含验收方案、验收内容、验收标准（包括行业通行标准、厂房出厂标准、招标文件要求和乙方投标文件的承诺，并不低于国家有关部门最新颁布的标准及规范）、省级以上计量检定部门出具的检定/校准合格证书、验收人员等验收申请，进行现场验收，现场验收包括设备验收和数据验收，设备验收是完成了数据采集工作后，系统功能和性能达到试运行条件时，系统进入试运行阶段，在对试运行期间暴露的所有缺陷、问题和未实现的功能完全解决后，系统达到稳定运行，在稳定运行后对数据进行验收，当设备和数据都满足要求时申请现场验收。现场验收合格后甲乙双方根据测试结果共同签署《产品安装调试报告及验收报告》，现场验收完成后，系统正式投入运行，进入质保期。如对结果有异议，验收十个工作日内以书面形式通知对方。</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3.2.4最终验收：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系统在质保期间没有出现任何重大缺陷，在质保期满时申请最终验收。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3.2.5综合验收：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如果任何被检验的货物或服务不符合质量要求，甲方均可以拒绝接受，乙方应及时更换被拒绝的货物或重新提供服务，且不得影响甲方正常工作，费用由乙方承担，如因更换或重作导致乙方逾期交付货物的，乙方还应承担逾期交付的违约责任。本规定并不免除乙方在本合同项下的货物质量保证义务或其他义务。</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十、甲、乙双方的权利及义务</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若甲方对订购的货物有任何更改，包括货物的型号、品种、规格、数量、颜色、交货期等事宜，必须在双方签订合同后七天内书面通知乙方，经乙方同意并变更后，交货期相应从变更之日起顺延，若超过七天乙方不予更改。由于变更引起的合同总额的增减，则由甲乙双方友好协商后，多退少补。</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2、若乙方在交货时，由于甲方的原因或要求，不能及时将货物送达指定地点和验收时，则甲方负责承担与仓储及再次运输相关的费用，并给予乙方书面确认书，视为乙方已按期交付货物。</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3、若甲方在验收后的质量保证期内，发现货物内有部分出现质量问题，应及时通知乙方，乙方应3天内到现场查看，若需要更换时，乙方应在接到通知后10天内给予更换。</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4、乙方须按合同要求提供质量合格的货物，如期在甲方指定的交货地点交付货物，并提供免费的安装调试。</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5、乙方对售予甲方的货物提供的质量保证期的质量保证范围，不包括意外事件、不可抗力原因及违规使用。</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十一、合同变更、违约及其它</w:t>
      </w:r>
    </w:p>
    <w:p>
      <w:pPr>
        <w:widowControl w:val="0"/>
        <w:autoSpaceDE w:val="0"/>
        <w:autoSpaceDN w:val="0"/>
        <w:adjustRightInd/>
        <w:ind w:firstLine="411" w:firstLineChars="196"/>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甲方按合同规定的付款要求履约，合同价格不变，甲方由于非不可抗力原因不能在本合同规定的时间内支付合同款项时，应事先告知乙方，并征求乙方的同意，否则甲方应向乙方支付违约金。其支付办法是：每延误七天按迟付款总金额的千分之五支付；不满七天按七天计算，依次类推。</w:t>
      </w:r>
    </w:p>
    <w:p>
      <w:pPr>
        <w:widowControl w:val="0"/>
        <w:autoSpaceDE w:val="0"/>
        <w:autoSpaceDN w:val="0"/>
        <w:adjustRightInd/>
        <w:ind w:firstLine="411" w:firstLineChars="196"/>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乙方必须在本合同规定的时间内按时交货，否则由乙方负责承担全部违约责任。乙方迟延交货需向甲方支付违约金：每延误七天按合同总金额的千分之五支付；不满七天按七天计算，依次类推。乙方超过交货期限 35个自然日内仍不能交付全部货物时，甲方有权因乙方违约解除合同。</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3、乙方应严格按照招标、投标文件中规定的产品规格、型号名称、数量和质量提供相应的产品及服务，兑现服务承诺，否则将视为乙方违约，并按合同总价款的</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%或单件设备款价的</w:t>
      </w:r>
      <w:r>
        <w:rPr>
          <w:rFonts w:hint="eastAsia" w:ascii="宋体" w:hAnsi="宋体" w:eastAsia="宋体" w:cs="宋体"/>
          <w:color w:val="auto"/>
          <w:sz w:val="21"/>
          <w:szCs w:val="21"/>
          <w:highlight w:val="none"/>
          <w:u w:val="single"/>
          <w:lang w:val="en-US" w:eastAsia="zh-CN" w:bidi="ar-SA"/>
        </w:rPr>
        <w:t>30</w:t>
      </w:r>
      <w:r>
        <w:rPr>
          <w:rFonts w:hint="eastAsia" w:ascii="宋体" w:hAnsi="宋体" w:eastAsia="宋体" w:cs="宋体"/>
          <w:color w:val="auto"/>
          <w:sz w:val="21"/>
          <w:szCs w:val="21"/>
          <w:highlight w:val="none"/>
          <w:lang w:val="en-US" w:eastAsia="zh-CN" w:bidi="ar-SA"/>
        </w:rPr>
        <w:t>%承担违约金。</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4、合同文本不得涂改，如需修改应在合同附件中注明。经甲、乙双方协商达成一致修改意见，需经甲、乙双方代表共同签署此附件，并通报自治区政府采购中心认可后，方能生效。</w:t>
      </w:r>
    </w:p>
    <w:p>
      <w:pPr>
        <w:widowControl w:val="0"/>
        <w:autoSpaceDE w:val="0"/>
        <w:autoSpaceDN w:val="0"/>
        <w:adjustRightInd/>
        <w:ind w:firstLine="645"/>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5、招标文件、投标文件及开标会议上签名的答疑记录、售后服务承诺等均作为合同的附件，是合同文本不可分割的组成部分。合同文本未述及不详之处，以附件为准。</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6、合同经甲、乙双方签字盖章后即行生效。合同生效后 ，乙方中途废止合同（不可抗力原因除外），乙方中途解除合同（不可抗力原因除外）应按实际损失向甲方支付赔偿金，并向甲方支付合同总金额</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%的违约金；甲方中途废止合同（不可抗力原因除外），甲方中途解除合同（不可抗力原因除外），向乙方支付合同总金额的</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%的违约金。</w:t>
      </w:r>
    </w:p>
    <w:p>
      <w:pPr>
        <w:autoSpaceDE/>
        <w:autoSpaceDN/>
        <w:spacing w:before="0" w:after="0" w:line="240" w:lineRule="auto"/>
        <w:ind w:left="0" w:right="0" w:firstLine="420" w:firstLineChars="200"/>
        <w:jc w:val="both"/>
        <w:rPr>
          <w:rFonts w:hint="eastAsia" w:ascii="宋体" w:hAnsi="宋体" w:eastAsia="宋体" w:cs="宋体"/>
          <w:color w:val="auto"/>
          <w:kern w:val="0"/>
          <w:sz w:val="21"/>
          <w:szCs w:val="21"/>
          <w:highlight w:val="none"/>
          <w:lang w:val="en-US" w:bidi="ar-SA"/>
        </w:rPr>
      </w:pPr>
      <w:r>
        <w:rPr>
          <w:rFonts w:hint="eastAsia" w:ascii="宋体" w:hAnsi="宋体" w:eastAsia="宋体" w:cs="宋体"/>
          <w:color w:val="auto"/>
          <w:kern w:val="0"/>
          <w:sz w:val="21"/>
          <w:szCs w:val="21"/>
          <w:highlight w:val="none"/>
          <w:lang w:val="en-US" w:bidi="ar-SA"/>
        </w:rPr>
        <w:t>7、本合同依照《中华人民共和国政府采购法》和《</w:t>
      </w:r>
      <w:r>
        <w:rPr>
          <w:rFonts w:hint="eastAsia" w:ascii="宋体" w:hAnsi="宋体" w:eastAsia="宋体" w:cs="宋体"/>
          <w:color w:val="auto"/>
          <w:kern w:val="2"/>
          <w:sz w:val="21"/>
          <w:szCs w:val="21"/>
          <w:highlight w:val="none"/>
          <w:lang w:val="en-US" w:bidi="ar-SA"/>
        </w:rPr>
        <w:t>《中华人民共和国民法典》</w:t>
      </w:r>
      <w:r>
        <w:rPr>
          <w:rFonts w:hint="eastAsia" w:ascii="宋体" w:hAnsi="宋体" w:eastAsia="宋体" w:cs="宋体"/>
          <w:color w:val="auto"/>
          <w:kern w:val="0"/>
          <w:sz w:val="21"/>
          <w:szCs w:val="21"/>
          <w:highlight w:val="none"/>
          <w:lang w:val="en-US" w:bidi="ar-SA"/>
        </w:rPr>
        <w:t>等相关法律法规制定。未尽事项皆受上述法律法规约束。甲、乙双方发生争议时，应先协商解决，经协商在30天内不能达成协议时，应提交甲方所在地人民法院进行诉讼。</w:t>
      </w:r>
    </w:p>
    <w:p>
      <w:pPr>
        <w:autoSpaceDE/>
        <w:autoSpaceDN/>
        <w:spacing w:before="0" w:after="0" w:line="240" w:lineRule="auto"/>
        <w:ind w:left="0" w:right="0" w:firstLine="420" w:firstLineChars="200"/>
        <w:jc w:val="both"/>
        <w:rPr>
          <w:rFonts w:hint="eastAsia" w:ascii="宋体" w:hAnsi="宋体" w:eastAsia="宋体" w:cs="宋体"/>
          <w:color w:val="auto"/>
          <w:kern w:val="0"/>
          <w:sz w:val="21"/>
          <w:szCs w:val="21"/>
          <w:highlight w:val="none"/>
          <w:lang w:val="en-US" w:bidi="ar-SA"/>
        </w:rPr>
      </w:pPr>
      <w:r>
        <w:rPr>
          <w:rFonts w:hint="eastAsia" w:ascii="宋体" w:hAnsi="宋体" w:eastAsia="宋体" w:cs="宋体"/>
          <w:color w:val="auto"/>
          <w:kern w:val="0"/>
          <w:sz w:val="21"/>
          <w:szCs w:val="21"/>
          <w:highlight w:val="none"/>
          <w:lang w:val="en-US" w:bidi="ar-SA"/>
        </w:rPr>
        <w:t>8、人民法院生效判决为最终决定，并对双方具有约束力。</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9、本合同一式六份，甲方执四份，乙方执二份。</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10、本合同自签字盖章完毕之日起生效，质量保证期满后终止。</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11、本合同附件（一）</w:t>
      </w:r>
      <w:bookmarkStart w:id="115" w:name="OLE_LINK7"/>
      <w:r>
        <w:rPr>
          <w:rFonts w:hint="eastAsia" w:ascii="宋体" w:hAnsi="宋体" w:eastAsia="宋体" w:cs="宋体"/>
          <w:color w:val="auto"/>
          <w:sz w:val="21"/>
          <w:szCs w:val="21"/>
          <w:highlight w:val="none"/>
          <w:lang w:val="en-US" w:eastAsia="zh-CN" w:bidi="ar-SA"/>
        </w:rPr>
        <w:t>技术协议</w:t>
      </w:r>
      <w:bookmarkEnd w:id="115"/>
      <w:r>
        <w:rPr>
          <w:rFonts w:hint="eastAsia" w:ascii="宋体" w:hAnsi="宋体" w:eastAsia="宋体" w:cs="宋体"/>
          <w:color w:val="auto"/>
          <w:sz w:val="21"/>
          <w:szCs w:val="21"/>
          <w:highlight w:val="none"/>
          <w:lang w:val="en-US" w:eastAsia="zh-CN" w:bidi="ar-SA"/>
        </w:rPr>
        <w:t>属合同不可分割内容，与本合同具有同等法律效力。</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p>
    <w:tbl>
      <w:tblPr>
        <w:tblStyle w:val="24"/>
        <w:tblW w:w="10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1"/>
        <w:gridCol w:w="5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甲方（公章）：</w:t>
            </w:r>
            <w:r>
              <w:rPr>
                <w:rFonts w:hint="eastAsia" w:ascii="宋体" w:hAnsi="宋体" w:eastAsia="宋体" w:cs="宋体"/>
                <w:color w:val="auto"/>
                <w:kern w:val="2"/>
                <w:sz w:val="21"/>
                <w:szCs w:val="21"/>
                <w:highlight w:val="none"/>
                <w:lang w:val="en-US" w:eastAsia="zh-CN" w:bidi="ar-SA"/>
              </w:rPr>
              <w:t>新疆维吾尔自治区计量测试研究院</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乙方（公章）：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授权代表签字：</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地址：乌鲁木齐市新市区河北东路188号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电话：</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开户行：</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开户行：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帐  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税  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税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签订日期：</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签订日期：</w:t>
            </w:r>
          </w:p>
        </w:tc>
      </w:tr>
    </w:tbl>
    <w:p>
      <w:pPr>
        <w:pStyle w:val="22"/>
        <w:widowControl w:val="0"/>
        <w:shd w:val="clear" w:color="auto" w:fill="FFFFFF"/>
        <w:spacing w:line="460" w:lineRule="exac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注：以上为合同模板，具体签订方式、内容以甲方提供合同为准</w:t>
      </w:r>
    </w:p>
    <w:p>
      <w:pPr>
        <w:rPr>
          <w:rFonts w:hint="eastAsia" w:ascii="宋体" w:hAnsi="宋体" w:eastAsia="宋体" w:cs="宋体"/>
          <w:color w:val="auto"/>
          <w:spacing w:val="0"/>
          <w:w w:val="100"/>
          <w:position w:val="0"/>
          <w:sz w:val="18"/>
          <w:szCs w:val="20"/>
          <w:highlight w:val="none"/>
        </w:rPr>
      </w:pPr>
      <w:r>
        <w:rPr>
          <w:rFonts w:hint="eastAsia" w:ascii="宋体" w:hAnsi="宋体" w:eastAsia="宋体" w:cs="宋体"/>
          <w:color w:val="auto"/>
          <w:spacing w:val="0"/>
          <w:w w:val="100"/>
          <w:position w:val="0"/>
          <w:sz w:val="18"/>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116" w:name="_bookmark103"/>
      <w:bookmarkEnd w:id="116"/>
      <w:bookmarkStart w:id="117" w:name="_Toc5925"/>
      <w:r>
        <w:rPr>
          <w:rFonts w:hint="eastAsia" w:ascii="宋体" w:hAnsi="宋体" w:eastAsia="宋体" w:cs="宋体"/>
          <w:color w:val="auto"/>
          <w:spacing w:val="0"/>
          <w:w w:val="100"/>
          <w:position w:val="0"/>
          <w:sz w:val="32"/>
          <w:szCs w:val="32"/>
          <w:highlight w:val="none"/>
        </w:rPr>
        <w:t>第六章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投标文件格式</w:t>
      </w:r>
      <w:bookmarkEnd w:id="117"/>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投标人提交的材料将被保密，但不退还。全部文件应按规定的份数按包件编制并按包件提交。如果招标文件采购内容未注明分包件采购，即全部采购内容为一个包件（即第 1 包件），包件号为“1”包件名称仍为项目名称。格式如下：</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本章未给出格式的材料或附件，由投标人自行提供或编制，但应注意招标文件 相应盖章要求。本章明确指明是“建议格式”的文件其格式仅供参考，均不做强制要求， 投标人可自行编制，但应注意招标文件相应盖章要求。</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本章明确指明为“格式”的文件：</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名称为“表”的，表头给定内容不得删减、改变，可根据实际需要增减行，需要填写的空格或空白应有效填写。格式属于文字内容性质的（包括“函”、“书”、“声明”、“协议”），不得删减、改变格式中给定的文字内容，不得自行增加与格式中给定的文字内容相矛盾的内容，需要填写的空格或空白应有效填写。对于有签署、签字要求的格式文件，法定代表人在相应位置签署或被授权人在相应位置签字。对于有盖章要求的格式文件，应加盖公章。不满足本条要求的格式文件将视为无效格式文件。</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）本章提供的格式表格</w:t>
      </w:r>
      <w:r>
        <w:rPr>
          <w:rFonts w:hint="eastAsia" w:ascii="宋体" w:hAnsi="宋体" w:eastAsia="宋体" w:cs="宋体"/>
          <w:color w:val="auto"/>
          <w:sz w:val="21"/>
          <w:szCs w:val="21"/>
          <w:highlight w:val="none"/>
          <w:lang w:eastAsia="zh-CN"/>
        </w:rPr>
        <w:t>中</w:t>
      </w:r>
      <w:r>
        <w:rPr>
          <w:rFonts w:hint="eastAsia" w:ascii="宋体" w:hAnsi="宋体" w:eastAsia="宋体" w:cs="宋体"/>
          <w:color w:val="auto"/>
          <w:sz w:val="21"/>
          <w:szCs w:val="21"/>
          <w:highlight w:val="none"/>
        </w:rPr>
        <w:t>括号“【】”中内容表示填写说明或举例说明，并非给定内容，投标人应跟根据自身投标情况据实填写。本章提供的格式中“注：”的内容也是填写说明，也非给定内容。</w:t>
      </w:r>
    </w:p>
    <w:p>
      <w:pPr>
        <w:rPr>
          <w:rFonts w:hint="eastAsia" w:ascii="宋体" w:hAnsi="宋体" w:eastAsia="宋体" w:cs="宋体"/>
          <w:color w:val="auto"/>
          <w:spacing w:val="0"/>
          <w:w w:val="100"/>
          <w:position w:val="0"/>
          <w:sz w:val="20"/>
          <w:szCs w:val="20"/>
          <w:highlight w:val="none"/>
        </w:rPr>
      </w:pPr>
      <w:bookmarkStart w:id="118" w:name="_bookmark104"/>
      <w:bookmarkEnd w:id="118"/>
      <w:r>
        <w:rPr>
          <w:rFonts w:hint="eastAsia" w:ascii="宋体" w:hAnsi="宋体" w:eastAsia="宋体" w:cs="宋体"/>
          <w:color w:val="auto"/>
          <w:spacing w:val="0"/>
          <w:w w:val="100"/>
          <w:position w:val="0"/>
          <w:sz w:val="20"/>
          <w:szCs w:val="20"/>
          <w:highlight w:val="none"/>
        </w:rPr>
        <w:br w:type="page"/>
      </w:r>
    </w:p>
    <w:p>
      <w:pPr>
        <w:pStyle w:val="4"/>
        <w:spacing w:before="31"/>
        <w:ind w:right="115"/>
        <w:outlineLvl w:val="1"/>
        <w:rPr>
          <w:rFonts w:hint="eastAsia" w:ascii="宋体" w:hAnsi="宋体" w:eastAsia="宋体" w:cs="宋体"/>
          <w:color w:val="auto"/>
          <w:spacing w:val="0"/>
          <w:w w:val="100"/>
          <w:position w:val="0"/>
          <w:sz w:val="28"/>
          <w:szCs w:val="28"/>
          <w:highlight w:val="none"/>
        </w:rPr>
      </w:pPr>
      <w:bookmarkStart w:id="119" w:name="_Toc20754"/>
      <w:r>
        <w:rPr>
          <w:rFonts w:hint="eastAsia" w:ascii="宋体" w:hAnsi="宋体" w:eastAsia="宋体" w:cs="宋体"/>
          <w:color w:val="auto"/>
          <w:spacing w:val="0"/>
          <w:w w:val="100"/>
          <w:position w:val="0"/>
          <w:sz w:val="28"/>
          <w:szCs w:val="28"/>
          <w:highlight w:val="none"/>
          <w:lang w:val="en-US" w:eastAsia="zh-CN"/>
        </w:rPr>
        <w:t>投标</w:t>
      </w:r>
      <w:r>
        <w:rPr>
          <w:rFonts w:hint="eastAsia" w:ascii="宋体" w:hAnsi="宋体" w:eastAsia="宋体" w:cs="宋体"/>
          <w:color w:val="auto"/>
          <w:spacing w:val="0"/>
          <w:w w:val="100"/>
          <w:position w:val="0"/>
          <w:sz w:val="28"/>
          <w:szCs w:val="28"/>
          <w:highlight w:val="none"/>
        </w:rPr>
        <w:t>文件封面建议格式</w:t>
      </w:r>
      <w:bookmarkEnd w:id="119"/>
    </w:p>
    <w:p>
      <w:pPr>
        <w:spacing w:before="212"/>
        <w:ind w:left="0" w:right="341" w:firstLine="0"/>
        <w:jc w:val="right"/>
        <w:outlineLvl w:val="9"/>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正本【或副本】</w:t>
      </w:r>
    </w:p>
    <w:p>
      <w:pPr>
        <w:pStyle w:val="12"/>
        <w:rPr>
          <w:rFonts w:hint="eastAsia" w:ascii="宋体" w:hAnsi="宋体" w:eastAsia="宋体" w:cs="宋体"/>
          <w:b/>
          <w:color w:val="auto"/>
          <w:spacing w:val="0"/>
          <w:w w:val="100"/>
          <w:position w:val="0"/>
          <w:sz w:val="28"/>
          <w:szCs w:val="28"/>
          <w:highlight w:val="none"/>
        </w:rPr>
      </w:pPr>
    </w:p>
    <w:p>
      <w:pPr>
        <w:keepNext w:val="0"/>
        <w:keepLines w:val="0"/>
        <w:pageBreakBefore w:val="0"/>
        <w:widowControl w:val="0"/>
        <w:tabs>
          <w:tab w:val="left" w:pos="5896"/>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u w:val="single"/>
        </w:rPr>
      </w:pPr>
      <w:r>
        <w:rPr>
          <w:rFonts w:hint="eastAsia" w:ascii="宋体" w:hAnsi="宋体" w:eastAsia="宋体" w:cs="宋体"/>
          <w:color w:val="auto"/>
          <w:spacing w:val="0"/>
          <w:w w:val="100"/>
          <w:position w:val="0"/>
          <w:sz w:val="28"/>
          <w:szCs w:val="28"/>
          <w:highlight w:val="none"/>
        </w:rPr>
        <w:t>项目名称：</w:t>
      </w:r>
      <w:r>
        <w:rPr>
          <w:rFonts w:hint="eastAsia" w:ascii="宋体" w:hAnsi="宋体" w:eastAsia="宋体" w:cs="宋体"/>
          <w:color w:val="auto"/>
          <w:spacing w:val="0"/>
          <w:w w:val="100"/>
          <w:position w:val="0"/>
          <w:sz w:val="28"/>
          <w:szCs w:val="28"/>
          <w:highlight w:val="none"/>
          <w:u w:val="single"/>
        </w:rPr>
        <w:t xml:space="preserve">                             </w:t>
      </w:r>
    </w:p>
    <w:p>
      <w:pPr>
        <w:keepNext w:val="0"/>
        <w:keepLines w:val="0"/>
        <w:pageBreakBefore w:val="0"/>
        <w:widowControl w:val="0"/>
        <w:tabs>
          <w:tab w:val="left" w:pos="6875"/>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eastAsia="zh-CN"/>
        </w:rPr>
      </w:pPr>
      <w:r>
        <w:rPr>
          <w:rFonts w:hint="eastAsia" w:ascii="宋体" w:hAnsi="宋体" w:eastAsia="宋体" w:cs="宋体"/>
          <w:color w:val="auto"/>
          <w:spacing w:val="0"/>
          <w:w w:val="100"/>
          <w:position w:val="0"/>
          <w:sz w:val="28"/>
          <w:szCs w:val="28"/>
          <w:highlight w:val="none"/>
        </w:rPr>
        <w:t>项目编号</w:t>
      </w:r>
      <w:r>
        <w:rPr>
          <w:rFonts w:hint="eastAsia" w:ascii="宋体" w:hAnsi="宋体" w:eastAsia="宋体" w:cs="宋体"/>
          <w:color w:val="auto"/>
          <w:spacing w:val="0"/>
          <w:w w:val="100"/>
          <w:position w:val="0"/>
          <w:sz w:val="28"/>
          <w:szCs w:val="28"/>
          <w:highlight w:val="none"/>
          <w:lang w:eastAsia="zh-CN"/>
        </w:rPr>
        <w:t>：</w:t>
      </w:r>
      <w:r>
        <w:rPr>
          <w:rFonts w:hint="eastAsia" w:ascii="宋体" w:hAnsi="宋体" w:eastAsia="宋体" w:cs="宋体"/>
          <w:color w:val="auto"/>
          <w:spacing w:val="0"/>
          <w:w w:val="100"/>
          <w:position w:val="0"/>
          <w:sz w:val="28"/>
          <w:szCs w:val="28"/>
          <w:highlight w:val="none"/>
          <w:u w:val="single"/>
        </w:rPr>
        <w:t xml:space="preserve">                             </w:t>
      </w:r>
    </w:p>
    <w:p>
      <w:pPr>
        <w:keepNext w:val="0"/>
        <w:keepLines w:val="0"/>
        <w:pageBreakBefore w:val="0"/>
        <w:widowControl w:val="0"/>
        <w:tabs>
          <w:tab w:val="left" w:pos="6875"/>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rPr>
        <w:t>包件号：</w:t>
      </w:r>
      <w:r>
        <w:rPr>
          <w:rFonts w:hint="eastAsia" w:ascii="宋体" w:hAnsi="宋体" w:eastAsia="宋体" w:cs="宋体"/>
          <w:color w:val="auto"/>
          <w:spacing w:val="0"/>
          <w:w w:val="100"/>
          <w:position w:val="0"/>
          <w:sz w:val="28"/>
          <w:szCs w:val="28"/>
          <w:highlight w:val="none"/>
          <w:u w:val="single"/>
        </w:rPr>
        <w:t xml:space="preserve"> </w:t>
      </w:r>
      <w:r>
        <w:rPr>
          <w:rFonts w:hint="eastAsia" w:ascii="宋体" w:hAnsi="宋体" w:eastAsia="宋体" w:cs="宋体"/>
          <w:color w:val="auto"/>
          <w:spacing w:val="0"/>
          <w:w w:val="100"/>
          <w:position w:val="0"/>
          <w:sz w:val="28"/>
          <w:szCs w:val="28"/>
          <w:highlight w:val="none"/>
          <w:u w:val="single"/>
          <w:lang w:val="en-US" w:eastAsia="zh-CN"/>
        </w:rPr>
        <w:t xml:space="preserve">                              </w:t>
      </w:r>
    </w:p>
    <w:p>
      <w:pPr>
        <w:keepNext w:val="0"/>
        <w:keepLines w:val="0"/>
        <w:pageBreakBefore w:val="0"/>
        <w:widowControl w:val="0"/>
        <w:tabs>
          <w:tab w:val="left" w:pos="5896"/>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rPr>
        <w:t>包件名称：</w:t>
      </w:r>
      <w:r>
        <w:rPr>
          <w:rFonts w:hint="eastAsia" w:ascii="宋体" w:hAnsi="宋体" w:eastAsia="宋体" w:cs="宋体"/>
          <w:color w:val="auto"/>
          <w:spacing w:val="0"/>
          <w:w w:val="100"/>
          <w:position w:val="0"/>
          <w:sz w:val="28"/>
          <w:szCs w:val="28"/>
          <w:highlight w:val="none"/>
          <w:u w:val="single"/>
        </w:rPr>
        <w:t xml:space="preserve"> </w:t>
      </w:r>
      <w:r>
        <w:rPr>
          <w:rFonts w:hint="eastAsia" w:ascii="宋体" w:hAnsi="宋体" w:eastAsia="宋体" w:cs="宋体"/>
          <w:color w:val="auto"/>
          <w:spacing w:val="0"/>
          <w:w w:val="100"/>
          <w:position w:val="0"/>
          <w:sz w:val="28"/>
          <w:szCs w:val="28"/>
          <w:highlight w:val="none"/>
          <w:u w:val="single"/>
          <w:lang w:val="en-US" w:eastAsia="zh-CN"/>
        </w:rPr>
        <w:t xml:space="preserve">                            </w:t>
      </w: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3"/>
        <w:rPr>
          <w:rFonts w:hint="eastAsia" w:ascii="宋体" w:hAnsi="宋体" w:eastAsia="宋体" w:cs="宋体"/>
          <w:color w:val="auto"/>
          <w:spacing w:val="0"/>
          <w:w w:val="100"/>
          <w:position w:val="0"/>
          <w:sz w:val="16"/>
          <w:szCs w:val="21"/>
          <w:highlight w:val="none"/>
        </w:rPr>
      </w:pPr>
    </w:p>
    <w:p>
      <w:pPr>
        <w:pStyle w:val="13"/>
        <w:rPr>
          <w:rFonts w:hint="eastAsia" w:ascii="宋体" w:hAnsi="宋体" w:eastAsia="宋体" w:cs="宋体"/>
          <w:color w:val="auto"/>
          <w:spacing w:val="0"/>
          <w:w w:val="100"/>
          <w:position w:val="0"/>
          <w:sz w:val="16"/>
          <w:szCs w:val="21"/>
          <w:highlight w:val="none"/>
        </w:rPr>
      </w:pPr>
    </w:p>
    <w:p>
      <w:pPr>
        <w:pStyle w:val="12"/>
        <w:spacing w:before="5"/>
        <w:rPr>
          <w:rFonts w:hint="eastAsia" w:ascii="宋体" w:hAnsi="宋体" w:eastAsia="宋体" w:cs="宋体"/>
          <w:color w:val="auto"/>
          <w:spacing w:val="0"/>
          <w:w w:val="100"/>
          <w:position w:val="0"/>
          <w:sz w:val="21"/>
          <w:szCs w:val="21"/>
          <w:highlight w:val="none"/>
        </w:rPr>
      </w:pPr>
    </w:p>
    <w:p>
      <w:pPr>
        <w:spacing w:before="0" w:line="240" w:lineRule="auto"/>
        <w:ind w:left="0" w:right="113" w:firstLine="0"/>
        <w:jc w:val="center"/>
        <w:outlineLvl w:val="9"/>
        <w:rPr>
          <w:rFonts w:hint="eastAsia" w:ascii="宋体" w:hAnsi="宋体" w:eastAsia="宋体" w:cs="宋体"/>
          <w:b/>
          <w:bCs/>
          <w:color w:val="auto"/>
          <w:spacing w:val="0"/>
          <w:w w:val="100"/>
          <w:position w:val="0"/>
          <w:sz w:val="112"/>
          <w:szCs w:val="112"/>
          <w:highlight w:val="none"/>
        </w:rPr>
      </w:pPr>
      <w:r>
        <w:rPr>
          <w:rFonts w:hint="eastAsia" w:ascii="宋体" w:hAnsi="宋体" w:eastAsia="宋体" w:cs="宋体"/>
          <w:b/>
          <w:bCs/>
          <w:color w:val="auto"/>
          <w:spacing w:val="0"/>
          <w:w w:val="100"/>
          <w:position w:val="0"/>
          <w:sz w:val="112"/>
          <w:szCs w:val="112"/>
          <w:highlight w:val="none"/>
        </w:rPr>
        <w:t>投</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标</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文</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件</w:t>
      </w:r>
    </w:p>
    <w:p>
      <w:pPr>
        <w:spacing w:before="177" w:line="302" w:lineRule="auto"/>
        <w:ind w:left="295" w:right="413" w:firstLine="0"/>
        <w:jc w:val="center"/>
        <w:rPr>
          <w:rFonts w:hint="eastAsia" w:ascii="宋体" w:hAnsi="宋体" w:eastAsia="宋体" w:cs="宋体"/>
          <w:color w:val="auto"/>
          <w:spacing w:val="0"/>
          <w:w w:val="100"/>
          <w:position w:val="0"/>
          <w:sz w:val="24"/>
          <w:szCs w:val="20"/>
          <w:highlight w:val="none"/>
        </w:rPr>
      </w:pPr>
      <w:r>
        <w:rPr>
          <w:rFonts w:hint="eastAsia" w:ascii="宋体" w:hAnsi="宋体" w:eastAsia="宋体" w:cs="宋体"/>
          <w:color w:val="auto"/>
          <w:spacing w:val="0"/>
          <w:w w:val="100"/>
          <w:position w:val="0"/>
          <w:sz w:val="24"/>
          <w:szCs w:val="20"/>
          <w:highlight w:val="none"/>
        </w:rPr>
        <w:t>【</w:t>
      </w:r>
      <w:r>
        <w:rPr>
          <w:rFonts w:hint="eastAsia" w:ascii="宋体" w:hAnsi="宋体" w:eastAsia="宋体" w:cs="宋体"/>
          <w:color w:val="auto"/>
          <w:spacing w:val="0"/>
          <w:w w:val="100"/>
          <w:position w:val="0"/>
          <w:sz w:val="24"/>
          <w:szCs w:val="20"/>
          <w:highlight w:val="none"/>
          <w:lang w:val="en-US" w:eastAsia="zh-CN"/>
        </w:rPr>
        <w:t>投标文件</w:t>
      </w:r>
      <w:r>
        <w:rPr>
          <w:rFonts w:hint="eastAsia" w:ascii="宋体" w:hAnsi="宋体" w:eastAsia="宋体" w:cs="宋体"/>
          <w:color w:val="auto"/>
          <w:spacing w:val="0"/>
          <w:w w:val="100"/>
          <w:position w:val="0"/>
          <w:sz w:val="24"/>
          <w:szCs w:val="20"/>
          <w:highlight w:val="none"/>
        </w:rPr>
        <w:t>再分册装订或有其他组成部分的，在此处注明，例如“上册”、“上册”、“下册”、“图纸”或“附件”等】</w:t>
      </w: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2"/>
        <w:spacing w:before="7"/>
        <w:rPr>
          <w:rFonts w:hint="eastAsia" w:ascii="宋体" w:hAnsi="宋体" w:eastAsia="宋体" w:cs="宋体"/>
          <w:color w:val="auto"/>
          <w:spacing w:val="0"/>
          <w:w w:val="100"/>
          <w:position w:val="0"/>
          <w:sz w:val="24"/>
          <w:szCs w:val="24"/>
          <w:highlight w:val="none"/>
        </w:rPr>
      </w:pPr>
    </w:p>
    <w:p>
      <w:pPr>
        <w:bidi w:val="0"/>
        <w:spacing w:line="480" w:lineRule="auto"/>
        <w:ind w:leftChars="400"/>
        <w:jc w:val="left"/>
        <w:outlineLvl w:val="9"/>
        <w:rPr>
          <w:rFonts w:hint="eastAsia" w:ascii="宋体" w:hAnsi="宋体" w:eastAsia="宋体" w:cs="宋体"/>
          <w:b/>
          <w:bCs/>
          <w:color w:val="auto"/>
          <w:sz w:val="28"/>
          <w:szCs w:val="28"/>
          <w:highlight w:val="none"/>
          <w:lang w:eastAsia="zh-CN"/>
        </w:rPr>
      </w:pPr>
      <w:bookmarkStart w:id="120" w:name="_bookmark105"/>
      <w:bookmarkEnd w:id="120"/>
      <w:r>
        <w:rPr>
          <w:rFonts w:hint="eastAsia" w:ascii="宋体" w:hAnsi="宋体" w:eastAsia="宋体" w:cs="宋体"/>
          <w:b/>
          <w:bCs/>
          <w:color w:val="auto"/>
          <w:sz w:val="28"/>
          <w:szCs w:val="28"/>
          <w:highlight w:val="none"/>
        </w:rPr>
        <w:t>投标人</w:t>
      </w:r>
      <w:r>
        <w:rPr>
          <w:rFonts w:hint="eastAsia" w:ascii="宋体" w:hAnsi="宋体" w:eastAsia="宋体" w:cs="宋体"/>
          <w:b/>
          <w:bCs/>
          <w:color w:val="auto"/>
          <w:sz w:val="28"/>
          <w:szCs w:val="28"/>
          <w:highlight w:val="none"/>
          <w:lang w:val="en-US" w:eastAsia="zh-CN"/>
        </w:rPr>
        <w:t>名称</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盖章</w:t>
      </w:r>
      <w:r>
        <w:rPr>
          <w:rFonts w:hint="eastAsia" w:ascii="宋体" w:hAnsi="宋体" w:eastAsia="宋体" w:cs="宋体"/>
          <w:b/>
          <w:bCs/>
          <w:color w:val="auto"/>
          <w:sz w:val="28"/>
          <w:szCs w:val="28"/>
          <w:highlight w:val="none"/>
          <w:lang w:eastAsia="zh-CN"/>
        </w:rPr>
        <w:t>）</w:t>
      </w:r>
    </w:p>
    <w:p>
      <w:pPr>
        <w:bidi w:val="0"/>
        <w:spacing w:line="480" w:lineRule="auto"/>
        <w:ind w:leftChars="400"/>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法定代表人或授权代表：</w:t>
      </w:r>
    </w:p>
    <w:p>
      <w:pPr>
        <w:widowControl w:val="0"/>
        <w:autoSpaceDE w:val="0"/>
        <w:autoSpaceDN w:val="0"/>
        <w:snapToGrid w:val="0"/>
        <w:spacing w:before="0" w:after="0" w:line="480" w:lineRule="auto"/>
        <w:ind w:left="880" w:leftChars="400" w:right="0"/>
        <w:jc w:val="left"/>
        <w:rPr>
          <w:rFonts w:hint="eastAsia"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en-US" w:eastAsia="zh-CN" w:bidi="zh-CN"/>
        </w:rPr>
        <w:t>联系人：</w:t>
      </w:r>
    </w:p>
    <w:p>
      <w:pPr>
        <w:widowControl w:val="0"/>
        <w:autoSpaceDE w:val="0"/>
        <w:autoSpaceDN w:val="0"/>
        <w:snapToGrid w:val="0"/>
        <w:spacing w:before="0" w:after="0" w:line="480" w:lineRule="auto"/>
        <w:ind w:left="880" w:leftChars="400" w:right="0"/>
        <w:jc w:val="left"/>
        <w:rPr>
          <w:rFonts w:hint="eastAsia"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en-US" w:eastAsia="zh-CN" w:bidi="zh-CN"/>
        </w:rPr>
        <w:t>电话：</w:t>
      </w:r>
    </w:p>
    <w:p>
      <w:pPr>
        <w:bidi w:val="0"/>
        <w:spacing w:line="480" w:lineRule="auto"/>
        <w:ind w:leftChars="400"/>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日期：</w:t>
      </w:r>
    </w:p>
    <w:p>
      <w:pP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br w:type="page"/>
      </w:r>
    </w:p>
    <w:p>
      <w:pPr>
        <w:spacing w:before="31"/>
        <w:ind w:left="0" w:right="119" w:firstLine="0"/>
        <w:jc w:val="center"/>
        <w:rPr>
          <w:rFonts w:hint="eastAsia" w:ascii="宋体" w:hAnsi="宋体" w:eastAsia="宋体" w:cs="宋体"/>
          <w:b/>
          <w:color w:val="auto"/>
          <w:spacing w:val="0"/>
          <w:w w:val="100"/>
          <w:position w:val="0"/>
          <w:sz w:val="28"/>
          <w:szCs w:val="28"/>
          <w:highlight w:val="none"/>
        </w:rPr>
      </w:pPr>
      <w:r>
        <w:rPr>
          <w:rFonts w:hint="eastAsia" w:ascii="宋体" w:hAnsi="宋体" w:eastAsia="宋体" w:cs="宋体"/>
          <w:b/>
          <w:color w:val="auto"/>
          <w:spacing w:val="0"/>
          <w:w w:val="100"/>
          <w:position w:val="0"/>
          <w:sz w:val="28"/>
          <w:szCs w:val="28"/>
          <w:highlight w:val="none"/>
        </w:rPr>
        <w:t>评分索引表建议格式</w:t>
      </w:r>
    </w:p>
    <w:p>
      <w:pPr>
        <w:spacing w:before="31"/>
        <w:ind w:left="0" w:right="119" w:firstLine="0"/>
        <w:jc w:val="center"/>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评分索引表</w:t>
      </w:r>
    </w:p>
    <w:p>
      <w:pPr>
        <w:pStyle w:val="12"/>
        <w:spacing w:before="5"/>
        <w:rPr>
          <w:rFonts w:hint="eastAsia" w:ascii="宋体" w:hAnsi="宋体" w:eastAsia="宋体" w:cs="宋体"/>
          <w:b/>
          <w:color w:val="auto"/>
          <w:spacing w:val="0"/>
          <w:w w:val="100"/>
          <w:position w:val="0"/>
          <w:sz w:val="13"/>
          <w:szCs w:val="21"/>
          <w:highlight w:val="none"/>
        </w:rPr>
      </w:pPr>
    </w:p>
    <w:tbl>
      <w:tblPr>
        <w:tblStyle w:val="24"/>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1305"/>
        <w:gridCol w:w="3120"/>
        <w:gridCol w:w="2336"/>
        <w:gridCol w:w="2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674" w:type="dxa"/>
            <w:vAlign w:val="center"/>
          </w:tcPr>
          <w:p>
            <w:pPr>
              <w:pStyle w:val="29"/>
              <w:spacing w:before="156" w:line="242" w:lineRule="auto"/>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序号</w:t>
            </w:r>
          </w:p>
        </w:tc>
        <w:tc>
          <w:tcPr>
            <w:tcW w:w="1305"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评审内容</w:t>
            </w:r>
          </w:p>
        </w:tc>
        <w:tc>
          <w:tcPr>
            <w:tcW w:w="3120"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评分标准</w:t>
            </w:r>
          </w:p>
        </w:tc>
        <w:tc>
          <w:tcPr>
            <w:tcW w:w="2336"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投标响应情况简述</w:t>
            </w:r>
          </w:p>
        </w:tc>
        <w:tc>
          <w:tcPr>
            <w:tcW w:w="2055" w:type="dxa"/>
            <w:vAlign w:val="center"/>
          </w:tcPr>
          <w:p>
            <w:pPr>
              <w:pStyle w:val="29"/>
              <w:spacing w:before="2" w:line="242" w:lineRule="auto"/>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投标文件对应章节及页码索引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7"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bl>
    <w:p>
      <w:pPr>
        <w:pStyle w:val="32"/>
        <w:spacing w:line="5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注：投标人应根据招标文件第</w:t>
      </w: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lang w:eastAsia="zh-CN"/>
        </w:rPr>
        <w:t>章“评标标准”中列明的商务及技术部分评审内容，逐条（价格部分除外）索引至投标文件对应的响应内容所在章节和页码，以方便评标委员会评审。</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31"/>
        <w:ind w:right="115"/>
        <w:outlineLvl w:val="1"/>
        <w:rPr>
          <w:rFonts w:hint="eastAsia" w:ascii="宋体" w:hAnsi="宋体" w:eastAsia="宋体" w:cs="宋体"/>
          <w:color w:val="auto"/>
          <w:spacing w:val="0"/>
          <w:w w:val="100"/>
          <w:position w:val="0"/>
          <w:sz w:val="28"/>
          <w:szCs w:val="28"/>
          <w:highlight w:val="none"/>
        </w:rPr>
      </w:pPr>
      <w:bookmarkStart w:id="121" w:name="_bookmark106"/>
      <w:bookmarkEnd w:id="121"/>
      <w:bookmarkStart w:id="122" w:name="_Toc24649"/>
      <w:r>
        <w:rPr>
          <w:rFonts w:hint="eastAsia" w:ascii="宋体" w:hAnsi="宋体" w:eastAsia="宋体" w:cs="宋体"/>
          <w:color w:val="auto"/>
          <w:spacing w:val="0"/>
          <w:w w:val="100"/>
          <w:position w:val="0"/>
          <w:sz w:val="28"/>
          <w:szCs w:val="28"/>
          <w:highlight w:val="none"/>
        </w:rPr>
        <w:t>附件 1 投标函格式</w:t>
      </w:r>
      <w:bookmarkEnd w:id="122"/>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投标函</w:t>
      </w:r>
    </w:p>
    <w:p>
      <w:pPr>
        <w:pStyle w:val="12"/>
        <w:keepNext w:val="0"/>
        <w:keepLines w:val="0"/>
        <w:pageBreakBefore w:val="0"/>
        <w:widowControl w:val="0"/>
        <w:tabs>
          <w:tab w:val="left" w:pos="1428"/>
          <w:tab w:val="left" w:pos="4188"/>
        </w:tabs>
        <w:kinsoku/>
        <w:wordWrap/>
        <w:overflowPunct/>
        <w:topLinePunct w:val="0"/>
        <w:autoSpaceDE w:val="0"/>
        <w:autoSpaceDN w:val="0"/>
        <w:bidi w:val="0"/>
        <w:adjustRightInd/>
        <w:snapToGrid/>
        <w:spacing w:before="0" w:line="520" w:lineRule="exact"/>
        <w:ind w:left="0" w:right="0" w:firstLine="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3920"/>
          <w:tab w:val="left" w:pos="5946"/>
          <w:tab w:val="left" w:pos="7732"/>
          <w:tab w:val="left" w:pos="7789"/>
        </w:tabs>
        <w:kinsoku/>
        <w:wordWrap/>
        <w:overflowPunct/>
        <w:topLinePunct w:val="0"/>
        <w:autoSpaceDE w:val="0"/>
        <w:autoSpaceDN w:val="0"/>
        <w:bidi w:val="0"/>
        <w:adjustRightInd/>
        <w:snapToGrid/>
        <w:spacing w:before="0" w:line="52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根据贵方为</w:t>
      </w:r>
      <w:r>
        <w:rPr>
          <w:rFonts w:hint="eastAsia" w:ascii="宋体" w:hAnsi="宋体" w:eastAsia="宋体" w:cs="宋体"/>
          <w:color w:val="auto"/>
          <w:spacing w:val="0"/>
          <w:w w:val="100"/>
          <w:position w:val="0"/>
          <w:sz w:val="21"/>
          <w:szCs w:val="21"/>
          <w:highlight w:val="none"/>
          <w:u w:val="single"/>
        </w:rPr>
        <w:t xml:space="preserve"> 【项目名称】</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项目招标采购的</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【项目编号】</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 xml:space="preserve">招标文件，签字代表 </w:t>
      </w:r>
      <w:r>
        <w:rPr>
          <w:rFonts w:hint="eastAsia" w:ascii="宋体" w:hAnsi="宋体" w:eastAsia="宋体" w:cs="宋体"/>
          <w:color w:val="auto"/>
          <w:spacing w:val="0"/>
          <w:w w:val="100"/>
          <w:position w:val="0"/>
          <w:sz w:val="21"/>
          <w:szCs w:val="21"/>
          <w:highlight w:val="none"/>
          <w:u w:val="single"/>
        </w:rPr>
        <w:t>【全名、职务】</w:t>
      </w:r>
      <w:r>
        <w:rPr>
          <w:rFonts w:hint="eastAsia" w:ascii="宋体" w:hAnsi="宋体" w:eastAsia="宋体" w:cs="宋体"/>
          <w:color w:val="auto"/>
          <w:spacing w:val="0"/>
          <w:w w:val="100"/>
          <w:position w:val="0"/>
          <w:sz w:val="21"/>
          <w:szCs w:val="21"/>
          <w:highlight w:val="none"/>
        </w:rPr>
        <w:t>经正式授权并代表投标人</w:t>
      </w:r>
      <w:r>
        <w:rPr>
          <w:rFonts w:hint="eastAsia" w:ascii="宋体" w:hAnsi="宋体" w:eastAsia="宋体" w:cs="宋体"/>
          <w:color w:val="auto"/>
          <w:spacing w:val="0"/>
          <w:w w:val="100"/>
          <w:position w:val="0"/>
          <w:sz w:val="21"/>
          <w:szCs w:val="21"/>
          <w:highlight w:val="none"/>
          <w:u w:val="single"/>
        </w:rPr>
        <w:t xml:space="preserve">  【投标人名称、地址】</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提交下述文件：</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本投标函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开标一览表；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投标分项报价表；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技术服务需求偏离表；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商务条款偏离表；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【法定代表人授权书 或者 法定代表人的身份证明复印件】</w:t>
      </w:r>
      <w:r>
        <w:rPr>
          <w:rFonts w:hint="eastAsia" w:ascii="宋体" w:hAnsi="宋体" w:eastAsia="宋体" w:cs="宋体"/>
          <w:color w:val="auto"/>
          <w:sz w:val="21"/>
          <w:szCs w:val="21"/>
          <w:highlight w:val="none"/>
          <w:lang w:eastAsia="zh-CN"/>
        </w:rPr>
        <w:tab/>
      </w:r>
      <w:r>
        <w:rPr>
          <w:rFonts w:hint="eastAsia" w:ascii="宋体" w:hAnsi="宋体" w:eastAsia="宋体" w:cs="宋体"/>
          <w:color w:val="auto"/>
          <w:sz w:val="21"/>
          <w:szCs w:val="21"/>
          <w:highlight w:val="none"/>
          <w:lang w:eastAsia="zh-CN"/>
        </w:rPr>
        <w:t>；</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投标保证金承诺函；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代理服务费承诺函；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详细的技术服务响应；</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eastAsia="zh-CN"/>
        </w:rPr>
        <w:t>资格、资信证明文件；</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其他。</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在此，我方郑重承诺：</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方提交的投标文件资料是完整的、真实的和准确的。我方同意按照贵方的要求，提供有关的数据和资料。为此，我们授权任何相关的个人和公司向贵方提供要求的和必要的真实情况和资料以证实我们所填报的各项内容。如果在该项目招标过程中或者在获得中标后，采购人或有管辖权的行政监管机构发现并查实我方在该项目的投标中所报的资料存在虚假或不真实的信息或者伪造数据、资料或证书等情况，我方将无条件地自动放弃该项目的投标资格和中标资格；如果我方已经收到中标通知书，我方将无条件的承认，我方收到的该项目的中标通知书为无效文件，对采购人不具有任何法律约束力，由此造成的任何损失均由我方承担；本段承诺是我方真实意思的表示且具有相对独立性，不管是否有其他相反的说明，本段承诺均为我方投标文件的有效组成内容，对我方在与该项目有关的任何行为中始终具有优先的法律约束力。</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据此函，我方宣布同意如下：</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1.所附投标价格表中规定的应提交和交付的投标报价见《开标一览表》。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2.我方将按招标文件的规定履行合同责任和义务。</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3.我方己详细审查全部招标文件，包括澄清或修改文件（如果有的话）。我们完全理解并同意放弃对这方面有不明及误解的权利。</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4.本投标有效期为自投标截止时间起【60】日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5.我方同意提供按照贵方可能要求的与投标有关的一切数据或资料，完全理解贵方不一定接受最低价的投标或收到的任何投标。</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6.所有有关本投标文件的函电，请按下列地址联系：</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投标人</w:t>
      </w:r>
      <w:r>
        <w:rPr>
          <w:rFonts w:hint="eastAsia" w:ascii="宋体" w:hAnsi="宋体" w:eastAsia="宋体" w:cs="宋体"/>
          <w:color w:val="auto"/>
          <w:spacing w:val="0"/>
          <w:w w:val="100"/>
          <w:position w:val="0"/>
          <w:sz w:val="21"/>
          <w:szCs w:val="20"/>
          <w:highlight w:val="none"/>
          <w:u w:val="none"/>
          <w:lang w:val="en-US" w:eastAsia="zh-CN"/>
        </w:rPr>
        <w:t>：</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（盖单位公章）</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法定代表人或其委托代理人：</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（签字或盖章）</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地址：</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电话：</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传真：</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联系人：</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开户名称：</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开户银行：</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银行账号：</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u w:val="single"/>
          <w:lang w:val="en-US" w:eastAsia="zh-CN"/>
        </w:rPr>
      </w:pPr>
      <w:r>
        <w:rPr>
          <w:rFonts w:hint="eastAsia" w:ascii="宋体" w:hAnsi="宋体" w:eastAsia="宋体" w:cs="宋体"/>
          <w:color w:val="auto"/>
          <w:spacing w:val="0"/>
          <w:w w:val="100"/>
          <w:position w:val="0"/>
          <w:sz w:val="21"/>
          <w:szCs w:val="20"/>
          <w:highlight w:val="none"/>
          <w:lang w:val="en-US" w:eastAsia="zh-CN"/>
        </w:rPr>
        <w:t>日期：</w:t>
      </w:r>
      <w:r>
        <w:rPr>
          <w:rFonts w:hint="eastAsia" w:ascii="宋体" w:hAnsi="宋体" w:eastAsia="宋体" w:cs="宋体"/>
          <w:color w:val="auto"/>
          <w:spacing w:val="0"/>
          <w:w w:val="100"/>
          <w:position w:val="0"/>
          <w:sz w:val="21"/>
          <w:szCs w:val="20"/>
          <w:highlight w:val="none"/>
          <w:u w:val="single"/>
          <w:lang w:val="en-US" w:eastAsia="zh-CN"/>
        </w:rPr>
        <w:t xml:space="preserve">                                            </w:t>
      </w:r>
    </w:p>
    <w:p>
      <w:pPr>
        <w:pStyle w:val="12"/>
        <w:rPr>
          <w:rFonts w:hint="eastAsia" w:ascii="宋体" w:hAnsi="宋体" w:eastAsia="宋体" w:cs="宋体"/>
          <w:color w:val="auto"/>
          <w:spacing w:val="0"/>
          <w:w w:val="100"/>
          <w:position w:val="0"/>
          <w:sz w:val="16"/>
          <w:szCs w:val="21"/>
          <w:highlight w:val="none"/>
        </w:rPr>
      </w:pPr>
    </w:p>
    <w:p>
      <w:pPr>
        <w:rPr>
          <w:rFonts w:hint="eastAsia" w:ascii="宋体" w:hAnsi="宋体" w:eastAsia="宋体" w:cs="宋体"/>
          <w:color w:val="auto"/>
          <w:spacing w:val="0"/>
          <w:w w:val="100"/>
          <w:position w:val="0"/>
          <w:sz w:val="18"/>
          <w:szCs w:val="20"/>
          <w:highlight w:val="none"/>
        </w:rPr>
      </w:pPr>
      <w:r>
        <w:rPr>
          <w:rFonts w:hint="eastAsia" w:ascii="宋体" w:hAnsi="宋体" w:eastAsia="宋体" w:cs="宋体"/>
          <w:color w:val="auto"/>
          <w:spacing w:val="0"/>
          <w:w w:val="100"/>
          <w:position w:val="0"/>
          <w:sz w:val="18"/>
          <w:szCs w:val="20"/>
          <w:highlight w:val="none"/>
        </w:rPr>
        <w:br w:type="page"/>
      </w:r>
    </w:p>
    <w:p>
      <w:pPr>
        <w:pStyle w:val="4"/>
        <w:spacing w:before="43"/>
        <w:ind w:right="116"/>
        <w:outlineLvl w:val="1"/>
        <w:rPr>
          <w:rFonts w:hint="eastAsia" w:ascii="宋体" w:hAnsi="宋体" w:eastAsia="宋体" w:cs="宋体"/>
          <w:color w:val="auto"/>
          <w:spacing w:val="0"/>
          <w:w w:val="100"/>
          <w:position w:val="0"/>
          <w:sz w:val="28"/>
          <w:szCs w:val="28"/>
          <w:highlight w:val="none"/>
        </w:rPr>
      </w:pPr>
      <w:bookmarkStart w:id="123" w:name="_bookmark107"/>
      <w:bookmarkEnd w:id="123"/>
      <w:bookmarkStart w:id="124" w:name="_Toc1502"/>
      <w:r>
        <w:rPr>
          <w:rFonts w:hint="eastAsia" w:ascii="宋体" w:hAnsi="宋体" w:eastAsia="宋体" w:cs="宋体"/>
          <w:color w:val="auto"/>
          <w:spacing w:val="0"/>
          <w:w w:val="100"/>
          <w:position w:val="0"/>
          <w:sz w:val="28"/>
          <w:szCs w:val="28"/>
          <w:highlight w:val="none"/>
        </w:rPr>
        <w:t>附件 2 开标一览表格式</w:t>
      </w:r>
      <w:bookmarkEnd w:id="124"/>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开标一览表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项目名称：</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项目编号：</w:t>
      </w:r>
      <w:r>
        <w:rPr>
          <w:rFonts w:hint="eastAsia" w:ascii="宋体" w:hAnsi="宋体" w:eastAsia="宋体" w:cs="宋体"/>
          <w:color w:val="auto"/>
          <w:sz w:val="21"/>
          <w:szCs w:val="21"/>
          <w:highlight w:val="none"/>
          <w:u w:val="single"/>
          <w:lang w:val="en-US" w:eastAsia="zh-CN"/>
        </w:rPr>
        <w:t xml:space="preserve">                            </w:t>
      </w:r>
    </w:p>
    <w:tbl>
      <w:tblPr>
        <w:tblStyle w:val="24"/>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5"/>
        <w:gridCol w:w="1635"/>
        <w:gridCol w:w="2736"/>
        <w:gridCol w:w="2179"/>
        <w:gridCol w:w="1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26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包件号</w:t>
            </w:r>
          </w:p>
        </w:tc>
        <w:tc>
          <w:tcPr>
            <w:tcW w:w="163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包件名称</w:t>
            </w:r>
          </w:p>
        </w:tc>
        <w:tc>
          <w:tcPr>
            <w:tcW w:w="2736"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投标总价</w:t>
            </w:r>
          </w:p>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（单位人民币元）</w:t>
            </w:r>
          </w:p>
        </w:tc>
        <w:tc>
          <w:tcPr>
            <w:tcW w:w="217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投标保证金</w:t>
            </w:r>
          </w:p>
        </w:tc>
        <w:tc>
          <w:tcPr>
            <w:tcW w:w="181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投标声明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6" w:hRule="atLeast"/>
        </w:trPr>
        <w:tc>
          <w:tcPr>
            <w:tcW w:w="126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p>
        </w:tc>
        <w:tc>
          <w:tcPr>
            <w:tcW w:w="163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p>
        </w:tc>
        <w:tc>
          <w:tcPr>
            <w:tcW w:w="2736"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 xml:space="preserve">大写： </w:t>
            </w:r>
          </w:p>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小写：</w:t>
            </w:r>
          </w:p>
        </w:tc>
        <w:tc>
          <w:tcPr>
            <w:tcW w:w="217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hanging="18"/>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【保证金金额及形式，例如“XX 元， 电汇” 】</w:t>
            </w:r>
          </w:p>
        </w:tc>
        <w:tc>
          <w:tcPr>
            <w:tcW w:w="181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firstLine="79"/>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【如无投标声明可填写“无”】</w:t>
            </w:r>
          </w:p>
        </w:tc>
      </w:tr>
    </w:tbl>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1.此表正本应按投标人须知的规定单独密封提交，以便在开标时使用（投标文件副本中仍需保留本表并装订入投标文件）。</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（1）投标总价填写无条件折扣后的总价，不得填写除价格外的任何其他优惠。</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（2）不得填写有条件折扣。</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（3）一个包件只能填写一个报价，不得将一个包件拆开报价。</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2.此表中，投标总价应与附件 3 分项报价表中的投标总价一致。</w:t>
      </w:r>
    </w:p>
    <w:p>
      <w:pPr>
        <w:pStyle w:val="12"/>
        <w:spacing w:before="7"/>
        <w:rPr>
          <w:rFonts w:hint="eastAsia" w:ascii="宋体" w:hAnsi="宋体" w:eastAsia="宋体" w:cs="宋体"/>
          <w:color w:val="auto"/>
          <w:spacing w:val="0"/>
          <w:w w:val="100"/>
          <w:position w:val="0"/>
          <w:sz w:val="24"/>
          <w:szCs w:val="21"/>
          <w:highlight w:val="none"/>
        </w:rPr>
      </w:pP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spacing w:before="212"/>
        <w:ind w:left="0" w:right="113" w:firstLine="0"/>
        <w:jc w:val="center"/>
        <w:rPr>
          <w:rFonts w:hint="eastAsia" w:ascii="宋体" w:hAnsi="宋体" w:eastAsia="宋体" w:cs="宋体"/>
          <w:b/>
          <w:color w:val="auto"/>
          <w:spacing w:val="0"/>
          <w:w w:val="100"/>
          <w:position w:val="0"/>
          <w:sz w:val="24"/>
          <w:szCs w:val="20"/>
          <w:highlight w:val="none"/>
          <w:lang w:val="en-US" w:eastAsia="zh-CN"/>
        </w:rPr>
      </w:pPr>
      <w:r>
        <w:rPr>
          <w:rFonts w:hint="eastAsia" w:ascii="宋体" w:hAnsi="宋体" w:eastAsia="宋体" w:cs="宋体"/>
          <w:b/>
          <w:color w:val="auto"/>
          <w:spacing w:val="0"/>
          <w:w w:val="100"/>
          <w:position w:val="0"/>
          <w:sz w:val="24"/>
          <w:szCs w:val="20"/>
          <w:highlight w:val="none"/>
          <w:lang w:val="en-US" w:eastAsia="zh-CN"/>
        </w:rPr>
        <w:t>投标声明</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我们，（投标人名称）己认真阅读《中华人民共和国政府采购法》、《中华人民共和国政府采购法实施条例》及项目第包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项目编号：）招标文件相关内容，知悉投标人参加政府采购活动应当具备的条件。此次按招标文件要求提交的</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人资格证明材料，已经认真核对和检查，全部内容真实、合法、准确和完整，我们对此负责，并愿承担由此引起的法律责任。</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一、我方在此声明：</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（一）我方与采购人或采购代理机构不存在隶属关系或者其他利害关系。</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（二）我方与参加本项目的其他</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人不存在控股、关联关系，或者与其他</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人法定代表人（或者负责人）为同一人。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二、我方承诺：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参加政府采购近3年内，</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（一）我方依法缴纳了各项税费及各项社会保障资金，没有偷税、漏税及欠缴行为。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（二）我方在经营活动中没有存在下列重大违法记录：</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1、受到刑事处罚；</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2、受到3万元以上的罚款、责令停产停业、在1至3年内禁止参加政府采购活动、暂扣或者吊销许可证、暂扣或者吊销执照的行政处罚。</w:t>
      </w:r>
    </w:p>
    <w:p>
      <w:pPr>
        <w:pStyle w:val="31"/>
        <w:spacing w:line="500" w:lineRule="exact"/>
        <w:rPr>
          <w:rFonts w:hint="eastAsia" w:ascii="宋体" w:hAnsi="宋体" w:eastAsia="宋体" w:cs="宋体"/>
          <w:b/>
          <w:bCs/>
          <w:color w:val="auto"/>
          <w:sz w:val="21"/>
          <w:szCs w:val="21"/>
          <w:highlight w:val="none"/>
        </w:rPr>
      </w:pP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投标人名称（盖单位章）：</w:t>
      </w: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法定代表人或其委托代理人签字：</w:t>
      </w: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日期：年月日</w:t>
      </w:r>
    </w:p>
    <w:p>
      <w:pPr>
        <w:pStyle w:val="31"/>
        <w:spacing w:line="360" w:lineRule="atLeast"/>
        <w:rPr>
          <w:rFonts w:hint="eastAsia" w:ascii="宋体" w:hAnsi="宋体" w:eastAsia="宋体" w:cs="宋体"/>
          <w:b/>
          <w:bCs/>
          <w:color w:val="auto"/>
          <w:sz w:val="21"/>
          <w:szCs w:val="21"/>
          <w:highlight w:val="none"/>
        </w:rPr>
      </w:pPr>
    </w:p>
    <w:p>
      <w:pPr>
        <w:pStyle w:val="13"/>
        <w:rPr>
          <w:rFonts w:hint="eastAsia" w:ascii="宋体" w:hAnsi="宋体" w:eastAsia="宋体" w:cs="宋体"/>
          <w:color w:val="auto"/>
          <w:sz w:val="16"/>
          <w:szCs w:val="16"/>
          <w:highlight w:val="none"/>
        </w:rPr>
      </w:pPr>
      <w:r>
        <w:rPr>
          <w:rFonts w:hint="eastAsia" w:ascii="宋体" w:hAnsi="宋体" w:eastAsia="宋体" w:cs="宋体"/>
          <w:b/>
          <w:bCs/>
          <w:color w:val="auto"/>
          <w:sz w:val="16"/>
          <w:szCs w:val="16"/>
          <w:highlight w:val="none"/>
        </w:rPr>
        <w:t>注：近3年：成立3年以上的，为提交首次投标文件截止时间前3年内；成立不足3年的，为实际时间。</w:t>
      </w:r>
    </w:p>
    <w:p>
      <w:pPr>
        <w:rPr>
          <w:rFonts w:hint="eastAsia" w:ascii="宋体" w:hAnsi="宋体" w:eastAsia="宋体" w:cs="宋体"/>
          <w:color w:val="auto"/>
          <w:spacing w:val="0"/>
          <w:w w:val="100"/>
          <w:position w:val="0"/>
          <w:sz w:val="20"/>
          <w:szCs w:val="20"/>
          <w:highlight w:val="none"/>
        </w:rPr>
      </w:pP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bookmarkStart w:id="125" w:name="_bookmark108"/>
      <w:bookmarkEnd w:id="125"/>
    </w:p>
    <w:p>
      <w:pPr>
        <w:rPr>
          <w:rFonts w:hint="eastAsia" w:ascii="宋体" w:hAnsi="宋体" w:eastAsia="宋体" w:cs="宋体"/>
          <w:color w:val="auto"/>
          <w:sz w:val="20"/>
          <w:szCs w:val="20"/>
          <w:highlight w:val="none"/>
        </w:rPr>
        <w:sectPr>
          <w:footerReference r:id="rId7" w:type="default"/>
          <w:pgSz w:w="11910" w:h="16840"/>
          <w:pgMar w:top="1440" w:right="1080" w:bottom="1440" w:left="1080" w:header="850" w:footer="999" w:gutter="0"/>
          <w:pgBorders>
            <w:top w:val="none" w:sz="0" w:space="0"/>
            <w:left w:val="none" w:sz="0" w:space="0"/>
            <w:bottom w:val="none" w:sz="0" w:space="0"/>
            <w:right w:val="none" w:sz="0" w:space="0"/>
          </w:pgBorders>
          <w:pgNumType w:fmt="numberInDash" w:start="1"/>
          <w:cols w:space="720" w:num="1"/>
        </w:sectPr>
      </w:pPr>
    </w:p>
    <w:p>
      <w:pPr>
        <w:pStyle w:val="4"/>
        <w:spacing w:before="43"/>
        <w:ind w:right="116"/>
        <w:outlineLvl w:val="1"/>
        <w:rPr>
          <w:rFonts w:hint="eastAsia" w:ascii="宋体" w:hAnsi="宋体" w:eastAsia="宋体" w:cs="宋体"/>
          <w:color w:val="auto"/>
          <w:spacing w:val="0"/>
          <w:w w:val="100"/>
          <w:position w:val="0"/>
          <w:sz w:val="28"/>
          <w:szCs w:val="28"/>
          <w:highlight w:val="none"/>
        </w:rPr>
      </w:pPr>
      <w:bookmarkStart w:id="126" w:name="_bookmark109"/>
      <w:bookmarkEnd w:id="126"/>
      <w:bookmarkStart w:id="127" w:name="_Toc15586"/>
      <w:r>
        <w:rPr>
          <w:rFonts w:hint="eastAsia" w:ascii="宋体" w:hAnsi="宋体" w:eastAsia="宋体" w:cs="宋体"/>
          <w:color w:val="auto"/>
          <w:spacing w:val="0"/>
          <w:w w:val="100"/>
          <w:position w:val="0"/>
          <w:sz w:val="28"/>
          <w:szCs w:val="28"/>
          <w:highlight w:val="none"/>
        </w:rPr>
        <w:t>附件 3 投标分项报价表格式</w:t>
      </w:r>
      <w:bookmarkEnd w:id="127"/>
    </w:p>
    <w:p>
      <w:pPr>
        <w:spacing w:before="212"/>
        <w:ind w:left="0" w:right="113" w:firstLine="0"/>
        <w:jc w:val="center"/>
        <w:rPr>
          <w:rFonts w:hint="eastAsia" w:ascii="宋体" w:hAnsi="宋体" w:eastAsia="宋体" w:cs="宋体"/>
          <w:b/>
          <w:color w:val="auto"/>
          <w:spacing w:val="0"/>
          <w:w w:val="100"/>
          <w:position w:val="0"/>
          <w:sz w:val="24"/>
          <w:szCs w:val="20"/>
          <w:highlight w:val="none"/>
          <w:lang w:val="en-US" w:eastAsia="zh-CN"/>
        </w:rPr>
      </w:pPr>
      <w:r>
        <w:rPr>
          <w:rFonts w:hint="eastAsia" w:ascii="宋体" w:hAnsi="宋体" w:eastAsia="宋体" w:cs="宋体"/>
          <w:b/>
          <w:color w:val="auto"/>
          <w:spacing w:val="0"/>
          <w:w w:val="100"/>
          <w:position w:val="0"/>
          <w:sz w:val="24"/>
          <w:szCs w:val="20"/>
          <w:highlight w:val="none"/>
          <w:lang w:val="en-US" w:eastAsia="zh-CN"/>
        </w:rPr>
        <w:t>投标分项报价表（货物类适用）</w:t>
      </w:r>
    </w:p>
    <w:p>
      <w:pPr>
        <w:pStyle w:val="12"/>
        <w:tabs>
          <w:tab w:val="left" w:pos="4855"/>
        </w:tabs>
        <w:spacing w:before="74" w:line="240" w:lineRule="auto"/>
        <w:ind w:left="240"/>
        <w:rPr>
          <w:rFonts w:hint="eastAsia" w:ascii="宋体" w:hAnsi="宋体" w:eastAsia="宋体" w:cs="宋体"/>
          <w:color w:val="auto"/>
          <w:spacing w:val="0"/>
          <w:w w:val="100"/>
          <w:position w:val="0"/>
          <w:sz w:val="21"/>
          <w:szCs w:val="21"/>
          <w:highlight w:val="none"/>
          <w:u w:val="single"/>
          <w:lang w:val="en-US" w:eastAsia="zh-CN"/>
        </w:rPr>
      </w:pPr>
      <w:r>
        <w:rPr>
          <w:rFonts w:hint="eastAsia" w:ascii="宋体" w:hAnsi="宋体" w:eastAsia="宋体" w:cs="宋体"/>
          <w:color w:val="auto"/>
          <w:spacing w:val="0"/>
          <w:w w:val="100"/>
          <w:position w:val="0"/>
          <w:sz w:val="21"/>
          <w:szCs w:val="21"/>
          <w:highlight w:val="none"/>
        </w:rPr>
        <w:t>项目名称：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12"/>
        <w:tabs>
          <w:tab w:val="left" w:pos="4855"/>
        </w:tabs>
        <w:spacing w:before="74" w:line="240" w:lineRule="auto"/>
        <w:ind w:left="24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包件号：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包件名称：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u w:val="single"/>
        </w:rPr>
        <w:tab/>
      </w:r>
    </w:p>
    <w:p>
      <w:pPr>
        <w:pStyle w:val="12"/>
        <w:spacing w:before="1"/>
        <w:ind w:left="240"/>
        <w:jc w:val="righ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价格单位：人民币元</w:t>
      </w:r>
    </w:p>
    <w:p>
      <w:pPr>
        <w:pStyle w:val="12"/>
        <w:spacing w:before="4"/>
        <w:rPr>
          <w:rFonts w:hint="eastAsia" w:ascii="宋体" w:hAnsi="宋体" w:eastAsia="宋体" w:cs="宋体"/>
          <w:color w:val="auto"/>
          <w:spacing w:val="0"/>
          <w:w w:val="100"/>
          <w:position w:val="0"/>
          <w:sz w:val="10"/>
          <w:szCs w:val="21"/>
          <w:highlight w:val="none"/>
        </w:rPr>
      </w:pPr>
    </w:p>
    <w:tbl>
      <w:tblPr>
        <w:tblStyle w:val="24"/>
        <w:tblW w:w="13854"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27"/>
        <w:gridCol w:w="2069"/>
        <w:gridCol w:w="30"/>
        <w:gridCol w:w="956"/>
        <w:gridCol w:w="2047"/>
        <w:gridCol w:w="1839"/>
        <w:gridCol w:w="3218"/>
        <w:gridCol w:w="927"/>
        <w:gridCol w:w="184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序号</w:t>
            </w:r>
          </w:p>
        </w:tc>
        <w:tc>
          <w:tcPr>
            <w:tcW w:w="2069"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名称</w:t>
            </w:r>
          </w:p>
        </w:tc>
        <w:tc>
          <w:tcPr>
            <w:tcW w:w="986" w:type="dxa"/>
            <w:gridSpan w:val="2"/>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数量</w:t>
            </w:r>
          </w:p>
        </w:tc>
        <w:tc>
          <w:tcPr>
            <w:tcW w:w="2047"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型号和规格</w:t>
            </w:r>
          </w:p>
        </w:tc>
        <w:tc>
          <w:tcPr>
            <w:tcW w:w="1839"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lang w:val="en-US" w:eastAsia="zh-CN"/>
              </w:rPr>
            </w:pPr>
            <w:r>
              <w:rPr>
                <w:rFonts w:hint="eastAsia" w:ascii="宋体" w:hAnsi="宋体" w:eastAsia="宋体" w:cs="宋体"/>
                <w:b/>
                <w:color w:val="auto"/>
                <w:spacing w:val="0"/>
                <w:w w:val="100"/>
                <w:position w:val="0"/>
                <w:sz w:val="21"/>
                <w:szCs w:val="20"/>
                <w:highlight w:val="none"/>
                <w:lang w:val="en-US" w:eastAsia="zh-CN"/>
              </w:rPr>
              <w:t>品牌</w:t>
            </w:r>
          </w:p>
        </w:tc>
        <w:tc>
          <w:tcPr>
            <w:tcW w:w="321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原产地和制造商名称</w:t>
            </w:r>
          </w:p>
        </w:tc>
        <w:tc>
          <w:tcPr>
            <w:tcW w:w="927"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单价</w:t>
            </w:r>
          </w:p>
        </w:tc>
        <w:tc>
          <w:tcPr>
            <w:tcW w:w="1841"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分项合计</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【产品】</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1.2</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【备品备件】</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【安装】</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9"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【售后服务】</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0" w:hRule="atLeast"/>
          <w:jc w:val="center"/>
        </w:trPr>
        <w:tc>
          <w:tcPr>
            <w:tcW w:w="3026" w:type="dxa"/>
            <w:gridSpan w:val="3"/>
            <w:tcBorders>
              <w:top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right"/>
              <w:textAlignment w:val="auto"/>
              <w:rPr>
                <w:rFonts w:hint="eastAsia" w:ascii="宋体" w:hAnsi="宋体" w:eastAsia="宋体" w:cs="宋体"/>
                <w:color w:val="auto"/>
                <w:spacing w:val="0"/>
                <w:w w:val="100"/>
                <w:position w:val="0"/>
                <w:sz w:val="21"/>
                <w:szCs w:val="20"/>
                <w:highlight w:val="none"/>
              </w:rPr>
            </w:pPr>
          </w:p>
        </w:tc>
        <w:tc>
          <w:tcPr>
            <w:tcW w:w="8987" w:type="dxa"/>
            <w:gridSpan w:val="5"/>
            <w:tcBorders>
              <w:top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righ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投标总价</w:t>
            </w:r>
          </w:p>
        </w:tc>
        <w:tc>
          <w:tcPr>
            <w:tcW w:w="1841" w:type="dxa"/>
            <w:tcBorders>
              <w:top w:val="single" w:color="000000" w:sz="4" w:space="0"/>
              <w:lef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注：1、投标总价应为各分项合计汇总之和。</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2、如果不提供投标分项报价表将视为没有实质性响应招标文件。</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sectPr>
          <w:headerReference r:id="rId8" w:type="default"/>
          <w:footerReference r:id="rId9" w:type="default"/>
          <w:pgSz w:w="16840" w:h="11910" w:orient="landscape"/>
          <w:pgMar w:top="1440" w:right="1080" w:bottom="1440" w:left="1080" w:header="850" w:footer="999" w:gutter="0"/>
          <w:pgBorders>
            <w:top w:val="none" w:sz="0" w:space="0"/>
            <w:left w:val="none" w:sz="0" w:space="0"/>
            <w:bottom w:val="none" w:sz="0" w:space="0"/>
            <w:right w:val="none" w:sz="0" w:space="0"/>
          </w:pgBorders>
          <w:pgNumType w:fmt="numberInDash"/>
          <w:cols w:space="720" w:num="1"/>
        </w:sectPr>
      </w:pPr>
      <w:bookmarkStart w:id="128" w:name="_bookmark110"/>
      <w:bookmarkEnd w:id="128"/>
    </w:p>
    <w:p>
      <w:pPr>
        <w:pStyle w:val="4"/>
        <w:spacing w:before="43"/>
        <w:ind w:left="363" w:right="434"/>
        <w:outlineLvl w:val="1"/>
        <w:rPr>
          <w:rFonts w:hint="eastAsia" w:ascii="宋体" w:hAnsi="宋体" w:eastAsia="宋体" w:cs="宋体"/>
          <w:color w:val="auto"/>
          <w:spacing w:val="0"/>
          <w:w w:val="100"/>
          <w:position w:val="0"/>
          <w:sz w:val="28"/>
          <w:szCs w:val="28"/>
          <w:highlight w:val="none"/>
        </w:rPr>
      </w:pPr>
      <w:bookmarkStart w:id="129" w:name="_bookmark111"/>
      <w:bookmarkEnd w:id="129"/>
      <w:bookmarkStart w:id="130" w:name="_Toc31803"/>
      <w:r>
        <w:rPr>
          <w:rFonts w:hint="eastAsia" w:ascii="宋体" w:hAnsi="宋体" w:eastAsia="宋体" w:cs="宋体"/>
          <w:color w:val="auto"/>
          <w:spacing w:val="0"/>
          <w:w w:val="100"/>
          <w:position w:val="0"/>
          <w:sz w:val="28"/>
          <w:szCs w:val="28"/>
          <w:highlight w:val="none"/>
        </w:rPr>
        <w:t>附件 4 技术服务需求偏离表格式</w:t>
      </w:r>
      <w:bookmarkEnd w:id="130"/>
    </w:p>
    <w:p>
      <w:pPr>
        <w:pStyle w:val="12"/>
        <w:ind w:left="400"/>
        <w:jc w:val="center"/>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技术服务需求偏离表</w:t>
      </w:r>
    </w:p>
    <w:p>
      <w:pPr>
        <w:pStyle w:val="1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项目名称：</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包号：</w:t>
      </w:r>
      <w:r>
        <w:rPr>
          <w:rFonts w:hint="eastAsia" w:ascii="宋体" w:hAnsi="宋体" w:eastAsia="宋体" w:cs="宋体"/>
          <w:color w:val="auto"/>
          <w:spacing w:val="0"/>
          <w:w w:val="100"/>
          <w:position w:val="0"/>
          <w:sz w:val="21"/>
          <w:szCs w:val="21"/>
          <w:highlight w:val="none"/>
        </w:rPr>
        <w:tab/>
      </w:r>
      <w:r>
        <w:rPr>
          <w:rFonts w:hint="eastAsia" w:ascii="宋体" w:hAnsi="宋体" w:eastAsia="宋体" w:cs="宋体"/>
          <w:color w:val="auto"/>
          <w:spacing w:val="0"/>
          <w:w w:val="100"/>
          <w:position w:val="0"/>
          <w:sz w:val="21"/>
          <w:szCs w:val="21"/>
          <w:highlight w:val="none"/>
        </w:rPr>
        <w:t>包件名称：</w:t>
      </w:r>
    </w:p>
    <w:p>
      <w:pPr>
        <w:pStyle w:val="12"/>
        <w:spacing w:before="7"/>
        <w:rPr>
          <w:rFonts w:hint="eastAsia" w:ascii="宋体" w:hAnsi="宋体" w:eastAsia="宋体" w:cs="宋体"/>
          <w:color w:val="auto"/>
          <w:spacing w:val="0"/>
          <w:w w:val="100"/>
          <w:position w:val="0"/>
          <w:sz w:val="10"/>
          <w:szCs w:val="21"/>
          <w:highlight w:val="none"/>
        </w:rPr>
      </w:pPr>
    </w:p>
    <w:tbl>
      <w:tblPr>
        <w:tblStyle w:val="24"/>
        <w:tblW w:w="0" w:type="auto"/>
        <w:tblInd w:w="4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535"/>
        <w:gridCol w:w="1558"/>
        <w:gridCol w:w="1418"/>
        <w:gridCol w:w="2035"/>
        <w:gridCol w:w="1440"/>
        <w:gridCol w:w="153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4" w:hRule="atLeast"/>
        </w:trPr>
        <w:tc>
          <w:tcPr>
            <w:tcW w:w="535"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55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指标项</w:t>
            </w:r>
          </w:p>
        </w:tc>
        <w:tc>
          <w:tcPr>
            <w:tcW w:w="141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招标文件需求要求</w:t>
            </w:r>
          </w:p>
        </w:tc>
        <w:tc>
          <w:tcPr>
            <w:tcW w:w="2035"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投标货物及服务的技术参数和性能</w:t>
            </w:r>
          </w:p>
        </w:tc>
        <w:tc>
          <w:tcPr>
            <w:tcW w:w="1440"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偏离说明</w:t>
            </w:r>
          </w:p>
        </w:tc>
        <w:tc>
          <w:tcPr>
            <w:tcW w:w="1536"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相关说明文件及证明文件在投标文件中的页码</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40"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【填写招标文件技术服务需求书要求的编号】</w:t>
            </w:r>
          </w:p>
        </w:tc>
        <w:tc>
          <w:tcPr>
            <w:tcW w:w="141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【填写招标文件的技术服务需求中该编号对应的 具体 要</w:t>
            </w:r>
          </w:p>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求】</w:t>
            </w:r>
          </w:p>
        </w:tc>
        <w:tc>
          <w:tcPr>
            <w:tcW w:w="2035"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【填写投标货物及服务对该要求的技术参数和性能响应】</w:t>
            </w: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【填写：优于、满足或不满足，并可进一步进行说明】</w:t>
            </w: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2" w:hRule="atLeast"/>
        </w:trPr>
        <w:tc>
          <w:tcPr>
            <w:tcW w:w="535" w:type="dxa"/>
            <w:tcBorders>
              <w:top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pStyle w:val="12"/>
        <w:rPr>
          <w:rFonts w:hint="eastAsia" w:ascii="宋体" w:hAnsi="宋体" w:eastAsia="宋体" w:cs="宋体"/>
          <w:color w:val="auto"/>
          <w:spacing w:val="0"/>
          <w:w w:val="100"/>
          <w:position w:val="0"/>
          <w:sz w:val="20"/>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lang w:val="en-US" w:eastAsia="zh-CN"/>
        </w:rPr>
        <w:tab/>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1、要求投标人对招标文件中第四章“技术服务需求”进行逐条（项目背景介绍和采购需求一览表除外）应答。</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2、投标人应提供明确的说明文件及证明文件在投标文件中的页码索引。</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5"/>
        <w:outlineLvl w:val="1"/>
        <w:rPr>
          <w:rFonts w:hint="eastAsia" w:ascii="宋体" w:hAnsi="宋体" w:eastAsia="宋体" w:cs="宋体"/>
          <w:color w:val="auto"/>
          <w:spacing w:val="0"/>
          <w:w w:val="100"/>
          <w:position w:val="0"/>
          <w:sz w:val="28"/>
          <w:szCs w:val="28"/>
          <w:highlight w:val="none"/>
        </w:rPr>
      </w:pPr>
      <w:bookmarkStart w:id="131" w:name="_bookmark112"/>
      <w:bookmarkEnd w:id="131"/>
      <w:bookmarkStart w:id="132" w:name="_Toc15853"/>
      <w:r>
        <w:rPr>
          <w:rFonts w:hint="eastAsia" w:ascii="宋体" w:hAnsi="宋体" w:eastAsia="宋体" w:cs="宋体"/>
          <w:color w:val="auto"/>
          <w:spacing w:val="0"/>
          <w:w w:val="100"/>
          <w:position w:val="0"/>
          <w:sz w:val="28"/>
          <w:szCs w:val="28"/>
          <w:highlight w:val="none"/>
        </w:rPr>
        <w:t>附件 5 商务条款偏离表格式</w:t>
      </w:r>
      <w:bookmarkEnd w:id="132"/>
    </w:p>
    <w:p>
      <w:pPr>
        <w:pStyle w:val="12"/>
        <w:ind w:left="400"/>
        <w:jc w:val="center"/>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商务条款偏离表</w:t>
      </w:r>
    </w:p>
    <w:p>
      <w:pPr>
        <w:pStyle w:val="1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项目名称：</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包号：</w:t>
      </w:r>
      <w:r>
        <w:rPr>
          <w:rFonts w:hint="eastAsia" w:ascii="宋体" w:hAnsi="宋体" w:eastAsia="宋体" w:cs="宋体"/>
          <w:color w:val="auto"/>
          <w:spacing w:val="0"/>
          <w:w w:val="100"/>
          <w:position w:val="0"/>
          <w:sz w:val="21"/>
          <w:szCs w:val="21"/>
          <w:highlight w:val="none"/>
        </w:rPr>
        <w:tab/>
      </w:r>
      <w:r>
        <w:rPr>
          <w:rFonts w:hint="eastAsia" w:ascii="宋体" w:hAnsi="宋体" w:eastAsia="宋体" w:cs="宋体"/>
          <w:color w:val="auto"/>
          <w:spacing w:val="0"/>
          <w:w w:val="100"/>
          <w:position w:val="0"/>
          <w:sz w:val="21"/>
          <w:szCs w:val="21"/>
          <w:highlight w:val="none"/>
        </w:rPr>
        <w:t>包件名称：</w:t>
      </w:r>
    </w:p>
    <w:p>
      <w:pPr>
        <w:pStyle w:val="12"/>
        <w:spacing w:before="7"/>
        <w:rPr>
          <w:rFonts w:hint="eastAsia" w:ascii="宋体" w:hAnsi="宋体" w:eastAsia="宋体" w:cs="宋体"/>
          <w:color w:val="auto"/>
          <w:spacing w:val="0"/>
          <w:w w:val="100"/>
          <w:position w:val="0"/>
          <w:sz w:val="10"/>
          <w:szCs w:val="21"/>
          <w:highlight w:val="none"/>
        </w:rPr>
      </w:pPr>
    </w:p>
    <w:tbl>
      <w:tblPr>
        <w:tblStyle w:val="24"/>
        <w:tblW w:w="0" w:type="auto"/>
        <w:tblInd w:w="308"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08"/>
        <w:gridCol w:w="1921"/>
        <w:gridCol w:w="2401"/>
        <w:gridCol w:w="2471"/>
        <w:gridCol w:w="142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92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招标文件条目号</w:t>
            </w:r>
          </w:p>
        </w:tc>
        <w:tc>
          <w:tcPr>
            <w:tcW w:w="240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招标文件的商务条款</w:t>
            </w:r>
          </w:p>
        </w:tc>
        <w:tc>
          <w:tcPr>
            <w:tcW w:w="247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投标文件的商务条款</w:t>
            </w:r>
          </w:p>
        </w:tc>
        <w:tc>
          <w:tcPr>
            <w:tcW w:w="1420"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偏离说明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06"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【填写招标文件技术服务需求书要求的编号】</w:t>
            </w:r>
          </w:p>
        </w:tc>
        <w:tc>
          <w:tcPr>
            <w:tcW w:w="240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【填写招标文件的拟签订的合同文本中该编号具体要求】</w:t>
            </w:r>
          </w:p>
        </w:tc>
        <w:tc>
          <w:tcPr>
            <w:tcW w:w="247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【填写投标人对该要求的响应】</w:t>
            </w: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【填写：优于、满足或不满足，并可进一步进行 偏离 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4" w:hRule="atLeast"/>
        </w:trPr>
        <w:tc>
          <w:tcPr>
            <w:tcW w:w="708" w:type="dxa"/>
            <w:tcBorders>
              <w:top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bl>
    <w:p>
      <w:pPr>
        <w:pStyle w:val="12"/>
        <w:rPr>
          <w:rFonts w:hint="eastAsia" w:ascii="宋体" w:hAnsi="宋体" w:eastAsia="宋体" w:cs="宋体"/>
          <w:color w:val="auto"/>
          <w:spacing w:val="0"/>
          <w:w w:val="100"/>
          <w:position w:val="0"/>
          <w:sz w:val="21"/>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pStyle w:val="12"/>
        <w:spacing w:before="10"/>
        <w:rPr>
          <w:rFonts w:hint="eastAsia" w:ascii="宋体" w:hAnsi="宋体" w:eastAsia="宋体" w:cs="宋体"/>
          <w:color w:val="auto"/>
          <w:spacing w:val="0"/>
          <w:w w:val="100"/>
          <w:position w:val="0"/>
          <w:sz w:val="22"/>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lang w:val="en-US" w:eastAsia="zh-CN"/>
        </w:rPr>
        <w:tab/>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1、投标人如果对招标文件第五章“拟签订的合同文本”中的合同条款的响应有任何偏离，请在本表中详细列明填写；满足的合同条款不必列出。</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2、除以上“偏离说明”栏中列明的“不满足”或“优于”项外，视为投标人无条件满足并接受招标文件规定的所有其他商务条款。</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3、如不列出，视为投标人无条件满足并接受招标文件规定的所有商务条款。</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6"/>
        <w:outlineLvl w:val="1"/>
        <w:rPr>
          <w:rFonts w:hint="eastAsia" w:ascii="宋体" w:hAnsi="宋体" w:eastAsia="宋体" w:cs="宋体"/>
          <w:color w:val="auto"/>
          <w:spacing w:val="0"/>
          <w:w w:val="100"/>
          <w:position w:val="0"/>
          <w:sz w:val="28"/>
          <w:szCs w:val="28"/>
          <w:highlight w:val="none"/>
        </w:rPr>
      </w:pPr>
      <w:bookmarkStart w:id="133" w:name="_bookmark113"/>
      <w:bookmarkEnd w:id="133"/>
      <w:bookmarkStart w:id="134" w:name="_Toc13009"/>
      <w:r>
        <w:rPr>
          <w:rFonts w:hint="eastAsia" w:ascii="宋体" w:hAnsi="宋体" w:eastAsia="宋体" w:cs="宋体"/>
          <w:color w:val="auto"/>
          <w:spacing w:val="0"/>
          <w:w w:val="100"/>
          <w:position w:val="0"/>
          <w:sz w:val="28"/>
          <w:szCs w:val="28"/>
          <w:highlight w:val="none"/>
        </w:rPr>
        <w:t>附件 6 法定代表人授权书格式</w:t>
      </w:r>
      <w:bookmarkEnd w:id="134"/>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【投标人为无法定代表人的其他团体组织等时，法定代表人则系指其负责人。法定代表人（或负责人）签字、盖手签章或盖姓名章均为有效法定代表人签署。】</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【投标人须知前附表加注“*”的投标文件构成部分其他文件均由法定代表人在相应位置直接签署时，无需提供法定代表人授权书，但应提供法定代表人身份证明复印件】</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rPr>
      </w:pPr>
      <w:r>
        <w:rPr>
          <w:rFonts w:hint="eastAsia" w:ascii="宋体" w:hAnsi="宋体" w:eastAsia="宋体" w:cs="宋体"/>
          <w:b/>
          <w:color w:val="auto"/>
          <w:spacing w:val="0"/>
          <w:w w:val="100"/>
          <w:position w:val="0"/>
          <w:sz w:val="24"/>
          <w:szCs w:val="21"/>
          <w:highlight w:val="none"/>
        </w:rPr>
        <w:t>法定代表人授权书</w:t>
      </w:r>
    </w:p>
    <w:p>
      <w:pPr>
        <w:pStyle w:val="12"/>
        <w:spacing w:before="6"/>
        <w:rPr>
          <w:rFonts w:hint="eastAsia" w:ascii="宋体" w:hAnsi="宋体" w:eastAsia="宋体" w:cs="宋体"/>
          <w:b/>
          <w:color w:val="auto"/>
          <w:spacing w:val="0"/>
          <w:w w:val="100"/>
          <w:position w:val="0"/>
          <w:sz w:val="22"/>
          <w:szCs w:val="21"/>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致</w:t>
      </w: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rPr>
        <w:t>：</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本授权书声明：注册于</w:t>
      </w:r>
      <w:r>
        <w:rPr>
          <w:rFonts w:hint="eastAsia" w:ascii="宋体" w:hAnsi="宋体" w:eastAsia="宋体" w:cs="宋体"/>
          <w:color w:val="auto"/>
          <w:spacing w:val="0"/>
          <w:w w:val="100"/>
          <w:position w:val="0"/>
          <w:sz w:val="21"/>
          <w:szCs w:val="21"/>
          <w:highlight w:val="none"/>
          <w:u w:val="single"/>
        </w:rPr>
        <w:t xml:space="preserve">  【注册地址】 </w:t>
      </w:r>
      <w:r>
        <w:rPr>
          <w:rFonts w:hint="eastAsia" w:ascii="宋体" w:hAnsi="宋体" w:eastAsia="宋体" w:cs="宋体"/>
          <w:color w:val="auto"/>
          <w:spacing w:val="0"/>
          <w:w w:val="100"/>
          <w:position w:val="0"/>
          <w:sz w:val="21"/>
          <w:szCs w:val="21"/>
          <w:highlight w:val="none"/>
        </w:rPr>
        <w:t>的</w:t>
      </w:r>
      <w:r>
        <w:rPr>
          <w:rFonts w:hint="eastAsia" w:ascii="宋体" w:hAnsi="宋体" w:eastAsia="宋体" w:cs="宋体"/>
          <w:color w:val="auto"/>
          <w:spacing w:val="0"/>
          <w:w w:val="100"/>
          <w:position w:val="0"/>
          <w:sz w:val="21"/>
          <w:szCs w:val="21"/>
          <w:highlight w:val="none"/>
          <w:u w:val="single"/>
        </w:rPr>
        <w:t xml:space="preserve"> 【某某公司或某某单位】</w:t>
      </w:r>
      <w:r>
        <w:rPr>
          <w:rFonts w:hint="eastAsia" w:ascii="宋体" w:hAnsi="宋体" w:eastAsia="宋体" w:cs="宋体"/>
          <w:color w:val="auto"/>
          <w:spacing w:val="0"/>
          <w:w w:val="100"/>
          <w:position w:val="0"/>
          <w:sz w:val="21"/>
          <w:szCs w:val="21"/>
          <w:highlight w:val="none"/>
        </w:rPr>
        <w:t xml:space="preserve"> 的在下面签字的</w:t>
      </w:r>
      <w:r>
        <w:rPr>
          <w:rFonts w:hint="eastAsia" w:ascii="宋体" w:hAnsi="宋体" w:eastAsia="宋体" w:cs="宋体"/>
          <w:color w:val="auto"/>
          <w:spacing w:val="0"/>
          <w:w w:val="100"/>
          <w:position w:val="0"/>
          <w:sz w:val="21"/>
          <w:szCs w:val="21"/>
          <w:highlight w:val="none"/>
          <w:u w:val="single"/>
        </w:rPr>
        <w:t xml:space="preserve">  【法定代表人或负责人姓名、职务】 </w:t>
      </w:r>
      <w:r>
        <w:rPr>
          <w:rFonts w:hint="eastAsia" w:ascii="宋体" w:hAnsi="宋体" w:eastAsia="宋体" w:cs="宋体"/>
          <w:color w:val="auto"/>
          <w:spacing w:val="0"/>
          <w:w w:val="100"/>
          <w:position w:val="0"/>
          <w:sz w:val="21"/>
          <w:szCs w:val="21"/>
          <w:highlight w:val="none"/>
        </w:rPr>
        <w:t>代表本公司授权在下面签字的</w:t>
      </w:r>
      <w:r>
        <w:rPr>
          <w:rFonts w:hint="eastAsia" w:ascii="宋体" w:hAnsi="宋体" w:eastAsia="宋体" w:cs="宋体"/>
          <w:color w:val="auto"/>
          <w:spacing w:val="0"/>
          <w:w w:val="100"/>
          <w:position w:val="0"/>
          <w:sz w:val="21"/>
          <w:szCs w:val="21"/>
          <w:highlight w:val="none"/>
          <w:u w:val="single"/>
        </w:rPr>
        <w:t>【被授权人的姓名、职务】</w:t>
      </w:r>
      <w:r>
        <w:rPr>
          <w:rFonts w:hint="eastAsia" w:ascii="宋体" w:hAnsi="宋体" w:eastAsia="宋体" w:cs="宋体"/>
          <w:color w:val="auto"/>
          <w:spacing w:val="0"/>
          <w:w w:val="100"/>
          <w:position w:val="0"/>
          <w:sz w:val="21"/>
          <w:szCs w:val="21"/>
          <w:highlight w:val="none"/>
        </w:rPr>
        <w:t xml:space="preserve"> 为本公司的合法代理人，就</w:t>
      </w:r>
      <w:r>
        <w:rPr>
          <w:rFonts w:hint="eastAsia" w:ascii="宋体" w:hAnsi="宋体" w:eastAsia="宋体" w:cs="宋体"/>
          <w:color w:val="auto"/>
          <w:spacing w:val="0"/>
          <w:w w:val="100"/>
          <w:position w:val="0"/>
          <w:sz w:val="21"/>
          <w:szCs w:val="21"/>
          <w:highlight w:val="none"/>
          <w:u w:val="single"/>
        </w:rPr>
        <w:t xml:space="preserve"> 【项目名称】</w:t>
      </w:r>
      <w:r>
        <w:rPr>
          <w:rFonts w:hint="eastAsia" w:ascii="宋体" w:hAnsi="宋体" w:eastAsia="宋体" w:cs="宋体"/>
          <w:color w:val="auto"/>
          <w:spacing w:val="0"/>
          <w:w w:val="100"/>
          <w:position w:val="0"/>
          <w:sz w:val="21"/>
          <w:szCs w:val="21"/>
          <w:highlight w:val="none"/>
        </w:rPr>
        <w:t xml:space="preserve"> 的投标及合同的执行，以本公司名义处理一切与之有关的事务。</w:t>
      </w:r>
    </w:p>
    <w:p>
      <w:pPr>
        <w:pStyle w:val="12"/>
        <w:keepNext w:val="0"/>
        <w:keepLines w:val="0"/>
        <w:pageBreakBefore w:val="0"/>
        <w:widowControl w:val="0"/>
        <w:tabs>
          <w:tab w:val="left" w:pos="2620"/>
          <w:tab w:val="left" w:pos="3460"/>
          <w:tab w:val="left" w:pos="4300"/>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本授权书于</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月</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日签字生效，特此声明。</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320" w:firstLineChars="200"/>
        <w:textAlignment w:val="auto"/>
        <w:rPr>
          <w:rFonts w:hint="eastAsia" w:ascii="宋体" w:hAnsi="宋体" w:eastAsia="宋体" w:cs="宋体"/>
          <w:color w:val="auto"/>
          <w:spacing w:val="0"/>
          <w:w w:val="100"/>
          <w:position w:val="0"/>
          <w:sz w:val="16"/>
          <w:szCs w:val="21"/>
          <w:highlight w:val="none"/>
        </w:rPr>
      </w:pPr>
    </w:p>
    <w:p>
      <w:pPr>
        <w:pStyle w:val="12"/>
        <w:keepNext w:val="0"/>
        <w:keepLines w:val="0"/>
        <w:pageBreakBefore w:val="0"/>
        <w:widowControl w:val="0"/>
        <w:tabs>
          <w:tab w:val="left" w:pos="495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543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代理人（被授权人）签字：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5436"/>
          <w:tab w:val="left" w:pos="639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代理人职务：</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单位名称（公章）：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附： 法定代表人（或负责人）身份证复印件</w:t>
      </w:r>
    </w:p>
    <w:p>
      <w:pPr>
        <w:pStyle w:val="12"/>
        <w:spacing w:before="4"/>
        <w:rPr>
          <w:rFonts w:hint="eastAsia" w:ascii="宋体" w:hAnsi="宋体" w:eastAsia="宋体" w:cs="宋体"/>
          <w:color w:val="auto"/>
          <w:spacing w:val="0"/>
          <w:w w:val="100"/>
          <w:position w:val="0"/>
          <w:sz w:val="10"/>
          <w:szCs w:val="21"/>
          <w:highlight w:val="none"/>
        </w:rPr>
      </w:pP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0"/>
        <w:gridCol w:w="4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5" w:hRule="atLeast"/>
        </w:trPr>
        <w:tc>
          <w:tcPr>
            <w:tcW w:w="4460" w:type="dxa"/>
          </w:tcPr>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【法定代表人居民身份证复印件粘贴处】</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【正面】</w:t>
            </w:r>
          </w:p>
        </w:tc>
        <w:tc>
          <w:tcPr>
            <w:tcW w:w="4460" w:type="dxa"/>
          </w:tcPr>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【法定代表人居民身份证复印件粘贴处】</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【反面】</w:t>
            </w:r>
          </w:p>
        </w:tc>
      </w:tr>
    </w:tbl>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被授权人身份证复印件</w:t>
      </w:r>
    </w:p>
    <w:p>
      <w:pPr>
        <w:pStyle w:val="12"/>
        <w:spacing w:before="3"/>
        <w:rPr>
          <w:rFonts w:hint="eastAsia" w:ascii="宋体" w:hAnsi="宋体" w:eastAsia="宋体" w:cs="宋体"/>
          <w:color w:val="auto"/>
          <w:spacing w:val="0"/>
          <w:w w:val="100"/>
          <w:position w:val="0"/>
          <w:sz w:val="2"/>
          <w:szCs w:val="21"/>
          <w:highlight w:val="none"/>
        </w:rPr>
      </w:pP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0"/>
        <w:gridCol w:w="4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6" w:hRule="atLeast"/>
        </w:trPr>
        <w:tc>
          <w:tcPr>
            <w:tcW w:w="4460" w:type="dxa"/>
          </w:tcPr>
          <w:p>
            <w:pPr>
              <w:pStyle w:val="29"/>
              <w:spacing w:before="2" w:line="304" w:lineRule="auto"/>
              <w:ind w:right="50" w:rightChars="0"/>
              <w:jc w:val="center"/>
              <w:rPr>
                <w:rFonts w:hint="eastAsia" w:ascii="宋体" w:hAnsi="宋体" w:eastAsia="宋体" w:cs="宋体"/>
                <w:color w:val="auto"/>
                <w:spacing w:val="0"/>
                <w:w w:val="100"/>
                <w:position w:val="0"/>
                <w:sz w:val="24"/>
                <w:szCs w:val="20"/>
                <w:highlight w:val="none"/>
              </w:rPr>
            </w:pPr>
            <w:r>
              <w:rPr>
                <w:rFonts w:hint="eastAsia" w:ascii="宋体" w:hAnsi="宋体" w:eastAsia="宋体" w:cs="宋体"/>
                <w:color w:val="auto"/>
                <w:spacing w:val="0"/>
                <w:w w:val="100"/>
                <w:position w:val="0"/>
                <w:sz w:val="21"/>
                <w:szCs w:val="20"/>
                <w:highlight w:val="none"/>
              </w:rPr>
              <w:t>【被授权人（授权代表） 居民身份证复印件粘贴处】</w:t>
            </w:r>
          </w:p>
          <w:p>
            <w:pPr>
              <w:pStyle w:val="29"/>
              <w:ind w:right="518"/>
              <w:jc w:val="center"/>
              <w:rPr>
                <w:rFonts w:hint="eastAsia" w:ascii="宋体" w:hAnsi="宋体" w:eastAsia="宋体" w:cs="宋体"/>
                <w:color w:val="auto"/>
                <w:spacing w:val="0"/>
                <w:w w:val="100"/>
                <w:position w:val="0"/>
                <w:sz w:val="21"/>
                <w:szCs w:val="20"/>
                <w:highlight w:val="none"/>
                <w:lang w:eastAsia="zh-CN"/>
              </w:rPr>
            </w:pPr>
          </w:p>
          <w:p>
            <w:pPr>
              <w:pStyle w:val="29"/>
              <w:ind w:right="518"/>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w:t>
            </w:r>
            <w:r>
              <w:rPr>
                <w:rFonts w:hint="eastAsia" w:ascii="宋体" w:hAnsi="宋体" w:eastAsia="宋体" w:cs="宋体"/>
                <w:color w:val="auto"/>
                <w:spacing w:val="0"/>
                <w:w w:val="100"/>
                <w:position w:val="0"/>
                <w:sz w:val="21"/>
                <w:szCs w:val="20"/>
                <w:highlight w:val="none"/>
              </w:rPr>
              <w:t>正面</w:t>
            </w:r>
            <w:r>
              <w:rPr>
                <w:rFonts w:hint="eastAsia" w:ascii="宋体" w:hAnsi="宋体" w:eastAsia="宋体" w:cs="宋体"/>
                <w:color w:val="auto"/>
                <w:spacing w:val="0"/>
                <w:w w:val="100"/>
                <w:position w:val="0"/>
                <w:sz w:val="21"/>
                <w:szCs w:val="20"/>
                <w:highlight w:val="none"/>
                <w:lang w:eastAsia="zh-CN"/>
              </w:rPr>
              <w:t>】</w:t>
            </w:r>
          </w:p>
        </w:tc>
        <w:tc>
          <w:tcPr>
            <w:tcW w:w="4460" w:type="dxa"/>
          </w:tcPr>
          <w:p>
            <w:pPr>
              <w:pStyle w:val="29"/>
              <w:spacing w:before="2" w:line="304" w:lineRule="auto"/>
              <w:ind w:right="50" w:right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【被授权人（授权代表） 居民身份证复印件粘贴处】</w:t>
            </w:r>
          </w:p>
          <w:p>
            <w:pPr>
              <w:pStyle w:val="29"/>
              <w:spacing w:before="3"/>
              <w:jc w:val="center"/>
              <w:rPr>
                <w:rFonts w:hint="eastAsia" w:ascii="宋体" w:hAnsi="宋体" w:eastAsia="宋体" w:cs="宋体"/>
                <w:color w:val="auto"/>
                <w:spacing w:val="0"/>
                <w:w w:val="100"/>
                <w:position w:val="0"/>
                <w:sz w:val="24"/>
                <w:szCs w:val="20"/>
                <w:highlight w:val="none"/>
              </w:rPr>
            </w:pPr>
          </w:p>
          <w:p>
            <w:pPr>
              <w:pStyle w:val="29"/>
              <w:ind w:right="52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w:t>
            </w:r>
            <w:r>
              <w:rPr>
                <w:rFonts w:hint="eastAsia" w:ascii="宋体" w:hAnsi="宋体" w:eastAsia="宋体" w:cs="宋体"/>
                <w:color w:val="auto"/>
                <w:spacing w:val="0"/>
                <w:w w:val="100"/>
                <w:position w:val="0"/>
                <w:sz w:val="21"/>
                <w:szCs w:val="20"/>
                <w:highlight w:val="none"/>
              </w:rPr>
              <w:t>反面</w:t>
            </w:r>
            <w:r>
              <w:rPr>
                <w:rFonts w:hint="eastAsia" w:ascii="宋体" w:hAnsi="宋体" w:eastAsia="宋体" w:cs="宋体"/>
                <w:color w:val="auto"/>
                <w:spacing w:val="0"/>
                <w:w w:val="100"/>
                <w:position w:val="0"/>
                <w:sz w:val="21"/>
                <w:szCs w:val="20"/>
                <w:highlight w:val="none"/>
                <w:lang w:eastAsia="zh-CN"/>
              </w:rPr>
              <w:t>】</w:t>
            </w:r>
          </w:p>
        </w:tc>
      </w:tr>
    </w:tbl>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spacing w:before="43"/>
        <w:ind w:left="363" w:right="436"/>
        <w:outlineLvl w:val="1"/>
        <w:rPr>
          <w:rFonts w:hint="eastAsia" w:ascii="宋体" w:hAnsi="宋体" w:eastAsia="宋体" w:cs="宋体"/>
          <w:color w:val="auto"/>
          <w:spacing w:val="0"/>
          <w:w w:val="100"/>
          <w:position w:val="0"/>
          <w:sz w:val="28"/>
          <w:szCs w:val="28"/>
          <w:highlight w:val="none"/>
          <w:lang w:val="en-US" w:eastAsia="zh-CN"/>
        </w:rPr>
      </w:pPr>
      <w:bookmarkStart w:id="135" w:name="_bookmark114"/>
      <w:bookmarkEnd w:id="135"/>
      <w:bookmarkStart w:id="136" w:name="_Toc15014"/>
      <w:r>
        <w:rPr>
          <w:rFonts w:hint="eastAsia" w:ascii="宋体" w:hAnsi="宋体" w:eastAsia="宋体" w:cs="宋体"/>
          <w:color w:val="auto"/>
          <w:spacing w:val="0"/>
          <w:w w:val="100"/>
          <w:position w:val="0"/>
          <w:sz w:val="28"/>
          <w:szCs w:val="28"/>
          <w:highlight w:val="none"/>
        </w:rPr>
        <w:t>附件 7 投标保证金承诺函格式</w:t>
      </w:r>
      <w:r>
        <w:rPr>
          <w:rFonts w:hint="eastAsia" w:ascii="宋体" w:hAnsi="宋体" w:eastAsia="宋体" w:cs="宋体"/>
          <w:color w:val="auto"/>
          <w:spacing w:val="0"/>
          <w:w w:val="100"/>
          <w:position w:val="0"/>
          <w:sz w:val="28"/>
          <w:szCs w:val="28"/>
          <w:highlight w:val="none"/>
          <w:lang w:val="en-US" w:eastAsia="zh-CN"/>
        </w:rPr>
        <w:t>和退还保证金说明函</w:t>
      </w:r>
      <w:bookmarkEnd w:id="136"/>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rPr>
      </w:pPr>
      <w:r>
        <w:rPr>
          <w:rFonts w:hint="eastAsia" w:ascii="宋体" w:hAnsi="宋体" w:eastAsia="宋体" w:cs="宋体"/>
          <w:b/>
          <w:color w:val="auto"/>
          <w:spacing w:val="0"/>
          <w:w w:val="100"/>
          <w:position w:val="0"/>
          <w:sz w:val="24"/>
          <w:szCs w:val="21"/>
          <w:highlight w:val="none"/>
        </w:rPr>
        <w:t>投标保证金承诺函</w:t>
      </w:r>
    </w:p>
    <w:p>
      <w:pPr>
        <w:pStyle w:val="12"/>
        <w:spacing w:before="8"/>
        <w:rPr>
          <w:rFonts w:hint="eastAsia" w:ascii="宋体" w:hAnsi="宋体" w:eastAsia="宋体" w:cs="宋体"/>
          <w:b/>
          <w:color w:val="auto"/>
          <w:spacing w:val="0"/>
          <w:w w:val="100"/>
          <w:position w:val="0"/>
          <w:sz w:val="28"/>
          <w:szCs w:val="21"/>
          <w:highlight w:val="none"/>
        </w:rPr>
      </w:pPr>
    </w:p>
    <w:p>
      <w:pPr>
        <w:widowControl w:val="0"/>
        <w:autoSpaceDE w:val="0"/>
        <w:autoSpaceDN w:val="0"/>
        <w:adjustRightInd w:val="0"/>
        <w:spacing w:before="154" w:line="480" w:lineRule="exact"/>
        <w:ind w:left="118"/>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致：</w:t>
      </w:r>
      <w:r>
        <w:rPr>
          <w:rFonts w:hint="eastAsia" w:ascii="宋体" w:hAnsi="宋体" w:eastAsia="宋体" w:cs="宋体"/>
          <w:color w:val="auto"/>
          <w:spacing w:val="0"/>
          <w:w w:val="100"/>
          <w:position w:val="0"/>
          <w:sz w:val="20"/>
          <w:szCs w:val="20"/>
          <w:highlight w:val="none"/>
          <w:u w:val="single"/>
        </w:rPr>
        <w:t>【采购代理机构】</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我方于</w:t>
      </w:r>
      <w:r>
        <w:rPr>
          <w:rFonts w:hint="eastAsia" w:ascii="宋体" w:hAnsi="宋体" w:eastAsia="宋体" w:cs="宋体"/>
          <w:color w:val="auto"/>
          <w:kern w:val="0"/>
          <w:sz w:val="21"/>
          <w:szCs w:val="21"/>
          <w:highlight w:val="none"/>
          <w:lang w:val="en-US" w:eastAsia="zh-CN" w:bidi="ar-SA"/>
        </w:rPr>
        <w:tab/>
      </w:r>
      <w:r>
        <w:rPr>
          <w:rFonts w:hint="eastAsia" w:ascii="宋体" w:hAnsi="宋体" w:eastAsia="宋体" w:cs="宋体"/>
          <w:color w:val="auto"/>
          <w:kern w:val="0"/>
          <w:sz w:val="21"/>
          <w:szCs w:val="21"/>
          <w:highlight w:val="none"/>
          <w:lang w:val="en-US" w:eastAsia="zh-CN" w:bidi="ar-SA"/>
        </w:rPr>
        <w:t>年</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lang w:val="en-US" w:eastAsia="zh-CN" w:bidi="ar-SA"/>
        </w:rPr>
        <w:t>月</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lang w:val="en-US" w:eastAsia="zh-CN" w:bidi="ar-SA"/>
        </w:rPr>
        <w:t>日参加</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u w:val="single"/>
          <w:lang w:val="en-US" w:eastAsia="zh-CN" w:bidi="ar-SA"/>
        </w:rPr>
        <w:t>（项目名称）</w:t>
      </w:r>
      <w:r>
        <w:rPr>
          <w:rFonts w:hint="eastAsia" w:ascii="宋体" w:hAnsi="宋体" w:eastAsia="宋体" w:cs="宋体"/>
          <w:color w:val="auto"/>
          <w:kern w:val="0"/>
          <w:sz w:val="21"/>
          <w:szCs w:val="21"/>
          <w:highlight w:val="none"/>
          <w:lang w:val="en-US" w:eastAsia="zh-CN" w:bidi="ar-SA"/>
        </w:rPr>
        <w:t>的投标，现保证：我方在规定的投标有效期内撤销或修改投标文件的，或者在收到中标通知书后无正当理由拒签合同或拒交规定履约担保的，投标保证金不予退还。</w:t>
      </w:r>
    </w:p>
    <w:p>
      <w:pPr>
        <w:widowControl w:val="0"/>
        <w:autoSpaceDE w:val="0"/>
        <w:autoSpaceDN w:val="0"/>
        <w:adjustRightInd w:val="0"/>
        <w:spacing w:before="0" w:line="480" w:lineRule="exact"/>
        <w:ind w:left="118"/>
        <w:jc w:val="left"/>
        <w:rPr>
          <w:rFonts w:hint="eastAsia" w:ascii="宋体" w:hAnsi="宋体" w:eastAsia="宋体" w:cs="宋体"/>
          <w:b/>
          <w:color w:val="auto"/>
          <w:kern w:val="0"/>
          <w:sz w:val="21"/>
          <w:szCs w:val="21"/>
          <w:highlight w:val="none"/>
          <w:lang w:val="en-US" w:eastAsia="zh-CN" w:bidi="ar-SA"/>
        </w:rPr>
      </w:pPr>
    </w:p>
    <w:p>
      <w:pPr>
        <w:widowControl w:val="0"/>
        <w:autoSpaceDE w:val="0"/>
        <w:autoSpaceDN w:val="0"/>
        <w:adjustRightInd w:val="0"/>
        <w:spacing w:before="0" w:line="480" w:lineRule="exact"/>
        <w:ind w:left="118"/>
        <w:jc w:val="left"/>
        <w:rPr>
          <w:rFonts w:hint="eastAsia" w:ascii="宋体" w:hAnsi="宋体" w:eastAsia="宋体" w:cs="宋体"/>
          <w:b/>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widowControl w:val="0"/>
        <w:autoSpaceDE w:val="0"/>
        <w:autoSpaceDN w:val="0"/>
        <w:adjustRightInd w:val="0"/>
        <w:spacing w:before="154" w:line="480" w:lineRule="exact"/>
        <w:ind w:left="0"/>
        <w:jc w:val="center"/>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缴费回单（复印件应附在投标文件中）</w:t>
      </w:r>
    </w:p>
    <w:p>
      <w:pPr>
        <w:widowControl w:val="0"/>
        <w:autoSpaceDE w:val="0"/>
        <w:autoSpaceDN w:val="0"/>
        <w:adjustRightInd w:val="0"/>
        <w:spacing w:before="154" w:line="480" w:lineRule="exact"/>
        <w:ind w:left="0"/>
        <w:jc w:val="left"/>
        <w:rPr>
          <w:rFonts w:hint="eastAsia" w:ascii="宋体" w:hAnsi="宋体" w:eastAsia="宋体" w:cs="宋体"/>
          <w:b/>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*备注：投标保证金缴费回单复印件加盖公章</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投标保证金提交方式为银行电汇或其他方式缴纳，电汇须从投标人基本账户转出，投标保证金必须在投标截止时间前到指定的账户，并在汇款单上注明所投项目名称。未领取招标文件、缴纳保证金的投标人不得参与投标，投标保证金以其他方式递交未按规定时间到账的，由投标人自行承担。</w:t>
      </w:r>
    </w:p>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退还保证金说明函</w:t>
      </w:r>
    </w:p>
    <w:p>
      <w:pPr>
        <w:widowControl w:val="0"/>
        <w:autoSpaceDE w:val="0"/>
        <w:autoSpaceDN w:val="0"/>
        <w:adjustRightInd w:val="0"/>
        <w:spacing w:before="0" w:line="480" w:lineRule="exact"/>
        <w:ind w:left="118"/>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致：</w:t>
      </w:r>
      <w:r>
        <w:rPr>
          <w:rFonts w:hint="eastAsia" w:ascii="宋体" w:hAnsi="宋体" w:eastAsia="宋体" w:cs="宋体"/>
          <w:color w:val="auto"/>
          <w:spacing w:val="0"/>
          <w:w w:val="100"/>
          <w:position w:val="0"/>
          <w:sz w:val="20"/>
          <w:szCs w:val="20"/>
          <w:highlight w:val="none"/>
          <w:u w:val="single"/>
        </w:rPr>
        <w:t>【采购代理机构】</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我单位已按项目（项目号：）的招标文件要求，提交的报价保证金（</w:t>
      </w:r>
      <w:r>
        <w:rPr>
          <w:rFonts w:hint="eastAsia" w:ascii="宋体" w:hAnsi="宋体" w:eastAsia="宋体" w:cs="宋体"/>
          <w:color w:val="auto"/>
          <w:kern w:val="0"/>
          <w:sz w:val="21"/>
          <w:szCs w:val="21"/>
          <w:highlight w:val="none"/>
          <w:u w:val="single"/>
          <w:lang w:val="en-US" w:eastAsia="zh-CN" w:bidi="ar-SA"/>
        </w:rPr>
        <w:t>大写金额</w:t>
      </w:r>
      <w:r>
        <w:rPr>
          <w:rFonts w:hint="eastAsia" w:ascii="宋体" w:hAnsi="宋体" w:eastAsia="宋体" w:cs="宋体"/>
          <w:color w:val="auto"/>
          <w:kern w:val="0"/>
          <w:sz w:val="21"/>
          <w:szCs w:val="21"/>
          <w:highlight w:val="none"/>
          <w:lang w:val="en-US" w:eastAsia="zh-CN" w:bidi="ar-SA"/>
        </w:rPr>
        <w:t>）元，请贵公司退还时划到以下账户：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收款单位：</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收款单位地址：</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开户银行：</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帐号：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联系人：</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联系电话：</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行号：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（联系人和电话请填写财务人员，以便我公司财务人员核实退还保证金账户正确性）</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p>
    <w:p>
      <w:pPr>
        <w:pStyle w:val="4"/>
        <w:tabs>
          <w:tab w:val="left" w:pos="1204"/>
        </w:tabs>
        <w:spacing w:before="43"/>
        <w:ind w:right="74"/>
        <w:outlineLvl w:val="1"/>
        <w:rPr>
          <w:rFonts w:hint="eastAsia" w:ascii="宋体" w:hAnsi="宋体" w:eastAsia="宋体" w:cs="宋体"/>
          <w:color w:val="auto"/>
          <w:spacing w:val="0"/>
          <w:w w:val="100"/>
          <w:position w:val="0"/>
          <w:sz w:val="28"/>
          <w:szCs w:val="28"/>
          <w:highlight w:val="none"/>
        </w:rPr>
      </w:pPr>
      <w:bookmarkStart w:id="137" w:name="_bookmark115"/>
      <w:bookmarkEnd w:id="137"/>
      <w:bookmarkStart w:id="138" w:name="_Toc29268"/>
      <w:r>
        <w:rPr>
          <w:rFonts w:hint="eastAsia" w:ascii="宋体" w:hAnsi="宋体" w:eastAsia="宋体" w:cs="宋体"/>
          <w:color w:val="auto"/>
          <w:spacing w:val="0"/>
          <w:w w:val="100"/>
          <w:position w:val="0"/>
          <w:sz w:val="28"/>
          <w:szCs w:val="28"/>
          <w:highlight w:val="none"/>
        </w:rPr>
        <w:t>附件 8</w:t>
      </w:r>
      <w:r>
        <w:rPr>
          <w:rFonts w:hint="eastAsia" w:ascii="宋体" w:hAnsi="宋体" w:eastAsia="宋体" w:cs="宋体"/>
          <w:color w:val="auto"/>
          <w:spacing w:val="0"/>
          <w:w w:val="100"/>
          <w:position w:val="0"/>
          <w:sz w:val="28"/>
          <w:szCs w:val="28"/>
          <w:highlight w:val="none"/>
        </w:rPr>
        <w:tab/>
      </w:r>
      <w:r>
        <w:rPr>
          <w:rFonts w:hint="eastAsia" w:ascii="宋体" w:hAnsi="宋体" w:eastAsia="宋体" w:cs="宋体"/>
          <w:color w:val="auto"/>
          <w:spacing w:val="0"/>
          <w:w w:val="100"/>
          <w:position w:val="0"/>
          <w:sz w:val="28"/>
          <w:szCs w:val="28"/>
          <w:highlight w:val="none"/>
        </w:rPr>
        <w:t>代理服务费承诺函格式</w:t>
      </w:r>
      <w:bookmarkEnd w:id="138"/>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代理服务费承诺函</w:t>
      </w:r>
    </w:p>
    <w:p>
      <w:pPr>
        <w:pStyle w:val="12"/>
        <w:spacing w:before="2"/>
        <w:rPr>
          <w:rFonts w:hint="eastAsia" w:ascii="宋体" w:hAnsi="宋体" w:eastAsia="宋体" w:cs="宋体"/>
          <w:b/>
          <w:color w:val="auto"/>
          <w:spacing w:val="0"/>
          <w:w w:val="100"/>
          <w:position w:val="0"/>
          <w:sz w:val="28"/>
          <w:szCs w:val="21"/>
          <w:highlight w:val="none"/>
        </w:rPr>
      </w:pPr>
    </w:p>
    <w:p>
      <w:pPr>
        <w:pStyle w:val="12"/>
        <w:spacing w:before="1"/>
        <w:ind w:left="363" w:right="7206"/>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rPr>
        <w:t>：</w:t>
      </w:r>
    </w:p>
    <w:p>
      <w:pPr>
        <w:pStyle w:val="12"/>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我司在贵公司组织的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项目（项目编号：</w:t>
      </w:r>
      <w:r>
        <w:rPr>
          <w:rFonts w:hint="eastAsia" w:ascii="宋体" w:hAnsi="宋体" w:eastAsia="宋体" w:cs="宋体"/>
          <w:color w:val="auto"/>
          <w:spacing w:val="0"/>
          <w:w w:val="100"/>
          <w:position w:val="0"/>
          <w:sz w:val="21"/>
          <w:szCs w:val="21"/>
          <w:highlight w:val="none"/>
          <w:u w:val="single"/>
        </w:rPr>
        <w:t xml:space="preserve">  【项目编号】</w:t>
      </w:r>
      <w:r>
        <w:rPr>
          <w:rFonts w:hint="eastAsia" w:ascii="宋体" w:hAnsi="宋体" w:eastAsia="宋体" w:cs="宋体"/>
          <w:color w:val="auto"/>
          <w:spacing w:val="0"/>
          <w:w w:val="100"/>
          <w:position w:val="0"/>
          <w:sz w:val="21"/>
          <w:szCs w:val="21"/>
          <w:highlight w:val="none"/>
        </w:rPr>
        <w:t>_）招标中若获中标，我司保证在接到中标通知后三日内按招标文件的规定，以电汇形式向中化商务电子招投标平台收款子账户支付服务费（中标人须按投标人须知规定的标准向采购代理机构支付</w:t>
      </w:r>
      <w:r>
        <w:rPr>
          <w:rFonts w:hint="eastAsia" w:ascii="宋体" w:hAnsi="宋体" w:eastAsia="宋体" w:cs="宋体"/>
          <w:color w:val="auto"/>
          <w:spacing w:val="0"/>
          <w:w w:val="100"/>
          <w:position w:val="0"/>
          <w:sz w:val="21"/>
          <w:szCs w:val="21"/>
          <w:highlight w:val="none"/>
          <w:lang w:val="en-US" w:eastAsia="zh-CN"/>
        </w:rPr>
        <w:t>采购</w:t>
      </w:r>
      <w:r>
        <w:rPr>
          <w:rFonts w:hint="eastAsia" w:ascii="宋体" w:hAnsi="宋体" w:eastAsia="宋体" w:cs="宋体"/>
          <w:color w:val="auto"/>
          <w:spacing w:val="0"/>
          <w:w w:val="100"/>
          <w:position w:val="0"/>
          <w:sz w:val="21"/>
          <w:szCs w:val="21"/>
          <w:highlight w:val="none"/>
        </w:rPr>
        <w:t>代理服务费）。由此产生的一切法律后果和责任由我司承担，我司声明放弃对此提出任何异议和追索的权利。</w:t>
      </w:r>
    </w:p>
    <w:p>
      <w:pPr>
        <w:pStyle w:val="12"/>
        <w:spacing w:line="302" w:lineRule="exact"/>
        <w:ind w:left="363" w:right="7206"/>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特此承诺！</w:t>
      </w:r>
    </w:p>
    <w:p>
      <w:pPr>
        <w:pStyle w:val="12"/>
        <w:spacing w:before="10"/>
        <w:rPr>
          <w:rFonts w:hint="eastAsia" w:ascii="宋体" w:hAnsi="宋体" w:eastAsia="宋体" w:cs="宋体"/>
          <w:color w:val="auto"/>
          <w:spacing w:val="0"/>
          <w:w w:val="100"/>
          <w:position w:val="0"/>
          <w:sz w:val="24"/>
          <w:szCs w:val="21"/>
          <w:highlight w:val="none"/>
        </w:rPr>
      </w:pPr>
    </w:p>
    <w:p>
      <w:pPr>
        <w:pStyle w:val="12"/>
        <w:tabs>
          <w:tab w:val="left" w:pos="6575"/>
          <w:tab w:val="left" w:pos="7176"/>
        </w:tabs>
        <w:spacing w:before="1" w:line="302" w:lineRule="auto"/>
        <w:ind w:left="400" w:right="2628"/>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投标人名称（承诺方法定名称，盖章）：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6575"/>
          <w:tab w:val="left" w:pos="7176"/>
        </w:tabs>
        <w:spacing w:before="1" w:line="302" w:lineRule="auto"/>
        <w:ind w:left="400" w:right="2628"/>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法定代表人签署或被授权人签字：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地址：</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邮编：</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电话：</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传真：</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承诺日期：</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投标人开票信息表格式</w:t>
      </w:r>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开票信息表格式</w:t>
      </w:r>
    </w:p>
    <w:p>
      <w:pPr>
        <w:pStyle w:val="12"/>
        <w:tabs>
          <w:tab w:val="left" w:pos="4843"/>
        </w:tabs>
        <w:spacing w:before="213" w:line="302" w:lineRule="auto"/>
        <w:ind w:left="228" w:right="5142"/>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项目名称：</w:t>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4843"/>
        </w:tabs>
        <w:spacing w:before="213" w:line="302" w:lineRule="auto"/>
        <w:ind w:left="228" w:right="5142"/>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12"/>
        <w:keepNext w:val="0"/>
        <w:keepLines w:val="0"/>
        <w:pageBreakBefore w:val="0"/>
        <w:widowControl w:val="0"/>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如果我单位中标/成交，请贵单位开具服务费发票：</w:t>
      </w:r>
    </w:p>
    <w:p>
      <w:pPr>
        <w:pStyle w:val="12"/>
        <w:keepNext w:val="0"/>
        <w:keepLines w:val="0"/>
        <w:pageBreakBefore w:val="0"/>
        <w:widowControl w:val="0"/>
        <w:tabs>
          <w:tab w:val="left" w:pos="3348"/>
          <w:tab w:val="left" w:pos="5509"/>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我单位开票信息为：</w:t>
      </w:r>
    </w:p>
    <w:p>
      <w:pPr>
        <w:pStyle w:val="12"/>
        <w:keepNext w:val="0"/>
        <w:keepLines w:val="0"/>
        <w:pageBreakBefore w:val="0"/>
        <w:widowControl w:val="0"/>
        <w:tabs>
          <w:tab w:val="left" w:pos="53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单位全称：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580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纳税人识别号：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65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地址：</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keepNext w:val="0"/>
        <w:keepLines w:val="0"/>
        <w:pageBreakBefore w:val="0"/>
        <w:widowControl w:val="0"/>
        <w:tabs>
          <w:tab w:val="left" w:pos="65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电话：</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724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开户行名称：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keepNext w:val="0"/>
        <w:keepLines w:val="0"/>
        <w:pageBreakBefore w:val="0"/>
        <w:widowControl w:val="0"/>
        <w:tabs>
          <w:tab w:val="left" w:pos="724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开户行账号：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spacing w:before="3" w:line="360" w:lineRule="auto"/>
        <w:ind w:firstLine="840" w:firstLineChars="400"/>
        <w:rPr>
          <w:rFonts w:hint="eastAsia" w:ascii="宋体" w:hAnsi="宋体" w:eastAsia="宋体" w:cs="宋体"/>
          <w:color w:val="auto"/>
          <w:spacing w:val="0"/>
          <w:w w:val="100"/>
          <w:position w:val="0"/>
          <w:sz w:val="21"/>
          <w:szCs w:val="21"/>
          <w:highlight w:val="none"/>
          <w:lang w:val="en-US" w:eastAsia="zh-CN"/>
        </w:rPr>
      </w:pPr>
    </w:p>
    <w:p>
      <w:pPr>
        <w:pStyle w:val="12"/>
        <w:spacing w:before="3" w:line="360" w:lineRule="auto"/>
        <w:ind w:firstLine="840" w:firstLineChars="400"/>
        <w:rPr>
          <w:rFonts w:hint="eastAsia" w:ascii="宋体" w:hAnsi="宋体" w:eastAsia="宋体" w:cs="宋体"/>
          <w:color w:val="auto"/>
          <w:spacing w:val="0"/>
          <w:w w:val="100"/>
          <w:position w:val="0"/>
          <w:sz w:val="21"/>
          <w:szCs w:val="21"/>
          <w:highlight w:val="none"/>
          <w:u w:val="single"/>
          <w:lang w:val="en-US" w:eastAsia="zh-CN"/>
        </w:rPr>
      </w:pPr>
      <w:r>
        <w:rPr>
          <w:rFonts w:hint="eastAsia" w:ascii="宋体" w:hAnsi="宋体" w:eastAsia="宋体" w:cs="宋体"/>
          <w:color w:val="auto"/>
          <w:spacing w:val="0"/>
          <w:w w:val="100"/>
          <w:position w:val="0"/>
          <w:sz w:val="21"/>
          <w:szCs w:val="21"/>
          <w:highlight w:val="none"/>
          <w:lang w:val="en-US" w:eastAsia="zh-CN"/>
        </w:rPr>
        <w:t>发票接收邮箱：</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我单位将发票开出后，会发至邮箱。</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pacing w:val="0"/>
          <w:w w:val="100"/>
          <w:position w:val="0"/>
          <w:sz w:val="16"/>
          <w:szCs w:val="21"/>
          <w:highlight w:val="none"/>
        </w:rPr>
      </w:pPr>
      <w:r>
        <w:rPr>
          <w:rFonts w:hint="eastAsia" w:ascii="宋体" w:hAnsi="宋体" w:eastAsia="宋体" w:cs="宋体"/>
          <w:color w:val="auto"/>
          <w:sz w:val="21"/>
          <w:szCs w:val="21"/>
          <w:highlight w:val="none"/>
          <w:lang w:val="en-US" w:eastAsia="zh-CN" w:bidi="ar-SA"/>
        </w:rPr>
        <w:t>日期：</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pacing w:val="0"/>
          <w:w w:val="100"/>
          <w:position w:val="0"/>
          <w:sz w:val="16"/>
          <w:szCs w:val="21"/>
          <w:highlight w:val="none"/>
        </w:rPr>
        <w:br w:type="page"/>
      </w:r>
    </w:p>
    <w:p>
      <w:pPr>
        <w:pStyle w:val="4"/>
        <w:spacing w:before="43"/>
        <w:ind w:left="363" w:right="434"/>
        <w:outlineLvl w:val="1"/>
        <w:rPr>
          <w:rFonts w:hint="eastAsia" w:ascii="宋体" w:hAnsi="宋体" w:eastAsia="宋体" w:cs="宋体"/>
          <w:color w:val="auto"/>
          <w:spacing w:val="0"/>
          <w:w w:val="100"/>
          <w:position w:val="0"/>
          <w:sz w:val="28"/>
          <w:szCs w:val="28"/>
          <w:highlight w:val="none"/>
        </w:rPr>
      </w:pPr>
      <w:bookmarkStart w:id="139" w:name="_bookmark116"/>
      <w:bookmarkEnd w:id="139"/>
      <w:bookmarkStart w:id="140" w:name="_Toc5555"/>
      <w:r>
        <w:rPr>
          <w:rFonts w:hint="eastAsia" w:ascii="宋体" w:hAnsi="宋体" w:eastAsia="宋体" w:cs="宋体"/>
          <w:color w:val="auto"/>
          <w:spacing w:val="0"/>
          <w:w w:val="100"/>
          <w:position w:val="0"/>
          <w:sz w:val="28"/>
          <w:szCs w:val="28"/>
          <w:highlight w:val="none"/>
        </w:rPr>
        <w:t>附件 9 投标人情况表建议格式</w:t>
      </w:r>
      <w:bookmarkEnd w:id="140"/>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投标人情况表</w:t>
      </w:r>
    </w:p>
    <w:p>
      <w:pPr>
        <w:pStyle w:val="12"/>
        <w:rPr>
          <w:rFonts w:hint="eastAsia" w:ascii="宋体" w:hAnsi="宋体" w:eastAsia="宋体" w:cs="宋体"/>
          <w:b/>
          <w:color w:val="auto"/>
          <w:spacing w:val="0"/>
          <w:w w:val="100"/>
          <w:position w:val="0"/>
          <w:sz w:val="16"/>
          <w:szCs w:val="21"/>
          <w:highlight w:val="none"/>
        </w:rPr>
      </w:pPr>
    </w:p>
    <w:p>
      <w:pPr>
        <w:pStyle w:val="12"/>
        <w:spacing w:before="6"/>
        <w:rPr>
          <w:rFonts w:hint="eastAsia" w:ascii="宋体" w:hAnsi="宋体" w:eastAsia="宋体" w:cs="宋体"/>
          <w:b/>
          <w:color w:val="auto"/>
          <w:spacing w:val="0"/>
          <w:w w:val="100"/>
          <w:position w:val="0"/>
          <w:sz w:val="11"/>
          <w:szCs w:val="21"/>
          <w:highlight w:val="none"/>
        </w:rPr>
      </w:pP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54"/>
        <w:gridCol w:w="1239"/>
        <w:gridCol w:w="216"/>
        <w:gridCol w:w="1480"/>
        <w:gridCol w:w="1463"/>
        <w:gridCol w:w="1422"/>
        <w:gridCol w:w="18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单位名称</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详细地址</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主管部门</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法定代表人或负责人</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经济类型</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授权代表</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邮政编码</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电话</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传真</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单位简介及机构情况</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单位优势及特长</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单位概况</w:t>
            </w:r>
          </w:p>
        </w:tc>
        <w:tc>
          <w:tcPr>
            <w:tcW w:w="1239"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职工总数</w:t>
            </w:r>
          </w:p>
        </w:tc>
        <w:tc>
          <w:tcPr>
            <w:tcW w:w="1696" w:type="dxa"/>
            <w:gridSpan w:val="2"/>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w:t>
            </w:r>
          </w:p>
        </w:tc>
        <w:tc>
          <w:tcPr>
            <w:tcW w:w="4758" w:type="dxa"/>
            <w:gridSpan w:val="3"/>
            <w:vAlign w:val="center"/>
          </w:tcPr>
          <w:p>
            <w:pPr>
              <w:pStyle w:val="29"/>
              <w:keepNext w:val="0"/>
              <w:keepLines w:val="0"/>
              <w:pageBreakBefore w:val="0"/>
              <w:widowControl w:val="0"/>
              <w:tabs>
                <w:tab w:val="left" w:pos="3251"/>
              </w:tabs>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生产工人/管理人员</w:t>
            </w:r>
            <w:r>
              <w:rPr>
                <w:rFonts w:hint="eastAsia" w:ascii="宋体" w:hAnsi="宋体" w:eastAsia="宋体" w:cs="宋体"/>
                <w:color w:val="auto"/>
                <w:spacing w:val="0"/>
                <w:w w:val="100"/>
                <w:position w:val="0"/>
                <w:sz w:val="21"/>
                <w:szCs w:val="20"/>
                <w:highlight w:val="none"/>
              </w:rPr>
              <w:tab/>
            </w:r>
            <w:r>
              <w:rPr>
                <w:rFonts w:hint="eastAsia" w:ascii="宋体" w:hAnsi="宋体" w:eastAsia="宋体" w:cs="宋体"/>
                <w:color w:val="auto"/>
                <w:spacing w:val="0"/>
                <w:w w:val="100"/>
                <w:position w:val="0"/>
                <w:sz w:val="21"/>
                <w:szCs w:val="20"/>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696"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4758" w:type="dxa"/>
            <w:gridSpan w:val="3"/>
            <w:vAlign w:val="center"/>
          </w:tcPr>
          <w:p>
            <w:pPr>
              <w:pStyle w:val="29"/>
              <w:keepNext w:val="0"/>
              <w:keepLines w:val="0"/>
              <w:pageBreakBefore w:val="0"/>
              <w:widowControl w:val="0"/>
              <w:tabs>
                <w:tab w:val="left" w:pos="3251"/>
              </w:tabs>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技术人员</w:t>
            </w:r>
            <w:r>
              <w:rPr>
                <w:rFonts w:hint="eastAsia" w:ascii="宋体" w:hAnsi="宋体" w:eastAsia="宋体" w:cs="宋体"/>
                <w:color w:val="auto"/>
                <w:spacing w:val="0"/>
                <w:w w:val="100"/>
                <w:position w:val="0"/>
                <w:sz w:val="21"/>
                <w:szCs w:val="20"/>
                <w:highlight w:val="none"/>
              </w:rPr>
              <w:tab/>
            </w:r>
            <w:r>
              <w:rPr>
                <w:rFonts w:hint="eastAsia" w:ascii="宋体" w:hAnsi="宋体" w:eastAsia="宋体" w:cs="宋体"/>
                <w:color w:val="auto"/>
                <w:spacing w:val="0"/>
                <w:w w:val="100"/>
                <w:position w:val="0"/>
                <w:sz w:val="21"/>
                <w:szCs w:val="20"/>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员工情况</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高级职称</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中级职称</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初级职称</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人数</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流动资金</w:t>
            </w:r>
          </w:p>
        </w:tc>
        <w:tc>
          <w:tcPr>
            <w:tcW w:w="1696" w:type="dxa"/>
            <w:gridSpan w:val="2"/>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c>
          <w:tcPr>
            <w:tcW w:w="1463"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资金来源</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自有资金</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696"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463"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银行贷款</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固定资产</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原值</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净值</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企业财务状况</w:t>
            </w: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收入总额</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利润总额</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净利润</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负债总额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年（近一年）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年（近二年）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年（近三年）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693"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办公地点</w:t>
            </w:r>
          </w:p>
        </w:tc>
        <w:tc>
          <w:tcPr>
            <w:tcW w:w="6454" w:type="dxa"/>
            <w:gridSpan w:val="5"/>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rPr>
      </w:pPr>
      <w:bookmarkStart w:id="141" w:name="_bookmark117"/>
      <w:bookmarkEnd w:id="141"/>
      <w:bookmarkStart w:id="142" w:name="_Toc25743"/>
      <w:r>
        <w:rPr>
          <w:rFonts w:hint="eastAsia" w:ascii="宋体" w:hAnsi="宋体" w:eastAsia="宋体" w:cs="宋体"/>
          <w:color w:val="auto"/>
          <w:spacing w:val="0"/>
          <w:w w:val="100"/>
          <w:position w:val="0"/>
          <w:sz w:val="28"/>
          <w:szCs w:val="28"/>
          <w:highlight w:val="none"/>
        </w:rPr>
        <w:t>附件 10 详细的技术服务响应</w:t>
      </w:r>
      <w:bookmarkEnd w:id="142"/>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投标人技术响应</w:t>
      </w:r>
    </w:p>
    <w:p>
      <w:pPr>
        <w:pStyle w:val="12"/>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【投标人对照招标文件第三章评分标准和第四章技术服务需求编写响应技术文件。由投标人自行编制，须对招标文件的所有相关技术服务需求要求作出详尽响应。】</w:t>
      </w:r>
    </w:p>
    <w:p>
      <w:pPr>
        <w:pStyle w:val="12"/>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【拟派实施人员相关内容请按附件 10-1 和 10-2 格式填写，以便评标时查阅。】</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43" w:name="_bookmark118"/>
      <w:bookmarkEnd w:id="143"/>
      <w:r>
        <w:rPr>
          <w:rFonts w:hint="eastAsia" w:ascii="宋体" w:hAnsi="宋体" w:eastAsia="宋体" w:cs="宋体"/>
          <w:b/>
          <w:color w:val="auto"/>
          <w:spacing w:val="0"/>
          <w:w w:val="100"/>
          <w:position w:val="0"/>
          <w:sz w:val="24"/>
          <w:szCs w:val="21"/>
          <w:highlight w:val="none"/>
          <w:lang w:val="en-US" w:eastAsia="zh-CN"/>
        </w:rPr>
        <w:t>10-1 拟派实施人员汇总表格式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拟派实施人员表</w:t>
      </w:r>
    </w:p>
    <w:p>
      <w:pPr>
        <w:pStyle w:val="12"/>
        <w:spacing w:before="5"/>
        <w:rPr>
          <w:rFonts w:hint="eastAsia" w:ascii="宋体" w:hAnsi="宋体" w:eastAsia="宋体" w:cs="宋体"/>
          <w:b/>
          <w:color w:val="auto"/>
          <w:spacing w:val="0"/>
          <w:w w:val="100"/>
          <w:position w:val="0"/>
          <w:sz w:val="10"/>
          <w:szCs w:val="21"/>
          <w:highlight w:val="none"/>
        </w:rPr>
      </w:pPr>
    </w:p>
    <w:tbl>
      <w:tblPr>
        <w:tblStyle w:val="24"/>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1"/>
        <w:gridCol w:w="1704"/>
        <w:gridCol w:w="2693"/>
        <w:gridCol w:w="1772"/>
        <w:gridCol w:w="21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姓名</w:t>
            </w: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联系方式</w:t>
            </w: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本项目中拟任岗位</w:t>
            </w: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相关资质认证</w:t>
            </w: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主要项目经验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bl>
    <w:p>
      <w:pPr>
        <w:pStyle w:val="12"/>
        <w:spacing w:before="1"/>
        <w:rPr>
          <w:rFonts w:hint="eastAsia" w:ascii="宋体" w:hAnsi="宋体" w:eastAsia="宋体" w:cs="宋体"/>
          <w:b/>
          <w:color w:val="auto"/>
          <w:spacing w:val="0"/>
          <w:w w:val="100"/>
          <w:position w:val="0"/>
          <w:sz w:val="24"/>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44" w:name="_bookmark119"/>
      <w:bookmarkEnd w:id="144"/>
      <w:bookmarkStart w:id="145" w:name="_bookmark119"/>
      <w:bookmarkEnd w:id="145"/>
      <w:r>
        <w:rPr>
          <w:rFonts w:hint="eastAsia" w:ascii="宋体" w:hAnsi="宋体" w:eastAsia="宋体" w:cs="宋体"/>
          <w:b/>
          <w:color w:val="auto"/>
          <w:spacing w:val="0"/>
          <w:w w:val="100"/>
          <w:position w:val="0"/>
          <w:sz w:val="24"/>
          <w:szCs w:val="21"/>
          <w:highlight w:val="none"/>
          <w:lang w:val="en-US" w:eastAsia="zh-CN"/>
        </w:rPr>
        <w:t>10-2 拟派实施人员表格式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人员简历</w:t>
      </w:r>
    </w:p>
    <w:p>
      <w:pPr>
        <w:pStyle w:val="12"/>
        <w:spacing w:before="7"/>
        <w:rPr>
          <w:rFonts w:hint="eastAsia" w:ascii="宋体" w:hAnsi="宋体" w:eastAsia="宋体" w:cs="宋体"/>
          <w:b/>
          <w:color w:val="auto"/>
          <w:spacing w:val="0"/>
          <w:w w:val="100"/>
          <w:position w:val="0"/>
          <w:sz w:val="10"/>
          <w:szCs w:val="21"/>
          <w:highlight w:val="none"/>
        </w:rPr>
      </w:pPr>
    </w:p>
    <w:tbl>
      <w:tblPr>
        <w:tblStyle w:val="24"/>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0"/>
        <w:gridCol w:w="1660"/>
        <w:gridCol w:w="1702"/>
        <w:gridCol w:w="1358"/>
        <w:gridCol w:w="1051"/>
        <w:gridCol w:w="566"/>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姓名</w:t>
            </w:r>
          </w:p>
        </w:tc>
        <w:tc>
          <w:tcPr>
            <w:tcW w:w="166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70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35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17"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职称</w:t>
            </w:r>
          </w:p>
        </w:tc>
        <w:tc>
          <w:tcPr>
            <w:tcW w:w="18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年龄</w:t>
            </w:r>
          </w:p>
        </w:tc>
        <w:tc>
          <w:tcPr>
            <w:tcW w:w="166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70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本项目拟任职</w:t>
            </w:r>
          </w:p>
        </w:tc>
        <w:tc>
          <w:tcPr>
            <w:tcW w:w="135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17"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单位任职时间</w:t>
            </w:r>
          </w:p>
        </w:tc>
        <w:tc>
          <w:tcPr>
            <w:tcW w:w="18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7"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学历（毕业学校、时间、专业）：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取得的专业认证、资质情况：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8"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人员优势及特长：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人员其他情况介绍：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8930" w:type="dxa"/>
            <w:gridSpan w:val="7"/>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年份</w:t>
            </w: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最近参加过的主要项目名称</w:t>
            </w: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担任职务或承担的主</w:t>
            </w:r>
          </w:p>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要工作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12"/>
        <w:spacing w:before="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注：按照评分标准细则要求提供人员相关证明文件（如有）。</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46" w:name="_bookmark120"/>
      <w:bookmarkEnd w:id="146"/>
      <w:bookmarkStart w:id="147" w:name="_bookmark120"/>
      <w:bookmarkEnd w:id="147"/>
      <w:r>
        <w:rPr>
          <w:rFonts w:hint="eastAsia" w:ascii="宋体" w:hAnsi="宋体" w:eastAsia="宋体" w:cs="宋体"/>
          <w:b/>
          <w:color w:val="auto"/>
          <w:spacing w:val="0"/>
          <w:w w:val="100"/>
          <w:position w:val="0"/>
          <w:sz w:val="24"/>
          <w:szCs w:val="21"/>
          <w:highlight w:val="none"/>
          <w:lang w:val="en-US" w:eastAsia="zh-CN"/>
        </w:rPr>
        <w:t>10-3 主、辅件一览表格式</w:t>
      </w:r>
    </w:p>
    <w:tbl>
      <w:tblPr>
        <w:tblStyle w:val="24"/>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0"/>
        <w:gridCol w:w="2194"/>
        <w:gridCol w:w="1212"/>
        <w:gridCol w:w="943"/>
        <w:gridCol w:w="941"/>
        <w:gridCol w:w="1081"/>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原材料、五金件名称</w:t>
            </w: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规格型号</w:t>
            </w: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品牌</w:t>
            </w: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产地</w:t>
            </w: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制造商</w:t>
            </w: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备注所应用的投标产品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一</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二</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三</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四</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五</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六</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七</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w:t>
            </w: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12"/>
        <w:spacing w:before="2"/>
        <w:rPr>
          <w:rFonts w:hint="eastAsia" w:ascii="宋体" w:hAnsi="宋体" w:eastAsia="宋体" w:cs="宋体"/>
          <w:b/>
          <w:color w:val="auto"/>
          <w:spacing w:val="0"/>
          <w:w w:val="100"/>
          <w:position w:val="0"/>
          <w:sz w:val="22"/>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rPr>
      </w:pPr>
      <w:bookmarkStart w:id="148" w:name="_bookmark121"/>
      <w:bookmarkEnd w:id="148"/>
      <w:bookmarkStart w:id="149" w:name="_Toc17541"/>
      <w:r>
        <w:rPr>
          <w:rFonts w:hint="eastAsia" w:ascii="宋体" w:hAnsi="宋体" w:eastAsia="宋体" w:cs="宋体"/>
          <w:color w:val="auto"/>
          <w:spacing w:val="0"/>
          <w:w w:val="100"/>
          <w:position w:val="0"/>
          <w:sz w:val="28"/>
          <w:szCs w:val="28"/>
          <w:highlight w:val="none"/>
        </w:rPr>
        <w:t>附件 11 其他商务技术文件材料</w:t>
      </w:r>
      <w:bookmarkEnd w:id="149"/>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50" w:name="_bookmark122"/>
      <w:bookmarkEnd w:id="150"/>
      <w:r>
        <w:rPr>
          <w:rFonts w:hint="eastAsia" w:ascii="宋体" w:hAnsi="宋体" w:eastAsia="宋体" w:cs="宋体"/>
          <w:b/>
          <w:color w:val="auto"/>
          <w:spacing w:val="0"/>
          <w:w w:val="100"/>
          <w:position w:val="0"/>
          <w:sz w:val="24"/>
          <w:szCs w:val="21"/>
          <w:highlight w:val="none"/>
          <w:lang w:val="en-US" w:eastAsia="zh-CN"/>
        </w:rPr>
        <w:t>11-1、相关业绩表建议格式</w:t>
      </w:r>
    </w:p>
    <w:tbl>
      <w:tblPr>
        <w:tblStyle w:val="24"/>
        <w:tblW w:w="0" w:type="auto"/>
        <w:tblInd w:w="3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4"/>
        <w:gridCol w:w="1378"/>
        <w:gridCol w:w="1305"/>
        <w:gridCol w:w="1353"/>
        <w:gridCol w:w="2119"/>
        <w:gridCol w:w="892"/>
        <w:gridCol w:w="12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案例项目名称</w:t>
            </w: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用户单位</w:t>
            </w: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合同签订日期</w:t>
            </w: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案例概况简介</w:t>
            </w: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所在页码</w:t>
            </w: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5</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r>
    </w:tbl>
    <w:p>
      <w:pPr>
        <w:pStyle w:val="12"/>
        <w:spacing w:before="5"/>
        <w:rPr>
          <w:rFonts w:hint="eastAsia" w:ascii="宋体" w:hAnsi="宋体" w:eastAsia="宋体" w:cs="宋体"/>
          <w:b/>
          <w:color w:val="auto"/>
          <w:spacing w:val="0"/>
          <w:w w:val="100"/>
          <w:position w:val="0"/>
          <w:sz w:val="24"/>
          <w:szCs w:val="21"/>
          <w:highlight w:val="none"/>
        </w:rPr>
      </w:pPr>
    </w:p>
    <w:p>
      <w:pPr>
        <w:pStyle w:val="28"/>
        <w:numPr>
          <w:ilvl w:val="0"/>
          <w:numId w:val="0"/>
        </w:numPr>
        <w:tabs>
          <w:tab w:val="left" w:pos="1354"/>
        </w:tabs>
        <w:spacing w:before="0" w:after="0" w:line="240" w:lineRule="auto"/>
        <w:ind w:left="-1" w:leftChars="0" w:right="75" w:rightChars="0"/>
        <w:jc w:val="center"/>
        <w:rPr>
          <w:rFonts w:hint="eastAsia" w:ascii="宋体" w:hAnsi="宋体" w:eastAsia="宋体" w:cs="宋体"/>
          <w:b/>
          <w:color w:val="auto"/>
          <w:spacing w:val="0"/>
          <w:w w:val="100"/>
          <w:position w:val="0"/>
          <w:sz w:val="22"/>
          <w:szCs w:val="20"/>
          <w:highlight w:val="none"/>
        </w:rPr>
      </w:pPr>
      <w:bookmarkStart w:id="151" w:name="_bookmark123"/>
      <w:bookmarkEnd w:id="151"/>
      <w:bookmarkStart w:id="152" w:name="_bookmark123"/>
      <w:bookmarkEnd w:id="152"/>
      <w:r>
        <w:rPr>
          <w:rFonts w:hint="eastAsia" w:ascii="宋体" w:hAnsi="宋体" w:eastAsia="宋体" w:cs="宋体"/>
          <w:b/>
          <w:color w:val="auto"/>
          <w:spacing w:val="0"/>
          <w:w w:val="100"/>
          <w:position w:val="0"/>
          <w:sz w:val="22"/>
          <w:szCs w:val="20"/>
          <w:highlight w:val="none"/>
          <w:lang w:val="en-US" w:eastAsia="zh-CN"/>
        </w:rPr>
        <w:t>11-2</w:t>
      </w:r>
      <w:r>
        <w:rPr>
          <w:rFonts w:hint="eastAsia" w:ascii="宋体" w:hAnsi="宋体" w:eastAsia="宋体" w:cs="宋体"/>
          <w:b/>
          <w:color w:val="auto"/>
          <w:spacing w:val="0"/>
          <w:w w:val="100"/>
          <w:position w:val="0"/>
          <w:sz w:val="22"/>
          <w:szCs w:val="20"/>
          <w:highlight w:val="none"/>
        </w:rPr>
        <w:t>、其它招标文件要求的或投标人认为应当或有必要提供的资料</w:t>
      </w:r>
    </w:p>
    <w:p>
      <w:pPr>
        <w:rPr>
          <w:rFonts w:hint="eastAsia" w:ascii="宋体" w:hAnsi="宋体" w:eastAsia="宋体" w:cs="宋体"/>
          <w:color w:val="auto"/>
          <w:spacing w:val="0"/>
          <w:w w:val="100"/>
          <w:position w:val="0"/>
          <w:sz w:val="22"/>
          <w:szCs w:val="20"/>
          <w:highlight w:val="none"/>
        </w:rPr>
      </w:pPr>
      <w:r>
        <w:rPr>
          <w:rFonts w:hint="eastAsia" w:ascii="宋体" w:hAnsi="宋体" w:eastAsia="宋体" w:cs="宋体"/>
          <w:color w:val="auto"/>
          <w:spacing w:val="0"/>
          <w:w w:val="100"/>
          <w:position w:val="0"/>
          <w:sz w:val="22"/>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lang w:val="en-US" w:eastAsia="zh-CN"/>
        </w:rPr>
      </w:pPr>
      <w:bookmarkStart w:id="153" w:name="_bookmark124"/>
      <w:bookmarkEnd w:id="153"/>
      <w:bookmarkStart w:id="154" w:name="_Toc6324"/>
      <w:r>
        <w:rPr>
          <w:rFonts w:hint="eastAsia" w:ascii="宋体" w:hAnsi="宋体" w:eastAsia="宋体" w:cs="宋体"/>
          <w:color w:val="auto"/>
          <w:spacing w:val="0"/>
          <w:w w:val="100"/>
          <w:position w:val="0"/>
          <w:sz w:val="28"/>
          <w:szCs w:val="28"/>
          <w:highlight w:val="none"/>
          <w:lang w:val="en-US" w:eastAsia="zh-CN"/>
        </w:rPr>
        <w:t>附件 12 政府采购政策的证明文件</w:t>
      </w:r>
      <w:bookmarkEnd w:id="154"/>
    </w:p>
    <w:p>
      <w:pPr>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中小企业声明函（货物）</w:t>
      </w:r>
    </w:p>
    <w:p>
      <w:pPr>
        <w:pStyle w:val="12"/>
        <w:ind w:left="8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本公司（联合体）郑重声明，根据《政府采购促进中小企业发展管理办法》</w:t>
      </w:r>
    </w:p>
    <w:p>
      <w:pPr>
        <w:pStyle w:val="12"/>
        <w:spacing w:before="158" w:line="364" w:lineRule="auto"/>
        <w:ind w:left="320" w:right="462"/>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（财库〔2020〕46 号）的规定，本公司（联合体）参加</w:t>
      </w:r>
      <w:r>
        <w:rPr>
          <w:rFonts w:hint="eastAsia" w:ascii="宋体" w:hAnsi="宋体" w:eastAsia="宋体" w:cs="宋体"/>
          <w:color w:val="auto"/>
          <w:spacing w:val="0"/>
          <w:w w:val="100"/>
          <w:position w:val="0"/>
          <w:sz w:val="21"/>
          <w:szCs w:val="21"/>
          <w:highlight w:val="none"/>
          <w:u w:val="single"/>
        </w:rPr>
        <w:t xml:space="preserve"> （单位名称） </w:t>
      </w:r>
      <w:r>
        <w:rPr>
          <w:rFonts w:hint="eastAsia" w:ascii="宋体" w:hAnsi="宋体" w:eastAsia="宋体" w:cs="宋体"/>
          <w:color w:val="auto"/>
          <w:spacing w:val="0"/>
          <w:w w:val="100"/>
          <w:position w:val="0"/>
          <w:sz w:val="21"/>
          <w:szCs w:val="21"/>
          <w:highlight w:val="none"/>
        </w:rPr>
        <w:t>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采购活动，提供的货物全部由符合政策要求的中小企业制造。相关企业（ 含联合体中的中小企业、签订分包意向协议的中小企业）的具体情况如下：</w:t>
      </w:r>
    </w:p>
    <w:p>
      <w:pPr>
        <w:pStyle w:val="28"/>
        <w:numPr>
          <w:ilvl w:val="0"/>
          <w:numId w:val="3"/>
        </w:numPr>
        <w:tabs>
          <w:tab w:val="left" w:pos="982"/>
          <w:tab w:val="left" w:pos="6725"/>
        </w:tabs>
        <w:spacing w:before="0" w:after="0" w:line="364" w:lineRule="auto"/>
        <w:ind w:left="320" w:right="553" w:firstLine="479"/>
        <w:jc w:val="both"/>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u w:val="single"/>
        </w:rPr>
        <w:t xml:space="preserve">    （标的名称）</w:t>
      </w:r>
      <w:r>
        <w:rPr>
          <w:rFonts w:hint="eastAsia" w:ascii="宋体" w:hAnsi="宋体" w:eastAsia="宋体" w:cs="宋体"/>
          <w:color w:val="auto"/>
          <w:spacing w:val="0"/>
          <w:w w:val="100"/>
          <w:position w:val="0"/>
          <w:sz w:val="21"/>
          <w:szCs w:val="20"/>
          <w:highlight w:val="none"/>
        </w:rPr>
        <w:t xml:space="preserve"> ，属于</w:t>
      </w:r>
      <w:r>
        <w:rPr>
          <w:rFonts w:hint="eastAsia" w:ascii="宋体" w:hAnsi="宋体" w:eastAsia="宋体" w:cs="宋体"/>
          <w:color w:val="auto"/>
          <w:spacing w:val="0"/>
          <w:w w:val="100"/>
          <w:position w:val="0"/>
          <w:sz w:val="21"/>
          <w:szCs w:val="20"/>
          <w:highlight w:val="none"/>
          <w:u w:val="single"/>
        </w:rPr>
        <w:t xml:space="preserve"> （采购文件中明确的所属行业）行业</w:t>
      </w:r>
      <w:r>
        <w:rPr>
          <w:rFonts w:hint="eastAsia" w:ascii="宋体" w:hAnsi="宋体" w:eastAsia="宋体" w:cs="宋体"/>
          <w:color w:val="auto"/>
          <w:spacing w:val="0"/>
          <w:w w:val="100"/>
          <w:position w:val="0"/>
          <w:sz w:val="21"/>
          <w:szCs w:val="20"/>
          <w:highlight w:val="none"/>
        </w:rPr>
        <w:t xml:space="preserve"> ；制造商为</w:t>
      </w:r>
      <w:r>
        <w:rPr>
          <w:rFonts w:hint="eastAsia" w:ascii="宋体" w:hAnsi="宋体" w:eastAsia="宋体" w:cs="宋体"/>
          <w:color w:val="auto"/>
          <w:spacing w:val="0"/>
          <w:w w:val="100"/>
          <w:position w:val="0"/>
          <w:sz w:val="21"/>
          <w:szCs w:val="20"/>
          <w:highlight w:val="none"/>
          <w:u w:val="single"/>
        </w:rPr>
        <w:t xml:space="preserve"> （企业名称）</w:t>
      </w:r>
      <w:r>
        <w:rPr>
          <w:rFonts w:hint="eastAsia" w:ascii="宋体" w:hAnsi="宋体" w:eastAsia="宋体" w:cs="宋体"/>
          <w:color w:val="auto"/>
          <w:spacing w:val="0"/>
          <w:w w:val="100"/>
          <w:position w:val="0"/>
          <w:sz w:val="21"/>
          <w:szCs w:val="20"/>
          <w:highlight w:val="none"/>
        </w:rPr>
        <w:t xml:space="preserve"> ，从业人员</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rPr>
        <w:t xml:space="preserve"> 人，营业收入为</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u w:val="single"/>
        </w:rPr>
        <w:tab/>
      </w:r>
      <w:r>
        <w:rPr>
          <w:rFonts w:hint="eastAsia" w:ascii="宋体" w:hAnsi="宋体" w:eastAsia="宋体" w:cs="宋体"/>
          <w:color w:val="auto"/>
          <w:spacing w:val="0"/>
          <w:w w:val="100"/>
          <w:position w:val="0"/>
          <w:sz w:val="21"/>
          <w:szCs w:val="20"/>
          <w:highlight w:val="none"/>
        </w:rPr>
        <w:t xml:space="preserve">万元，资产总额为万元 </w:t>
      </w:r>
      <w:r>
        <w:rPr>
          <w:rFonts w:hint="eastAsia" w:ascii="宋体" w:hAnsi="宋体" w:eastAsia="宋体" w:cs="宋体"/>
          <w:color w:val="auto"/>
          <w:spacing w:val="0"/>
          <w:w w:val="100"/>
          <w:position w:val="0"/>
          <w:sz w:val="21"/>
          <w:szCs w:val="20"/>
          <w:highlight w:val="none"/>
          <w:vertAlign w:val="superscript"/>
        </w:rPr>
        <w:t>1</w:t>
      </w:r>
      <w:r>
        <w:rPr>
          <w:rFonts w:hint="eastAsia" w:ascii="宋体" w:hAnsi="宋体" w:eastAsia="宋体" w:cs="宋体"/>
          <w:color w:val="auto"/>
          <w:spacing w:val="0"/>
          <w:w w:val="100"/>
          <w:position w:val="0"/>
          <w:sz w:val="21"/>
          <w:szCs w:val="20"/>
          <w:highlight w:val="none"/>
          <w:vertAlign w:val="baseline"/>
        </w:rPr>
        <w:t>，属于</w:t>
      </w:r>
      <w:r>
        <w:rPr>
          <w:rFonts w:hint="eastAsia" w:ascii="宋体" w:hAnsi="宋体" w:eastAsia="宋体" w:cs="宋体"/>
          <w:color w:val="auto"/>
          <w:spacing w:val="0"/>
          <w:w w:val="100"/>
          <w:position w:val="0"/>
          <w:sz w:val="21"/>
          <w:szCs w:val="20"/>
          <w:highlight w:val="none"/>
          <w:u w:val="single"/>
          <w:vertAlign w:val="baseline"/>
        </w:rPr>
        <w:t>（中型企业、小型企业、微型企业）</w:t>
      </w:r>
      <w:r>
        <w:rPr>
          <w:rFonts w:hint="eastAsia" w:ascii="宋体" w:hAnsi="宋体" w:eastAsia="宋体" w:cs="宋体"/>
          <w:color w:val="auto"/>
          <w:spacing w:val="0"/>
          <w:w w:val="100"/>
          <w:position w:val="0"/>
          <w:sz w:val="21"/>
          <w:szCs w:val="20"/>
          <w:highlight w:val="none"/>
          <w:vertAlign w:val="baseline"/>
        </w:rPr>
        <w:t>；</w:t>
      </w:r>
    </w:p>
    <w:p>
      <w:pPr>
        <w:pStyle w:val="28"/>
        <w:numPr>
          <w:ilvl w:val="0"/>
          <w:numId w:val="3"/>
        </w:numPr>
        <w:tabs>
          <w:tab w:val="left" w:pos="982"/>
          <w:tab w:val="left" w:pos="6725"/>
        </w:tabs>
        <w:spacing w:before="0" w:after="0" w:line="364" w:lineRule="auto"/>
        <w:ind w:left="320" w:right="553" w:firstLine="479"/>
        <w:jc w:val="both"/>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u w:val="single"/>
        </w:rPr>
        <w:t xml:space="preserve">    （标的名称）</w:t>
      </w:r>
      <w:r>
        <w:rPr>
          <w:rFonts w:hint="eastAsia" w:ascii="宋体" w:hAnsi="宋体" w:eastAsia="宋体" w:cs="宋体"/>
          <w:color w:val="auto"/>
          <w:spacing w:val="0"/>
          <w:w w:val="100"/>
          <w:position w:val="0"/>
          <w:sz w:val="21"/>
          <w:szCs w:val="20"/>
          <w:highlight w:val="none"/>
        </w:rPr>
        <w:t xml:space="preserve"> ，属于</w:t>
      </w:r>
      <w:r>
        <w:rPr>
          <w:rFonts w:hint="eastAsia" w:ascii="宋体" w:hAnsi="宋体" w:eastAsia="宋体" w:cs="宋体"/>
          <w:color w:val="auto"/>
          <w:spacing w:val="0"/>
          <w:w w:val="100"/>
          <w:position w:val="0"/>
          <w:sz w:val="21"/>
          <w:szCs w:val="20"/>
          <w:highlight w:val="none"/>
          <w:u w:val="single"/>
        </w:rPr>
        <w:t xml:space="preserve"> （采购文件中明确的所属行业）行业</w:t>
      </w:r>
      <w:r>
        <w:rPr>
          <w:rFonts w:hint="eastAsia" w:ascii="宋体" w:hAnsi="宋体" w:eastAsia="宋体" w:cs="宋体"/>
          <w:color w:val="auto"/>
          <w:spacing w:val="0"/>
          <w:w w:val="100"/>
          <w:position w:val="0"/>
          <w:sz w:val="21"/>
          <w:szCs w:val="20"/>
          <w:highlight w:val="none"/>
        </w:rPr>
        <w:t xml:space="preserve"> ；制造商为</w:t>
      </w:r>
      <w:r>
        <w:rPr>
          <w:rFonts w:hint="eastAsia" w:ascii="宋体" w:hAnsi="宋体" w:eastAsia="宋体" w:cs="宋体"/>
          <w:color w:val="auto"/>
          <w:spacing w:val="0"/>
          <w:w w:val="100"/>
          <w:position w:val="0"/>
          <w:sz w:val="21"/>
          <w:szCs w:val="20"/>
          <w:highlight w:val="none"/>
          <w:u w:val="single"/>
        </w:rPr>
        <w:t xml:space="preserve"> （企业名称）</w:t>
      </w:r>
      <w:r>
        <w:rPr>
          <w:rFonts w:hint="eastAsia" w:ascii="宋体" w:hAnsi="宋体" w:eastAsia="宋体" w:cs="宋体"/>
          <w:color w:val="auto"/>
          <w:spacing w:val="0"/>
          <w:w w:val="100"/>
          <w:position w:val="0"/>
          <w:sz w:val="21"/>
          <w:szCs w:val="20"/>
          <w:highlight w:val="none"/>
        </w:rPr>
        <w:t xml:space="preserve"> ，从业人员</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rPr>
        <w:t xml:space="preserve"> 人，营业收入为</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rPr>
        <w:tab/>
      </w:r>
      <w:r>
        <w:rPr>
          <w:rFonts w:hint="eastAsia" w:ascii="宋体" w:hAnsi="宋体" w:eastAsia="宋体" w:cs="宋体"/>
          <w:color w:val="auto"/>
          <w:spacing w:val="0"/>
          <w:w w:val="100"/>
          <w:position w:val="0"/>
          <w:sz w:val="21"/>
          <w:szCs w:val="20"/>
          <w:highlight w:val="none"/>
        </w:rPr>
        <w:t>万元，资产总额为万元，属于</w:t>
      </w:r>
      <w:r>
        <w:rPr>
          <w:rFonts w:hint="eastAsia" w:ascii="宋体" w:hAnsi="宋体" w:eastAsia="宋体" w:cs="宋体"/>
          <w:color w:val="auto"/>
          <w:spacing w:val="0"/>
          <w:w w:val="100"/>
          <w:position w:val="0"/>
          <w:sz w:val="21"/>
          <w:szCs w:val="20"/>
          <w:highlight w:val="none"/>
          <w:u w:val="single"/>
        </w:rPr>
        <w:t>（中型企业、小型企业、微型企业）</w:t>
      </w:r>
      <w:r>
        <w:rPr>
          <w:rFonts w:hint="eastAsia" w:ascii="宋体" w:hAnsi="宋体" w:eastAsia="宋体" w:cs="宋体"/>
          <w:color w:val="auto"/>
          <w:spacing w:val="0"/>
          <w:w w:val="100"/>
          <w:position w:val="0"/>
          <w:sz w:val="21"/>
          <w:szCs w:val="20"/>
          <w:highlight w:val="none"/>
        </w:rPr>
        <w:t>；</w:t>
      </w:r>
    </w:p>
    <w:p>
      <w:pPr>
        <w:spacing w:before="0" w:line="272" w:lineRule="exact"/>
        <w:ind w:left="802" w:right="0" w:firstLine="0"/>
        <w:jc w:val="left"/>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w:t>
      </w:r>
    </w:p>
    <w:p>
      <w:pPr>
        <w:pStyle w:val="12"/>
        <w:spacing w:before="138" w:line="364" w:lineRule="auto"/>
        <w:ind w:left="320" w:right="556"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以上企业，不属于大企业的分支机构，不存在控股股东为大企业的情形，也不存在与大企业的负责人为同一人的情形。</w:t>
      </w:r>
    </w:p>
    <w:p>
      <w:pPr>
        <w:pStyle w:val="12"/>
        <w:spacing w:line="306" w:lineRule="exact"/>
        <w:ind w:left="8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本企业对上述声明内容的真实性负责。如有虚假，将依法承担相应责任。</w:t>
      </w:r>
    </w:p>
    <w:p>
      <w:pPr>
        <w:pStyle w:val="12"/>
        <w:rPr>
          <w:rFonts w:hint="eastAsia" w:ascii="宋体" w:hAnsi="宋体" w:eastAsia="宋体" w:cs="宋体"/>
          <w:color w:val="auto"/>
          <w:spacing w:val="0"/>
          <w:w w:val="100"/>
          <w:position w:val="0"/>
          <w:sz w:val="21"/>
          <w:szCs w:val="21"/>
          <w:highlight w:val="none"/>
        </w:rPr>
      </w:pPr>
    </w:p>
    <w:p>
      <w:pPr>
        <w:pStyle w:val="12"/>
        <w:spacing w:before="9"/>
        <w:rPr>
          <w:rFonts w:hint="eastAsia" w:ascii="宋体" w:hAnsi="宋体" w:eastAsia="宋体" w:cs="宋体"/>
          <w:color w:val="auto"/>
          <w:spacing w:val="0"/>
          <w:w w:val="100"/>
          <w:position w:val="0"/>
          <w:sz w:val="16"/>
          <w:szCs w:val="21"/>
          <w:highlight w:val="none"/>
        </w:rPr>
      </w:pPr>
    </w:p>
    <w:p>
      <w:pPr>
        <w:pStyle w:val="12"/>
        <w:spacing w:line="364" w:lineRule="auto"/>
        <w:ind w:left="2961" w:right="4183"/>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企业名称（盖章）：</w:t>
      </w:r>
    </w:p>
    <w:p>
      <w:pPr>
        <w:pStyle w:val="12"/>
        <w:spacing w:line="364" w:lineRule="auto"/>
        <w:ind w:left="2961" w:right="4183"/>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日期：</w:t>
      </w: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spacing w:before="65"/>
        <w:ind w:left="320" w:right="0" w:firstLine="0"/>
        <w:jc w:val="left"/>
        <w:rPr>
          <w:rFonts w:hint="eastAsia" w:ascii="宋体" w:hAnsi="宋体" w:eastAsia="宋体" w:cs="宋体"/>
          <w:color w:val="auto"/>
          <w:spacing w:val="0"/>
          <w:w w:val="100"/>
          <w:position w:val="0"/>
          <w:sz w:val="18"/>
          <w:szCs w:val="18"/>
          <w:highlight w:val="none"/>
          <w:vertAlign w:val="superscript"/>
        </w:rPr>
      </w:pPr>
    </w:p>
    <w:p>
      <w:pPr>
        <w:spacing w:before="65"/>
        <w:ind w:left="320" w:right="0" w:firstLine="0"/>
        <w:jc w:val="left"/>
        <w:rPr>
          <w:rFonts w:hint="eastAsia" w:ascii="宋体" w:hAnsi="宋体" w:eastAsia="宋体" w:cs="宋体"/>
          <w:color w:val="auto"/>
          <w:spacing w:val="0"/>
          <w:w w:val="100"/>
          <w:position w:val="0"/>
          <w:sz w:val="18"/>
          <w:szCs w:val="18"/>
          <w:highlight w:val="none"/>
        </w:rPr>
      </w:pPr>
      <w:r>
        <w:rPr>
          <w:rFonts w:hint="eastAsia" w:ascii="宋体" w:hAnsi="宋体" w:eastAsia="宋体" w:cs="宋体"/>
          <w:color w:val="auto"/>
          <w:spacing w:val="0"/>
          <w:w w:val="100"/>
          <w:position w:val="0"/>
          <w:sz w:val="18"/>
          <w:szCs w:val="18"/>
          <w:highlight w:val="none"/>
          <w:vertAlign w:val="superscript"/>
        </w:rPr>
        <w:t>1</w:t>
      </w:r>
      <w:r>
        <w:rPr>
          <w:rFonts w:hint="eastAsia" w:ascii="宋体" w:hAnsi="宋体" w:eastAsia="宋体" w:cs="宋体"/>
          <w:color w:val="auto"/>
          <w:spacing w:val="0"/>
          <w:w w:val="100"/>
          <w:position w:val="0"/>
          <w:sz w:val="18"/>
          <w:szCs w:val="18"/>
          <w:highlight w:val="none"/>
        </w:rPr>
        <w:t xml:space="preserve"> 从业人员、营业收入、资产总额填报上一年度数据，无上一年度数据的新成立企业可不填报。</w:t>
      </w:r>
    </w:p>
    <w:p>
      <w:pPr>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br w:type="page"/>
      </w:r>
    </w:p>
    <w:p>
      <w:pPr>
        <w:pageBreakBefore w:val="0"/>
        <w:kinsoku/>
        <w:wordWrap/>
        <w:overflowPunct/>
        <w:topLinePunct w:val="0"/>
        <w:bidi w:val="0"/>
        <w:spacing w:line="48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残疾人福利性单位声明函（残疾人福利性单位适用，不符合的无需提供）</w:t>
      </w:r>
    </w:p>
    <w:p>
      <w:pPr>
        <w:pStyle w:val="12"/>
        <w:spacing w:before="161"/>
        <w:ind w:right="463"/>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所报产品中有残疾人福利单位制造的货物的，应同时提交下列文件：</w:t>
      </w:r>
    </w:p>
    <w:p>
      <w:pPr>
        <w:pStyle w:val="12"/>
        <w:spacing w:before="158"/>
        <w:ind w:right="462"/>
        <w:jc w:val="righ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①</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盖章的中小企业声明函，②产品制造商盖章的残疾人服务单位声明函。</w:t>
      </w:r>
    </w:p>
    <w:p>
      <w:pPr>
        <w:spacing w:before="0" w:line="364" w:lineRule="auto"/>
        <w:ind w:left="320" w:right="552" w:firstLine="482"/>
        <w:jc w:val="both"/>
        <w:rPr>
          <w:rFonts w:hint="eastAsia" w:ascii="宋体" w:hAnsi="宋体" w:eastAsia="宋体" w:cs="宋体"/>
          <w:b/>
          <w:color w:val="auto"/>
          <w:spacing w:val="0"/>
          <w:w w:val="100"/>
          <w:position w:val="0"/>
          <w:sz w:val="21"/>
          <w:szCs w:val="21"/>
          <w:highlight w:val="none"/>
        </w:rPr>
      </w:pPr>
      <w:r>
        <w:rPr>
          <w:rFonts w:hint="eastAsia" w:ascii="宋体" w:hAnsi="宋体" w:eastAsia="宋体" w:cs="宋体"/>
          <w:b/>
          <w:color w:val="auto"/>
          <w:spacing w:val="0"/>
          <w:w w:val="100"/>
          <w:position w:val="0"/>
          <w:sz w:val="21"/>
          <w:szCs w:val="21"/>
          <w:highlight w:val="none"/>
        </w:rPr>
        <w:t>根据《财政部 民政部 中国残疾人联合会关于促进残疾人就业政府采购政策的通知》提交的声明函</w:t>
      </w:r>
    </w:p>
    <w:p>
      <w:pPr>
        <w:bidi w:val="0"/>
        <w:jc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残疾人福利性单位声明函</w:t>
      </w:r>
    </w:p>
    <w:p>
      <w:pPr>
        <w:bidi w:val="0"/>
        <w:jc w:val="center"/>
        <w:rPr>
          <w:rFonts w:hint="eastAsia" w:ascii="宋体" w:hAnsi="宋体" w:eastAsia="宋体" w:cs="宋体"/>
          <w:b/>
          <w:bCs/>
          <w:color w:val="auto"/>
          <w:sz w:val="22"/>
          <w:szCs w:val="22"/>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本单位郑重声明，根据《财政部 民政部 中国残疾人联合会关于促进残疾人就业政府采购政策的通知》（财库〔2017〕 141 号）的规定，本单位为符合条件的残疾人福利性单位，且本单位参加</w:t>
      </w:r>
      <w:r>
        <w:rPr>
          <w:rFonts w:hint="eastAsia" w:ascii="宋体" w:hAnsi="宋体" w:eastAsia="宋体" w:cs="宋体"/>
          <w:color w:val="auto"/>
          <w:spacing w:val="0"/>
          <w:w w:val="100"/>
          <w:position w:val="0"/>
          <w:sz w:val="21"/>
          <w:szCs w:val="21"/>
          <w:highlight w:val="none"/>
          <w:u w:val="single"/>
        </w:rPr>
        <w:t xml:space="preserve"> 【采购人】</w:t>
      </w:r>
      <w:r>
        <w:rPr>
          <w:rFonts w:hint="eastAsia" w:ascii="宋体" w:hAnsi="宋体" w:eastAsia="宋体" w:cs="宋体"/>
          <w:color w:val="auto"/>
          <w:spacing w:val="0"/>
          <w:w w:val="100"/>
          <w:position w:val="0"/>
          <w:sz w:val="21"/>
          <w:szCs w:val="21"/>
          <w:highlight w:val="none"/>
        </w:rPr>
        <w:t>_单位的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项目采购活动【按投标实际情况在下方选择，在□中划勾或涂黑】：</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□提供本单位制造的货物</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□由本单位提供服务</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□提供其他残疾人福利性单位制造的货物（不包括使用非残疾人福利性单位注册商标的货物）。</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本单位对上述声明的真实性负责。如有虚假，将依法承担相应责任。</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320" w:firstLineChars="200"/>
        <w:textAlignment w:val="auto"/>
        <w:rPr>
          <w:rFonts w:hint="eastAsia" w:ascii="宋体" w:hAnsi="宋体" w:eastAsia="宋体" w:cs="宋体"/>
          <w:color w:val="auto"/>
          <w:spacing w:val="0"/>
          <w:w w:val="100"/>
          <w:position w:val="0"/>
          <w:sz w:val="16"/>
          <w:szCs w:val="21"/>
          <w:highlight w:val="none"/>
        </w:rPr>
      </w:pPr>
    </w:p>
    <w:p>
      <w:pPr>
        <w:pStyle w:val="12"/>
        <w:keepNext w:val="0"/>
        <w:keepLines w:val="0"/>
        <w:pageBreakBefore w:val="0"/>
        <w:widowControl w:val="0"/>
        <w:tabs>
          <w:tab w:val="left" w:pos="4620"/>
        </w:tabs>
        <w:kinsoku/>
        <w:wordWrap/>
        <w:overflowPunct/>
        <w:topLinePunct w:val="0"/>
        <w:autoSpaceDE w:val="0"/>
        <w:autoSpaceDN w:val="0"/>
        <w:bidi w:val="0"/>
        <w:adjustRightInd/>
        <w:snapToGrid/>
        <w:spacing w:before="0" w:line="560" w:lineRule="exact"/>
        <w:ind w:left="0" w:right="0" w:rightChars="0" w:firstLine="4410" w:firstLineChars="21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单位名称（盖章）：</w:t>
      </w:r>
    </w:p>
    <w:p>
      <w:pPr>
        <w:pStyle w:val="12"/>
        <w:keepNext w:val="0"/>
        <w:keepLines w:val="0"/>
        <w:pageBreakBefore w:val="0"/>
        <w:widowControl w:val="0"/>
        <w:tabs>
          <w:tab w:val="left" w:pos="4620"/>
        </w:tabs>
        <w:kinsoku/>
        <w:wordWrap/>
        <w:overflowPunct/>
        <w:topLinePunct w:val="0"/>
        <w:autoSpaceDE w:val="0"/>
        <w:autoSpaceDN w:val="0"/>
        <w:bidi w:val="0"/>
        <w:adjustRightInd/>
        <w:snapToGrid/>
        <w:spacing w:before="0" w:line="560" w:lineRule="exact"/>
        <w:ind w:left="0" w:right="0" w:firstLine="4410" w:firstLineChars="21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日期：</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注：</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1、符合（财库〔2017〕141 号）规定条件的残疾人福利性单位在参加政府采购活动时， 应当提供此格式</w:t>
      </w:r>
      <w:r>
        <w:rPr>
          <w:rFonts w:hint="eastAsia" w:ascii="宋体" w:hAnsi="宋体" w:eastAsia="宋体" w:cs="宋体"/>
          <w:color w:val="auto"/>
          <w:spacing w:val="0"/>
          <w:w w:val="100"/>
          <w:position w:val="0"/>
          <w:sz w:val="21"/>
          <w:szCs w:val="21"/>
          <w:highlight w:val="none"/>
          <w:lang w:eastAsia="zh-CN"/>
        </w:rPr>
        <w:t>文件</w:t>
      </w:r>
      <w:r>
        <w:rPr>
          <w:rFonts w:hint="eastAsia" w:ascii="宋体" w:hAnsi="宋体" w:eastAsia="宋体" w:cs="宋体"/>
          <w:color w:val="auto"/>
          <w:spacing w:val="0"/>
          <w:w w:val="100"/>
          <w:position w:val="0"/>
          <w:sz w:val="21"/>
          <w:szCs w:val="21"/>
          <w:highlight w:val="none"/>
        </w:rPr>
        <w:t>。投标不涉及残疾人福利性单位的，无需填写此也无需提交此格式文件。</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2、此表如未正确填写，评审时将不予承认。</w:t>
      </w:r>
    </w:p>
    <w:p>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left"/>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3、中标人享受了本招标文件规定的残疾人福利性单位促进政策的，其</w:t>
      </w:r>
      <w:r>
        <w:rPr>
          <w:rFonts w:hint="eastAsia" w:ascii="宋体" w:hAnsi="宋体" w:eastAsia="宋体" w:cs="宋体"/>
          <w:b/>
          <w:color w:val="auto"/>
          <w:spacing w:val="0"/>
          <w:w w:val="100"/>
          <w:position w:val="0"/>
          <w:sz w:val="21"/>
          <w:szCs w:val="20"/>
          <w:highlight w:val="none"/>
        </w:rPr>
        <w:t>残疾人福利性单位声明函将按规定进行公告。</w:t>
      </w: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ageBreakBefore w:val="0"/>
        <w:kinsoku/>
        <w:wordWrap/>
        <w:overflowPunct/>
        <w:topLinePunct w:val="0"/>
        <w:bidi w:val="0"/>
        <w:spacing w:line="480" w:lineRule="exact"/>
        <w:ind w:left="0" w:leftChars="0" w:right="0" w:rightChars="0" w:firstLine="0" w:firstLineChars="0"/>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监狱企业证明材料</w:t>
      </w:r>
      <w:r>
        <w:rPr>
          <w:rFonts w:hint="eastAsia" w:ascii="宋体" w:hAnsi="宋体" w:eastAsia="宋体" w:cs="宋体"/>
          <w:b/>
          <w:color w:val="auto"/>
          <w:sz w:val="22"/>
          <w:szCs w:val="22"/>
          <w:highlight w:val="none"/>
        </w:rPr>
        <w:t>（不符合的无需提供）</w:t>
      </w:r>
    </w:p>
    <w:p>
      <w:pPr>
        <w:pStyle w:val="12"/>
        <w:spacing w:before="161" w:line="362" w:lineRule="auto"/>
        <w:ind w:right="558"/>
        <w:rPr>
          <w:rFonts w:hint="eastAsia" w:ascii="宋体" w:hAnsi="宋体" w:eastAsia="宋体" w:cs="宋体"/>
          <w:color w:val="auto"/>
          <w:spacing w:val="0"/>
          <w:w w:val="100"/>
          <w:position w:val="0"/>
          <w:sz w:val="21"/>
          <w:szCs w:val="21"/>
          <w:highlight w:val="none"/>
        </w:rPr>
      </w:pPr>
      <w:bookmarkStart w:id="155" w:name="附件18 评审现场原件备查证明材料汇总表（若招标文件未要求的，可不交此表格）"/>
      <w:bookmarkEnd w:id="155"/>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所报产品中有监狱企业制造的货物的，应同时提交下列文件：</w:t>
      </w:r>
    </w:p>
    <w:p>
      <w:pPr>
        <w:pStyle w:val="12"/>
        <w:spacing w:before="161" w:line="362" w:lineRule="auto"/>
        <w:ind w:left="320" w:right="558"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①</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盖章的中小企业声明函，②产品制造商盖章的监狱企业证明材料。</w:t>
      </w:r>
    </w:p>
    <w:p>
      <w:pPr>
        <w:pStyle w:val="12"/>
        <w:spacing w:before="7"/>
        <w:rPr>
          <w:rFonts w:hint="eastAsia" w:ascii="宋体" w:hAnsi="宋体" w:eastAsia="宋体" w:cs="宋体"/>
          <w:color w:val="auto"/>
          <w:spacing w:val="0"/>
          <w:w w:val="100"/>
          <w:position w:val="0"/>
          <w:sz w:val="21"/>
          <w:szCs w:val="21"/>
          <w:highlight w:val="none"/>
        </w:rPr>
      </w:pPr>
    </w:p>
    <w:p>
      <w:pPr>
        <w:pStyle w:val="12"/>
        <w:spacing w:line="364" w:lineRule="auto"/>
        <w:ind w:left="320" w:right="563"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根据《财政部 司法部关于政府采购支持监狱企业发展有关问题的通知（财库[2014]68 号）》的规定提交有关部门出具的证明材料。</w:t>
      </w:r>
    </w:p>
    <w:p>
      <w:pP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br w:type="page"/>
      </w:r>
    </w:p>
    <w:p>
      <w:pPr>
        <w:pageBreakBefore w:val="0"/>
        <w:kinsoku/>
        <w:wordWrap/>
        <w:overflowPunct/>
        <w:topLinePunct w:val="0"/>
        <w:bidi w:val="0"/>
        <w:spacing w:line="480" w:lineRule="exact"/>
        <w:ind w:left="0" w:leftChars="0" w:right="0" w:rightChars="0" w:firstLine="0" w:firstLineChars="0"/>
        <w:jc w:val="center"/>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节能、环境标志产品证明材料（符合填写）</w:t>
      </w:r>
    </w:p>
    <w:p>
      <w:pPr>
        <w:pStyle w:val="13"/>
        <w:rPr>
          <w:rFonts w:hint="eastAsia" w:ascii="宋体" w:hAnsi="宋体" w:eastAsia="宋体" w:cs="宋体"/>
          <w:color w:val="auto"/>
          <w:spacing w:val="0"/>
          <w:w w:val="100"/>
          <w:position w:val="0"/>
          <w:sz w:val="21"/>
          <w:szCs w:val="21"/>
          <w:highlight w:val="none"/>
        </w:rPr>
      </w:pP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（1）鼓励节能政策：在性能、技术、服务等指标同等条件下，优先采购国家确定的认证机构出具的、处于有效期之内的节能产品认证证书标志产品。投标涉及上述产品的， 投标人应提供带有投标产品型号的节能产品认证证书复印件作为证明。</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2）鼓励环保政策：在性能、技术、服务等指标同等条件下，优先采购国家确定的认证机构出具的、处于有效期之内的环境标志产品认证证书标志产品。投标涉及上述产品的，投标人应提供带有投标产品型号的环境标志产品认证证书复印件作为证明。</w:t>
      </w:r>
    </w:p>
    <w:p>
      <w:pPr>
        <w:pStyle w:val="13"/>
        <w:rPr>
          <w:rFonts w:hint="eastAsia" w:ascii="宋体" w:hAnsi="宋体" w:eastAsia="宋体" w:cs="宋体"/>
          <w:color w:val="auto"/>
          <w:spacing w:val="0"/>
          <w:w w:val="100"/>
          <w:position w:val="0"/>
          <w:sz w:val="21"/>
          <w:szCs w:val="21"/>
          <w:highlight w:val="none"/>
        </w:rPr>
      </w:pP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lang w:val="en-US" w:eastAsia="zh-CN"/>
        </w:rPr>
      </w:pPr>
      <w:bookmarkStart w:id="156" w:name="_bookmark126"/>
      <w:bookmarkEnd w:id="156"/>
      <w:bookmarkStart w:id="157" w:name="_bookmark128"/>
      <w:bookmarkEnd w:id="157"/>
      <w:bookmarkStart w:id="158" w:name="_bookmark127"/>
      <w:bookmarkEnd w:id="158"/>
      <w:bookmarkStart w:id="159" w:name="_Toc29413"/>
      <w:r>
        <w:rPr>
          <w:rFonts w:hint="eastAsia" w:ascii="宋体" w:hAnsi="宋体" w:eastAsia="宋体" w:cs="宋体"/>
          <w:color w:val="auto"/>
          <w:spacing w:val="0"/>
          <w:w w:val="100"/>
          <w:position w:val="0"/>
          <w:sz w:val="28"/>
          <w:szCs w:val="28"/>
          <w:highlight w:val="none"/>
          <w:lang w:val="en-US" w:eastAsia="zh-CN"/>
        </w:rPr>
        <w:t>附件 13 资格、资信证明文件</w:t>
      </w:r>
      <w:bookmarkEnd w:id="159"/>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资格、资信证明文件部分建议格式</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4"/>
        <w:gridCol w:w="2070"/>
        <w:gridCol w:w="6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附件顺序</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提交文件</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提交文件说明与评审标准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79"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-1</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法人或者其他组织、自然人的营业执照等证明文件</w:t>
            </w:r>
          </w:p>
        </w:tc>
        <w:tc>
          <w:tcPr>
            <w:tcW w:w="6383" w:type="dxa"/>
            <w:vAlign w:val="center"/>
          </w:tcPr>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投标人是企业（包括合伙企业）的，应提供其在工商部门注册的有效“营业执照”复印件；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投标人是事业单位的，应提供其有效的“事业单位法人证书”复印件；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投标人是非企业专业服务机构的，应提供其有效的“执业许可证”复印件；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投标人是民办非企业单位的，应提供其有效的登记证书复印件；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投标人是个体工商户的，应提供其有效的“营业执照”复印件；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投标人是自然人的，应提供其有效的自然人身份证明复印件；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110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-2</w:t>
            </w:r>
          </w:p>
        </w:tc>
        <w:tc>
          <w:tcPr>
            <w:tcW w:w="2070"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财务状况报告：提供（1）或提供（2）</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近一</w:t>
            </w:r>
            <w:r>
              <w:rPr>
                <w:rFonts w:hint="eastAsia" w:ascii="宋体" w:hAnsi="宋体" w:eastAsia="宋体" w:cs="宋体"/>
                <w:color w:val="auto"/>
                <w:spacing w:val="0"/>
                <w:w w:val="100"/>
                <w:position w:val="0"/>
                <w:sz w:val="21"/>
                <w:szCs w:val="20"/>
                <w:highlight w:val="none"/>
              </w:rPr>
              <w:t>年度由会计师事务所出具财务审计报告（复印件，至少须包括审计意见正文、资产负债表、利润表、现金流量表和附注）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6" w:hRule="atLeast"/>
          <w:jc w:val="center"/>
        </w:trPr>
        <w:tc>
          <w:tcPr>
            <w:tcW w:w="110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
                <w:szCs w:val="2"/>
                <w:highlight w:val="none"/>
              </w:rPr>
            </w:pPr>
          </w:p>
        </w:tc>
        <w:tc>
          <w:tcPr>
            <w:tcW w:w="207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
                <w:szCs w:val="2"/>
                <w:highlight w:val="none"/>
              </w:rPr>
            </w:pP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（2）提供由开标日前三个月内投标人开户银行出具的资信证明原件。资信证明还应满足以下要求：</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无收受人和项目的限制，但开具银行有限制规定的除外；</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银行资信证明应能说明该投标人与银行之间业务往来正常，企业信誉良好等；</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银行出具的存款证明不能替代银行资信证明。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-3</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依法缴纳税收的相关材料</w:t>
            </w:r>
          </w:p>
        </w:tc>
        <w:tc>
          <w:tcPr>
            <w:tcW w:w="6383" w:type="dxa"/>
            <w:vAlign w:val="center"/>
          </w:tcPr>
          <w:p>
            <w:pPr>
              <w:keepNext w:val="0"/>
              <w:keepLines w:val="0"/>
              <w:widowControl/>
              <w:numPr>
                <w:ilvl w:val="0"/>
                <w:numId w:val="0"/>
              </w:numPr>
              <w:suppressLineNumbers w:val="0"/>
              <w:autoSpaceDE/>
              <w:autoSpaceDN/>
              <w:spacing w:before="0" w:after="0" w:line="240" w:lineRule="auto"/>
              <w:ind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w:t>
            </w:r>
          </w:p>
          <w:p>
            <w:pPr>
              <w:keepNext w:val="0"/>
              <w:keepLines w:val="0"/>
              <w:widowControl/>
              <w:suppressLineNumbers w:val="0"/>
              <w:autoSpaceDE/>
              <w:autoSpaceDN/>
              <w:spacing w:before="0" w:after="0" w:line="240" w:lineRule="auto"/>
              <w:ind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缴纳凭证复印件须清晰可辨，并能显示出税种种类，单位代扣代缴的个人所得税不能作为单位纳税的凭证；</w:t>
            </w:r>
          </w:p>
          <w:p>
            <w:pPr>
              <w:keepNext w:val="0"/>
              <w:keepLines w:val="0"/>
              <w:widowControl/>
              <w:suppressLineNumbers w:val="0"/>
              <w:autoSpaceDE/>
              <w:autoSpaceDN/>
              <w:spacing w:before="0" w:after="0" w:line="240" w:lineRule="auto"/>
              <w:ind w:right="0"/>
              <w:jc w:val="left"/>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依法免税的投标人，应提供相应文件证明其依法免税；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-4</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依法缴纳社会保障资金的相关材料</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-5</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具备履行合同所必需的设备和专业技术能力的说明函</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投标人自行拟定格式，加盖公章。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-6</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参加政府采购活动前 3 年内在经营活动中没有重大违法记录的书面声明</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不得删减、改变格式中给定的文字内容，不得自行增加与格式中给定的文字内容相矛盾的内容，需要填写的空格或空白应有效填写。应加盖公章。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-7</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投标人针对投标人资格要求限制行为的声明格式</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不得删减、改变格式中给定的文字内容，不得自行增加与格式中给定的文字内容相矛盾的内容，需要填写的空格或空白应有效填写。应加盖公章。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-8</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联合体协议（联合体投标时适用）</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如为联合体投标，联合体各方均需提供以上证明文件不得删减、改变格式中给定的文字内容，不得自行增加与格式中给定的文字内容相矛盾的内容，需要填写的空格或空白应有效填写。应加盖所有成员单位公章。</w:t>
            </w:r>
          </w:p>
        </w:tc>
      </w:tr>
    </w:tbl>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60" w:name="_bookmark129"/>
      <w:bookmarkEnd w:id="160"/>
      <w:r>
        <w:rPr>
          <w:rFonts w:hint="eastAsia" w:ascii="宋体" w:hAnsi="宋体" w:eastAsia="宋体" w:cs="宋体"/>
          <w:b/>
          <w:color w:val="auto"/>
          <w:spacing w:val="0"/>
          <w:w w:val="100"/>
          <w:position w:val="0"/>
          <w:sz w:val="24"/>
          <w:szCs w:val="21"/>
          <w:highlight w:val="none"/>
          <w:lang w:val="en-US" w:eastAsia="zh-CN"/>
        </w:rPr>
        <w:t>14-6、参加政府采购活动前三年内，在经营活动中没有重大违法记录的声明格式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参加政府采购活动前 3 年内在经营活动中没有重大违法记录的书面声明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我单位郑重声明：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我单位近三年内在经营活动中没有重大违法记录，我单位未被列入失信被执行人、重大税收违法案件当事人名单、政府采购严重违法失信行为记录名单，特此声明。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若采购人或采购代理机构在本项目采购过程中发现我单位近三年内在经营活动中有重大违法记录或我单位被列入失信被执行人、重大税收违法案件当事人名单、政府采购严重违法失信行为记录名单，我单位将无条件地退出本项目的投标，并承担因此引起的一切后果。</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61" w:name="_bookmark130"/>
      <w:bookmarkEnd w:id="161"/>
      <w:r>
        <w:rPr>
          <w:rFonts w:hint="eastAsia" w:ascii="宋体" w:hAnsi="宋体" w:eastAsia="宋体" w:cs="宋体"/>
          <w:b/>
          <w:color w:val="auto"/>
          <w:spacing w:val="0"/>
          <w:w w:val="100"/>
          <w:position w:val="0"/>
          <w:sz w:val="24"/>
          <w:szCs w:val="21"/>
          <w:highlight w:val="none"/>
          <w:lang w:val="en-US" w:eastAsia="zh-CN"/>
        </w:rPr>
        <w:t>14-7、投标人针对投标人资格要求限制行为的声明格式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投标人针对投标人资格要求限制行为的声明</w:t>
      </w:r>
    </w:p>
    <w:p>
      <w:pPr>
        <w:pStyle w:val="12"/>
        <w:spacing w:before="81"/>
        <w:ind w:right="1922"/>
        <w:jc w:val="left"/>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rPr>
        <w:t>我方声明：</w:t>
      </w:r>
    </w:p>
    <w:p>
      <w:pPr>
        <w:pStyle w:val="12"/>
        <w:spacing w:before="84" w:line="302" w:lineRule="auto"/>
        <w:ind w:left="400" w:right="477"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1、与我方存在单位负责人与我方为同一人或者与我方存在直接控股、管理关系情况的其他</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如下表：</w:t>
      </w: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3827"/>
        <w:gridCol w:w="43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Pr>
          <w:p>
            <w:pPr>
              <w:pStyle w:val="29"/>
              <w:spacing w:before="2"/>
              <w:ind w:left="309"/>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3827" w:type="dxa"/>
          </w:tcPr>
          <w:p>
            <w:pPr>
              <w:pStyle w:val="29"/>
              <w:spacing w:before="2"/>
              <w:ind w:left="1290" w:right="1287"/>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投标人</w:t>
            </w:r>
            <w:r>
              <w:rPr>
                <w:rFonts w:hint="eastAsia" w:ascii="宋体" w:hAnsi="宋体" w:eastAsia="宋体" w:cs="宋体"/>
                <w:color w:val="auto"/>
                <w:spacing w:val="0"/>
                <w:w w:val="100"/>
                <w:position w:val="0"/>
                <w:sz w:val="21"/>
                <w:szCs w:val="20"/>
                <w:highlight w:val="none"/>
              </w:rPr>
              <w:t>名称</w:t>
            </w:r>
          </w:p>
        </w:tc>
        <w:tc>
          <w:tcPr>
            <w:tcW w:w="4396" w:type="dxa"/>
          </w:tcPr>
          <w:p>
            <w:pPr>
              <w:pStyle w:val="29"/>
              <w:spacing w:before="2"/>
              <w:ind w:left="1695" w:right="169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tcPr>
          <w:p>
            <w:pPr>
              <w:pStyle w:val="29"/>
              <w:spacing w:before="2"/>
              <w:ind w:left="106"/>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【请填写：直接控股我方、直接管理我</w:t>
            </w:r>
          </w:p>
          <w:p>
            <w:pPr>
              <w:pStyle w:val="29"/>
              <w:spacing w:before="81"/>
              <w:ind w:left="106" w:right="-29"/>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方、由我方直接控股或由我方直接管理】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c>
          <w:tcPr>
            <w:tcW w:w="3827"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c>
          <w:tcPr>
            <w:tcW w:w="4396"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r>
    </w:tbl>
    <w:p>
      <w:pPr>
        <w:pStyle w:val="12"/>
        <w:spacing w:before="84" w:line="302" w:lineRule="auto"/>
        <w:ind w:left="400" w:right="477"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2、若我方受托为采购项目提供了整体设计、规范编制或者项目管理、监理、检测等服务，则自动放弃参加该采购项目的其他采购活动。</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62" w:name="_bookmark131"/>
      <w:bookmarkEnd w:id="162"/>
      <w:r>
        <w:rPr>
          <w:rFonts w:hint="eastAsia" w:ascii="宋体" w:hAnsi="宋体" w:eastAsia="宋体" w:cs="宋体"/>
          <w:b/>
          <w:color w:val="auto"/>
          <w:spacing w:val="0"/>
          <w:w w:val="100"/>
          <w:position w:val="0"/>
          <w:sz w:val="24"/>
          <w:szCs w:val="21"/>
          <w:highlight w:val="none"/>
          <w:lang w:val="en-US" w:eastAsia="zh-CN"/>
        </w:rPr>
        <w:t>14-8、联合体协议格式</w:t>
      </w:r>
    </w:p>
    <w:p>
      <w:pPr>
        <w:pStyle w:val="12"/>
        <w:spacing w:before="6"/>
        <w:ind w:left="363" w:right="437"/>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（联合体投标时提供）</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联合体协议（格式）</w:t>
      </w:r>
    </w:p>
    <w:p>
      <w:pPr>
        <w:pStyle w:val="12"/>
        <w:spacing w:before="2"/>
        <w:rPr>
          <w:rFonts w:hint="eastAsia" w:ascii="宋体" w:hAnsi="宋体" w:eastAsia="宋体" w:cs="宋体"/>
          <w:b/>
          <w:color w:val="auto"/>
          <w:spacing w:val="0"/>
          <w:w w:val="100"/>
          <w:position w:val="0"/>
          <w:sz w:val="6"/>
          <w:szCs w:val="21"/>
          <w:highlight w:val="none"/>
        </w:rPr>
      </w:pPr>
    </w:p>
    <w:p>
      <w:pPr>
        <w:pStyle w:val="12"/>
        <w:tabs>
          <w:tab w:val="left" w:pos="2323"/>
          <w:tab w:val="left" w:pos="2452"/>
          <w:tab w:val="left" w:pos="4008"/>
          <w:tab w:val="left" w:pos="5693"/>
        </w:tabs>
        <w:spacing w:before="74" w:line="343" w:lineRule="auto"/>
        <w:ind w:left="400" w:right="354"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【所有成员单位名称】自愿组成联合体，共同参加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【项目名称/包件名称】 </w:t>
      </w:r>
      <w:r>
        <w:rPr>
          <w:rFonts w:hint="eastAsia" w:ascii="宋体" w:hAnsi="宋体" w:eastAsia="宋体" w:cs="宋体"/>
          <w:color w:val="auto"/>
          <w:spacing w:val="0"/>
          <w:w w:val="100"/>
          <w:position w:val="0"/>
          <w:sz w:val="21"/>
          <w:szCs w:val="21"/>
          <w:highlight w:val="none"/>
        </w:rPr>
        <w:t>招标和投标（</w:t>
      </w:r>
      <w:r>
        <w:rPr>
          <w:rFonts w:hint="eastAsia" w:ascii="宋体" w:hAnsi="宋体" w:eastAsia="宋体" w:cs="宋体"/>
          <w:color w:val="auto"/>
          <w:spacing w:val="0"/>
          <w:w w:val="100"/>
          <w:position w:val="0"/>
          <w:sz w:val="21"/>
          <w:szCs w:val="21"/>
          <w:highlight w:val="none"/>
          <w:u w:val="single"/>
        </w:rPr>
        <w:t xml:space="preserve"> 【项目编号/包件号】 </w:t>
      </w:r>
      <w:r>
        <w:rPr>
          <w:rFonts w:hint="eastAsia" w:ascii="宋体" w:hAnsi="宋体" w:eastAsia="宋体" w:cs="宋体"/>
          <w:color w:val="auto"/>
          <w:spacing w:val="0"/>
          <w:w w:val="100"/>
          <w:position w:val="0"/>
          <w:sz w:val="21"/>
          <w:szCs w:val="21"/>
          <w:highlight w:val="none"/>
        </w:rPr>
        <w:t>）。现就联合体投标事宜订立如下协议。</w:t>
      </w:r>
    </w:p>
    <w:p>
      <w:pPr>
        <w:pStyle w:val="12"/>
        <w:tabs>
          <w:tab w:val="left" w:pos="1600"/>
        </w:tabs>
        <w:spacing w:before="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【牵头人成员单位名称】 </w:t>
      </w:r>
      <w:r>
        <w:rPr>
          <w:rFonts w:hint="eastAsia" w:ascii="宋体" w:hAnsi="宋体" w:eastAsia="宋体" w:cs="宋体"/>
          <w:color w:val="auto"/>
          <w:spacing w:val="0"/>
          <w:w w:val="100"/>
          <w:position w:val="0"/>
          <w:sz w:val="21"/>
          <w:szCs w:val="21"/>
          <w:highlight w:val="none"/>
        </w:rPr>
        <w:t>为牵头人。</w:t>
      </w:r>
    </w:p>
    <w:p>
      <w:pPr>
        <w:pStyle w:val="12"/>
        <w:spacing w:before="132" w:line="343" w:lineRule="auto"/>
        <w:ind w:left="400" w:right="235"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2、联合体牵头人合法代表联合体各成员负责本项目投标文件编制和合同谈判活动， 代表联合体提交和接收相关的资料、信息及指示，处理与之有关的一切事务，并负责 合同实施阶段的主办、组织和协调工作。</w:t>
      </w:r>
    </w:p>
    <w:p>
      <w:pPr>
        <w:pStyle w:val="12"/>
        <w:spacing w:before="1" w:line="343" w:lineRule="auto"/>
        <w:ind w:left="400" w:right="473"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3、联合体将严格按照招标文件的各项要求，递交投标文件，履行合同，并对外承担连带责任。</w:t>
      </w:r>
    </w:p>
    <w:p>
      <w:pPr>
        <w:pStyle w:val="12"/>
        <w:spacing w:before="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4、联合体各成员单位内部的工作和相应的责任如下：</w:t>
      </w:r>
    </w:p>
    <w:p>
      <w:pPr>
        <w:pStyle w:val="12"/>
        <w:tabs>
          <w:tab w:val="left" w:pos="7656"/>
        </w:tabs>
        <w:spacing w:before="132" w:line="343" w:lineRule="auto"/>
        <w:ind w:left="880" w:right="1842"/>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。5、联合体各成员单位在投标总价中的所占金额比例如下：</w:t>
      </w:r>
    </w:p>
    <w:p>
      <w:pPr>
        <w:pStyle w:val="12"/>
        <w:tabs>
          <w:tab w:val="left" w:pos="8741"/>
        </w:tabs>
        <w:spacing w:before="1"/>
        <w:ind w:left="76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成员一名称】</w:t>
      </w:r>
      <w:r>
        <w:rPr>
          <w:rFonts w:hint="eastAsia" w:ascii="宋体" w:hAnsi="宋体" w:eastAsia="宋体" w:cs="宋体"/>
          <w:color w:val="auto"/>
          <w:spacing w:val="0"/>
          <w:w w:val="100"/>
          <w:position w:val="0"/>
          <w:sz w:val="21"/>
          <w:szCs w:val="21"/>
          <w:highlight w:val="none"/>
        </w:rPr>
        <w:t>在投标总价中所占金额为</w:t>
      </w:r>
      <w:r>
        <w:rPr>
          <w:rFonts w:hint="eastAsia" w:ascii="宋体" w:hAnsi="宋体" w:eastAsia="宋体" w:cs="宋体"/>
          <w:color w:val="auto"/>
          <w:spacing w:val="0"/>
          <w:w w:val="100"/>
          <w:position w:val="0"/>
          <w:sz w:val="21"/>
          <w:szCs w:val="21"/>
          <w:highlight w:val="none"/>
          <w:u w:val="single"/>
        </w:rPr>
        <w:t>【XXXX.XX 元】</w:t>
      </w:r>
      <w:r>
        <w:rPr>
          <w:rFonts w:hint="eastAsia" w:ascii="宋体" w:hAnsi="宋体" w:eastAsia="宋体" w:cs="宋体"/>
          <w:color w:val="auto"/>
          <w:spacing w:val="0"/>
          <w:w w:val="100"/>
          <w:position w:val="0"/>
          <w:sz w:val="21"/>
          <w:szCs w:val="21"/>
          <w:highlight w:val="none"/>
        </w:rPr>
        <w:t>，金额比例为：</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w:t>
      </w:r>
    </w:p>
    <w:p>
      <w:pPr>
        <w:pStyle w:val="12"/>
        <w:tabs>
          <w:tab w:val="left" w:pos="8741"/>
        </w:tabs>
        <w:spacing w:before="133"/>
        <w:ind w:left="76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成员二名称】</w:t>
      </w:r>
      <w:r>
        <w:rPr>
          <w:rFonts w:hint="eastAsia" w:ascii="宋体" w:hAnsi="宋体" w:eastAsia="宋体" w:cs="宋体"/>
          <w:color w:val="auto"/>
          <w:spacing w:val="0"/>
          <w:w w:val="100"/>
          <w:position w:val="0"/>
          <w:sz w:val="21"/>
          <w:szCs w:val="21"/>
          <w:highlight w:val="none"/>
        </w:rPr>
        <w:t>在投标总价中所占金额为</w:t>
      </w:r>
      <w:r>
        <w:rPr>
          <w:rFonts w:hint="eastAsia" w:ascii="宋体" w:hAnsi="宋体" w:eastAsia="宋体" w:cs="宋体"/>
          <w:color w:val="auto"/>
          <w:spacing w:val="0"/>
          <w:w w:val="100"/>
          <w:position w:val="0"/>
          <w:sz w:val="21"/>
          <w:szCs w:val="21"/>
          <w:highlight w:val="none"/>
          <w:u w:val="single"/>
        </w:rPr>
        <w:t>【XXXX.XX 元】</w:t>
      </w:r>
      <w:r>
        <w:rPr>
          <w:rFonts w:hint="eastAsia" w:ascii="宋体" w:hAnsi="宋体" w:eastAsia="宋体" w:cs="宋体"/>
          <w:color w:val="auto"/>
          <w:spacing w:val="0"/>
          <w:w w:val="100"/>
          <w:position w:val="0"/>
          <w:sz w:val="21"/>
          <w:szCs w:val="21"/>
          <w:highlight w:val="none"/>
        </w:rPr>
        <w:t>，金额比例为：</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w:t>
      </w:r>
    </w:p>
    <w:p>
      <w:pPr>
        <w:pStyle w:val="12"/>
        <w:spacing w:before="13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p>
    <w:p>
      <w:pPr>
        <w:pStyle w:val="12"/>
        <w:spacing w:before="134"/>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6、联合体其他成员委托牵头人代表联合体与采购人签订合同。</w:t>
      </w:r>
    </w:p>
    <w:p>
      <w:pPr>
        <w:pStyle w:val="12"/>
        <w:spacing w:before="132"/>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7、本协议书自签署之日起生效，合同履行完毕后自动失效。</w:t>
      </w:r>
    </w:p>
    <w:p>
      <w:pPr>
        <w:pStyle w:val="12"/>
        <w:tabs>
          <w:tab w:val="left" w:pos="3040"/>
        </w:tabs>
        <w:spacing w:before="132"/>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8、本协议书一式</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份，联合体成员和采购人各执一份。</w:t>
      </w:r>
    </w:p>
    <w:p>
      <w:pPr>
        <w:pStyle w:val="12"/>
        <w:spacing w:before="12"/>
        <w:rPr>
          <w:rFonts w:hint="eastAsia" w:ascii="宋体" w:hAnsi="宋体" w:eastAsia="宋体" w:cs="宋体"/>
          <w:color w:val="auto"/>
          <w:spacing w:val="0"/>
          <w:w w:val="100"/>
          <w:position w:val="0"/>
          <w:sz w:val="15"/>
          <w:szCs w:val="21"/>
          <w:highlight w:val="none"/>
        </w:rPr>
      </w:pPr>
    </w:p>
    <w:p>
      <w:pPr>
        <w:pStyle w:val="12"/>
        <w:tabs>
          <w:tab w:val="left" w:pos="5801"/>
        </w:tabs>
        <w:spacing w:before="7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成员一名称：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（盖章）</w:t>
      </w:r>
    </w:p>
    <w:p>
      <w:pPr>
        <w:pStyle w:val="12"/>
        <w:tabs>
          <w:tab w:val="left" w:pos="7176"/>
        </w:tabs>
        <w:spacing w:before="13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法定代表人签署或其委托代理人签字：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spacing w:before="5"/>
        <w:rPr>
          <w:rFonts w:hint="eastAsia" w:ascii="宋体" w:hAnsi="宋体" w:eastAsia="宋体" w:cs="宋体"/>
          <w:color w:val="auto"/>
          <w:spacing w:val="0"/>
          <w:w w:val="100"/>
          <w:position w:val="0"/>
          <w:sz w:val="21"/>
          <w:szCs w:val="21"/>
          <w:highlight w:val="none"/>
        </w:rPr>
      </w:pPr>
    </w:p>
    <w:p>
      <w:pPr>
        <w:pStyle w:val="12"/>
        <w:tabs>
          <w:tab w:val="left" w:pos="5801"/>
        </w:tabs>
        <w:spacing w:before="7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成员二名称：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（盖章）</w:t>
      </w:r>
    </w:p>
    <w:p>
      <w:pPr>
        <w:pStyle w:val="12"/>
        <w:tabs>
          <w:tab w:val="left" w:pos="7241"/>
        </w:tabs>
        <w:spacing w:before="13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法定代表人签署或其委托代理人签字：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（签字）</w:t>
      </w:r>
    </w:p>
    <w:p>
      <w:pPr>
        <w:pStyle w:val="12"/>
        <w:spacing w:before="13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p>
    <w:p>
      <w:pPr>
        <w:pStyle w:val="12"/>
        <w:spacing w:before="12"/>
        <w:rPr>
          <w:rFonts w:hint="eastAsia" w:ascii="宋体" w:hAnsi="宋体" w:eastAsia="宋体" w:cs="宋体"/>
          <w:color w:val="auto"/>
          <w:spacing w:val="0"/>
          <w:w w:val="100"/>
          <w:position w:val="0"/>
          <w:sz w:val="28"/>
          <w:szCs w:val="21"/>
          <w:highlight w:val="none"/>
        </w:rPr>
      </w:pPr>
    </w:p>
    <w:p>
      <w:pPr>
        <w:pStyle w:val="12"/>
        <w:tabs>
          <w:tab w:val="left" w:pos="4651"/>
          <w:tab w:val="left" w:pos="5731"/>
          <w:tab w:val="left" w:pos="6812"/>
        </w:tabs>
        <w:ind w:left="3691"/>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月</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日</w:t>
      </w:r>
      <w:bookmarkStart w:id="163" w:name="_bookmark132"/>
      <w:bookmarkEnd w:id="163"/>
    </w:p>
    <w:p>
      <w:pPr>
        <w:pStyle w:val="13"/>
        <w:rPr>
          <w:rFonts w:hint="eastAsia" w:ascii="宋体" w:hAnsi="宋体" w:eastAsia="宋体" w:cs="宋体"/>
          <w:color w:val="auto"/>
          <w:spacing w:val="0"/>
          <w:w w:val="100"/>
          <w:position w:val="0"/>
          <w:sz w:val="16"/>
          <w:szCs w:val="16"/>
          <w:highlight w:val="none"/>
        </w:rPr>
      </w:pPr>
    </w:p>
    <w:p>
      <w:pPr>
        <w:rPr>
          <w:rFonts w:hint="eastAsia" w:ascii="宋体" w:hAnsi="宋体" w:eastAsia="宋体" w:cs="宋体"/>
          <w:color w:val="auto"/>
          <w:spacing w:val="0"/>
          <w:w w:val="100"/>
          <w:position w:val="0"/>
          <w:sz w:val="20"/>
          <w:szCs w:val="20"/>
          <w:highlight w:val="none"/>
        </w:rPr>
      </w:pPr>
    </w:p>
    <w:sectPr>
      <w:headerReference r:id="rId10" w:type="default"/>
      <w:footerReference r:id="rId11" w:type="default"/>
      <w:pgSz w:w="11910" w:h="16840"/>
      <w:pgMar w:top="1440" w:right="1080" w:bottom="1440" w:left="1080" w:header="850" w:footer="998" w:gutter="0"/>
      <w:pgBorders>
        <w:top w:val="none" w:sz="0" w:space="0"/>
        <w:left w:val="none" w:sz="0" w:space="0"/>
        <w:bottom w:val="none" w:sz="0" w:space="0"/>
        <w:right w:val="none" w:sz="0" w:space="0"/>
      </w:pgBorders>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10"/>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20"/>
      </w:rPr>
    </w:pPr>
    <w:r>
      <w:rPr>
        <w:sz w:val="20"/>
      </w:rPr>
      <w:pict>
        <v:shape id="_x0000_s2053" o:spid="_x0000_s205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20"/>
      </w:rPr>
    </w:pPr>
    <w:r>
      <w:rPr>
        <w:sz w:val="20"/>
      </w:rPr>
      <w:pict>
        <v:shape id="_x0000_s2054" o:spid="_x0000_s205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68</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12"/>
      </w:rPr>
    </w:pPr>
    <w:r>
      <w:rPr>
        <w:sz w:val="12"/>
      </w:rP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70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double" w:color="auto" w:sz="8" w:space="1"/>
      </w:pBdr>
      <w:ind w:left="0" w:leftChars="0" w:right="0" w:rightChars="0" w:firstLine="0" w:firstLineChars="0"/>
      <w:jc w:val="center"/>
      <w:rPr>
        <w:rFonts w:hint="eastAsia" w:ascii="宋体" w:hAnsi="宋体" w:eastAsia="宋体" w:cs="宋体"/>
        <w:sz w:val="22"/>
        <w:szCs w:val="22"/>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double" w:color="auto" w:sz="8" w:space="1"/>
      </w:pBdr>
      <w:ind w:left="0" w:leftChars="0" w:right="0" w:rightChars="0" w:firstLine="0" w:firstLineChars="0"/>
      <w:jc w:val="center"/>
      <w:rPr>
        <w:rFonts w:hint="eastAsia" w:ascii="宋体" w:hAnsi="宋体" w:eastAsia="宋体" w:cs="宋体"/>
        <w:sz w:val="22"/>
        <w:szCs w:val="22"/>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double" w:color="auto" w:sz="8" w:space="1"/>
      </w:pBdr>
      <w:ind w:left="0" w:leftChars="0" w:right="0" w:rightChars="0" w:firstLine="0" w:firstLineChars="0"/>
      <w:jc w:val="center"/>
      <w:rPr>
        <w:rFonts w:hint="eastAsia" w:ascii="宋体" w:hAnsi="宋体" w:eastAsia="宋体" w:cs="宋体"/>
        <w:sz w:val="22"/>
        <w:szCs w:val="22"/>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04749B"/>
    <w:multiLevelType w:val="singleLevel"/>
    <w:tmpl w:val="C704749B"/>
    <w:lvl w:ilvl="0" w:tentative="0">
      <w:start w:val="1"/>
      <w:numFmt w:val="decimal"/>
      <w:suff w:val="nothing"/>
      <w:lvlText w:val="%1、"/>
      <w:lvlJc w:val="left"/>
    </w:lvl>
  </w:abstractNum>
  <w:abstractNum w:abstractNumId="1">
    <w:nsid w:val="252BF6AB"/>
    <w:multiLevelType w:val="multilevel"/>
    <w:tmpl w:val="252BF6AB"/>
    <w:lvl w:ilvl="0" w:tentative="0">
      <w:start w:val="0"/>
      <w:numFmt w:val="bullet"/>
      <w:lvlText w:val=""/>
      <w:lvlJc w:val="left"/>
      <w:pPr>
        <w:ind w:left="528" w:hanging="421"/>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003" w:hanging="421"/>
      </w:pPr>
      <w:rPr>
        <w:rFonts w:hint="default"/>
        <w:lang w:val="zh-CN" w:eastAsia="zh-CN" w:bidi="zh-CN"/>
      </w:rPr>
    </w:lvl>
    <w:lvl w:ilvl="2" w:tentative="0">
      <w:start w:val="0"/>
      <w:numFmt w:val="bullet"/>
      <w:lvlText w:val="•"/>
      <w:lvlJc w:val="left"/>
      <w:pPr>
        <w:ind w:left="1486" w:hanging="421"/>
      </w:pPr>
      <w:rPr>
        <w:rFonts w:hint="default"/>
        <w:lang w:val="zh-CN" w:eastAsia="zh-CN" w:bidi="zh-CN"/>
      </w:rPr>
    </w:lvl>
    <w:lvl w:ilvl="3" w:tentative="0">
      <w:start w:val="0"/>
      <w:numFmt w:val="bullet"/>
      <w:lvlText w:val="•"/>
      <w:lvlJc w:val="left"/>
      <w:pPr>
        <w:ind w:left="1969" w:hanging="421"/>
      </w:pPr>
      <w:rPr>
        <w:rFonts w:hint="default"/>
        <w:lang w:val="zh-CN" w:eastAsia="zh-CN" w:bidi="zh-CN"/>
      </w:rPr>
    </w:lvl>
    <w:lvl w:ilvl="4" w:tentative="0">
      <w:start w:val="0"/>
      <w:numFmt w:val="bullet"/>
      <w:lvlText w:val="•"/>
      <w:lvlJc w:val="left"/>
      <w:pPr>
        <w:ind w:left="2453" w:hanging="421"/>
      </w:pPr>
      <w:rPr>
        <w:rFonts w:hint="default"/>
        <w:lang w:val="zh-CN" w:eastAsia="zh-CN" w:bidi="zh-CN"/>
      </w:rPr>
    </w:lvl>
    <w:lvl w:ilvl="5" w:tentative="0">
      <w:start w:val="0"/>
      <w:numFmt w:val="bullet"/>
      <w:lvlText w:val="•"/>
      <w:lvlJc w:val="left"/>
      <w:pPr>
        <w:ind w:left="2936" w:hanging="421"/>
      </w:pPr>
      <w:rPr>
        <w:rFonts w:hint="default"/>
        <w:lang w:val="zh-CN" w:eastAsia="zh-CN" w:bidi="zh-CN"/>
      </w:rPr>
    </w:lvl>
    <w:lvl w:ilvl="6" w:tentative="0">
      <w:start w:val="0"/>
      <w:numFmt w:val="bullet"/>
      <w:lvlText w:val="•"/>
      <w:lvlJc w:val="left"/>
      <w:pPr>
        <w:ind w:left="3419" w:hanging="421"/>
      </w:pPr>
      <w:rPr>
        <w:rFonts w:hint="default"/>
        <w:lang w:val="zh-CN" w:eastAsia="zh-CN" w:bidi="zh-CN"/>
      </w:rPr>
    </w:lvl>
    <w:lvl w:ilvl="7" w:tentative="0">
      <w:start w:val="0"/>
      <w:numFmt w:val="bullet"/>
      <w:lvlText w:val="•"/>
      <w:lvlJc w:val="left"/>
      <w:pPr>
        <w:ind w:left="3903" w:hanging="421"/>
      </w:pPr>
      <w:rPr>
        <w:rFonts w:hint="default"/>
        <w:lang w:val="zh-CN" w:eastAsia="zh-CN" w:bidi="zh-CN"/>
      </w:rPr>
    </w:lvl>
    <w:lvl w:ilvl="8" w:tentative="0">
      <w:start w:val="0"/>
      <w:numFmt w:val="bullet"/>
      <w:lvlText w:val="•"/>
      <w:lvlJc w:val="left"/>
      <w:pPr>
        <w:ind w:left="4386" w:hanging="421"/>
      </w:pPr>
      <w:rPr>
        <w:rFonts w:hint="default"/>
        <w:lang w:val="zh-CN" w:eastAsia="zh-CN" w:bidi="zh-CN"/>
      </w:rPr>
    </w:lvl>
  </w:abstractNum>
  <w:abstractNum w:abstractNumId="2">
    <w:nsid w:val="3F014D1C"/>
    <w:multiLevelType w:val="multilevel"/>
    <w:tmpl w:val="3F014D1C"/>
    <w:lvl w:ilvl="0" w:tentative="0">
      <w:start w:val="1"/>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3">
    <w:nsid w:val="4D94DA66"/>
    <w:multiLevelType w:val="multilevel"/>
    <w:tmpl w:val="4D94DA66"/>
    <w:lvl w:ilvl="0" w:tentative="0">
      <w:start w:val="1"/>
      <w:numFmt w:val="decimal"/>
      <w:lvlText w:val="%1."/>
      <w:lvlJc w:val="left"/>
      <w:pPr>
        <w:ind w:left="320" w:hanging="181"/>
        <w:jc w:val="left"/>
      </w:pPr>
      <w:rPr>
        <w:rFonts w:hint="default" w:ascii="Times New Roman" w:hAnsi="Times New Roman" w:eastAsia="Times New Roman" w:cs="Times New Roman"/>
        <w:w w:val="100"/>
        <w:sz w:val="22"/>
        <w:szCs w:val="22"/>
        <w:lang w:val="zh-CN" w:eastAsia="zh-CN" w:bidi="zh-CN"/>
      </w:rPr>
    </w:lvl>
    <w:lvl w:ilvl="1" w:tentative="0">
      <w:start w:val="0"/>
      <w:numFmt w:val="bullet"/>
      <w:lvlText w:val="•"/>
      <w:lvlJc w:val="left"/>
      <w:pPr>
        <w:ind w:left="1206" w:hanging="181"/>
      </w:pPr>
      <w:rPr>
        <w:rFonts w:hint="default"/>
        <w:lang w:val="zh-CN" w:eastAsia="zh-CN" w:bidi="zh-CN"/>
      </w:rPr>
    </w:lvl>
    <w:lvl w:ilvl="2" w:tentative="0">
      <w:start w:val="0"/>
      <w:numFmt w:val="bullet"/>
      <w:lvlText w:val="•"/>
      <w:lvlJc w:val="left"/>
      <w:pPr>
        <w:ind w:left="2093" w:hanging="181"/>
      </w:pPr>
      <w:rPr>
        <w:rFonts w:hint="default"/>
        <w:lang w:val="zh-CN" w:eastAsia="zh-CN" w:bidi="zh-CN"/>
      </w:rPr>
    </w:lvl>
    <w:lvl w:ilvl="3" w:tentative="0">
      <w:start w:val="0"/>
      <w:numFmt w:val="bullet"/>
      <w:lvlText w:val="•"/>
      <w:lvlJc w:val="left"/>
      <w:pPr>
        <w:ind w:left="2979" w:hanging="181"/>
      </w:pPr>
      <w:rPr>
        <w:rFonts w:hint="default"/>
        <w:lang w:val="zh-CN" w:eastAsia="zh-CN" w:bidi="zh-CN"/>
      </w:rPr>
    </w:lvl>
    <w:lvl w:ilvl="4" w:tentative="0">
      <w:start w:val="0"/>
      <w:numFmt w:val="bullet"/>
      <w:lvlText w:val="•"/>
      <w:lvlJc w:val="left"/>
      <w:pPr>
        <w:ind w:left="3866" w:hanging="181"/>
      </w:pPr>
      <w:rPr>
        <w:rFonts w:hint="default"/>
        <w:lang w:val="zh-CN" w:eastAsia="zh-CN" w:bidi="zh-CN"/>
      </w:rPr>
    </w:lvl>
    <w:lvl w:ilvl="5" w:tentative="0">
      <w:start w:val="0"/>
      <w:numFmt w:val="bullet"/>
      <w:lvlText w:val="•"/>
      <w:lvlJc w:val="left"/>
      <w:pPr>
        <w:ind w:left="4753" w:hanging="181"/>
      </w:pPr>
      <w:rPr>
        <w:rFonts w:hint="default"/>
        <w:lang w:val="zh-CN" w:eastAsia="zh-CN" w:bidi="zh-CN"/>
      </w:rPr>
    </w:lvl>
    <w:lvl w:ilvl="6" w:tentative="0">
      <w:start w:val="0"/>
      <w:numFmt w:val="bullet"/>
      <w:lvlText w:val="•"/>
      <w:lvlJc w:val="left"/>
      <w:pPr>
        <w:ind w:left="5639" w:hanging="181"/>
      </w:pPr>
      <w:rPr>
        <w:rFonts w:hint="default"/>
        <w:lang w:val="zh-CN" w:eastAsia="zh-CN" w:bidi="zh-CN"/>
      </w:rPr>
    </w:lvl>
    <w:lvl w:ilvl="7" w:tentative="0">
      <w:start w:val="0"/>
      <w:numFmt w:val="bullet"/>
      <w:lvlText w:val="•"/>
      <w:lvlJc w:val="left"/>
      <w:pPr>
        <w:ind w:left="6526" w:hanging="181"/>
      </w:pPr>
      <w:rPr>
        <w:rFonts w:hint="default"/>
        <w:lang w:val="zh-CN" w:eastAsia="zh-CN" w:bidi="zh-CN"/>
      </w:rPr>
    </w:lvl>
    <w:lvl w:ilvl="8" w:tentative="0">
      <w:start w:val="0"/>
      <w:numFmt w:val="bullet"/>
      <w:lvlText w:val="•"/>
      <w:lvlJc w:val="left"/>
      <w:pPr>
        <w:ind w:left="7413" w:hanging="181"/>
      </w:pPr>
      <w:rPr>
        <w:rFonts w:hint="default"/>
        <w:lang w:val="zh-CN" w:eastAsia="zh-CN" w:bidi="zh-C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TVjM2U5ZGJkZGU4MzJlMWMyOWVhNGJkYTY3MzJjNzIifQ=="/>
  </w:docVars>
  <w:rsids>
    <w:rsidRoot w:val="00000000"/>
    <w:rsid w:val="016B3F6D"/>
    <w:rsid w:val="033D263B"/>
    <w:rsid w:val="03BF63BE"/>
    <w:rsid w:val="04C532BF"/>
    <w:rsid w:val="04E8793B"/>
    <w:rsid w:val="05AC2A40"/>
    <w:rsid w:val="06272169"/>
    <w:rsid w:val="06652B67"/>
    <w:rsid w:val="07172D5C"/>
    <w:rsid w:val="07434E8B"/>
    <w:rsid w:val="07901633"/>
    <w:rsid w:val="0844358D"/>
    <w:rsid w:val="085732E3"/>
    <w:rsid w:val="08EE37C6"/>
    <w:rsid w:val="09652484"/>
    <w:rsid w:val="09B340A8"/>
    <w:rsid w:val="0A635B40"/>
    <w:rsid w:val="0ACA2FAF"/>
    <w:rsid w:val="0B0024DA"/>
    <w:rsid w:val="0B2B0866"/>
    <w:rsid w:val="0B574A70"/>
    <w:rsid w:val="0B89673A"/>
    <w:rsid w:val="0B8E1B2D"/>
    <w:rsid w:val="0BF95EC2"/>
    <w:rsid w:val="0CBC6D76"/>
    <w:rsid w:val="0D1A1965"/>
    <w:rsid w:val="0E5F7AE9"/>
    <w:rsid w:val="0F2112DE"/>
    <w:rsid w:val="0F3D7258"/>
    <w:rsid w:val="0F486E02"/>
    <w:rsid w:val="1038093B"/>
    <w:rsid w:val="106C2D3E"/>
    <w:rsid w:val="10950245"/>
    <w:rsid w:val="10CA1C2B"/>
    <w:rsid w:val="112D3CD9"/>
    <w:rsid w:val="113C6C6A"/>
    <w:rsid w:val="11645E01"/>
    <w:rsid w:val="11F8738D"/>
    <w:rsid w:val="12410C6F"/>
    <w:rsid w:val="131D2008"/>
    <w:rsid w:val="135134EA"/>
    <w:rsid w:val="14470E31"/>
    <w:rsid w:val="147160BC"/>
    <w:rsid w:val="14B05E99"/>
    <w:rsid w:val="150E3F7D"/>
    <w:rsid w:val="156516A4"/>
    <w:rsid w:val="164A7928"/>
    <w:rsid w:val="16C1306C"/>
    <w:rsid w:val="16CD60B4"/>
    <w:rsid w:val="172F5E68"/>
    <w:rsid w:val="176958BA"/>
    <w:rsid w:val="177D0BA3"/>
    <w:rsid w:val="17832407"/>
    <w:rsid w:val="17C86EDC"/>
    <w:rsid w:val="17C93858"/>
    <w:rsid w:val="17FB764E"/>
    <w:rsid w:val="18D333DA"/>
    <w:rsid w:val="1A2805A7"/>
    <w:rsid w:val="1B097F93"/>
    <w:rsid w:val="1B41676D"/>
    <w:rsid w:val="1B454F28"/>
    <w:rsid w:val="1B7C546D"/>
    <w:rsid w:val="1C6675CE"/>
    <w:rsid w:val="1C861436"/>
    <w:rsid w:val="1CBC740B"/>
    <w:rsid w:val="1CD739BA"/>
    <w:rsid w:val="1D2E7668"/>
    <w:rsid w:val="1D504758"/>
    <w:rsid w:val="1D5D4C40"/>
    <w:rsid w:val="1E1E549A"/>
    <w:rsid w:val="1E4E5555"/>
    <w:rsid w:val="1EAE454F"/>
    <w:rsid w:val="1ED24781"/>
    <w:rsid w:val="1F2E7B22"/>
    <w:rsid w:val="1F61547F"/>
    <w:rsid w:val="1FDA55B7"/>
    <w:rsid w:val="20700E5F"/>
    <w:rsid w:val="20D01EE9"/>
    <w:rsid w:val="214F6877"/>
    <w:rsid w:val="217B251F"/>
    <w:rsid w:val="21BB05D9"/>
    <w:rsid w:val="2249618C"/>
    <w:rsid w:val="22B42681"/>
    <w:rsid w:val="22D9552F"/>
    <w:rsid w:val="24C51769"/>
    <w:rsid w:val="24CC180B"/>
    <w:rsid w:val="25305D8B"/>
    <w:rsid w:val="254B4DC5"/>
    <w:rsid w:val="254C71AF"/>
    <w:rsid w:val="25990341"/>
    <w:rsid w:val="25C025FF"/>
    <w:rsid w:val="26012013"/>
    <w:rsid w:val="26196D26"/>
    <w:rsid w:val="269D7B2C"/>
    <w:rsid w:val="271826F0"/>
    <w:rsid w:val="27294D5F"/>
    <w:rsid w:val="2730118D"/>
    <w:rsid w:val="27624129"/>
    <w:rsid w:val="278E4F1E"/>
    <w:rsid w:val="27CC77B8"/>
    <w:rsid w:val="27F26E6C"/>
    <w:rsid w:val="28120E19"/>
    <w:rsid w:val="28326096"/>
    <w:rsid w:val="285853D4"/>
    <w:rsid w:val="285E12D7"/>
    <w:rsid w:val="2A4A5831"/>
    <w:rsid w:val="2AEC74BA"/>
    <w:rsid w:val="2B5C0894"/>
    <w:rsid w:val="2B5E60D1"/>
    <w:rsid w:val="2B6C7C6C"/>
    <w:rsid w:val="2BA2489F"/>
    <w:rsid w:val="2BA43F05"/>
    <w:rsid w:val="2C5865F5"/>
    <w:rsid w:val="2C7515F8"/>
    <w:rsid w:val="2D0B5040"/>
    <w:rsid w:val="2D702CF7"/>
    <w:rsid w:val="2DB61A50"/>
    <w:rsid w:val="2E17763C"/>
    <w:rsid w:val="2E6B5706"/>
    <w:rsid w:val="2EC05CEE"/>
    <w:rsid w:val="2EE06A16"/>
    <w:rsid w:val="2F0464C8"/>
    <w:rsid w:val="2F533D43"/>
    <w:rsid w:val="2FA530C4"/>
    <w:rsid w:val="301F7049"/>
    <w:rsid w:val="30385D10"/>
    <w:rsid w:val="307F2A26"/>
    <w:rsid w:val="30846206"/>
    <w:rsid w:val="30931163"/>
    <w:rsid w:val="313A53BB"/>
    <w:rsid w:val="318542A4"/>
    <w:rsid w:val="31AC7F51"/>
    <w:rsid w:val="32336E45"/>
    <w:rsid w:val="32963820"/>
    <w:rsid w:val="33152A48"/>
    <w:rsid w:val="348118E1"/>
    <w:rsid w:val="352D1DBC"/>
    <w:rsid w:val="35A10EB9"/>
    <w:rsid w:val="35B94F58"/>
    <w:rsid w:val="35C6745A"/>
    <w:rsid w:val="36633BDA"/>
    <w:rsid w:val="3708465C"/>
    <w:rsid w:val="371B442B"/>
    <w:rsid w:val="37732382"/>
    <w:rsid w:val="37774F8F"/>
    <w:rsid w:val="37E10B42"/>
    <w:rsid w:val="38234C68"/>
    <w:rsid w:val="388D5364"/>
    <w:rsid w:val="38C96CE1"/>
    <w:rsid w:val="39AF2AAA"/>
    <w:rsid w:val="3B6E1CD1"/>
    <w:rsid w:val="3B8A7399"/>
    <w:rsid w:val="3B8F02D8"/>
    <w:rsid w:val="3BA62A75"/>
    <w:rsid w:val="3C3F4152"/>
    <w:rsid w:val="3C7675C2"/>
    <w:rsid w:val="3D267C97"/>
    <w:rsid w:val="3D5029C1"/>
    <w:rsid w:val="3D99707A"/>
    <w:rsid w:val="3E2715FB"/>
    <w:rsid w:val="3EC649CA"/>
    <w:rsid w:val="405A5E8D"/>
    <w:rsid w:val="41A559DB"/>
    <w:rsid w:val="41B810BD"/>
    <w:rsid w:val="425439CC"/>
    <w:rsid w:val="434633FD"/>
    <w:rsid w:val="43A4706D"/>
    <w:rsid w:val="43BA4AA6"/>
    <w:rsid w:val="43CF24B1"/>
    <w:rsid w:val="448279FF"/>
    <w:rsid w:val="45B479E4"/>
    <w:rsid w:val="45FE3BBA"/>
    <w:rsid w:val="4643469C"/>
    <w:rsid w:val="472C4559"/>
    <w:rsid w:val="473311E6"/>
    <w:rsid w:val="47E8006A"/>
    <w:rsid w:val="47EF1D8C"/>
    <w:rsid w:val="48221DE3"/>
    <w:rsid w:val="4870420A"/>
    <w:rsid w:val="48D878C8"/>
    <w:rsid w:val="491312CF"/>
    <w:rsid w:val="49396E5F"/>
    <w:rsid w:val="49B41FF9"/>
    <w:rsid w:val="4A153D60"/>
    <w:rsid w:val="4A215A8F"/>
    <w:rsid w:val="4B077AED"/>
    <w:rsid w:val="4B297C67"/>
    <w:rsid w:val="4B83798F"/>
    <w:rsid w:val="4BBD6286"/>
    <w:rsid w:val="4BC12E9C"/>
    <w:rsid w:val="4BCC28E3"/>
    <w:rsid w:val="4C2D17F8"/>
    <w:rsid w:val="4CF34379"/>
    <w:rsid w:val="4D4423C1"/>
    <w:rsid w:val="4D9F40C8"/>
    <w:rsid w:val="4E634B3E"/>
    <w:rsid w:val="4F537F6E"/>
    <w:rsid w:val="4F897CB5"/>
    <w:rsid w:val="4FA82899"/>
    <w:rsid w:val="4FAC1ACB"/>
    <w:rsid w:val="4FD5123F"/>
    <w:rsid w:val="4FF44BC5"/>
    <w:rsid w:val="4FF5630A"/>
    <w:rsid w:val="5058622E"/>
    <w:rsid w:val="50A32A14"/>
    <w:rsid w:val="51151B21"/>
    <w:rsid w:val="518D7684"/>
    <w:rsid w:val="51E0290C"/>
    <w:rsid w:val="532612FD"/>
    <w:rsid w:val="53493A27"/>
    <w:rsid w:val="53C12B83"/>
    <w:rsid w:val="53D0512F"/>
    <w:rsid w:val="540C5199"/>
    <w:rsid w:val="5461173F"/>
    <w:rsid w:val="546451F1"/>
    <w:rsid w:val="54FB2D2D"/>
    <w:rsid w:val="55C4672A"/>
    <w:rsid w:val="561A44E2"/>
    <w:rsid w:val="56326CD0"/>
    <w:rsid w:val="566273DC"/>
    <w:rsid w:val="56B77778"/>
    <w:rsid w:val="56EF4F91"/>
    <w:rsid w:val="571774DA"/>
    <w:rsid w:val="57612A89"/>
    <w:rsid w:val="579C6D55"/>
    <w:rsid w:val="582E4CC5"/>
    <w:rsid w:val="583D3BD0"/>
    <w:rsid w:val="584F5AD1"/>
    <w:rsid w:val="58CC74D9"/>
    <w:rsid w:val="591250FF"/>
    <w:rsid w:val="594A2AEB"/>
    <w:rsid w:val="59E24E2E"/>
    <w:rsid w:val="5AF15D6F"/>
    <w:rsid w:val="5B371964"/>
    <w:rsid w:val="5BA70F92"/>
    <w:rsid w:val="5C2B4ADE"/>
    <w:rsid w:val="5D1B51E0"/>
    <w:rsid w:val="5D323DC8"/>
    <w:rsid w:val="5DB65C0D"/>
    <w:rsid w:val="5E600B95"/>
    <w:rsid w:val="5E936FC6"/>
    <w:rsid w:val="5E94174C"/>
    <w:rsid w:val="5F28709D"/>
    <w:rsid w:val="5FBC41C6"/>
    <w:rsid w:val="5FD47C03"/>
    <w:rsid w:val="5FDC526D"/>
    <w:rsid w:val="60C576D9"/>
    <w:rsid w:val="61587D6F"/>
    <w:rsid w:val="61890DBD"/>
    <w:rsid w:val="6228172F"/>
    <w:rsid w:val="62651893"/>
    <w:rsid w:val="627B519F"/>
    <w:rsid w:val="62AA6179"/>
    <w:rsid w:val="63D464D2"/>
    <w:rsid w:val="63EA2055"/>
    <w:rsid w:val="640C0FFA"/>
    <w:rsid w:val="64BD6DB6"/>
    <w:rsid w:val="64DB4B3A"/>
    <w:rsid w:val="64E238AE"/>
    <w:rsid w:val="654F7282"/>
    <w:rsid w:val="65F323AF"/>
    <w:rsid w:val="65F77D31"/>
    <w:rsid w:val="662231E5"/>
    <w:rsid w:val="668E3A9E"/>
    <w:rsid w:val="67B03881"/>
    <w:rsid w:val="67E7543F"/>
    <w:rsid w:val="680F0260"/>
    <w:rsid w:val="685A5E75"/>
    <w:rsid w:val="691A72C4"/>
    <w:rsid w:val="69634CA3"/>
    <w:rsid w:val="696A6892"/>
    <w:rsid w:val="69BA2097"/>
    <w:rsid w:val="69E7539B"/>
    <w:rsid w:val="6A7031A3"/>
    <w:rsid w:val="6A884323"/>
    <w:rsid w:val="6ACE2488"/>
    <w:rsid w:val="6AE26A6F"/>
    <w:rsid w:val="6B7E2CAD"/>
    <w:rsid w:val="6BC24763"/>
    <w:rsid w:val="6BC55E9D"/>
    <w:rsid w:val="6BD53A2F"/>
    <w:rsid w:val="6BDB25D4"/>
    <w:rsid w:val="6BDB41CB"/>
    <w:rsid w:val="6C1968D7"/>
    <w:rsid w:val="6CD16437"/>
    <w:rsid w:val="6CEF5A8E"/>
    <w:rsid w:val="6D4420F5"/>
    <w:rsid w:val="6E5859A5"/>
    <w:rsid w:val="6E73410F"/>
    <w:rsid w:val="6F0231B1"/>
    <w:rsid w:val="70170B4F"/>
    <w:rsid w:val="70927259"/>
    <w:rsid w:val="70B55DB0"/>
    <w:rsid w:val="710309C2"/>
    <w:rsid w:val="71C31E24"/>
    <w:rsid w:val="721851DE"/>
    <w:rsid w:val="721F63D9"/>
    <w:rsid w:val="729B0F7E"/>
    <w:rsid w:val="72BA6802"/>
    <w:rsid w:val="73053876"/>
    <w:rsid w:val="73340AF8"/>
    <w:rsid w:val="74B07A0D"/>
    <w:rsid w:val="75432E15"/>
    <w:rsid w:val="757302A2"/>
    <w:rsid w:val="75827D63"/>
    <w:rsid w:val="75E35A19"/>
    <w:rsid w:val="766279B8"/>
    <w:rsid w:val="77A92A4A"/>
    <w:rsid w:val="7854032A"/>
    <w:rsid w:val="789536AA"/>
    <w:rsid w:val="78B35992"/>
    <w:rsid w:val="790528DD"/>
    <w:rsid w:val="793E09C6"/>
    <w:rsid w:val="798C2F20"/>
    <w:rsid w:val="7A56180D"/>
    <w:rsid w:val="7A8E4D9A"/>
    <w:rsid w:val="7AA64A51"/>
    <w:rsid w:val="7AB22BAA"/>
    <w:rsid w:val="7AC923F2"/>
    <w:rsid w:val="7B372662"/>
    <w:rsid w:val="7BA90F34"/>
    <w:rsid w:val="7C147B1D"/>
    <w:rsid w:val="7D020F2E"/>
    <w:rsid w:val="7D5D01CF"/>
    <w:rsid w:val="7D792CB0"/>
    <w:rsid w:val="7D8368EE"/>
    <w:rsid w:val="7DBF39BE"/>
    <w:rsid w:val="7E0C7AC0"/>
    <w:rsid w:val="7E611493"/>
    <w:rsid w:val="7E862155"/>
    <w:rsid w:val="7F8D69DE"/>
    <w:rsid w:val="7FA32FBC"/>
    <w:rsid w:val="7FD20B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line="922" w:lineRule="exact"/>
      <w:ind w:right="113"/>
      <w:jc w:val="center"/>
      <w:outlineLvl w:val="1"/>
    </w:pPr>
    <w:rPr>
      <w:rFonts w:ascii="宋体" w:hAnsi="宋体" w:eastAsia="宋体" w:cs="宋体"/>
      <w:sz w:val="72"/>
      <w:szCs w:val="72"/>
      <w:lang w:val="zh-CN" w:eastAsia="zh-CN" w:bidi="zh-CN"/>
    </w:rPr>
  </w:style>
  <w:style w:type="paragraph" w:styleId="4">
    <w:name w:val="heading 2"/>
    <w:basedOn w:val="1"/>
    <w:next w:val="1"/>
    <w:qFormat/>
    <w:uiPriority w:val="1"/>
    <w:pPr>
      <w:spacing w:before="29"/>
      <w:ind w:right="124"/>
      <w:jc w:val="center"/>
      <w:outlineLvl w:val="2"/>
    </w:pPr>
    <w:rPr>
      <w:rFonts w:ascii="黑体" w:hAnsi="黑体" w:eastAsia="黑体" w:cs="黑体"/>
      <w:b/>
      <w:bCs/>
      <w:sz w:val="36"/>
      <w:szCs w:val="36"/>
      <w:lang w:val="zh-CN" w:eastAsia="zh-CN" w:bidi="zh-CN"/>
    </w:rPr>
  </w:style>
  <w:style w:type="paragraph" w:styleId="5">
    <w:name w:val="heading 3"/>
    <w:basedOn w:val="1"/>
    <w:next w:val="1"/>
    <w:qFormat/>
    <w:uiPriority w:val="1"/>
    <w:pPr>
      <w:jc w:val="center"/>
      <w:outlineLvl w:val="3"/>
    </w:pPr>
    <w:rPr>
      <w:rFonts w:ascii="黑体" w:hAnsi="黑体" w:eastAsia="黑体" w:cs="黑体"/>
      <w:b/>
      <w:bCs/>
      <w:sz w:val="32"/>
      <w:szCs w:val="32"/>
      <w:lang w:val="zh-CN" w:eastAsia="zh-CN" w:bidi="zh-CN"/>
    </w:rPr>
  </w:style>
  <w:style w:type="paragraph" w:styleId="6">
    <w:name w:val="heading 4"/>
    <w:basedOn w:val="1"/>
    <w:next w:val="1"/>
    <w:qFormat/>
    <w:uiPriority w:val="1"/>
    <w:pPr>
      <w:ind w:right="115"/>
      <w:jc w:val="center"/>
      <w:outlineLvl w:val="4"/>
    </w:pPr>
    <w:rPr>
      <w:rFonts w:ascii="宋体" w:hAnsi="宋体" w:eastAsia="宋体" w:cs="宋体"/>
      <w:sz w:val="32"/>
      <w:szCs w:val="32"/>
      <w:lang w:val="zh-CN" w:eastAsia="zh-CN" w:bidi="zh-CN"/>
    </w:rPr>
  </w:style>
  <w:style w:type="paragraph" w:styleId="7">
    <w:name w:val="heading 5"/>
    <w:basedOn w:val="1"/>
    <w:next w:val="1"/>
    <w:qFormat/>
    <w:uiPriority w:val="1"/>
    <w:pPr>
      <w:spacing w:before="210"/>
      <w:ind w:left="363" w:right="390"/>
      <w:jc w:val="center"/>
      <w:outlineLvl w:val="5"/>
    </w:pPr>
    <w:rPr>
      <w:rFonts w:ascii="宋体" w:hAnsi="宋体" w:eastAsia="宋体" w:cs="宋体"/>
      <w:b/>
      <w:bCs/>
      <w:sz w:val="30"/>
      <w:szCs w:val="30"/>
      <w:lang w:val="zh-CN" w:eastAsia="zh-CN" w:bidi="zh-CN"/>
    </w:rPr>
  </w:style>
  <w:style w:type="paragraph" w:styleId="8">
    <w:name w:val="heading 6"/>
    <w:basedOn w:val="1"/>
    <w:next w:val="1"/>
    <w:qFormat/>
    <w:uiPriority w:val="1"/>
    <w:pPr>
      <w:outlineLvl w:val="6"/>
    </w:pPr>
    <w:rPr>
      <w:rFonts w:ascii="黑体" w:hAnsi="黑体" w:eastAsia="黑体" w:cs="黑体"/>
      <w:sz w:val="30"/>
      <w:szCs w:val="30"/>
      <w:lang w:val="zh-CN" w:eastAsia="zh-CN" w:bidi="zh-CN"/>
    </w:rPr>
  </w:style>
  <w:style w:type="paragraph" w:styleId="9">
    <w:name w:val="heading 7"/>
    <w:basedOn w:val="1"/>
    <w:next w:val="1"/>
    <w:qFormat/>
    <w:uiPriority w:val="1"/>
    <w:pPr>
      <w:spacing w:before="42"/>
      <w:ind w:left="228"/>
      <w:outlineLvl w:val="7"/>
    </w:pPr>
    <w:rPr>
      <w:rFonts w:ascii="宋体" w:hAnsi="宋体" w:eastAsia="宋体" w:cs="宋体"/>
      <w:b/>
      <w:bCs/>
      <w:sz w:val="28"/>
      <w:szCs w:val="28"/>
      <w:lang w:val="zh-CN" w:eastAsia="zh-CN" w:bidi="zh-CN"/>
    </w:rPr>
  </w:style>
  <w:style w:type="paragraph" w:styleId="10">
    <w:name w:val="heading 8"/>
    <w:basedOn w:val="1"/>
    <w:next w:val="1"/>
    <w:qFormat/>
    <w:uiPriority w:val="1"/>
    <w:pPr>
      <w:ind w:left="1068"/>
      <w:outlineLvl w:val="8"/>
    </w:pPr>
    <w:rPr>
      <w:rFonts w:ascii="宋体" w:hAnsi="宋体" w:eastAsia="宋体" w:cs="宋体"/>
      <w:b/>
      <w:bCs/>
      <w:sz w:val="24"/>
      <w:szCs w:val="24"/>
      <w:lang w:val="zh-CN" w:eastAsia="zh-CN" w:bidi="zh-CN"/>
    </w:rPr>
  </w:style>
  <w:style w:type="character" w:default="1" w:styleId="26">
    <w:name w:val="Default Paragraph Font"/>
    <w:semiHidden/>
    <w:unhideWhenUsed/>
    <w:qFormat/>
    <w:uiPriority w:val="1"/>
  </w:style>
  <w:style w:type="table" w:default="1" w:styleId="24">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11">
    <w:name w:val="Normal Indent"/>
    <w:basedOn w:val="1"/>
    <w:next w:val="1"/>
    <w:qFormat/>
    <w:uiPriority w:val="0"/>
    <w:pPr>
      <w:ind w:firstLine="420"/>
    </w:pPr>
    <w:rPr>
      <w:kern w:val="0"/>
      <w:sz w:val="20"/>
    </w:rPr>
  </w:style>
  <w:style w:type="paragraph" w:styleId="12">
    <w:name w:val="Body Text"/>
    <w:basedOn w:val="1"/>
    <w:next w:val="13"/>
    <w:qFormat/>
    <w:uiPriority w:val="1"/>
    <w:rPr>
      <w:rFonts w:ascii="宋体" w:hAnsi="宋体" w:eastAsia="宋体" w:cs="宋体"/>
      <w:sz w:val="24"/>
      <w:szCs w:val="24"/>
      <w:lang w:val="zh-CN" w:eastAsia="zh-CN" w:bidi="zh-CN"/>
    </w:rPr>
  </w:style>
  <w:style w:type="paragraph" w:customStyle="1" w:styleId="13">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4">
    <w:name w:val="List 2"/>
    <w:basedOn w:val="1"/>
    <w:unhideWhenUsed/>
    <w:qFormat/>
    <w:uiPriority w:val="99"/>
    <w:pPr>
      <w:ind w:left="100" w:leftChars="200" w:hanging="200" w:hangingChars="200"/>
      <w:contextualSpacing/>
    </w:pPr>
  </w:style>
  <w:style w:type="paragraph" w:styleId="15">
    <w:name w:val="toc 3"/>
    <w:basedOn w:val="1"/>
    <w:next w:val="1"/>
    <w:qFormat/>
    <w:uiPriority w:val="1"/>
    <w:pPr>
      <w:spacing w:before="4"/>
      <w:ind w:left="1358" w:right="657"/>
      <w:jc w:val="right"/>
    </w:pPr>
    <w:rPr>
      <w:rFonts w:ascii="宋体" w:hAnsi="宋体" w:eastAsia="宋体" w:cs="宋体"/>
      <w:sz w:val="24"/>
      <w:szCs w:val="24"/>
      <w:lang w:val="zh-CN" w:eastAsia="zh-CN" w:bidi="zh-CN"/>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qFormat/>
    <w:uiPriority w:val="1"/>
    <w:pPr>
      <w:spacing w:before="5"/>
      <w:ind w:right="665"/>
      <w:jc w:val="right"/>
    </w:pPr>
    <w:rPr>
      <w:rFonts w:ascii="宋体" w:hAnsi="宋体" w:eastAsia="宋体" w:cs="宋体"/>
      <w:sz w:val="24"/>
      <w:szCs w:val="24"/>
      <w:lang w:val="zh-CN" w:eastAsia="zh-CN" w:bidi="zh-CN"/>
    </w:rPr>
  </w:style>
  <w:style w:type="paragraph" w:styleId="19">
    <w:name w:val="footnote text"/>
    <w:basedOn w:val="1"/>
    <w:unhideWhenUsed/>
    <w:qFormat/>
    <w:uiPriority w:val="99"/>
    <w:pPr>
      <w:snapToGrid w:val="0"/>
      <w:jc w:val="left"/>
    </w:pPr>
    <w:rPr>
      <w:sz w:val="18"/>
    </w:rPr>
  </w:style>
  <w:style w:type="paragraph" w:styleId="20">
    <w:name w:val="Body Text Indent 3"/>
    <w:basedOn w:val="1"/>
    <w:qFormat/>
    <w:uiPriority w:val="0"/>
    <w:pPr>
      <w:spacing w:line="360" w:lineRule="auto"/>
      <w:ind w:firstLine="200" w:firstLineChars="200"/>
    </w:pPr>
    <w:rPr>
      <w:rFonts w:ascii="Times New Roman" w:hAnsi="Times New Roman"/>
      <w:sz w:val="20"/>
      <w:szCs w:val="20"/>
    </w:rPr>
  </w:style>
  <w:style w:type="paragraph" w:styleId="21">
    <w:name w:val="toc 2"/>
    <w:basedOn w:val="1"/>
    <w:next w:val="1"/>
    <w:qFormat/>
    <w:uiPriority w:val="1"/>
    <w:pPr>
      <w:spacing w:before="4"/>
      <w:ind w:left="878" w:right="658"/>
      <w:jc w:val="right"/>
    </w:pPr>
    <w:rPr>
      <w:rFonts w:ascii="宋体" w:hAnsi="宋体" w:eastAsia="宋体" w:cs="宋体"/>
      <w:sz w:val="24"/>
      <w:szCs w:val="24"/>
      <w:lang w:val="zh-CN" w:eastAsia="zh-CN" w:bidi="zh-CN"/>
    </w:rPr>
  </w:style>
  <w:style w:type="paragraph" w:styleId="22">
    <w:name w:val="Normal (Web)"/>
    <w:basedOn w:val="1"/>
    <w:qFormat/>
    <w:uiPriority w:val="99"/>
    <w:pPr>
      <w:widowControl/>
      <w:jc w:val="left"/>
    </w:pPr>
    <w:rPr>
      <w:rFonts w:ascii="宋体" w:hAnsi="宋体" w:cs="宋体"/>
      <w:kern w:val="0"/>
      <w:sz w:val="24"/>
      <w:szCs w:val="24"/>
    </w:rPr>
  </w:style>
  <w:style w:type="paragraph" w:styleId="23">
    <w:name w:val="Body Text First Indent"/>
    <w:basedOn w:val="12"/>
    <w:unhideWhenUsed/>
    <w:qFormat/>
    <w:uiPriority w:val="99"/>
    <w:pPr>
      <w:ind w:firstLine="420" w:firstLineChars="1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spacing w:before="81"/>
      <w:ind w:left="907" w:hanging="680"/>
    </w:pPr>
    <w:rPr>
      <w:rFonts w:ascii="宋体" w:hAnsi="宋体" w:eastAsia="宋体" w:cs="宋体"/>
      <w:lang w:val="zh-CN" w:eastAsia="zh-CN" w:bidi="zh-CN"/>
    </w:rPr>
  </w:style>
  <w:style w:type="paragraph" w:customStyle="1" w:styleId="29">
    <w:name w:val="Table Paragraph"/>
    <w:basedOn w:val="1"/>
    <w:qFormat/>
    <w:uiPriority w:val="1"/>
    <w:rPr>
      <w:rFonts w:ascii="仿宋" w:hAnsi="仿宋" w:eastAsia="仿宋" w:cs="仿宋"/>
      <w:lang w:val="zh-CN" w:eastAsia="zh-CN" w:bidi="zh-CN"/>
    </w:rPr>
  </w:style>
  <w:style w:type="paragraph" w:customStyle="1" w:styleId="30">
    <w:name w:val="_Style 2"/>
    <w:basedOn w:val="3"/>
    <w:next w:val="1"/>
    <w:qFormat/>
    <w:uiPriority w:val="39"/>
    <w:pPr>
      <w:keepLines/>
      <w:widowControl/>
      <w:spacing w:before="480" w:line="276" w:lineRule="auto"/>
      <w:jc w:val="left"/>
      <w:outlineLvl w:val="9"/>
    </w:pPr>
    <w:rPr>
      <w:rFonts w:ascii="Cambria" w:hAnsi="Cambria"/>
      <w:color w:val="365F91"/>
    </w:rPr>
  </w:style>
  <w:style w:type="paragraph" w:customStyle="1" w:styleId="31">
    <w:name w:val="Default Text"/>
    <w:qFormat/>
    <w:uiPriority w:val="0"/>
    <w:pPr>
      <w:widowControl w:val="0"/>
      <w:autoSpaceDE w:val="0"/>
      <w:autoSpaceDN w:val="0"/>
      <w:adjustRightInd w:val="0"/>
    </w:pPr>
    <w:rPr>
      <w:rFonts w:ascii="Calibri" w:hAnsi="Calibri" w:eastAsia="宋体" w:cs="Times New Roman"/>
      <w:color w:val="000000"/>
      <w:kern w:val="2"/>
      <w:sz w:val="24"/>
      <w:szCs w:val="24"/>
      <w:lang w:val="en-US" w:eastAsia="zh-CN" w:bidi="ar-SA"/>
    </w:rPr>
  </w:style>
  <w:style w:type="paragraph" w:customStyle="1" w:styleId="32">
    <w:name w:val="缺省文本"/>
    <w:qFormat/>
    <w:uiPriority w:val="99"/>
    <w:pPr>
      <w:widowControl w:val="0"/>
      <w:autoSpaceDE w:val="0"/>
      <w:autoSpaceDN w:val="0"/>
      <w:adjustRightInd w:val="0"/>
    </w:pPr>
    <w:rPr>
      <w:rFonts w:ascii="Calibri" w:hAnsi="Calibri" w:eastAsia="宋体" w:cs="Times New Roman"/>
      <w:color w:val="000000"/>
      <w:szCs w:val="24"/>
      <w:lang w:val="en-US" w:eastAsia="zh-CN" w:bidi="ar-SA"/>
    </w:rPr>
  </w:style>
  <w:style w:type="paragraph" w:customStyle="1" w:styleId="33">
    <w:name w:val="WPSOffice手动目录 1"/>
    <w:qFormat/>
    <w:uiPriority w:val="0"/>
    <w:pPr>
      <w:ind w:leftChars="0"/>
    </w:pPr>
    <w:rPr>
      <w:rFonts w:ascii="Calibri" w:hAnsi="Calibri" w:eastAsia="宋体" w:cs="Times New Roman"/>
      <w:sz w:val="20"/>
      <w:szCs w:val="20"/>
    </w:rPr>
  </w:style>
  <w:style w:type="paragraph" w:customStyle="1" w:styleId="34">
    <w:name w:val="WPSOffice手动目录 2"/>
    <w:qFormat/>
    <w:uiPriority w:val="0"/>
    <w:pPr>
      <w:ind w:leftChars="200"/>
    </w:pPr>
    <w:rPr>
      <w:rFonts w:ascii="Calibri" w:hAnsi="Calibri" w:eastAsia="宋体" w:cs="Times New Roman"/>
      <w:sz w:val="20"/>
      <w:szCs w:val="20"/>
    </w:rPr>
  </w:style>
  <w:style w:type="paragraph" w:customStyle="1" w:styleId="35">
    <w:name w:val="_Style 3"/>
    <w:basedOn w:val="1"/>
    <w:next w:val="20"/>
    <w:qFormat/>
    <w:uiPriority w:val="0"/>
    <w:pPr>
      <w:widowControl/>
      <w:ind w:left="720"/>
      <w:contextualSpacing/>
      <w:jc w:val="lef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png"/><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3" textRotate="1"/>
    <customShpInfo spid="_x0000_s2054" textRotate="1"/>
    <customShpInfo spid="_x0000_s205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121</Pages>
  <Words>83024</Words>
  <Characters>89058</Characters>
  <TotalTime>0</TotalTime>
  <ScaleCrop>false</ScaleCrop>
  <LinksUpToDate>false</LinksUpToDate>
  <CharactersWithSpaces>92527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2021-04-06T05:13:00Z</dcterms:created>
  <dc:creator>曹颖</dc:creator>
  <cp:lastModifiedBy>月夜雨樱</cp:lastModifiedBy>
  <cp:lastPrinted>2022-03-29T07:24:00Z</cp:lastPrinted>
  <dcterms:modified xsi:type="dcterms:W3CDTF">2022-06-07T11:34:15Z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2021-04-01T00:00:00Z</vt:filetime>
  </property>
  <property fmtid="{D5CDD505-2E9C-101B-9397-08002B2CF9AE}" pid="3" name="Creator">
    <vt:lpwstr>Microsoft® Word 2010</vt:lpwstr>
  </property>
  <property fmtid="{D5CDD505-2E9C-101B-9397-08002B2CF9AE}" pid="4" name="LastSaved">
    <vt:filetime>2021-04-06T00:00:00Z</vt:filetime>
  </property>
  <property fmtid="{D5CDD505-2E9C-101B-9397-08002B2CF9AE}" pid="5" name="KSOProductBuildVer">
    <vt:lpwstr>2052-11.1.0.11744</vt:lpwstr>
  </property>
  <property fmtid="{D5CDD505-2E9C-101B-9397-08002B2CF9AE}" pid="6" name="ICV">
    <vt:lpwstr>313B767F827148E79B44A02AC5C7890C</vt:lpwstr>
  </property>
  <property fmtid="{D5CDD505-2E9C-101B-9397-08002B2CF9AE}" pid="7" name="commondata">
    <vt:lpwstr>eyJoZGlkIjoiNTVjM2U5ZGJkZGU4MzJlMWMyOWVhNGJkYTY3MzJjNzIifQ==</vt:lpwstr>
  </property>
</Properties>
</file>