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b/>
          <w:bCs/>
          <w:kern w:val="44"/>
          <w:sz w:val="32"/>
          <w:szCs w:val="32"/>
        </w:rPr>
        <w:t>昌吉州阜康市集中隔离医学观察点建设项目-核酸检测设备购置（二包）成交结果公告</w:t>
      </w:r>
      <w:bookmarkEnd w:id="0"/>
      <w:bookmarkEnd w:id="1"/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</w:rPr>
        <w:t>HCCJ2022CG054-1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项目名称：</w:t>
      </w:r>
      <w:bookmarkStart w:id="14" w:name="_GoBack"/>
      <w:r>
        <w:rPr>
          <w:rFonts w:hint="eastAsia" w:ascii="仿宋" w:hAnsi="仿宋" w:eastAsia="仿宋" w:cs="Times New Roman"/>
          <w:sz w:val="28"/>
          <w:szCs w:val="28"/>
        </w:rPr>
        <w:t>昌吉州阜康市集中隔离医学观察点建设项目-核酸检测设备购置（二包）</w:t>
      </w:r>
      <w:bookmarkEnd w:id="14"/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供应商名称：新疆秦泰医疗设备有限公司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供应商地址：新疆乌鲁木齐经济技术开发区（头屯河区）玄武湖路555号乌鲁木齐经开万达广场6号商业楼+14号写字楼办公1916室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中标（成交）金额：1270000</w:t>
      </w:r>
      <w:r>
        <w:rPr>
          <w:rFonts w:ascii="仿宋" w:hAnsi="仿宋" w:eastAsia="仿宋" w:cs="Times New Roman"/>
          <w:sz w:val="28"/>
          <w:szCs w:val="28"/>
        </w:rPr>
        <w:t>.00元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名称：96孔PCR扩增仪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品牌（如有）：西安天隆科技有限公司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规格型号：Gentier 96</w:t>
            </w:r>
          </w:p>
          <w:p>
            <w:pP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数量：5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台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167458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元</w:t>
            </w: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五、评审专家名单：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姜利娟,白旭华,杨晓梅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六、代理服务收费标准及金额：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</w:t>
      </w:r>
      <w:r>
        <w:rPr>
          <w:rFonts w:ascii="仿宋" w:hAnsi="仿宋" w:eastAsia="仿宋" w:cs="宋体"/>
          <w:kern w:val="0"/>
          <w:sz w:val="28"/>
          <w:szCs w:val="28"/>
        </w:rPr>
        <w:t>收费标准：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本项目服务费以成交金额为计费基数，参照原《招标代理服务收费管理暂行办法》（计价格[2002]1980号）、发改办价格[2003]857号的标准执行，根据成交金额差额定率累进法计算。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2、收费金额：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17970.00</w:t>
      </w:r>
      <w:r>
        <w:rPr>
          <w:rFonts w:ascii="仿宋" w:hAnsi="仿宋" w:eastAsia="仿宋" w:cs="宋体"/>
          <w:kern w:val="0"/>
          <w:sz w:val="28"/>
          <w:szCs w:val="28"/>
        </w:rPr>
        <w:t>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8"/>
          <w:szCs w:val="28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keepNext/>
        <w:keepLines/>
        <w:spacing w:before="260" w:after="260" w:line="360" w:lineRule="auto"/>
        <w:ind w:firstLine="700" w:firstLineChars="25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阜康市卫健委本级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ascii="仿宋" w:hAnsi="仿宋" w:eastAsia="仿宋" w:cs="Times New Roman"/>
          <w:sz w:val="28"/>
          <w:szCs w:val="28"/>
          <w:u w:val="single"/>
        </w:rPr>
        <w:t>0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994-3252242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华诚博远工程咨询有限公司 　　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乌鲁木齐市水磨沟区南湖南路133号新疆城建大厦11楼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Cs/>
          <w:sz w:val="28"/>
          <w:szCs w:val="28"/>
        </w:rPr>
        <w:t>3.项目</w:t>
      </w:r>
      <w:r>
        <w:rPr>
          <w:rFonts w:ascii="仿宋" w:hAnsi="仿宋" w:eastAsia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刘桐</w:t>
      </w:r>
    </w:p>
    <w:p>
      <w:pPr>
        <w:ind w:firstLine="840" w:firstLineChars="300"/>
      </w:pPr>
      <w:r>
        <w:rPr>
          <w:rFonts w:hint="eastAsia" w:ascii="仿宋" w:hAnsi="仿宋" w:eastAsia="仿宋" w:cs="Times New Roman"/>
          <w:sz w:val="28"/>
          <w:szCs w:val="28"/>
        </w:rPr>
        <w:t>电　 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YjgwY2U1YmJkZTM0NTRkNTJlOTIwYzBlMzEzYTgifQ=="/>
  </w:docVars>
  <w:rsids>
    <w:rsidRoot w:val="00DD7EAC"/>
    <w:rsid w:val="00363CD9"/>
    <w:rsid w:val="003651FF"/>
    <w:rsid w:val="00523BC9"/>
    <w:rsid w:val="005D236E"/>
    <w:rsid w:val="008468D3"/>
    <w:rsid w:val="0095308A"/>
    <w:rsid w:val="00D66866"/>
    <w:rsid w:val="00DA7643"/>
    <w:rsid w:val="00DD7EAC"/>
    <w:rsid w:val="7AA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581</Characters>
  <Lines>4</Lines>
  <Paragraphs>1</Paragraphs>
  <TotalTime>31</TotalTime>
  <ScaleCrop>false</ScaleCrop>
  <LinksUpToDate>false</LinksUpToDate>
  <CharactersWithSpaces>611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2022-03-01T02:53:00Z</dcterms:created>
  <dc:creator>ASUS</dc:creator>
  <cp:lastModifiedBy>清樾</cp:lastModifiedBy>
  <dcterms:modified xsi:type="dcterms:W3CDTF">2022-06-13T09:43:21Z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70BDC2A352464353A57F38511F0E7A65</vt:lpwstr>
  </property>
</Properties>
</file>