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仿宋" w:hAnsi="仿宋" w:eastAsia="仿宋" w:cs="仿宋"/>
          <w:b/>
          <w:bCs/>
          <w:sz w:val="28"/>
          <w:szCs w:val="28"/>
        </w:rPr>
      </w:pPr>
    </w:p>
    <w:p>
      <w:pPr>
        <w:spacing w:line="1000" w:lineRule="exact"/>
        <w:ind w:right="-319" w:rightChars="-152"/>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民丰县2022年科技人才创新合作资金项目（包二）二次</w:t>
      </w:r>
    </w:p>
    <w:p>
      <w:pPr>
        <w:spacing w:line="1000" w:lineRule="exact"/>
        <w:ind w:right="-319" w:rightChars="-152"/>
        <w:jc w:val="center"/>
        <w:rPr>
          <w:rFonts w:ascii="仿宋" w:hAnsi="仿宋" w:eastAsia="仿宋" w:cs="仿宋"/>
          <w:b/>
          <w:bCs/>
          <w:sz w:val="52"/>
          <w:szCs w:val="52"/>
        </w:rPr>
      </w:pPr>
      <w:r>
        <w:rPr>
          <w:rFonts w:hint="eastAsia" w:ascii="仿宋" w:hAnsi="仿宋" w:eastAsia="仿宋" w:cs="仿宋"/>
          <w:b/>
          <w:bCs/>
          <w:sz w:val="52"/>
          <w:szCs w:val="52"/>
        </w:rPr>
        <w:t>竞争性磋商文件</w:t>
      </w:r>
    </w:p>
    <w:p>
      <w:pPr>
        <w:spacing w:line="360" w:lineRule="auto"/>
        <w:rPr>
          <w:rFonts w:ascii="仿宋" w:hAnsi="仿宋" w:eastAsia="仿宋" w:cs="仿宋"/>
          <w:b/>
          <w:sz w:val="30"/>
          <w:szCs w:val="30"/>
        </w:rPr>
      </w:pPr>
    </w:p>
    <w:p>
      <w:pPr>
        <w:spacing w:line="660" w:lineRule="exact"/>
        <w:jc w:val="center"/>
        <w:rPr>
          <w:rFonts w:ascii="仿宋" w:hAnsi="仿宋" w:eastAsia="仿宋" w:cs="仿宋"/>
          <w:sz w:val="32"/>
          <w:szCs w:val="32"/>
        </w:rPr>
      </w:pPr>
      <w:r>
        <w:rPr>
          <w:rFonts w:hint="eastAsia" w:ascii="仿宋" w:hAnsi="仿宋" w:eastAsia="仿宋" w:cs="仿宋"/>
          <w:b/>
          <w:sz w:val="32"/>
          <w:szCs w:val="32"/>
        </w:rPr>
        <w:t>（磋商采购文件编号：</w:t>
      </w:r>
      <w:r>
        <w:rPr>
          <w:rFonts w:hint="eastAsia" w:ascii="仿宋" w:hAnsi="仿宋" w:eastAsia="仿宋" w:cs="仿宋"/>
          <w:b/>
          <w:sz w:val="32"/>
          <w:szCs w:val="32"/>
          <w:lang w:eastAsia="zh-CN"/>
        </w:rPr>
        <w:t>JMSZB-MFX-2022-CG017-01</w:t>
      </w:r>
      <w:r>
        <w:rPr>
          <w:rFonts w:hint="eastAsia" w:ascii="仿宋" w:hAnsi="仿宋" w:eastAsia="仿宋" w:cs="仿宋"/>
          <w:b/>
          <w:sz w:val="32"/>
          <w:szCs w:val="32"/>
        </w:rPr>
        <w:t>）</w:t>
      </w:r>
    </w:p>
    <w:p>
      <w:pPr>
        <w:pStyle w:val="10"/>
        <w:rPr>
          <w:rFonts w:ascii="仿宋" w:hAnsi="仿宋" w:eastAsia="仿宋" w:cs="仿宋"/>
          <w:b/>
          <w:bCs/>
          <w:sz w:val="32"/>
          <w:szCs w:val="32"/>
        </w:rPr>
      </w:pPr>
    </w:p>
    <w:p>
      <w:pPr>
        <w:pStyle w:val="10"/>
        <w:rPr>
          <w:rFonts w:ascii="仿宋" w:hAnsi="仿宋" w:eastAsia="仿宋" w:cs="仿宋"/>
        </w:rPr>
      </w:pPr>
    </w:p>
    <w:p>
      <w:pPr>
        <w:pStyle w:val="10"/>
        <w:rPr>
          <w:rFonts w:ascii="仿宋" w:hAnsi="仿宋" w:eastAsia="仿宋" w:cs="仿宋"/>
        </w:rPr>
      </w:pPr>
    </w:p>
    <w:p>
      <w:pPr>
        <w:pStyle w:val="10"/>
        <w:rPr>
          <w:rFonts w:ascii="仿宋" w:hAnsi="仿宋" w:eastAsia="仿宋" w:cs="仿宋"/>
        </w:rPr>
      </w:pPr>
    </w:p>
    <w:p>
      <w:pPr>
        <w:rPr>
          <w:rFonts w:ascii="仿宋" w:hAnsi="仿宋" w:eastAsia="仿宋" w:cs="仿宋"/>
        </w:rPr>
      </w:pPr>
    </w:p>
    <w:p>
      <w:pPr>
        <w:pStyle w:val="4"/>
      </w:pPr>
    </w:p>
    <w:p>
      <w:pPr>
        <w:pStyle w:val="10"/>
        <w:rPr>
          <w:rFonts w:ascii="仿宋" w:hAnsi="仿宋" w:eastAsia="仿宋" w:cs="仿宋"/>
        </w:rPr>
      </w:pPr>
    </w:p>
    <w:p>
      <w:pPr>
        <w:pStyle w:val="10"/>
        <w:rPr>
          <w:rFonts w:ascii="仿宋" w:hAnsi="仿宋" w:eastAsia="仿宋" w:cs="仿宋"/>
          <w:sz w:val="32"/>
          <w:szCs w:val="32"/>
        </w:rPr>
      </w:pPr>
    </w:p>
    <w:p>
      <w:pPr>
        <w:spacing w:line="480" w:lineRule="auto"/>
        <w:rPr>
          <w:rFonts w:ascii="仿宋" w:hAnsi="仿宋" w:eastAsia="仿宋" w:cs="仿宋"/>
          <w:b/>
          <w:bCs/>
          <w:sz w:val="32"/>
          <w:szCs w:val="32"/>
        </w:rPr>
      </w:pPr>
      <w:r>
        <w:rPr>
          <w:rFonts w:hint="eastAsia" w:ascii="仿宋" w:hAnsi="仿宋" w:eastAsia="仿宋" w:cs="仿宋"/>
          <w:b/>
          <w:bCs/>
          <w:sz w:val="32"/>
          <w:szCs w:val="32"/>
        </w:rPr>
        <w:t>采 购 人：</w:t>
      </w:r>
      <w:r>
        <w:rPr>
          <w:rFonts w:hint="eastAsia" w:ascii="仿宋" w:hAnsi="仿宋" w:eastAsia="仿宋" w:cs="仿宋"/>
          <w:b/>
          <w:bCs/>
          <w:sz w:val="32"/>
          <w:szCs w:val="32"/>
          <w:lang w:val="en-US" w:eastAsia="zh-CN"/>
        </w:rPr>
        <w:t>民丰县住房和城乡建设局</w:t>
      </w:r>
      <w:r>
        <w:rPr>
          <w:rFonts w:hint="eastAsia" w:ascii="仿宋" w:hAnsi="仿宋" w:eastAsia="仿宋" w:cs="仿宋"/>
          <w:b/>
          <w:bCs/>
          <w:sz w:val="32"/>
          <w:szCs w:val="32"/>
        </w:rPr>
        <w:t>（盖单位章）</w:t>
      </w:r>
    </w:p>
    <w:p>
      <w:pPr>
        <w:pStyle w:val="10"/>
        <w:rPr>
          <w:rFonts w:ascii="仿宋" w:hAnsi="仿宋" w:eastAsia="仿宋" w:cs="仿宋"/>
          <w:sz w:val="32"/>
          <w:szCs w:val="32"/>
        </w:rPr>
      </w:pPr>
    </w:p>
    <w:p>
      <w:pPr>
        <w:pStyle w:val="10"/>
        <w:rPr>
          <w:rFonts w:ascii="仿宋" w:hAnsi="仿宋" w:eastAsia="仿宋" w:cs="仿宋"/>
          <w:sz w:val="32"/>
          <w:szCs w:val="32"/>
        </w:rPr>
      </w:pPr>
    </w:p>
    <w:p>
      <w:pPr>
        <w:spacing w:line="480" w:lineRule="auto"/>
        <w:rPr>
          <w:rFonts w:ascii="仿宋" w:hAnsi="仿宋" w:eastAsia="仿宋" w:cs="仿宋"/>
          <w:b/>
          <w:bCs/>
          <w:sz w:val="32"/>
          <w:szCs w:val="32"/>
        </w:rPr>
      </w:pPr>
      <w:r>
        <w:rPr>
          <w:rFonts w:hint="eastAsia" w:ascii="仿宋" w:hAnsi="仿宋" w:eastAsia="仿宋" w:cs="仿宋"/>
          <w:b/>
          <w:bCs/>
          <w:sz w:val="32"/>
          <w:szCs w:val="32"/>
        </w:rPr>
        <w:t>采购代理机构：</w:t>
      </w:r>
      <w:r>
        <w:rPr>
          <w:rFonts w:hint="eastAsia" w:ascii="仿宋" w:hAnsi="仿宋" w:eastAsia="仿宋" w:cs="仿宋"/>
          <w:b/>
          <w:bCs/>
          <w:sz w:val="32"/>
          <w:szCs w:val="32"/>
          <w:lang w:eastAsia="zh-CN"/>
        </w:rPr>
        <w:t>新疆金木石项目管理有限公司</w:t>
      </w:r>
      <w:r>
        <w:rPr>
          <w:rFonts w:hint="eastAsia" w:ascii="仿宋" w:hAnsi="仿宋" w:eastAsia="仿宋" w:cs="仿宋"/>
          <w:b/>
          <w:bCs/>
          <w:sz w:val="32"/>
          <w:szCs w:val="32"/>
        </w:rPr>
        <w:t>（盖单位章）</w:t>
      </w:r>
    </w:p>
    <w:p>
      <w:pPr>
        <w:spacing w:line="360" w:lineRule="auto"/>
        <w:jc w:val="center"/>
        <w:rPr>
          <w:rFonts w:ascii="仿宋" w:hAnsi="仿宋" w:eastAsia="仿宋" w:cs="仿宋"/>
          <w:b/>
          <w:sz w:val="32"/>
          <w:szCs w:val="32"/>
        </w:rPr>
      </w:pPr>
    </w:p>
    <w:p>
      <w:pPr>
        <w:pStyle w:val="10"/>
        <w:rPr>
          <w:rFonts w:ascii="仿宋" w:hAnsi="仿宋" w:eastAsia="仿宋" w:cs="仿宋"/>
          <w:sz w:val="32"/>
          <w:szCs w:val="32"/>
        </w:rPr>
      </w:pPr>
    </w:p>
    <w:p/>
    <w:p>
      <w:pPr>
        <w:spacing w:line="360" w:lineRule="auto"/>
        <w:jc w:val="center"/>
        <w:rPr>
          <w:rFonts w:ascii="仿宋" w:hAnsi="仿宋" w:eastAsia="仿宋" w:cs="仿宋"/>
          <w:b/>
          <w:sz w:val="32"/>
          <w:szCs w:val="32"/>
        </w:rPr>
        <w:sectPr>
          <w:pgSz w:w="11906" w:h="16838"/>
          <w:pgMar w:top="1548" w:right="1247" w:bottom="1134" w:left="1247" w:header="851" w:footer="992" w:gutter="227"/>
          <w:pgNumType w:fmt="numberInDash" w:start="0"/>
          <w:cols w:space="720" w:num="1"/>
          <w:docGrid w:type="lines" w:linePitch="312" w:charSpace="0"/>
        </w:sectPr>
      </w:pPr>
      <w:r>
        <w:rPr>
          <w:rFonts w:hint="eastAsia" w:ascii="仿宋" w:hAnsi="仿宋" w:eastAsia="仿宋" w:cs="仿宋"/>
          <w:b/>
          <w:sz w:val="32"/>
          <w:szCs w:val="32"/>
        </w:rPr>
        <w:t>202</w:t>
      </w:r>
      <w:r>
        <w:rPr>
          <w:rFonts w:hint="eastAsia" w:ascii="仿宋" w:hAnsi="仿宋" w:eastAsia="仿宋" w:cs="仿宋"/>
          <w:b/>
          <w:sz w:val="32"/>
          <w:szCs w:val="32"/>
          <w:lang w:val="en-US" w:eastAsia="zh-CN"/>
        </w:rPr>
        <w:t>2</w:t>
      </w:r>
      <w:r>
        <w:rPr>
          <w:rFonts w:hint="eastAsia" w:ascii="仿宋" w:hAnsi="仿宋" w:eastAsia="仿宋" w:cs="仿宋"/>
          <w:b/>
          <w:sz w:val="32"/>
          <w:szCs w:val="32"/>
        </w:rPr>
        <w:t>年</w:t>
      </w:r>
      <w:r>
        <w:rPr>
          <w:rFonts w:hint="eastAsia" w:ascii="仿宋" w:hAnsi="仿宋" w:eastAsia="仿宋" w:cs="仿宋"/>
          <w:b/>
          <w:sz w:val="32"/>
          <w:szCs w:val="32"/>
          <w:lang w:val="en-US" w:eastAsia="zh-CN"/>
        </w:rPr>
        <w:t>6</w:t>
      </w:r>
      <w:r>
        <w:rPr>
          <w:rFonts w:hint="eastAsia" w:ascii="仿宋" w:hAnsi="仿宋" w:eastAsia="仿宋" w:cs="仿宋"/>
          <w:b/>
          <w:sz w:val="32"/>
          <w:szCs w:val="32"/>
        </w:rPr>
        <w:t>月</w:t>
      </w:r>
    </w:p>
    <w:p>
      <w:pPr>
        <w:pStyle w:val="11"/>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tabs>
          <w:tab w:val="left" w:pos="5226"/>
        </w:tabs>
        <w:jc w:val="left"/>
        <w:rPr>
          <w:rFonts w:hint="eastAsia" w:eastAsia="仿宋"/>
          <w:lang w:eastAsia="zh-CN"/>
        </w:rPr>
        <w:sectPr>
          <w:footerReference r:id="rId3" w:type="default"/>
          <w:pgSz w:w="11906" w:h="16838"/>
          <w:pgMar w:top="1548" w:right="1247" w:bottom="1134" w:left="1247" w:header="851" w:footer="992" w:gutter="227"/>
          <w:pgNumType w:fmt="numberInDash" w:start="1"/>
          <w:cols w:space="720" w:num="1"/>
          <w:docGrid w:type="lines" w:linePitch="312" w:charSpace="0"/>
        </w:sectPr>
      </w:pPr>
      <w:r>
        <w:rPr>
          <w:rFonts w:hint="eastAsia" w:ascii="仿宋" w:hAnsi="仿宋" w:eastAsia="仿宋" w:cs="仿宋"/>
          <w:lang w:eastAsia="zh-CN"/>
        </w:rPr>
        <w:tab/>
      </w:r>
    </w:p>
    <w:p>
      <w:pPr>
        <w:pageBreakBefore/>
        <w:spacing w:line="500" w:lineRule="exact"/>
        <w:jc w:val="center"/>
        <w:rPr>
          <w:rFonts w:ascii="仿宋" w:hAnsi="仿宋" w:eastAsia="仿宋" w:cs="仿宋"/>
          <w:b/>
          <w:bCs/>
          <w:sz w:val="32"/>
          <w:szCs w:val="32"/>
        </w:rPr>
      </w:pPr>
      <w:r>
        <w:rPr>
          <w:rFonts w:hint="eastAsia" w:ascii="仿宋" w:hAnsi="仿宋" w:eastAsia="仿宋" w:cs="仿宋"/>
          <w:b/>
          <w:bCs/>
          <w:sz w:val="32"/>
          <w:szCs w:val="32"/>
        </w:rPr>
        <w:t xml:space="preserve">  目  录</w:t>
      </w:r>
    </w:p>
    <w:p>
      <w:pPr>
        <w:pStyle w:val="34"/>
        <w:tabs>
          <w:tab w:val="right" w:leader="dot" w:pos="9185"/>
        </w:tabs>
        <w:spacing w:line="600" w:lineRule="auto"/>
        <w:rPr>
          <w:rFonts w:hint="eastAsia" w:ascii="仿宋" w:hAnsi="仿宋" w:eastAsia="仿宋" w:cs="仿宋"/>
          <w:b/>
          <w:kern w:val="2"/>
          <w:sz w:val="24"/>
          <w:szCs w:val="24"/>
          <w:lang w:eastAsia="zh-CN"/>
        </w:rPr>
      </w:pPr>
      <w:r>
        <w:rPr>
          <w:rFonts w:hint="eastAsia" w:ascii="仿宋" w:hAnsi="仿宋" w:eastAsia="仿宋" w:cs="仿宋"/>
          <w:b/>
          <w:kern w:val="2"/>
          <w:sz w:val="24"/>
          <w:szCs w:val="24"/>
        </w:rPr>
        <w:t>第一章、竞争性磋商采购公告</w:t>
      </w:r>
      <w:r>
        <w:rPr>
          <w:rFonts w:hint="eastAsia" w:ascii="仿宋" w:hAnsi="仿宋" w:eastAsia="仿宋" w:cs="仿宋"/>
          <w:b/>
          <w:kern w:val="2"/>
          <w:sz w:val="24"/>
          <w:szCs w:val="24"/>
        </w:rPr>
        <w:tab/>
      </w:r>
      <w:r>
        <w:rPr>
          <w:rFonts w:hint="eastAsia" w:ascii="仿宋" w:hAnsi="仿宋" w:eastAsia="仿宋" w:cs="仿宋"/>
          <w:b/>
          <w:kern w:val="2"/>
          <w:sz w:val="24"/>
          <w:szCs w:val="24"/>
          <w:lang w:val="en-US" w:eastAsia="zh-CN"/>
        </w:rPr>
        <w:t>2</w:t>
      </w:r>
    </w:p>
    <w:p>
      <w:pPr>
        <w:pStyle w:val="34"/>
        <w:tabs>
          <w:tab w:val="right" w:leader="dot" w:pos="9185"/>
        </w:tabs>
        <w:spacing w:line="600" w:lineRule="auto"/>
        <w:rPr>
          <w:rFonts w:hint="eastAsia" w:ascii="仿宋" w:hAnsi="仿宋" w:eastAsia="仿宋" w:cs="仿宋"/>
          <w:b/>
          <w:kern w:val="2"/>
          <w:sz w:val="24"/>
          <w:szCs w:val="24"/>
          <w:lang w:val="en-US" w:eastAsia="zh-CN"/>
        </w:rPr>
      </w:pPr>
      <w:r>
        <w:rPr>
          <w:rFonts w:hint="eastAsia" w:ascii="仿宋" w:hAnsi="仿宋" w:eastAsia="仿宋" w:cs="仿宋"/>
          <w:b/>
          <w:kern w:val="2"/>
          <w:sz w:val="24"/>
          <w:szCs w:val="24"/>
        </w:rPr>
        <w:t>第二章、供应商须知</w:t>
      </w:r>
      <w:r>
        <w:rPr>
          <w:rFonts w:hint="eastAsia" w:ascii="仿宋" w:hAnsi="仿宋" w:eastAsia="仿宋" w:cs="仿宋"/>
          <w:b/>
          <w:kern w:val="2"/>
          <w:sz w:val="24"/>
          <w:szCs w:val="24"/>
        </w:rPr>
        <w:tab/>
      </w:r>
      <w:r>
        <w:rPr>
          <w:rFonts w:hint="eastAsia" w:ascii="仿宋" w:hAnsi="仿宋" w:eastAsia="仿宋" w:cs="仿宋"/>
          <w:b/>
          <w:kern w:val="2"/>
          <w:sz w:val="24"/>
          <w:szCs w:val="24"/>
          <w:lang w:val="en-US" w:eastAsia="zh-CN"/>
        </w:rPr>
        <w:t>4</w:t>
      </w:r>
    </w:p>
    <w:p>
      <w:pPr>
        <w:pStyle w:val="34"/>
        <w:tabs>
          <w:tab w:val="right" w:leader="dot" w:pos="9185"/>
        </w:tabs>
        <w:spacing w:line="600" w:lineRule="auto"/>
        <w:rPr>
          <w:rFonts w:hint="eastAsia" w:ascii="仿宋" w:hAnsi="仿宋" w:eastAsia="仿宋" w:cs="仿宋"/>
          <w:b/>
          <w:kern w:val="2"/>
          <w:sz w:val="24"/>
          <w:szCs w:val="24"/>
          <w:lang w:val="en-US" w:eastAsia="zh-CN"/>
        </w:rPr>
      </w:pPr>
      <w:r>
        <w:rPr>
          <w:rFonts w:hint="eastAsia" w:ascii="仿宋" w:hAnsi="仿宋" w:eastAsia="仿宋" w:cs="仿宋"/>
          <w:b/>
          <w:kern w:val="2"/>
          <w:sz w:val="24"/>
          <w:szCs w:val="24"/>
        </w:rPr>
        <w:t>第三章、项目采购需求</w:t>
      </w:r>
      <w:r>
        <w:rPr>
          <w:rFonts w:hint="eastAsia" w:ascii="仿宋" w:hAnsi="仿宋" w:eastAsia="仿宋" w:cs="仿宋"/>
          <w:b/>
          <w:kern w:val="2"/>
          <w:sz w:val="24"/>
          <w:szCs w:val="24"/>
        </w:rPr>
        <w:tab/>
      </w:r>
      <w:r>
        <w:rPr>
          <w:rFonts w:hint="eastAsia" w:ascii="仿宋" w:hAnsi="仿宋" w:eastAsia="仿宋" w:cs="仿宋"/>
          <w:b/>
          <w:kern w:val="2"/>
          <w:sz w:val="24"/>
          <w:szCs w:val="24"/>
          <w:lang w:val="en-US" w:eastAsia="zh-CN"/>
        </w:rPr>
        <w:t>24</w:t>
      </w:r>
    </w:p>
    <w:p>
      <w:pPr>
        <w:pStyle w:val="34"/>
        <w:tabs>
          <w:tab w:val="right" w:leader="dot" w:pos="9185"/>
        </w:tabs>
        <w:spacing w:line="600" w:lineRule="auto"/>
        <w:rPr>
          <w:rFonts w:hint="eastAsia" w:ascii="仿宋" w:hAnsi="仿宋" w:eastAsia="仿宋" w:cs="仿宋"/>
          <w:b/>
          <w:kern w:val="2"/>
          <w:sz w:val="24"/>
          <w:szCs w:val="24"/>
          <w:lang w:val="en-US" w:eastAsia="zh-CN"/>
        </w:rPr>
      </w:pPr>
      <w:r>
        <w:rPr>
          <w:rFonts w:hint="eastAsia" w:ascii="仿宋" w:hAnsi="仿宋" w:eastAsia="仿宋" w:cs="仿宋"/>
          <w:b/>
          <w:kern w:val="2"/>
          <w:sz w:val="24"/>
          <w:szCs w:val="24"/>
        </w:rPr>
        <w:t>第四章、合同条款</w:t>
      </w:r>
      <w:r>
        <w:rPr>
          <w:rFonts w:hint="eastAsia" w:ascii="仿宋" w:hAnsi="仿宋" w:eastAsia="仿宋" w:cs="仿宋"/>
          <w:b/>
          <w:kern w:val="2"/>
          <w:sz w:val="24"/>
          <w:szCs w:val="24"/>
        </w:rPr>
        <w:tab/>
      </w:r>
      <w:r>
        <w:rPr>
          <w:rFonts w:hint="eastAsia" w:ascii="仿宋" w:hAnsi="仿宋" w:eastAsia="仿宋" w:cs="仿宋"/>
          <w:b/>
          <w:kern w:val="2"/>
          <w:sz w:val="24"/>
          <w:szCs w:val="24"/>
          <w:lang w:val="en-US" w:eastAsia="zh-CN"/>
        </w:rPr>
        <w:t>25</w:t>
      </w:r>
    </w:p>
    <w:p>
      <w:pPr>
        <w:pStyle w:val="34"/>
        <w:tabs>
          <w:tab w:val="right" w:leader="dot" w:pos="9185"/>
        </w:tabs>
        <w:spacing w:line="600" w:lineRule="auto"/>
        <w:rPr>
          <w:rFonts w:hint="eastAsia" w:ascii="仿宋" w:hAnsi="仿宋" w:eastAsia="仿宋" w:cs="仿宋"/>
          <w:b/>
          <w:kern w:val="2"/>
          <w:sz w:val="24"/>
          <w:szCs w:val="24"/>
          <w:lang w:val="en-US" w:eastAsia="zh-CN"/>
        </w:rPr>
      </w:pPr>
      <w:r>
        <w:rPr>
          <w:rFonts w:hint="eastAsia" w:ascii="仿宋" w:hAnsi="仿宋" w:eastAsia="仿宋" w:cs="仿宋"/>
          <w:b/>
          <w:kern w:val="2"/>
          <w:sz w:val="24"/>
          <w:szCs w:val="24"/>
        </w:rPr>
        <w:t>第五章、质疑与处理</w:t>
      </w:r>
      <w:r>
        <w:rPr>
          <w:rFonts w:hint="eastAsia" w:ascii="仿宋" w:hAnsi="仿宋" w:eastAsia="仿宋" w:cs="仿宋"/>
          <w:b/>
          <w:kern w:val="2"/>
          <w:sz w:val="24"/>
          <w:szCs w:val="24"/>
        </w:rPr>
        <w:tab/>
      </w:r>
      <w:r>
        <w:rPr>
          <w:rFonts w:hint="eastAsia" w:ascii="仿宋" w:hAnsi="仿宋" w:eastAsia="仿宋" w:cs="仿宋"/>
          <w:b/>
          <w:kern w:val="2"/>
          <w:sz w:val="24"/>
          <w:szCs w:val="24"/>
          <w:lang w:val="en-US" w:eastAsia="zh-CN"/>
        </w:rPr>
        <w:t>27</w:t>
      </w:r>
    </w:p>
    <w:p>
      <w:pPr>
        <w:pStyle w:val="34"/>
        <w:tabs>
          <w:tab w:val="right" w:leader="dot" w:pos="9185"/>
        </w:tabs>
        <w:spacing w:line="600" w:lineRule="auto"/>
        <w:rPr>
          <w:rFonts w:hint="eastAsia" w:ascii="仿宋" w:hAnsi="仿宋" w:eastAsia="仿宋" w:cs="仿宋"/>
          <w:b/>
          <w:kern w:val="2"/>
          <w:sz w:val="24"/>
          <w:szCs w:val="24"/>
          <w:lang w:val="en-US" w:eastAsia="zh-CN"/>
        </w:rPr>
      </w:pPr>
      <w:r>
        <w:rPr>
          <w:rFonts w:hint="eastAsia" w:ascii="仿宋" w:hAnsi="仿宋" w:eastAsia="仿宋" w:cs="仿宋"/>
          <w:b/>
          <w:kern w:val="2"/>
          <w:sz w:val="24"/>
          <w:szCs w:val="24"/>
        </w:rPr>
        <w:t>第六章、响应文件格式</w:t>
      </w:r>
      <w:r>
        <w:rPr>
          <w:rFonts w:hint="eastAsia" w:ascii="仿宋" w:hAnsi="仿宋" w:eastAsia="仿宋" w:cs="仿宋"/>
          <w:b/>
          <w:kern w:val="2"/>
          <w:sz w:val="24"/>
          <w:szCs w:val="24"/>
        </w:rPr>
        <w:tab/>
      </w:r>
      <w:r>
        <w:rPr>
          <w:rFonts w:hint="eastAsia" w:ascii="仿宋" w:hAnsi="仿宋" w:eastAsia="仿宋" w:cs="仿宋"/>
          <w:b/>
          <w:kern w:val="2"/>
          <w:sz w:val="24"/>
          <w:szCs w:val="24"/>
          <w:lang w:val="en-US" w:eastAsia="zh-CN"/>
        </w:rPr>
        <w:t>31</w:t>
      </w:r>
    </w:p>
    <w:p>
      <w:pPr>
        <w:pStyle w:val="34"/>
        <w:tabs>
          <w:tab w:val="right" w:leader="dot" w:pos="9185"/>
        </w:tabs>
        <w:spacing w:line="600" w:lineRule="auto"/>
        <w:rPr>
          <w:rFonts w:hint="eastAsia" w:ascii="仿宋" w:hAnsi="仿宋" w:eastAsia="仿宋" w:cs="仿宋"/>
          <w:b/>
          <w:kern w:val="2"/>
          <w:sz w:val="24"/>
          <w:szCs w:val="24"/>
          <w:lang w:val="en-US" w:eastAsia="zh-CN"/>
        </w:rPr>
      </w:pPr>
      <w:r>
        <w:rPr>
          <w:rFonts w:hint="eastAsia" w:ascii="仿宋" w:hAnsi="仿宋" w:eastAsia="仿宋" w:cs="仿宋"/>
          <w:b/>
          <w:kern w:val="2"/>
          <w:sz w:val="24"/>
          <w:szCs w:val="24"/>
        </w:rPr>
        <w:t>第七章、评标标准（综合评估法）</w:t>
      </w:r>
      <w:r>
        <w:rPr>
          <w:rFonts w:hint="eastAsia" w:ascii="仿宋" w:hAnsi="仿宋" w:eastAsia="仿宋" w:cs="仿宋"/>
          <w:b/>
          <w:kern w:val="2"/>
          <w:sz w:val="24"/>
          <w:szCs w:val="24"/>
        </w:rPr>
        <w:tab/>
      </w:r>
      <w:r>
        <w:rPr>
          <w:rFonts w:hint="eastAsia" w:ascii="仿宋" w:hAnsi="仿宋" w:eastAsia="仿宋" w:cs="仿宋"/>
          <w:b/>
          <w:kern w:val="2"/>
          <w:sz w:val="24"/>
          <w:szCs w:val="24"/>
        </w:rPr>
        <w:t>5</w:t>
      </w:r>
      <w:r>
        <w:rPr>
          <w:rFonts w:hint="eastAsia" w:ascii="仿宋" w:hAnsi="仿宋" w:eastAsia="仿宋" w:cs="仿宋"/>
          <w:b/>
          <w:kern w:val="2"/>
          <w:sz w:val="24"/>
          <w:szCs w:val="24"/>
          <w:lang w:val="en-US" w:eastAsia="zh-CN"/>
        </w:rPr>
        <w:t>1</w:t>
      </w:r>
    </w:p>
    <w:p>
      <w:pPr>
        <w:spacing w:line="312" w:lineRule="auto"/>
        <w:jc w:val="center"/>
        <w:rPr>
          <w:rFonts w:ascii="仿宋" w:hAnsi="仿宋" w:eastAsia="仿宋" w:cs="仿宋"/>
          <w:b/>
          <w:sz w:val="30"/>
          <w:szCs w:val="30"/>
        </w:rPr>
      </w:pPr>
    </w:p>
    <w:p>
      <w:pPr>
        <w:spacing w:line="312" w:lineRule="auto"/>
        <w:jc w:val="center"/>
        <w:rPr>
          <w:rFonts w:ascii="仿宋" w:hAnsi="仿宋" w:eastAsia="仿宋" w:cs="仿宋"/>
          <w:b/>
          <w:sz w:val="30"/>
          <w:szCs w:val="30"/>
        </w:rPr>
      </w:pPr>
    </w:p>
    <w:p>
      <w:pPr>
        <w:spacing w:line="312" w:lineRule="auto"/>
        <w:jc w:val="center"/>
        <w:rPr>
          <w:rFonts w:ascii="仿宋" w:hAnsi="仿宋" w:eastAsia="仿宋" w:cs="仿宋"/>
          <w:b/>
          <w:sz w:val="30"/>
          <w:szCs w:val="30"/>
        </w:rPr>
      </w:pPr>
    </w:p>
    <w:p>
      <w:pPr>
        <w:spacing w:line="312" w:lineRule="auto"/>
        <w:jc w:val="center"/>
        <w:rPr>
          <w:rFonts w:ascii="仿宋" w:hAnsi="仿宋" w:eastAsia="仿宋" w:cs="仿宋"/>
          <w:b/>
          <w:sz w:val="30"/>
          <w:szCs w:val="30"/>
        </w:rPr>
      </w:pPr>
    </w:p>
    <w:p>
      <w:pPr>
        <w:spacing w:line="312" w:lineRule="auto"/>
        <w:jc w:val="center"/>
        <w:rPr>
          <w:rFonts w:ascii="仿宋" w:hAnsi="仿宋" w:eastAsia="仿宋" w:cs="仿宋"/>
          <w:b/>
          <w:sz w:val="30"/>
          <w:szCs w:val="30"/>
        </w:rPr>
      </w:pPr>
    </w:p>
    <w:p>
      <w:pPr>
        <w:spacing w:line="312" w:lineRule="auto"/>
        <w:jc w:val="center"/>
        <w:rPr>
          <w:rFonts w:ascii="仿宋" w:hAnsi="仿宋" w:eastAsia="仿宋" w:cs="仿宋"/>
          <w:b/>
          <w:sz w:val="30"/>
          <w:szCs w:val="30"/>
        </w:rPr>
      </w:pPr>
    </w:p>
    <w:p>
      <w:pPr>
        <w:tabs>
          <w:tab w:val="left" w:pos="1230"/>
          <w:tab w:val="left" w:pos="1275"/>
        </w:tabs>
        <w:spacing w:line="340" w:lineRule="exact"/>
        <w:jc w:val="center"/>
        <w:rPr>
          <w:rFonts w:ascii="仿宋" w:hAnsi="仿宋" w:eastAsia="仿宋" w:cs="仿宋"/>
          <w:b/>
          <w:bCs/>
          <w:sz w:val="24"/>
        </w:rPr>
      </w:pPr>
      <w:r>
        <w:rPr>
          <w:rFonts w:hint="eastAsia" w:ascii="仿宋" w:hAnsi="仿宋" w:eastAsia="仿宋" w:cs="仿宋"/>
          <w:b/>
          <w:bCs/>
          <w:sz w:val="32"/>
          <w:szCs w:val="32"/>
        </w:rPr>
        <w:br w:type="page"/>
      </w:r>
      <w:r>
        <w:rPr>
          <w:rFonts w:hint="eastAsia" w:ascii="仿宋" w:hAnsi="仿宋" w:eastAsia="仿宋" w:cs="仿宋"/>
          <w:b/>
          <w:bCs/>
          <w:sz w:val="32"/>
          <w:szCs w:val="32"/>
        </w:rPr>
        <w:t>第一章、竞争性磋商采购公告</w:t>
      </w:r>
      <w:bookmarkStart w:id="0" w:name="_Toc9033"/>
      <w:r>
        <w:rPr>
          <w:rFonts w:hint="eastAsia" w:ascii="仿宋" w:hAnsi="仿宋" w:eastAsia="仿宋" w:cs="仿宋"/>
          <w:b/>
          <w:bCs/>
          <w:sz w:val="24"/>
        </w:rPr>
        <w:t xml:space="preserve">           </w:t>
      </w:r>
      <w:bookmarkEnd w:id="0"/>
      <w:r>
        <w:rPr>
          <w:rFonts w:hint="eastAsia" w:ascii="仿宋" w:hAnsi="仿宋" w:eastAsia="仿宋" w:cs="仿宋"/>
          <w:b/>
          <w:bCs/>
          <w:sz w:val="24"/>
        </w:rPr>
        <w:t xml:space="preserve">        </w:t>
      </w:r>
    </w:p>
    <w:p>
      <w:pPr>
        <w:pBdr>
          <w:top w:val="single" w:color="auto" w:sz="4" w:space="1"/>
          <w:left w:val="single" w:color="auto" w:sz="4" w:space="4"/>
          <w:bottom w:val="single" w:color="auto" w:sz="4" w:space="1"/>
          <w:right w:val="single" w:color="auto" w:sz="4" w:space="4"/>
        </w:pBdr>
        <w:snapToGrid w:val="0"/>
        <w:ind w:firstLine="480" w:firstLineChars="200"/>
        <w:rPr>
          <w:rFonts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napToGrid w:val="0"/>
        <w:ind w:firstLine="480" w:firstLineChars="200"/>
        <w:rPr>
          <w:rFonts w:ascii="仿宋" w:hAnsi="仿宋" w:eastAsia="仿宋" w:cs="仿宋"/>
          <w:sz w:val="24"/>
          <w:u w:val="single"/>
        </w:rPr>
      </w:pPr>
      <w:r>
        <w:rPr>
          <w:rFonts w:hint="eastAsia" w:ascii="仿宋" w:hAnsi="仿宋" w:eastAsia="仿宋" w:cs="仿宋"/>
          <w:sz w:val="24"/>
          <w:u w:val="single"/>
          <w:lang w:eastAsia="zh-CN"/>
        </w:rPr>
        <w:t>民丰县2022年科技人才创新合作资金项目（包二）二次</w:t>
      </w:r>
      <w:r>
        <w:rPr>
          <w:rFonts w:hint="eastAsia" w:ascii="仿宋" w:hAnsi="仿宋" w:eastAsia="仿宋" w:cs="仿宋"/>
          <w:sz w:val="24"/>
          <w:u w:val="single"/>
        </w:rPr>
        <w:t>的潜在供应商应在线上获取招标文件，并于202</w:t>
      </w:r>
      <w:r>
        <w:rPr>
          <w:rFonts w:hint="eastAsia" w:ascii="仿宋" w:hAnsi="仿宋" w:eastAsia="仿宋" w:cs="仿宋"/>
          <w:sz w:val="24"/>
          <w:u w:val="single"/>
          <w:lang w:val="en-US" w:eastAsia="zh-CN"/>
        </w:rPr>
        <w:t>2</w:t>
      </w:r>
      <w:r>
        <w:rPr>
          <w:rFonts w:hint="eastAsia" w:ascii="仿宋" w:hAnsi="仿宋" w:eastAsia="仿宋" w:cs="仿宋"/>
          <w:sz w:val="24"/>
          <w:u w:val="single"/>
        </w:rPr>
        <w:t>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13</w:t>
      </w:r>
      <w:r>
        <w:rPr>
          <w:rFonts w:hint="eastAsia" w:ascii="仿宋" w:hAnsi="仿宋" w:eastAsia="仿宋" w:cs="仿宋"/>
          <w:sz w:val="24"/>
          <w:u w:val="single"/>
        </w:rPr>
        <w:t xml:space="preserve">日 </w:t>
      </w:r>
      <w:r>
        <w:rPr>
          <w:rFonts w:hint="eastAsia" w:ascii="仿宋" w:hAnsi="仿宋" w:eastAsia="仿宋" w:cs="仿宋"/>
          <w:sz w:val="24"/>
          <w:u w:val="single"/>
          <w:lang w:val="en-US" w:eastAsia="zh-CN"/>
        </w:rPr>
        <w:t>11：00</w:t>
      </w:r>
      <w:r>
        <w:rPr>
          <w:rFonts w:hint="eastAsia" w:ascii="仿宋" w:hAnsi="仿宋" w:eastAsia="仿宋" w:cs="仿宋"/>
          <w:sz w:val="24"/>
          <w:u w:val="single"/>
        </w:rPr>
        <w:t>（北京时间）前提交响应文件。</w:t>
      </w:r>
    </w:p>
    <w:p>
      <w:pPr>
        <w:pStyle w:val="6"/>
        <w:widowControl w:val="0"/>
        <w:snapToGrid w:val="0"/>
        <w:rPr>
          <w:rFonts w:ascii="仿宋" w:hAnsi="仿宋" w:eastAsia="仿宋" w:cs="仿宋"/>
          <w:b w:val="0"/>
          <w:sz w:val="24"/>
          <w:szCs w:val="24"/>
        </w:rPr>
      </w:pPr>
      <w:bookmarkStart w:id="1" w:name="_Toc35393798"/>
      <w:bookmarkStart w:id="2" w:name="_Toc11674"/>
      <w:bookmarkStart w:id="3" w:name="_Toc35393629"/>
      <w:bookmarkStart w:id="4" w:name="_Toc28359089"/>
      <w:bookmarkStart w:id="5" w:name="_Toc14464"/>
      <w:bookmarkStart w:id="6" w:name="_Toc28359012"/>
      <w:r>
        <w:rPr>
          <w:rFonts w:hint="eastAsia" w:ascii="仿宋" w:hAnsi="仿宋" w:eastAsia="仿宋" w:cs="仿宋"/>
          <w:b w:val="0"/>
          <w:sz w:val="24"/>
          <w:szCs w:val="24"/>
        </w:rPr>
        <w:t>一、项目基本情况</w:t>
      </w:r>
      <w:bookmarkEnd w:id="1"/>
      <w:bookmarkEnd w:id="2"/>
      <w:bookmarkEnd w:id="3"/>
      <w:bookmarkEnd w:id="4"/>
      <w:bookmarkEnd w:id="5"/>
      <w:bookmarkEnd w:id="6"/>
    </w:p>
    <w:p>
      <w:pPr>
        <w:snapToGrid w:val="0"/>
        <w:ind w:firstLine="480" w:firstLineChars="200"/>
        <w:rPr>
          <w:rFonts w:hint="eastAsia" w:ascii="仿宋" w:hAnsi="仿宋" w:eastAsia="仿宋" w:cs="仿宋"/>
          <w:sz w:val="24"/>
          <w:lang w:eastAsia="zh-CN"/>
        </w:rPr>
      </w:pPr>
      <w:r>
        <w:rPr>
          <w:rFonts w:hint="eastAsia" w:ascii="仿宋" w:hAnsi="仿宋" w:eastAsia="仿宋" w:cs="仿宋"/>
          <w:sz w:val="24"/>
        </w:rPr>
        <w:t>项目编号：</w:t>
      </w:r>
      <w:r>
        <w:rPr>
          <w:rFonts w:hint="eastAsia" w:ascii="仿宋" w:hAnsi="仿宋" w:eastAsia="仿宋" w:cs="仿宋"/>
          <w:sz w:val="24"/>
          <w:lang w:eastAsia="zh-CN"/>
        </w:rPr>
        <w:t>JMSZB-MFX-2022-CG017-01</w:t>
      </w:r>
    </w:p>
    <w:p>
      <w:pPr>
        <w:snapToGrid w:val="0"/>
        <w:ind w:firstLine="480" w:firstLineChars="200"/>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民丰县2022年科技人才创新合作资金项目（包二）二次</w:t>
      </w:r>
    </w:p>
    <w:p>
      <w:pPr>
        <w:snapToGrid w:val="0"/>
        <w:ind w:firstLine="480" w:firstLineChars="200"/>
        <w:rPr>
          <w:rFonts w:ascii="仿宋" w:hAnsi="仿宋" w:eastAsia="仿宋" w:cs="仿宋"/>
          <w:sz w:val="24"/>
        </w:rPr>
      </w:pPr>
      <w:r>
        <w:rPr>
          <w:rFonts w:hint="eastAsia" w:ascii="仿宋" w:hAnsi="仿宋" w:eastAsia="仿宋" w:cs="仿宋"/>
          <w:sz w:val="24"/>
        </w:rPr>
        <w:t xml:space="preserve">采购方式：□竞争性谈判 </w:t>
      </w:r>
      <w:r>
        <w:rPr>
          <w:rFonts w:hint="eastAsia" w:ascii="仿宋" w:hAnsi="仿宋" w:eastAsia="仿宋" w:cs="仿宋"/>
          <w:sz w:val="24"/>
          <w:lang w:eastAsia="zh-CN"/>
        </w:rPr>
        <w:t>□</w:t>
      </w:r>
      <w:r>
        <w:rPr>
          <w:rFonts w:hint="eastAsia" w:ascii="仿宋" w:hAnsi="仿宋" w:eastAsia="仿宋" w:cs="仿宋"/>
          <w:sz w:val="24"/>
        </w:rPr>
        <w:t>竞争性磋商 □询价</w:t>
      </w:r>
    </w:p>
    <w:p>
      <w:pPr>
        <w:snapToGrid w:val="0"/>
        <w:ind w:firstLine="480" w:firstLineChars="200"/>
        <w:rPr>
          <w:rFonts w:ascii="仿宋" w:hAnsi="仿宋" w:eastAsia="仿宋" w:cs="仿宋"/>
          <w:sz w:val="24"/>
        </w:rPr>
      </w:pPr>
      <w:r>
        <w:rPr>
          <w:rFonts w:hint="eastAsia" w:ascii="仿宋" w:hAnsi="仿宋" w:eastAsia="仿宋" w:cs="仿宋"/>
          <w:sz w:val="24"/>
        </w:rPr>
        <w:t xml:space="preserve">预算金额： </w:t>
      </w:r>
      <w:r>
        <w:rPr>
          <w:rFonts w:hint="eastAsia" w:ascii="仿宋" w:hAnsi="仿宋" w:eastAsia="仿宋" w:cs="仿宋"/>
          <w:sz w:val="24"/>
          <w:lang w:val="en-US" w:eastAsia="zh-CN"/>
        </w:rPr>
        <w:t>1200000.00</w:t>
      </w:r>
      <w:r>
        <w:rPr>
          <w:rFonts w:hint="eastAsia" w:ascii="仿宋" w:hAnsi="仿宋" w:eastAsia="仿宋" w:cs="仿宋"/>
          <w:sz w:val="24"/>
        </w:rPr>
        <w:t>元</w:t>
      </w:r>
    </w:p>
    <w:p>
      <w:pPr>
        <w:snapToGrid w:val="0"/>
        <w:ind w:firstLine="480" w:firstLineChars="200"/>
        <w:rPr>
          <w:rFonts w:ascii="仿宋" w:hAnsi="仿宋" w:eastAsia="仿宋" w:cs="仿宋"/>
          <w:sz w:val="24"/>
        </w:rPr>
      </w:pPr>
      <w:r>
        <w:rPr>
          <w:rFonts w:hint="eastAsia" w:ascii="仿宋" w:hAnsi="仿宋" w:eastAsia="仿宋" w:cs="仿宋"/>
          <w:sz w:val="24"/>
        </w:rPr>
        <w:t xml:space="preserve">最高限价： </w:t>
      </w:r>
      <w:r>
        <w:rPr>
          <w:rFonts w:hint="eastAsia" w:ascii="仿宋" w:hAnsi="仿宋" w:eastAsia="仿宋" w:cs="仿宋"/>
          <w:sz w:val="24"/>
          <w:lang w:val="en-US" w:eastAsia="zh-CN"/>
        </w:rPr>
        <w:t>1200000.00</w:t>
      </w:r>
      <w:r>
        <w:rPr>
          <w:rFonts w:hint="eastAsia" w:ascii="仿宋" w:hAnsi="仿宋" w:eastAsia="仿宋" w:cs="仿宋"/>
          <w:sz w:val="24"/>
        </w:rPr>
        <w:t>元</w:t>
      </w:r>
    </w:p>
    <w:p>
      <w:pPr>
        <w:snapToGrid w:val="0"/>
        <w:ind w:firstLine="480" w:firstLineChars="200"/>
        <w:rPr>
          <w:rFonts w:ascii="仿宋" w:hAnsi="仿宋" w:eastAsia="仿宋" w:cs="仿宋"/>
          <w:color w:val="000000"/>
          <w:sz w:val="24"/>
        </w:rPr>
      </w:pPr>
      <w:r>
        <w:rPr>
          <w:rFonts w:hint="eastAsia" w:ascii="仿宋" w:hAnsi="仿宋" w:eastAsia="仿宋" w:cs="仿宋"/>
          <w:sz w:val="24"/>
        </w:rPr>
        <w:t>采购需求：</w:t>
      </w:r>
      <w:r>
        <w:rPr>
          <w:rFonts w:hint="eastAsia" w:ascii="仿宋" w:hAnsi="仿宋" w:eastAsia="仿宋" w:cs="仿宋"/>
          <w:sz w:val="24"/>
          <w:lang w:eastAsia="zh-CN"/>
        </w:rPr>
        <w:t>编制民丰县医疗园区规划及编制民丰县兵地融合发展规划(城市副中心)（详见第三章采购需求）</w:t>
      </w:r>
      <w:r>
        <w:rPr>
          <w:rFonts w:hint="eastAsia" w:ascii="仿宋" w:hAnsi="仿宋" w:eastAsia="仿宋" w:cs="仿宋"/>
          <w:color w:val="000000"/>
          <w:sz w:val="24"/>
        </w:rPr>
        <w:t xml:space="preserve">  </w:t>
      </w:r>
    </w:p>
    <w:p>
      <w:pPr>
        <w:snapToGrid w:val="0"/>
        <w:ind w:firstLine="480" w:firstLineChars="200"/>
        <w:rPr>
          <w:rFonts w:hint="eastAsia" w:ascii="仿宋" w:hAnsi="仿宋" w:eastAsia="仿宋" w:cs="仿宋"/>
          <w:sz w:val="24"/>
          <w:lang w:val="en-US" w:eastAsia="zh-CN"/>
        </w:rPr>
      </w:pPr>
      <w:r>
        <w:rPr>
          <w:rFonts w:hint="eastAsia" w:ascii="仿宋" w:hAnsi="仿宋" w:eastAsia="仿宋" w:cs="仿宋"/>
          <w:sz w:val="24"/>
        </w:rPr>
        <w:t>合同履行期限：</w:t>
      </w:r>
      <w:r>
        <w:rPr>
          <w:rFonts w:hint="eastAsia" w:ascii="仿宋" w:hAnsi="仿宋" w:eastAsia="仿宋" w:cs="仿宋"/>
          <w:sz w:val="24"/>
          <w:lang w:val="en-US" w:eastAsia="zh-CN"/>
        </w:rPr>
        <w:t>30天（具体以与甲方签订的合同为准）</w:t>
      </w:r>
    </w:p>
    <w:p>
      <w:pPr>
        <w:snapToGrid w:val="0"/>
        <w:ind w:firstLine="480" w:firstLineChars="200"/>
        <w:rPr>
          <w:rFonts w:ascii="仿宋" w:hAnsi="仿宋" w:eastAsia="仿宋" w:cs="仿宋"/>
          <w:sz w:val="24"/>
        </w:rPr>
      </w:pPr>
      <w:r>
        <w:rPr>
          <w:rFonts w:hint="eastAsia" w:ascii="仿宋" w:hAnsi="仿宋" w:eastAsia="仿宋" w:cs="仿宋"/>
          <w:sz w:val="24"/>
        </w:rPr>
        <w:t>本项目（</w:t>
      </w:r>
      <w:r>
        <w:rPr>
          <w:rFonts w:hint="eastAsia" w:ascii="仿宋" w:hAnsi="仿宋" w:eastAsia="仿宋" w:cs="仿宋"/>
          <w:i/>
          <w:sz w:val="24"/>
        </w:rPr>
        <w:t>否</w:t>
      </w:r>
      <w:r>
        <w:rPr>
          <w:rFonts w:hint="eastAsia" w:ascii="仿宋" w:hAnsi="仿宋" w:eastAsia="仿宋" w:cs="仿宋"/>
          <w:sz w:val="24"/>
        </w:rPr>
        <w:t>）接受联合体。</w:t>
      </w:r>
    </w:p>
    <w:p>
      <w:pPr>
        <w:pStyle w:val="6"/>
        <w:widowControl w:val="0"/>
        <w:snapToGrid w:val="0"/>
        <w:rPr>
          <w:rFonts w:ascii="仿宋" w:hAnsi="仿宋" w:eastAsia="仿宋" w:cs="仿宋"/>
          <w:b w:val="0"/>
          <w:sz w:val="24"/>
          <w:szCs w:val="24"/>
        </w:rPr>
      </w:pPr>
      <w:bookmarkStart w:id="7" w:name="_Toc3275"/>
      <w:bookmarkStart w:id="8" w:name="_Toc35393630"/>
      <w:bookmarkStart w:id="9" w:name="_Toc28359090"/>
      <w:bookmarkStart w:id="10" w:name="_Toc10197"/>
      <w:bookmarkStart w:id="11" w:name="_Toc35393799"/>
      <w:bookmarkStart w:id="12" w:name="_Toc28359013"/>
      <w:r>
        <w:rPr>
          <w:rFonts w:hint="eastAsia" w:ascii="仿宋" w:hAnsi="仿宋" w:eastAsia="仿宋" w:cs="仿宋"/>
          <w:b w:val="0"/>
          <w:sz w:val="24"/>
          <w:szCs w:val="24"/>
        </w:rPr>
        <w:t>二、申请人的资格要求：</w:t>
      </w:r>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bookmarkStart w:id="13" w:name="_Toc35393631"/>
      <w:bookmarkStart w:id="14" w:name="_Toc17402"/>
      <w:bookmarkStart w:id="15" w:name="_Toc28359014"/>
      <w:bookmarkStart w:id="16" w:name="_Toc20889"/>
      <w:bookmarkStart w:id="17" w:name="_Toc28359091"/>
      <w:bookmarkStart w:id="18" w:name="_Toc35393800"/>
      <w:r>
        <w:rPr>
          <w:rFonts w:hint="eastAsia" w:ascii="仿宋" w:hAnsi="仿宋" w:eastAsia="仿宋" w:cs="仿宋"/>
          <w:sz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（1）经年审合格（三证合一）的营业执照；</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（2）法定代表人投标需携带法定代表人证明书及法定代表人身份证，委托代理人投标需携带法定代表人授权委托书及委托代理人身份证；提供企业（近半年中任意一个月）的社保缴费证明；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（3）提供税务机关出具的（近半年中任意一个月）的完税证明；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（4）提供2020年或2021年度由第三方财务审计机构出具的财务审计报告及财务制度（2022年度新成立公司提供资信证明）；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（6）单位负责人为同一人或者存在直接控股、管理关系的不同供应商，不得参加同一合同项下的政府采购活动；否则，皆取消投标资格；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（7）凡拟参加本次招标项目的供应商须提供“参加政府采购活动前3年内在经营活动中没有重大违法记录的书面声明；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（8）本项目不接受联合体投标。</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2.本项目的特定资格要求：投标需具有城乡规划编制乙级及以上资质。</w:t>
      </w:r>
    </w:p>
    <w:p>
      <w:pPr>
        <w:snapToGrid w:val="0"/>
        <w:rPr>
          <w:rFonts w:ascii="仿宋" w:hAnsi="仿宋" w:eastAsia="仿宋" w:cs="仿宋"/>
          <w:sz w:val="24"/>
        </w:rPr>
      </w:pPr>
      <w:r>
        <w:rPr>
          <w:rFonts w:hint="eastAsia" w:ascii="仿宋" w:hAnsi="仿宋" w:eastAsia="仿宋" w:cs="仿宋"/>
          <w:sz w:val="24"/>
        </w:rPr>
        <w:t>三、获取采购文件</w:t>
      </w:r>
      <w:bookmarkEnd w:id="13"/>
      <w:bookmarkEnd w:id="14"/>
      <w:bookmarkEnd w:id="15"/>
      <w:bookmarkEnd w:id="16"/>
      <w:bookmarkEnd w:id="17"/>
      <w:bookmarkEnd w:id="18"/>
    </w:p>
    <w:p>
      <w:pPr>
        <w:snapToGrid w:val="0"/>
        <w:ind w:firstLine="480" w:firstLineChars="200"/>
        <w:rPr>
          <w:rFonts w:ascii="仿宋" w:hAnsi="仿宋" w:eastAsia="仿宋" w:cs="仿宋"/>
          <w:sz w:val="24"/>
        </w:rPr>
      </w:pPr>
      <w:bookmarkStart w:id="19" w:name="_Toc35393801"/>
      <w:bookmarkStart w:id="20" w:name="_Toc7922"/>
      <w:bookmarkStart w:id="21" w:name="_Toc28359015"/>
      <w:bookmarkStart w:id="22" w:name="_Toc28359092"/>
      <w:bookmarkStart w:id="23" w:name="_Toc35393632"/>
      <w:bookmarkStart w:id="24" w:name="_Toc22996"/>
      <w:r>
        <w:rPr>
          <w:rFonts w:hint="eastAsia" w:ascii="仿宋" w:hAnsi="仿宋" w:eastAsia="仿宋" w:cs="仿宋"/>
          <w:sz w:val="24"/>
        </w:rPr>
        <w:t>时间：线上获取法定节假日均可</w:t>
      </w:r>
    </w:p>
    <w:p>
      <w:pPr>
        <w:snapToGrid w:val="0"/>
        <w:ind w:firstLine="480" w:firstLineChars="200"/>
        <w:rPr>
          <w:rFonts w:ascii="仿宋" w:hAnsi="仿宋" w:eastAsia="仿宋" w:cs="仿宋"/>
          <w:sz w:val="24"/>
        </w:rPr>
      </w:pPr>
      <w:r>
        <w:rPr>
          <w:rFonts w:hint="eastAsia" w:ascii="仿宋" w:hAnsi="仿宋" w:eastAsia="仿宋" w:cs="仿宋"/>
          <w:sz w:val="24"/>
        </w:rPr>
        <w:t xml:space="preserve">地点：在新疆政府采购网（http://www.ccgp-xinjiang.gov.cn/）的该采购公告附件中直接下载招标（采购）文件。 </w:t>
      </w:r>
    </w:p>
    <w:p>
      <w:pPr>
        <w:snapToGrid w:val="0"/>
        <w:ind w:firstLine="480" w:firstLineChars="200"/>
        <w:rPr>
          <w:rFonts w:ascii="仿宋" w:hAnsi="仿宋" w:eastAsia="仿宋" w:cs="仿宋"/>
          <w:sz w:val="24"/>
        </w:rPr>
      </w:pPr>
      <w:r>
        <w:rPr>
          <w:rFonts w:hint="eastAsia" w:ascii="仿宋" w:hAnsi="仿宋" w:eastAsia="仿宋" w:cs="仿宋"/>
          <w:sz w:val="24"/>
        </w:rPr>
        <w:t>方式：自行下载</w:t>
      </w:r>
    </w:p>
    <w:p>
      <w:pPr>
        <w:snapToGrid w:val="0"/>
        <w:ind w:firstLine="480" w:firstLineChars="200"/>
      </w:pPr>
      <w:r>
        <w:rPr>
          <w:rFonts w:hint="eastAsia" w:ascii="仿宋" w:hAnsi="仿宋" w:eastAsia="仿宋" w:cs="仿宋"/>
          <w:sz w:val="24"/>
        </w:rPr>
        <w:t>售价：</w:t>
      </w:r>
      <w:r>
        <w:rPr>
          <w:rFonts w:hint="eastAsia" w:ascii="仿宋" w:hAnsi="仿宋" w:eastAsia="仿宋" w:cs="仿宋"/>
          <w:sz w:val="24"/>
          <w:lang w:val="en-US" w:eastAsia="zh-CN"/>
        </w:rPr>
        <w:t>0</w:t>
      </w:r>
      <w:r>
        <w:rPr>
          <w:rFonts w:hint="eastAsia" w:ascii="仿宋" w:hAnsi="仿宋" w:eastAsia="仿宋" w:cs="仿宋"/>
          <w:sz w:val="24"/>
        </w:rPr>
        <w:t>元/份</w:t>
      </w:r>
    </w:p>
    <w:p>
      <w:pPr>
        <w:snapToGrid w:val="0"/>
        <w:rPr>
          <w:rFonts w:ascii="仿宋" w:hAnsi="仿宋" w:eastAsia="仿宋" w:cs="仿宋"/>
          <w:sz w:val="24"/>
        </w:rPr>
      </w:pPr>
      <w:r>
        <w:rPr>
          <w:rFonts w:hint="eastAsia" w:ascii="仿宋" w:hAnsi="仿宋" w:eastAsia="仿宋" w:cs="仿宋"/>
          <w:sz w:val="24"/>
        </w:rPr>
        <w:t>四、响应文件提交</w:t>
      </w:r>
      <w:bookmarkEnd w:id="19"/>
      <w:bookmarkEnd w:id="20"/>
      <w:bookmarkEnd w:id="21"/>
      <w:bookmarkEnd w:id="22"/>
      <w:bookmarkEnd w:id="23"/>
      <w:bookmarkEnd w:id="24"/>
    </w:p>
    <w:p>
      <w:pPr>
        <w:snapToGrid w:val="0"/>
        <w:ind w:firstLine="480" w:firstLineChars="200"/>
        <w:rPr>
          <w:rFonts w:ascii="仿宋" w:hAnsi="仿宋" w:eastAsia="仿宋" w:cs="仿宋"/>
          <w:bCs/>
          <w:sz w:val="24"/>
        </w:rPr>
      </w:pPr>
      <w:r>
        <w:rPr>
          <w:rFonts w:hint="eastAsia" w:ascii="仿宋" w:hAnsi="仿宋" w:eastAsia="仿宋" w:cs="仿宋"/>
          <w:sz w:val="24"/>
        </w:rPr>
        <w:t>截止时间：</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2</w:t>
      </w:r>
      <w:r>
        <w:rPr>
          <w:rFonts w:hint="eastAsia" w:ascii="仿宋" w:hAnsi="仿宋" w:eastAsia="仿宋" w:cs="仿宋"/>
          <w:bCs/>
          <w:sz w:val="24"/>
          <w:u w:val="single"/>
        </w:rPr>
        <w:t>年</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13</w:t>
      </w:r>
      <w:r>
        <w:rPr>
          <w:rFonts w:hint="eastAsia" w:ascii="仿宋" w:hAnsi="仿宋" w:eastAsia="仿宋" w:cs="仿宋"/>
          <w:bCs/>
          <w:sz w:val="24"/>
          <w:u w:val="single"/>
        </w:rPr>
        <w:t>日1</w:t>
      </w:r>
      <w:r>
        <w:rPr>
          <w:rFonts w:hint="eastAsia" w:ascii="仿宋" w:hAnsi="仿宋" w:eastAsia="仿宋" w:cs="仿宋"/>
          <w:bCs/>
          <w:sz w:val="24"/>
          <w:u w:val="single"/>
          <w:lang w:val="en-US" w:eastAsia="zh-CN"/>
        </w:rPr>
        <w:t>1</w:t>
      </w:r>
      <w:r>
        <w:rPr>
          <w:rFonts w:hint="eastAsia" w:ascii="仿宋" w:hAnsi="仿宋" w:eastAsia="仿宋" w:cs="仿宋"/>
          <w:bCs/>
          <w:sz w:val="24"/>
          <w:u w:val="single"/>
        </w:rPr>
        <w:t>点 00分</w:t>
      </w:r>
      <w:r>
        <w:rPr>
          <w:rFonts w:hint="eastAsia" w:ascii="仿宋" w:hAnsi="仿宋" w:eastAsia="仿宋" w:cs="仿宋"/>
          <w:bCs/>
          <w:sz w:val="24"/>
        </w:rPr>
        <w:t>（北京时间）</w:t>
      </w:r>
    </w:p>
    <w:p>
      <w:pPr>
        <w:snapToGrid w:val="0"/>
        <w:ind w:firstLine="480" w:firstLineChars="200"/>
        <w:rPr>
          <w:rFonts w:ascii="仿宋" w:hAnsi="仿宋" w:eastAsia="仿宋" w:cs="仿宋"/>
          <w:sz w:val="24"/>
        </w:rPr>
      </w:pPr>
      <w:r>
        <w:rPr>
          <w:rFonts w:hint="eastAsia" w:ascii="仿宋" w:hAnsi="仿宋" w:eastAsia="仿宋" w:cs="仿宋"/>
          <w:sz w:val="24"/>
        </w:rPr>
        <w:t>地点：</w:t>
      </w:r>
      <w:r>
        <w:rPr>
          <w:rFonts w:hint="eastAsia" w:ascii="仿宋" w:hAnsi="仿宋" w:eastAsia="仿宋" w:cs="仿宋"/>
          <w:sz w:val="24"/>
          <w:lang w:eastAsia="zh-CN"/>
        </w:rPr>
        <w:t>民丰县行政服务和公共资源交易中心（民丰县买迪尼也提东路7号）民丰县青少年活动中心二楼</w:t>
      </w:r>
      <w:r>
        <w:rPr>
          <w:rFonts w:hint="eastAsia" w:ascii="仿宋" w:hAnsi="仿宋" w:eastAsia="仿宋" w:cs="仿宋"/>
          <w:sz w:val="24"/>
        </w:rPr>
        <w:t> </w:t>
      </w:r>
    </w:p>
    <w:p>
      <w:pPr>
        <w:pStyle w:val="6"/>
        <w:widowControl w:val="0"/>
        <w:snapToGrid w:val="0"/>
        <w:rPr>
          <w:rFonts w:ascii="仿宋" w:hAnsi="仿宋" w:eastAsia="仿宋" w:cs="仿宋"/>
          <w:b w:val="0"/>
          <w:sz w:val="24"/>
          <w:szCs w:val="24"/>
        </w:rPr>
      </w:pPr>
      <w:bookmarkStart w:id="25" w:name="_Toc30975"/>
      <w:bookmarkStart w:id="26" w:name="_Toc28359093"/>
      <w:bookmarkStart w:id="27" w:name="_Toc35393802"/>
      <w:bookmarkStart w:id="28" w:name="_Toc28359016"/>
      <w:bookmarkStart w:id="29" w:name="_Toc297"/>
      <w:bookmarkStart w:id="30" w:name="_Toc35393633"/>
      <w:r>
        <w:rPr>
          <w:rFonts w:hint="eastAsia" w:ascii="仿宋" w:hAnsi="仿宋" w:eastAsia="仿宋" w:cs="仿宋"/>
          <w:b w:val="0"/>
          <w:sz w:val="24"/>
          <w:szCs w:val="24"/>
        </w:rPr>
        <w:t>五、开启</w:t>
      </w:r>
      <w:bookmarkEnd w:id="25"/>
      <w:bookmarkEnd w:id="26"/>
      <w:bookmarkEnd w:id="27"/>
      <w:bookmarkEnd w:id="28"/>
      <w:bookmarkEnd w:id="29"/>
      <w:bookmarkEnd w:id="30"/>
    </w:p>
    <w:p>
      <w:pPr>
        <w:snapToGrid w:val="0"/>
        <w:ind w:firstLine="480" w:firstLineChars="200"/>
        <w:rPr>
          <w:rFonts w:ascii="仿宋" w:hAnsi="仿宋" w:eastAsia="仿宋" w:cs="仿宋"/>
          <w:bCs/>
          <w:sz w:val="24"/>
        </w:rPr>
      </w:pPr>
      <w:r>
        <w:rPr>
          <w:rFonts w:hint="eastAsia" w:ascii="仿宋" w:hAnsi="仿宋" w:eastAsia="仿宋" w:cs="仿宋"/>
          <w:sz w:val="24"/>
        </w:rPr>
        <w:t>时间：</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2</w:t>
      </w:r>
      <w:r>
        <w:rPr>
          <w:rFonts w:hint="eastAsia" w:ascii="仿宋" w:hAnsi="仿宋" w:eastAsia="仿宋" w:cs="仿宋"/>
          <w:bCs/>
          <w:sz w:val="24"/>
          <w:u w:val="single"/>
        </w:rPr>
        <w:t>年</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13</w:t>
      </w:r>
      <w:r>
        <w:rPr>
          <w:rFonts w:hint="eastAsia" w:ascii="仿宋" w:hAnsi="仿宋" w:eastAsia="仿宋" w:cs="仿宋"/>
          <w:bCs/>
          <w:sz w:val="24"/>
          <w:u w:val="single"/>
        </w:rPr>
        <w:t>日1</w:t>
      </w:r>
      <w:r>
        <w:rPr>
          <w:rFonts w:hint="eastAsia" w:ascii="仿宋" w:hAnsi="仿宋" w:eastAsia="仿宋" w:cs="仿宋"/>
          <w:bCs/>
          <w:sz w:val="24"/>
          <w:u w:val="single"/>
          <w:lang w:val="en-US" w:eastAsia="zh-CN"/>
        </w:rPr>
        <w:t>1</w:t>
      </w:r>
      <w:r>
        <w:rPr>
          <w:rFonts w:hint="eastAsia" w:ascii="仿宋" w:hAnsi="仿宋" w:eastAsia="仿宋" w:cs="仿宋"/>
          <w:bCs/>
          <w:sz w:val="24"/>
          <w:u w:val="single"/>
        </w:rPr>
        <w:t>点 00分</w:t>
      </w:r>
      <w:r>
        <w:rPr>
          <w:rFonts w:hint="eastAsia" w:ascii="仿宋" w:hAnsi="仿宋" w:eastAsia="仿宋" w:cs="仿宋"/>
          <w:bCs/>
          <w:sz w:val="24"/>
        </w:rPr>
        <w:t>（北京时间）</w:t>
      </w:r>
    </w:p>
    <w:p>
      <w:pPr>
        <w:snapToGrid w:val="0"/>
        <w:ind w:firstLine="480" w:firstLineChars="200"/>
        <w:rPr>
          <w:rFonts w:ascii="仿宋" w:hAnsi="仿宋" w:eastAsia="仿宋" w:cs="仿宋"/>
          <w:sz w:val="24"/>
        </w:rPr>
      </w:pPr>
      <w:r>
        <w:rPr>
          <w:rFonts w:hint="eastAsia" w:ascii="仿宋" w:hAnsi="仿宋" w:eastAsia="仿宋" w:cs="仿宋"/>
          <w:sz w:val="24"/>
        </w:rPr>
        <w:t>地点：</w:t>
      </w:r>
      <w:bookmarkStart w:id="31" w:name="_Toc35393803"/>
      <w:bookmarkStart w:id="32" w:name="_Toc35393634"/>
      <w:bookmarkStart w:id="33" w:name="_Toc28359017"/>
      <w:bookmarkStart w:id="34" w:name="_Toc28359094"/>
      <w:r>
        <w:rPr>
          <w:rFonts w:hint="eastAsia" w:ascii="仿宋" w:hAnsi="仿宋" w:eastAsia="仿宋" w:cs="仿宋"/>
          <w:sz w:val="24"/>
          <w:lang w:eastAsia="zh-CN"/>
        </w:rPr>
        <w:t>民丰县行政服务和公共资源交易中心（民丰县买迪尼也提东路7号）民丰县青少年活动中心二楼</w:t>
      </w:r>
      <w:r>
        <w:rPr>
          <w:rFonts w:hint="eastAsia" w:ascii="仿宋" w:hAnsi="仿宋" w:eastAsia="仿宋" w:cs="仿宋"/>
          <w:sz w:val="24"/>
        </w:rPr>
        <w:t> </w:t>
      </w:r>
    </w:p>
    <w:p>
      <w:pPr>
        <w:snapToGrid w:val="0"/>
        <w:outlineLvl w:val="0"/>
        <w:rPr>
          <w:rFonts w:ascii="仿宋" w:hAnsi="仿宋" w:eastAsia="仿宋" w:cs="仿宋"/>
          <w:sz w:val="24"/>
        </w:rPr>
      </w:pPr>
      <w:bookmarkStart w:id="35" w:name="_Toc15664"/>
      <w:bookmarkStart w:id="36" w:name="_Toc135"/>
      <w:r>
        <w:rPr>
          <w:rFonts w:hint="eastAsia" w:ascii="仿宋" w:hAnsi="仿宋" w:eastAsia="仿宋" w:cs="仿宋"/>
          <w:bCs/>
          <w:sz w:val="24"/>
        </w:rPr>
        <w:t>六、公告期限</w:t>
      </w:r>
      <w:bookmarkEnd w:id="31"/>
      <w:bookmarkEnd w:id="32"/>
      <w:bookmarkEnd w:id="33"/>
      <w:bookmarkEnd w:id="34"/>
      <w:bookmarkEnd w:id="35"/>
      <w:bookmarkEnd w:id="36"/>
    </w:p>
    <w:p>
      <w:pPr>
        <w:snapToGrid w:val="0"/>
        <w:ind w:firstLine="480" w:firstLineChars="200"/>
        <w:rPr>
          <w:rFonts w:ascii="仿宋" w:hAnsi="仿宋" w:eastAsia="仿宋" w:cs="仿宋"/>
          <w:kern w:val="0"/>
          <w:sz w:val="24"/>
        </w:rPr>
      </w:pPr>
      <w:r>
        <w:rPr>
          <w:rFonts w:hint="eastAsia" w:ascii="仿宋" w:hAnsi="仿宋" w:eastAsia="仿宋" w:cs="仿宋"/>
          <w:kern w:val="0"/>
          <w:sz w:val="24"/>
        </w:rPr>
        <w:t>自本公告发布之日起</w:t>
      </w:r>
      <w:r>
        <w:rPr>
          <w:rFonts w:hint="eastAsia" w:ascii="仿宋" w:hAnsi="仿宋" w:eastAsia="仿宋" w:cs="仿宋"/>
          <w:kern w:val="0"/>
          <w:sz w:val="24"/>
          <w:lang w:val="en-US" w:eastAsia="zh-CN"/>
        </w:rPr>
        <w:t>5</w:t>
      </w:r>
      <w:r>
        <w:rPr>
          <w:rFonts w:hint="eastAsia" w:ascii="仿宋" w:hAnsi="仿宋" w:eastAsia="仿宋" w:cs="仿宋"/>
          <w:kern w:val="0"/>
          <w:sz w:val="24"/>
        </w:rPr>
        <w:t>个工作日。</w:t>
      </w:r>
    </w:p>
    <w:p>
      <w:pPr>
        <w:pStyle w:val="6"/>
        <w:keepLines/>
        <w:widowControl w:val="0"/>
        <w:snapToGrid w:val="0"/>
        <w:rPr>
          <w:rFonts w:ascii="仿宋" w:hAnsi="仿宋" w:eastAsia="仿宋" w:cs="仿宋"/>
          <w:sz w:val="24"/>
          <w:szCs w:val="24"/>
        </w:rPr>
      </w:pPr>
      <w:bookmarkStart w:id="37" w:name="_Toc35393804"/>
      <w:bookmarkStart w:id="38" w:name="_Toc35393635"/>
      <w:bookmarkStart w:id="39" w:name="_Toc23752"/>
      <w:bookmarkStart w:id="40" w:name="_Toc25927"/>
      <w:r>
        <w:rPr>
          <w:rFonts w:hint="eastAsia" w:ascii="仿宋" w:hAnsi="仿宋" w:eastAsia="仿宋" w:cs="仿宋"/>
          <w:b w:val="0"/>
          <w:sz w:val="24"/>
          <w:szCs w:val="24"/>
        </w:rPr>
        <w:t>七、其他补充事宜</w:t>
      </w:r>
      <w:bookmarkEnd w:id="37"/>
      <w:bookmarkEnd w:id="38"/>
      <w:r>
        <w:rPr>
          <w:rFonts w:hint="eastAsia" w:ascii="仿宋" w:hAnsi="仿宋" w:eastAsia="仿宋" w:cs="仿宋"/>
          <w:b w:val="0"/>
          <w:sz w:val="24"/>
          <w:szCs w:val="24"/>
        </w:rPr>
        <w:t>：无</w:t>
      </w:r>
      <w:bookmarkEnd w:id="39"/>
      <w:bookmarkEnd w:id="40"/>
    </w:p>
    <w:p>
      <w:pPr>
        <w:pStyle w:val="6"/>
        <w:keepLines/>
        <w:widowControl w:val="0"/>
        <w:snapToGrid w:val="0"/>
        <w:rPr>
          <w:rFonts w:ascii="仿宋" w:hAnsi="仿宋" w:eastAsia="仿宋" w:cs="仿宋"/>
          <w:b w:val="0"/>
          <w:sz w:val="24"/>
          <w:szCs w:val="24"/>
        </w:rPr>
      </w:pPr>
      <w:bookmarkStart w:id="41" w:name="_Toc35393805"/>
      <w:bookmarkStart w:id="42" w:name="_Toc28359095"/>
      <w:bookmarkStart w:id="43" w:name="_Toc28359018"/>
      <w:bookmarkStart w:id="44" w:name="_Toc35393636"/>
      <w:bookmarkStart w:id="45" w:name="_Toc1455"/>
      <w:bookmarkStart w:id="46" w:name="_Toc20454"/>
      <w:r>
        <w:rPr>
          <w:rFonts w:hint="eastAsia" w:ascii="仿宋" w:hAnsi="仿宋" w:eastAsia="仿宋" w:cs="仿宋"/>
          <w:b w:val="0"/>
          <w:sz w:val="24"/>
          <w:szCs w:val="24"/>
        </w:rPr>
        <w:t>八、凡对本次采购提出询问，请按以下方式联系。</w:t>
      </w:r>
      <w:bookmarkEnd w:id="41"/>
      <w:bookmarkEnd w:id="42"/>
      <w:bookmarkEnd w:id="43"/>
      <w:bookmarkEnd w:id="44"/>
      <w:bookmarkEnd w:id="45"/>
      <w:bookmarkEnd w:id="46"/>
    </w:p>
    <w:p>
      <w:pPr>
        <w:pStyle w:val="22"/>
        <w:spacing w:before="60" w:beforeAutospacing="0" w:after="60" w:afterAutospacing="0"/>
        <w:ind w:firstLine="480" w:firstLineChars="200"/>
        <w:rPr>
          <w:rFonts w:ascii="仿宋" w:hAnsi="仿宋" w:eastAsia="仿宋" w:cs="仿宋"/>
          <w:color w:val="auto"/>
          <w:sz w:val="24"/>
          <w:szCs w:val="24"/>
        </w:rPr>
      </w:pPr>
      <w:bookmarkStart w:id="47" w:name="_Toc28359098"/>
      <w:bookmarkStart w:id="48" w:name="_Toc35393808"/>
      <w:bookmarkStart w:id="49" w:name="_Toc35393639"/>
      <w:bookmarkStart w:id="50" w:name="_Toc28359021"/>
      <w:r>
        <w:rPr>
          <w:rFonts w:hint="eastAsia" w:ascii="仿宋" w:hAnsi="仿宋" w:eastAsia="仿宋" w:cs="仿宋"/>
          <w:color w:val="auto"/>
          <w:sz w:val="24"/>
          <w:szCs w:val="24"/>
        </w:rPr>
        <w:t>1.采购人信息</w:t>
      </w:r>
    </w:p>
    <w:p>
      <w:pPr>
        <w:pStyle w:val="22"/>
        <w:spacing w:before="60" w:beforeAutospacing="0" w:after="60" w:afterAutospacing="0"/>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val="en-US" w:eastAsia="zh-CN"/>
        </w:rPr>
        <w:t>民丰县住房和城乡建设局</w:t>
      </w:r>
    </w:p>
    <w:p>
      <w:pPr>
        <w:pStyle w:val="22"/>
        <w:spacing w:before="60" w:beforeAutospacing="0" w:after="60" w:afterAutospacing="0"/>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lang w:eastAsia="zh-CN"/>
        </w:rPr>
        <w:t>仲佳灵</w:t>
      </w:r>
    </w:p>
    <w:p>
      <w:pPr>
        <w:pStyle w:val="22"/>
        <w:spacing w:before="60" w:beforeAutospacing="0" w:after="60" w:afterAutospacing="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联系方式：0903-7827671</w:t>
      </w:r>
    </w:p>
    <w:p>
      <w:pPr>
        <w:pStyle w:val="22"/>
        <w:spacing w:before="60" w:beforeAutospacing="0" w:after="60" w:afterAutospacing="0"/>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22"/>
        <w:spacing w:before="60" w:beforeAutospacing="0" w:after="60" w:afterAutospacing="0"/>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新疆金木石项目管理有限公司</w:t>
      </w:r>
    </w:p>
    <w:p>
      <w:pPr>
        <w:pStyle w:val="22"/>
        <w:spacing w:before="60" w:beforeAutospacing="0" w:after="60" w:afterAutospacing="0"/>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和田市古江巴格街道益民社区北京东路48号四楼</w:t>
      </w:r>
    </w:p>
    <w:p>
      <w:pPr>
        <w:pStyle w:val="22"/>
        <w:spacing w:before="60" w:beforeAutospacing="0" w:after="60" w:afterAutospacing="0"/>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17794802995</w:t>
      </w:r>
    </w:p>
    <w:bookmarkEnd w:id="47"/>
    <w:bookmarkEnd w:id="48"/>
    <w:bookmarkEnd w:id="49"/>
    <w:bookmarkEnd w:id="50"/>
    <w:p>
      <w:pPr>
        <w:snapToGrid w:val="0"/>
        <w:ind w:firstLine="720" w:firstLineChars="300"/>
        <w:rPr>
          <w:rFonts w:ascii="仿宋" w:hAnsi="仿宋" w:eastAsia="仿宋" w:cs="仿宋"/>
          <w:kern w:val="0"/>
          <w:sz w:val="24"/>
        </w:rPr>
      </w:pPr>
      <w:r>
        <w:rPr>
          <w:rFonts w:hint="eastAsia" w:ascii="仿宋" w:hAnsi="仿宋" w:eastAsia="仿宋" w:cs="仿宋"/>
          <w:kern w:val="0"/>
          <w:sz w:val="24"/>
        </w:rPr>
        <w:t>　　　</w:t>
      </w:r>
    </w:p>
    <w:p>
      <w:pPr>
        <w:snapToGrid w:val="0"/>
        <w:spacing w:line="216" w:lineRule="auto"/>
        <w:ind w:firstLine="720" w:firstLineChars="300"/>
        <w:rPr>
          <w:rFonts w:hint="eastAsia" w:ascii="仿宋" w:hAnsi="仿宋" w:eastAsia="仿宋" w:cs="仿宋"/>
          <w:sz w:val="24"/>
        </w:rPr>
      </w:pPr>
      <w:r>
        <w:rPr>
          <w:rFonts w:hint="eastAsia" w:ascii="仿宋" w:hAnsi="仿宋" w:eastAsia="仿宋" w:cs="仿宋"/>
          <w:sz w:val="24"/>
        </w:rPr>
        <w:t>　　</w:t>
      </w:r>
    </w:p>
    <w:p>
      <w:pPr>
        <w:pStyle w:val="57"/>
        <w:rPr>
          <w:rFonts w:hint="eastAsia" w:ascii="仿宋" w:hAnsi="仿宋" w:eastAsia="仿宋" w:cs="仿宋"/>
          <w:sz w:val="24"/>
        </w:rPr>
      </w:pPr>
    </w:p>
    <w:p>
      <w:pPr>
        <w:rPr>
          <w:rFonts w:hint="eastAsia" w:ascii="仿宋" w:hAnsi="仿宋" w:eastAsia="仿宋" w:cs="仿宋"/>
          <w:sz w:val="24"/>
        </w:rPr>
      </w:pPr>
    </w:p>
    <w:p>
      <w:pPr>
        <w:pStyle w:val="57"/>
        <w:rPr>
          <w:rFonts w:hint="eastAsia" w:ascii="仿宋" w:hAnsi="仿宋" w:eastAsia="仿宋" w:cs="仿宋"/>
          <w:sz w:val="24"/>
        </w:rPr>
      </w:pPr>
    </w:p>
    <w:p>
      <w:pPr>
        <w:rPr>
          <w:rFonts w:hint="eastAsia" w:ascii="仿宋" w:hAnsi="仿宋" w:eastAsia="仿宋" w:cs="仿宋"/>
          <w:sz w:val="24"/>
        </w:rPr>
      </w:pPr>
    </w:p>
    <w:p>
      <w:pPr>
        <w:pStyle w:val="57"/>
        <w:rPr>
          <w:rFonts w:hint="eastAsia" w:ascii="仿宋" w:hAnsi="仿宋" w:eastAsia="仿宋" w:cs="仿宋"/>
          <w:sz w:val="24"/>
        </w:rPr>
      </w:pPr>
    </w:p>
    <w:p>
      <w:pPr>
        <w:rPr>
          <w:rFonts w:hint="eastAsia" w:ascii="仿宋" w:hAnsi="仿宋" w:eastAsia="仿宋" w:cs="仿宋"/>
          <w:sz w:val="24"/>
        </w:rPr>
      </w:pPr>
    </w:p>
    <w:p>
      <w:pPr>
        <w:pStyle w:val="57"/>
        <w:rPr>
          <w:rFonts w:hint="eastAsia" w:ascii="仿宋" w:hAnsi="仿宋" w:eastAsia="仿宋" w:cs="仿宋"/>
          <w:sz w:val="24"/>
        </w:rPr>
      </w:pPr>
    </w:p>
    <w:p>
      <w:pPr>
        <w:rPr>
          <w:rFonts w:hint="eastAsia" w:ascii="仿宋" w:hAnsi="仿宋" w:eastAsia="仿宋" w:cs="仿宋"/>
          <w:sz w:val="24"/>
        </w:rPr>
      </w:pPr>
    </w:p>
    <w:p>
      <w:pPr>
        <w:pStyle w:val="57"/>
        <w:rPr>
          <w:rFonts w:hint="eastAsia" w:ascii="仿宋" w:hAnsi="仿宋" w:eastAsia="仿宋" w:cs="仿宋"/>
          <w:sz w:val="24"/>
        </w:rPr>
      </w:pPr>
    </w:p>
    <w:p>
      <w:pPr>
        <w:rPr>
          <w:rFonts w:hint="eastAsia" w:ascii="仿宋" w:hAnsi="仿宋" w:eastAsia="仿宋" w:cs="仿宋"/>
          <w:sz w:val="24"/>
        </w:rPr>
      </w:pPr>
    </w:p>
    <w:p>
      <w:pPr>
        <w:pStyle w:val="2"/>
        <w:rPr>
          <w:rFonts w:hint="eastAsia"/>
        </w:rPr>
      </w:pPr>
    </w:p>
    <w:p>
      <w:pPr>
        <w:pStyle w:val="57"/>
        <w:rPr>
          <w:rFonts w:hint="eastAsia" w:ascii="仿宋" w:hAnsi="仿宋" w:eastAsia="仿宋" w:cs="仿宋"/>
          <w:sz w:val="24"/>
        </w:rPr>
      </w:pPr>
    </w:p>
    <w:p>
      <w:pPr>
        <w:rPr>
          <w:rFonts w:hint="eastAsia"/>
        </w:rPr>
      </w:pPr>
    </w:p>
    <w:p>
      <w:pPr>
        <w:rPr>
          <w:rFonts w:hint="eastAsia"/>
        </w:rPr>
      </w:pPr>
    </w:p>
    <w:p>
      <w:pPr>
        <w:rPr>
          <w:rFonts w:hint="eastAsia" w:ascii="仿宋" w:hAnsi="仿宋" w:eastAsia="仿宋" w:cs="仿宋"/>
          <w:sz w:val="24"/>
        </w:rPr>
      </w:pPr>
    </w:p>
    <w:p>
      <w:pPr>
        <w:jc w:val="center"/>
        <w:rPr>
          <w:rFonts w:ascii="仿宋" w:hAnsi="仿宋" w:eastAsia="仿宋" w:cs="仿宋"/>
        </w:rPr>
      </w:pPr>
      <w:bookmarkStart w:id="51" w:name="_Toc17277_WPSOffice_Level1"/>
      <w:r>
        <w:rPr>
          <w:rFonts w:hint="eastAsia" w:ascii="仿宋" w:hAnsi="仿宋" w:eastAsia="仿宋" w:cs="仿宋"/>
          <w:b/>
          <w:bCs/>
          <w:sz w:val="30"/>
          <w:szCs w:val="30"/>
        </w:rPr>
        <w:t>第二章、</w:t>
      </w:r>
      <w:bookmarkEnd w:id="51"/>
      <w:r>
        <w:rPr>
          <w:rFonts w:hint="eastAsia" w:ascii="仿宋" w:hAnsi="仿宋" w:eastAsia="仿宋" w:cs="仿宋"/>
          <w:b/>
          <w:bCs/>
          <w:sz w:val="30"/>
          <w:szCs w:val="30"/>
        </w:rPr>
        <w:t>投标人须知前附表</w:t>
      </w:r>
    </w:p>
    <w:tbl>
      <w:tblPr>
        <w:tblStyle w:val="29"/>
        <w:tblW w:w="1017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45"/>
        <w:gridCol w:w="2616"/>
        <w:gridCol w:w="65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45" w:type="dxa"/>
            <w:vAlign w:val="center"/>
          </w:tcPr>
          <w:p>
            <w:pPr>
              <w:adjustRightInd w:val="0"/>
              <w:snapToGrid w:val="0"/>
              <w:jc w:val="center"/>
              <w:rPr>
                <w:rFonts w:ascii="仿宋" w:hAnsi="仿宋" w:eastAsia="仿宋" w:cs="仿宋"/>
                <w:b/>
                <w:sz w:val="24"/>
              </w:rPr>
            </w:pPr>
            <w:r>
              <w:rPr>
                <w:rFonts w:hint="eastAsia" w:ascii="仿宋" w:hAnsi="仿宋" w:eastAsia="仿宋" w:cs="仿宋"/>
                <w:b/>
                <w:sz w:val="24"/>
              </w:rPr>
              <w:t>条款号</w:t>
            </w:r>
          </w:p>
        </w:tc>
        <w:tc>
          <w:tcPr>
            <w:tcW w:w="2616" w:type="dxa"/>
            <w:vAlign w:val="center"/>
          </w:tcPr>
          <w:p>
            <w:pPr>
              <w:adjustRightInd w:val="0"/>
              <w:snapToGrid w:val="0"/>
              <w:jc w:val="center"/>
              <w:rPr>
                <w:rFonts w:ascii="仿宋" w:hAnsi="仿宋" w:eastAsia="仿宋" w:cs="仿宋"/>
                <w:b/>
                <w:sz w:val="24"/>
              </w:rPr>
            </w:pPr>
            <w:r>
              <w:rPr>
                <w:rFonts w:hint="eastAsia" w:ascii="仿宋" w:hAnsi="仿宋" w:eastAsia="仿宋" w:cs="仿宋"/>
                <w:b/>
                <w:sz w:val="24"/>
              </w:rPr>
              <w:t>条款名称</w:t>
            </w:r>
          </w:p>
        </w:tc>
        <w:tc>
          <w:tcPr>
            <w:tcW w:w="6509" w:type="dxa"/>
            <w:vAlign w:val="center"/>
          </w:tcPr>
          <w:p>
            <w:pPr>
              <w:adjustRightInd w:val="0"/>
              <w:snapToGrid w:val="0"/>
              <w:jc w:val="center"/>
              <w:rPr>
                <w:rFonts w:ascii="仿宋" w:hAnsi="仿宋" w:eastAsia="仿宋" w:cs="仿宋"/>
                <w:b/>
                <w:sz w:val="24"/>
              </w:rPr>
            </w:pPr>
            <w:r>
              <w:rPr>
                <w:rFonts w:hint="eastAsia" w:ascii="仿宋" w:hAnsi="仿宋" w:eastAsia="仿宋" w:cs="仿宋"/>
                <w:b/>
                <w:sz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1</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项目名称</w:t>
            </w:r>
          </w:p>
        </w:tc>
        <w:tc>
          <w:tcPr>
            <w:tcW w:w="6509" w:type="dxa"/>
            <w:vAlign w:val="center"/>
          </w:tcPr>
          <w:p>
            <w:pPr>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民丰县2022年科技人才创新合作资金项目（包二）二次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2</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采购内容</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lang w:eastAsia="zh-CN"/>
              </w:rPr>
              <w:t>编制民丰县医疗园区规划及编制民丰县兵地融合发展规划(城市副中心)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3</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采购方式</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4</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lang w:eastAsia="zh-CN"/>
              </w:rPr>
              <w:t>服务</w:t>
            </w:r>
            <w:r>
              <w:rPr>
                <w:rFonts w:hint="eastAsia" w:ascii="仿宋" w:hAnsi="仿宋" w:eastAsia="仿宋" w:cs="仿宋"/>
                <w:sz w:val="24"/>
              </w:rPr>
              <w:t>地点</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lang w:val="en-US" w:eastAsia="zh-CN"/>
              </w:rPr>
              <w:t>民丰县，或</w:t>
            </w:r>
            <w:r>
              <w:rPr>
                <w:rFonts w:hint="eastAsia" w:ascii="仿宋" w:hAnsi="仿宋" w:eastAsia="仿宋" w:cs="仿宋"/>
                <w:sz w:val="24"/>
              </w:rPr>
              <w:t>采购单位指定地点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5</w:t>
            </w:r>
          </w:p>
        </w:tc>
        <w:tc>
          <w:tcPr>
            <w:tcW w:w="2616" w:type="dxa"/>
            <w:vAlign w:val="center"/>
          </w:tcPr>
          <w:p>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服务期</w:t>
            </w:r>
          </w:p>
        </w:tc>
        <w:tc>
          <w:tcPr>
            <w:tcW w:w="6509" w:type="dxa"/>
            <w:vAlign w:val="center"/>
          </w:tcPr>
          <w:p>
            <w:pPr>
              <w:adjustRightInd w:val="0"/>
              <w:snapToGrid w:val="0"/>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30天（具体以与甲方签订合同为准）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6</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采购人</w:t>
            </w:r>
          </w:p>
        </w:tc>
        <w:tc>
          <w:tcPr>
            <w:tcW w:w="6509" w:type="dxa"/>
            <w:vAlign w:val="center"/>
          </w:tcPr>
          <w:p>
            <w:pPr>
              <w:adjustRightInd w:val="0"/>
              <w:snapToGrid w:val="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民丰县住房和城乡建设局</w:t>
            </w:r>
          </w:p>
          <w:p>
            <w:pPr>
              <w:adjustRightInd w:val="0"/>
              <w:snapToGrid w:val="0"/>
              <w:rPr>
                <w:rFonts w:hint="eastAsia" w:ascii="仿宋" w:hAnsi="仿宋" w:eastAsia="仿宋" w:cs="仿宋"/>
                <w:kern w:val="0"/>
                <w:sz w:val="24"/>
                <w:lang w:eastAsia="zh-CN"/>
              </w:rPr>
            </w:pPr>
            <w:r>
              <w:rPr>
                <w:rFonts w:hint="eastAsia" w:ascii="仿宋" w:hAnsi="仿宋" w:eastAsia="仿宋" w:cs="仿宋"/>
                <w:kern w:val="0"/>
                <w:sz w:val="24"/>
              </w:rPr>
              <w:t>项目联系人：</w:t>
            </w:r>
            <w:r>
              <w:rPr>
                <w:rFonts w:hint="eastAsia" w:ascii="仿宋" w:hAnsi="仿宋" w:eastAsia="仿宋" w:cs="仿宋"/>
                <w:kern w:val="0"/>
                <w:sz w:val="24"/>
                <w:lang w:eastAsia="zh-CN"/>
              </w:rPr>
              <w:t>仲佳灵</w:t>
            </w:r>
          </w:p>
          <w:p>
            <w:pPr>
              <w:adjustRightInd w:val="0"/>
              <w:snapToGrid w:val="0"/>
              <w:rPr>
                <w:rFonts w:ascii="仿宋" w:hAnsi="仿宋" w:eastAsia="仿宋" w:cs="仿宋"/>
                <w:kern w:val="0"/>
                <w:sz w:val="24"/>
              </w:rPr>
            </w:pPr>
            <w:r>
              <w:rPr>
                <w:rFonts w:hint="eastAsia" w:ascii="仿宋" w:hAnsi="仿宋" w:eastAsia="仿宋" w:cs="仿宋"/>
                <w:kern w:val="0"/>
                <w:sz w:val="24"/>
              </w:rPr>
              <w:t>联系方式：</w:t>
            </w:r>
            <w:r>
              <w:rPr>
                <w:rFonts w:hint="eastAsia" w:ascii="仿宋" w:hAnsi="仿宋" w:eastAsia="仿宋" w:cs="仿宋"/>
                <w:kern w:val="0"/>
                <w:sz w:val="24"/>
                <w:lang w:val="en-US" w:eastAsia="zh-CN"/>
              </w:rPr>
              <w:t>0903-7827671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7</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采购代理机构</w:t>
            </w:r>
          </w:p>
        </w:tc>
        <w:tc>
          <w:tcPr>
            <w:tcW w:w="6509" w:type="dxa"/>
            <w:vAlign w:val="center"/>
          </w:tcPr>
          <w:p>
            <w:pPr>
              <w:adjustRightInd w:val="0"/>
              <w:snapToGrid w:val="0"/>
              <w:rPr>
                <w:rFonts w:hint="eastAsia" w:ascii="仿宋" w:hAnsi="仿宋" w:eastAsia="仿宋" w:cs="仿宋"/>
                <w:sz w:val="24"/>
                <w:lang w:eastAsia="zh-CN"/>
              </w:rPr>
            </w:pPr>
            <w:r>
              <w:rPr>
                <w:rFonts w:hint="eastAsia" w:ascii="仿宋" w:hAnsi="仿宋" w:eastAsia="仿宋" w:cs="仿宋"/>
                <w:sz w:val="24"/>
                <w:lang w:eastAsia="zh-CN"/>
              </w:rPr>
              <w:t>新疆金木石项目管理有限公司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13"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8</w:t>
            </w:r>
          </w:p>
        </w:tc>
        <w:tc>
          <w:tcPr>
            <w:tcW w:w="2616" w:type="dxa"/>
            <w:vAlign w:val="center"/>
          </w:tcPr>
          <w:p>
            <w:pPr>
              <w:adjustRightInd w:val="0"/>
              <w:snapToGrid w:val="0"/>
              <w:rPr>
                <w:rFonts w:ascii="仿宋" w:hAnsi="仿宋" w:eastAsia="仿宋" w:cs="仿宋"/>
                <w:kern w:val="0"/>
                <w:sz w:val="24"/>
              </w:rPr>
            </w:pPr>
            <w:r>
              <w:rPr>
                <w:rFonts w:hint="eastAsia" w:ascii="仿宋" w:hAnsi="仿宋" w:eastAsia="仿宋" w:cs="仿宋"/>
                <w:bCs/>
                <w:sz w:val="24"/>
              </w:rPr>
              <w:t>供应商</w:t>
            </w:r>
            <w:r>
              <w:rPr>
                <w:rFonts w:hint="eastAsia" w:ascii="仿宋" w:hAnsi="仿宋" w:eastAsia="仿宋" w:cs="仿宋"/>
                <w:sz w:val="24"/>
              </w:rPr>
              <w:t>资格条件</w:t>
            </w:r>
          </w:p>
        </w:tc>
        <w:tc>
          <w:tcPr>
            <w:tcW w:w="6509" w:type="dxa"/>
            <w:vAlign w:val="center"/>
          </w:tcPr>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（1）经年审合格（三证合一）的营业执照；</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（2）法定代表人投标需携带法定代表人证明书及法定代表人身份证，委托代理人投标需携带法定代表人授权委托书及委托代理人身份证；提供企业（近半年中任意一个月）的社保缴费证明；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（3）提供税务机关出具的（近半年中任意一个月）的完税证明；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（4）提供2020年或2021年度由第三方财务审计机构出具的财务审计报告及财务制度（2022年度新成立公司提供资信证明）；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（6）单位负责人为同一人或者存在直接控股、管理关系的不同供应商，不得参加同一合同项下的政府采购活动；否则，皆取消投标资格；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（7）凡拟参加本次招标项目的供应商须提供“参加政府采购活动前3年内在经营活动中没有重大违法记录的书面声明；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（8）本项目不接受联合体投标。</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ascii="仿宋" w:hAnsi="仿宋" w:eastAsia="仿宋" w:cs="仿宋"/>
                <w:sz w:val="24"/>
              </w:rPr>
            </w:pPr>
            <w:r>
              <w:rPr>
                <w:rFonts w:hint="eastAsia" w:ascii="仿宋" w:hAnsi="仿宋" w:eastAsia="仿宋" w:cs="仿宋"/>
                <w:sz w:val="24"/>
                <w:lang w:val="en-US" w:eastAsia="zh-CN"/>
              </w:rPr>
              <w:t>2.本项目的特定资格要求：投标需具有城乡规划编制乙级及以上资质。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9</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联合体形式</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10</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对联合体各方的要求</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 w:hRule="atLeast"/>
          <w:jc w:val="center"/>
        </w:trPr>
        <w:tc>
          <w:tcPr>
            <w:tcW w:w="104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11</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现场考察</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rPr>
              <w:t>不组织，供应商自行对项目现场和其周围环境进行考察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7"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投标截止及开标时间</w:t>
            </w:r>
          </w:p>
        </w:tc>
        <w:tc>
          <w:tcPr>
            <w:tcW w:w="6509" w:type="dxa"/>
            <w:vAlign w:val="center"/>
          </w:tcPr>
          <w:p>
            <w:pPr>
              <w:jc w:val="left"/>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2</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13</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rPr>
              <w:t>时00分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采购项目预算</w:t>
            </w:r>
          </w:p>
        </w:tc>
        <w:tc>
          <w:tcPr>
            <w:tcW w:w="6509" w:type="dxa"/>
            <w:vAlign w:val="center"/>
          </w:tcPr>
          <w:p>
            <w:pPr>
              <w:jc w:val="left"/>
              <w:rPr>
                <w:rFonts w:ascii="仿宋" w:hAnsi="仿宋" w:eastAsia="仿宋" w:cs="仿宋"/>
                <w:kern w:val="0"/>
                <w:sz w:val="24"/>
              </w:rPr>
            </w:pPr>
            <w:r>
              <w:rPr>
                <w:rFonts w:hint="eastAsia" w:ascii="仿宋" w:hAnsi="仿宋" w:eastAsia="仿宋" w:cs="仿宋"/>
                <w:kern w:val="0"/>
                <w:sz w:val="24"/>
                <w:lang w:val="en-US" w:eastAsia="zh-CN"/>
              </w:rPr>
              <w:t>1200000.00</w:t>
            </w:r>
            <w:r>
              <w:rPr>
                <w:rFonts w:hint="eastAsia" w:ascii="仿宋" w:hAnsi="仿宋" w:eastAsia="仿宋" w:cs="仿宋"/>
                <w:kern w:val="0"/>
                <w:sz w:val="24"/>
              </w:rPr>
              <w:t>元（此采购金额为最高限价，如超过预算价的报价为无效报价）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4</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保证金</w:t>
            </w:r>
          </w:p>
        </w:tc>
        <w:tc>
          <w:tcPr>
            <w:tcW w:w="6509" w:type="dxa"/>
            <w:vAlign w:val="center"/>
          </w:tcPr>
          <w:p>
            <w:pPr>
              <w:jc w:val="left"/>
              <w:rPr>
                <w:rFonts w:ascii="仿宋" w:hAnsi="仿宋" w:eastAsia="仿宋" w:cs="仿宋"/>
                <w:kern w:val="0"/>
                <w:sz w:val="24"/>
              </w:rPr>
            </w:pPr>
            <w:r>
              <w:rPr>
                <w:rFonts w:hint="eastAsia" w:ascii="仿宋" w:hAnsi="仿宋" w:eastAsia="仿宋" w:cs="仿宋"/>
                <w:kern w:val="0"/>
                <w:sz w:val="24"/>
              </w:rPr>
              <w:t>投标保证金金额</w:t>
            </w:r>
            <w:r>
              <w:rPr>
                <w:rFonts w:hint="eastAsia" w:ascii="仿宋" w:hAnsi="仿宋" w:eastAsia="仿宋" w:cs="仿宋"/>
                <w:kern w:val="0"/>
                <w:sz w:val="24"/>
                <w:lang w:val="en-US" w:eastAsia="zh-CN"/>
              </w:rPr>
              <w:t>12</w:t>
            </w:r>
            <w:r>
              <w:rPr>
                <w:rFonts w:hint="eastAsia" w:ascii="仿宋" w:hAnsi="仿宋" w:eastAsia="仿宋" w:cs="仿宋"/>
                <w:kern w:val="0"/>
                <w:sz w:val="24"/>
                <w:lang w:eastAsia="zh-CN"/>
              </w:rPr>
              <w:t>000</w:t>
            </w:r>
            <w:r>
              <w:rPr>
                <w:rFonts w:hint="eastAsia" w:ascii="仿宋" w:hAnsi="仿宋" w:eastAsia="仿宋" w:cs="仿宋"/>
                <w:kern w:val="0"/>
                <w:sz w:val="24"/>
              </w:rPr>
              <w:t>元（大写：</w:t>
            </w:r>
            <w:r>
              <w:rPr>
                <w:rFonts w:hint="eastAsia" w:ascii="仿宋" w:hAnsi="仿宋" w:eastAsia="仿宋" w:cs="仿宋"/>
                <w:kern w:val="0"/>
                <w:sz w:val="24"/>
                <w:lang w:eastAsia="zh-CN"/>
              </w:rPr>
              <w:t>壹万贰仟</w:t>
            </w:r>
            <w:r>
              <w:rPr>
                <w:rFonts w:hint="eastAsia" w:ascii="仿宋" w:hAnsi="仿宋" w:eastAsia="仿宋" w:cs="仿宋"/>
                <w:kern w:val="0"/>
                <w:sz w:val="24"/>
              </w:rPr>
              <w:t>元整）；</w:t>
            </w:r>
          </w:p>
          <w:p>
            <w:pPr>
              <w:jc w:val="left"/>
              <w:rPr>
                <w:rFonts w:ascii="仿宋" w:hAnsi="仿宋" w:eastAsia="仿宋" w:cs="仿宋"/>
                <w:kern w:val="0"/>
                <w:sz w:val="24"/>
              </w:rPr>
            </w:pPr>
            <w:r>
              <w:rPr>
                <w:rFonts w:hint="eastAsia" w:ascii="仿宋" w:hAnsi="仿宋" w:eastAsia="仿宋" w:cs="仿宋"/>
                <w:kern w:val="0"/>
                <w:sz w:val="24"/>
              </w:rPr>
              <w:t>投标保证金缴纳账户：</w:t>
            </w:r>
          </w:p>
          <w:p>
            <w:pPr>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开户名称：民丰县行政服务和公共资源交易中心</w:t>
            </w:r>
          </w:p>
          <w:p>
            <w:pPr>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开户银行：中国农业银行股份有限公司民丰县支行</w:t>
            </w:r>
          </w:p>
          <w:p>
            <w:pPr>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账号：30582301040020842</w:t>
            </w:r>
          </w:p>
          <w:p>
            <w:pPr>
              <w:jc w:val="left"/>
              <w:rPr>
                <w:rFonts w:ascii="仿宋" w:hAnsi="仿宋" w:eastAsia="仿宋" w:cs="仿宋"/>
                <w:kern w:val="0"/>
                <w:sz w:val="24"/>
              </w:rPr>
            </w:pPr>
            <w:r>
              <w:rPr>
                <w:rFonts w:hint="eastAsia" w:ascii="仿宋" w:hAnsi="仿宋" w:eastAsia="仿宋" w:cs="仿宋"/>
                <w:kern w:val="0"/>
                <w:sz w:val="24"/>
                <w:lang w:val="en-US" w:eastAsia="zh-CN"/>
              </w:rPr>
              <w:t>注：投标人缴纳投标保证金缴纳的截止时间为2022年6月12日19：30（北京时间），缴纳投标保证金时应在付款用途里标明项目名称民丰县2022年科技人才创新合作资金项目（包二）二次及用途。投标保证金以进账时间为准，投标人在缴纳投标保证金时，应充分考虑资金在途时间；开标前投标人无需至</w:t>
            </w:r>
            <w:r>
              <w:rPr>
                <w:rFonts w:hint="eastAsia" w:ascii="仿宋" w:hAnsi="仿宋" w:eastAsia="仿宋" w:cs="仿宋"/>
                <w:kern w:val="0"/>
                <w:sz w:val="24"/>
                <w:lang w:eastAsia="zh-CN"/>
              </w:rPr>
              <w:t>民丰县行政服务和公共资源交易中心</w:t>
            </w:r>
            <w:r>
              <w:rPr>
                <w:rFonts w:hint="eastAsia" w:ascii="仿宋" w:hAnsi="仿宋" w:eastAsia="仿宋" w:cs="仿宋"/>
                <w:kern w:val="0"/>
                <w:sz w:val="24"/>
                <w:lang w:val="en-US" w:eastAsia="zh-CN"/>
              </w:rPr>
              <w:t>换取保证金收据。</w:t>
            </w:r>
            <w:r>
              <w:rPr>
                <w:rFonts w:hint="eastAsia" w:ascii="仿宋" w:hAnsi="仿宋" w:eastAsia="仿宋" w:cs="仿宋"/>
                <w:kern w:val="0"/>
                <w:sz w:val="24"/>
              </w:rPr>
              <w:t>其他以私人名义或现金缴纳等存入、汇款方式均视为无效投标保证金，未按规定时间交保证金的投标商不得参加本次投标（以到账时间为准）。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5</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投标文件有效期</w:t>
            </w:r>
          </w:p>
        </w:tc>
        <w:tc>
          <w:tcPr>
            <w:tcW w:w="6509" w:type="dxa"/>
            <w:vAlign w:val="center"/>
          </w:tcPr>
          <w:p>
            <w:pPr>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9</w:t>
            </w:r>
            <w:r>
              <w:rPr>
                <w:rFonts w:hint="eastAsia" w:ascii="仿宋" w:hAnsi="仿宋" w:eastAsia="仿宋" w:cs="仿宋"/>
                <w:kern w:val="0"/>
                <w:sz w:val="24"/>
                <w:lang w:eastAsia="zh-CN"/>
              </w:rPr>
              <w:t>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投标文件副本份数</w:t>
            </w:r>
          </w:p>
        </w:tc>
        <w:tc>
          <w:tcPr>
            <w:tcW w:w="6509" w:type="dxa"/>
            <w:vAlign w:val="center"/>
          </w:tcPr>
          <w:p>
            <w:pPr>
              <w:jc w:val="left"/>
              <w:rPr>
                <w:rFonts w:ascii="仿宋" w:hAnsi="仿宋" w:eastAsia="仿宋" w:cs="仿宋"/>
                <w:kern w:val="0"/>
                <w:sz w:val="24"/>
              </w:rPr>
            </w:pPr>
            <w:r>
              <w:rPr>
                <w:rFonts w:hint="eastAsia" w:ascii="仿宋" w:hAnsi="仿宋" w:eastAsia="仿宋" w:cs="仿宋"/>
                <w:kern w:val="0"/>
                <w:sz w:val="24"/>
              </w:rPr>
              <w:t>纸质版文件：正本一份，副本</w:t>
            </w:r>
            <w:r>
              <w:rPr>
                <w:rFonts w:hint="eastAsia" w:ascii="仿宋" w:hAnsi="仿宋" w:eastAsia="仿宋" w:cs="仿宋"/>
                <w:kern w:val="0"/>
                <w:sz w:val="24"/>
                <w:lang w:eastAsia="zh-CN"/>
              </w:rPr>
              <w:t>两</w:t>
            </w:r>
            <w:r>
              <w:rPr>
                <w:rFonts w:hint="eastAsia" w:ascii="仿宋" w:hAnsi="仿宋" w:eastAsia="仿宋" w:cs="仿宋"/>
                <w:kern w:val="0"/>
                <w:sz w:val="24"/>
              </w:rPr>
              <w:t>份；</w:t>
            </w:r>
          </w:p>
          <w:p>
            <w:pPr>
              <w:jc w:val="left"/>
              <w:rPr>
                <w:rFonts w:hint="eastAsia" w:ascii="仿宋" w:hAnsi="仿宋" w:eastAsia="仿宋" w:cs="仿宋"/>
                <w:kern w:val="0"/>
                <w:sz w:val="24"/>
              </w:rPr>
            </w:pPr>
            <w:r>
              <w:rPr>
                <w:rFonts w:hint="eastAsia" w:ascii="仿宋" w:hAnsi="仿宋" w:eastAsia="仿宋" w:cs="仿宋"/>
                <w:kern w:val="0"/>
                <w:sz w:val="24"/>
              </w:rPr>
              <w:t>电子版文件：一份（包括投标文件正本全部内容；以U盘形式递交）；</w:t>
            </w:r>
          </w:p>
          <w:p>
            <w:pPr>
              <w:jc w:val="left"/>
              <w:rPr>
                <w:rFonts w:hint="eastAsia" w:ascii="仿宋" w:hAnsi="仿宋" w:eastAsia="仿宋" w:cs="仿宋"/>
                <w:sz w:val="24"/>
                <w:lang w:eastAsia="zh-CN"/>
              </w:rPr>
            </w:pPr>
            <w:r>
              <w:rPr>
                <w:rFonts w:hint="eastAsia" w:ascii="仿宋" w:hAnsi="仿宋" w:eastAsia="仿宋" w:cs="仿宋"/>
                <w:sz w:val="24"/>
              </w:rPr>
              <w:t>开标一览表</w:t>
            </w:r>
            <w:r>
              <w:rPr>
                <w:rFonts w:hint="eastAsia" w:ascii="仿宋" w:hAnsi="仿宋" w:eastAsia="仿宋" w:cs="仿宋"/>
                <w:sz w:val="24"/>
                <w:lang w:eastAsia="zh-CN"/>
              </w:rPr>
              <w:t>（</w:t>
            </w:r>
            <w:r>
              <w:rPr>
                <w:rFonts w:hint="eastAsia" w:ascii="仿宋" w:hAnsi="仿宋" w:eastAsia="仿宋" w:cs="仿宋"/>
                <w:sz w:val="24"/>
                <w:lang w:val="en-US" w:eastAsia="zh-CN"/>
              </w:rPr>
              <w:t>格式自拟</w:t>
            </w:r>
            <w:r>
              <w:rPr>
                <w:rFonts w:hint="eastAsia" w:ascii="仿宋" w:hAnsi="仿宋" w:eastAsia="仿宋" w:cs="仿宋"/>
                <w:sz w:val="24"/>
                <w:lang w:eastAsia="zh-CN"/>
              </w:rPr>
              <w:t>）：一份</w:t>
            </w:r>
          </w:p>
          <w:p>
            <w:pPr>
              <w:jc w:val="left"/>
            </w:pPr>
            <w:r>
              <w:rPr>
                <w:rFonts w:hint="eastAsia" w:ascii="仿宋" w:hAnsi="仿宋" w:eastAsia="仿宋" w:cs="仿宋"/>
                <w:sz w:val="24"/>
                <w:lang w:eastAsia="zh-CN"/>
              </w:rPr>
              <w:t>以上格式单独封装</w:t>
            </w:r>
          </w:p>
          <w:p>
            <w:pPr>
              <w:jc w:val="left"/>
              <w:rPr>
                <w:rFonts w:ascii="仿宋" w:hAnsi="仿宋" w:eastAsia="仿宋" w:cs="仿宋"/>
                <w:kern w:val="0"/>
                <w:sz w:val="24"/>
              </w:rPr>
            </w:pPr>
            <w:r>
              <w:rPr>
                <w:rFonts w:hint="eastAsia" w:ascii="仿宋" w:hAnsi="仿宋" w:eastAsia="仿宋" w:cs="仿宋"/>
                <w:kern w:val="0"/>
                <w:sz w:val="24"/>
              </w:rPr>
              <w:t>1、电子版文件要求包含投标文件正本全部内容，电子版表面标记单位名称。电子版文件内容与投标文件正本内容不一致时以投标文件正本为准。</w:t>
            </w:r>
          </w:p>
          <w:p>
            <w:pPr>
              <w:jc w:val="left"/>
              <w:rPr>
                <w:rFonts w:ascii="仿宋" w:hAnsi="仿宋" w:eastAsia="仿宋" w:cs="仿宋"/>
                <w:kern w:val="0"/>
                <w:sz w:val="24"/>
              </w:rPr>
            </w:pPr>
            <w:r>
              <w:rPr>
                <w:rFonts w:hint="eastAsia" w:ascii="仿宋" w:hAnsi="仿宋" w:eastAsia="仿宋" w:cs="仿宋"/>
                <w:kern w:val="0"/>
                <w:sz w:val="24"/>
              </w:rPr>
              <w:t>2、凡进入开标、唱标程序的投标文件概不退还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35"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封套上应载明的信息</w:t>
            </w:r>
          </w:p>
        </w:tc>
        <w:tc>
          <w:tcPr>
            <w:tcW w:w="6509" w:type="dxa"/>
            <w:vAlign w:val="center"/>
          </w:tcPr>
          <w:p>
            <w:pPr>
              <w:jc w:val="left"/>
              <w:rPr>
                <w:rFonts w:ascii="仿宋" w:hAnsi="仿宋" w:eastAsia="仿宋" w:cs="仿宋"/>
                <w:kern w:val="0"/>
                <w:sz w:val="24"/>
              </w:rPr>
            </w:pPr>
            <w:r>
              <w:rPr>
                <w:rFonts w:hint="eastAsia" w:ascii="仿宋" w:hAnsi="仿宋" w:eastAsia="仿宋" w:cs="仿宋"/>
                <w:kern w:val="0"/>
                <w:sz w:val="24"/>
              </w:rPr>
              <w:t xml:space="preserve">采购人名称：    </w:t>
            </w:r>
          </w:p>
          <w:p>
            <w:pPr>
              <w:jc w:val="left"/>
              <w:rPr>
                <w:rFonts w:ascii="仿宋" w:hAnsi="仿宋" w:eastAsia="仿宋" w:cs="仿宋"/>
                <w:kern w:val="0"/>
                <w:sz w:val="24"/>
              </w:rPr>
            </w:pPr>
            <w:r>
              <w:rPr>
                <w:rFonts w:hint="eastAsia" w:ascii="仿宋" w:hAnsi="仿宋" w:eastAsia="仿宋" w:cs="仿宋"/>
                <w:kern w:val="0"/>
                <w:sz w:val="24"/>
              </w:rPr>
              <w:t xml:space="preserve">编号：                                         </w:t>
            </w:r>
          </w:p>
          <w:p>
            <w:pPr>
              <w:jc w:val="left"/>
              <w:rPr>
                <w:rFonts w:ascii="仿宋" w:hAnsi="仿宋" w:eastAsia="仿宋" w:cs="仿宋"/>
                <w:kern w:val="0"/>
                <w:sz w:val="24"/>
              </w:rPr>
            </w:pPr>
            <w:r>
              <w:rPr>
                <w:rFonts w:hint="eastAsia" w:ascii="仿宋" w:hAnsi="仿宋" w:eastAsia="仿宋" w:cs="仿宋"/>
                <w:kern w:val="0"/>
                <w:sz w:val="24"/>
              </w:rPr>
              <w:t>项目名称：</w:t>
            </w:r>
          </w:p>
          <w:p>
            <w:pPr>
              <w:jc w:val="left"/>
              <w:rPr>
                <w:rFonts w:ascii="仿宋" w:hAnsi="仿宋" w:eastAsia="仿宋" w:cs="仿宋"/>
                <w:kern w:val="0"/>
                <w:sz w:val="24"/>
              </w:rPr>
            </w:pPr>
            <w:r>
              <w:rPr>
                <w:rFonts w:hint="eastAsia" w:ascii="仿宋" w:hAnsi="仿宋" w:eastAsia="仿宋" w:cs="仿宋"/>
                <w:kern w:val="0"/>
                <w:sz w:val="24"/>
              </w:rPr>
              <w:t>包装内容：投标文件正本/副本/电子版投标文件</w:t>
            </w:r>
          </w:p>
          <w:p>
            <w:pPr>
              <w:jc w:val="left"/>
              <w:rPr>
                <w:rFonts w:ascii="仿宋" w:hAnsi="仿宋" w:eastAsia="仿宋" w:cs="仿宋"/>
                <w:kern w:val="0"/>
                <w:sz w:val="24"/>
              </w:rPr>
            </w:pPr>
            <w:r>
              <w:rPr>
                <w:rFonts w:hint="eastAsia" w:ascii="仿宋" w:hAnsi="仿宋" w:eastAsia="仿宋" w:cs="仿宋"/>
                <w:kern w:val="0"/>
                <w:sz w:val="24"/>
              </w:rPr>
              <w:t xml:space="preserve">供应商名称：                 </w:t>
            </w:r>
          </w:p>
          <w:p>
            <w:pPr>
              <w:jc w:val="left"/>
              <w:rPr>
                <w:rFonts w:ascii="仿宋" w:hAnsi="仿宋" w:eastAsia="仿宋" w:cs="仿宋"/>
                <w:kern w:val="0"/>
                <w:sz w:val="24"/>
              </w:rPr>
            </w:pPr>
            <w:r>
              <w:rPr>
                <w:rFonts w:hint="eastAsia" w:ascii="仿宋" w:hAnsi="仿宋" w:eastAsia="仿宋" w:cs="仿宋"/>
                <w:kern w:val="0"/>
                <w:sz w:val="24"/>
              </w:rPr>
              <w:t xml:space="preserve">供应商地址：                 </w:t>
            </w:r>
          </w:p>
          <w:p>
            <w:pPr>
              <w:jc w:val="left"/>
              <w:rPr>
                <w:rFonts w:ascii="仿宋" w:hAnsi="仿宋" w:eastAsia="仿宋" w:cs="仿宋"/>
                <w:kern w:val="0"/>
                <w:sz w:val="24"/>
              </w:rPr>
            </w:pPr>
            <w:r>
              <w:rPr>
                <w:rFonts w:hint="eastAsia" w:ascii="仿宋" w:hAnsi="仿宋" w:eastAsia="仿宋" w:cs="仿宋"/>
                <w:kern w:val="0"/>
                <w:sz w:val="24"/>
              </w:rPr>
              <w:t xml:space="preserve">联 系 人：                   </w:t>
            </w:r>
          </w:p>
          <w:p>
            <w:pPr>
              <w:jc w:val="left"/>
              <w:rPr>
                <w:rFonts w:ascii="仿宋" w:hAnsi="仿宋" w:eastAsia="仿宋" w:cs="仿宋"/>
                <w:kern w:val="0"/>
                <w:sz w:val="24"/>
              </w:rPr>
            </w:pPr>
            <w:r>
              <w:rPr>
                <w:rFonts w:hint="eastAsia" w:ascii="仿宋" w:hAnsi="仿宋" w:eastAsia="仿宋" w:cs="仿宋"/>
                <w:kern w:val="0"/>
                <w:sz w:val="24"/>
              </w:rPr>
              <w:t xml:space="preserve">联系电话：                   </w:t>
            </w:r>
          </w:p>
          <w:p>
            <w:pPr>
              <w:jc w:val="left"/>
              <w:rPr>
                <w:rFonts w:ascii="仿宋" w:hAnsi="仿宋" w:eastAsia="仿宋" w:cs="仿宋"/>
                <w:kern w:val="0"/>
                <w:sz w:val="24"/>
              </w:rPr>
            </w:pPr>
            <w:r>
              <w:rPr>
                <w:rFonts w:hint="eastAsia" w:ascii="仿宋" w:hAnsi="仿宋" w:eastAsia="仿宋" w:cs="仿宋"/>
                <w:kern w:val="0"/>
                <w:sz w:val="24"/>
              </w:rPr>
              <w:t xml:space="preserve">传    真：                   </w:t>
            </w:r>
          </w:p>
          <w:p>
            <w:pPr>
              <w:jc w:val="left"/>
              <w:rPr>
                <w:rFonts w:ascii="仿宋" w:hAnsi="仿宋" w:eastAsia="仿宋" w:cs="仿宋"/>
                <w:kern w:val="0"/>
                <w:sz w:val="24"/>
              </w:rPr>
            </w:pPr>
            <w:r>
              <w:rPr>
                <w:rFonts w:hint="eastAsia" w:ascii="仿宋" w:hAnsi="仿宋" w:eastAsia="仿宋" w:cs="仿宋"/>
                <w:kern w:val="0"/>
                <w:sz w:val="24"/>
              </w:rPr>
              <w:t>在规定的投标截止时间  年 月 日  ：  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7"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8</w:t>
            </w:r>
          </w:p>
        </w:tc>
        <w:tc>
          <w:tcPr>
            <w:tcW w:w="2616" w:type="dxa"/>
            <w:vAlign w:val="center"/>
          </w:tcPr>
          <w:p>
            <w:pPr>
              <w:jc w:val="left"/>
              <w:rPr>
                <w:rFonts w:ascii="仿宋" w:hAnsi="仿宋" w:eastAsia="仿宋" w:cs="仿宋"/>
                <w:kern w:val="0"/>
                <w:sz w:val="24"/>
              </w:rPr>
            </w:pPr>
            <w:r>
              <w:rPr>
                <w:rFonts w:hint="eastAsia" w:ascii="仿宋" w:hAnsi="仿宋" w:eastAsia="仿宋" w:cs="仿宋"/>
                <w:kern w:val="0"/>
                <w:sz w:val="24"/>
              </w:rPr>
              <w:t>投标文件的递交地点</w:t>
            </w:r>
          </w:p>
        </w:tc>
        <w:tc>
          <w:tcPr>
            <w:tcW w:w="6509" w:type="dxa"/>
            <w:vAlign w:val="center"/>
          </w:tcPr>
          <w:p>
            <w:pPr>
              <w:jc w:val="left"/>
              <w:rPr>
                <w:rFonts w:hint="eastAsia" w:ascii="仿宋" w:hAnsi="仿宋" w:eastAsia="仿宋" w:cs="仿宋"/>
                <w:kern w:val="0"/>
                <w:sz w:val="24"/>
                <w:lang w:eastAsia="zh-CN"/>
              </w:rPr>
            </w:pPr>
            <w:r>
              <w:rPr>
                <w:rFonts w:hint="eastAsia" w:ascii="仿宋" w:hAnsi="仿宋" w:eastAsia="仿宋" w:cs="仿宋"/>
                <w:kern w:val="0"/>
                <w:sz w:val="24"/>
                <w:lang w:eastAsia="zh-CN"/>
              </w:rPr>
              <w:t>民丰县行政服务和公共资源交易中心（民丰县买迪尼也提东路7号）民丰县青少年活动中心二楼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jc w:val="center"/>
        </w:trPr>
        <w:tc>
          <w:tcPr>
            <w:tcW w:w="1045" w:type="dxa"/>
            <w:vAlign w:val="center"/>
          </w:tcPr>
          <w:p>
            <w:pPr>
              <w:adjustRightInd w:val="0"/>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19</w:t>
            </w:r>
          </w:p>
        </w:tc>
        <w:tc>
          <w:tcPr>
            <w:tcW w:w="2616" w:type="dxa"/>
            <w:vAlign w:val="center"/>
          </w:tcPr>
          <w:p>
            <w:pPr>
              <w:adjustRightInd w:val="0"/>
              <w:snapToGrid w:val="0"/>
              <w:rPr>
                <w:rFonts w:ascii="仿宋" w:hAnsi="仿宋" w:eastAsia="仿宋" w:cs="仿宋"/>
                <w:sz w:val="24"/>
              </w:rPr>
            </w:pPr>
            <w:r>
              <w:rPr>
                <w:rFonts w:hint="eastAsia" w:ascii="仿宋" w:hAnsi="仿宋" w:eastAsia="仿宋" w:cs="仿宋"/>
                <w:sz w:val="24"/>
              </w:rPr>
              <w:t>采购代理服务费</w:t>
            </w:r>
          </w:p>
        </w:tc>
        <w:tc>
          <w:tcPr>
            <w:tcW w:w="6509" w:type="dxa"/>
            <w:vAlign w:val="center"/>
          </w:tcPr>
          <w:p>
            <w:pPr>
              <w:adjustRightInd w:val="0"/>
              <w:snapToGrid w:val="0"/>
              <w:rPr>
                <w:rFonts w:ascii="仿宋" w:hAnsi="仿宋" w:eastAsia="仿宋" w:cs="仿宋"/>
                <w:sz w:val="24"/>
              </w:rPr>
            </w:pPr>
            <w:r>
              <w:rPr>
                <w:rFonts w:hint="eastAsia" w:ascii="仿宋" w:hAnsi="仿宋" w:eastAsia="仿宋" w:cs="仿宋"/>
                <w:sz w:val="24"/>
              </w:rPr>
              <w:t>招标代理服务费参照国家发改委计价格[2002]1980号文件的规定计取。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31" w:hRule="atLeast"/>
          <w:jc w:val="center"/>
        </w:trPr>
        <w:tc>
          <w:tcPr>
            <w:tcW w:w="1045" w:type="dxa"/>
            <w:vAlign w:val="center"/>
          </w:tcPr>
          <w:p>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0</w:t>
            </w:r>
          </w:p>
        </w:tc>
        <w:tc>
          <w:tcPr>
            <w:tcW w:w="2616" w:type="dxa"/>
            <w:vAlign w:val="center"/>
          </w:tcPr>
          <w:p>
            <w:pPr>
              <w:adjustRightInd w:val="0"/>
              <w:snapToGrid w:val="0"/>
              <w:rPr>
                <w:rFonts w:hint="eastAsia" w:ascii="仿宋" w:hAnsi="仿宋" w:eastAsia="仿宋" w:cs="仿宋"/>
                <w:sz w:val="24"/>
                <w:lang w:eastAsia="zh-CN"/>
              </w:rPr>
            </w:pPr>
            <w:r>
              <w:rPr>
                <w:rFonts w:hint="eastAsia" w:ascii="仿宋" w:hAnsi="仿宋" w:eastAsia="仿宋" w:cs="仿宋"/>
                <w:sz w:val="24"/>
              </w:rPr>
              <w:t>招标会现场供应商需提供下列证件原件</w:t>
            </w:r>
            <w:r>
              <w:rPr>
                <w:rFonts w:hint="eastAsia" w:ascii="仿宋" w:hAnsi="仿宋" w:eastAsia="仿宋" w:cs="仿宋"/>
                <w:sz w:val="24"/>
                <w:lang w:eastAsia="zh-CN"/>
              </w:rPr>
              <w:t>或加盖公章的复印件</w:t>
            </w:r>
          </w:p>
        </w:tc>
        <w:tc>
          <w:tcPr>
            <w:tcW w:w="6509" w:type="dxa"/>
            <w:vAlign w:val="center"/>
          </w:tcPr>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（1）营业执照；</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（2）法定代表人投标需携带法定代表人证明书及法定代表人身份证，委托代理人投标需携带法定代表人授权委托书及委托代理人身份证；提供企业（近半年中任意一个月）的社保缴费证明；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（3）提供税务机关出具的（近半年中任意一个月）的完税证明；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（4）提供2020年或2021年度由第三方财务审计机构出具的财务审计报告及财务制度（2022年度新成立公司提供资信证明）；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（6）凡拟参加本次招标项目的供应商须提供“参加政府采购活动前3年内在经营活动中没有重大违法记录的书面声明；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ascii="仿宋" w:hAnsi="仿宋" w:eastAsia="仿宋" w:cs="仿宋"/>
                <w:sz w:val="24"/>
              </w:rPr>
            </w:pPr>
            <w:r>
              <w:rPr>
                <w:rFonts w:hint="eastAsia" w:ascii="仿宋" w:hAnsi="仿宋" w:eastAsia="仿宋" w:cs="仿宋"/>
                <w:sz w:val="24"/>
                <w:lang w:val="en-US" w:eastAsia="zh-CN"/>
              </w:rPr>
              <w:t>（7）投标需具有城乡规划编制乙级及以上资质。</w:t>
            </w:r>
          </w:p>
        </w:tc>
      </w:tr>
    </w:tbl>
    <w:p>
      <w:pPr>
        <w:jc w:val="center"/>
        <w:rPr>
          <w:rFonts w:ascii="仿宋" w:hAnsi="仿宋" w:eastAsia="仿宋" w:cs="仿宋"/>
          <w:b/>
          <w:bCs/>
          <w:sz w:val="24"/>
        </w:rPr>
        <w:sectPr>
          <w:footerReference r:id="rId4" w:type="default"/>
          <w:pgSz w:w="11906" w:h="16838"/>
          <w:pgMar w:top="1548" w:right="1247" w:bottom="1134" w:left="1247" w:header="851" w:footer="992" w:gutter="227"/>
          <w:pgNumType w:fmt="numberInDash" w:start="1"/>
          <w:cols w:space="720" w:num="1"/>
          <w:docGrid w:type="lines" w:linePitch="312" w:charSpace="0"/>
        </w:sectPr>
      </w:pPr>
    </w:p>
    <w:p>
      <w:pPr>
        <w:spacing w:line="360" w:lineRule="auto"/>
        <w:outlineLvl w:val="2"/>
        <w:rPr>
          <w:rFonts w:ascii="仿宋" w:hAnsi="仿宋" w:eastAsia="仿宋" w:cs="仿宋"/>
          <w:b/>
          <w:sz w:val="24"/>
        </w:rPr>
      </w:pPr>
      <w:bookmarkStart w:id="52" w:name="_Toc30964_WPSOffice_Level3"/>
      <w:r>
        <w:rPr>
          <w:rFonts w:hint="eastAsia" w:ascii="仿宋" w:hAnsi="仿宋" w:eastAsia="仿宋" w:cs="仿宋"/>
          <w:b/>
          <w:sz w:val="24"/>
        </w:rPr>
        <w:t>1. 适用范围</w:t>
      </w:r>
      <w:bookmarkEnd w:id="52"/>
    </w:p>
    <w:p>
      <w:pPr>
        <w:spacing w:line="360" w:lineRule="auto"/>
        <w:rPr>
          <w:rFonts w:ascii="仿宋" w:hAnsi="仿宋" w:eastAsia="仿宋" w:cs="仿宋"/>
          <w:sz w:val="24"/>
        </w:rPr>
      </w:pPr>
      <w:r>
        <w:rPr>
          <w:rFonts w:hint="eastAsia" w:ascii="仿宋" w:hAnsi="仿宋" w:eastAsia="仿宋" w:cs="仿宋"/>
          <w:sz w:val="24"/>
        </w:rPr>
        <w:t>1.1  本谈判文件仅适用于</w:t>
      </w:r>
      <w:r>
        <w:rPr>
          <w:rFonts w:hint="eastAsia" w:ascii="仿宋" w:hAnsi="仿宋" w:eastAsia="仿宋" w:cs="仿宋"/>
          <w:sz w:val="24"/>
          <w:lang w:eastAsia="zh-CN"/>
        </w:rPr>
        <w:t>新疆金木石项目管理有限公司</w:t>
      </w:r>
      <w:r>
        <w:rPr>
          <w:rFonts w:hint="eastAsia" w:ascii="仿宋" w:hAnsi="仿宋" w:eastAsia="仿宋" w:cs="仿宋"/>
          <w:sz w:val="24"/>
        </w:rPr>
        <w:t>的本次招标活动。</w:t>
      </w:r>
    </w:p>
    <w:p>
      <w:pPr>
        <w:tabs>
          <w:tab w:val="left" w:pos="1185"/>
        </w:tabs>
        <w:spacing w:line="360" w:lineRule="auto"/>
        <w:outlineLvl w:val="2"/>
        <w:rPr>
          <w:rFonts w:ascii="仿宋" w:hAnsi="仿宋" w:eastAsia="仿宋" w:cs="仿宋"/>
          <w:b/>
          <w:sz w:val="24"/>
        </w:rPr>
      </w:pPr>
      <w:bookmarkStart w:id="53" w:name="_Toc8974_WPSOffice_Level3"/>
      <w:r>
        <w:rPr>
          <w:rFonts w:hint="eastAsia" w:ascii="仿宋" w:hAnsi="仿宋" w:eastAsia="仿宋" w:cs="仿宋"/>
          <w:b/>
          <w:sz w:val="24"/>
        </w:rPr>
        <w:t>2. 投标资格</w:t>
      </w:r>
      <w:bookmarkEnd w:id="53"/>
    </w:p>
    <w:p>
      <w:pPr>
        <w:spacing w:line="360" w:lineRule="auto"/>
        <w:rPr>
          <w:rFonts w:ascii="仿宋" w:hAnsi="仿宋" w:eastAsia="仿宋" w:cs="仿宋"/>
          <w:sz w:val="24"/>
        </w:rPr>
      </w:pPr>
      <w:r>
        <w:rPr>
          <w:rFonts w:hint="eastAsia" w:ascii="仿宋" w:hAnsi="仿宋" w:eastAsia="仿宋" w:cs="仿宋"/>
          <w:sz w:val="24"/>
        </w:rPr>
        <w:t>2.1  且具有承担本项目的能力以及符合下述条件的投标供应商：</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1.满足《中华人民共和国政府采购法》第二十二条规定；</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（1）经年审合格（三证合一）的营业执照；</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（2）法定代表人投标需携带法定代表人证明书及法定代表人身份证，委托代理人投标需携带法定代表人授权委托书及委托代理人身份证；提供企业（近</w:t>
      </w:r>
      <w:r>
        <w:rPr>
          <w:rFonts w:hint="eastAsia" w:ascii="仿宋" w:hAnsi="仿宋" w:eastAsia="仿宋" w:cs="仿宋"/>
          <w:sz w:val="24"/>
          <w:lang w:val="en-US" w:eastAsia="zh-CN"/>
        </w:rPr>
        <w:t>半年</w:t>
      </w:r>
      <w:r>
        <w:rPr>
          <w:rFonts w:hint="eastAsia" w:ascii="仿宋" w:hAnsi="仿宋" w:eastAsia="仿宋" w:cs="仿宋"/>
          <w:b w:val="0"/>
          <w:bCs w:val="0"/>
          <w:sz w:val="24"/>
          <w:lang w:val="en-US" w:eastAsia="zh-CN"/>
        </w:rPr>
        <w:t>中任意一个月）的社保缴费证明；</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（3）提供税务机关出具的（近</w:t>
      </w:r>
      <w:r>
        <w:rPr>
          <w:rFonts w:hint="eastAsia" w:ascii="仿宋" w:hAnsi="仿宋" w:eastAsia="仿宋" w:cs="仿宋"/>
          <w:sz w:val="24"/>
          <w:lang w:val="en-US" w:eastAsia="zh-CN"/>
        </w:rPr>
        <w:t>半年</w:t>
      </w:r>
      <w:r>
        <w:rPr>
          <w:rFonts w:hint="eastAsia" w:ascii="仿宋" w:hAnsi="仿宋" w:eastAsia="仿宋" w:cs="仿宋"/>
          <w:b w:val="0"/>
          <w:bCs w:val="0"/>
          <w:sz w:val="24"/>
          <w:lang w:val="en-US" w:eastAsia="zh-CN"/>
        </w:rPr>
        <w:t>中任意一个月）的完税证明；</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（4）提供2020年或2021年度由第三方财务审计机构出具的财务审计报告及财务制度（2022年度新成立公司提供资信证明）；</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（6）单位负责人为同一人或者存在直接控股、管理关系的不同供应商，不得参加同一合同项下的政府采购活动；否则，皆取消投标资格；</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（7）凡拟参加本次招标项目的供应商须提供“参加政府采购活动前3年内在经营活动中没有重大违法记录的书面声明；</w:t>
      </w:r>
    </w:p>
    <w:p>
      <w:pPr>
        <w:spacing w:line="360" w:lineRule="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（8）本项目不接受联合体投标。</w:t>
      </w:r>
    </w:p>
    <w:p>
      <w:pPr>
        <w:spacing w:line="360" w:lineRule="auto"/>
        <w:rPr>
          <w:rFonts w:hint="eastAsia" w:ascii="仿宋" w:hAnsi="仿宋" w:eastAsia="仿宋" w:cs="仿宋"/>
          <w:b/>
          <w:bCs/>
          <w:sz w:val="24"/>
          <w:lang w:val="en-US" w:eastAsia="zh-CN"/>
        </w:rPr>
      </w:pPr>
      <w:r>
        <w:rPr>
          <w:rFonts w:hint="eastAsia" w:ascii="仿宋" w:hAnsi="仿宋" w:eastAsia="仿宋" w:cs="仿宋"/>
          <w:b w:val="0"/>
          <w:bCs w:val="0"/>
          <w:sz w:val="24"/>
          <w:lang w:val="en-US" w:eastAsia="zh-CN"/>
        </w:rPr>
        <w:t>2.本项目的特定资格要求：投标需具有城乡规划编制乙级及以上资质。</w:t>
      </w:r>
    </w:p>
    <w:p>
      <w:pPr>
        <w:spacing w:line="360" w:lineRule="auto"/>
        <w:rPr>
          <w:rFonts w:ascii="仿宋" w:hAnsi="仿宋" w:eastAsia="仿宋" w:cs="仿宋"/>
        </w:rPr>
      </w:pPr>
      <w:r>
        <w:rPr>
          <w:rFonts w:hint="eastAsia" w:ascii="仿宋" w:hAnsi="仿宋" w:eastAsia="仿宋" w:cs="仿宋"/>
          <w:b/>
          <w:bCs/>
          <w:sz w:val="24"/>
        </w:rPr>
        <w:t>2.2 供应商存在下列情形之一的，拒绝其参加本次投标</w:t>
      </w:r>
    </w:p>
    <w:p>
      <w:pPr>
        <w:overflowPunct w:val="0"/>
        <w:spacing w:line="360" w:lineRule="auto"/>
        <w:jc w:val="left"/>
        <w:rPr>
          <w:rFonts w:ascii="仿宋" w:hAnsi="仿宋" w:eastAsia="仿宋" w:cs="仿宋"/>
          <w:sz w:val="24"/>
        </w:rPr>
      </w:pPr>
      <w:r>
        <w:rPr>
          <w:rFonts w:hint="eastAsia" w:ascii="仿宋" w:hAnsi="仿宋" w:eastAsia="仿宋" w:cs="仿宋"/>
          <w:sz w:val="24"/>
        </w:rPr>
        <w:t>（1）法定代表人为同一人的两个及两个以上法人，母公司、全资子公司及其控股公司，在同一货物采购招标中同时投标的；</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）被责令停产停业、暂扣或者吊销许可证、暂扣或者吊销执照；</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）被依法暂停或者取消投标资格；</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）财产被接管或冻结的；</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）进入清算程序，或被宣告破产，或其他丧失履约能力的情形；</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）在最近三年内有骗取中标或严重违约受到行政处罚的；</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 xml:space="preserve">）在最近三年内发生重大产品质量问题（以相关行业主管部门的行政处罚决定或司法机关出具的有关法律文书为准）； </w:t>
      </w:r>
    </w:p>
    <w:p>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）被最高人民法院在“信用中国”网站（www.creditchina.gov.cn）或各级信用信息共享平台中列入失信被执行人名单；</w:t>
      </w:r>
    </w:p>
    <w:p>
      <w:pPr>
        <w:spacing w:line="360" w:lineRule="auto"/>
        <w:rPr>
          <w:rFonts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9</w:t>
      </w:r>
      <w:r>
        <w:rPr>
          <w:rFonts w:hint="eastAsia" w:ascii="仿宋" w:hAnsi="仿宋" w:eastAsia="仿宋" w:cs="仿宋"/>
          <w:sz w:val="24"/>
          <w:szCs w:val="22"/>
        </w:rPr>
        <w:t>）在国家企业信用信息公示系统（www.gsxt.gov.cn）被列入经营异常名录的。</w:t>
      </w:r>
    </w:p>
    <w:p>
      <w:pPr>
        <w:spacing w:line="360" w:lineRule="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）在中国政府采购网（www.ccgp.gov.cn）政府采购严重违法失信行为记录名单的（尚在处罚期内的）</w:t>
      </w:r>
      <w:r>
        <w:rPr>
          <w:rFonts w:hint="eastAsia" w:ascii="仿宋" w:hAnsi="仿宋" w:eastAsia="仿宋" w:cs="仿宋"/>
          <w:sz w:val="24"/>
          <w:lang w:eastAsia="zh-CN"/>
        </w:rPr>
        <w:t>；</w:t>
      </w:r>
    </w:p>
    <w:p>
      <w:pPr>
        <w:spacing w:line="360" w:lineRule="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11</w:t>
      </w:r>
      <w:r>
        <w:rPr>
          <w:rFonts w:hint="eastAsia" w:ascii="仿宋" w:hAnsi="仿宋" w:eastAsia="仿宋" w:cs="仿宋"/>
          <w:sz w:val="24"/>
        </w:rPr>
        <w:t>）在</w:t>
      </w:r>
      <w:r>
        <w:rPr>
          <w:rFonts w:hint="eastAsia" w:ascii="仿宋" w:hAnsi="仿宋" w:eastAsia="仿宋" w:cs="仿宋"/>
          <w:sz w:val="24"/>
          <w:lang w:bidi="ar"/>
        </w:rPr>
        <w:t>中国裁判文书网（http://wenshu.court.gov.cn/）重大税收违法案件当事人名单</w:t>
      </w:r>
      <w:r>
        <w:rPr>
          <w:rFonts w:hint="eastAsia" w:ascii="仿宋" w:hAnsi="仿宋" w:eastAsia="仿宋" w:cs="仿宋"/>
          <w:sz w:val="24"/>
          <w:lang w:eastAsia="zh-CN" w:bidi="ar"/>
        </w:rPr>
        <w:t>。</w:t>
      </w:r>
    </w:p>
    <w:p>
      <w:pPr>
        <w:spacing w:line="360" w:lineRule="auto"/>
        <w:rPr>
          <w:rFonts w:ascii="仿宋" w:hAnsi="仿宋" w:eastAsia="仿宋" w:cs="仿宋"/>
          <w:b/>
          <w:sz w:val="24"/>
        </w:rPr>
      </w:pPr>
      <w:r>
        <w:rPr>
          <w:rFonts w:hint="eastAsia" w:ascii="仿宋" w:hAnsi="仿宋" w:eastAsia="仿宋" w:cs="仿宋"/>
          <w:b/>
          <w:sz w:val="24"/>
        </w:rPr>
        <w:t>2.2.1查询及记录方式：</w:t>
      </w:r>
    </w:p>
    <w:p>
      <w:pPr>
        <w:spacing w:line="360" w:lineRule="auto"/>
        <w:ind w:firstLine="240" w:firstLineChars="100"/>
        <w:rPr>
          <w:rFonts w:ascii="仿宋" w:hAnsi="仿宋" w:eastAsia="仿宋" w:cs="仿宋"/>
          <w:sz w:val="24"/>
        </w:rPr>
      </w:pPr>
      <w:r>
        <w:rPr>
          <w:rFonts w:hint="eastAsia" w:ascii="仿宋" w:hAnsi="仿宋" w:eastAsia="仿宋" w:cs="仿宋"/>
          <w:sz w:val="24"/>
        </w:rPr>
        <w:t>采购人或采购代理机构经办人将查询网页打印、签字并存档备查。供应商不良信用记录以采购人或采购代理机构查询结果为准。</w:t>
      </w:r>
    </w:p>
    <w:p>
      <w:pPr>
        <w:spacing w:line="360" w:lineRule="auto"/>
        <w:ind w:firstLine="240" w:firstLineChars="100"/>
        <w:rPr>
          <w:rFonts w:ascii="仿宋" w:hAnsi="仿宋" w:eastAsia="仿宋" w:cs="仿宋"/>
          <w:sz w:val="24"/>
        </w:rPr>
      </w:pPr>
      <w:r>
        <w:rPr>
          <w:rFonts w:hint="eastAsia" w:ascii="仿宋" w:hAnsi="仿宋" w:eastAsia="仿宋" w:cs="仿宋"/>
          <w:sz w:val="24"/>
        </w:rPr>
        <w:t>在本谈判文件规定的查询时间之后，网站信息发生的任何变更均不再作为评标依据。</w:t>
      </w:r>
    </w:p>
    <w:p>
      <w:pPr>
        <w:spacing w:line="360" w:lineRule="auto"/>
        <w:ind w:firstLine="240" w:firstLineChars="100"/>
        <w:rPr>
          <w:rFonts w:ascii="仿宋" w:hAnsi="仿宋" w:eastAsia="仿宋" w:cs="仿宋"/>
          <w:sz w:val="24"/>
        </w:rPr>
      </w:pPr>
      <w:r>
        <w:rPr>
          <w:rFonts w:hint="eastAsia" w:ascii="仿宋" w:hAnsi="仿宋" w:eastAsia="仿宋" w:cs="仿宋"/>
          <w:sz w:val="24"/>
        </w:rPr>
        <w:t>供应商自行提供的与网站信息不一致的其他证明材料亦不作为资格审查依据。</w:t>
      </w:r>
    </w:p>
    <w:p>
      <w:pPr>
        <w:spacing w:line="360" w:lineRule="auto"/>
        <w:rPr>
          <w:rFonts w:ascii="仿宋" w:hAnsi="仿宋" w:eastAsia="仿宋" w:cs="仿宋"/>
          <w:b/>
          <w:bCs/>
          <w:sz w:val="24"/>
        </w:rPr>
      </w:pPr>
      <w:r>
        <w:rPr>
          <w:rFonts w:hint="eastAsia" w:ascii="仿宋" w:hAnsi="仿宋" w:eastAsia="仿宋" w:cs="仿宋"/>
          <w:b/>
          <w:bCs/>
          <w:sz w:val="24"/>
        </w:rPr>
        <w:t xml:space="preserve">2.3  货物、产品规定 </w:t>
      </w:r>
    </w:p>
    <w:p>
      <w:pPr>
        <w:spacing w:line="360" w:lineRule="auto"/>
        <w:ind w:firstLine="240" w:firstLineChars="100"/>
        <w:rPr>
          <w:rFonts w:ascii="仿宋" w:hAnsi="仿宋" w:eastAsia="仿宋" w:cs="仿宋"/>
          <w:sz w:val="24"/>
        </w:rPr>
      </w:pPr>
      <w:r>
        <w:rPr>
          <w:rFonts w:hint="eastAsia" w:ascii="仿宋" w:hAnsi="仿宋" w:eastAsia="仿宋" w:cs="仿宋"/>
          <w:sz w:val="24"/>
        </w:rPr>
        <w:t>供应商在本次招标活动中，必须遵守《中华人民共和国政府采购法》、中华人民共和国财政部令第74号《政府采购非招标采购方式管理办法》、《政府采购货物和服务招标投标管理办法》(财政部令第87号)等相关规定。</w:t>
      </w:r>
    </w:p>
    <w:p>
      <w:pPr>
        <w:spacing w:line="360" w:lineRule="auto"/>
        <w:outlineLvl w:val="2"/>
        <w:rPr>
          <w:rFonts w:ascii="仿宋" w:hAnsi="仿宋" w:eastAsia="仿宋" w:cs="仿宋"/>
          <w:b/>
          <w:sz w:val="24"/>
        </w:rPr>
      </w:pPr>
      <w:bookmarkStart w:id="54" w:name="_Toc23966_WPSOffice_Level3"/>
      <w:r>
        <w:rPr>
          <w:rFonts w:hint="eastAsia" w:ascii="仿宋" w:hAnsi="仿宋" w:eastAsia="仿宋" w:cs="仿宋"/>
          <w:b/>
          <w:sz w:val="24"/>
        </w:rPr>
        <w:t>3. 定义</w:t>
      </w:r>
      <w:bookmarkEnd w:id="54"/>
    </w:p>
    <w:p>
      <w:pPr>
        <w:spacing w:line="360" w:lineRule="auto"/>
        <w:rPr>
          <w:rFonts w:ascii="仿宋" w:hAnsi="仿宋" w:eastAsia="仿宋" w:cs="仿宋"/>
          <w:sz w:val="24"/>
        </w:rPr>
      </w:pPr>
      <w:r>
        <w:rPr>
          <w:rFonts w:hint="eastAsia" w:ascii="仿宋" w:hAnsi="仿宋" w:eastAsia="仿宋" w:cs="仿宋"/>
          <w:sz w:val="24"/>
        </w:rPr>
        <w:t>下列术语和缩写的定义为：</w:t>
      </w:r>
    </w:p>
    <w:p>
      <w:pPr>
        <w:tabs>
          <w:tab w:val="left" w:pos="1320"/>
        </w:tabs>
        <w:spacing w:line="360" w:lineRule="auto"/>
        <w:ind w:firstLine="240" w:firstLineChars="100"/>
        <w:rPr>
          <w:rFonts w:ascii="仿宋" w:hAnsi="仿宋" w:eastAsia="仿宋" w:cs="仿宋"/>
          <w:sz w:val="24"/>
          <w:u w:val="single"/>
          <w:shd w:val="clear" w:color="FFFFFF" w:fill="D9D9D9"/>
        </w:rPr>
      </w:pPr>
      <w:r>
        <w:rPr>
          <w:rFonts w:hint="eastAsia" w:ascii="仿宋" w:hAnsi="仿宋" w:eastAsia="仿宋" w:cs="仿宋"/>
          <w:sz w:val="24"/>
        </w:rPr>
        <w:t>3.1 “采购人”系</w:t>
      </w:r>
      <w:r>
        <w:rPr>
          <w:rFonts w:hint="eastAsia" w:ascii="仿宋" w:hAnsi="仿宋" w:eastAsia="仿宋" w:cs="仿宋"/>
          <w:sz w:val="24"/>
          <w:u w:val="single"/>
          <w:lang w:val="en-US" w:eastAsia="zh-CN"/>
        </w:rPr>
        <w:t>民丰县住房和城乡建设局</w:t>
      </w:r>
      <w:r>
        <w:rPr>
          <w:rFonts w:hint="eastAsia" w:ascii="仿宋" w:hAnsi="仿宋" w:eastAsia="仿宋" w:cs="仿宋"/>
          <w:sz w:val="24"/>
          <w:u w:val="single"/>
        </w:rPr>
        <w:t xml:space="preserve"> 。</w:t>
      </w:r>
    </w:p>
    <w:p>
      <w:pPr>
        <w:tabs>
          <w:tab w:val="left" w:pos="1320"/>
        </w:tabs>
        <w:spacing w:line="360" w:lineRule="auto"/>
        <w:ind w:firstLine="240" w:firstLineChars="100"/>
        <w:rPr>
          <w:rFonts w:ascii="仿宋" w:hAnsi="仿宋" w:eastAsia="仿宋" w:cs="仿宋"/>
          <w:sz w:val="24"/>
        </w:rPr>
      </w:pPr>
      <w:r>
        <w:rPr>
          <w:rFonts w:hint="eastAsia" w:ascii="仿宋" w:hAnsi="仿宋" w:eastAsia="仿宋" w:cs="仿宋"/>
          <w:sz w:val="24"/>
        </w:rPr>
        <w:t>3.2 “招标代理机构”系指</w:t>
      </w:r>
      <w:r>
        <w:rPr>
          <w:rFonts w:hint="eastAsia" w:ascii="仿宋" w:hAnsi="仿宋" w:eastAsia="仿宋" w:cs="仿宋"/>
          <w:sz w:val="24"/>
          <w:lang w:eastAsia="zh-CN"/>
        </w:rPr>
        <w:t>新疆金木石项目管理有限公司</w:t>
      </w:r>
      <w:r>
        <w:rPr>
          <w:rFonts w:hint="eastAsia" w:ascii="仿宋" w:hAnsi="仿宋" w:eastAsia="仿宋" w:cs="仿宋"/>
          <w:sz w:val="24"/>
        </w:rPr>
        <w:t>。</w:t>
      </w:r>
    </w:p>
    <w:p>
      <w:pPr>
        <w:tabs>
          <w:tab w:val="left" w:pos="900"/>
        </w:tabs>
        <w:spacing w:line="360" w:lineRule="auto"/>
        <w:ind w:firstLine="240" w:firstLineChars="100"/>
        <w:rPr>
          <w:rFonts w:ascii="仿宋" w:hAnsi="仿宋" w:eastAsia="仿宋" w:cs="仿宋"/>
          <w:sz w:val="24"/>
        </w:rPr>
      </w:pPr>
      <w:r>
        <w:rPr>
          <w:rFonts w:hint="eastAsia" w:ascii="仿宋" w:hAnsi="仿宋" w:eastAsia="仿宋" w:cs="仿宋"/>
          <w:sz w:val="24"/>
        </w:rPr>
        <w:t>3.3 “招标方”系指采购人和招标代理机构的统称。</w:t>
      </w:r>
    </w:p>
    <w:p>
      <w:pPr>
        <w:tabs>
          <w:tab w:val="left" w:pos="1185"/>
        </w:tabs>
        <w:spacing w:line="360" w:lineRule="auto"/>
        <w:ind w:firstLine="240" w:firstLineChars="100"/>
        <w:rPr>
          <w:rFonts w:ascii="仿宋" w:hAnsi="仿宋" w:eastAsia="仿宋" w:cs="仿宋"/>
          <w:sz w:val="24"/>
        </w:rPr>
      </w:pPr>
      <w:r>
        <w:rPr>
          <w:rFonts w:hint="eastAsia" w:ascii="仿宋" w:hAnsi="仿宋" w:eastAsia="仿宋" w:cs="仿宋"/>
          <w:sz w:val="24"/>
        </w:rPr>
        <w:t>3.4 “供应商”系指有资格的供应商（制造商、代理商）及投标表现人。</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3.5 “中标方”系指经谈判小组评定后推荐的供应商。</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3.6 “货物”、“产品”指货物、产品要求及相关服务。</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3.7 “服务”系指谈判文件中规定供应商须承担的质保、技术协助、培训及其他类似的责任。</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3.8 “响应”系指供应商根据招标代理机构发布的谈判文件，编制响应性文件并按规定投标的行为。</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3.9 “标段（包）”系指一个完整独立的投标项目。</w:t>
      </w:r>
    </w:p>
    <w:p>
      <w:pPr>
        <w:snapToGrid w:val="0"/>
        <w:spacing w:line="360" w:lineRule="auto"/>
        <w:outlineLvl w:val="2"/>
        <w:rPr>
          <w:rFonts w:ascii="仿宋" w:hAnsi="仿宋" w:eastAsia="仿宋" w:cs="仿宋"/>
          <w:b/>
          <w:sz w:val="24"/>
        </w:rPr>
      </w:pPr>
      <w:bookmarkStart w:id="55" w:name="_Toc10123_WPSOffice_Level3"/>
      <w:r>
        <w:rPr>
          <w:rFonts w:hint="eastAsia" w:ascii="仿宋" w:hAnsi="仿宋" w:eastAsia="仿宋" w:cs="仿宋"/>
          <w:b/>
          <w:sz w:val="24"/>
        </w:rPr>
        <w:t>4. 投标费用</w:t>
      </w:r>
      <w:bookmarkEnd w:id="55"/>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4.1  无论投标结果如何，凡参与招标、投标活动有关的所有费用将由供应商自行承担。</w:t>
      </w:r>
    </w:p>
    <w:p>
      <w:pPr>
        <w:tabs>
          <w:tab w:val="left" w:pos="1185"/>
        </w:tabs>
        <w:spacing w:line="360" w:lineRule="auto"/>
        <w:ind w:firstLine="240" w:firstLineChars="100"/>
        <w:rPr>
          <w:rFonts w:ascii="仿宋" w:hAnsi="仿宋" w:eastAsia="仿宋" w:cs="仿宋"/>
          <w:sz w:val="24"/>
        </w:rPr>
      </w:pPr>
      <w:r>
        <w:rPr>
          <w:rFonts w:hint="eastAsia" w:ascii="仿宋" w:hAnsi="仿宋" w:eastAsia="仿宋" w:cs="仿宋"/>
          <w:sz w:val="24"/>
        </w:rPr>
        <w:t>4.2  供应商被视为熟悉本招标项目的各种情况以及与履行合同有关的一切情况。</w:t>
      </w:r>
    </w:p>
    <w:p>
      <w:pPr>
        <w:tabs>
          <w:tab w:val="left" w:pos="1185"/>
        </w:tabs>
        <w:spacing w:line="360" w:lineRule="auto"/>
        <w:outlineLvl w:val="2"/>
        <w:rPr>
          <w:rFonts w:ascii="仿宋" w:hAnsi="仿宋" w:eastAsia="仿宋" w:cs="仿宋"/>
          <w:b/>
          <w:sz w:val="24"/>
        </w:rPr>
      </w:pPr>
      <w:bookmarkStart w:id="56" w:name="_Toc12377_WPSOffice_Level3"/>
      <w:r>
        <w:rPr>
          <w:rFonts w:hint="eastAsia" w:ascii="仿宋" w:hAnsi="仿宋" w:eastAsia="仿宋" w:cs="仿宋"/>
          <w:b/>
          <w:sz w:val="24"/>
        </w:rPr>
        <w:t>5. 适用法律</w:t>
      </w:r>
      <w:bookmarkEnd w:id="56"/>
    </w:p>
    <w:p>
      <w:pPr>
        <w:tabs>
          <w:tab w:val="left" w:pos="1185"/>
        </w:tabs>
        <w:spacing w:line="360" w:lineRule="auto"/>
        <w:ind w:firstLine="240" w:firstLineChars="100"/>
        <w:rPr>
          <w:rFonts w:ascii="仿宋" w:hAnsi="仿宋" w:eastAsia="仿宋" w:cs="仿宋"/>
          <w:sz w:val="24"/>
        </w:rPr>
      </w:pPr>
      <w:r>
        <w:rPr>
          <w:rFonts w:hint="eastAsia" w:ascii="仿宋" w:hAnsi="仿宋" w:eastAsia="仿宋" w:cs="仿宋"/>
          <w:sz w:val="24"/>
        </w:rPr>
        <w:t>本项目采购人、采购代理机构、供应商、谈判小组的相关行为均受《中华人民共和国政府采购法》、《中华人民共和国政府采购法实施条例》、中华人民共和国财政部令第74号《政府采购非招标采购方式管理办法》、《政府采购货物和服务招标投标管理办法》财政部令87号及本项目本级和上级财政部门政府采购有关规定的约束，其权利受到上述法律法规的保护。</w:t>
      </w:r>
    </w:p>
    <w:p>
      <w:pPr>
        <w:pStyle w:val="15"/>
        <w:spacing w:line="360" w:lineRule="auto"/>
        <w:rPr>
          <w:rFonts w:ascii="仿宋" w:hAnsi="仿宋" w:eastAsia="仿宋" w:cs="仿宋"/>
          <w:b/>
          <w:bCs/>
          <w:sz w:val="28"/>
          <w:szCs w:val="28"/>
        </w:rPr>
      </w:pPr>
      <w:r>
        <w:rPr>
          <w:rFonts w:hint="eastAsia" w:ascii="仿宋" w:hAnsi="仿宋" w:eastAsia="仿宋" w:cs="仿宋"/>
          <w:b/>
          <w:bCs/>
          <w:sz w:val="28"/>
          <w:szCs w:val="28"/>
        </w:rPr>
        <w:t>二、竞争性磋商文件</w:t>
      </w:r>
    </w:p>
    <w:p>
      <w:pPr>
        <w:pStyle w:val="15"/>
        <w:spacing w:line="360" w:lineRule="auto"/>
        <w:ind w:firstLine="480" w:firstLineChars="200"/>
        <w:rPr>
          <w:rFonts w:ascii="仿宋" w:hAnsi="仿宋" w:eastAsia="仿宋" w:cs="仿宋"/>
          <w:sz w:val="24"/>
        </w:rPr>
      </w:pPr>
      <w:bookmarkStart w:id="57" w:name="_Toc243906319"/>
      <w:bookmarkStart w:id="58" w:name="_Toc243907579"/>
      <w:bookmarkStart w:id="59" w:name="_Toc246216188"/>
      <w:bookmarkStart w:id="60" w:name="_Toc233274819"/>
      <w:r>
        <w:rPr>
          <w:rFonts w:hint="eastAsia" w:ascii="仿宋" w:hAnsi="仿宋" w:eastAsia="仿宋" w:cs="仿宋"/>
          <w:sz w:val="24"/>
          <w:lang w:val="en-US" w:eastAsia="zh-CN"/>
        </w:rPr>
        <w:t>6</w:t>
      </w:r>
      <w:r>
        <w:rPr>
          <w:rFonts w:hint="eastAsia" w:ascii="仿宋" w:hAnsi="仿宋" w:eastAsia="仿宋" w:cs="仿宋"/>
          <w:sz w:val="24"/>
        </w:rPr>
        <w:t>、竞争性磋商文件的组成</w:t>
      </w:r>
      <w:bookmarkEnd w:id="57"/>
      <w:bookmarkEnd w:id="58"/>
      <w:bookmarkEnd w:id="59"/>
      <w:bookmarkEnd w:id="60"/>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.1 本竞争性磋商文件是对</w:t>
      </w:r>
      <w:r>
        <w:rPr>
          <w:rFonts w:hint="eastAsia" w:ascii="仿宋" w:hAnsi="仿宋" w:eastAsia="仿宋" w:cs="仿宋"/>
          <w:sz w:val="24"/>
          <w:lang w:eastAsia="zh-CN"/>
        </w:rPr>
        <w:t>民丰县2022年科技人才创新合作资金项目（包二）二次</w:t>
      </w:r>
      <w:r>
        <w:rPr>
          <w:rFonts w:hint="eastAsia" w:ascii="仿宋" w:hAnsi="仿宋" w:eastAsia="仿宋" w:cs="仿宋"/>
          <w:sz w:val="24"/>
        </w:rPr>
        <w:t>磋商程序、合同条款进行说明。竞争性磋商文件包括下列内容：</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第一章、竞争性磋商公告</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第二章、供应商须知</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第三章、项目采购需求</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第四章、合同条款</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第五章、质疑与处理</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第六章、响应文件格式</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rPr>
        <w:t>第七章、评审标准（综合评估法）</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.2 竞争性磋商文件以中文编印，以中文文本为准。</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.3 除非有特殊要求，竞争性磋商文件不单独提供采购项目使用地的自然环境、气候条件、劳动力及公用设施等情况，供应商被视为熟悉上述条件或若成交履行合同有关的一切情况。</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.4采购人向供应商提供的有关数据和资料，是采购人现有的能被供应商利用的资料，供应商对此做出的推论、理解和结论自行负责。</w:t>
      </w:r>
    </w:p>
    <w:p>
      <w:pPr>
        <w:pStyle w:val="15"/>
        <w:spacing w:line="360" w:lineRule="auto"/>
        <w:ind w:firstLine="480" w:firstLineChars="200"/>
        <w:rPr>
          <w:rFonts w:ascii="仿宋" w:hAnsi="仿宋" w:eastAsia="仿宋" w:cs="仿宋"/>
          <w:sz w:val="24"/>
        </w:rPr>
      </w:pPr>
      <w:bookmarkStart w:id="61" w:name="_Toc243906320"/>
      <w:bookmarkStart w:id="62" w:name="_Toc243907580"/>
      <w:bookmarkStart w:id="63" w:name="_Toc233274820"/>
      <w:bookmarkStart w:id="64" w:name="_Toc245897280"/>
      <w:r>
        <w:rPr>
          <w:rFonts w:hint="eastAsia" w:ascii="仿宋" w:hAnsi="仿宋" w:eastAsia="仿宋" w:cs="仿宋"/>
          <w:sz w:val="24"/>
          <w:lang w:val="en-US" w:eastAsia="zh-CN"/>
        </w:rPr>
        <w:t>7</w:t>
      </w:r>
      <w:r>
        <w:rPr>
          <w:rFonts w:hint="eastAsia" w:ascii="仿宋" w:hAnsi="仿宋" w:eastAsia="仿宋" w:cs="仿宋"/>
          <w:sz w:val="24"/>
        </w:rPr>
        <w:t>、竞争性磋商文件的澄清</w:t>
      </w:r>
      <w:bookmarkEnd w:id="61"/>
      <w:bookmarkEnd w:id="62"/>
      <w:bookmarkEnd w:id="63"/>
      <w:bookmarkEnd w:id="64"/>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.1 供应商对竞争性磋商文件如有疑问，可要求澄清，应按竞争性磋商文件以书面形式（必须加盖供应商公章）送达或传真至采购代理机构（同时将疑问电子版发至</w:t>
      </w:r>
      <w:r>
        <w:rPr>
          <w:rFonts w:hint="eastAsia" w:ascii="仿宋" w:hAnsi="仿宋" w:eastAsia="仿宋" w:cs="仿宋"/>
          <w:sz w:val="24"/>
          <w:lang w:val="en-US" w:eastAsia="zh-CN"/>
        </w:rPr>
        <w:t>1175947409</w:t>
      </w:r>
      <w:r>
        <w:rPr>
          <w:rFonts w:hint="eastAsia" w:ascii="仿宋" w:hAnsi="仿宋" w:eastAsia="仿宋" w:cs="仿宋"/>
          <w:sz w:val="24"/>
        </w:rPr>
        <w:t>@qq.com）。采购人和采购代理机构将视情况以书面形式予以答复，并发至领取竞争性磋商文件的每位供应商。答复中包括所提问题，但不包括问题的来源。</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15"/>
        <w:spacing w:line="360" w:lineRule="auto"/>
        <w:ind w:firstLine="480" w:firstLineChars="200"/>
        <w:rPr>
          <w:rFonts w:ascii="仿宋" w:hAnsi="仿宋" w:eastAsia="仿宋" w:cs="仿宋"/>
          <w:sz w:val="24"/>
        </w:rPr>
      </w:pPr>
      <w:bookmarkStart w:id="65" w:name="_Toc243906321"/>
      <w:bookmarkStart w:id="66" w:name="_Toc233274821"/>
      <w:bookmarkStart w:id="67" w:name="_Toc243907581"/>
      <w:bookmarkStart w:id="68" w:name="_Toc245897281"/>
      <w:r>
        <w:rPr>
          <w:rFonts w:hint="eastAsia" w:ascii="仿宋" w:hAnsi="仿宋" w:eastAsia="仿宋" w:cs="仿宋"/>
          <w:sz w:val="24"/>
          <w:lang w:val="en-US" w:eastAsia="zh-CN"/>
        </w:rPr>
        <w:t>8</w:t>
      </w:r>
      <w:r>
        <w:rPr>
          <w:rFonts w:hint="eastAsia" w:ascii="仿宋" w:hAnsi="仿宋" w:eastAsia="仿宋" w:cs="仿宋"/>
          <w:sz w:val="24"/>
        </w:rPr>
        <w:t>、竞争性磋商文件的修改和补充</w:t>
      </w:r>
      <w:bookmarkEnd w:id="65"/>
      <w:bookmarkEnd w:id="66"/>
      <w:bookmarkEnd w:id="67"/>
      <w:bookmarkEnd w:id="68"/>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1在递交响应文件截止日期3个工作日前的任何时候，采购人可主动地或依据供应商要求澄清的疑问而修改、补充竞争性磋商文件，采购代理机构将对修改和补充的内容以书面形式发至所有领取竞争性磋商文件的每位供应商，修改和/或补充文件将作为竞争性磋商文件的组成部分，对所有供应商具有约束力。</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2为使供应商在准备响应文件时有合理的时间考虑竞争性磋商文件的修改和/或补充，采购代理机构可延长递交响应文件截止时间和开启时间，但至少应当在规定的递交响应文件的截止时间3个工作日前，以书面形式通知所有领取竞争性磋商文件的每位供应商。</w:t>
      </w:r>
    </w:p>
    <w:p>
      <w:pPr>
        <w:pStyle w:val="15"/>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.3供应商在每次收到采购代理机构发至的书面文件后，应在收到后24小时内以书面形式并加盖供应商公章予以确认。</w:t>
      </w:r>
    </w:p>
    <w:p>
      <w:pPr>
        <w:pStyle w:val="15"/>
        <w:numPr>
          <w:ilvl w:val="0"/>
          <w:numId w:val="2"/>
        </w:numPr>
        <w:spacing w:line="360" w:lineRule="auto"/>
        <w:rPr>
          <w:rFonts w:ascii="仿宋" w:hAnsi="仿宋" w:eastAsia="仿宋" w:cs="仿宋"/>
          <w:b/>
          <w:bCs/>
          <w:sz w:val="24"/>
        </w:rPr>
      </w:pPr>
      <w:r>
        <w:rPr>
          <w:rFonts w:hint="eastAsia" w:ascii="仿宋" w:hAnsi="仿宋" w:eastAsia="仿宋" w:cs="仿宋"/>
          <w:b/>
          <w:bCs/>
          <w:sz w:val="24"/>
        </w:rPr>
        <w:t>响应文件的编写</w:t>
      </w:r>
    </w:p>
    <w:p>
      <w:pPr>
        <w:pStyle w:val="15"/>
        <w:spacing w:line="360" w:lineRule="auto"/>
        <w:ind w:firstLine="480" w:firstLineChars="200"/>
        <w:outlineLvl w:val="1"/>
        <w:rPr>
          <w:rFonts w:ascii="仿宋" w:hAnsi="仿宋" w:eastAsia="仿宋" w:cs="仿宋"/>
          <w:sz w:val="24"/>
          <w:szCs w:val="24"/>
        </w:rPr>
      </w:pPr>
      <w:bookmarkStart w:id="69" w:name="_Toc245897283"/>
      <w:bookmarkStart w:id="70" w:name="_Toc243906323"/>
      <w:bookmarkStart w:id="71" w:name="_Toc243907583"/>
      <w:bookmarkStart w:id="72" w:name="_Toc24796"/>
      <w:r>
        <w:rPr>
          <w:rFonts w:hint="eastAsia" w:ascii="仿宋" w:hAnsi="仿宋" w:eastAsia="仿宋" w:cs="仿宋"/>
          <w:sz w:val="24"/>
          <w:szCs w:val="24"/>
          <w:lang w:val="en-US" w:eastAsia="zh-CN"/>
        </w:rPr>
        <w:t>9</w:t>
      </w:r>
      <w:r>
        <w:rPr>
          <w:rFonts w:hint="eastAsia" w:ascii="仿宋" w:hAnsi="仿宋" w:eastAsia="仿宋" w:cs="仿宋"/>
          <w:sz w:val="24"/>
          <w:szCs w:val="24"/>
        </w:rPr>
        <w:t>、响应文件的编写</w:t>
      </w:r>
      <w:bookmarkEnd w:id="69"/>
      <w:bookmarkEnd w:id="70"/>
      <w:bookmarkEnd w:id="71"/>
    </w:p>
    <w:p>
      <w:pPr>
        <w:spacing w:line="360" w:lineRule="auto"/>
        <w:ind w:firstLine="481"/>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w:t>
      </w:r>
      <w:r>
        <w:rPr>
          <w:rFonts w:hint="eastAsia" w:ascii="仿宋" w:hAnsi="仿宋" w:eastAsia="仿宋" w:cs="仿宋"/>
          <w:b/>
          <w:sz w:val="24"/>
        </w:rPr>
        <w:t>编制响应文件</w:t>
      </w:r>
      <w:r>
        <w:rPr>
          <w:rFonts w:hint="eastAsia" w:ascii="仿宋" w:hAnsi="仿宋" w:eastAsia="仿宋" w:cs="仿宋"/>
          <w:sz w:val="24"/>
        </w:rPr>
        <w:t>。</w:t>
      </w:r>
    </w:p>
    <w:p>
      <w:pPr>
        <w:pStyle w:val="15"/>
        <w:spacing w:line="360" w:lineRule="auto"/>
        <w:ind w:firstLine="480" w:firstLineChars="200"/>
        <w:outlineLvl w:val="1"/>
        <w:rPr>
          <w:rFonts w:ascii="仿宋" w:hAnsi="仿宋" w:eastAsia="仿宋" w:cs="仿宋"/>
          <w:sz w:val="24"/>
          <w:szCs w:val="24"/>
        </w:rPr>
      </w:pPr>
      <w:bookmarkStart w:id="73" w:name="_Toc245897284"/>
      <w:bookmarkStart w:id="74" w:name="_Toc243906324"/>
      <w:bookmarkStart w:id="75" w:name="_Toc243907584"/>
      <w:bookmarkStart w:id="76" w:name="_Toc233274824"/>
      <w:r>
        <w:rPr>
          <w:rFonts w:hint="eastAsia" w:ascii="仿宋" w:hAnsi="仿宋" w:eastAsia="仿宋" w:cs="仿宋"/>
          <w:sz w:val="24"/>
          <w:szCs w:val="24"/>
          <w:lang w:val="en-US" w:eastAsia="zh-CN"/>
        </w:rPr>
        <w:t>10</w:t>
      </w:r>
      <w:r>
        <w:rPr>
          <w:rFonts w:hint="eastAsia" w:ascii="仿宋" w:hAnsi="仿宋" w:eastAsia="仿宋" w:cs="仿宋"/>
          <w:sz w:val="24"/>
          <w:szCs w:val="24"/>
        </w:rPr>
        <w:t>、响应文件的语言及计量单位</w:t>
      </w:r>
      <w:bookmarkEnd w:id="73"/>
      <w:bookmarkEnd w:id="74"/>
      <w:bookmarkEnd w:id="75"/>
      <w:bookmarkEnd w:id="76"/>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.2 除在竞争性磋商文件的项目采购需求中另有规定外，计量单位应使用中华人民共和国法定计量单位（国际单位制和国家选定的其它计量单位）。如供应商采用其它计量单位，需事先得到采购人的同意。</w:t>
      </w:r>
    </w:p>
    <w:p>
      <w:pPr>
        <w:pStyle w:val="15"/>
        <w:spacing w:line="360" w:lineRule="auto"/>
        <w:ind w:firstLine="480" w:firstLineChars="200"/>
        <w:outlineLvl w:val="1"/>
        <w:rPr>
          <w:rFonts w:ascii="仿宋" w:hAnsi="仿宋" w:eastAsia="仿宋" w:cs="仿宋"/>
          <w:b/>
          <w:sz w:val="24"/>
          <w:szCs w:val="24"/>
          <w:highlight w:val="yellow"/>
        </w:rPr>
      </w:pPr>
      <w:bookmarkStart w:id="77" w:name="_Toc243906325"/>
      <w:bookmarkStart w:id="78" w:name="_Toc233274825"/>
      <w:bookmarkStart w:id="79" w:name="_Toc243907585"/>
      <w:bookmarkStart w:id="80" w:name="_Toc245897285"/>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、响应文件的组成</w:t>
      </w:r>
      <w:bookmarkEnd w:id="77"/>
      <w:bookmarkEnd w:id="78"/>
      <w:bookmarkEnd w:id="79"/>
      <w:bookmarkEnd w:id="80"/>
    </w:p>
    <w:p>
      <w:pPr>
        <w:pStyle w:val="15"/>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响应文件需编制目录及页码。响应文件包括但不限于以下内容，各供应商应对照“第三章、项目采购需求”及“第七章、评标标准（综合评估法）”提供相关的证明资料：</w:t>
      </w:r>
    </w:p>
    <w:p>
      <w:pPr>
        <w:pStyle w:val="15"/>
        <w:spacing w:line="360" w:lineRule="auto"/>
        <w:ind w:firstLine="480"/>
        <w:outlineLvl w:val="1"/>
        <w:rPr>
          <w:rFonts w:ascii="仿宋" w:hAnsi="仿宋" w:eastAsia="仿宋" w:cs="仿宋"/>
          <w:sz w:val="24"/>
          <w:szCs w:val="24"/>
        </w:rPr>
      </w:pPr>
      <w:bookmarkStart w:id="81" w:name="_Toc245897286"/>
      <w:bookmarkStart w:id="82" w:name="_Toc243907587"/>
      <w:bookmarkStart w:id="83" w:name="_Toc246216196"/>
      <w:bookmarkStart w:id="84" w:name="_Toc243906326"/>
      <w:bookmarkStart w:id="85" w:name="_Toc233274827"/>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、响应文件格式</w:t>
      </w:r>
      <w:bookmarkEnd w:id="81"/>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.1供应商应按竞争性磋商文件提供的格式及商务报价说明完整地填写所提供的合同货物、服务以及单价等内容。</w:t>
      </w:r>
    </w:p>
    <w:p>
      <w:pPr>
        <w:pStyle w:val="15"/>
        <w:spacing w:line="360"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、商务报价</w:t>
      </w:r>
      <w:bookmarkEnd w:id="82"/>
      <w:bookmarkEnd w:id="83"/>
      <w:bookmarkEnd w:id="84"/>
      <w:bookmarkEnd w:id="85"/>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供应商的商务报价应是为采购人提供全部合同货物及服务，并保证货物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ascii="仿宋" w:hAnsi="仿宋" w:eastAsia="仿宋" w:cs="仿宋"/>
          <w:b/>
          <w:sz w:val="24"/>
        </w:rPr>
      </w:pPr>
      <w:r>
        <w:rPr>
          <w:rFonts w:hint="eastAsia" w:ascii="仿宋" w:hAnsi="仿宋" w:eastAsia="仿宋" w:cs="仿宋"/>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仿宋" w:hAnsi="仿宋" w:eastAsia="仿宋" w:cs="仿宋"/>
          <w:sz w:val="24"/>
        </w:rPr>
      </w:pPr>
      <w:r>
        <w:rPr>
          <w:rFonts w:hint="eastAsia" w:ascii="仿宋" w:hAnsi="仿宋" w:eastAsia="仿宋" w:cs="仿宋"/>
          <w:b/>
          <w:sz w:val="24"/>
        </w:rPr>
        <w:t>商务报价中不得包含合同条款、技术规范及标准、项目采购需求、本竞争性磋商文件要求以外的其他内容。</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.2商务报价总价应包括的内容和计价因素</w:t>
      </w:r>
      <w:r>
        <w:rPr>
          <w:rFonts w:hint="eastAsia" w:ascii="仿宋" w:hAnsi="仿宋" w:eastAsia="仿宋" w:cs="仿宋"/>
          <w:sz w:val="24"/>
          <w:lang w:eastAsia="zh-CN"/>
        </w:rPr>
        <w:t>。</w:t>
      </w:r>
    </w:p>
    <w:p>
      <w:pPr>
        <w:spacing w:line="360" w:lineRule="auto"/>
        <w:rPr>
          <w:rFonts w:ascii="仿宋" w:hAnsi="仿宋" w:eastAsia="仿宋" w:cs="仿宋"/>
          <w:bCs/>
          <w:sz w:val="24"/>
        </w:rPr>
      </w:pPr>
      <w:r>
        <w:rPr>
          <w:rFonts w:hint="eastAsia" w:ascii="仿宋" w:hAnsi="仿宋" w:eastAsia="仿宋" w:cs="仿宋"/>
          <w:bCs/>
          <w:sz w:val="24"/>
        </w:rPr>
        <w:t xml:space="preserve">   （1）完成</w:t>
      </w:r>
      <w:r>
        <w:rPr>
          <w:rFonts w:hint="eastAsia" w:ascii="仿宋" w:hAnsi="仿宋" w:eastAsia="仿宋" w:cs="仿宋"/>
          <w:bCs/>
          <w:sz w:val="24"/>
          <w:lang w:eastAsia="zh-CN"/>
        </w:rPr>
        <w:t>民丰县2022年科技人才创新合作资金项目（包二）二次</w:t>
      </w:r>
      <w:r>
        <w:rPr>
          <w:rFonts w:hint="eastAsia" w:ascii="仿宋" w:hAnsi="仿宋" w:eastAsia="仿宋" w:cs="仿宋"/>
          <w:bCs/>
          <w:sz w:val="24"/>
        </w:rPr>
        <w:t>的全部内容。</w:t>
      </w:r>
    </w:p>
    <w:p>
      <w:pPr>
        <w:spacing w:line="360" w:lineRule="auto"/>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bCs/>
          <w:sz w:val="24"/>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ascii="仿宋" w:hAnsi="仿宋" w:eastAsia="仿宋" w:cs="仿宋"/>
          <w:sz w:val="24"/>
        </w:rPr>
      </w:pPr>
      <w:bookmarkStart w:id="86" w:name="_Toc233274828"/>
      <w:bookmarkStart w:id="87" w:name="_Toc243906327"/>
      <w:bookmarkStart w:id="88" w:name="_Toc243907588"/>
      <w:bookmarkStart w:id="89" w:name="_Toc246216197"/>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.3供应商应按照竞争性磋商文件所附的格式完整地填写商务报价一览表。</w:t>
      </w:r>
      <w:r>
        <w:rPr>
          <w:rFonts w:hint="eastAsia" w:ascii="仿宋" w:hAnsi="仿宋" w:eastAsia="仿宋" w:cs="仿宋"/>
          <w:b/>
          <w:sz w:val="24"/>
        </w:rPr>
        <w:t>供应商应对采购范围内的全部内容进行报价。</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.4供应商若成交，不得以任何理由在合同执行期间予以价格调整。任何包含价格调整的要求将被认为是非响应而予以拒绝。</w:t>
      </w:r>
    </w:p>
    <w:bookmarkEnd w:id="86"/>
    <w:bookmarkEnd w:id="87"/>
    <w:bookmarkEnd w:id="88"/>
    <w:bookmarkEnd w:id="89"/>
    <w:p>
      <w:pPr>
        <w:pStyle w:val="15"/>
        <w:spacing w:line="360" w:lineRule="auto"/>
        <w:ind w:firstLine="480" w:firstLineChars="200"/>
        <w:rPr>
          <w:rFonts w:ascii="仿宋" w:hAnsi="仿宋" w:eastAsia="仿宋" w:cs="仿宋"/>
          <w:sz w:val="24"/>
          <w:szCs w:val="24"/>
        </w:rPr>
      </w:pPr>
      <w:bookmarkStart w:id="90" w:name="_Toc245897288"/>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、商务报价货币</w:t>
      </w:r>
      <w:bookmarkEnd w:id="90"/>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.1商务报价一览表和响应文件中的所有报价一律使用人民币（RMB）填报。</w:t>
      </w:r>
    </w:p>
    <w:p>
      <w:pPr>
        <w:pStyle w:val="15"/>
        <w:spacing w:line="360" w:lineRule="auto"/>
        <w:ind w:firstLine="480" w:firstLineChars="200"/>
        <w:rPr>
          <w:rFonts w:ascii="仿宋" w:hAnsi="仿宋" w:eastAsia="仿宋" w:cs="仿宋"/>
          <w:sz w:val="24"/>
          <w:szCs w:val="24"/>
        </w:rPr>
      </w:pPr>
      <w:bookmarkStart w:id="91" w:name="_Toc243906328"/>
      <w:bookmarkStart w:id="92" w:name="_Toc245897289"/>
      <w:bookmarkStart w:id="93" w:name="_Toc243907589"/>
      <w:bookmarkStart w:id="94" w:name="_Toc233274829"/>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、供应商资格证明文件</w:t>
      </w:r>
      <w:bookmarkEnd w:id="91"/>
      <w:bookmarkEnd w:id="92"/>
      <w:bookmarkEnd w:id="93"/>
      <w:bookmarkEnd w:id="94"/>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 供应商必须提交证明其有资格参加磋商和成交后有能力履行合同的文件。</w:t>
      </w:r>
    </w:p>
    <w:p>
      <w:pPr>
        <w:pStyle w:val="15"/>
        <w:spacing w:line="360" w:lineRule="auto"/>
        <w:ind w:firstLine="480" w:firstLineChars="200"/>
        <w:rPr>
          <w:rFonts w:ascii="仿宋" w:hAnsi="仿宋" w:eastAsia="仿宋" w:cs="仿宋"/>
          <w:sz w:val="24"/>
          <w:szCs w:val="24"/>
        </w:rPr>
      </w:pPr>
      <w:bookmarkStart w:id="95" w:name="_Toc243907590"/>
      <w:bookmarkStart w:id="96" w:name="_Toc245897290"/>
      <w:bookmarkStart w:id="97" w:name="_Toc243906329"/>
      <w:bookmarkStart w:id="98" w:name="_Toc233274830"/>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、提供的服务符合磋商文件规定的技术响应文件</w:t>
      </w:r>
      <w:bookmarkEnd w:id="95"/>
      <w:bookmarkEnd w:id="96"/>
      <w:bookmarkEnd w:id="97"/>
      <w:bookmarkEnd w:id="98"/>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 供应商须提交证明其拟供服务符合磋商文件、项目采购需求规定的技术响应文件，作为响应文件的一部分；</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.2上述文件可以是文字资料、图纸和数据，并须提供主要技术性能的详细描述及设备清单和所提供服务的详细说明；</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.3供应商应逐条对磋商文件、项目采购需求、合同条款等进行仔细阅读，提出自己提供的服务是否对其做出了实质性的响应。</w:t>
      </w:r>
    </w:p>
    <w:p>
      <w:pPr>
        <w:pStyle w:val="15"/>
        <w:spacing w:line="360" w:lineRule="auto"/>
        <w:ind w:firstLine="480" w:firstLineChars="200"/>
        <w:rPr>
          <w:rFonts w:ascii="仿宋" w:hAnsi="仿宋" w:eastAsia="仿宋" w:cs="仿宋"/>
          <w:sz w:val="24"/>
          <w:szCs w:val="24"/>
        </w:rPr>
      </w:pPr>
      <w:bookmarkStart w:id="99" w:name="_Toc243906330"/>
      <w:bookmarkStart w:id="100" w:name="_Toc243907591"/>
      <w:bookmarkStart w:id="101" w:name="_Toc245897291"/>
      <w:bookmarkStart w:id="102" w:name="_Toc233274831"/>
      <w:r>
        <w:rPr>
          <w:rFonts w:hint="eastAsia" w:ascii="仿宋" w:hAnsi="仿宋" w:eastAsia="仿宋" w:cs="仿宋"/>
          <w:sz w:val="24"/>
          <w:szCs w:val="24"/>
          <w:lang w:val="en-US" w:eastAsia="zh-CN"/>
        </w:rPr>
        <w:t>17</w:t>
      </w:r>
      <w:r>
        <w:rPr>
          <w:rFonts w:hint="eastAsia" w:ascii="仿宋" w:hAnsi="仿宋" w:eastAsia="仿宋" w:cs="仿宋"/>
          <w:sz w:val="24"/>
          <w:szCs w:val="24"/>
        </w:rPr>
        <w:t>、响应文件有效期</w:t>
      </w:r>
      <w:bookmarkEnd w:id="99"/>
      <w:bookmarkEnd w:id="100"/>
      <w:bookmarkEnd w:id="101"/>
      <w:bookmarkEnd w:id="102"/>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.1响应文件有效期为递交响应文件截止之日起</w:t>
      </w:r>
      <w:r>
        <w:rPr>
          <w:rFonts w:hint="eastAsia" w:ascii="仿宋" w:hAnsi="仿宋" w:eastAsia="仿宋" w:cs="仿宋"/>
          <w:sz w:val="24"/>
          <w:szCs w:val="24"/>
          <w:lang w:val="en-US" w:eastAsia="zh-CN"/>
        </w:rPr>
        <w:t>90</w:t>
      </w:r>
      <w:r>
        <w:rPr>
          <w:rFonts w:hint="eastAsia" w:ascii="仿宋" w:hAnsi="仿宋" w:eastAsia="仿宋" w:cs="仿宋"/>
          <w:sz w:val="24"/>
          <w:szCs w:val="24"/>
        </w:rPr>
        <w:t>天。供应商的响应文件有效期比规定的有效期短的，将被视为非响应而予以拒绝。</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、响应文件的签署及规定</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.1供应商应提交本须知第1</w:t>
      </w:r>
      <w:r>
        <w:rPr>
          <w:rFonts w:hint="eastAsia" w:ascii="仿宋" w:hAnsi="仿宋" w:eastAsia="仿宋" w:cs="仿宋"/>
          <w:sz w:val="24"/>
          <w:szCs w:val="24"/>
          <w:lang w:val="en-US" w:eastAsia="zh-CN"/>
        </w:rPr>
        <w:t>6</w:t>
      </w:r>
      <w:r>
        <w:rPr>
          <w:rFonts w:hint="eastAsia" w:ascii="仿宋" w:hAnsi="仿宋" w:eastAsia="仿宋" w:cs="仿宋"/>
          <w:sz w:val="24"/>
          <w:szCs w:val="24"/>
        </w:rPr>
        <w:t>条规定的书面响应文件一式</w:t>
      </w:r>
      <w:r>
        <w:rPr>
          <w:rFonts w:hint="eastAsia" w:ascii="仿宋" w:hAnsi="仿宋" w:eastAsia="仿宋" w:cs="仿宋"/>
          <w:sz w:val="24"/>
          <w:szCs w:val="24"/>
          <w:lang w:eastAsia="zh-CN"/>
        </w:rPr>
        <w:t>三</w:t>
      </w:r>
      <w:r>
        <w:rPr>
          <w:rFonts w:hint="eastAsia" w:ascii="仿宋" w:hAnsi="仿宋" w:eastAsia="仿宋" w:cs="仿宋"/>
          <w:sz w:val="24"/>
          <w:szCs w:val="24"/>
        </w:rPr>
        <w:t>份，其中：</w:t>
      </w:r>
      <w:r>
        <w:rPr>
          <w:rFonts w:hint="eastAsia" w:ascii="仿宋" w:hAnsi="仿宋" w:eastAsia="仿宋" w:cs="仿宋"/>
          <w:sz w:val="24"/>
          <w:szCs w:val="24"/>
          <w:lang w:eastAsia="zh-CN"/>
        </w:rPr>
        <w:t>一</w:t>
      </w:r>
      <w:r>
        <w:rPr>
          <w:rFonts w:hint="eastAsia" w:ascii="仿宋" w:hAnsi="仿宋" w:eastAsia="仿宋" w:cs="仿宋"/>
          <w:sz w:val="24"/>
          <w:szCs w:val="24"/>
        </w:rPr>
        <w:t>份正本和</w:t>
      </w:r>
      <w:r>
        <w:rPr>
          <w:rFonts w:hint="eastAsia" w:ascii="仿宋" w:hAnsi="仿宋" w:eastAsia="仿宋" w:cs="仿宋"/>
          <w:sz w:val="24"/>
          <w:szCs w:val="24"/>
          <w:lang w:eastAsia="zh-CN"/>
        </w:rPr>
        <w:t>两</w:t>
      </w:r>
      <w:r>
        <w:rPr>
          <w:rFonts w:hint="eastAsia" w:ascii="仿宋" w:hAnsi="仿宋" w:eastAsia="仿宋" w:cs="仿宋"/>
          <w:sz w:val="24"/>
          <w:szCs w:val="24"/>
        </w:rPr>
        <w:t>份副本，在每一份响应文件上应明确注明“正本”或“副本”字样，如正、副本之间有差异，以正本为准。</w:t>
      </w:r>
    </w:p>
    <w:p>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.2响应文件正本须打印并</w:t>
      </w:r>
      <w:r>
        <w:rPr>
          <w:rFonts w:hint="eastAsia" w:ascii="仿宋" w:hAnsi="仿宋" w:eastAsia="仿宋" w:cs="仿宋"/>
          <w:sz w:val="24"/>
          <w:szCs w:val="24"/>
          <w:lang w:eastAsia="zh-CN"/>
        </w:rPr>
        <w:t>逐页加盖公章，副本可以是正本的复印件</w:t>
      </w:r>
      <w:r>
        <w:rPr>
          <w:rFonts w:hint="eastAsia" w:ascii="仿宋" w:hAnsi="仿宋" w:eastAsia="仿宋" w:cs="仿宋"/>
          <w:sz w:val="24"/>
          <w:szCs w:val="24"/>
        </w:rPr>
        <w:t>。</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.3 除供应商对错误做必要修改外，响应文件中不许有增删、涂改或改写。若确有修改必须由签署响应文件的委托代理人签字或盖章。</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采购人概不接受电报、电传、电话、邮寄以及电子邮件等方式的磋商。</w:t>
      </w:r>
    </w:p>
    <w:p>
      <w:pPr>
        <w:pStyle w:val="15"/>
        <w:spacing w:line="360" w:lineRule="auto"/>
        <w:outlineLvl w:val="1"/>
        <w:rPr>
          <w:rFonts w:ascii="仿宋" w:hAnsi="仿宋" w:eastAsia="仿宋" w:cs="仿宋"/>
          <w:b/>
          <w:bCs/>
          <w:sz w:val="24"/>
          <w:szCs w:val="24"/>
        </w:rPr>
      </w:pPr>
      <w:r>
        <w:rPr>
          <w:rFonts w:hint="eastAsia" w:ascii="仿宋" w:hAnsi="仿宋" w:eastAsia="仿宋" w:cs="仿宋"/>
          <w:b/>
          <w:bCs/>
          <w:sz w:val="24"/>
          <w:szCs w:val="24"/>
        </w:rPr>
        <w:t>四、响应文件的递交、修改和撤回</w:t>
      </w:r>
      <w:bookmarkEnd w:id="72"/>
    </w:p>
    <w:p>
      <w:pPr>
        <w:spacing w:line="360" w:lineRule="auto"/>
        <w:ind w:firstLine="480" w:firstLineChars="200"/>
        <w:outlineLvl w:val="1"/>
        <w:rPr>
          <w:rFonts w:ascii="仿宋" w:hAnsi="仿宋" w:eastAsia="仿宋" w:cs="仿宋"/>
          <w:sz w:val="24"/>
        </w:rPr>
      </w:pPr>
      <w:bookmarkStart w:id="103" w:name="_Toc233274835"/>
      <w:bookmarkStart w:id="104" w:name="_Toc245897295"/>
      <w:bookmarkStart w:id="105" w:name="_Toc243906334"/>
      <w:bookmarkStart w:id="106" w:name="_Toc243907595"/>
      <w:bookmarkStart w:id="107" w:name="_Toc243907600"/>
      <w:bookmarkStart w:id="108" w:name="_Toc243906339"/>
      <w:bookmarkStart w:id="109" w:name="_Toc19823"/>
      <w:bookmarkStart w:id="110" w:name="_Toc246216209"/>
      <w:bookmarkStart w:id="111" w:name="_Toc233274840"/>
      <w:r>
        <w:rPr>
          <w:rFonts w:hint="eastAsia" w:ascii="仿宋" w:hAnsi="仿宋" w:eastAsia="仿宋" w:cs="仿宋"/>
          <w:sz w:val="24"/>
          <w:lang w:val="en-US" w:eastAsia="zh-CN"/>
        </w:rPr>
        <w:t>19</w:t>
      </w:r>
      <w:r>
        <w:rPr>
          <w:rFonts w:hint="eastAsia" w:ascii="仿宋" w:hAnsi="仿宋" w:eastAsia="仿宋" w:cs="仿宋"/>
          <w:sz w:val="24"/>
        </w:rPr>
        <w:t>、响应文件的密封和标记</w:t>
      </w:r>
      <w:bookmarkEnd w:id="103"/>
      <w:bookmarkEnd w:id="104"/>
      <w:bookmarkEnd w:id="105"/>
      <w:bookmarkEnd w:id="106"/>
    </w:p>
    <w:p>
      <w:pPr>
        <w:widowControl/>
        <w:spacing w:line="360" w:lineRule="auto"/>
        <w:ind w:firstLine="480" w:firstLineChars="200"/>
        <w:rPr>
          <w:rFonts w:ascii="仿宋" w:hAnsi="仿宋" w:eastAsia="仿宋" w:cs="仿宋"/>
          <w:sz w:val="24"/>
        </w:rPr>
      </w:pPr>
      <w:bookmarkStart w:id="112" w:name="_Toc243906336"/>
      <w:bookmarkStart w:id="113" w:name="_Toc243907597"/>
      <w:bookmarkStart w:id="114" w:name="_Toc245897297"/>
      <w:bookmarkStart w:id="115" w:name="_Toc233274837"/>
      <w:r>
        <w:rPr>
          <w:rFonts w:hint="eastAsia" w:ascii="仿宋" w:hAnsi="仿宋" w:eastAsia="仿宋" w:cs="仿宋"/>
          <w:sz w:val="24"/>
          <w:lang w:val="en-US" w:eastAsia="zh-CN"/>
        </w:rPr>
        <w:t>19</w:t>
      </w:r>
      <w:r>
        <w:rPr>
          <w:rFonts w:hint="eastAsia" w:ascii="仿宋" w:hAnsi="仿宋" w:eastAsia="仿宋" w:cs="仿宋"/>
          <w:sz w:val="24"/>
        </w:rPr>
        <w:t>.1投标人必须将投标文件的“正本”、“副本”、“电子版投标文件”、分别装袋密封并在信袋上标明“正本”、“副本”、“电子版投标文件”</w:t>
      </w:r>
      <w:r>
        <w:rPr>
          <w:rFonts w:hint="eastAsia" w:ascii="仿宋" w:hAnsi="仿宋" w:eastAsia="仿宋" w:cs="仿宋"/>
          <w:sz w:val="24"/>
          <w:lang w:eastAsia="zh-CN"/>
        </w:rPr>
        <w:t>“报价一览表”</w:t>
      </w:r>
      <w:r>
        <w:rPr>
          <w:rFonts w:hint="eastAsia" w:ascii="仿宋" w:hAnsi="仿宋" w:eastAsia="仿宋" w:cs="仿宋"/>
          <w:sz w:val="24"/>
        </w:rPr>
        <w:t>、字样。在开启处密封并加盖公章。</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19</w:t>
      </w:r>
      <w:r>
        <w:rPr>
          <w:rFonts w:hint="eastAsia" w:ascii="仿宋" w:hAnsi="仿宋" w:eastAsia="仿宋" w:cs="仿宋"/>
          <w:sz w:val="24"/>
        </w:rPr>
        <w:t>.2将投标文件正、副本分别装入投标文件袋内加以密封，并在密封件的封面上标明投标企业名称、法定代表人、单位公章、正本或副本，且开启处密封并加盖公章。</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19</w:t>
      </w:r>
      <w:r>
        <w:rPr>
          <w:rFonts w:hint="eastAsia" w:ascii="仿宋" w:hAnsi="仿宋" w:eastAsia="仿宋" w:cs="仿宋"/>
          <w:sz w:val="24"/>
        </w:rPr>
        <w:t>.3所有投标文件信袋及包装物上均应贴上封条，封条上应注明以下内容：</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（1）招标单位；</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（2）项目名称；</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（3）标书编号；</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（4）投标企业名称和地址；</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（5）“开标前不准启封”，“正本”、“副本”、“电子版投标文件”</w:t>
      </w:r>
      <w:r>
        <w:rPr>
          <w:rFonts w:hint="eastAsia" w:ascii="仿宋" w:hAnsi="仿宋" w:eastAsia="仿宋" w:cs="仿宋"/>
          <w:sz w:val="24"/>
          <w:lang w:eastAsia="zh-CN"/>
        </w:rPr>
        <w:t>“报价一栏表”</w:t>
      </w:r>
      <w:r>
        <w:rPr>
          <w:rFonts w:hint="eastAsia" w:ascii="仿宋" w:hAnsi="仿宋" w:eastAsia="仿宋" w:cs="仿宋"/>
          <w:sz w:val="24"/>
        </w:rPr>
        <w:t>等字样。</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19</w:t>
      </w:r>
      <w:r>
        <w:rPr>
          <w:rFonts w:hint="eastAsia" w:ascii="仿宋" w:hAnsi="仿宋" w:eastAsia="仿宋" w:cs="仿宋"/>
          <w:sz w:val="24"/>
        </w:rPr>
        <w:t>.4未按本须知要求密封、标记和递交的投标文件，后果自负。</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20</w:t>
      </w:r>
      <w:r>
        <w:rPr>
          <w:rFonts w:hint="eastAsia" w:ascii="仿宋" w:hAnsi="仿宋" w:eastAsia="仿宋" w:cs="仿宋"/>
          <w:sz w:val="24"/>
        </w:rPr>
        <w:t>、投标文件递交的截止日期</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0</w:t>
      </w:r>
      <w:r>
        <w:rPr>
          <w:rFonts w:hint="eastAsia" w:ascii="仿宋" w:hAnsi="仿宋" w:eastAsia="仿宋" w:cs="仿宋"/>
          <w:sz w:val="24"/>
        </w:rPr>
        <w:t>.1投标人必须按“投标人须知前附表”中规定的投标截止时间将投标文件送达 开标地点 。</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0</w:t>
      </w:r>
      <w:r>
        <w:rPr>
          <w:rFonts w:hint="eastAsia" w:ascii="仿宋" w:hAnsi="仿宋" w:eastAsia="仿宋" w:cs="仿宋"/>
          <w:sz w:val="24"/>
        </w:rPr>
        <w:t>.2超过招标文件规定的投标截止时间送达或邮寄的投标文件将不予接受。</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1</w:t>
      </w:r>
      <w:r>
        <w:rPr>
          <w:rFonts w:hint="eastAsia" w:ascii="仿宋" w:hAnsi="仿宋" w:eastAsia="仿宋" w:cs="仿宋"/>
          <w:sz w:val="24"/>
        </w:rPr>
        <w:t>、迟交的响应文件</w:t>
      </w:r>
      <w:bookmarkEnd w:id="112"/>
      <w:bookmarkEnd w:id="113"/>
      <w:bookmarkEnd w:id="114"/>
      <w:bookmarkEnd w:id="115"/>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1</w:t>
      </w:r>
      <w:r>
        <w:rPr>
          <w:rFonts w:hint="eastAsia" w:ascii="仿宋" w:hAnsi="仿宋" w:eastAsia="仿宋" w:cs="仿宋"/>
          <w:sz w:val="24"/>
        </w:rPr>
        <w:t>.1 采购人将拒绝并原封退回在其规定的截止时间后送达的响应文件。</w:t>
      </w:r>
    </w:p>
    <w:p>
      <w:pPr>
        <w:widowControl/>
        <w:spacing w:line="360" w:lineRule="auto"/>
        <w:ind w:firstLine="480" w:firstLineChars="200"/>
        <w:rPr>
          <w:rFonts w:ascii="仿宋" w:hAnsi="仿宋" w:eastAsia="仿宋" w:cs="仿宋"/>
          <w:sz w:val="24"/>
        </w:rPr>
      </w:pPr>
      <w:bookmarkStart w:id="116" w:name="_Toc243906337"/>
      <w:bookmarkStart w:id="117" w:name="_Toc243907598"/>
      <w:bookmarkStart w:id="118" w:name="_Toc245897298"/>
      <w:bookmarkStart w:id="119" w:name="_Toc233274838"/>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rPr>
        <w:t>、响应文件的修改和撤回</w:t>
      </w:r>
      <w:bookmarkEnd w:id="116"/>
      <w:bookmarkEnd w:id="117"/>
      <w:bookmarkEnd w:id="118"/>
      <w:bookmarkEnd w:id="119"/>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rPr>
        <w:t>.1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rPr>
        <w:t>.2 供应商对响应文件修改的书面材料或撤回的通知应按第22条和第23条规定进行编写、密封、标记和递交，并注明“修改响应文件”或“撤回响应文件”字样。</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rPr>
        <w:t>.3截止时间之后，供应商不得对响应文件做任何修改。</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rPr>
        <w:t>.4 供应商不得在截止时间起至响应文件有效期期满前撤回响应文件。</w:t>
      </w:r>
    </w:p>
    <w:p>
      <w:pPr>
        <w:widowControl/>
        <w:spacing w:line="360" w:lineRule="auto"/>
        <w:ind w:firstLine="480" w:firstLineChars="200"/>
        <w:rPr>
          <w:rFonts w:ascii="仿宋" w:hAnsi="仿宋" w:eastAsia="仿宋" w:cs="仿宋"/>
          <w:sz w:val="24"/>
        </w:rPr>
      </w:pPr>
      <w:bookmarkStart w:id="120" w:name="_Toc243907599"/>
      <w:bookmarkStart w:id="121" w:name="_Toc233274839"/>
      <w:bookmarkStart w:id="122" w:name="_Toc243906338"/>
      <w:bookmarkStart w:id="123" w:name="_Toc245897299"/>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、递交响应文件</w:t>
      </w:r>
      <w:bookmarkEnd w:id="120"/>
      <w:bookmarkEnd w:id="121"/>
      <w:bookmarkEnd w:id="122"/>
      <w:bookmarkEnd w:id="123"/>
    </w:p>
    <w:p>
      <w:pPr>
        <w:widowControl/>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.1供应商应按本供应商须知前格式第</w:t>
      </w:r>
      <w:r>
        <w:rPr>
          <w:rFonts w:hint="eastAsia" w:ascii="仿宋" w:hAnsi="仿宋" w:eastAsia="仿宋" w:cs="仿宋"/>
          <w:sz w:val="24"/>
          <w:lang w:val="en-US" w:eastAsia="zh-CN"/>
        </w:rPr>
        <w:t>12</w:t>
      </w:r>
      <w:r>
        <w:rPr>
          <w:rFonts w:hint="eastAsia" w:ascii="仿宋" w:hAnsi="仿宋" w:eastAsia="仿宋" w:cs="仿宋"/>
          <w:sz w:val="24"/>
        </w:rPr>
        <w:t>项</w:t>
      </w:r>
      <w:r>
        <w:rPr>
          <w:rFonts w:hint="eastAsia" w:ascii="仿宋" w:hAnsi="仿宋" w:eastAsia="仿宋" w:cs="仿宋"/>
          <w:sz w:val="24"/>
          <w:lang w:eastAsia="zh-CN"/>
        </w:rPr>
        <w:t>及</w:t>
      </w:r>
      <w:r>
        <w:rPr>
          <w:rFonts w:hint="eastAsia" w:ascii="仿宋" w:hAnsi="仿宋" w:eastAsia="仿宋" w:cs="仿宋"/>
          <w:sz w:val="24"/>
          <w:lang w:val="en-US" w:eastAsia="zh-CN"/>
        </w:rPr>
        <w:t>18项</w:t>
      </w:r>
      <w:r>
        <w:rPr>
          <w:rFonts w:hint="eastAsia" w:ascii="仿宋" w:hAnsi="仿宋" w:eastAsia="仿宋" w:cs="仿宋"/>
          <w:sz w:val="24"/>
        </w:rPr>
        <w:t>规定的时间及地点递交响应文件。</w:t>
      </w:r>
      <w:r>
        <w:rPr>
          <w:rFonts w:hint="eastAsia" w:ascii="仿宋" w:hAnsi="仿宋" w:eastAsia="仿宋" w:cs="仿宋"/>
          <w:sz w:val="24"/>
          <w:lang w:eastAsia="zh-CN"/>
        </w:rPr>
        <w:t>未按格式要求递交的投标文件不予接收。</w:t>
      </w:r>
    </w:p>
    <w:p>
      <w:pPr>
        <w:spacing w:line="360" w:lineRule="auto"/>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3</w:t>
      </w:r>
      <w:r>
        <w:rPr>
          <w:rFonts w:hint="eastAsia" w:ascii="仿宋" w:hAnsi="仿宋" w:eastAsia="仿宋" w:cs="仿宋"/>
          <w:b/>
          <w:sz w:val="24"/>
        </w:rPr>
        <w:t>.2有下列情形之一的，采购人不予接收其响应文件：</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.2.1供应商在递交响应文件截止时间后送达或未送达到指定地点的响应文件；</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.2.2 响应文件未按磋商文件要求密封的。</w:t>
      </w:r>
    </w:p>
    <w:p>
      <w:pPr>
        <w:spacing w:line="360" w:lineRule="auto"/>
        <w:outlineLvl w:val="1"/>
        <w:rPr>
          <w:rFonts w:ascii="仿宋" w:hAnsi="仿宋" w:eastAsia="仿宋" w:cs="仿宋"/>
          <w:b/>
          <w:bCs/>
          <w:sz w:val="24"/>
        </w:rPr>
      </w:pPr>
      <w:r>
        <w:rPr>
          <w:rFonts w:hint="eastAsia" w:ascii="仿宋" w:hAnsi="仿宋" w:eastAsia="仿宋" w:cs="仿宋"/>
          <w:b/>
          <w:bCs/>
          <w:sz w:val="24"/>
        </w:rPr>
        <w:t>五、</w:t>
      </w:r>
      <w:bookmarkEnd w:id="107"/>
      <w:bookmarkEnd w:id="108"/>
      <w:bookmarkEnd w:id="109"/>
      <w:bookmarkEnd w:id="110"/>
      <w:bookmarkEnd w:id="111"/>
      <w:r>
        <w:rPr>
          <w:rFonts w:hint="eastAsia" w:ascii="仿宋" w:hAnsi="仿宋" w:eastAsia="仿宋" w:cs="仿宋"/>
          <w:b/>
          <w:bCs/>
          <w:sz w:val="24"/>
        </w:rPr>
        <w:t>磋商、评审、确定成交供应商</w:t>
      </w:r>
    </w:p>
    <w:p>
      <w:pPr>
        <w:spacing w:line="360" w:lineRule="auto"/>
        <w:ind w:firstLine="480" w:firstLineChars="200"/>
        <w:outlineLvl w:val="1"/>
        <w:rPr>
          <w:rFonts w:ascii="仿宋" w:hAnsi="仿宋" w:eastAsia="仿宋" w:cs="仿宋"/>
          <w:sz w:val="24"/>
        </w:rPr>
      </w:pPr>
      <w:bookmarkStart w:id="124" w:name="_Toc243906340"/>
      <w:bookmarkStart w:id="125" w:name="_Toc243907601"/>
      <w:bookmarkStart w:id="126" w:name="_Toc245897301"/>
      <w:bookmarkStart w:id="127" w:name="_Toc233274841"/>
      <w:bookmarkStart w:id="128" w:name="_Toc245897308"/>
      <w:bookmarkStart w:id="129" w:name="_Toc243906348"/>
      <w:bookmarkStart w:id="130" w:name="_Toc233274847"/>
      <w:bookmarkStart w:id="131" w:name="_Toc243907609"/>
      <w:bookmarkStart w:id="132" w:name="_Toc22731"/>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w:t>
      </w:r>
      <w:bookmarkEnd w:id="124"/>
      <w:bookmarkEnd w:id="125"/>
      <w:bookmarkEnd w:id="126"/>
      <w:bookmarkEnd w:id="127"/>
      <w:r>
        <w:rPr>
          <w:rFonts w:hint="eastAsia" w:ascii="仿宋" w:hAnsi="仿宋" w:eastAsia="仿宋" w:cs="仿宋"/>
          <w:sz w:val="24"/>
        </w:rPr>
        <w:t>磋商会议</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.1采购人在本供应商须知前格式第7项规定的时间和地点组织磋商会议。</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.2供应商应委派代表参加磋商会议。</w:t>
      </w:r>
      <w:r>
        <w:rPr>
          <w:rFonts w:hint="eastAsia" w:ascii="仿宋" w:hAnsi="仿宋" w:eastAsia="仿宋" w:cs="仿宋"/>
          <w:b/>
          <w:sz w:val="24"/>
        </w:rPr>
        <w:t>参加磋商会议的代表应持有法定代表人身份证原件或法定代表人授权委托书及委托代理人身份证原件</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.3磋商会议由采购代理机构组织并主持。</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ascii="仿宋" w:hAnsi="仿宋" w:eastAsia="仿宋" w:cs="仿宋"/>
          <w:sz w:val="24"/>
        </w:rPr>
      </w:pPr>
      <w:bookmarkStart w:id="133" w:name="_Toc243906341"/>
      <w:bookmarkStart w:id="134" w:name="_Toc245897302"/>
      <w:bookmarkStart w:id="135" w:name="_Toc233274842"/>
      <w:bookmarkStart w:id="136" w:name="_Toc243907602"/>
      <w:bookmarkStart w:id="137" w:name="_Toc233274843"/>
      <w:bookmarkStart w:id="138" w:name="_Toc243907605"/>
      <w:bookmarkStart w:id="139" w:name="_Toc245897304"/>
      <w:bookmarkStart w:id="140" w:name="_Toc243906344"/>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、磋商小组</w:t>
      </w:r>
      <w:bookmarkEnd w:id="133"/>
      <w:bookmarkEnd w:id="134"/>
      <w:bookmarkEnd w:id="135"/>
      <w:bookmarkEnd w:id="136"/>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供应商。</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、磋商</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.6已提交响应文件的供应商，在提交最后报价之前，可以根据磋商情况退出磋商。</w:t>
      </w:r>
    </w:p>
    <w:p>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.7磋商小组判断响应文件的响应性仅基于响应文件本身而不依靠任何外部证据，但响应文件有不真实、不正确的内容除外。</w:t>
      </w:r>
    </w:p>
    <w:p>
      <w:pPr>
        <w:spacing w:line="360" w:lineRule="auto"/>
        <w:ind w:firstLine="480" w:firstLineChars="200"/>
        <w:outlineLvl w:val="1"/>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6</w:t>
      </w:r>
      <w:r>
        <w:rPr>
          <w:rFonts w:hint="eastAsia" w:ascii="仿宋" w:hAnsi="仿宋" w:eastAsia="仿宋" w:cs="仿宋"/>
          <w:sz w:val="24"/>
        </w:rPr>
        <w:t>.8如果响应文件实质上没有响应磋商文件的要求，磋商小组将予以拒绝，供应商不得通过修正或撤消不符合要求的偏离或保留，而使其成为实质上响应。</w:t>
      </w:r>
    </w:p>
    <w:bookmarkEnd w:id="137"/>
    <w:bookmarkEnd w:id="138"/>
    <w:bookmarkEnd w:id="139"/>
    <w:bookmarkEnd w:id="140"/>
    <w:p>
      <w:pPr>
        <w:spacing w:line="360" w:lineRule="auto"/>
        <w:ind w:firstLine="480" w:firstLineChars="200"/>
        <w:outlineLvl w:val="1"/>
        <w:rPr>
          <w:rFonts w:ascii="仿宋" w:hAnsi="仿宋" w:eastAsia="仿宋" w:cs="仿宋"/>
          <w:sz w:val="24"/>
        </w:rPr>
      </w:pPr>
      <w:bookmarkStart w:id="141" w:name="_Toc224624628"/>
      <w:bookmarkStart w:id="142" w:name="_Toc224620150"/>
      <w:bookmarkStart w:id="143" w:name="_Toc224623663"/>
      <w:bookmarkStart w:id="144" w:name="_Toc224623557"/>
      <w:bookmarkStart w:id="145" w:name="_Toc224623451"/>
      <w:bookmarkStart w:id="146" w:name="_Toc224622928"/>
      <w:bookmarkStart w:id="147" w:name="_Toc224624767"/>
      <w:bookmarkStart w:id="148" w:name="_Toc243906345"/>
      <w:bookmarkStart w:id="149" w:name="_Toc224620071"/>
      <w:bookmarkStart w:id="150" w:name="_Toc243907606"/>
      <w:bookmarkStart w:id="151" w:name="_Toc224624488"/>
      <w:bookmarkStart w:id="152" w:name="_Toc245897305"/>
      <w:r>
        <w:rPr>
          <w:rFonts w:hint="eastAsia" w:ascii="仿宋" w:hAnsi="仿宋" w:eastAsia="仿宋" w:cs="仿宋"/>
          <w:sz w:val="24"/>
          <w:lang w:val="en-US" w:eastAsia="zh-CN"/>
        </w:rPr>
        <w:t>27</w:t>
      </w:r>
      <w:r>
        <w:rPr>
          <w:rFonts w:hint="eastAsia" w:ascii="仿宋" w:hAnsi="仿宋" w:eastAsia="仿宋" w:cs="仿宋"/>
          <w:sz w:val="24"/>
        </w:rPr>
        <w:t>、评审</w:t>
      </w:r>
    </w:p>
    <w:p>
      <w:pPr>
        <w:spacing w:line="360" w:lineRule="auto"/>
        <w:ind w:firstLine="480" w:firstLineChars="200"/>
        <w:outlineLvl w:val="1"/>
        <w:rPr>
          <w:rFonts w:ascii="仿宋" w:hAnsi="仿宋" w:eastAsia="仿宋" w:cs="仿宋"/>
          <w:b/>
          <w:bCs/>
          <w:sz w:val="24"/>
        </w:rPr>
      </w:pPr>
      <w:r>
        <w:rPr>
          <w:rFonts w:hint="eastAsia" w:ascii="仿宋" w:hAnsi="仿宋" w:eastAsia="仿宋" w:cs="仿宋"/>
          <w:sz w:val="24"/>
          <w:lang w:val="en-US" w:eastAsia="zh-CN"/>
        </w:rPr>
        <w:t>27</w:t>
      </w:r>
      <w:r>
        <w:rPr>
          <w:rFonts w:hint="eastAsia" w:ascii="仿宋" w:hAnsi="仿宋" w:eastAsia="仿宋" w:cs="仿宋"/>
          <w:sz w:val="24"/>
        </w:rPr>
        <w:t>.1经磋商确定最终采购需求和提交最后报价的供应商后，</w:t>
      </w:r>
      <w:r>
        <w:rPr>
          <w:rFonts w:hint="eastAsia" w:ascii="仿宋" w:hAnsi="仿宋" w:eastAsia="仿宋" w:cs="仿宋"/>
          <w:b/>
          <w:bCs/>
          <w:sz w:val="24"/>
        </w:rPr>
        <w:t>由磋商小组采用综合评分法对提交最后报价的供应商响应文件和最后报价进行综合评分。</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.3商务报价错误的修正</w:t>
      </w:r>
    </w:p>
    <w:p>
      <w:pPr>
        <w:spacing w:line="360" w:lineRule="auto"/>
        <w:ind w:firstLine="480" w:firstLineChars="200"/>
        <w:rPr>
          <w:rFonts w:ascii="仿宋" w:hAnsi="仿宋" w:eastAsia="仿宋" w:cs="仿宋"/>
          <w:sz w:val="24"/>
        </w:rPr>
      </w:pPr>
      <w:r>
        <w:rPr>
          <w:rFonts w:hint="eastAsia" w:ascii="仿宋" w:hAnsi="仿宋" w:eastAsia="仿宋" w:cs="仿宋"/>
          <w:sz w:val="24"/>
        </w:rPr>
        <w:t>如果发现商务报价存在计算或表达上错误，则按下列原则进行修正：</w:t>
      </w:r>
    </w:p>
    <w:p>
      <w:pPr>
        <w:spacing w:line="360" w:lineRule="auto"/>
        <w:ind w:firstLine="480" w:firstLineChars="200"/>
        <w:rPr>
          <w:rFonts w:ascii="仿宋" w:hAnsi="仿宋" w:eastAsia="仿宋" w:cs="仿宋"/>
          <w:sz w:val="24"/>
        </w:rPr>
      </w:pPr>
      <w:r>
        <w:rPr>
          <w:rFonts w:hint="eastAsia" w:ascii="仿宋" w:hAnsi="仿宋" w:eastAsia="仿宋" w:cs="仿宋"/>
          <w:sz w:val="24"/>
        </w:rPr>
        <w:t>（1）用数字表示的数额与用文字表示的数额不一致时，以文字数额为准；</w:t>
      </w:r>
    </w:p>
    <w:p>
      <w:pPr>
        <w:spacing w:line="360" w:lineRule="auto"/>
        <w:ind w:firstLine="480" w:firstLineChars="200"/>
        <w:rPr>
          <w:rFonts w:ascii="仿宋" w:hAnsi="仿宋" w:eastAsia="仿宋" w:cs="仿宋"/>
          <w:sz w:val="24"/>
        </w:rPr>
      </w:pPr>
      <w:r>
        <w:rPr>
          <w:rFonts w:hint="eastAsia" w:ascii="仿宋" w:hAnsi="仿宋" w:eastAsia="仿宋" w:cs="仿宋"/>
          <w:sz w:val="24"/>
        </w:rPr>
        <w:t>（2）单价与工程量的乘积与总价之间不一致时，以单价为准。若单价有明显小数点错位，应以总价为准，并修改单价。</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.4磋商小组将按第</w:t>
      </w:r>
      <w:r>
        <w:rPr>
          <w:rFonts w:hint="eastAsia" w:ascii="仿宋" w:hAnsi="仿宋" w:eastAsia="仿宋" w:cs="仿宋"/>
          <w:sz w:val="24"/>
          <w:lang w:val="en-US" w:eastAsia="zh-CN"/>
        </w:rPr>
        <w:t>27.3</w:t>
      </w:r>
      <w:r>
        <w:rPr>
          <w:rFonts w:hint="eastAsia" w:ascii="仿宋" w:hAnsi="仿宋" w:eastAsia="仿宋" w:cs="仿宋"/>
          <w:sz w:val="24"/>
        </w:rPr>
        <w:t>条原则修正商务报价，并要求供应商进行确认。确认后的报价和文件将对供应商具有约束力。并以修正后的报价作为评审的依据。</w:t>
      </w:r>
    </w:p>
    <w:bookmarkEnd w:id="141"/>
    <w:bookmarkEnd w:id="142"/>
    <w:bookmarkEnd w:id="143"/>
    <w:bookmarkEnd w:id="144"/>
    <w:bookmarkEnd w:id="145"/>
    <w:bookmarkEnd w:id="146"/>
    <w:bookmarkEnd w:id="147"/>
    <w:bookmarkEnd w:id="148"/>
    <w:bookmarkEnd w:id="149"/>
    <w:bookmarkEnd w:id="150"/>
    <w:bookmarkEnd w:id="151"/>
    <w:bookmarkEnd w:id="152"/>
    <w:p>
      <w:pPr>
        <w:spacing w:line="360" w:lineRule="auto"/>
        <w:ind w:firstLine="480" w:firstLineChars="200"/>
        <w:outlineLvl w:val="1"/>
        <w:rPr>
          <w:rFonts w:ascii="仿宋" w:hAnsi="仿宋" w:eastAsia="仿宋" w:cs="仿宋"/>
          <w:sz w:val="24"/>
        </w:rPr>
      </w:pPr>
      <w:r>
        <w:rPr>
          <w:rFonts w:hint="eastAsia" w:ascii="仿宋" w:hAnsi="仿宋" w:eastAsia="仿宋" w:cs="仿宋"/>
          <w:sz w:val="24"/>
          <w:lang w:val="en-US" w:eastAsia="zh-CN"/>
        </w:rPr>
        <w:t>28</w:t>
      </w:r>
      <w:r>
        <w:rPr>
          <w:rFonts w:hint="eastAsia" w:ascii="仿宋" w:hAnsi="仿宋" w:eastAsia="仿宋" w:cs="仿宋"/>
          <w:sz w:val="24"/>
        </w:rPr>
        <w:t>、响应文件的澄清</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28</w:t>
      </w:r>
      <w:r>
        <w:rPr>
          <w:rFonts w:hint="eastAsia" w:ascii="仿宋" w:hAnsi="仿宋" w:eastAsia="仿宋" w:cs="仿宋"/>
          <w:sz w:val="24"/>
        </w:rPr>
        <w:t>.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28</w:t>
      </w:r>
      <w:r>
        <w:rPr>
          <w:rFonts w:hint="eastAsia" w:ascii="仿宋" w:hAnsi="仿宋" w:eastAsia="仿宋" w:cs="仿宋"/>
          <w:sz w:val="24"/>
        </w:rPr>
        <w:t>.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28</w:t>
      </w:r>
      <w:r>
        <w:rPr>
          <w:rFonts w:hint="eastAsia" w:ascii="仿宋" w:hAnsi="仿宋" w:eastAsia="仿宋" w:cs="仿宋"/>
          <w:sz w:val="24"/>
        </w:rPr>
        <w:t>.3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ascii="仿宋" w:hAnsi="仿宋" w:eastAsia="仿宋" w:cs="仿宋"/>
          <w:sz w:val="24"/>
        </w:rPr>
      </w:pPr>
      <w:r>
        <w:rPr>
          <w:rFonts w:hint="eastAsia" w:ascii="仿宋" w:hAnsi="仿宋" w:eastAsia="仿宋" w:cs="仿宋"/>
          <w:b/>
          <w:sz w:val="24"/>
          <w:lang w:val="en-US" w:eastAsia="zh-CN"/>
        </w:rPr>
        <w:t>28</w:t>
      </w:r>
      <w:r>
        <w:rPr>
          <w:rFonts w:hint="eastAsia" w:ascii="仿宋" w:hAnsi="仿宋" w:eastAsia="仿宋" w:cs="仿宋"/>
          <w:b/>
          <w:sz w:val="24"/>
        </w:rPr>
        <w:t>.4如果供应商在响应文件中未对磋商文件、技术规格及标准、项目采购需求、合同主要内容等提出偏离意见或澄清，将视同供应商同意上述文件的全部条款和要求。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ascii="仿宋" w:hAnsi="仿宋" w:eastAsia="仿宋" w:cs="仿宋"/>
          <w:sz w:val="24"/>
        </w:rPr>
      </w:pPr>
      <w:bookmarkStart w:id="153" w:name="_Toc243906346"/>
      <w:bookmarkStart w:id="154" w:name="_Toc245897306"/>
      <w:bookmarkStart w:id="155" w:name="_Toc243907607"/>
      <w:bookmarkStart w:id="156" w:name="_Toc233274845"/>
      <w:r>
        <w:rPr>
          <w:rFonts w:hint="eastAsia" w:ascii="仿宋" w:hAnsi="仿宋" w:eastAsia="仿宋" w:cs="仿宋"/>
          <w:b/>
          <w:sz w:val="24"/>
          <w:lang w:val="en-US" w:eastAsia="zh-CN"/>
        </w:rPr>
        <w:t>29</w:t>
      </w:r>
      <w:r>
        <w:rPr>
          <w:rFonts w:hint="eastAsia" w:ascii="仿宋" w:hAnsi="仿宋" w:eastAsia="仿宋" w:cs="仿宋"/>
          <w:b/>
          <w:sz w:val="24"/>
        </w:rPr>
        <w:t>、重大偏离</w:t>
      </w:r>
      <w:bookmarkEnd w:id="153"/>
      <w:bookmarkEnd w:id="154"/>
      <w:bookmarkEnd w:id="155"/>
      <w:bookmarkEnd w:id="156"/>
    </w:p>
    <w:p>
      <w:pPr>
        <w:spacing w:line="360" w:lineRule="auto"/>
        <w:ind w:firstLine="482" w:firstLineChars="200"/>
        <w:rPr>
          <w:rFonts w:ascii="仿宋" w:hAnsi="仿宋" w:eastAsia="仿宋" w:cs="仿宋"/>
          <w:b/>
          <w:sz w:val="24"/>
        </w:rPr>
      </w:pPr>
      <w:bookmarkStart w:id="157" w:name="_Toc243907608"/>
      <w:bookmarkStart w:id="158" w:name="_Toc245897307"/>
      <w:bookmarkStart w:id="159" w:name="_Toc243906347"/>
      <w:bookmarkStart w:id="160" w:name="_Toc233274846"/>
      <w:r>
        <w:rPr>
          <w:rFonts w:hint="eastAsia" w:ascii="仿宋" w:hAnsi="仿宋" w:eastAsia="仿宋" w:cs="仿宋"/>
          <w:b/>
          <w:sz w:val="24"/>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0</w:t>
      </w:r>
      <w:r>
        <w:rPr>
          <w:rFonts w:hint="eastAsia" w:ascii="仿宋" w:hAnsi="仿宋" w:eastAsia="仿宋" w:cs="仿宋"/>
          <w:b/>
          <w:sz w:val="24"/>
        </w:rPr>
        <w:t>、</w:t>
      </w:r>
      <w:bookmarkEnd w:id="157"/>
      <w:bookmarkEnd w:id="158"/>
      <w:bookmarkEnd w:id="159"/>
      <w:bookmarkEnd w:id="160"/>
      <w:r>
        <w:rPr>
          <w:rFonts w:hint="eastAsia" w:ascii="仿宋" w:hAnsi="仿宋" w:eastAsia="仿宋" w:cs="仿宋"/>
          <w:b/>
          <w:sz w:val="24"/>
        </w:rPr>
        <w:t>无效响应文件</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响应文件有下列情形之一的，由磋商小组评审后按无效响应文件处理：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0</w:t>
      </w:r>
      <w:r>
        <w:rPr>
          <w:rFonts w:hint="eastAsia" w:ascii="仿宋" w:hAnsi="仿宋" w:eastAsia="仿宋" w:cs="仿宋"/>
          <w:b/>
          <w:sz w:val="24"/>
        </w:rPr>
        <w:t>.1供应商的商务报价高于采购项目预算；</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.2响应文件附有采购人不能接受条件的；</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.3出现重大偏离的；</w:t>
      </w:r>
    </w:p>
    <w:p>
      <w:pPr>
        <w:widowControl/>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.5对磋商文件提出的实质性要求和条件未能实质性响应；</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.6供应商法定代表人委托代理人不是本企业人员的；</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.7《中华人民共和国政府采购法》、《政府采购竞争性磋商采购方式管理暂行办法》及相关法律法规及磋商文件明确规定可以作无效响应的其他情形。</w:t>
      </w:r>
    </w:p>
    <w:p>
      <w:pPr>
        <w:spacing w:line="360" w:lineRule="auto"/>
        <w:ind w:firstLine="482" w:firstLineChars="200"/>
        <w:outlineLvl w:val="1"/>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、评审标准</w:t>
      </w:r>
    </w:p>
    <w:p>
      <w:pPr>
        <w:spacing w:line="360" w:lineRule="auto"/>
        <w:ind w:firstLine="482" w:firstLineChars="200"/>
        <w:rPr>
          <w:rFonts w:ascii="仿宋" w:hAnsi="仿宋" w:eastAsia="仿宋" w:cs="仿宋"/>
          <w:b/>
          <w:bCs/>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.1</w:t>
      </w:r>
      <w:r>
        <w:rPr>
          <w:rFonts w:hint="eastAsia" w:ascii="仿宋" w:hAnsi="仿宋" w:eastAsia="仿宋" w:cs="仿宋"/>
          <w:b/>
          <w:bCs/>
          <w:sz w:val="24"/>
        </w:rPr>
        <w:t>本项目评审严格按照磋商文件的要求和条件进行。</w:t>
      </w:r>
    </w:p>
    <w:bookmarkEnd w:id="128"/>
    <w:bookmarkEnd w:id="129"/>
    <w:bookmarkEnd w:id="130"/>
    <w:bookmarkEnd w:id="131"/>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2</w:t>
      </w:r>
      <w:r>
        <w:rPr>
          <w:rFonts w:hint="eastAsia" w:ascii="仿宋" w:hAnsi="仿宋" w:eastAsia="仿宋" w:cs="仿宋"/>
          <w:b/>
          <w:sz w:val="24"/>
        </w:rPr>
        <w:t>响应文件初审。初审分为资格性审查和符合性审查。</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2</w:t>
      </w:r>
      <w:r>
        <w:rPr>
          <w:rFonts w:hint="eastAsia" w:ascii="仿宋" w:hAnsi="仿宋" w:eastAsia="仿宋" w:cs="仿宋"/>
          <w:b/>
          <w:sz w:val="24"/>
        </w:rPr>
        <w:t>.1资格性检查。依据法律法规和磋商文件的规定，对响应文件中的资格条件等进行审查，以确定供应商是否具备磋商资格。</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2</w:t>
      </w:r>
      <w:r>
        <w:rPr>
          <w:rFonts w:hint="eastAsia" w:ascii="仿宋" w:hAnsi="仿宋" w:eastAsia="仿宋" w:cs="仿宋"/>
          <w:b/>
          <w:sz w:val="24"/>
        </w:rPr>
        <w:t>.2符合性检查。依据磋商文件的规定，从响应文件的有效性、完整性和对磋商文件的响应程度进行审查，以确定是否对磋商文件的实质性要求作出响应。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2</w:t>
      </w:r>
      <w:r>
        <w:rPr>
          <w:rFonts w:hint="eastAsia" w:ascii="仿宋" w:hAnsi="仿宋" w:eastAsia="仿宋" w:cs="仿宋"/>
          <w:b/>
          <w:sz w:val="24"/>
        </w:rPr>
        <w:t>.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3</w:t>
      </w:r>
      <w:r>
        <w:rPr>
          <w:rFonts w:hint="eastAsia" w:ascii="仿宋" w:hAnsi="仿宋" w:eastAsia="仿宋" w:cs="仿宋"/>
          <w:b/>
          <w:sz w:val="24"/>
        </w:rPr>
        <w:t>比较与评价。磋商小组按磋商文件中规定的评审方法和标准，对资格性检查和符合性检查合格的响应文件进行商务和技术评估，综合比较与评价。</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w:t>
      </w:r>
      <w:r>
        <w:rPr>
          <w:rFonts w:hint="eastAsia" w:ascii="仿宋" w:hAnsi="仿宋" w:eastAsia="仿宋" w:cs="仿宋"/>
          <w:bCs/>
          <w:sz w:val="24"/>
          <w:lang w:val="en-US" w:eastAsia="zh-CN"/>
        </w:rPr>
        <w:t>1</w:t>
      </w: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ascii="仿宋" w:hAnsi="仿宋" w:eastAsia="仿宋" w:cs="仿宋"/>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5</w:t>
      </w:r>
      <w:r>
        <w:rPr>
          <w:rFonts w:hint="eastAsia" w:ascii="仿宋" w:hAnsi="仿宋" w:eastAsia="仿宋" w:cs="仿宋"/>
          <w:sz w:val="24"/>
        </w:rPr>
        <w:t>本项目评审</w:t>
      </w:r>
      <w:r>
        <w:rPr>
          <w:rFonts w:hint="eastAsia" w:ascii="仿宋" w:hAnsi="仿宋" w:eastAsia="仿宋" w:cs="仿宋"/>
          <w:b/>
          <w:sz w:val="24"/>
        </w:rPr>
        <w:t>采用综合评分法</w:t>
      </w:r>
      <w:r>
        <w:rPr>
          <w:rFonts w:hint="eastAsia" w:ascii="仿宋" w:hAnsi="仿宋" w:eastAsia="仿宋" w:cs="仿宋"/>
          <w:sz w:val="24"/>
        </w:rPr>
        <w:t>，严格按照磋商文件的要求和条件进行。</w:t>
      </w:r>
    </w:p>
    <w:p>
      <w:pPr>
        <w:spacing w:line="360" w:lineRule="auto"/>
        <w:ind w:firstLine="482" w:firstLineChars="200"/>
        <w:rPr>
          <w:rFonts w:ascii="仿宋" w:hAnsi="仿宋" w:eastAsia="仿宋" w:cs="仿宋"/>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6</w:t>
      </w:r>
      <w:r>
        <w:rPr>
          <w:rFonts w:hint="eastAsia" w:ascii="仿宋" w:hAnsi="仿宋" w:eastAsia="仿宋" w:cs="仿宋"/>
          <w:sz w:val="24"/>
        </w:rPr>
        <w:t>本项目评审</w:t>
      </w:r>
      <w:r>
        <w:rPr>
          <w:rFonts w:hint="eastAsia" w:ascii="仿宋" w:hAnsi="仿宋" w:eastAsia="仿宋" w:cs="仿宋"/>
          <w:b/>
          <w:sz w:val="24"/>
        </w:rPr>
        <w:t>采用综合评分法</w:t>
      </w:r>
      <w:r>
        <w:rPr>
          <w:rFonts w:hint="eastAsia" w:ascii="仿宋" w:hAnsi="仿宋" w:eastAsia="仿宋" w:cs="仿宋"/>
          <w:sz w:val="24"/>
        </w:rPr>
        <w:t>，严格按照磋商文件的要求和条件进行。</w:t>
      </w:r>
    </w:p>
    <w:p>
      <w:pPr>
        <w:spacing w:line="360" w:lineRule="auto"/>
        <w:ind w:firstLine="482" w:firstLineChars="200"/>
        <w:rPr>
          <w:rFonts w:ascii="仿宋" w:hAnsi="仿宋" w:eastAsia="仿宋" w:cs="仿宋"/>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7</w:t>
      </w:r>
      <w:r>
        <w:rPr>
          <w:rFonts w:hint="eastAsia" w:ascii="仿宋" w:hAnsi="仿宋" w:eastAsia="仿宋" w:cs="仿宋"/>
          <w:b/>
          <w:sz w:val="24"/>
        </w:rPr>
        <w:t>评审分值：总分值为100分，其中价格分值为</w:t>
      </w:r>
      <w:r>
        <w:rPr>
          <w:rFonts w:hint="eastAsia" w:ascii="仿宋" w:hAnsi="仿宋" w:eastAsia="仿宋" w:cs="仿宋"/>
          <w:b/>
          <w:sz w:val="24"/>
          <w:lang w:val="en-US" w:eastAsia="zh-CN"/>
        </w:rPr>
        <w:t>1</w:t>
      </w:r>
      <w:r>
        <w:rPr>
          <w:rFonts w:hint="eastAsia" w:ascii="仿宋" w:hAnsi="仿宋" w:eastAsia="仿宋" w:cs="仿宋"/>
          <w:b/>
          <w:sz w:val="24"/>
        </w:rPr>
        <w:t>0分，其余部分分值为</w:t>
      </w:r>
      <w:r>
        <w:rPr>
          <w:rFonts w:hint="eastAsia" w:ascii="仿宋" w:hAnsi="仿宋" w:eastAsia="仿宋" w:cs="仿宋"/>
          <w:b/>
          <w:sz w:val="24"/>
          <w:lang w:val="en-US" w:eastAsia="zh-CN"/>
        </w:rPr>
        <w:t>9</w:t>
      </w:r>
      <w:r>
        <w:rPr>
          <w:rFonts w:hint="eastAsia" w:ascii="仿宋" w:hAnsi="仿宋" w:eastAsia="仿宋" w:cs="仿宋"/>
          <w:b/>
          <w:sz w:val="24"/>
        </w:rPr>
        <w:t>0分，具体评审评分内容详见本磋商文件“评审标准（综合评分法）”。</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8</w:t>
      </w:r>
      <w:r>
        <w:rPr>
          <w:rFonts w:hint="eastAsia" w:ascii="仿宋" w:hAnsi="仿宋" w:eastAsia="仿宋" w:cs="仿宋"/>
          <w:b/>
          <w:sz w:val="24"/>
        </w:rPr>
        <w:t>推荐成交候选供应商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8</w:t>
      </w:r>
      <w:r>
        <w:rPr>
          <w:rFonts w:hint="eastAsia" w:ascii="仿宋" w:hAnsi="仿宋" w:eastAsia="仿宋" w:cs="仿宋"/>
          <w:b/>
          <w:sz w:val="24"/>
        </w:rPr>
        <w:t>.1各供应商的评审得分由高至低排序，评审得分排列前3名的供应商被推荐为成交候选供应商。评审得分相同的，按照最后报价由低到高的顺序推荐。评审得分且最后报价相同的，按照技术指标优劣顺序推荐。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8</w:t>
      </w:r>
      <w:r>
        <w:rPr>
          <w:rFonts w:hint="eastAsia" w:ascii="仿宋" w:hAnsi="仿宋" w:eastAsia="仿宋" w:cs="仿宋"/>
          <w:b/>
          <w:sz w:val="24"/>
        </w:rPr>
        <w:t>.2评分计算结果保留两位小数，第三位小数四舍五入。</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w:t>
      </w:r>
      <w:r>
        <w:rPr>
          <w:rFonts w:hint="eastAsia" w:ascii="仿宋" w:hAnsi="仿宋" w:eastAsia="仿宋" w:cs="仿宋"/>
          <w:bCs/>
          <w:sz w:val="24"/>
          <w:lang w:val="en-US" w:eastAsia="zh-CN"/>
        </w:rPr>
        <w:t>1</w:t>
      </w:r>
      <w:r>
        <w:rPr>
          <w:rFonts w:hint="eastAsia" w:ascii="仿宋" w:hAnsi="仿宋" w:eastAsia="仿宋" w:cs="仿宋"/>
          <w:bCs/>
          <w:sz w:val="24"/>
        </w:rPr>
        <w:t>.</w:t>
      </w:r>
      <w:r>
        <w:rPr>
          <w:rFonts w:hint="eastAsia" w:ascii="仿宋" w:hAnsi="仿宋" w:eastAsia="仿宋" w:cs="仿宋"/>
          <w:bCs/>
          <w:sz w:val="24"/>
          <w:lang w:val="en-US" w:eastAsia="zh-CN"/>
        </w:rPr>
        <w:t>9</w:t>
      </w:r>
      <w:r>
        <w:rPr>
          <w:rFonts w:hint="eastAsia" w:ascii="仿宋" w:hAnsi="仿宋" w:eastAsia="仿宋" w:cs="仿宋"/>
          <w:bCs/>
          <w:sz w:val="24"/>
        </w:rPr>
        <w:t>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ascii="仿宋" w:hAnsi="仿宋" w:eastAsia="仿宋" w:cs="仿宋"/>
          <w:b/>
          <w:sz w:val="24"/>
        </w:rPr>
      </w:pPr>
      <w:bookmarkStart w:id="161" w:name="_Toc233274848"/>
      <w:bookmarkStart w:id="162" w:name="_Toc243907610"/>
      <w:bookmarkStart w:id="163" w:name="_Toc243906349"/>
      <w:bookmarkStart w:id="164" w:name="_Toc245897309"/>
      <w:r>
        <w:rPr>
          <w:rFonts w:hint="eastAsia" w:ascii="仿宋" w:hAnsi="仿宋" w:eastAsia="仿宋" w:cs="仿宋"/>
          <w:b/>
          <w:sz w:val="24"/>
        </w:rPr>
        <w:t>3</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10</w:t>
      </w:r>
      <w:r>
        <w:rPr>
          <w:rFonts w:hint="eastAsia" w:ascii="仿宋" w:hAnsi="仿宋" w:eastAsia="仿宋" w:cs="仿宋"/>
          <w:b/>
          <w:sz w:val="24"/>
        </w:rPr>
        <w:t>采购人根据磋商小组推荐的成交候选供应商及有关规定确定成交供应商。</w:t>
      </w:r>
    </w:p>
    <w:bookmarkEnd w:id="161"/>
    <w:bookmarkEnd w:id="162"/>
    <w:bookmarkEnd w:id="163"/>
    <w:bookmarkEnd w:id="164"/>
    <w:p>
      <w:pPr>
        <w:spacing w:line="360" w:lineRule="auto"/>
        <w:ind w:firstLine="480" w:firstLineChars="200"/>
        <w:outlineLvl w:val="1"/>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2</w:t>
      </w:r>
      <w:r>
        <w:rPr>
          <w:rFonts w:hint="eastAsia" w:ascii="仿宋" w:hAnsi="仿宋" w:eastAsia="仿宋" w:cs="仿宋"/>
          <w:sz w:val="24"/>
        </w:rPr>
        <w:t>、采购人依法接受和拒绝任一或所有供应商的权力</w:t>
      </w:r>
    </w:p>
    <w:p>
      <w:pPr>
        <w:spacing w:line="360" w:lineRule="auto"/>
        <w:ind w:firstLine="480" w:firstLineChars="200"/>
        <w:rPr>
          <w:rFonts w:ascii="仿宋" w:hAnsi="仿宋" w:eastAsia="仿宋" w:cs="仿宋"/>
          <w:sz w:val="24"/>
        </w:rPr>
      </w:pPr>
      <w:r>
        <w:rPr>
          <w:rFonts w:hint="eastAsia" w:ascii="仿宋" w:hAnsi="仿宋" w:eastAsia="仿宋" w:cs="仿宋"/>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、成交通知书</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.2《成交通知书》将是合同的组成部分。</w:t>
      </w:r>
    </w:p>
    <w:p>
      <w:pPr>
        <w:spacing w:line="360" w:lineRule="auto"/>
        <w:ind w:firstLine="480" w:firstLineChars="200"/>
        <w:outlineLvl w:val="1"/>
        <w:rPr>
          <w:rFonts w:ascii="仿宋" w:hAnsi="仿宋" w:eastAsia="仿宋" w:cs="仿宋"/>
          <w:sz w:val="24"/>
        </w:rPr>
      </w:pPr>
      <w:bookmarkStart w:id="165" w:name="_Toc233274849"/>
      <w:bookmarkStart w:id="166" w:name="_Toc245897310"/>
      <w:bookmarkStart w:id="167" w:name="_Toc243907611"/>
      <w:bookmarkStart w:id="168" w:name="_Toc243906350"/>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、纪律与保密事项</w:t>
      </w:r>
      <w:bookmarkEnd w:id="165"/>
      <w:bookmarkEnd w:id="166"/>
      <w:bookmarkEnd w:id="167"/>
      <w:bookmarkEnd w:id="168"/>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.1凡参与磋商工作的有关人员均应自觉接受有关主管部门的监督，不得向他人透露可能影响公平竞争的有关磋商的其他情况。</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仿宋" w:hAnsi="仿宋" w:eastAsia="仿宋" w:cs="仿宋"/>
          <w:b/>
          <w:bCs/>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.8成交供应商确定后，采购人不对未成交供应商就评审过程以及未能成交原因作出任何解释，未成交供应商不得向磋商小组或其他有关人员询问评审过程的情况和索取评审过程的资料。</w:t>
      </w:r>
    </w:p>
    <w:p>
      <w:pPr>
        <w:pStyle w:val="15"/>
        <w:spacing w:line="360" w:lineRule="auto"/>
        <w:outlineLvl w:val="1"/>
        <w:rPr>
          <w:rFonts w:ascii="仿宋" w:hAnsi="仿宋" w:eastAsia="仿宋" w:cs="仿宋"/>
          <w:b/>
          <w:bCs/>
          <w:sz w:val="24"/>
          <w:szCs w:val="24"/>
        </w:rPr>
      </w:pPr>
      <w:r>
        <w:rPr>
          <w:rFonts w:hint="eastAsia" w:ascii="仿宋" w:hAnsi="仿宋" w:eastAsia="仿宋" w:cs="仿宋"/>
          <w:b/>
          <w:bCs/>
          <w:sz w:val="24"/>
          <w:szCs w:val="24"/>
        </w:rPr>
        <w:t>六、授予合同</w:t>
      </w:r>
      <w:bookmarkEnd w:id="132"/>
      <w:bookmarkStart w:id="169" w:name="_Toc243906355"/>
      <w:bookmarkStart w:id="170" w:name="_Toc233274853"/>
      <w:bookmarkStart w:id="171" w:name="_Toc245897315"/>
      <w:bookmarkStart w:id="172" w:name="_Toc243907618"/>
    </w:p>
    <w:bookmarkEnd w:id="169"/>
    <w:bookmarkEnd w:id="170"/>
    <w:bookmarkEnd w:id="171"/>
    <w:bookmarkEnd w:id="172"/>
    <w:p>
      <w:pPr>
        <w:pStyle w:val="15"/>
        <w:spacing w:line="360" w:lineRule="auto"/>
        <w:ind w:firstLine="480" w:firstLineChars="200"/>
        <w:outlineLvl w:val="1"/>
        <w:rPr>
          <w:rFonts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5</w:t>
      </w:r>
      <w:r>
        <w:rPr>
          <w:rFonts w:hint="eastAsia" w:ascii="仿宋" w:hAnsi="仿宋" w:eastAsia="仿宋" w:cs="仿宋"/>
          <w:bCs/>
          <w:sz w:val="24"/>
          <w:szCs w:val="24"/>
        </w:rPr>
        <w:t>、授予合同标准</w:t>
      </w:r>
    </w:p>
    <w:p>
      <w:pPr>
        <w:pStyle w:val="15"/>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5</w:t>
      </w:r>
      <w:r>
        <w:rPr>
          <w:rFonts w:hint="eastAsia" w:ascii="仿宋" w:hAnsi="仿宋" w:eastAsia="仿宋" w:cs="仿宋"/>
          <w:bCs/>
          <w:sz w:val="24"/>
          <w:szCs w:val="24"/>
        </w:rPr>
        <w:t>.1本采购项目的采购合同将授予按本须知第3</w:t>
      </w:r>
      <w:r>
        <w:rPr>
          <w:rFonts w:hint="eastAsia" w:ascii="仿宋" w:hAnsi="仿宋" w:eastAsia="仿宋" w:cs="仿宋"/>
          <w:bCs/>
          <w:sz w:val="24"/>
          <w:szCs w:val="24"/>
          <w:lang w:val="en-US" w:eastAsia="zh-CN"/>
        </w:rPr>
        <w:t>1</w:t>
      </w:r>
      <w:r>
        <w:rPr>
          <w:rFonts w:hint="eastAsia" w:ascii="仿宋" w:hAnsi="仿宋" w:eastAsia="仿宋" w:cs="仿宋"/>
          <w:bCs/>
          <w:sz w:val="24"/>
          <w:szCs w:val="24"/>
        </w:rPr>
        <w:t>条所确定成交供应商。</w:t>
      </w:r>
    </w:p>
    <w:p>
      <w:pPr>
        <w:pStyle w:val="15"/>
        <w:spacing w:line="360" w:lineRule="auto"/>
        <w:ind w:firstLine="480" w:firstLineChars="200"/>
        <w:outlineLvl w:val="1"/>
        <w:rPr>
          <w:rFonts w:ascii="仿宋" w:hAnsi="仿宋" w:eastAsia="仿宋" w:cs="仿宋"/>
          <w:sz w:val="24"/>
          <w:szCs w:val="24"/>
        </w:rPr>
      </w:pPr>
      <w:bookmarkStart w:id="173" w:name="_Toc233274855"/>
      <w:bookmarkStart w:id="174" w:name="_Toc245897317"/>
      <w:bookmarkStart w:id="175" w:name="_Toc243906357"/>
      <w:bookmarkStart w:id="176" w:name="_Toc243907620"/>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、签订合同</w:t>
      </w:r>
      <w:bookmarkEnd w:id="173"/>
      <w:bookmarkEnd w:id="174"/>
      <w:bookmarkEnd w:id="175"/>
      <w:bookmarkEnd w:id="176"/>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.2 成交通知书、成交供应商的响应文件及其澄清文件、技术规范及标准、项目采购需求、本磋商文件（含修改文件或补充文件）及答疑纪要等，均为签订合同的依据。</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.3采购人如不按本须知3</w:t>
      </w:r>
      <w:r>
        <w:rPr>
          <w:rFonts w:hint="eastAsia" w:ascii="仿宋" w:hAnsi="仿宋" w:eastAsia="仿宋" w:cs="仿宋"/>
          <w:sz w:val="24"/>
          <w:szCs w:val="24"/>
          <w:lang w:val="en-US" w:eastAsia="zh-CN"/>
        </w:rPr>
        <w:t>6</w:t>
      </w:r>
      <w:r>
        <w:rPr>
          <w:rFonts w:hint="eastAsia" w:ascii="仿宋" w:hAnsi="仿宋" w:eastAsia="仿宋" w:cs="仿宋"/>
          <w:sz w:val="24"/>
          <w:szCs w:val="24"/>
        </w:rPr>
        <w:t>.1条规定与成交供应商签订合同，或者采购人、成交供应商签订背离合同实质性内容的协议，由监督管理部门责令其改正。</w:t>
      </w:r>
    </w:p>
    <w:p>
      <w:pPr>
        <w:pStyle w:val="1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.4成交供应商如不按本须知3</w:t>
      </w:r>
      <w:r>
        <w:rPr>
          <w:rFonts w:hint="eastAsia" w:ascii="仿宋" w:hAnsi="仿宋" w:eastAsia="仿宋" w:cs="仿宋"/>
          <w:sz w:val="24"/>
          <w:szCs w:val="24"/>
          <w:lang w:val="en-US" w:eastAsia="zh-CN"/>
        </w:rPr>
        <w:t>6</w:t>
      </w:r>
      <w:r>
        <w:rPr>
          <w:rFonts w:hint="eastAsia" w:ascii="仿宋" w:hAnsi="仿宋" w:eastAsia="仿宋" w:cs="仿宋"/>
          <w:sz w:val="24"/>
          <w:szCs w:val="24"/>
        </w:rPr>
        <w:t>.1条规定与采购人签订合同，则按违约处理，采购人将有权取消成交供应商资格，给采购人造成损失，还应当予以赔偿，同时依法承担相应的法律责任。</w:t>
      </w:r>
    </w:p>
    <w:p>
      <w:pPr>
        <w:spacing w:line="360" w:lineRule="auto"/>
        <w:ind w:firstLine="482" w:firstLineChars="200"/>
        <w:rPr>
          <w:rFonts w:ascii="仿宋" w:hAnsi="仿宋" w:eastAsia="仿宋" w:cs="仿宋"/>
          <w:b/>
          <w:bCs/>
          <w:sz w:val="24"/>
        </w:rPr>
      </w:pPr>
      <w:r>
        <w:rPr>
          <w:rFonts w:hint="eastAsia" w:ascii="仿宋" w:hAnsi="仿宋" w:eastAsia="仿宋" w:cs="仿宋"/>
          <w:b/>
          <w:sz w:val="24"/>
        </w:rPr>
        <w:t>3</w:t>
      </w:r>
      <w:r>
        <w:rPr>
          <w:rFonts w:hint="eastAsia" w:ascii="仿宋" w:hAnsi="仿宋" w:eastAsia="仿宋" w:cs="仿宋"/>
          <w:b/>
          <w:sz w:val="24"/>
          <w:lang w:val="en-US" w:eastAsia="zh-CN"/>
        </w:rPr>
        <w:t>6</w:t>
      </w:r>
      <w:r>
        <w:rPr>
          <w:rFonts w:hint="eastAsia" w:ascii="仿宋" w:hAnsi="仿宋" w:eastAsia="仿宋" w:cs="仿宋"/>
          <w:b/>
          <w:sz w:val="24"/>
        </w:rPr>
        <w:t>.5</w:t>
      </w:r>
      <w:r>
        <w:rPr>
          <w:rFonts w:hint="eastAsia" w:ascii="仿宋" w:hAnsi="仿宋" w:eastAsia="仿宋" w:cs="仿宋"/>
          <w:b/>
          <w:bCs/>
          <w:sz w:val="24"/>
        </w:rPr>
        <w:t>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2" w:firstLineChars="200"/>
        <w:outlineLvl w:val="1"/>
        <w:rPr>
          <w:rFonts w:ascii="仿宋" w:hAnsi="仿宋" w:eastAsia="仿宋" w:cs="仿宋"/>
          <w:b/>
          <w:sz w:val="24"/>
        </w:rPr>
      </w:pPr>
      <w:bookmarkStart w:id="177" w:name="_Toc243907621"/>
      <w:bookmarkStart w:id="178" w:name="_Toc245897318"/>
      <w:r>
        <w:rPr>
          <w:rFonts w:hint="eastAsia" w:ascii="仿宋" w:hAnsi="仿宋" w:eastAsia="仿宋" w:cs="仿宋"/>
          <w:b/>
          <w:sz w:val="24"/>
          <w:lang w:val="en-US" w:eastAsia="zh-CN"/>
        </w:rPr>
        <w:t>37</w:t>
      </w:r>
      <w:r>
        <w:rPr>
          <w:rFonts w:hint="eastAsia" w:ascii="仿宋" w:hAnsi="仿宋" w:eastAsia="仿宋" w:cs="仿宋"/>
          <w:b/>
          <w:sz w:val="24"/>
        </w:rPr>
        <w:t>、合同的签订准则</w:t>
      </w:r>
      <w:bookmarkEnd w:id="177"/>
      <w:bookmarkEnd w:id="178"/>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37</w:t>
      </w:r>
      <w:r>
        <w:rPr>
          <w:rFonts w:hint="eastAsia" w:ascii="仿宋" w:hAnsi="仿宋" w:eastAsia="仿宋" w:cs="仿宋"/>
          <w:sz w:val="24"/>
        </w:rPr>
        <w:t>.1合同签订必须由采购人、成交供应商双方法定代表人或其委托代理人签署并加盖法人公章后方能生效。</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lang w:val="en-US" w:eastAsia="zh-CN"/>
        </w:rPr>
        <w:t>37</w:t>
      </w:r>
      <w:r>
        <w:rPr>
          <w:rFonts w:hint="eastAsia" w:ascii="仿宋" w:hAnsi="仿宋" w:eastAsia="仿宋" w:cs="仿宋"/>
          <w:b/>
          <w:bCs/>
          <w:sz w:val="24"/>
        </w:rPr>
        <w:t>.2合同转包（实质性要求）</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成交供应商转包的，视同拒绝履行政府采购合同义务，将依法追究法律责任。</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lang w:val="en-US" w:eastAsia="zh-CN"/>
        </w:rPr>
        <w:t>38</w:t>
      </w:r>
      <w:r>
        <w:rPr>
          <w:rFonts w:hint="eastAsia" w:ascii="仿宋" w:hAnsi="仿宋" w:eastAsia="仿宋" w:cs="仿宋"/>
          <w:b/>
          <w:bCs/>
          <w:sz w:val="24"/>
        </w:rPr>
        <w:t>、验收</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lang w:val="en-US" w:eastAsia="zh-CN"/>
        </w:rPr>
        <w:t>38</w:t>
      </w:r>
      <w:r>
        <w:rPr>
          <w:rFonts w:hint="eastAsia" w:ascii="仿宋" w:hAnsi="仿宋" w:eastAsia="仿宋" w:cs="仿宋"/>
          <w:b/>
          <w:bCs/>
          <w:sz w:val="24"/>
        </w:rPr>
        <w:t>.1本项目采购人将严格按照政府采购相关法律法规的要求进行验收。</w:t>
      </w:r>
    </w:p>
    <w:p>
      <w:pPr>
        <w:pStyle w:val="15"/>
        <w:spacing w:line="360" w:lineRule="auto"/>
        <w:outlineLvl w:val="1"/>
        <w:rPr>
          <w:rFonts w:ascii="仿宋" w:hAnsi="仿宋" w:eastAsia="仿宋" w:cs="仿宋"/>
          <w:b/>
          <w:bCs/>
          <w:sz w:val="24"/>
          <w:szCs w:val="24"/>
        </w:rPr>
      </w:pPr>
      <w:r>
        <w:rPr>
          <w:rFonts w:hint="eastAsia" w:ascii="仿宋" w:hAnsi="仿宋" w:eastAsia="仿宋" w:cs="仿宋"/>
          <w:b/>
          <w:bCs/>
          <w:sz w:val="24"/>
          <w:szCs w:val="24"/>
        </w:rPr>
        <w:t>七、询问、质疑、投诉</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lang w:val="en-US" w:eastAsia="zh-CN"/>
        </w:rPr>
        <w:t>39</w:t>
      </w:r>
      <w:r>
        <w:rPr>
          <w:rFonts w:hint="eastAsia" w:ascii="仿宋" w:hAnsi="仿宋" w:eastAsia="仿宋" w:cs="仿宋"/>
          <w:b/>
          <w:bCs/>
          <w:sz w:val="24"/>
        </w:rPr>
        <w:t>、询问</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39</w:t>
      </w:r>
      <w:r>
        <w:rPr>
          <w:rFonts w:hint="eastAsia" w:ascii="仿宋" w:hAnsi="仿宋" w:eastAsia="仿宋" w:cs="仿宋"/>
          <w:sz w:val="24"/>
        </w:rPr>
        <w:t>.1供应商对采购活动事项有疑问的，可以向采购人或采购代理机构提出询问，采购人或采购代理机构应当在三个工作日内对供应商依法提出的询问作出答复，但答复的内容不得涉及商业秘密。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lang w:val="en-US" w:eastAsia="zh-CN"/>
        </w:rPr>
        <w:t>40</w:t>
      </w:r>
      <w:r>
        <w:rPr>
          <w:rFonts w:hint="eastAsia" w:ascii="仿宋" w:hAnsi="仿宋" w:eastAsia="仿宋" w:cs="仿宋"/>
          <w:b/>
          <w:bCs/>
          <w:sz w:val="24"/>
        </w:rPr>
        <w:t>、质疑</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0</w:t>
      </w:r>
      <w:r>
        <w:rPr>
          <w:rFonts w:hint="eastAsia" w:ascii="仿宋" w:hAnsi="仿宋" w:eastAsia="仿宋" w:cs="仿宋"/>
          <w:sz w:val="24"/>
        </w:rPr>
        <w:t>.1供应商认为采购文件、采购过程、中标或者成交结果使自己的权益受到损害的，可以在知道或者应知其权益受到损害之日起7个工作日内，以书面形式向采购人、采购代理机构提出质疑。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0</w:t>
      </w:r>
      <w:r>
        <w:rPr>
          <w:rFonts w:hint="eastAsia" w:ascii="仿宋" w:hAnsi="仿宋" w:eastAsia="仿宋" w:cs="仿宋"/>
          <w:sz w:val="24"/>
        </w:rPr>
        <w:t>.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0</w:t>
      </w:r>
      <w:r>
        <w:rPr>
          <w:rFonts w:hint="eastAsia" w:ascii="仿宋" w:hAnsi="仿宋" w:eastAsia="仿宋" w:cs="仿宋"/>
          <w:sz w:val="24"/>
        </w:rPr>
        <w:t>.3供应商提出质疑应当提交质疑函和必要的证明材料。质疑函应当包括下列内容：</w:t>
      </w:r>
    </w:p>
    <w:p>
      <w:pPr>
        <w:spacing w:line="360" w:lineRule="auto"/>
        <w:ind w:firstLine="480" w:firstLineChars="200"/>
        <w:rPr>
          <w:rFonts w:ascii="仿宋" w:hAnsi="仿宋" w:eastAsia="仿宋" w:cs="仿宋"/>
          <w:sz w:val="24"/>
        </w:rPr>
      </w:pPr>
      <w:r>
        <w:rPr>
          <w:rFonts w:hint="eastAsia" w:ascii="仿宋" w:hAnsi="仿宋" w:eastAsia="仿宋" w:cs="仿宋"/>
          <w:sz w:val="24"/>
        </w:rPr>
        <w:t>（一）供应商的姓名或者名称、地址、邮编、联系人及联系电话；</w:t>
      </w:r>
    </w:p>
    <w:p>
      <w:pPr>
        <w:spacing w:line="360" w:lineRule="auto"/>
        <w:rPr>
          <w:rFonts w:ascii="仿宋" w:hAnsi="仿宋" w:eastAsia="仿宋" w:cs="仿宋"/>
          <w:sz w:val="24"/>
        </w:rPr>
      </w:pPr>
      <w:r>
        <w:rPr>
          <w:rFonts w:hint="eastAsia" w:ascii="仿宋" w:hAnsi="仿宋" w:eastAsia="仿宋" w:cs="仿宋"/>
          <w:sz w:val="24"/>
        </w:rPr>
        <w:t>　　（二）质疑项目的名称、编号；</w:t>
      </w:r>
    </w:p>
    <w:p>
      <w:pPr>
        <w:spacing w:line="360" w:lineRule="auto"/>
        <w:rPr>
          <w:rFonts w:ascii="仿宋" w:hAnsi="仿宋" w:eastAsia="仿宋" w:cs="仿宋"/>
          <w:sz w:val="24"/>
        </w:rPr>
      </w:pPr>
      <w:r>
        <w:rPr>
          <w:rFonts w:hint="eastAsia" w:ascii="仿宋" w:hAnsi="仿宋" w:eastAsia="仿宋" w:cs="仿宋"/>
          <w:sz w:val="24"/>
        </w:rPr>
        <w:t>　　（三）具体、明确的质疑事项和与质疑事项相关的请求；</w:t>
      </w:r>
    </w:p>
    <w:p>
      <w:pPr>
        <w:spacing w:line="360" w:lineRule="auto"/>
        <w:rPr>
          <w:rFonts w:ascii="仿宋" w:hAnsi="仿宋" w:eastAsia="仿宋" w:cs="仿宋"/>
          <w:sz w:val="24"/>
        </w:rPr>
      </w:pPr>
      <w:r>
        <w:rPr>
          <w:rFonts w:hint="eastAsia" w:ascii="仿宋" w:hAnsi="仿宋" w:eastAsia="仿宋" w:cs="仿宋"/>
          <w:sz w:val="24"/>
        </w:rPr>
        <w:t>　　（四）事实依据；</w:t>
      </w:r>
    </w:p>
    <w:p>
      <w:pPr>
        <w:spacing w:line="360" w:lineRule="auto"/>
        <w:rPr>
          <w:rFonts w:ascii="仿宋" w:hAnsi="仿宋" w:eastAsia="仿宋" w:cs="仿宋"/>
          <w:sz w:val="24"/>
        </w:rPr>
      </w:pPr>
      <w:r>
        <w:rPr>
          <w:rFonts w:hint="eastAsia" w:ascii="仿宋" w:hAnsi="仿宋" w:eastAsia="仿宋" w:cs="仿宋"/>
          <w:sz w:val="24"/>
        </w:rPr>
        <w:t>　　（五）必要的法律依据；</w:t>
      </w:r>
    </w:p>
    <w:p>
      <w:pPr>
        <w:spacing w:line="360" w:lineRule="auto"/>
        <w:rPr>
          <w:rFonts w:ascii="仿宋" w:hAnsi="仿宋" w:eastAsia="仿宋" w:cs="仿宋"/>
          <w:sz w:val="24"/>
        </w:rPr>
      </w:pPr>
      <w:r>
        <w:rPr>
          <w:rFonts w:hint="eastAsia" w:ascii="仿宋" w:hAnsi="仿宋" w:eastAsia="仿宋" w:cs="仿宋"/>
          <w:sz w:val="24"/>
        </w:rPr>
        <w:t>　　（六）提出质疑的日期。</w:t>
      </w:r>
    </w:p>
    <w:p>
      <w:pPr>
        <w:spacing w:line="360" w:lineRule="auto"/>
        <w:rPr>
          <w:rFonts w:ascii="仿宋" w:hAnsi="仿宋" w:eastAsia="仿宋" w:cs="仿宋"/>
          <w:sz w:val="24"/>
        </w:rPr>
      </w:pPr>
      <w:r>
        <w:rPr>
          <w:rFonts w:hint="eastAsia" w:ascii="仿宋" w:hAnsi="仿宋" w:eastAsia="仿宋" w:cs="仿宋"/>
          <w:sz w:val="24"/>
        </w:rPr>
        <w:t>　　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0</w:t>
      </w:r>
      <w:r>
        <w:rPr>
          <w:rFonts w:hint="eastAsia" w:ascii="仿宋" w:hAnsi="仿宋" w:eastAsia="仿宋" w:cs="仿宋"/>
          <w:sz w:val="24"/>
        </w:rPr>
        <w:t>.4采购人、采购代理机构不得拒收质疑供应商在法定质疑期内发出的质疑函，应当在收到质疑函后7个工作日内作出答复，并以书面形式通知质疑供应商和其他有关供应商。</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0</w:t>
      </w:r>
      <w:r>
        <w:rPr>
          <w:rFonts w:hint="eastAsia" w:ascii="仿宋" w:hAnsi="仿宋" w:eastAsia="仿宋" w:cs="仿宋"/>
          <w:sz w:val="24"/>
        </w:rPr>
        <w:t>.5供应商对评审过程、中标或者成交结果提出质疑的，采购人、采购代理机构可以组织原评标委员会、竞争性磋商小组、询价小组或者竞争性磋商小组协助答复质疑。</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0</w:t>
      </w:r>
      <w:r>
        <w:rPr>
          <w:rFonts w:hint="eastAsia" w:ascii="仿宋" w:hAnsi="仿宋" w:eastAsia="仿宋" w:cs="仿宋"/>
          <w:sz w:val="24"/>
        </w:rPr>
        <w:t>.6质疑答复应当包括下列内容：</w:t>
      </w:r>
    </w:p>
    <w:p>
      <w:pPr>
        <w:spacing w:line="360" w:lineRule="auto"/>
        <w:ind w:firstLine="240" w:firstLineChars="100"/>
        <w:rPr>
          <w:rFonts w:ascii="仿宋" w:hAnsi="仿宋" w:eastAsia="仿宋" w:cs="仿宋"/>
          <w:sz w:val="24"/>
        </w:rPr>
      </w:pPr>
      <w:r>
        <w:rPr>
          <w:rFonts w:hint="eastAsia" w:ascii="仿宋" w:hAnsi="仿宋" w:eastAsia="仿宋" w:cs="仿宋"/>
          <w:sz w:val="24"/>
        </w:rPr>
        <w:t>　（一）质疑供应商的姓名或者名称；</w:t>
      </w:r>
    </w:p>
    <w:p>
      <w:pPr>
        <w:spacing w:line="360" w:lineRule="auto"/>
        <w:rPr>
          <w:rFonts w:ascii="仿宋" w:hAnsi="仿宋" w:eastAsia="仿宋" w:cs="仿宋"/>
          <w:sz w:val="24"/>
        </w:rPr>
      </w:pPr>
      <w:r>
        <w:rPr>
          <w:rFonts w:hint="eastAsia" w:ascii="仿宋" w:hAnsi="仿宋" w:eastAsia="仿宋" w:cs="仿宋"/>
          <w:sz w:val="24"/>
        </w:rPr>
        <w:t>　　（二）收到质疑函的日期、质疑项目名称及编号；</w:t>
      </w:r>
    </w:p>
    <w:p>
      <w:pPr>
        <w:spacing w:line="360" w:lineRule="auto"/>
        <w:rPr>
          <w:rFonts w:ascii="仿宋" w:hAnsi="仿宋" w:eastAsia="仿宋" w:cs="仿宋"/>
          <w:sz w:val="24"/>
        </w:rPr>
      </w:pPr>
      <w:r>
        <w:rPr>
          <w:rFonts w:hint="eastAsia" w:ascii="仿宋" w:hAnsi="仿宋" w:eastAsia="仿宋" w:cs="仿宋"/>
          <w:sz w:val="24"/>
        </w:rPr>
        <w:t>　　（三）质疑事项、质疑答复的具体内容、事实依据和法律依据；</w:t>
      </w:r>
    </w:p>
    <w:p>
      <w:pPr>
        <w:spacing w:line="360" w:lineRule="auto"/>
        <w:rPr>
          <w:rFonts w:ascii="仿宋" w:hAnsi="仿宋" w:eastAsia="仿宋" w:cs="仿宋"/>
          <w:sz w:val="24"/>
        </w:rPr>
      </w:pPr>
      <w:r>
        <w:rPr>
          <w:rFonts w:hint="eastAsia" w:ascii="仿宋" w:hAnsi="仿宋" w:eastAsia="仿宋" w:cs="仿宋"/>
          <w:sz w:val="24"/>
        </w:rPr>
        <w:t>　　（四）告知质疑供应商依法投诉的权利；</w:t>
      </w:r>
    </w:p>
    <w:p>
      <w:pPr>
        <w:spacing w:line="360" w:lineRule="auto"/>
        <w:rPr>
          <w:rFonts w:ascii="仿宋" w:hAnsi="仿宋" w:eastAsia="仿宋" w:cs="仿宋"/>
          <w:sz w:val="24"/>
        </w:rPr>
      </w:pPr>
      <w:r>
        <w:rPr>
          <w:rFonts w:hint="eastAsia" w:ascii="仿宋" w:hAnsi="仿宋" w:eastAsia="仿宋" w:cs="仿宋"/>
          <w:sz w:val="24"/>
        </w:rPr>
        <w:t>　　（五）质疑答复人名称；</w:t>
      </w:r>
    </w:p>
    <w:p>
      <w:pPr>
        <w:spacing w:line="360" w:lineRule="auto"/>
        <w:rPr>
          <w:rFonts w:ascii="仿宋" w:hAnsi="仿宋" w:eastAsia="仿宋" w:cs="仿宋"/>
          <w:sz w:val="24"/>
        </w:rPr>
      </w:pPr>
      <w:r>
        <w:rPr>
          <w:rFonts w:hint="eastAsia" w:ascii="仿宋" w:hAnsi="仿宋" w:eastAsia="仿宋" w:cs="仿宋"/>
          <w:sz w:val="24"/>
        </w:rPr>
        <w:t>　　（六）答复质疑的日期。</w:t>
      </w:r>
    </w:p>
    <w:p>
      <w:pPr>
        <w:spacing w:line="360" w:lineRule="auto"/>
        <w:rPr>
          <w:rFonts w:ascii="仿宋" w:hAnsi="仿宋" w:eastAsia="仿宋" w:cs="仿宋"/>
          <w:sz w:val="24"/>
        </w:rPr>
      </w:pPr>
      <w:r>
        <w:rPr>
          <w:rFonts w:hint="eastAsia" w:ascii="仿宋" w:hAnsi="仿宋" w:eastAsia="仿宋" w:cs="仿宋"/>
          <w:sz w:val="24"/>
        </w:rPr>
        <w:t>　　质疑答复的内容不得涉及商业秘密。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4</w:t>
      </w:r>
      <w:r>
        <w:rPr>
          <w:rFonts w:hint="eastAsia" w:ascii="仿宋" w:hAnsi="仿宋" w:eastAsia="仿宋" w:cs="仿宋"/>
          <w:b/>
          <w:sz w:val="24"/>
          <w:lang w:val="en-US" w:eastAsia="zh-CN"/>
        </w:rPr>
        <w:t>1</w:t>
      </w:r>
      <w:r>
        <w:rPr>
          <w:rFonts w:hint="eastAsia" w:ascii="仿宋" w:hAnsi="仿宋" w:eastAsia="仿宋" w:cs="仿宋"/>
          <w:b/>
          <w:sz w:val="24"/>
        </w:rPr>
        <w:t>、投诉</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1</w:t>
      </w:r>
      <w:r>
        <w:rPr>
          <w:rFonts w:hint="eastAsia" w:ascii="仿宋" w:hAnsi="仿宋" w:eastAsia="仿宋" w:cs="仿宋"/>
          <w:sz w:val="24"/>
        </w:rPr>
        <w:t>.1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1</w:t>
      </w:r>
      <w:r>
        <w:rPr>
          <w:rFonts w:hint="eastAsia" w:ascii="仿宋" w:hAnsi="仿宋" w:eastAsia="仿宋" w:cs="仿宋"/>
          <w:sz w:val="24"/>
        </w:rPr>
        <w:t>.2供应商投诉的事项不得超出已质疑事项的范围，但基于质疑答复内容提出的投诉事项除外。</w:t>
      </w:r>
    </w:p>
    <w:p>
      <w:pPr>
        <w:spacing w:line="360" w:lineRule="auto"/>
        <w:ind w:firstLine="482" w:firstLineChars="200"/>
        <w:rPr>
          <w:rFonts w:ascii="仿宋" w:hAnsi="仿宋" w:eastAsia="仿宋" w:cs="仿宋"/>
          <w:b/>
          <w:sz w:val="24"/>
        </w:rPr>
      </w:pPr>
      <w:r>
        <w:rPr>
          <w:rFonts w:hint="eastAsia" w:ascii="仿宋" w:hAnsi="仿宋" w:eastAsia="仿宋" w:cs="仿宋"/>
          <w:b/>
          <w:sz w:val="24"/>
        </w:rPr>
        <w:t>4</w:t>
      </w:r>
      <w:r>
        <w:rPr>
          <w:rFonts w:hint="eastAsia" w:ascii="仿宋" w:hAnsi="仿宋" w:eastAsia="仿宋" w:cs="仿宋"/>
          <w:b/>
          <w:sz w:val="24"/>
          <w:lang w:val="en-US" w:eastAsia="zh-CN"/>
        </w:rPr>
        <w:t>2</w:t>
      </w:r>
      <w:r>
        <w:rPr>
          <w:rFonts w:hint="eastAsia" w:ascii="仿宋" w:hAnsi="仿宋" w:eastAsia="仿宋" w:cs="仿宋"/>
          <w:b/>
          <w:sz w:val="24"/>
        </w:rPr>
        <w:t>、诚实信用</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2</w:t>
      </w:r>
      <w:r>
        <w:rPr>
          <w:rFonts w:hint="eastAsia" w:ascii="仿宋" w:hAnsi="仿宋" w:eastAsia="仿宋" w:cs="仿宋"/>
          <w:sz w:val="24"/>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2</w:t>
      </w:r>
      <w:r>
        <w:rPr>
          <w:rFonts w:hint="eastAsia" w:ascii="仿宋" w:hAnsi="仿宋" w:eastAsia="仿宋" w:cs="仿宋"/>
          <w:sz w:val="24"/>
        </w:rPr>
        <w:t>.2 供应商不得虚假承诺，否则，按照提供虚假材料谋取中标或成交处理。</w:t>
      </w:r>
    </w:p>
    <w:p>
      <w:pPr>
        <w:snapToGrid w:val="0"/>
        <w:spacing w:line="360" w:lineRule="auto"/>
        <w:jc w:val="left"/>
        <w:rPr>
          <w:rFonts w:ascii="仿宋" w:hAnsi="仿宋" w:eastAsia="仿宋" w:cs="仿宋"/>
          <w:b/>
          <w:bCs/>
          <w:sz w:val="24"/>
        </w:rPr>
      </w:pPr>
      <w:r>
        <w:rPr>
          <w:rFonts w:hint="eastAsia" w:ascii="仿宋" w:hAnsi="仿宋" w:eastAsia="仿宋" w:cs="仿宋"/>
          <w:b/>
          <w:bCs/>
          <w:sz w:val="24"/>
        </w:rPr>
        <w:t>八、义务、工作纪律</w:t>
      </w:r>
    </w:p>
    <w:p>
      <w:pPr>
        <w:tabs>
          <w:tab w:val="left" w:pos="7665"/>
        </w:tabs>
        <w:spacing w:line="360" w:lineRule="auto"/>
        <w:ind w:firstLine="480" w:firstLineChars="200"/>
        <w:rPr>
          <w:rFonts w:ascii="仿宋" w:hAnsi="仿宋" w:eastAsia="仿宋" w:cs="仿宋"/>
          <w:bCs/>
          <w:sz w:val="24"/>
        </w:rPr>
      </w:pPr>
      <w:bookmarkStart w:id="179" w:name="_Toc28505_WPSOffice_Level1"/>
      <w:r>
        <w:rPr>
          <w:rFonts w:hint="eastAsia" w:ascii="仿宋" w:hAnsi="仿宋" w:eastAsia="仿宋" w:cs="仿宋"/>
          <w:bCs/>
          <w:sz w:val="24"/>
        </w:rPr>
        <w:t>4</w:t>
      </w:r>
      <w:r>
        <w:rPr>
          <w:rFonts w:hint="eastAsia" w:ascii="仿宋" w:hAnsi="仿宋" w:eastAsia="仿宋" w:cs="仿宋"/>
          <w:bCs/>
          <w:sz w:val="24"/>
          <w:lang w:val="en-US" w:eastAsia="zh-CN"/>
        </w:rPr>
        <w:t>3</w:t>
      </w:r>
      <w:r>
        <w:rPr>
          <w:rFonts w:hint="eastAsia" w:ascii="仿宋" w:hAnsi="仿宋" w:eastAsia="仿宋" w:cs="仿宋"/>
          <w:bCs/>
          <w:sz w:val="24"/>
        </w:rPr>
        <w:t>、磋商小组在政府采购活动中承担以下义务：</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（一）遵守评审工作纪律；</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（二）按照客观、公正、审慎的原则，根据磋商文件规定的评审程序、评审方法和评审标准进行独立评审；</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（三）不得泄露评审文件、评审情况和在评审过程中获悉的商业秘密；</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（六）及时向财政、监察等部门举报在评审过程中受到非法干预的情况；</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（七）配合答复处理供应商的询问、质疑和投诉等事项；</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（八）法律、法规和规章规定的其他义务。</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4</w:t>
      </w:r>
      <w:r>
        <w:rPr>
          <w:rFonts w:hint="eastAsia" w:ascii="仿宋" w:hAnsi="仿宋" w:eastAsia="仿宋" w:cs="仿宋"/>
          <w:bCs/>
          <w:sz w:val="24"/>
          <w:lang w:val="en-US" w:eastAsia="zh-CN"/>
        </w:rPr>
        <w:t>4</w:t>
      </w:r>
      <w:r>
        <w:rPr>
          <w:rFonts w:hint="eastAsia" w:ascii="仿宋" w:hAnsi="仿宋" w:eastAsia="仿宋" w:cs="仿宋"/>
          <w:bCs/>
          <w:sz w:val="24"/>
        </w:rPr>
        <w:t>、磋商小组在政府采购活动中应当遵守以下工作纪律：</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（二）评审前，应当将通讯工具或者相关电子设备交由采购代理机构统一保管；</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（五）在评审过程中和评审结束后，不得记录、复制或带走任何评审资料，不得向外界透露评审内容；</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（六）评审现场服从采购代理机构工作人员的管理，接受现场监督人员的合法监督；</w:t>
      </w:r>
    </w:p>
    <w:p>
      <w:pPr>
        <w:tabs>
          <w:tab w:val="left" w:pos="7665"/>
        </w:tabs>
        <w:spacing w:line="360" w:lineRule="auto"/>
        <w:ind w:firstLine="480" w:firstLineChars="200"/>
        <w:rPr>
          <w:rFonts w:ascii="仿宋" w:hAnsi="仿宋" w:eastAsia="仿宋" w:cs="仿宋"/>
          <w:bCs/>
          <w:sz w:val="24"/>
        </w:rPr>
      </w:pPr>
      <w:r>
        <w:rPr>
          <w:rFonts w:hint="eastAsia" w:ascii="仿宋" w:hAnsi="仿宋" w:eastAsia="仿宋" w:cs="仿宋"/>
          <w:bCs/>
          <w:sz w:val="24"/>
        </w:rPr>
        <w:t>（七）遵守有关廉洁自律规定，不得私下接触供应商，不得收受供应商及有关业务单位和个人的财物或好处，不得接受采购代理机构的请托。</w:t>
      </w:r>
    </w:p>
    <w:p>
      <w:pPr>
        <w:spacing w:line="360" w:lineRule="auto"/>
        <w:jc w:val="center"/>
        <w:rPr>
          <w:rFonts w:ascii="仿宋" w:hAnsi="仿宋" w:eastAsia="仿宋" w:cs="仿宋"/>
          <w:b/>
          <w:bCs/>
          <w:sz w:val="28"/>
          <w:szCs w:val="28"/>
        </w:rPr>
      </w:pPr>
    </w:p>
    <w:p>
      <w:pPr>
        <w:pStyle w:val="10"/>
        <w:rPr>
          <w:rFonts w:ascii="仿宋" w:hAnsi="仿宋" w:eastAsia="仿宋" w:cs="仿宋"/>
          <w:b/>
          <w:bCs/>
          <w:sz w:val="28"/>
          <w:szCs w:val="28"/>
        </w:rPr>
      </w:pPr>
    </w:p>
    <w:p>
      <w:pPr>
        <w:pStyle w:val="10"/>
        <w:rPr>
          <w:rFonts w:ascii="仿宋" w:hAnsi="仿宋" w:eastAsia="仿宋" w:cs="仿宋"/>
          <w:b/>
          <w:bCs/>
          <w:sz w:val="28"/>
          <w:szCs w:val="28"/>
        </w:rPr>
      </w:pPr>
    </w:p>
    <w:p>
      <w:pPr>
        <w:pStyle w:val="10"/>
        <w:rPr>
          <w:rFonts w:ascii="仿宋" w:hAnsi="仿宋" w:eastAsia="仿宋" w:cs="仿宋"/>
          <w:b/>
          <w:bCs/>
          <w:sz w:val="28"/>
          <w:szCs w:val="28"/>
        </w:rPr>
      </w:pPr>
    </w:p>
    <w:p>
      <w:pPr>
        <w:rPr>
          <w:rFonts w:ascii="仿宋" w:hAnsi="仿宋" w:eastAsia="仿宋" w:cs="仿宋"/>
          <w:b/>
          <w:bCs/>
          <w:sz w:val="28"/>
          <w:szCs w:val="28"/>
        </w:rPr>
      </w:pPr>
    </w:p>
    <w:p>
      <w:pPr>
        <w:pStyle w:val="10"/>
        <w:rPr>
          <w:rFonts w:ascii="仿宋" w:hAnsi="仿宋" w:eastAsia="仿宋" w:cs="仿宋"/>
          <w:b/>
          <w:bCs/>
          <w:sz w:val="28"/>
          <w:szCs w:val="28"/>
        </w:rPr>
      </w:pPr>
    </w:p>
    <w:p>
      <w:pPr>
        <w:rPr>
          <w:rFonts w:ascii="仿宋" w:hAnsi="仿宋" w:eastAsia="仿宋" w:cs="仿宋"/>
          <w:b/>
          <w:bCs/>
          <w:sz w:val="28"/>
          <w:szCs w:val="28"/>
        </w:rPr>
      </w:pPr>
    </w:p>
    <w:p>
      <w:pPr>
        <w:pStyle w:val="8"/>
        <w:numPr>
          <w:ilvl w:val="0"/>
          <w:numId w:val="0"/>
        </w:numPr>
        <w:tabs>
          <w:tab w:val="clear" w:pos="425"/>
        </w:tabs>
        <w:ind w:leftChars="0"/>
      </w:pPr>
    </w:p>
    <w:p/>
    <w:p>
      <w:pPr>
        <w:pStyle w:val="8"/>
        <w:numPr>
          <w:ilvl w:val="0"/>
          <w:numId w:val="0"/>
        </w:numPr>
        <w:tabs>
          <w:tab w:val="clear" w:pos="425"/>
        </w:tabs>
        <w:ind w:leftChars="0"/>
      </w:pPr>
    </w:p>
    <w:p>
      <w:pPr>
        <w:pStyle w:val="10"/>
        <w:rPr>
          <w:rFonts w:ascii="仿宋" w:hAnsi="仿宋" w:eastAsia="仿宋" w:cs="仿宋"/>
          <w:b/>
          <w:bCs/>
          <w:sz w:val="28"/>
          <w:szCs w:val="28"/>
        </w:rPr>
      </w:pPr>
    </w:p>
    <w:p>
      <w:pPr>
        <w:numPr>
          <w:ilvl w:val="0"/>
          <w:numId w:val="3"/>
        </w:num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采购项目内容及规格要求</w:t>
      </w:r>
      <w:bookmarkEnd w:id="179"/>
    </w:p>
    <w:tbl>
      <w:tblPr>
        <w:tblStyle w:val="29"/>
        <w:tblpPr w:leftFromText="180" w:rightFromText="180" w:vertAnchor="text" w:horzAnchor="page" w:tblpX="1093" w:tblpY="463"/>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1"/>
        <w:gridCol w:w="3124"/>
        <w:gridCol w:w="3538"/>
        <w:gridCol w:w="1040"/>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b/>
                <w:i w:val="0"/>
                <w:color w:val="000000"/>
                <w:kern w:val="0"/>
                <w:sz w:val="24"/>
                <w:szCs w:val="24"/>
                <w:u w:val="none"/>
                <w:lang w:val="en-US" w:eastAsia="zh-CN" w:bidi="ar"/>
              </w:rPr>
              <w:t>序号</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4"/>
                <w:szCs w:val="24"/>
                <w:u w:val="none"/>
                <w:lang w:val="en-US" w:eastAsia="zh-CN" w:bidi="ar"/>
              </w:rPr>
              <w:t>产品（项目）名称</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4"/>
                <w:szCs w:val="24"/>
                <w:u w:val="none"/>
                <w:lang w:val="en-US" w:eastAsia="zh-CN" w:bidi="ar"/>
              </w:rPr>
              <w:t>一般项目：规格、技术参数、性能要求、型号、简要规格描述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4"/>
                <w:szCs w:val="24"/>
                <w:u w:val="none"/>
                <w:lang w:val="en-US" w:eastAsia="zh-CN" w:bidi="ar"/>
              </w:rPr>
              <w:t>计量单位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4"/>
                <w:szCs w:val="24"/>
                <w:u w:val="none"/>
                <w:lang w:val="en-US" w:eastAsia="zh-CN" w:bidi="ar"/>
              </w:rPr>
              <w:t>1</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4"/>
                <w:szCs w:val="24"/>
                <w:u w:val="none"/>
                <w:lang w:val="en-US" w:eastAsia="zh-CN" w:bidi="ar"/>
              </w:rPr>
              <w:t>民丰县2022年科技人才创新合作资金项目（包二）二次</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sz w:val="24"/>
                <w:lang w:eastAsia="zh-CN"/>
              </w:rPr>
              <w:t>编制民丰县医疗园区规划及编制民丰县兵地融合发展规划(城市副中心)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4"/>
                <w:szCs w:val="24"/>
                <w:u w:val="none"/>
                <w:lang w:val="en-US" w:eastAsia="zh-CN" w:bidi="ar"/>
              </w:rPr>
              <w:t>项</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4"/>
                <w:szCs w:val="24"/>
                <w:u w:val="none"/>
                <w:lang w:val="en-US" w:eastAsia="zh-CN" w:bidi="ar"/>
              </w:rPr>
              <w:t>1</w:t>
            </w:r>
          </w:p>
        </w:tc>
      </w:tr>
    </w:tbl>
    <w:p>
      <w:pPr>
        <w:numPr>
          <w:ilvl w:val="0"/>
          <w:numId w:val="0"/>
        </w:numPr>
        <w:spacing w:line="360" w:lineRule="auto"/>
        <w:jc w:val="both"/>
        <w:rPr>
          <w:rFonts w:ascii="仿宋" w:hAnsi="仿宋" w:eastAsia="仿宋" w:cs="仿宋"/>
          <w:b/>
          <w:bCs/>
          <w:sz w:val="28"/>
          <w:szCs w:val="28"/>
        </w:rPr>
      </w:pPr>
      <w:r>
        <w:rPr>
          <w:rFonts w:ascii="仿宋" w:hAnsi="仿宋" w:eastAsia="仿宋" w:cs="仿宋"/>
          <w:b/>
          <w:bCs/>
          <w:sz w:val="28"/>
          <w:szCs w:val="28"/>
        </w:rPr>
        <w:br w:type="page"/>
      </w:r>
    </w:p>
    <w:p>
      <w:pPr>
        <w:pStyle w:val="2"/>
      </w:pPr>
    </w:p>
    <w:p>
      <w:pPr>
        <w:spacing w:line="360" w:lineRule="auto"/>
        <w:jc w:val="center"/>
        <w:rPr>
          <w:rFonts w:hint="eastAsia" w:ascii="宋体" w:hAnsi="宋体" w:cs="宋体"/>
          <w:b/>
          <w:bCs/>
          <w:color w:val="auto"/>
          <w:sz w:val="32"/>
          <w:szCs w:val="32"/>
          <w:highlight w:val="none"/>
        </w:rPr>
      </w:pPr>
      <w:bookmarkStart w:id="180" w:name="_Toc14014_WPSOffice_Level1"/>
      <w:r>
        <w:rPr>
          <w:rFonts w:hint="eastAsia" w:ascii="仿宋" w:hAnsi="仿宋" w:eastAsia="仿宋" w:cs="仿宋"/>
          <w:b/>
          <w:sz w:val="32"/>
          <w:szCs w:val="32"/>
        </w:rPr>
        <w:t>第四章、</w:t>
      </w:r>
      <w:r>
        <w:rPr>
          <w:rFonts w:hint="eastAsia" w:ascii="宋体" w:hAnsi="宋体" w:cs="宋体"/>
          <w:b/>
          <w:bCs/>
          <w:color w:val="auto"/>
          <w:sz w:val="32"/>
          <w:szCs w:val="32"/>
          <w:highlight w:val="none"/>
        </w:rPr>
        <w:t>第三部分 授予合同</w:t>
      </w:r>
    </w:p>
    <w:p>
      <w:pPr>
        <w:adjustRightInd w:val="0"/>
        <w:snapToGrid w:val="0"/>
        <w:jc w:val="center"/>
        <w:rPr>
          <w:rFonts w:hint="eastAsia"/>
          <w:color w:val="auto"/>
          <w:highlight w:val="none"/>
        </w:rPr>
      </w:pPr>
      <w:bookmarkStart w:id="181" w:name="_Toc5447"/>
      <w:r>
        <w:rPr>
          <w:rFonts w:hint="eastAsia"/>
          <w:color w:val="auto"/>
          <w:highlight w:val="none"/>
        </w:rPr>
        <w:t>（实际以甲方签订合同为准）</w:t>
      </w:r>
      <w:bookmarkEnd w:id="181"/>
    </w:p>
    <w:p>
      <w:pPr>
        <w:pStyle w:val="11"/>
        <w:rPr>
          <w:rFonts w:ascii="仿宋" w:hAnsi="仿宋" w:eastAsia="仿宋" w:cs="仿宋"/>
          <w:b/>
          <w:bCs/>
          <w:sz w:val="30"/>
          <w:szCs w:val="30"/>
        </w:rPr>
      </w:pPr>
    </w:p>
    <w:p>
      <w:pPr>
        <w:tabs>
          <w:tab w:val="left" w:pos="7665"/>
        </w:tabs>
        <w:spacing w:line="360" w:lineRule="auto"/>
        <w:rPr>
          <w:rFonts w:ascii="仿宋" w:hAnsi="仿宋" w:eastAsia="仿宋" w:cs="仿宋"/>
          <w:b/>
          <w:bCs/>
          <w:sz w:val="30"/>
          <w:szCs w:val="30"/>
        </w:rPr>
      </w:pPr>
    </w:p>
    <w:p>
      <w:pPr>
        <w:tabs>
          <w:tab w:val="left" w:pos="7665"/>
        </w:tabs>
        <w:spacing w:line="360" w:lineRule="auto"/>
        <w:ind w:firstLine="301" w:firstLineChars="100"/>
        <w:jc w:val="center"/>
        <w:rPr>
          <w:rFonts w:ascii="仿宋" w:hAnsi="仿宋" w:eastAsia="仿宋" w:cs="仿宋"/>
          <w:b/>
          <w:bCs/>
          <w:sz w:val="30"/>
          <w:szCs w:val="30"/>
        </w:rPr>
        <w:sectPr>
          <w:headerReference r:id="rId5" w:type="default"/>
          <w:footerReference r:id="rId6" w:type="default"/>
          <w:footnotePr>
            <w:numRestart w:val="eachPage"/>
          </w:footnotePr>
          <w:pgSz w:w="11907" w:h="16840"/>
          <w:pgMar w:top="1474" w:right="1644" w:bottom="1077" w:left="1560" w:header="504" w:footer="792" w:gutter="0"/>
          <w:pgNumType w:fmt="numberInDash"/>
          <w:cols w:space="720" w:num="1"/>
          <w:docGrid w:linePitch="312" w:charSpace="0"/>
        </w:sectPr>
      </w:pPr>
    </w:p>
    <w:p>
      <w:pPr>
        <w:pStyle w:val="5"/>
        <w:jc w:val="center"/>
        <w:rPr>
          <w:rFonts w:ascii="仿宋" w:hAnsi="仿宋" w:eastAsia="仿宋" w:cs="仿宋"/>
          <w:b/>
          <w:bCs/>
          <w:color w:val="000000" w:themeColor="text1"/>
          <w:szCs w:val="40"/>
          <w14:textFill>
            <w14:solidFill>
              <w14:schemeClr w14:val="tx1"/>
            </w14:solidFill>
          </w14:textFill>
        </w:rPr>
      </w:pPr>
      <w:r>
        <w:rPr>
          <w:rFonts w:hint="eastAsia" w:ascii="仿宋" w:hAnsi="仿宋" w:eastAsia="仿宋" w:cs="仿宋"/>
          <w:b/>
          <w:bCs/>
          <w:color w:val="000000" w:themeColor="text1"/>
          <w:szCs w:val="40"/>
          <w14:textFill>
            <w14:solidFill>
              <w14:schemeClr w14:val="tx1"/>
            </w14:solidFill>
          </w14:textFill>
        </w:rPr>
        <w:t>第五章、 质疑及处理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 质疑的提出</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 质疑人必须是直接参与本次采购活动的投标人。质疑不接受邮寄。</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1.3 对成交公告有异议的，在成交公告发布之日起七个工作日内，以书面形式并加盖公章和法人代表签字向招标方提出质疑。</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1.4 提出质疑时，必须按照“实事求是”、“谁主张，谁举证”的原则，提供相关证明材料，不能主观臆测。</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 受理和处理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2.1 《质疑函》必须由质疑方的法定代表人或投标代表送达招标方或采购单位。</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2.2 对符合要求的质疑，采购单位或招标方须签收。同一质疑人的质疑只接受一次。</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2.3 对于不符合上述27项所有条款要求的质疑，招标方将不予受理。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 质疑无效的处理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3.2 对于质疑人在质疑期间不配合进行质疑调查处理的，视为自动放弃质疑。</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3.3 质疑人提出的质疑，经评标专家审定后驳回的，列为无效质疑。</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rPr>
          <w:rStyle w:val="48"/>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br w:type="page"/>
      </w:r>
      <w:bookmarkStart w:id="182" w:name="_Toc13662"/>
      <w:bookmarkStart w:id="183" w:name="_Toc14886"/>
      <w:bookmarkStart w:id="184" w:name="_Toc1020"/>
      <w:bookmarkStart w:id="185" w:name="_Toc2183"/>
      <w:bookmarkStart w:id="186" w:name="_Toc29385"/>
      <w:r>
        <w:rPr>
          <w:rStyle w:val="48"/>
          <w:rFonts w:hint="eastAsia" w:ascii="仿宋" w:hAnsi="仿宋" w:eastAsia="仿宋" w:cs="仿宋"/>
          <w:color w:val="000000" w:themeColor="text1"/>
          <w:sz w:val="36"/>
          <w:szCs w:val="36"/>
          <w14:textFill>
            <w14:solidFill>
              <w14:schemeClr w14:val="tx1"/>
            </w14:solidFill>
          </w14:textFill>
        </w:rPr>
        <w:t>质疑函</w:t>
      </w:r>
    </w:p>
    <w:bookmarkEnd w:id="182"/>
    <w:bookmarkEnd w:id="183"/>
    <w:bookmarkEnd w:id="184"/>
    <w:bookmarkEnd w:id="185"/>
    <w:bookmarkEnd w:id="186"/>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 xml:space="preserve"> ：</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依据政府采购相关法规，我公司对</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项目的（项目编号：</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）招标活动存在疑问，特提出质疑（详见下表）。</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法定代表人（签字</w:t>
      </w:r>
      <w:r>
        <w:rPr>
          <w:rFonts w:hint="eastAsia" w:ascii="仿宋" w:hAnsi="仿宋" w:eastAsia="仿宋" w:cs="仿宋"/>
          <w:bCs/>
          <w:color w:val="000000" w:themeColor="text1"/>
          <w:sz w:val="24"/>
          <w:lang w:eastAsia="zh-CN"/>
          <w14:textFill>
            <w14:solidFill>
              <w14:schemeClr w14:val="tx1"/>
            </w14:solidFill>
          </w14:textFill>
        </w:rPr>
        <w:t>或</w:t>
      </w:r>
      <w:r>
        <w:rPr>
          <w:rFonts w:hint="eastAsia" w:ascii="仿宋" w:hAnsi="仿宋" w:eastAsia="仿宋" w:cs="仿宋"/>
          <w:bCs/>
          <w:color w:val="000000" w:themeColor="text1"/>
          <w:sz w:val="24"/>
          <w14:textFill>
            <w14:solidFill>
              <w14:schemeClr w14:val="tx1"/>
            </w14:solidFill>
          </w14:textFill>
        </w:rPr>
        <w:t>盖章）：</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身份证号码：</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固话：      传真：     手机：</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本项目授权委托人（签字</w:t>
      </w:r>
      <w:r>
        <w:rPr>
          <w:rFonts w:hint="eastAsia" w:ascii="仿宋" w:hAnsi="仿宋" w:eastAsia="仿宋" w:cs="仿宋"/>
          <w:bCs/>
          <w:color w:val="000000" w:themeColor="text1"/>
          <w:sz w:val="24"/>
          <w:lang w:eastAsia="zh-CN"/>
          <w14:textFill>
            <w14:solidFill>
              <w14:schemeClr w14:val="tx1"/>
            </w14:solidFill>
          </w14:textFill>
        </w:rPr>
        <w:t>或</w:t>
      </w:r>
      <w:r>
        <w:rPr>
          <w:rFonts w:hint="eastAsia" w:ascii="仿宋" w:hAnsi="仿宋" w:eastAsia="仿宋" w:cs="仿宋"/>
          <w:bCs/>
          <w:color w:val="000000" w:themeColor="text1"/>
          <w:sz w:val="24"/>
          <w14:textFill>
            <w14:solidFill>
              <w14:schemeClr w14:val="tx1"/>
            </w14:solidFill>
          </w14:textFill>
        </w:rPr>
        <w:t>盖章）：</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身份证号码：</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固话：        传真：    手机：</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公司地址：              邮编：</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（如法人为质疑人则不需要填此项）</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质疑人（公章）：            </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年   月   日 </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质   疑  内  容</w:t>
      </w:r>
    </w:p>
    <w:p>
      <w:pPr>
        <w:overflowPunct w:val="0"/>
        <w:spacing w:line="440" w:lineRule="exact"/>
        <w:rPr>
          <w:rFonts w:ascii="仿宋" w:hAnsi="仿宋" w:eastAsia="仿宋" w:cs="仿宋"/>
          <w:bCs/>
          <w:color w:val="000000" w:themeColor="text1"/>
          <w:sz w:val="24"/>
          <w14:textFill>
            <w14:solidFill>
              <w14:schemeClr w14:val="tx1"/>
            </w14:solidFill>
          </w14:textFill>
        </w:rPr>
      </w:pPr>
    </w:p>
    <w:tbl>
      <w:tblPr>
        <w:tblStyle w:val="29"/>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一、质疑事项1：</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主要内容：</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事实依据：</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适应法规条款：</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佐证材料：</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二、质疑事项2：</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主要内容：</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事实依据：</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适应法规条款：</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佐证材料：</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三、同上</w:t>
            </w: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p>
            <w:pPr>
              <w:overflowPunct w:val="0"/>
              <w:spacing w:line="440" w:lineRule="exact"/>
              <w:rPr>
                <w:rFonts w:ascii="仿宋" w:hAnsi="仿宋" w:eastAsia="仿宋" w:cs="仿宋"/>
                <w:bCs/>
                <w:color w:val="000000" w:themeColor="text1"/>
                <w:sz w:val="24"/>
                <w14:textFill>
                  <w14:solidFill>
                    <w14:schemeClr w14:val="tx1"/>
                  </w14:solidFill>
                </w14:textFill>
              </w:rPr>
            </w:pPr>
          </w:p>
        </w:tc>
      </w:tr>
    </w:tbl>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备注：</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4、与质疑事项有关的材料应与质疑函合并装订。</w:t>
      </w:r>
    </w:p>
    <w:p>
      <w:pPr>
        <w:overflowPunct w:val="0"/>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5、质疑函一式三份。</w:t>
      </w:r>
    </w:p>
    <w:p>
      <w:pPr>
        <w:tabs>
          <w:tab w:val="left" w:pos="7665"/>
        </w:tabs>
        <w:spacing w:line="360" w:lineRule="auto"/>
        <w:ind w:firstLine="301" w:firstLineChars="100"/>
        <w:jc w:val="center"/>
        <w:rPr>
          <w:rFonts w:ascii="仿宋" w:hAnsi="仿宋" w:eastAsia="仿宋" w:cs="仿宋"/>
          <w:b/>
          <w:bCs/>
          <w:sz w:val="30"/>
          <w:szCs w:val="30"/>
        </w:rPr>
        <w:sectPr>
          <w:footnotePr>
            <w:numRestart w:val="eachPage"/>
          </w:footnotePr>
          <w:pgSz w:w="11907" w:h="16840"/>
          <w:pgMar w:top="1474" w:right="1644" w:bottom="1077" w:left="1560" w:header="504" w:footer="792" w:gutter="0"/>
          <w:pgNumType w:fmt="numberInDash"/>
          <w:cols w:space="720" w:num="1"/>
          <w:docGrid w:linePitch="312" w:charSpace="0"/>
        </w:sectPr>
      </w:pPr>
    </w:p>
    <w:p>
      <w:pPr>
        <w:tabs>
          <w:tab w:val="left" w:pos="7665"/>
        </w:tabs>
        <w:spacing w:line="360" w:lineRule="auto"/>
        <w:ind w:firstLine="301" w:firstLineChars="100"/>
        <w:jc w:val="center"/>
        <w:rPr>
          <w:rFonts w:ascii="仿宋" w:hAnsi="仿宋" w:eastAsia="仿宋" w:cs="仿宋"/>
          <w:sz w:val="24"/>
        </w:rPr>
      </w:pPr>
      <w:r>
        <w:rPr>
          <w:rFonts w:hint="eastAsia" w:ascii="仿宋" w:hAnsi="仿宋" w:eastAsia="仿宋" w:cs="仿宋"/>
          <w:b/>
          <w:bCs/>
          <w:sz w:val="30"/>
          <w:szCs w:val="30"/>
        </w:rPr>
        <w:t>第六章</w:t>
      </w:r>
      <w:bookmarkEnd w:id="180"/>
      <w:r>
        <w:rPr>
          <w:rFonts w:hint="eastAsia" w:ascii="仿宋" w:hAnsi="仿宋" w:eastAsia="仿宋" w:cs="仿宋"/>
          <w:b/>
          <w:bCs/>
          <w:sz w:val="30"/>
          <w:szCs w:val="30"/>
        </w:rPr>
        <w:t>、响应文件格式</w:t>
      </w:r>
    </w:p>
    <w:p>
      <w:pPr>
        <w:pStyle w:val="9"/>
        <w:spacing w:line="312" w:lineRule="auto"/>
        <w:ind w:left="-85" w:firstLine="562" w:firstLineChars="200"/>
        <w:jc w:val="center"/>
        <w:rPr>
          <w:rFonts w:ascii="仿宋" w:hAnsi="仿宋" w:eastAsia="仿宋" w:cs="仿宋"/>
          <w:b/>
          <w:bCs/>
          <w:sz w:val="28"/>
          <w:szCs w:val="28"/>
        </w:rPr>
      </w:pPr>
    </w:p>
    <w:p>
      <w:pPr>
        <w:pStyle w:val="9"/>
        <w:spacing w:line="312" w:lineRule="auto"/>
        <w:ind w:left="-85" w:firstLine="562" w:firstLineChars="200"/>
        <w:jc w:val="center"/>
        <w:rPr>
          <w:rFonts w:ascii="仿宋" w:hAnsi="仿宋" w:eastAsia="仿宋" w:cs="仿宋"/>
          <w:b/>
          <w:bCs/>
          <w:sz w:val="28"/>
          <w:szCs w:val="28"/>
        </w:rPr>
      </w:pPr>
    </w:p>
    <w:p>
      <w:pPr>
        <w:snapToGrid w:val="0"/>
        <w:spacing w:line="374" w:lineRule="atLeast"/>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民丰县2022年科技人才创新合作资金项目（包二）二次</w:t>
      </w:r>
    </w:p>
    <w:p>
      <w:pPr>
        <w:pStyle w:val="11"/>
        <w:rPr>
          <w:rFonts w:ascii="仿宋" w:hAnsi="仿宋" w:eastAsia="仿宋" w:cs="仿宋"/>
          <w:b/>
          <w:bCs/>
          <w:sz w:val="30"/>
          <w:szCs w:val="30"/>
        </w:rPr>
      </w:pPr>
    </w:p>
    <w:p>
      <w:pPr>
        <w:pStyle w:val="11"/>
        <w:rPr>
          <w:rFonts w:ascii="仿宋" w:hAnsi="仿宋" w:eastAsia="仿宋" w:cs="仿宋"/>
          <w:b/>
          <w:bCs/>
          <w:sz w:val="30"/>
          <w:szCs w:val="30"/>
        </w:rPr>
      </w:pPr>
    </w:p>
    <w:p>
      <w:pPr>
        <w:pStyle w:val="32"/>
        <w:rPr>
          <w:rFonts w:ascii="仿宋" w:hAnsi="仿宋" w:eastAsia="仿宋" w:cs="仿宋"/>
        </w:rPr>
      </w:pPr>
    </w:p>
    <w:p>
      <w:pPr>
        <w:pStyle w:val="10"/>
        <w:jc w:val="center"/>
        <w:rPr>
          <w:rFonts w:ascii="仿宋" w:hAnsi="仿宋" w:eastAsia="仿宋" w:cs="仿宋"/>
        </w:rPr>
      </w:pPr>
      <w:r>
        <w:rPr>
          <w:rFonts w:hint="eastAsia" w:ascii="仿宋" w:hAnsi="仿宋" w:eastAsia="仿宋" w:cs="仿宋"/>
          <w:b/>
          <w:bCs/>
          <w:sz w:val="36"/>
          <w:szCs w:val="36"/>
        </w:rPr>
        <w:t>响应文件</w:t>
      </w:r>
    </w:p>
    <w:p>
      <w:pPr>
        <w:snapToGrid w:val="0"/>
        <w:spacing w:line="480" w:lineRule="auto"/>
        <w:jc w:val="center"/>
        <w:rPr>
          <w:rFonts w:ascii="仿宋" w:hAnsi="仿宋" w:eastAsia="仿宋" w:cs="仿宋"/>
          <w:b/>
          <w:sz w:val="30"/>
          <w:szCs w:val="30"/>
        </w:rPr>
      </w:pPr>
      <w:r>
        <w:rPr>
          <w:rFonts w:hint="eastAsia" w:ascii="仿宋" w:hAnsi="仿宋" w:eastAsia="仿宋" w:cs="仿宋"/>
          <w:b/>
          <w:sz w:val="30"/>
          <w:szCs w:val="30"/>
        </w:rPr>
        <w:t>（竞争性磋商文件编号：</w:t>
      </w:r>
      <w:r>
        <w:rPr>
          <w:rFonts w:hint="eastAsia" w:ascii="仿宋" w:hAnsi="仿宋" w:eastAsia="仿宋" w:cs="仿宋"/>
          <w:b/>
          <w:sz w:val="30"/>
          <w:szCs w:val="30"/>
          <w:lang w:eastAsia="zh-CN"/>
        </w:rPr>
        <w:t>JMSZB-MFX-2022-CG017-01</w:t>
      </w:r>
      <w:r>
        <w:rPr>
          <w:rFonts w:hint="eastAsia" w:ascii="仿宋" w:hAnsi="仿宋" w:eastAsia="仿宋" w:cs="仿宋"/>
          <w:b/>
          <w:sz w:val="30"/>
          <w:szCs w:val="30"/>
        </w:rPr>
        <w:t>）</w:t>
      </w:r>
    </w:p>
    <w:p>
      <w:pPr>
        <w:snapToGrid w:val="0"/>
        <w:spacing w:line="374" w:lineRule="atLeast"/>
        <w:jc w:val="center"/>
        <w:rPr>
          <w:rFonts w:ascii="仿宋" w:hAnsi="仿宋" w:eastAsia="仿宋" w:cs="仿宋"/>
          <w:b/>
          <w:sz w:val="30"/>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pStyle w:val="10"/>
        <w:rPr>
          <w:rFonts w:ascii="仿宋" w:hAnsi="仿宋" w:eastAsia="仿宋" w:cs="仿宋"/>
        </w:rPr>
      </w:pPr>
    </w:p>
    <w:p>
      <w:pPr>
        <w:pStyle w:val="11"/>
        <w:rPr>
          <w:rFonts w:ascii="仿宋" w:hAnsi="仿宋" w:eastAsia="仿宋" w:cs="仿宋"/>
        </w:rPr>
      </w:pPr>
    </w:p>
    <w:p>
      <w:pPr>
        <w:spacing w:line="360" w:lineRule="auto"/>
        <w:rPr>
          <w:rFonts w:ascii="仿宋" w:hAnsi="仿宋" w:eastAsia="仿宋" w:cs="仿宋"/>
          <w:b/>
        </w:rPr>
      </w:pPr>
    </w:p>
    <w:p>
      <w:pPr>
        <w:spacing w:line="360" w:lineRule="auto"/>
        <w:ind w:firstLine="602"/>
        <w:rPr>
          <w:rFonts w:ascii="仿宋" w:hAnsi="仿宋" w:eastAsia="仿宋" w:cs="仿宋"/>
          <w:b/>
          <w:sz w:val="30"/>
          <w:szCs w:val="30"/>
        </w:rPr>
      </w:pPr>
      <w:r>
        <w:rPr>
          <w:rFonts w:hint="eastAsia" w:ascii="仿宋" w:hAnsi="仿宋" w:eastAsia="仿宋" w:cs="仿宋"/>
          <w:b/>
          <w:sz w:val="30"/>
          <w:szCs w:val="30"/>
        </w:rPr>
        <w:t>供应商： （单位名称）盖章</w:t>
      </w:r>
    </w:p>
    <w:p>
      <w:pPr>
        <w:spacing w:line="360" w:lineRule="auto"/>
        <w:rPr>
          <w:rFonts w:ascii="仿宋" w:hAnsi="仿宋" w:eastAsia="仿宋" w:cs="仿宋"/>
          <w:b/>
          <w:sz w:val="30"/>
          <w:szCs w:val="30"/>
        </w:rPr>
      </w:pPr>
    </w:p>
    <w:p>
      <w:pPr>
        <w:spacing w:line="360" w:lineRule="auto"/>
        <w:ind w:firstLine="602"/>
        <w:rPr>
          <w:rFonts w:ascii="仿宋" w:hAnsi="仿宋" w:eastAsia="仿宋" w:cs="仿宋"/>
          <w:b/>
          <w:sz w:val="30"/>
          <w:szCs w:val="30"/>
        </w:rPr>
      </w:pPr>
      <w:r>
        <w:rPr>
          <w:rFonts w:hint="eastAsia" w:ascii="仿宋" w:hAnsi="仿宋" w:eastAsia="仿宋" w:cs="仿宋"/>
          <w:b/>
          <w:sz w:val="30"/>
          <w:szCs w:val="30"/>
        </w:rPr>
        <w:t>单位地址：</w:t>
      </w:r>
    </w:p>
    <w:p>
      <w:pPr>
        <w:spacing w:line="360" w:lineRule="auto"/>
        <w:ind w:firstLine="602"/>
        <w:rPr>
          <w:rFonts w:ascii="仿宋" w:hAnsi="仿宋" w:eastAsia="仿宋" w:cs="仿宋"/>
          <w:b/>
          <w:sz w:val="30"/>
          <w:szCs w:val="30"/>
        </w:rPr>
      </w:pPr>
    </w:p>
    <w:p>
      <w:pPr>
        <w:pStyle w:val="15"/>
        <w:ind w:firstLine="596" w:firstLineChars="198"/>
        <w:outlineLvl w:val="0"/>
        <w:rPr>
          <w:rFonts w:hint="eastAsia" w:ascii="仿宋" w:hAnsi="仿宋" w:eastAsia="仿宋" w:cs="仿宋"/>
          <w:b/>
          <w:sz w:val="30"/>
          <w:szCs w:val="30"/>
        </w:rPr>
      </w:pPr>
      <w:r>
        <w:rPr>
          <w:rFonts w:hint="eastAsia" w:ascii="仿宋" w:hAnsi="仿宋" w:eastAsia="仿宋" w:cs="仿宋"/>
          <w:b/>
          <w:sz w:val="30"/>
          <w:szCs w:val="30"/>
        </w:rPr>
        <w:t xml:space="preserve">联系人：                   </w:t>
      </w:r>
    </w:p>
    <w:p>
      <w:pPr>
        <w:pStyle w:val="15"/>
        <w:ind w:firstLine="596" w:firstLineChars="198"/>
        <w:outlineLvl w:val="0"/>
        <w:rPr>
          <w:rFonts w:hint="eastAsia" w:ascii="仿宋" w:hAnsi="仿宋" w:eastAsia="仿宋" w:cs="仿宋"/>
          <w:b/>
          <w:sz w:val="30"/>
          <w:szCs w:val="30"/>
        </w:rPr>
      </w:pPr>
    </w:p>
    <w:p>
      <w:pPr>
        <w:pStyle w:val="15"/>
        <w:ind w:firstLine="596" w:firstLineChars="198"/>
        <w:outlineLvl w:val="0"/>
        <w:rPr>
          <w:rFonts w:ascii="仿宋" w:hAnsi="仿宋" w:eastAsia="仿宋" w:cs="仿宋"/>
          <w:b/>
          <w:sz w:val="30"/>
          <w:szCs w:val="30"/>
        </w:rPr>
      </w:pPr>
      <w:r>
        <w:rPr>
          <w:rFonts w:hint="eastAsia" w:ascii="仿宋" w:hAnsi="仿宋" w:eastAsia="仿宋" w:cs="仿宋"/>
          <w:b/>
          <w:sz w:val="30"/>
          <w:szCs w:val="30"/>
        </w:rPr>
        <w:t>联系电话：</w:t>
      </w:r>
    </w:p>
    <w:p>
      <w:pPr>
        <w:pStyle w:val="15"/>
        <w:ind w:firstLine="596" w:firstLineChars="198"/>
        <w:outlineLvl w:val="0"/>
        <w:rPr>
          <w:rFonts w:ascii="仿宋" w:hAnsi="仿宋" w:eastAsia="仿宋" w:cs="仿宋"/>
          <w:b/>
          <w:sz w:val="30"/>
          <w:szCs w:val="30"/>
        </w:rPr>
      </w:pPr>
    </w:p>
    <w:p>
      <w:pPr>
        <w:pStyle w:val="10"/>
        <w:rPr>
          <w:rFonts w:ascii="仿宋" w:hAnsi="仿宋" w:eastAsia="仿宋" w:cs="仿宋"/>
        </w:rPr>
      </w:pPr>
    </w:p>
    <w:p>
      <w:pPr>
        <w:spacing w:line="440" w:lineRule="exact"/>
        <w:jc w:val="center"/>
        <w:rPr>
          <w:rFonts w:ascii="仿宋" w:hAnsi="仿宋" w:eastAsia="仿宋" w:cs="仿宋"/>
          <w:b/>
          <w:sz w:val="32"/>
          <w:szCs w:val="32"/>
        </w:rPr>
        <w:sectPr>
          <w:headerReference r:id="rId7" w:type="default"/>
          <w:footerReference r:id="rId8" w:type="default"/>
          <w:pgSz w:w="11906" w:h="16838"/>
          <w:pgMar w:top="1440" w:right="1486" w:bottom="1440" w:left="1600" w:header="851" w:footer="992" w:gutter="0"/>
          <w:pgNumType w:fmt="numberInDash"/>
          <w:cols w:space="425" w:num="1"/>
          <w:docGrid w:type="lines" w:linePitch="312" w:charSpace="0"/>
        </w:sectPr>
      </w:pPr>
      <w:bookmarkStart w:id="187" w:name="_Toc378520545"/>
      <w:bookmarkStart w:id="188" w:name="_Toc198376284"/>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附件一</w:t>
      </w:r>
    </w:p>
    <w:p>
      <w:pPr>
        <w:snapToGrid w:val="0"/>
        <w:spacing w:line="360" w:lineRule="auto"/>
        <w:jc w:val="center"/>
        <w:rPr>
          <w:rFonts w:hint="eastAsia" w:ascii="仿宋" w:hAnsi="仿宋" w:eastAsia="仿宋" w:cs="仿宋"/>
          <w:b/>
          <w:color w:val="auto"/>
          <w:sz w:val="24"/>
          <w:highlight w:val="none"/>
        </w:rPr>
      </w:pPr>
      <w:bookmarkStart w:id="189" w:name="_Toc22219_WPSOffice_Level2"/>
      <w:r>
        <w:rPr>
          <w:rFonts w:hint="eastAsia" w:ascii="仿宋" w:hAnsi="仿宋" w:eastAsia="仿宋" w:cs="仿宋"/>
          <w:b/>
          <w:color w:val="auto"/>
          <w:sz w:val="24"/>
          <w:highlight w:val="none"/>
        </w:rPr>
        <w:t>投  标  函</w:t>
      </w:r>
      <w:bookmarkEnd w:id="189"/>
    </w:p>
    <w:p>
      <w:pPr>
        <w:snapToGrid w:val="0"/>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我方认真研究了贵方关于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项目的招标文件，愿意遵守招标文件中的所有要求，承担招标文件规定的中标单位的全部责任和义务，郑重声明以下诸点，并负法律责任。</w:t>
      </w:r>
    </w:p>
    <w:p>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一、我方提交投标文件，正本1份，副本</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份，报价一览表1份,电子U盘一份。</w:t>
      </w:r>
    </w:p>
    <w:p>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二、如果我方的投标文件被接受，我方将履行招标文件中规定的每项要求，并按我方投标文件中的承诺按期、按质、按量履约；</w:t>
      </w:r>
    </w:p>
    <w:p>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三、我方理解，最低报价不是中标的唯一条件，你们有选择投标人的权利；</w:t>
      </w:r>
    </w:p>
    <w:p>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四、我方愿按《中华人民共和国合同法》及其他有关法律、法规的规定，自觉履行自己的全部责任；</w:t>
      </w:r>
    </w:p>
    <w:p>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五、我方同意按招标文件的规定交纳投标保证金、中标服务费，遵守贵方有关开标的各项规定；</w:t>
      </w:r>
    </w:p>
    <w:p>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59"/>
        <w:spacing w:after="120"/>
        <w:rPr>
          <w:rFonts w:hint="eastAsia" w:ascii="仿宋" w:hAnsi="仿宋" w:eastAsia="仿宋" w:cs="仿宋"/>
          <w:color w:val="auto"/>
          <w:highlight w:val="none"/>
        </w:rPr>
      </w:pPr>
      <w:r>
        <w:rPr>
          <w:rFonts w:hint="eastAsia" w:ascii="仿宋" w:hAnsi="仿宋" w:eastAsia="仿宋" w:cs="仿宋"/>
          <w:color w:val="auto"/>
          <w:highlight w:val="none"/>
        </w:rPr>
        <w:t>七、我方的投标文件有效期为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天。</w:t>
      </w:r>
    </w:p>
    <w:p>
      <w:pPr>
        <w:pStyle w:val="59"/>
        <w:spacing w:after="120"/>
        <w:rPr>
          <w:rFonts w:hint="eastAsia" w:ascii="仿宋" w:hAnsi="仿宋" w:eastAsia="仿宋" w:cs="仿宋"/>
          <w:color w:val="auto"/>
          <w:highlight w:val="none"/>
        </w:rPr>
      </w:pPr>
    </w:p>
    <w:p>
      <w:pPr>
        <w:snapToGrid w:val="0"/>
        <w:spacing w:line="360" w:lineRule="auto"/>
        <w:ind w:right="105" w:rightChars="5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单位名称（公章）：</w:t>
      </w:r>
    </w:p>
    <w:p>
      <w:pPr>
        <w:snapToGrid w:val="0"/>
        <w:spacing w:line="360" w:lineRule="auto"/>
        <w:ind w:right="105" w:rightChars="5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法定代表人（签字、盖章）：</w:t>
      </w:r>
    </w:p>
    <w:p>
      <w:pPr>
        <w:snapToGrid w:val="0"/>
        <w:spacing w:line="360" w:lineRule="auto"/>
        <w:ind w:right="105" w:rightChars="5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法人授权代表（签字）：</w:t>
      </w:r>
    </w:p>
    <w:p>
      <w:pPr>
        <w:snapToGrid w:val="0"/>
        <w:spacing w:line="360" w:lineRule="auto"/>
        <w:ind w:right="105" w:rightChars="50" w:firstLine="480" w:firstLineChars="200"/>
        <w:jc w:val="left"/>
        <w:rPr>
          <w:rFonts w:hint="eastAsia" w:ascii="仿宋" w:hAnsi="仿宋" w:eastAsia="仿宋" w:cs="仿宋"/>
          <w:color w:val="auto"/>
          <w:sz w:val="24"/>
          <w:highlight w:val="none"/>
        </w:rPr>
      </w:pPr>
    </w:p>
    <w:p>
      <w:pPr>
        <w:rPr>
          <w:rFonts w:hint="eastAsia" w:ascii="仿宋" w:hAnsi="仿宋" w:eastAsia="仿宋" w:cs="仿宋"/>
          <w:color w:val="auto"/>
          <w:highlight w:val="none"/>
        </w:rPr>
      </w:pPr>
    </w:p>
    <w:p>
      <w:pPr>
        <w:pStyle w:val="59"/>
        <w:spacing w:after="120"/>
        <w:ind w:firstLine="0" w:firstLineChars="0"/>
        <w:rPr>
          <w:rFonts w:hint="eastAsia" w:ascii="仿宋" w:hAnsi="仿宋" w:eastAsia="仿宋" w:cs="仿宋"/>
          <w:color w:val="auto"/>
          <w:highlight w:val="none"/>
        </w:rPr>
      </w:pPr>
    </w:p>
    <w:p>
      <w:pPr>
        <w:pStyle w:val="59"/>
        <w:spacing w:after="120"/>
        <w:ind w:firstLine="0" w:firstLineChars="0"/>
        <w:rPr>
          <w:rFonts w:hint="eastAsia" w:ascii="仿宋" w:hAnsi="仿宋" w:eastAsia="仿宋" w:cs="仿宋"/>
          <w:color w:val="auto"/>
          <w:highlight w:val="none"/>
        </w:rPr>
      </w:pPr>
    </w:p>
    <w:p>
      <w:pPr>
        <w:pStyle w:val="59"/>
        <w:spacing w:after="120"/>
        <w:ind w:firstLine="0" w:firstLineChars="0"/>
        <w:rPr>
          <w:rFonts w:hint="eastAsia" w:ascii="仿宋" w:hAnsi="仿宋" w:eastAsia="仿宋" w:cs="仿宋"/>
          <w:color w:val="auto"/>
          <w:highlight w:val="none"/>
        </w:rPr>
      </w:pPr>
    </w:p>
    <w:p>
      <w:pPr>
        <w:rPr>
          <w:rFonts w:hint="eastAsia" w:ascii="仿宋" w:hAnsi="仿宋" w:eastAsia="仿宋" w:cs="仿宋"/>
          <w:b/>
          <w:color w:val="auto"/>
          <w:sz w:val="28"/>
          <w:highlight w:val="none"/>
        </w:rPr>
        <w:sectPr>
          <w:pgSz w:w="11906" w:h="16838"/>
          <w:pgMar w:top="1440" w:right="1797" w:bottom="1440" w:left="1797" w:header="851" w:footer="992" w:gutter="0"/>
          <w:cols w:space="720" w:num="1"/>
          <w:docGrid w:linePitch="312" w:charSpace="0"/>
        </w:sectPr>
      </w:pPr>
    </w:p>
    <w:p>
      <w:pPr>
        <w:rPr>
          <w:rFonts w:hint="eastAsia" w:ascii="仿宋" w:hAnsi="仿宋" w:eastAsia="仿宋" w:cs="仿宋"/>
          <w:b/>
          <w:color w:val="auto"/>
          <w:sz w:val="28"/>
          <w:highlight w:val="none"/>
          <w:lang w:val="en-US" w:eastAsia="zh-CN"/>
        </w:rPr>
      </w:pPr>
      <w:r>
        <w:rPr>
          <w:rFonts w:hint="eastAsia" w:ascii="仿宋" w:hAnsi="仿宋" w:eastAsia="仿宋" w:cs="仿宋"/>
          <w:b/>
          <w:color w:val="auto"/>
          <w:sz w:val="28"/>
          <w:highlight w:val="none"/>
        </w:rPr>
        <w:t>附件二</w:t>
      </w:r>
      <w:r>
        <w:rPr>
          <w:rFonts w:hint="eastAsia" w:ascii="仿宋" w:hAnsi="仿宋" w:eastAsia="仿宋" w:cs="仿宋"/>
          <w:b/>
          <w:color w:val="auto"/>
          <w:sz w:val="28"/>
          <w:highlight w:val="none"/>
          <w:lang w:val="en-US" w:eastAsia="zh-CN"/>
        </w:rPr>
        <w:t xml:space="preserve">                 </w:t>
      </w:r>
    </w:p>
    <w:p>
      <w:pPr>
        <w:jc w:val="center"/>
        <w:rPr>
          <w:rFonts w:hint="eastAsia" w:ascii="仿宋" w:hAnsi="仿宋" w:eastAsia="仿宋" w:cs="仿宋"/>
          <w:b/>
          <w:color w:val="auto"/>
          <w:sz w:val="28"/>
          <w:highlight w:val="none"/>
        </w:rPr>
      </w:pPr>
      <w:r>
        <w:rPr>
          <w:rFonts w:hint="eastAsia" w:ascii="仿宋" w:hAnsi="仿宋" w:eastAsia="仿宋" w:cs="仿宋"/>
          <w:b/>
          <w:bCs/>
          <w:color w:val="auto"/>
          <w:kern w:val="0"/>
          <w:sz w:val="28"/>
          <w:highlight w:val="none"/>
        </w:rPr>
        <w:t>法定代表人授权委托书</w:t>
      </w:r>
    </w:p>
    <w:p>
      <w:pPr>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（招标采购单位名称）</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u w:val="single"/>
        </w:rPr>
        <w:t xml:space="preserve">      </w:t>
      </w:r>
    </w:p>
    <w:p>
      <w:pPr>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我______（姓名）系_______（投标人名称）的法定代表人，现授权委托本单位在职职工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项目的投标活动，并代表我方全权办理针对上述项目的投标、开标、评标、签约等具体事务和签署相关文件。我方对被授权人的签名事项负全部责任。</w:t>
      </w:r>
    </w:p>
    <w:p>
      <w:pPr>
        <w:pageBreakBefore w:val="0"/>
        <w:widowControl w:val="0"/>
        <w:kinsoku/>
        <w:wordWrap/>
        <w:overflowPunct/>
        <w:topLinePunct w:val="0"/>
        <w:autoSpaceDE/>
        <w:autoSpaceDN/>
        <w:bidi w:val="0"/>
        <w:adjustRightInd/>
        <w:snapToGrid w:val="0"/>
        <w:spacing w:line="42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被授权人无转委托权，特此委托</w:t>
      </w:r>
    </w:p>
    <w:p>
      <w:pPr>
        <w:pageBreakBefore w:val="0"/>
        <w:widowControl w:val="0"/>
        <w:kinsoku/>
        <w:wordWrap/>
        <w:overflowPunct/>
        <w:topLinePunct w:val="0"/>
        <w:autoSpaceDE/>
        <w:autoSpaceDN/>
        <w:bidi w:val="0"/>
        <w:adjustRightInd/>
        <w:snapToGrid w:val="0"/>
        <w:spacing w:line="420" w:lineRule="exact"/>
        <w:ind w:firstLine="48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mc:AlternateContent>
          <mc:Choice Requires="wps">
            <w:drawing>
              <wp:anchor distT="0" distB="0" distL="114300" distR="114300" simplePos="0" relativeHeight="251662336" behindDoc="0" locked="0" layoutInCell="1" allowOverlap="1">
                <wp:simplePos x="0" y="0"/>
                <wp:positionH relativeFrom="column">
                  <wp:posOffset>2937510</wp:posOffset>
                </wp:positionH>
                <wp:positionV relativeFrom="paragraph">
                  <wp:posOffset>332105</wp:posOffset>
                </wp:positionV>
                <wp:extent cx="2819400" cy="1506855"/>
                <wp:effectExtent l="4445" t="4445" r="14605" b="12700"/>
                <wp:wrapNone/>
                <wp:docPr id="1" name="文本框 1"/>
                <wp:cNvGraphicFramePr/>
                <a:graphic xmlns:a="http://schemas.openxmlformats.org/drawingml/2006/main">
                  <a:graphicData uri="http://schemas.microsoft.com/office/word/2010/wordprocessingShape">
                    <wps:wsp>
                      <wps:cNvSpPr txBox="1"/>
                      <wps:spPr>
                        <a:xfrm>
                          <a:off x="0" y="0"/>
                          <a:ext cx="2819400" cy="1506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8.65pt;width:222pt;z-index:251662336;mso-width-relative:page;mso-height-relative:page;" fillcolor="#FFFFFF" filled="t" stroked="t" coordsize="21600,21600" o:gfxdata="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sWqq9oAAAAKAQAADwAAAAAAAAABACAAAAAiAAAAZHJzL2Rvd25yZXYueG1s&#10;UEsBAhQAFAAAAAgAh07iQKdYil/2AQAA9wMAAA4AAAAAAAAAAQAgAAAAKQEAAGRycy9lMm9Eb2Mu&#10;eG1sUEsFBgAAAAAGAAYAWQEAAJEFA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仿宋" w:hAnsi="仿宋" w:eastAsia="仿宋" w:cs="仿宋"/>
          <w:color w:val="auto"/>
          <w:sz w:val="24"/>
          <w:highlight w:val="none"/>
          <w:lang w:val="zh-CN"/>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333375</wp:posOffset>
                </wp:positionV>
                <wp:extent cx="2838450" cy="1517015"/>
                <wp:effectExtent l="4445" t="4445" r="14605" b="21590"/>
                <wp:wrapNone/>
                <wp:docPr id="2" name="文本框 2"/>
                <wp:cNvGraphicFramePr/>
                <a:graphic xmlns:a="http://schemas.openxmlformats.org/drawingml/2006/main">
                  <a:graphicData uri="http://schemas.microsoft.com/office/word/2010/wordprocessingShape">
                    <wps:wsp>
                      <wps:cNvSpPr txBox="1"/>
                      <wps:spPr>
                        <a:xfrm>
                          <a:off x="0" y="0"/>
                          <a:ext cx="2838450" cy="1517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9.45pt;width:223.5pt;z-index:251661312;mso-width-relative:page;mso-height-relative:page;" fillcolor="#FFFFFF" filled="t" stroked="t" coordsize="21600,21600" o:gfxdata="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u5ys2QAAAAkBAAAPAAAAAAAAAAEAIAAAACIAAABkcnMvZG93bnJldi54bWxQ&#10;SwECFAAUAAAACACHTuJARdmIcPYBAAD3AwAADgAAAAAAAAABACAAAAAoAQAAZHJzL2Uyb0RvYy54&#10;bWxQSwUGAAAAAAYABgBZAQAAkA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rPr>
          <w:rFonts w:hint="eastAsia" w:ascii="仿宋" w:hAnsi="仿宋" w:eastAsia="仿宋" w:cs="仿宋"/>
          <w:color w:val="auto"/>
          <w:sz w:val="24"/>
          <w:highlight w:val="none"/>
          <w:u w:val="single"/>
        </w:rPr>
      </w:pP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napToGrid w:val="0"/>
        <w:spacing w:line="360" w:lineRule="auto"/>
        <w:ind w:firstLine="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w:t>
      </w:r>
    </w:p>
    <w:p>
      <w:pPr>
        <w:snapToGrid w:val="0"/>
        <w:spacing w:line="360" w:lineRule="auto"/>
        <w:ind w:firstLine="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pPr>
        <w:snapToGrid w:val="0"/>
        <w:spacing w:line="360" w:lineRule="auto"/>
        <w:ind w:firstLine="200"/>
        <w:rPr>
          <w:rFonts w:hint="eastAsia" w:ascii="仿宋" w:hAnsi="仿宋" w:eastAsia="仿宋" w:cs="仿宋"/>
          <w:b/>
          <w:bCs/>
          <w:color w:val="auto"/>
          <w:sz w:val="24"/>
          <w:highlight w:val="none"/>
        </w:rPr>
      </w:pPr>
    </w:p>
    <w:p>
      <w:pPr>
        <w:snapToGrid w:val="0"/>
        <w:spacing w:line="360" w:lineRule="auto"/>
        <w:ind w:firstLine="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zh-CN"/>
        </w:rPr>
        <mc:AlternateContent>
          <mc:Choice Requires="wps">
            <w:drawing>
              <wp:anchor distT="0" distB="0" distL="114300" distR="114300" simplePos="0" relativeHeight="251664384" behindDoc="0" locked="0" layoutInCell="1" allowOverlap="1">
                <wp:simplePos x="0" y="0"/>
                <wp:positionH relativeFrom="column">
                  <wp:posOffset>2941955</wp:posOffset>
                </wp:positionH>
                <wp:positionV relativeFrom="paragraph">
                  <wp:posOffset>125095</wp:posOffset>
                </wp:positionV>
                <wp:extent cx="2842260" cy="1476375"/>
                <wp:effectExtent l="4445" t="4445" r="10795" b="5080"/>
                <wp:wrapNone/>
                <wp:docPr id="31" name="文本框 31"/>
                <wp:cNvGraphicFramePr/>
                <a:graphic xmlns:a="http://schemas.openxmlformats.org/drawingml/2006/main">
                  <a:graphicData uri="http://schemas.microsoft.com/office/word/2010/wordprocessingShape">
                    <wps:wsp>
                      <wps:cNvSpPr txBox="1"/>
                      <wps:spPr>
                        <a:xfrm>
                          <a:off x="0" y="0"/>
                          <a:ext cx="2752090" cy="1583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65pt;margin-top:9.85pt;height:116.25pt;width:223.8pt;z-index:251664384;mso-width-relative:page;mso-height-relative:page;" fillcolor="#FFFFFF" filled="t" stroked="t" coordsize="21600,21600" o:gfxdata="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pp3TbZAAAACgEAAA8AAAAAAAAAAQAgAAAAIgAAAGRycy9kb3ducmV2Lnht&#10;bFBLAQIUABQAAAAIAIdO4kA2dvPQ+AEAAPkDAAAOAAAAAAAAAAEAIAAAACgBAABkcnMvZTJvRG9j&#10;LnhtbFBLBQYAAAAABgAGAFkBAACSBQ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r>
        <w:rPr>
          <w:rFonts w:hint="eastAsia" w:ascii="仿宋" w:hAnsi="仿宋" w:eastAsia="仿宋" w:cs="仿宋"/>
          <w:color w:val="auto"/>
          <w:sz w:val="24"/>
          <w:highlight w:val="none"/>
          <w:lang w:val="zh-CN"/>
        </w:rP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140970</wp:posOffset>
                </wp:positionV>
                <wp:extent cx="2789555" cy="1454785"/>
                <wp:effectExtent l="4445" t="4445" r="6350" b="7620"/>
                <wp:wrapNone/>
                <wp:docPr id="32" name="文本框 32"/>
                <wp:cNvGraphicFramePr/>
                <a:graphic xmlns:a="http://schemas.openxmlformats.org/drawingml/2006/main">
                  <a:graphicData uri="http://schemas.microsoft.com/office/word/2010/wordprocessingShape">
                    <wps:wsp>
                      <wps:cNvSpPr txBox="1"/>
                      <wps:spPr>
                        <a:xfrm>
                          <a:off x="0" y="0"/>
                          <a:ext cx="2647950" cy="1525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7pt;margin-top:11.1pt;height:114.55pt;width:219.65pt;z-index:251663360;mso-width-relative:page;mso-height-relative:page;" fillcolor="#FFFFFF" filled="t" stroked="t" coordsize="21600,21600" o:gfxdata="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NUmw2QAAAAkBAAAPAAAAAAAAAAEAIAAAACIAAABkcnMvZG93bnJldi54bWxQ&#10;SwECFAAUAAAACACHTuJAPjIYLvYBAAD5AwAADgAAAAAAAAABACAAAAAoAQAAZHJzL2Uyb0RvYy54&#10;bWxQSwUGAAAAAAYABgBZAQAAkA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ind w:firstLine="200"/>
        <w:rPr>
          <w:rFonts w:hint="eastAsia" w:ascii="仿宋" w:hAnsi="仿宋" w:eastAsia="仿宋" w:cs="仿宋"/>
          <w:b/>
          <w:bCs/>
          <w:color w:val="auto"/>
          <w:sz w:val="24"/>
          <w:highlight w:val="none"/>
        </w:rPr>
      </w:pPr>
    </w:p>
    <w:p>
      <w:pPr>
        <w:snapToGrid w:val="0"/>
        <w:spacing w:line="360" w:lineRule="auto"/>
        <w:ind w:firstLine="200"/>
        <w:rPr>
          <w:rFonts w:hint="eastAsia" w:ascii="仿宋" w:hAnsi="仿宋" w:eastAsia="仿宋" w:cs="仿宋"/>
          <w:b/>
          <w:bCs/>
          <w:color w:val="auto"/>
          <w:sz w:val="24"/>
          <w:highlight w:val="none"/>
        </w:rPr>
      </w:pPr>
    </w:p>
    <w:p>
      <w:pPr>
        <w:snapToGrid w:val="0"/>
        <w:spacing w:line="360" w:lineRule="auto"/>
        <w:ind w:firstLine="200"/>
        <w:rPr>
          <w:rFonts w:hint="eastAsia" w:ascii="仿宋" w:hAnsi="仿宋" w:eastAsia="仿宋" w:cs="仿宋"/>
          <w:b/>
          <w:bCs/>
          <w:color w:val="auto"/>
          <w:sz w:val="24"/>
          <w:highlight w:val="none"/>
        </w:rPr>
      </w:pPr>
    </w:p>
    <w:p>
      <w:pPr>
        <w:snapToGrid w:val="0"/>
        <w:spacing w:line="360" w:lineRule="auto"/>
        <w:ind w:firstLine="200"/>
        <w:rPr>
          <w:rFonts w:hint="eastAsia" w:ascii="仿宋" w:hAnsi="仿宋" w:eastAsia="仿宋" w:cs="仿宋"/>
          <w:b/>
          <w:bCs/>
          <w:color w:val="auto"/>
          <w:sz w:val="24"/>
          <w:highlight w:val="none"/>
        </w:rPr>
      </w:pPr>
    </w:p>
    <w:p>
      <w:pPr>
        <w:snapToGrid w:val="0"/>
        <w:spacing w:line="360" w:lineRule="auto"/>
        <w:ind w:firstLine="200"/>
        <w:rPr>
          <w:rFonts w:hint="eastAsia" w:ascii="仿宋" w:hAnsi="仿宋" w:eastAsia="仿宋" w:cs="仿宋"/>
          <w:b/>
          <w:bCs/>
          <w:color w:val="auto"/>
          <w:sz w:val="24"/>
          <w:highlight w:val="none"/>
        </w:rPr>
      </w:pPr>
    </w:p>
    <w:p>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w:t>
      </w:r>
    </w:p>
    <w:p>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法定代表人身份证号码</w:t>
      </w:r>
      <w:r>
        <w:rPr>
          <w:rFonts w:hint="eastAsia" w:ascii="仿宋" w:hAnsi="仿宋" w:eastAsia="仿宋" w:cs="仿宋"/>
          <w:color w:val="auto"/>
          <w:spacing w:val="30"/>
          <w:sz w:val="24"/>
          <w:highlight w:val="none"/>
        </w:rPr>
        <w:t>：</w:t>
      </w:r>
      <w:r>
        <w:rPr>
          <w:rFonts w:hint="eastAsia" w:ascii="仿宋" w:hAnsi="仿宋" w:eastAsia="仿宋" w:cs="仿宋"/>
          <w:color w:val="auto"/>
          <w:spacing w:val="30"/>
          <w:sz w:val="24"/>
          <w:highlight w:val="none"/>
          <w:u w:val="single"/>
        </w:rPr>
        <w:t xml:space="preserve">                    　　   </w:t>
      </w:r>
    </w:p>
    <w:p>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w:t>
      </w:r>
    </w:p>
    <w:p>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授权代表身份证号码</w:t>
      </w:r>
      <w:r>
        <w:rPr>
          <w:rFonts w:hint="eastAsia" w:ascii="仿宋" w:hAnsi="仿宋" w:eastAsia="仿宋" w:cs="仿宋"/>
          <w:color w:val="auto"/>
          <w:sz w:val="24"/>
          <w:szCs w:val="24"/>
          <w:highlight w:val="none"/>
          <w:u w:val="single"/>
        </w:rPr>
        <w:t>：　　　　　　　　　　　　　　　　　　　　　</w:t>
      </w:r>
    </w:p>
    <w:p>
      <w:pPr>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投标人名称（单位公章）：</w:t>
      </w:r>
      <w:r>
        <w:rPr>
          <w:rFonts w:hint="eastAsia" w:ascii="仿宋" w:hAnsi="仿宋" w:eastAsia="仿宋" w:cs="仿宋"/>
          <w:color w:val="auto"/>
          <w:sz w:val="24"/>
          <w:szCs w:val="24"/>
          <w:highlight w:val="none"/>
          <w:u w:val="single"/>
        </w:rPr>
        <w:t xml:space="preserve">         　　　　　　　　　　　　　　　</w:t>
      </w:r>
    </w:p>
    <w:p>
      <w:pPr>
        <w:spacing w:line="400" w:lineRule="exact"/>
        <w:ind w:firstLine="480" w:firstLineChars="200"/>
        <w:rPr>
          <w:rFonts w:hint="eastAsia" w:ascii="仿宋" w:hAnsi="仿宋" w:eastAsia="仿宋" w:cs="仿宋"/>
          <w:color w:val="auto"/>
          <w:sz w:val="22"/>
          <w:szCs w:val="22"/>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w:t>
      </w:r>
    </w:p>
    <w:p>
      <w:pPr>
        <w:adjustRightInd w:val="0"/>
        <w:snapToGrid w:val="0"/>
        <w:spacing w:line="360" w:lineRule="auto"/>
        <w:jc w:val="left"/>
        <w:rPr>
          <w:rFonts w:hint="eastAsia" w:ascii="仿宋" w:hAnsi="仿宋" w:eastAsia="仿宋" w:cs="仿宋"/>
          <w:b/>
          <w:color w:val="auto"/>
          <w:sz w:val="24"/>
          <w:szCs w:val="24"/>
          <w:highlight w:val="none"/>
        </w:rPr>
      </w:pPr>
    </w:p>
    <w:p>
      <w:pPr>
        <w:pStyle w:val="2"/>
        <w:rPr>
          <w:rFonts w:hint="eastAsia" w:ascii="仿宋" w:hAnsi="仿宋" w:eastAsia="仿宋" w:cs="仿宋"/>
          <w:color w:val="auto"/>
          <w:highlight w:val="none"/>
        </w:rPr>
      </w:pPr>
      <w:r>
        <w:rPr>
          <w:rFonts w:hint="eastAsia" w:ascii="仿宋" w:hAnsi="仿宋" w:eastAsia="仿宋" w:cs="仿宋"/>
          <w:color w:val="auto"/>
          <w:highlight w:val="none"/>
        </w:rPr>
        <w:br w:type="page"/>
      </w:r>
    </w:p>
    <w:p>
      <w:pP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附件三</w:t>
      </w:r>
    </w:p>
    <w:p>
      <w:pPr>
        <w:ind w:right="2" w:firstLine="174" w:firstLineChars="62"/>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法定代表人身份证明书（格式）</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（招标采购单位名称）</w:t>
      </w:r>
      <w:r>
        <w:rPr>
          <w:rFonts w:hint="eastAsia" w:ascii="仿宋" w:hAnsi="仿宋" w:eastAsia="仿宋" w:cs="仿宋"/>
          <w:color w:val="auto"/>
          <w:sz w:val="24"/>
          <w:highlight w:val="none"/>
        </w:rPr>
        <w:t>：</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本人</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（投标方全称）</w:t>
      </w:r>
      <w:r>
        <w:rPr>
          <w:rFonts w:hint="eastAsia" w:ascii="仿宋" w:hAnsi="仿宋" w:eastAsia="仿宋" w:cs="仿宋"/>
          <w:color w:val="auto"/>
          <w:sz w:val="24"/>
          <w:highlight w:val="none"/>
        </w:rPr>
        <w:t>的法定代表人，身份证号：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项目（招标项目编号：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）投标活动，特此证明。</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本授权书自出具之日起生效。       </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-174625</wp:posOffset>
                </wp:positionH>
                <wp:positionV relativeFrom="paragraph">
                  <wp:posOffset>132715</wp:posOffset>
                </wp:positionV>
                <wp:extent cx="2971800" cy="1923415"/>
                <wp:effectExtent l="4445" t="4445" r="14605" b="15240"/>
                <wp:wrapNone/>
                <wp:docPr id="8" name="矩形 8"/>
                <wp:cNvGraphicFramePr/>
                <a:graphic xmlns:a="http://schemas.openxmlformats.org/drawingml/2006/main">
                  <a:graphicData uri="http://schemas.microsoft.com/office/word/2010/wordprocessingShape">
                    <wps:wsp>
                      <wps:cNvSpPr/>
                      <wps:spPr>
                        <a:xfrm>
                          <a:off x="0" y="0"/>
                          <a:ext cx="2971800" cy="1923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b/>
                                <w:bCs/>
                                <w:sz w:val="24"/>
                              </w:rPr>
                            </w:pPr>
                            <w:r>
                              <w:rPr>
                                <w:rFonts w:hint="eastAsia" w:ascii="仿宋" w:hAnsi="仿宋" w:eastAsia="仿宋"/>
                                <w:b/>
                                <w:bCs/>
                                <w:sz w:val="24"/>
                              </w:rPr>
                              <w:t>法定代表人身份证件</w:t>
                            </w:r>
                          </w:p>
                          <w:p>
                            <w:pPr>
                              <w:jc w:val="center"/>
                              <w:rPr>
                                <w:rFonts w:ascii="仿宋" w:hAnsi="仿宋" w:eastAsia="仿宋"/>
                              </w:rPr>
                            </w:pPr>
                            <w:r>
                              <w:rPr>
                                <w:rFonts w:hint="eastAsia" w:ascii="仿宋" w:hAnsi="仿宋" w:eastAsia="仿宋"/>
                                <w:b/>
                                <w:bCs/>
                                <w:sz w:val="24"/>
                              </w:rPr>
                              <w:t>（正面复印件）</w:t>
                            </w:r>
                          </w:p>
                        </w:txbxContent>
                      </wps:txbx>
                      <wps:bodyPr upright="1"/>
                    </wps:wsp>
                  </a:graphicData>
                </a:graphic>
              </wp:anchor>
            </w:drawing>
          </mc:Choice>
          <mc:Fallback>
            <w:pict>
              <v:rect id="_x0000_s1026" o:spid="_x0000_s1026" o:spt="1" style="position:absolute;left:0pt;margin-left:-13.75pt;margin-top:10.45pt;height:151.45pt;width:234pt;z-index:251660288;mso-width-relative:page;mso-height-relative:page;" fillcolor="#FFFFFF" filled="t" stroked="t" coordsize="21600,21600" o:gfxdata="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LqtR2AAAAAoBAAAPAAAAAAAAAAEAIAAAACIAAABkcnMvZG93bnJldi54bWxQSwECFAAUAAAACACH&#10;TuJAECakcOsBAADqAwAADgAAAAAAAAABACAAAAAnAQAAZHJzL2Uyb0RvYy54bWxQSwUGAAAAAAYA&#10;BgBZAQAAhAUAAAAA&#10;">
                <v:fill on="t" focussize="0,0"/>
                <v:stroke color="#000000" joinstyle="miter"/>
                <v:imagedata o:title=""/>
                <o:lock v:ext="edit" aspectratio="f"/>
                <v:textbox>
                  <w:txbxContent>
                    <w:p/>
                    <w:p/>
                    <w:p/>
                    <w:p>
                      <w:pPr>
                        <w:jc w:val="center"/>
                        <w:rPr>
                          <w:rFonts w:ascii="仿宋" w:hAnsi="仿宋" w:eastAsia="仿宋"/>
                          <w:b/>
                          <w:bCs/>
                          <w:sz w:val="24"/>
                        </w:rPr>
                      </w:pPr>
                      <w:r>
                        <w:rPr>
                          <w:rFonts w:hint="eastAsia" w:ascii="仿宋" w:hAnsi="仿宋" w:eastAsia="仿宋"/>
                          <w:b/>
                          <w:bCs/>
                          <w:sz w:val="24"/>
                        </w:rPr>
                        <w:t>法定代表人身份证件</w:t>
                      </w:r>
                    </w:p>
                    <w:p>
                      <w:pPr>
                        <w:jc w:val="center"/>
                        <w:rPr>
                          <w:rFonts w:ascii="仿宋" w:hAnsi="仿宋" w:eastAsia="仿宋"/>
                        </w:rPr>
                      </w:pPr>
                      <w:r>
                        <w:rPr>
                          <w:rFonts w:hint="eastAsia" w:ascii="仿宋" w:hAnsi="仿宋" w:eastAsia="仿宋"/>
                          <w:b/>
                          <w:bCs/>
                          <w:sz w:val="24"/>
                        </w:rPr>
                        <w:t>（正面复印件）</w:t>
                      </w:r>
                    </w:p>
                  </w:txbxContent>
                </v:textbox>
              </v: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2900045</wp:posOffset>
                </wp:positionH>
                <wp:positionV relativeFrom="paragraph">
                  <wp:posOffset>118110</wp:posOffset>
                </wp:positionV>
                <wp:extent cx="3067050" cy="1920240"/>
                <wp:effectExtent l="4445" t="5080" r="14605" b="17780"/>
                <wp:wrapNone/>
                <wp:docPr id="3" name="矩形 3"/>
                <wp:cNvGraphicFramePr/>
                <a:graphic xmlns:a="http://schemas.openxmlformats.org/drawingml/2006/main">
                  <a:graphicData uri="http://schemas.microsoft.com/office/word/2010/wordprocessingShape">
                    <wps:wsp>
                      <wps:cNvSpPr/>
                      <wps:spPr>
                        <a:xfrm>
                          <a:off x="0" y="0"/>
                          <a:ext cx="3067050" cy="1920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widowControl/>
                              <w:spacing w:line="400" w:lineRule="exact"/>
                              <w:jc w:val="center"/>
                              <w:rPr>
                                <w:rFonts w:ascii="仿宋" w:hAnsi="仿宋" w:eastAsia="仿宋"/>
                                <w:b/>
                                <w:bCs/>
                                <w:sz w:val="24"/>
                              </w:rPr>
                            </w:pPr>
                            <w:r>
                              <w:rPr>
                                <w:rFonts w:hint="eastAsia" w:ascii="仿宋" w:hAnsi="仿宋" w:eastAsia="仿宋"/>
                                <w:b/>
                                <w:bCs/>
                                <w:sz w:val="24"/>
                              </w:rPr>
                              <w:t>法定代表人身份证件</w:t>
                            </w:r>
                          </w:p>
                          <w:p>
                            <w:pPr>
                              <w:widowControl/>
                              <w:spacing w:line="400" w:lineRule="exact"/>
                              <w:jc w:val="center"/>
                              <w:rPr>
                                <w:rFonts w:ascii="仿宋" w:hAnsi="仿宋" w:eastAsia="仿宋"/>
                                <w:b/>
                                <w:bCs/>
                                <w:sz w:val="24"/>
                              </w:rPr>
                            </w:pPr>
                            <w:r>
                              <w:rPr>
                                <w:rFonts w:hint="eastAsia" w:ascii="仿宋" w:hAnsi="仿宋" w:eastAsia="仿宋"/>
                                <w:b/>
                                <w:bCs/>
                                <w:sz w:val="24"/>
                              </w:rPr>
                              <w:t>（反面复印件）</w:t>
                            </w:r>
                          </w:p>
                          <w:p>
                            <w:pPr>
                              <w:jc w:val="center"/>
                            </w:pPr>
                          </w:p>
                          <w:p>
                            <w:pPr>
                              <w:jc w:val="center"/>
                            </w:pPr>
                          </w:p>
                          <w:p/>
                        </w:txbxContent>
                      </wps:txbx>
                      <wps:bodyPr upright="1"/>
                    </wps:wsp>
                  </a:graphicData>
                </a:graphic>
              </wp:anchor>
            </w:drawing>
          </mc:Choice>
          <mc:Fallback>
            <w:pict>
              <v:rect id="_x0000_s1026" o:spid="_x0000_s1026" o:spt="1" style="position:absolute;left:0pt;margin-left:228.35pt;margin-top:9.3pt;height:151.2pt;width:241.5pt;z-index:251659264;mso-width-relative:page;mso-height-relative:page;" fillcolor="#FFFFFF" filled="t" stroked="t" coordsize="21600,21600" o:gfxdata="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pNGZ9gAAAAKAQAADwAAAAAAAAABACAAAAAiAAAAZHJzL2Rvd25yZXYueG1sUEsBAhQAFAAA&#10;AAgAh07iQEC+wILvAQAA6gMAAA4AAAAAAAAAAQAgAAAAJwEAAGRycy9lMm9Eb2MueG1sUEsFBgAA&#10;AAAGAAYAWQEAAIgFAAAAAA==&#10;">
                <v:fill on="t" focussize="0,0"/>
                <v:stroke color="#000000" joinstyle="miter"/>
                <v:imagedata o:title=""/>
                <o:lock v:ext="edit" aspectratio="f"/>
                <v:textbox>
                  <w:txbxContent>
                    <w:p>
                      <w:pPr>
                        <w:jc w:val="center"/>
                      </w:pPr>
                    </w:p>
                    <w:p>
                      <w:pPr>
                        <w:jc w:val="center"/>
                      </w:pPr>
                    </w:p>
                    <w:p>
                      <w:pPr>
                        <w:jc w:val="center"/>
                      </w:pPr>
                    </w:p>
                    <w:p>
                      <w:pPr>
                        <w:widowControl/>
                        <w:spacing w:line="400" w:lineRule="exact"/>
                        <w:jc w:val="center"/>
                        <w:rPr>
                          <w:rFonts w:ascii="仿宋" w:hAnsi="仿宋" w:eastAsia="仿宋"/>
                          <w:b/>
                          <w:bCs/>
                          <w:sz w:val="24"/>
                        </w:rPr>
                      </w:pPr>
                      <w:r>
                        <w:rPr>
                          <w:rFonts w:hint="eastAsia" w:ascii="仿宋" w:hAnsi="仿宋" w:eastAsia="仿宋"/>
                          <w:b/>
                          <w:bCs/>
                          <w:sz w:val="24"/>
                        </w:rPr>
                        <w:t>法定代表人身份证件</w:t>
                      </w:r>
                    </w:p>
                    <w:p>
                      <w:pPr>
                        <w:widowControl/>
                        <w:spacing w:line="400" w:lineRule="exact"/>
                        <w:jc w:val="center"/>
                        <w:rPr>
                          <w:rFonts w:ascii="仿宋" w:hAnsi="仿宋" w:eastAsia="仿宋"/>
                          <w:b/>
                          <w:bCs/>
                          <w:sz w:val="24"/>
                        </w:rPr>
                      </w:pPr>
                      <w:r>
                        <w:rPr>
                          <w:rFonts w:hint="eastAsia" w:ascii="仿宋" w:hAnsi="仿宋" w:eastAsia="仿宋"/>
                          <w:b/>
                          <w:bCs/>
                          <w:sz w:val="24"/>
                        </w:rPr>
                        <w:t>（反面复印件）</w:t>
                      </w:r>
                    </w:p>
                    <w:p>
                      <w:pPr>
                        <w:jc w:val="center"/>
                      </w:pPr>
                    </w:p>
                    <w:p>
                      <w:pPr>
                        <w:jc w:val="center"/>
                      </w:pPr>
                    </w:p>
                    <w:p/>
                  </w:txbxContent>
                </v:textbox>
              </v:rect>
            </w:pict>
          </mc:Fallback>
        </mc:AlternateContent>
      </w: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单位名称（公章）：</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法定代表人（签字、盖章）：</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法人授权代表（签字）：</w:t>
      </w:r>
    </w:p>
    <w:p>
      <w:pPr>
        <w:spacing w:line="360" w:lineRule="auto"/>
        <w:ind w:firstLine="402"/>
        <w:rPr>
          <w:rFonts w:hint="eastAsia" w:ascii="仿宋" w:hAnsi="仿宋" w:eastAsia="仿宋" w:cs="仿宋"/>
          <w:color w:val="auto"/>
          <w:sz w:val="24"/>
          <w:highlight w:val="none"/>
        </w:rPr>
      </w:pPr>
      <w:r>
        <w:rPr>
          <w:rFonts w:hint="eastAsia" w:ascii="仿宋" w:hAnsi="仿宋" w:eastAsia="仿宋" w:cs="仿宋"/>
          <w:color w:val="auto"/>
          <w:sz w:val="24"/>
          <w:highlight w:val="none"/>
        </w:rPr>
        <w:t>授权日期：年月日</w:t>
      </w:r>
    </w:p>
    <w:p>
      <w:pPr>
        <w:pStyle w:val="59"/>
        <w:spacing w:after="120"/>
        <w:ind w:firstLine="0" w:firstLineChars="0"/>
        <w:rPr>
          <w:rFonts w:hint="eastAsia" w:ascii="仿宋" w:hAnsi="仿宋" w:eastAsia="仿宋" w:cs="仿宋"/>
          <w:color w:val="auto"/>
          <w:highlight w:val="none"/>
        </w:rPr>
      </w:pPr>
    </w:p>
    <w:p>
      <w:pPr>
        <w:snapToGrid w:val="0"/>
        <w:spacing w:line="360" w:lineRule="auto"/>
        <w:rPr>
          <w:rFonts w:hint="eastAsia" w:ascii="仿宋" w:hAnsi="仿宋" w:eastAsia="仿宋" w:cs="仿宋"/>
          <w:b/>
          <w:color w:val="auto"/>
          <w:sz w:val="24"/>
          <w:highlight w:val="none"/>
        </w:rPr>
        <w:sectPr>
          <w:pgSz w:w="11906" w:h="16838"/>
          <w:pgMar w:top="1440" w:right="1797" w:bottom="1440" w:left="1797" w:header="851" w:footer="992" w:gutter="0"/>
          <w:cols w:space="720" w:num="1"/>
          <w:docGrid w:linePitch="312" w:charSpace="0"/>
        </w:sectPr>
      </w:pPr>
    </w:p>
    <w:p>
      <w:pPr>
        <w:ind w:right="2" w:firstLine="174" w:firstLineChars="62"/>
        <w:jc w:val="center"/>
        <w:rPr>
          <w:rFonts w:hint="eastAsia" w:ascii="仿宋" w:hAnsi="仿宋" w:eastAsia="仿宋" w:cs="仿宋"/>
          <w:b/>
          <w:color w:val="auto"/>
          <w:sz w:val="28"/>
          <w:highlight w:val="none"/>
          <w:lang w:val="en-US" w:eastAsia="zh-CN"/>
        </w:rPr>
        <w:sectPr>
          <w:pgSz w:w="11906" w:h="16838"/>
          <w:pgMar w:top="1440" w:right="1797" w:bottom="1440" w:left="1797" w:header="851" w:footer="992" w:gutter="0"/>
          <w:cols w:space="720" w:num="1"/>
          <w:docGrid w:linePitch="312" w:charSpace="0"/>
        </w:sectPr>
      </w:pPr>
      <w:r>
        <w:rPr>
          <w:rFonts w:hint="eastAsia" w:ascii="仿宋" w:hAnsi="仿宋" w:eastAsia="仿宋" w:cs="仿宋"/>
          <w:b/>
          <w:color w:val="auto"/>
          <w:sz w:val="28"/>
          <w:highlight w:val="none"/>
          <w:lang w:val="en-US" w:eastAsia="zh-CN"/>
        </w:rPr>
        <w:t>参加政府采购活动前3年内在经营活动中没有重大违法记录的书面声明（格式自拟）</w:t>
      </w:r>
    </w:p>
    <w:p>
      <w:pPr>
        <w:pStyle w:val="2"/>
        <w:ind w:left="0" w:leftChars="0" w:firstLine="0" w:firstLineChars="0"/>
        <w:rPr>
          <w:rFonts w:hint="eastAsia" w:ascii="仿宋" w:hAnsi="仿宋" w:eastAsia="仿宋" w:cs="仿宋"/>
          <w:b/>
          <w:color w:val="auto"/>
          <w:sz w:val="28"/>
          <w:highlight w:val="none"/>
          <w:lang w:val="en-US" w:eastAsia="zh-CN"/>
        </w:rPr>
      </w:pPr>
      <w:r>
        <w:rPr>
          <w:rFonts w:hint="eastAsia" w:ascii="仿宋" w:hAnsi="仿宋" w:eastAsia="仿宋" w:cs="仿宋"/>
          <w:b/>
          <w:color w:val="auto"/>
          <w:kern w:val="2"/>
          <w:sz w:val="28"/>
          <w:szCs w:val="24"/>
          <w:highlight w:val="none"/>
          <w:lang w:val="en-US" w:eastAsia="zh-CN" w:bidi="ar-SA"/>
        </w:rPr>
        <w:t>无行贿犯罪记录承诺</w:t>
      </w:r>
      <w:r>
        <w:rPr>
          <w:rFonts w:hint="eastAsia" w:ascii="仿宋" w:hAnsi="仿宋" w:eastAsia="仿宋" w:cs="仿宋"/>
          <w:b/>
          <w:color w:val="auto"/>
          <w:sz w:val="28"/>
          <w:highlight w:val="none"/>
          <w:lang w:val="en-US" w:eastAsia="zh-CN"/>
        </w:rPr>
        <w:t>（格式自拟）</w:t>
      </w:r>
    </w:p>
    <w:p>
      <w:pPr>
        <w:pStyle w:val="2"/>
        <w:ind w:left="0" w:leftChars="0" w:firstLine="0" w:firstLineChars="0"/>
        <w:rPr>
          <w:rFonts w:hint="eastAsia" w:ascii="仿宋" w:hAnsi="仿宋" w:eastAsia="仿宋" w:cs="仿宋"/>
          <w:b/>
          <w:color w:val="auto"/>
          <w:kern w:val="2"/>
          <w:sz w:val="28"/>
          <w:szCs w:val="24"/>
          <w:highlight w:val="none"/>
          <w:lang w:val="en-US" w:eastAsia="zh-CN" w:bidi="ar-SA"/>
        </w:rPr>
        <w:sectPr>
          <w:pgSz w:w="11906" w:h="16838"/>
          <w:pgMar w:top="1440" w:right="1797" w:bottom="1440" w:left="1797" w:header="851" w:footer="992" w:gutter="0"/>
          <w:cols w:space="720" w:num="1"/>
          <w:docGrid w:linePitch="312" w:charSpace="0"/>
        </w:sectPr>
      </w:pPr>
      <w:r>
        <w:rPr>
          <w:rFonts w:hint="eastAsia" w:ascii="仿宋" w:hAnsi="仿宋" w:eastAsia="仿宋" w:cs="仿宋"/>
          <w:b/>
          <w:color w:val="auto"/>
          <w:sz w:val="28"/>
          <w:highlight w:val="none"/>
          <w:lang w:val="en-US" w:eastAsia="zh-CN"/>
        </w:rPr>
        <w:t>注：</w:t>
      </w:r>
      <w:r>
        <w:rPr>
          <w:rFonts w:hint="eastAsia" w:ascii="仿宋" w:hAnsi="仿宋" w:eastAsia="仿宋" w:cs="仿宋"/>
          <w:b/>
          <w:color w:val="auto"/>
          <w:kern w:val="2"/>
          <w:sz w:val="28"/>
          <w:szCs w:val="24"/>
          <w:highlight w:val="none"/>
          <w:lang w:val="en-US" w:eastAsia="zh-CN" w:bidi="ar-SA"/>
        </w:rPr>
        <w:t>（附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系统网站截图）</w:t>
      </w: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附件四</w:t>
      </w:r>
    </w:p>
    <w:p>
      <w:pPr>
        <w:snapToGrid w:val="0"/>
        <w:spacing w:line="360" w:lineRule="auto"/>
        <w:jc w:val="center"/>
        <w:rPr>
          <w:rFonts w:hint="eastAsia" w:ascii="仿宋" w:hAnsi="仿宋" w:eastAsia="仿宋" w:cs="仿宋"/>
          <w:b/>
          <w:bCs/>
          <w:color w:val="auto"/>
          <w:sz w:val="36"/>
          <w:szCs w:val="36"/>
          <w:highlight w:val="none"/>
        </w:rPr>
      </w:pPr>
      <w:bookmarkStart w:id="190" w:name="_Toc21555_WPSOffice_Level2"/>
      <w:r>
        <w:rPr>
          <w:rFonts w:hint="eastAsia" w:ascii="仿宋" w:hAnsi="仿宋" w:eastAsia="仿宋" w:cs="仿宋"/>
          <w:b/>
          <w:color w:val="auto"/>
          <w:sz w:val="36"/>
          <w:szCs w:val="36"/>
          <w:highlight w:val="none"/>
        </w:rPr>
        <w:t>报 价 一 览 表</w:t>
      </w:r>
      <w:bookmarkEnd w:id="190"/>
    </w:p>
    <w:tbl>
      <w:tblPr>
        <w:tblStyle w:val="29"/>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4503"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4783" w:type="dxa"/>
            <w:noWrap w:val="0"/>
            <w:vAlign w:val="center"/>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4503"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4783" w:type="dxa"/>
            <w:noWrap w:val="0"/>
            <w:vAlign w:val="center"/>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8" w:hRule="atLeast"/>
        </w:trPr>
        <w:tc>
          <w:tcPr>
            <w:tcW w:w="4503"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投标总报价</w:t>
            </w:r>
          </w:p>
        </w:tc>
        <w:tc>
          <w:tcPr>
            <w:tcW w:w="4783" w:type="dxa"/>
            <w:noWrap w:val="0"/>
            <w:vAlign w:val="center"/>
          </w:tcPr>
          <w:p>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 xml:space="preserve">                                               </w:t>
            </w:r>
          </w:p>
          <w:p>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人民币（大写）：</w:t>
            </w:r>
            <w:r>
              <w:rPr>
                <w:rFonts w:hint="eastAsia" w:ascii="仿宋" w:hAnsi="仿宋" w:eastAsia="仿宋" w:cs="仿宋"/>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trPr>
        <w:tc>
          <w:tcPr>
            <w:tcW w:w="4503"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4783" w:type="dxa"/>
            <w:noWrap w:val="0"/>
            <w:vAlign w:val="center"/>
          </w:tcPr>
          <w:p>
            <w:pPr>
              <w:snapToGrid w:val="0"/>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r>
    </w:tbl>
    <w:p>
      <w:pPr>
        <w:snapToGrid w:val="0"/>
        <w:spacing w:line="360" w:lineRule="auto"/>
        <w:ind w:right="105" w:rightChars="50"/>
        <w:rPr>
          <w:rFonts w:hint="eastAsia" w:ascii="仿宋" w:hAnsi="仿宋" w:eastAsia="仿宋" w:cs="仿宋"/>
          <w:color w:val="auto"/>
          <w:sz w:val="24"/>
          <w:highlight w:val="none"/>
        </w:rPr>
      </w:pPr>
    </w:p>
    <w:p>
      <w:pPr>
        <w:pStyle w:val="59"/>
        <w:spacing w:after="120"/>
        <w:rPr>
          <w:rFonts w:hint="eastAsia" w:ascii="仿宋" w:hAnsi="仿宋" w:eastAsia="仿宋" w:cs="仿宋"/>
          <w:color w:val="auto"/>
          <w:highlight w:val="none"/>
        </w:rPr>
      </w:pPr>
    </w:p>
    <w:p>
      <w:pPr>
        <w:snapToGrid w:val="0"/>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单位名称（公章）：</w:t>
      </w:r>
    </w:p>
    <w:p>
      <w:pPr>
        <w:snapToGrid w:val="0"/>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法定代表人（签字、盖章）：</w:t>
      </w:r>
    </w:p>
    <w:p>
      <w:pPr>
        <w:snapToGrid w:val="0"/>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法人授权代表（签字）：</w:t>
      </w:r>
      <w:r>
        <w:rPr>
          <w:rFonts w:hint="eastAsia" w:ascii="仿宋" w:hAnsi="仿宋" w:eastAsia="仿宋" w:cs="仿宋"/>
          <w:color w:val="auto"/>
          <w:sz w:val="24"/>
          <w:highlight w:val="none"/>
          <w:u w:val="single"/>
        </w:rPr>
        <w:t xml:space="preserve">          </w:t>
      </w:r>
    </w:p>
    <w:p>
      <w:pPr>
        <w:tabs>
          <w:tab w:val="left" w:pos="900"/>
        </w:tabs>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numPr>
          <w:ilvl w:val="0"/>
          <w:numId w:val="4"/>
        </w:numPr>
        <w:tabs>
          <w:tab w:val="left" w:pos="900"/>
          <w:tab w:val="clear" w:pos="312"/>
        </w:tabs>
        <w:adjustRightInd w:val="0"/>
        <w:snapToGrid w:val="0"/>
        <w:spacing w:line="360" w:lineRule="auto"/>
        <w:ind w:firstLine="480" w:firstLineChars="200"/>
        <w:jc w:val="left"/>
        <w:outlineLvl w:val="0"/>
        <w:rPr>
          <w:rFonts w:hint="eastAsia" w:ascii="仿宋" w:hAnsi="仿宋" w:eastAsia="仿宋" w:cs="仿宋"/>
          <w:color w:val="auto"/>
          <w:sz w:val="24"/>
          <w:highlight w:val="none"/>
        </w:rPr>
      </w:pPr>
      <w:bookmarkStart w:id="191" w:name="_Toc2526_WPSOffice_Level2"/>
      <w:r>
        <w:rPr>
          <w:rFonts w:hint="eastAsia" w:ascii="仿宋" w:hAnsi="仿宋" w:eastAsia="仿宋" w:cs="仿宋"/>
          <w:color w:val="auto"/>
          <w:sz w:val="24"/>
          <w:highlight w:val="none"/>
        </w:rPr>
        <w:t>此表一式两份，一份装在单独的“投标一览表”内密封，封口盖公章；另一份装订在投标文件中；</w:t>
      </w:r>
    </w:p>
    <w:p>
      <w:pPr>
        <w:numPr>
          <w:ilvl w:val="0"/>
          <w:numId w:val="0"/>
        </w:numPr>
        <w:tabs>
          <w:tab w:val="left" w:pos="900"/>
        </w:tabs>
        <w:adjustRightInd w:val="0"/>
        <w:snapToGrid w:val="0"/>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bookmarkEnd w:id="191"/>
      <w:r>
        <w:rPr>
          <w:rFonts w:hint="eastAsia" w:ascii="仿宋" w:hAnsi="仿宋" w:eastAsia="仿宋" w:cs="仿宋"/>
          <w:color w:val="auto"/>
          <w:sz w:val="24"/>
          <w:highlight w:val="none"/>
        </w:rPr>
        <w:t>对含糊不清或不确定的报价将视为无效报价</w:t>
      </w:r>
      <w:r>
        <w:rPr>
          <w:rFonts w:hint="eastAsia" w:ascii="仿宋" w:hAnsi="仿宋" w:eastAsia="仿宋" w:cs="仿宋"/>
          <w:color w:val="auto"/>
          <w:sz w:val="24"/>
          <w:highlight w:val="none"/>
          <w:lang w:eastAsia="zh-CN"/>
        </w:rPr>
        <w:t>。</w:t>
      </w:r>
    </w:p>
    <w:p>
      <w:pPr>
        <w:tabs>
          <w:tab w:val="left" w:pos="900"/>
        </w:tabs>
        <w:adjustRightInd w:val="0"/>
        <w:snapToGrid w:val="0"/>
        <w:spacing w:line="360" w:lineRule="auto"/>
        <w:jc w:val="left"/>
        <w:rPr>
          <w:rFonts w:hint="eastAsia" w:ascii="仿宋" w:hAnsi="仿宋" w:eastAsia="仿宋" w:cs="仿宋"/>
          <w:color w:val="auto"/>
          <w:sz w:val="24"/>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附件五</w:t>
      </w:r>
    </w:p>
    <w:p>
      <w:pPr>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明细报价表</w:t>
      </w:r>
    </w:p>
    <w:tbl>
      <w:tblPr>
        <w:tblStyle w:val="29"/>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0"/>
        <w:gridCol w:w="2813"/>
        <w:gridCol w:w="2693"/>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81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983" w:type="dxa"/>
            <w:gridSpan w:val="2"/>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服务内容明细</w:t>
            </w:r>
          </w:p>
        </w:tc>
        <w:tc>
          <w:tcPr>
            <w:tcW w:w="2693"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报价（元）</w:t>
            </w:r>
          </w:p>
        </w:tc>
        <w:tc>
          <w:tcPr>
            <w:tcW w:w="204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810" w:type="dxa"/>
            <w:noWrap w:val="0"/>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2983" w:type="dxa"/>
            <w:gridSpan w:val="2"/>
            <w:noWrap w:val="0"/>
            <w:vAlign w:val="center"/>
          </w:tcPr>
          <w:p>
            <w:pPr>
              <w:spacing w:line="360" w:lineRule="auto"/>
              <w:jc w:val="center"/>
              <w:rPr>
                <w:rFonts w:hint="eastAsia" w:ascii="仿宋" w:hAnsi="仿宋" w:eastAsia="仿宋" w:cs="仿宋"/>
                <w:color w:val="auto"/>
                <w:sz w:val="22"/>
                <w:szCs w:val="22"/>
                <w:highlight w:val="none"/>
              </w:rPr>
            </w:pPr>
          </w:p>
        </w:tc>
        <w:tc>
          <w:tcPr>
            <w:tcW w:w="2693" w:type="dxa"/>
            <w:noWrap w:val="0"/>
            <w:vAlign w:val="center"/>
          </w:tcPr>
          <w:p>
            <w:pPr>
              <w:spacing w:line="360" w:lineRule="auto"/>
              <w:jc w:val="center"/>
              <w:rPr>
                <w:rFonts w:hint="eastAsia" w:ascii="仿宋" w:hAnsi="仿宋" w:eastAsia="仿宋" w:cs="仿宋"/>
                <w:color w:val="auto"/>
                <w:sz w:val="22"/>
                <w:szCs w:val="22"/>
                <w:highlight w:val="none"/>
              </w:rPr>
            </w:pPr>
          </w:p>
        </w:tc>
        <w:tc>
          <w:tcPr>
            <w:tcW w:w="2040" w:type="dxa"/>
            <w:noWrap w:val="0"/>
            <w:vAlign w:val="center"/>
          </w:tcPr>
          <w:p>
            <w:pPr>
              <w:spacing w:line="360" w:lineRule="auto"/>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810" w:type="dxa"/>
            <w:noWrap w:val="0"/>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2983" w:type="dxa"/>
            <w:gridSpan w:val="2"/>
            <w:noWrap w:val="0"/>
            <w:vAlign w:val="center"/>
          </w:tcPr>
          <w:p>
            <w:pPr>
              <w:spacing w:line="360" w:lineRule="auto"/>
              <w:jc w:val="center"/>
              <w:rPr>
                <w:rFonts w:hint="eastAsia" w:ascii="仿宋" w:hAnsi="仿宋" w:eastAsia="仿宋" w:cs="仿宋"/>
                <w:color w:val="auto"/>
                <w:sz w:val="22"/>
                <w:szCs w:val="22"/>
                <w:highlight w:val="none"/>
              </w:rPr>
            </w:pPr>
          </w:p>
        </w:tc>
        <w:tc>
          <w:tcPr>
            <w:tcW w:w="2693" w:type="dxa"/>
            <w:noWrap w:val="0"/>
            <w:vAlign w:val="center"/>
          </w:tcPr>
          <w:p>
            <w:pPr>
              <w:spacing w:line="360" w:lineRule="auto"/>
              <w:jc w:val="center"/>
              <w:rPr>
                <w:rFonts w:hint="eastAsia" w:ascii="仿宋" w:hAnsi="仿宋" w:eastAsia="仿宋" w:cs="仿宋"/>
                <w:color w:val="auto"/>
                <w:sz w:val="22"/>
                <w:szCs w:val="22"/>
                <w:highlight w:val="none"/>
              </w:rPr>
            </w:pPr>
          </w:p>
        </w:tc>
        <w:tc>
          <w:tcPr>
            <w:tcW w:w="2040" w:type="dxa"/>
            <w:noWrap w:val="0"/>
            <w:vAlign w:val="center"/>
          </w:tcPr>
          <w:p>
            <w:pPr>
              <w:spacing w:line="360" w:lineRule="auto"/>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810" w:type="dxa"/>
            <w:noWrap w:val="0"/>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2983" w:type="dxa"/>
            <w:gridSpan w:val="2"/>
            <w:noWrap w:val="0"/>
            <w:vAlign w:val="center"/>
          </w:tcPr>
          <w:p>
            <w:pPr>
              <w:spacing w:line="360" w:lineRule="auto"/>
              <w:jc w:val="center"/>
              <w:rPr>
                <w:rFonts w:hint="eastAsia" w:ascii="仿宋" w:hAnsi="仿宋" w:eastAsia="仿宋" w:cs="仿宋"/>
                <w:color w:val="auto"/>
                <w:sz w:val="22"/>
                <w:szCs w:val="22"/>
                <w:highlight w:val="none"/>
              </w:rPr>
            </w:pPr>
          </w:p>
        </w:tc>
        <w:tc>
          <w:tcPr>
            <w:tcW w:w="2693" w:type="dxa"/>
            <w:noWrap w:val="0"/>
            <w:vAlign w:val="center"/>
          </w:tcPr>
          <w:p>
            <w:pPr>
              <w:spacing w:line="360" w:lineRule="auto"/>
              <w:jc w:val="center"/>
              <w:rPr>
                <w:rFonts w:hint="eastAsia" w:ascii="仿宋" w:hAnsi="仿宋" w:eastAsia="仿宋" w:cs="仿宋"/>
                <w:color w:val="auto"/>
                <w:sz w:val="22"/>
                <w:szCs w:val="22"/>
                <w:highlight w:val="none"/>
              </w:rPr>
            </w:pPr>
          </w:p>
        </w:tc>
        <w:tc>
          <w:tcPr>
            <w:tcW w:w="2040" w:type="dxa"/>
            <w:noWrap w:val="0"/>
            <w:vAlign w:val="center"/>
          </w:tcPr>
          <w:p>
            <w:pPr>
              <w:spacing w:line="360" w:lineRule="auto"/>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810" w:type="dxa"/>
            <w:noWrap w:val="0"/>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2983" w:type="dxa"/>
            <w:gridSpan w:val="2"/>
            <w:noWrap w:val="0"/>
            <w:vAlign w:val="center"/>
          </w:tcPr>
          <w:p>
            <w:pPr>
              <w:spacing w:line="360" w:lineRule="auto"/>
              <w:jc w:val="center"/>
              <w:rPr>
                <w:rFonts w:hint="eastAsia" w:ascii="仿宋" w:hAnsi="仿宋" w:eastAsia="仿宋" w:cs="仿宋"/>
                <w:color w:val="auto"/>
                <w:sz w:val="22"/>
                <w:szCs w:val="22"/>
                <w:highlight w:val="none"/>
              </w:rPr>
            </w:pPr>
          </w:p>
        </w:tc>
        <w:tc>
          <w:tcPr>
            <w:tcW w:w="2693" w:type="dxa"/>
            <w:noWrap w:val="0"/>
            <w:vAlign w:val="center"/>
          </w:tcPr>
          <w:p>
            <w:pPr>
              <w:spacing w:line="360" w:lineRule="auto"/>
              <w:jc w:val="center"/>
              <w:rPr>
                <w:rFonts w:hint="eastAsia" w:ascii="仿宋" w:hAnsi="仿宋" w:eastAsia="仿宋" w:cs="仿宋"/>
                <w:color w:val="auto"/>
                <w:sz w:val="22"/>
                <w:szCs w:val="22"/>
                <w:highlight w:val="none"/>
              </w:rPr>
            </w:pPr>
          </w:p>
        </w:tc>
        <w:tc>
          <w:tcPr>
            <w:tcW w:w="2040" w:type="dxa"/>
            <w:noWrap w:val="0"/>
            <w:vAlign w:val="center"/>
          </w:tcPr>
          <w:p>
            <w:pPr>
              <w:spacing w:line="360" w:lineRule="auto"/>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810" w:type="dxa"/>
            <w:noWrap w:val="0"/>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w:t>
            </w:r>
          </w:p>
        </w:tc>
        <w:tc>
          <w:tcPr>
            <w:tcW w:w="2983" w:type="dxa"/>
            <w:gridSpan w:val="2"/>
            <w:noWrap w:val="0"/>
            <w:vAlign w:val="center"/>
          </w:tcPr>
          <w:p>
            <w:pPr>
              <w:spacing w:line="360" w:lineRule="auto"/>
              <w:jc w:val="center"/>
              <w:rPr>
                <w:rFonts w:hint="eastAsia" w:ascii="仿宋" w:hAnsi="仿宋" w:eastAsia="仿宋" w:cs="仿宋"/>
                <w:color w:val="auto"/>
                <w:sz w:val="22"/>
                <w:szCs w:val="22"/>
                <w:highlight w:val="none"/>
              </w:rPr>
            </w:pPr>
          </w:p>
        </w:tc>
        <w:tc>
          <w:tcPr>
            <w:tcW w:w="2693" w:type="dxa"/>
            <w:noWrap w:val="0"/>
            <w:vAlign w:val="center"/>
          </w:tcPr>
          <w:p>
            <w:pPr>
              <w:spacing w:line="360" w:lineRule="auto"/>
              <w:jc w:val="center"/>
              <w:rPr>
                <w:rFonts w:hint="eastAsia" w:ascii="仿宋" w:hAnsi="仿宋" w:eastAsia="仿宋" w:cs="仿宋"/>
                <w:color w:val="auto"/>
                <w:sz w:val="22"/>
                <w:szCs w:val="22"/>
                <w:highlight w:val="none"/>
              </w:rPr>
            </w:pPr>
          </w:p>
        </w:tc>
        <w:tc>
          <w:tcPr>
            <w:tcW w:w="2040" w:type="dxa"/>
            <w:noWrap w:val="0"/>
            <w:vAlign w:val="center"/>
          </w:tcPr>
          <w:p>
            <w:pPr>
              <w:spacing w:line="360" w:lineRule="auto"/>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atLeast"/>
          <w:jc w:val="center"/>
        </w:trPr>
        <w:tc>
          <w:tcPr>
            <w:tcW w:w="980" w:type="dxa"/>
            <w:gridSpan w:val="2"/>
            <w:noWrap w:val="0"/>
            <w:vAlign w:val="center"/>
          </w:tcPr>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2"/>
                <w:szCs w:val="22"/>
                <w:highlight w:val="none"/>
              </w:rPr>
              <w:t>投标报价总计</w:t>
            </w:r>
          </w:p>
        </w:tc>
        <w:tc>
          <w:tcPr>
            <w:tcW w:w="5506" w:type="dxa"/>
            <w:gridSpan w:val="2"/>
            <w:noWrap w:val="0"/>
            <w:vAlign w:val="center"/>
          </w:tcPr>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u w:val="single"/>
              </w:rPr>
              <w:t xml:space="preserve">                          </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人民币（大写）：</w:t>
            </w:r>
            <w:r>
              <w:rPr>
                <w:rFonts w:hint="eastAsia" w:ascii="仿宋" w:hAnsi="仿宋" w:eastAsia="仿宋" w:cs="仿宋"/>
                <w:b/>
                <w:bCs/>
                <w:color w:val="auto"/>
                <w:sz w:val="24"/>
                <w:highlight w:val="none"/>
                <w:u w:val="single"/>
              </w:rPr>
              <w:t xml:space="preserve">                          </w:t>
            </w:r>
          </w:p>
        </w:tc>
        <w:tc>
          <w:tcPr>
            <w:tcW w:w="2040" w:type="dxa"/>
            <w:noWrap w:val="0"/>
            <w:vAlign w:val="center"/>
          </w:tcPr>
          <w:p>
            <w:pPr>
              <w:spacing w:line="360" w:lineRule="auto"/>
              <w:rPr>
                <w:rFonts w:hint="eastAsia" w:ascii="仿宋" w:hAnsi="仿宋" w:eastAsia="仿宋" w:cs="仿宋"/>
                <w:b/>
                <w:bCs/>
                <w:color w:val="auto"/>
                <w:sz w:val="24"/>
                <w:highlight w:val="none"/>
              </w:rPr>
            </w:pPr>
          </w:p>
        </w:tc>
      </w:tr>
    </w:tbl>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注：供应商应根据提供得服务内容进行填报，表中表格行数可自行添加。</w:t>
      </w:r>
      <w:r>
        <w:rPr>
          <w:rFonts w:hint="eastAsia" w:ascii="仿宋" w:hAnsi="仿宋" w:eastAsia="仿宋" w:cs="仿宋"/>
          <w:iCs/>
          <w:color w:val="auto"/>
          <w:sz w:val="24"/>
          <w:highlight w:val="none"/>
        </w:rPr>
        <w:t>招标文件中未列出的相关辅助材料和在实施过程中涉及到的其它一切费用应在报价时一并考虑，项目实施过程中不再单独结算。</w:t>
      </w:r>
      <w:r>
        <w:rPr>
          <w:rFonts w:hint="eastAsia" w:ascii="仿宋" w:hAnsi="仿宋" w:eastAsia="仿宋" w:cs="仿宋"/>
          <w:b/>
          <w:color w:val="auto"/>
          <w:sz w:val="24"/>
          <w:highlight w:val="none"/>
          <w:u w:val="single"/>
        </w:rPr>
        <w:t>表中投标报价总计应与对应报价一览表中投标总价一致。</w:t>
      </w:r>
    </w:p>
    <w:p>
      <w:pPr>
        <w:pStyle w:val="59"/>
        <w:spacing w:after="120"/>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单位名称（公章）：</w:t>
      </w:r>
    </w:p>
    <w:p>
      <w:pPr>
        <w:pStyle w:val="59"/>
        <w:spacing w:after="120"/>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法定代表人（签字、盖章）：</w:t>
      </w:r>
    </w:p>
    <w:p>
      <w:pPr>
        <w:pStyle w:val="59"/>
        <w:spacing w:after="120"/>
        <w:ind w:firstLine="560"/>
        <w:rPr>
          <w:rFonts w:hint="eastAsia" w:ascii="仿宋" w:hAnsi="仿宋" w:eastAsia="仿宋" w:cs="仿宋"/>
          <w:color w:val="auto"/>
          <w:highlight w:val="none"/>
        </w:rPr>
      </w:pPr>
      <w:r>
        <w:rPr>
          <w:rFonts w:hint="eastAsia" w:ascii="仿宋" w:hAnsi="仿宋" w:eastAsia="仿宋" w:cs="仿宋"/>
          <w:color w:val="auto"/>
          <w:sz w:val="28"/>
          <w:szCs w:val="28"/>
          <w:highlight w:val="none"/>
        </w:rPr>
        <w:t>法人授权代表（签字）：</w:t>
      </w:r>
      <w:r>
        <w:rPr>
          <w:rFonts w:hint="eastAsia" w:ascii="仿宋" w:hAnsi="仿宋" w:eastAsia="仿宋" w:cs="仿宋"/>
          <w:color w:val="auto"/>
          <w:highlight w:val="none"/>
        </w:rPr>
        <w:br w:type="textWrapping"/>
      </w:r>
    </w:p>
    <w:p>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附件六</w:t>
      </w:r>
    </w:p>
    <w:p>
      <w:pPr>
        <w:spacing w:line="360" w:lineRule="auto"/>
        <w:jc w:val="center"/>
        <w:rPr>
          <w:rFonts w:hint="eastAsia" w:ascii="仿宋" w:hAnsi="仿宋" w:eastAsia="仿宋" w:cs="仿宋"/>
          <w:b/>
          <w:bCs/>
          <w:color w:val="auto"/>
          <w:sz w:val="24"/>
          <w:highlight w:val="none"/>
        </w:rPr>
      </w:pPr>
      <w:bookmarkStart w:id="192" w:name="_Toc26624_WPSOffice_Level2"/>
      <w:r>
        <w:rPr>
          <w:rFonts w:hint="eastAsia" w:ascii="仿宋" w:hAnsi="仿宋" w:eastAsia="仿宋" w:cs="仿宋"/>
          <w:b/>
          <w:bCs/>
          <w:color w:val="auto"/>
          <w:sz w:val="24"/>
          <w:highlight w:val="none"/>
        </w:rPr>
        <w:t>反商业贿赂承诺书</w:t>
      </w:r>
      <w:bookmarkEnd w:id="192"/>
    </w:p>
    <w:p>
      <w:pPr>
        <w:spacing w:line="360" w:lineRule="auto"/>
        <w:jc w:val="center"/>
        <w:rPr>
          <w:rFonts w:hint="eastAsia" w:ascii="仿宋" w:hAnsi="仿宋" w:eastAsia="仿宋" w:cs="仿宋"/>
          <w:b/>
          <w:bCs/>
          <w:color w:val="auto"/>
          <w:sz w:val="24"/>
          <w:highlight w:val="none"/>
        </w:rPr>
      </w:pPr>
    </w:p>
    <w:p>
      <w:pPr>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我公司承诺在（项目名称）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spacing w:line="360" w:lineRule="auto"/>
        <w:rPr>
          <w:rFonts w:hint="eastAsia" w:ascii="仿宋" w:hAnsi="仿宋" w:eastAsia="仿宋" w:cs="仿宋"/>
          <w:color w:val="auto"/>
          <w:highlight w:val="none"/>
        </w:rPr>
      </w:pPr>
    </w:p>
    <w:p>
      <w:pPr>
        <w:pStyle w:val="59"/>
        <w:spacing w:after="120"/>
        <w:jc w:val="left"/>
        <w:rPr>
          <w:rFonts w:hint="eastAsia" w:ascii="仿宋" w:hAnsi="仿宋" w:eastAsia="仿宋" w:cs="仿宋"/>
          <w:color w:val="auto"/>
          <w:highlight w:val="none"/>
        </w:rPr>
      </w:pP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单位名称（公章）：</w:t>
      </w:r>
    </w:p>
    <w:p>
      <w:pPr>
        <w:pStyle w:val="59"/>
        <w:spacing w:after="120"/>
        <w:jc w:val="left"/>
        <w:rPr>
          <w:rFonts w:hint="eastAsia" w:ascii="仿宋" w:hAnsi="仿宋" w:eastAsia="仿宋" w:cs="仿宋"/>
          <w:color w:val="auto"/>
          <w:highlight w:val="none"/>
        </w:rPr>
      </w:pP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法定代表人（签字、盖章）：</w:t>
      </w:r>
    </w:p>
    <w:p>
      <w:pPr>
        <w:pStyle w:val="59"/>
        <w:spacing w:after="120"/>
        <w:jc w:val="left"/>
        <w:rPr>
          <w:rFonts w:hint="eastAsia" w:ascii="仿宋" w:hAnsi="仿宋" w:eastAsia="仿宋" w:cs="仿宋"/>
          <w:color w:val="auto"/>
          <w:highlight w:val="none"/>
        </w:rPr>
      </w:pPr>
    </w:p>
    <w:p>
      <w:pPr>
        <w:spacing w:line="360" w:lineRule="auto"/>
        <w:jc w:val="left"/>
        <w:rPr>
          <w:rFonts w:hint="eastAsia" w:ascii="仿宋" w:hAnsi="仿宋" w:eastAsia="仿宋" w:cs="仿宋"/>
          <w:color w:val="auto"/>
          <w:sz w:val="24"/>
          <w:highlight w:val="none"/>
        </w:rPr>
        <w:sectPr>
          <w:pgSz w:w="11906" w:h="16838"/>
          <w:pgMar w:top="1440" w:right="1797" w:bottom="1440" w:left="1797" w:header="851" w:footer="992" w:gutter="0"/>
          <w:cols w:space="720" w:num="1"/>
          <w:docGrid w:linePitch="312" w:charSpace="0"/>
        </w:sectPr>
      </w:pPr>
      <w:r>
        <w:rPr>
          <w:rFonts w:hint="eastAsia" w:ascii="仿宋" w:hAnsi="仿宋" w:eastAsia="仿宋" w:cs="仿宋"/>
          <w:color w:val="auto"/>
          <w:sz w:val="24"/>
          <w:highlight w:val="none"/>
        </w:rPr>
        <w:t>法人授权代表（签字）：</w:t>
      </w:r>
    </w:p>
    <w:p>
      <w:pPr>
        <w:pStyle w:val="2"/>
        <w:ind w:left="0" w:leftChars="0"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公司简介（格式自拟）</w:t>
      </w:r>
    </w:p>
    <w:p>
      <w:pPr>
        <w:pStyle w:val="2"/>
        <w:ind w:left="0" w:leftChars="0" w:firstLine="0" w:firstLineChars="0"/>
        <w:jc w:val="center"/>
        <w:rPr>
          <w:rFonts w:hint="eastAsia" w:ascii="仿宋" w:hAnsi="仿宋" w:eastAsia="仿宋" w:cs="仿宋"/>
          <w:b/>
          <w:bCs/>
          <w:color w:val="auto"/>
          <w:kern w:val="2"/>
          <w:sz w:val="24"/>
          <w:szCs w:val="24"/>
          <w:highlight w:val="none"/>
          <w:lang w:val="en-US" w:eastAsia="zh-CN" w:bidi="ar-SA"/>
        </w:rPr>
        <w:sectPr>
          <w:pgSz w:w="11906" w:h="16838"/>
          <w:pgMar w:top="1440" w:right="1797" w:bottom="1440" w:left="1797" w:header="851" w:footer="992" w:gutter="0"/>
          <w:cols w:space="720" w:num="1"/>
          <w:docGrid w:linePitch="312" w:charSpace="0"/>
        </w:sectPr>
      </w:pPr>
      <w:r>
        <w:rPr>
          <w:rFonts w:hint="eastAsia" w:ascii="仿宋" w:hAnsi="仿宋" w:eastAsia="仿宋" w:cs="仿宋"/>
          <w:b/>
          <w:bCs/>
          <w:color w:val="auto"/>
          <w:kern w:val="2"/>
          <w:sz w:val="24"/>
          <w:szCs w:val="24"/>
          <w:highlight w:val="none"/>
          <w:lang w:val="en-US" w:eastAsia="zh-CN" w:bidi="ar-SA"/>
        </w:rPr>
        <w:t>（后附营业执照、开户许可证或一般纳税人认定表等）</w:t>
      </w: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附件七</w:t>
      </w:r>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投标人资格审查承诺书</w:t>
      </w:r>
    </w:p>
    <w:tbl>
      <w:tblPr>
        <w:tblStyle w:val="2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949"/>
        <w:gridCol w:w="9"/>
        <w:gridCol w:w="2039"/>
        <w:gridCol w:w="21"/>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2700"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p>
        </w:tc>
        <w:tc>
          <w:tcPr>
            <w:tcW w:w="1958" w:type="dxa"/>
            <w:gridSpan w:val="2"/>
            <w:noWrap w:val="0"/>
            <w:vAlign w:val="center"/>
          </w:tcPr>
          <w:p>
            <w:pPr>
              <w:snapToGrid w:val="0"/>
              <w:jc w:val="center"/>
              <w:rPr>
                <w:rFonts w:hint="eastAsia" w:ascii="仿宋" w:hAnsi="仿宋" w:eastAsia="仿宋" w:cs="仿宋"/>
                <w:color w:val="auto"/>
                <w:sz w:val="24"/>
                <w:highlight w:val="none"/>
              </w:rPr>
            </w:pPr>
          </w:p>
        </w:tc>
        <w:tc>
          <w:tcPr>
            <w:tcW w:w="2039"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企业营业执照是否合格有效</w:t>
            </w:r>
          </w:p>
        </w:tc>
        <w:tc>
          <w:tcPr>
            <w:tcW w:w="2603" w:type="dxa"/>
            <w:gridSpan w:val="2"/>
            <w:noWrap w:val="0"/>
            <w:vAlign w:val="center"/>
          </w:tcPr>
          <w:p>
            <w:pPr>
              <w:snapToGrid w:val="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700"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统一社会信用代码证（或营业执照注册号）</w:t>
            </w:r>
          </w:p>
        </w:tc>
        <w:tc>
          <w:tcPr>
            <w:tcW w:w="6600" w:type="dxa"/>
            <w:gridSpan w:val="5"/>
            <w:noWrap w:val="0"/>
            <w:vAlign w:val="center"/>
          </w:tcPr>
          <w:p>
            <w:pPr>
              <w:snapToGrid w:val="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700"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6600" w:type="dxa"/>
            <w:gridSpan w:val="5"/>
            <w:noWrap w:val="0"/>
            <w:vAlign w:val="center"/>
          </w:tcPr>
          <w:p>
            <w:pPr>
              <w:snapToGrid w:val="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2700"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注册时间</w:t>
            </w:r>
          </w:p>
        </w:tc>
        <w:tc>
          <w:tcPr>
            <w:tcW w:w="1949" w:type="dxa"/>
            <w:noWrap w:val="0"/>
            <w:vAlign w:val="center"/>
          </w:tcPr>
          <w:p>
            <w:pPr>
              <w:snapToGrid w:val="0"/>
              <w:jc w:val="center"/>
              <w:rPr>
                <w:rFonts w:hint="eastAsia" w:ascii="仿宋" w:hAnsi="仿宋" w:eastAsia="仿宋" w:cs="仿宋"/>
                <w:color w:val="auto"/>
                <w:sz w:val="24"/>
                <w:highlight w:val="none"/>
              </w:rPr>
            </w:pPr>
          </w:p>
        </w:tc>
        <w:tc>
          <w:tcPr>
            <w:tcW w:w="2069" w:type="dxa"/>
            <w:gridSpan w:val="3"/>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582" w:type="dxa"/>
            <w:noWrap w:val="0"/>
            <w:vAlign w:val="top"/>
          </w:tcPr>
          <w:p>
            <w:pPr>
              <w:snapToGrid w:val="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2700"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近三年内经营活动中有无重大违法记录</w:t>
            </w:r>
          </w:p>
        </w:tc>
        <w:tc>
          <w:tcPr>
            <w:tcW w:w="1949" w:type="dxa"/>
            <w:noWrap w:val="0"/>
            <w:vAlign w:val="center"/>
          </w:tcPr>
          <w:p>
            <w:pPr>
              <w:snapToGrid w:val="0"/>
              <w:jc w:val="center"/>
              <w:rPr>
                <w:rFonts w:hint="eastAsia" w:ascii="仿宋" w:hAnsi="仿宋" w:eastAsia="仿宋" w:cs="仿宋"/>
                <w:color w:val="auto"/>
                <w:sz w:val="24"/>
                <w:highlight w:val="none"/>
              </w:rPr>
            </w:pPr>
          </w:p>
        </w:tc>
        <w:tc>
          <w:tcPr>
            <w:tcW w:w="2069" w:type="dxa"/>
            <w:gridSpan w:val="3"/>
            <w:noWrap w:val="0"/>
            <w:vAlign w:val="top"/>
          </w:tcPr>
          <w:p>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是否具备履行合同所必需的设备和专业技术能力</w:t>
            </w:r>
          </w:p>
        </w:tc>
        <w:tc>
          <w:tcPr>
            <w:tcW w:w="2582" w:type="dxa"/>
            <w:noWrap w:val="0"/>
            <w:vAlign w:val="top"/>
          </w:tcPr>
          <w:p>
            <w:pPr>
              <w:snapToGrid w:val="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2700" w:type="dxa"/>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是否依法缴纳税收</w:t>
            </w:r>
          </w:p>
        </w:tc>
        <w:tc>
          <w:tcPr>
            <w:tcW w:w="1949" w:type="dxa"/>
            <w:noWrap w:val="0"/>
            <w:vAlign w:val="center"/>
          </w:tcPr>
          <w:p>
            <w:pPr>
              <w:snapToGrid w:val="0"/>
              <w:jc w:val="center"/>
              <w:rPr>
                <w:rFonts w:hint="eastAsia" w:ascii="仿宋" w:hAnsi="仿宋" w:eastAsia="仿宋" w:cs="仿宋"/>
                <w:color w:val="auto"/>
                <w:sz w:val="24"/>
                <w:highlight w:val="none"/>
              </w:rPr>
            </w:pPr>
          </w:p>
        </w:tc>
        <w:tc>
          <w:tcPr>
            <w:tcW w:w="2069" w:type="dxa"/>
            <w:gridSpan w:val="3"/>
            <w:noWrap w:val="0"/>
            <w:vAlign w:val="center"/>
          </w:tcPr>
          <w:p>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是否依法缴纳社会保障资金</w:t>
            </w:r>
          </w:p>
        </w:tc>
        <w:tc>
          <w:tcPr>
            <w:tcW w:w="2582" w:type="dxa"/>
            <w:noWrap w:val="0"/>
            <w:vAlign w:val="center"/>
          </w:tcPr>
          <w:p>
            <w:pPr>
              <w:snapToGrid w:val="0"/>
              <w:rPr>
                <w:rFonts w:hint="eastAsia" w:ascii="仿宋" w:hAnsi="仿宋" w:eastAsia="仿宋" w:cs="仿宋"/>
                <w:color w:val="auto"/>
                <w:sz w:val="24"/>
                <w:highlight w:val="none"/>
              </w:rPr>
            </w:pPr>
          </w:p>
        </w:tc>
      </w:tr>
    </w:tbl>
    <w:p>
      <w:pPr>
        <w:snapToGrid w:val="0"/>
        <w:spacing w:line="360" w:lineRule="auto"/>
        <w:ind w:firstLine="280"/>
        <w:rPr>
          <w:rFonts w:hint="eastAsia" w:ascii="仿宋" w:hAnsi="仿宋" w:eastAsia="仿宋" w:cs="仿宋"/>
          <w:color w:val="auto"/>
          <w:sz w:val="24"/>
          <w:highlight w:val="none"/>
        </w:rPr>
      </w:pPr>
    </w:p>
    <w:p>
      <w:pPr>
        <w:snapToGrid w:val="0"/>
        <w:spacing w:line="360" w:lineRule="auto"/>
        <w:ind w:firstLine="280"/>
        <w:rPr>
          <w:rFonts w:hint="eastAsia" w:ascii="仿宋" w:hAnsi="仿宋" w:eastAsia="仿宋" w:cs="仿宋"/>
          <w:b/>
          <w:color w:val="auto"/>
          <w:sz w:val="24"/>
          <w:highlight w:val="none"/>
        </w:rPr>
      </w:pPr>
      <w:r>
        <w:rPr>
          <w:rFonts w:hint="eastAsia" w:ascii="仿宋" w:hAnsi="仿宋" w:eastAsia="仿宋" w:cs="仿宋"/>
          <w:color w:val="auto"/>
          <w:sz w:val="24"/>
          <w:highlight w:val="none"/>
        </w:rPr>
        <w:t>我们保证上述声明中的资料和数据是真实的、正确的，我们同意如贵方要求，可以出示相关证明文件。如存在虚假情况，贵单位有权取消我公司的中标及中标候选资格，我单位无异议。</w:t>
      </w:r>
    </w:p>
    <w:p>
      <w:pPr>
        <w:snapToGrid w:val="0"/>
        <w:spacing w:line="360" w:lineRule="auto"/>
        <w:ind w:firstLine="280"/>
        <w:rPr>
          <w:rFonts w:hint="eastAsia" w:ascii="仿宋" w:hAnsi="仿宋" w:eastAsia="仿宋" w:cs="仿宋"/>
          <w:b/>
          <w:color w:val="auto"/>
          <w:sz w:val="24"/>
          <w:highlight w:val="none"/>
        </w:rPr>
      </w:pPr>
    </w:p>
    <w:p>
      <w:pPr>
        <w:pStyle w:val="59"/>
        <w:spacing w:after="1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单位名称（公章）：</w:t>
      </w:r>
    </w:p>
    <w:p>
      <w:pPr>
        <w:pStyle w:val="59"/>
        <w:spacing w:after="120"/>
        <w:rPr>
          <w:rFonts w:hint="eastAsia" w:ascii="仿宋" w:hAnsi="仿宋" w:eastAsia="仿宋" w:cs="仿宋"/>
          <w:color w:val="auto"/>
          <w:szCs w:val="24"/>
          <w:highlight w:val="none"/>
        </w:rPr>
      </w:pPr>
    </w:p>
    <w:p>
      <w:pPr>
        <w:pStyle w:val="59"/>
        <w:spacing w:after="1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法定代表人（签字、盖章）：</w:t>
      </w:r>
    </w:p>
    <w:p>
      <w:pPr>
        <w:pStyle w:val="59"/>
        <w:spacing w:after="120"/>
        <w:rPr>
          <w:rFonts w:hint="eastAsia" w:ascii="仿宋" w:hAnsi="仿宋" w:eastAsia="仿宋" w:cs="仿宋"/>
          <w:color w:val="auto"/>
          <w:szCs w:val="24"/>
          <w:highlight w:val="none"/>
        </w:rPr>
      </w:pPr>
    </w:p>
    <w:p>
      <w:pPr>
        <w:pStyle w:val="59"/>
        <w:spacing w:after="120"/>
        <w:rPr>
          <w:rFonts w:hint="eastAsia" w:ascii="仿宋" w:hAnsi="仿宋" w:eastAsia="仿宋" w:cs="仿宋"/>
          <w:color w:val="auto"/>
          <w:szCs w:val="24"/>
          <w:highlight w:val="none"/>
        </w:rPr>
        <w:sectPr>
          <w:pgSz w:w="11906" w:h="16838"/>
          <w:pgMar w:top="1440" w:right="1797" w:bottom="1440" w:left="1797" w:header="851" w:footer="992" w:gutter="0"/>
          <w:cols w:space="720" w:num="1"/>
          <w:docGrid w:linePitch="312" w:charSpace="0"/>
        </w:sectPr>
      </w:pPr>
      <w:r>
        <w:rPr>
          <w:rFonts w:hint="eastAsia" w:ascii="仿宋" w:hAnsi="仿宋" w:eastAsia="仿宋" w:cs="仿宋"/>
          <w:color w:val="auto"/>
          <w:szCs w:val="24"/>
          <w:highlight w:val="none"/>
        </w:rPr>
        <w:t>法人授权代表（签字）：</w:t>
      </w:r>
    </w:p>
    <w:p>
      <w:pPr>
        <w:snapToGrid w:val="0"/>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提供2020年或2021年度由第三方财务审计机构出具的财务审计报告及财务制度（2022年度新成立公司提供资信证明）；</w:t>
      </w:r>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snapToGrid w:val="0"/>
        <w:spacing w:line="360" w:lineRule="auto"/>
        <w:jc w:val="center"/>
        <w:rPr>
          <w:rFonts w:hint="eastAsia" w:ascii="仿宋" w:hAnsi="仿宋" w:eastAsia="仿宋" w:cs="仿宋"/>
          <w:b/>
          <w:bCs/>
          <w:color w:val="auto"/>
          <w:sz w:val="28"/>
          <w:szCs w:val="28"/>
          <w:highlight w:val="none"/>
          <w:lang w:eastAsia="zh-CN"/>
        </w:rPr>
        <w:sectPr>
          <w:pgSz w:w="11906" w:h="16838"/>
          <w:pgMar w:top="1440" w:right="1797" w:bottom="1440" w:left="1797" w:header="851" w:footer="992" w:gutter="0"/>
          <w:cols w:space="720" w:num="1"/>
          <w:docGrid w:linePitch="312" w:charSpace="0"/>
        </w:sectPr>
      </w:pPr>
      <w:r>
        <w:rPr>
          <w:rFonts w:hint="eastAsia" w:ascii="仿宋" w:hAnsi="仿宋" w:eastAsia="仿宋" w:cs="仿宋"/>
          <w:b/>
          <w:bCs/>
          <w:color w:val="auto"/>
          <w:sz w:val="28"/>
          <w:szCs w:val="28"/>
          <w:highlight w:val="none"/>
        </w:rPr>
        <w:t>投标人针对本项目的服务承诺</w:t>
      </w:r>
      <w:r>
        <w:rPr>
          <w:rFonts w:hint="eastAsia" w:ascii="仿宋" w:hAnsi="仿宋" w:eastAsia="仿宋" w:cs="仿宋"/>
          <w:b/>
          <w:bCs/>
          <w:color w:val="auto"/>
          <w:sz w:val="28"/>
          <w:szCs w:val="28"/>
          <w:highlight w:val="none"/>
          <w:lang w:eastAsia="zh-CN"/>
        </w:rPr>
        <w:t>（格式自拟）</w:t>
      </w: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附件八</w:t>
      </w:r>
    </w:p>
    <w:p>
      <w:pPr>
        <w:snapToGrid w:val="0"/>
        <w:spacing w:line="360" w:lineRule="auto"/>
        <w:jc w:val="center"/>
        <w:rPr>
          <w:rFonts w:hint="eastAsia" w:ascii="仿宋" w:hAnsi="仿宋" w:eastAsia="仿宋" w:cs="仿宋"/>
          <w:color w:val="auto"/>
          <w:sz w:val="24"/>
          <w:highlight w:val="none"/>
        </w:rPr>
      </w:pPr>
      <w:bookmarkStart w:id="193" w:name="_Toc2524_WPSOffice_Level2"/>
      <w:r>
        <w:rPr>
          <w:rFonts w:hint="eastAsia" w:ascii="仿宋" w:hAnsi="仿宋" w:eastAsia="仿宋" w:cs="仿宋"/>
          <w:b/>
          <w:bCs/>
          <w:color w:val="auto"/>
          <w:sz w:val="24"/>
          <w:highlight w:val="none"/>
        </w:rPr>
        <w:t>（201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月至</w:t>
      </w:r>
      <w:r>
        <w:rPr>
          <w:rFonts w:hint="eastAsia" w:ascii="仿宋" w:hAnsi="仿宋" w:eastAsia="仿宋" w:cs="仿宋"/>
          <w:b/>
          <w:bCs/>
          <w:color w:val="auto"/>
          <w:sz w:val="24"/>
          <w:highlight w:val="none"/>
          <w:lang w:eastAsia="zh-CN"/>
        </w:rPr>
        <w:t>今</w:t>
      </w:r>
      <w:r>
        <w:rPr>
          <w:rFonts w:hint="eastAsia" w:ascii="仿宋" w:hAnsi="仿宋" w:eastAsia="仿宋" w:cs="仿宋"/>
          <w:b/>
          <w:bCs/>
          <w:color w:val="auto"/>
          <w:sz w:val="24"/>
          <w:highlight w:val="none"/>
        </w:rPr>
        <w:t>）类似</w:t>
      </w:r>
      <w:r>
        <w:rPr>
          <w:rFonts w:hint="eastAsia" w:ascii="仿宋" w:hAnsi="仿宋" w:eastAsia="仿宋" w:cs="仿宋"/>
          <w:b/>
          <w:bCs/>
          <w:color w:val="auto"/>
          <w:sz w:val="24"/>
          <w:highlight w:val="none"/>
          <w:lang w:eastAsia="zh-CN"/>
        </w:rPr>
        <w:t>五年</w:t>
      </w:r>
      <w:r>
        <w:rPr>
          <w:rFonts w:hint="eastAsia" w:ascii="仿宋" w:hAnsi="仿宋" w:eastAsia="仿宋" w:cs="仿宋"/>
          <w:b/>
          <w:bCs/>
          <w:color w:val="auto"/>
          <w:sz w:val="24"/>
          <w:highlight w:val="none"/>
        </w:rPr>
        <w:t>项目业绩一览表</w:t>
      </w:r>
      <w:bookmarkEnd w:id="193"/>
    </w:p>
    <w:tbl>
      <w:tblPr>
        <w:tblStyle w:val="29"/>
        <w:tblW w:w="91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740"/>
        <w:gridCol w:w="1620"/>
        <w:gridCol w:w="1479"/>
        <w:gridCol w:w="146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1109" w:type="dxa"/>
            <w:noWrap w:val="0"/>
            <w:vAlign w:val="center"/>
          </w:tcPr>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740" w:type="dxa"/>
            <w:noWrap w:val="0"/>
            <w:vAlign w:val="center"/>
          </w:tcPr>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1620" w:type="dxa"/>
            <w:noWrap w:val="0"/>
            <w:vAlign w:val="center"/>
          </w:tcPr>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合同金额</w:t>
            </w:r>
          </w:p>
        </w:tc>
        <w:tc>
          <w:tcPr>
            <w:tcW w:w="1479" w:type="dxa"/>
            <w:noWrap w:val="0"/>
            <w:vAlign w:val="center"/>
          </w:tcPr>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联系人、</w:t>
            </w:r>
          </w:p>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联系方式</w:t>
            </w:r>
          </w:p>
        </w:tc>
        <w:tc>
          <w:tcPr>
            <w:tcW w:w="1463" w:type="dxa"/>
            <w:noWrap w:val="0"/>
            <w:vAlign w:val="center"/>
          </w:tcPr>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完成</w:t>
            </w:r>
          </w:p>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情况</w:t>
            </w:r>
          </w:p>
        </w:tc>
        <w:tc>
          <w:tcPr>
            <w:tcW w:w="1701" w:type="dxa"/>
            <w:noWrap w:val="0"/>
            <w:vAlign w:val="center"/>
          </w:tcPr>
          <w:p>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109" w:type="dxa"/>
            <w:noWrap w:val="0"/>
            <w:vAlign w:val="top"/>
          </w:tcPr>
          <w:p>
            <w:pPr>
              <w:snapToGrid w:val="0"/>
              <w:spacing w:line="360" w:lineRule="auto"/>
              <w:rPr>
                <w:rFonts w:hint="eastAsia" w:ascii="仿宋" w:hAnsi="仿宋" w:eastAsia="仿宋" w:cs="仿宋"/>
                <w:color w:val="auto"/>
                <w:sz w:val="24"/>
                <w:highlight w:val="none"/>
              </w:rPr>
            </w:pPr>
          </w:p>
        </w:tc>
        <w:tc>
          <w:tcPr>
            <w:tcW w:w="1740" w:type="dxa"/>
            <w:noWrap w:val="0"/>
            <w:vAlign w:val="top"/>
          </w:tcPr>
          <w:p>
            <w:pPr>
              <w:snapToGrid w:val="0"/>
              <w:spacing w:line="360" w:lineRule="auto"/>
              <w:rPr>
                <w:rFonts w:hint="eastAsia" w:ascii="仿宋" w:hAnsi="仿宋" w:eastAsia="仿宋" w:cs="仿宋"/>
                <w:color w:val="auto"/>
                <w:sz w:val="24"/>
                <w:highlight w:val="none"/>
              </w:rPr>
            </w:pPr>
          </w:p>
        </w:tc>
        <w:tc>
          <w:tcPr>
            <w:tcW w:w="1620" w:type="dxa"/>
            <w:noWrap w:val="0"/>
            <w:vAlign w:val="top"/>
          </w:tcPr>
          <w:p>
            <w:pPr>
              <w:snapToGrid w:val="0"/>
              <w:spacing w:line="360" w:lineRule="auto"/>
              <w:rPr>
                <w:rFonts w:hint="eastAsia" w:ascii="仿宋" w:hAnsi="仿宋" w:eastAsia="仿宋" w:cs="仿宋"/>
                <w:color w:val="auto"/>
                <w:sz w:val="24"/>
                <w:highlight w:val="none"/>
              </w:rPr>
            </w:pPr>
          </w:p>
        </w:tc>
        <w:tc>
          <w:tcPr>
            <w:tcW w:w="1479" w:type="dxa"/>
            <w:noWrap w:val="0"/>
            <w:vAlign w:val="top"/>
          </w:tcPr>
          <w:p>
            <w:pPr>
              <w:snapToGrid w:val="0"/>
              <w:spacing w:line="360" w:lineRule="auto"/>
              <w:rPr>
                <w:rFonts w:hint="eastAsia" w:ascii="仿宋" w:hAnsi="仿宋" w:eastAsia="仿宋" w:cs="仿宋"/>
                <w:color w:val="auto"/>
                <w:sz w:val="24"/>
                <w:highlight w:val="none"/>
              </w:rPr>
            </w:pPr>
          </w:p>
        </w:tc>
        <w:tc>
          <w:tcPr>
            <w:tcW w:w="1463" w:type="dxa"/>
            <w:noWrap w:val="0"/>
            <w:vAlign w:val="top"/>
          </w:tcPr>
          <w:p>
            <w:pPr>
              <w:snapToGrid w:val="0"/>
              <w:spacing w:line="360" w:lineRule="auto"/>
              <w:rPr>
                <w:rFonts w:hint="eastAsia" w:ascii="仿宋" w:hAnsi="仿宋" w:eastAsia="仿宋" w:cs="仿宋"/>
                <w:color w:val="auto"/>
                <w:sz w:val="24"/>
                <w:highlight w:val="none"/>
              </w:rPr>
            </w:pPr>
          </w:p>
        </w:tc>
        <w:tc>
          <w:tcPr>
            <w:tcW w:w="1701" w:type="dxa"/>
            <w:noWrap w:val="0"/>
            <w:vAlign w:val="top"/>
          </w:tcPr>
          <w:p>
            <w:pPr>
              <w:snapToGrid w:val="0"/>
              <w:spacing w:line="360" w:lineRule="auto"/>
              <w:rPr>
                <w:rFonts w:hint="eastAsia" w:ascii="仿宋" w:hAnsi="仿宋" w:eastAsia="仿宋" w:cs="仿宋"/>
                <w:color w:val="auto"/>
                <w:sz w:val="24"/>
                <w:highlight w:val="none"/>
              </w:rPr>
            </w:pPr>
          </w:p>
        </w:tc>
      </w:tr>
    </w:tbl>
    <w:p>
      <w:pPr>
        <w:snapToGrid w:val="0"/>
        <w:spacing w:line="360" w:lineRule="auto"/>
        <w:ind w:firstLine="241" w:firstLineChars="100"/>
        <w:rPr>
          <w:rFonts w:hint="eastAsia" w:ascii="仿宋" w:hAnsi="仿宋" w:eastAsia="仿宋" w:cs="仿宋"/>
          <w:b/>
          <w:color w:val="auto"/>
          <w:sz w:val="24"/>
          <w:highlight w:val="none"/>
        </w:rPr>
      </w:pPr>
    </w:p>
    <w:p>
      <w:pPr>
        <w:spacing w:line="360" w:lineRule="auto"/>
        <w:ind w:left="1084" w:hanging="1084" w:hangingChars="450"/>
        <w:rPr>
          <w:rFonts w:hint="eastAsia" w:ascii="仿宋" w:hAnsi="仿宋" w:eastAsia="仿宋" w:cs="仿宋"/>
          <w:b w:val="0"/>
          <w:bCs/>
          <w:color w:val="auto"/>
          <w:sz w:val="28"/>
          <w:szCs w:val="28"/>
          <w:highlight w:val="none"/>
        </w:rPr>
      </w:pPr>
      <w:r>
        <w:rPr>
          <w:rFonts w:hint="eastAsia" w:ascii="仿宋" w:hAnsi="仿宋" w:eastAsia="仿宋" w:cs="仿宋"/>
          <w:b/>
          <w:color w:val="auto"/>
          <w:sz w:val="24"/>
          <w:highlight w:val="none"/>
        </w:rPr>
        <w:t>备注：</w:t>
      </w:r>
      <w:r>
        <w:rPr>
          <w:rFonts w:hint="eastAsia" w:ascii="仿宋" w:hAnsi="仿宋" w:eastAsia="仿宋" w:cs="仿宋"/>
          <w:b w:val="0"/>
          <w:bCs/>
          <w:color w:val="auto"/>
          <w:sz w:val="28"/>
          <w:szCs w:val="28"/>
          <w:highlight w:val="none"/>
        </w:rPr>
        <w:t>1、投标人应填写与招标项目</w:t>
      </w:r>
      <w:r>
        <w:rPr>
          <w:rFonts w:hint="eastAsia" w:ascii="仿宋" w:hAnsi="仿宋" w:eastAsia="仿宋" w:cs="仿宋"/>
          <w:b w:val="0"/>
          <w:bCs/>
          <w:color w:val="auto"/>
          <w:sz w:val="28"/>
          <w:szCs w:val="28"/>
          <w:highlight w:val="none"/>
          <w:lang w:eastAsia="zh-CN"/>
        </w:rPr>
        <w:t>类似</w:t>
      </w:r>
      <w:r>
        <w:rPr>
          <w:rFonts w:hint="eastAsia" w:ascii="仿宋" w:hAnsi="仿宋" w:eastAsia="仿宋" w:cs="仿宋"/>
          <w:b w:val="0"/>
          <w:bCs/>
          <w:color w:val="auto"/>
          <w:sz w:val="28"/>
          <w:szCs w:val="28"/>
          <w:highlight w:val="none"/>
        </w:rPr>
        <w:t>业绩，填写与本项目不一致或相类似的业绩无效。所有业绩应提供附合同或中标通知书</w:t>
      </w:r>
      <w:r>
        <w:rPr>
          <w:rFonts w:hint="eastAsia" w:ascii="仿宋" w:hAnsi="仿宋" w:eastAsia="仿宋" w:cs="仿宋"/>
          <w:b w:val="0"/>
          <w:bCs/>
          <w:color w:val="auto"/>
          <w:sz w:val="28"/>
          <w:szCs w:val="28"/>
          <w:highlight w:val="none"/>
          <w:lang w:eastAsia="zh-CN"/>
        </w:rPr>
        <w:t>在此</w:t>
      </w:r>
      <w:r>
        <w:rPr>
          <w:rFonts w:hint="eastAsia" w:ascii="仿宋" w:hAnsi="仿宋" w:eastAsia="仿宋" w:cs="仿宋"/>
          <w:b w:val="0"/>
          <w:bCs/>
          <w:color w:val="auto"/>
          <w:sz w:val="28"/>
          <w:szCs w:val="28"/>
          <w:highlight w:val="none"/>
        </w:rPr>
        <w:t>业绩表之后。</w:t>
      </w:r>
    </w:p>
    <w:p>
      <w:pPr>
        <w:spacing w:line="360" w:lineRule="auto"/>
        <w:ind w:firstLine="840" w:firstLineChars="3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2、业绩不实而造成的废标，由投标人自行承担</w:t>
      </w:r>
    </w:p>
    <w:p>
      <w:pPr>
        <w:spacing w:line="360" w:lineRule="auto"/>
        <w:ind w:firstLine="840" w:firstLineChars="3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3、此表如填写不下，可另附页。</w:t>
      </w:r>
    </w:p>
    <w:p>
      <w:pPr>
        <w:pStyle w:val="2"/>
        <w:rPr>
          <w:rFonts w:hint="eastAsia" w:ascii="仿宋" w:hAnsi="仿宋" w:eastAsia="仿宋" w:cs="仿宋"/>
          <w:b w:val="0"/>
          <w:bCs/>
          <w:color w:val="auto"/>
          <w:sz w:val="28"/>
          <w:szCs w:val="28"/>
          <w:highlight w:val="none"/>
        </w:rPr>
      </w:pPr>
    </w:p>
    <w:p>
      <w:pPr>
        <w:pStyle w:val="2"/>
        <w:rPr>
          <w:rFonts w:hint="eastAsia" w:ascii="仿宋" w:hAnsi="仿宋" w:eastAsia="仿宋" w:cs="仿宋"/>
          <w:b w:val="0"/>
          <w:bCs/>
          <w:color w:val="auto"/>
          <w:sz w:val="28"/>
          <w:szCs w:val="28"/>
          <w:highlight w:val="none"/>
        </w:rPr>
      </w:pPr>
    </w:p>
    <w:p>
      <w:pPr>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sz w:val="24"/>
          <w:highlight w:val="none"/>
        </w:rPr>
        <w:t>单位名称（公章）：</w:t>
      </w:r>
    </w:p>
    <w:p>
      <w:pPr>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sz w:val="24"/>
          <w:highlight w:val="none"/>
        </w:rPr>
        <w:t>法定代表人（签字、盖章）：</w:t>
      </w: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法人授权代表（签字）：</w:t>
      </w: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附件九</w:t>
      </w:r>
    </w:p>
    <w:p>
      <w:pPr>
        <w:spacing w:line="360" w:lineRule="auto"/>
        <w:jc w:val="center"/>
        <w:rPr>
          <w:rFonts w:hint="eastAsia" w:ascii="仿宋" w:hAnsi="仿宋" w:eastAsia="仿宋" w:cs="仿宋"/>
          <w:b/>
          <w:color w:val="auto"/>
          <w:sz w:val="24"/>
          <w:highlight w:val="none"/>
        </w:rPr>
      </w:pPr>
      <w:bookmarkStart w:id="194" w:name="_Toc7196_WPSOffice_Level2"/>
      <w:r>
        <w:rPr>
          <w:rFonts w:hint="eastAsia" w:ascii="仿宋" w:hAnsi="仿宋" w:eastAsia="仿宋" w:cs="仿宋"/>
          <w:b/>
          <w:color w:val="auto"/>
          <w:sz w:val="24"/>
          <w:highlight w:val="none"/>
        </w:rPr>
        <w:t>人员</w:t>
      </w:r>
      <w:r>
        <w:rPr>
          <w:rFonts w:hint="eastAsia" w:ascii="仿宋" w:hAnsi="仿宋" w:eastAsia="仿宋" w:cs="仿宋"/>
          <w:b/>
          <w:color w:val="auto"/>
          <w:sz w:val="24"/>
          <w:highlight w:val="none"/>
          <w:lang w:eastAsia="zh-CN"/>
        </w:rPr>
        <w:t>配置</w:t>
      </w:r>
      <w:r>
        <w:rPr>
          <w:rFonts w:hint="eastAsia" w:ascii="仿宋" w:hAnsi="仿宋" w:eastAsia="仿宋" w:cs="仿宋"/>
          <w:b/>
          <w:color w:val="auto"/>
          <w:sz w:val="24"/>
          <w:highlight w:val="none"/>
        </w:rPr>
        <w:t>一览表</w:t>
      </w:r>
      <w:bookmarkEnd w:id="194"/>
    </w:p>
    <w:p>
      <w:pPr>
        <w:spacing w:line="360" w:lineRule="auto"/>
        <w:jc w:val="center"/>
        <w:rPr>
          <w:rFonts w:hint="eastAsia" w:ascii="仿宋" w:hAnsi="仿宋" w:eastAsia="仿宋" w:cs="仿宋"/>
          <w:b/>
          <w:bCs/>
          <w:color w:val="auto"/>
          <w:sz w:val="24"/>
          <w:highlight w:val="none"/>
        </w:rPr>
      </w:pPr>
    </w:p>
    <w:tbl>
      <w:tblPr>
        <w:tblStyle w:val="29"/>
        <w:tblpPr w:leftFromText="180" w:rightFromText="180" w:vertAnchor="text" w:horzAnchor="margin" w:tblpXSpec="center" w:tblpY="74"/>
        <w:tblW w:w="8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328"/>
        <w:gridCol w:w="1060"/>
        <w:gridCol w:w="1398"/>
        <w:gridCol w:w="202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328"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拟任职务</w:t>
            </w:r>
          </w:p>
        </w:tc>
        <w:tc>
          <w:tcPr>
            <w:tcW w:w="106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398"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w:t>
            </w:r>
          </w:p>
        </w:tc>
        <w:tc>
          <w:tcPr>
            <w:tcW w:w="202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主要资历及相关证明材料</w:t>
            </w:r>
          </w:p>
        </w:tc>
        <w:tc>
          <w:tcPr>
            <w:tcW w:w="1249"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top"/>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top"/>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top"/>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top"/>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top"/>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096" w:type="dxa"/>
            <w:noWrap w:val="0"/>
            <w:vAlign w:val="center"/>
          </w:tcPr>
          <w:p>
            <w:pPr>
              <w:spacing w:line="360" w:lineRule="auto"/>
              <w:jc w:val="center"/>
              <w:rPr>
                <w:rFonts w:hint="eastAsia" w:ascii="仿宋" w:hAnsi="仿宋" w:eastAsia="仿宋" w:cs="仿宋"/>
                <w:color w:val="auto"/>
                <w:sz w:val="24"/>
                <w:highlight w:val="none"/>
              </w:rPr>
            </w:pPr>
          </w:p>
        </w:tc>
        <w:tc>
          <w:tcPr>
            <w:tcW w:w="1328" w:type="dxa"/>
            <w:noWrap w:val="0"/>
            <w:vAlign w:val="center"/>
          </w:tcPr>
          <w:p>
            <w:pPr>
              <w:spacing w:line="360" w:lineRule="auto"/>
              <w:jc w:val="center"/>
              <w:rPr>
                <w:rFonts w:hint="eastAsia" w:ascii="仿宋" w:hAnsi="仿宋" w:eastAsia="仿宋" w:cs="仿宋"/>
                <w:color w:val="auto"/>
                <w:sz w:val="24"/>
                <w:highlight w:val="none"/>
              </w:rPr>
            </w:pPr>
          </w:p>
        </w:tc>
        <w:tc>
          <w:tcPr>
            <w:tcW w:w="1060" w:type="dxa"/>
            <w:noWrap w:val="0"/>
            <w:vAlign w:val="center"/>
          </w:tcPr>
          <w:p>
            <w:pPr>
              <w:spacing w:line="360" w:lineRule="auto"/>
              <w:jc w:val="center"/>
              <w:rPr>
                <w:rFonts w:hint="eastAsia" w:ascii="仿宋" w:hAnsi="仿宋" w:eastAsia="仿宋" w:cs="仿宋"/>
                <w:color w:val="auto"/>
                <w:sz w:val="24"/>
                <w:highlight w:val="none"/>
              </w:rPr>
            </w:pPr>
          </w:p>
        </w:tc>
        <w:tc>
          <w:tcPr>
            <w:tcW w:w="1398" w:type="dxa"/>
            <w:noWrap w:val="0"/>
            <w:vAlign w:val="center"/>
          </w:tcPr>
          <w:p>
            <w:pPr>
              <w:spacing w:line="360" w:lineRule="auto"/>
              <w:jc w:val="center"/>
              <w:rPr>
                <w:rFonts w:hint="eastAsia" w:ascii="仿宋" w:hAnsi="仿宋" w:eastAsia="仿宋" w:cs="仿宋"/>
                <w:color w:val="auto"/>
                <w:sz w:val="24"/>
                <w:highlight w:val="none"/>
              </w:rPr>
            </w:pPr>
          </w:p>
        </w:tc>
        <w:tc>
          <w:tcPr>
            <w:tcW w:w="2020" w:type="dxa"/>
            <w:noWrap w:val="0"/>
            <w:vAlign w:val="center"/>
          </w:tcPr>
          <w:p>
            <w:pPr>
              <w:spacing w:line="360" w:lineRule="auto"/>
              <w:jc w:val="center"/>
              <w:rPr>
                <w:rFonts w:hint="eastAsia" w:ascii="仿宋" w:hAnsi="仿宋" w:eastAsia="仿宋" w:cs="仿宋"/>
                <w:color w:val="auto"/>
                <w:sz w:val="24"/>
                <w:highlight w:val="none"/>
              </w:rPr>
            </w:pPr>
          </w:p>
        </w:tc>
        <w:tc>
          <w:tcPr>
            <w:tcW w:w="1249" w:type="dxa"/>
            <w:noWrap w:val="0"/>
            <w:vAlign w:val="top"/>
          </w:tcPr>
          <w:p>
            <w:pPr>
              <w:spacing w:line="360" w:lineRule="auto"/>
              <w:jc w:val="center"/>
              <w:rPr>
                <w:rFonts w:hint="eastAsia" w:ascii="仿宋" w:hAnsi="仿宋" w:eastAsia="仿宋" w:cs="仿宋"/>
                <w:color w:val="auto"/>
                <w:sz w:val="24"/>
                <w:highlight w:val="none"/>
              </w:rPr>
            </w:pPr>
          </w:p>
        </w:tc>
      </w:tr>
    </w:tbl>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注：1、如投标人中标，技术服务人员必须按本表承诺人员实施，不得擅自更换；2、表中人员须提供相关证明材料，如：身份证明、社保缴纳证明、从业资格证书等。 </w:t>
      </w:r>
    </w:p>
    <w:p>
      <w:pPr>
        <w:pStyle w:val="59"/>
        <w:spacing w:after="120"/>
        <w:rPr>
          <w:rFonts w:hint="eastAsia" w:ascii="仿宋" w:hAnsi="仿宋" w:eastAsia="仿宋" w:cs="仿宋"/>
          <w:color w:val="auto"/>
          <w:highlight w:val="none"/>
        </w:rPr>
      </w:pPr>
    </w:p>
    <w:p>
      <w:pPr>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单位名称（公章）：</w:t>
      </w:r>
    </w:p>
    <w:p>
      <w:pPr>
        <w:pStyle w:val="59"/>
        <w:spacing w:after="120"/>
        <w:rPr>
          <w:rFonts w:hint="eastAsia" w:ascii="仿宋" w:hAnsi="仿宋" w:eastAsia="仿宋" w:cs="仿宋"/>
          <w:color w:val="auto"/>
          <w:highlight w:val="none"/>
        </w:rPr>
      </w:pPr>
    </w:p>
    <w:p>
      <w:pPr>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法定代表人（签字、盖章）：</w:t>
      </w:r>
    </w:p>
    <w:p>
      <w:pPr>
        <w:pStyle w:val="59"/>
        <w:spacing w:after="120"/>
        <w:rPr>
          <w:rFonts w:hint="eastAsia" w:ascii="仿宋" w:hAnsi="仿宋" w:eastAsia="仿宋" w:cs="仿宋"/>
          <w:color w:val="auto"/>
          <w:highlight w:val="none"/>
        </w:rPr>
      </w:pPr>
    </w:p>
    <w:p>
      <w:pPr>
        <w:spacing w:line="360" w:lineRule="auto"/>
        <w:ind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法人授权代表（签字）：</w:t>
      </w:r>
      <w:r>
        <w:rPr>
          <w:rFonts w:hint="eastAsia" w:ascii="仿宋" w:hAnsi="仿宋" w:eastAsia="仿宋" w:cs="仿宋"/>
          <w:color w:val="auto"/>
          <w:sz w:val="24"/>
          <w:highlight w:val="none"/>
          <w:u w:val="single"/>
        </w:rPr>
        <w:t xml:space="preserve">          </w:t>
      </w:r>
    </w:p>
    <w:p>
      <w:pPr>
        <w:widowControl/>
        <w:snapToGrid w:val="0"/>
        <w:spacing w:line="360" w:lineRule="auto"/>
        <w:ind w:firstLine="480" w:firstLineChars="200"/>
        <w:rPr>
          <w:rFonts w:hint="eastAsia" w:ascii="仿宋" w:hAnsi="仿宋" w:eastAsia="仿宋" w:cs="仿宋"/>
          <w:color w:val="auto"/>
          <w:sz w:val="24"/>
          <w:highlight w:val="none"/>
        </w:rPr>
      </w:pPr>
    </w:p>
    <w:p>
      <w:pPr>
        <w:pStyle w:val="2"/>
        <w:rPr>
          <w:rFonts w:hint="eastAsia"/>
        </w:rPr>
      </w:pPr>
    </w:p>
    <w:p>
      <w:pPr>
        <w:snapToGrid w:val="0"/>
        <w:spacing w:line="360" w:lineRule="auto"/>
        <w:rPr>
          <w:rFonts w:hint="eastAsia" w:ascii="仿宋" w:hAnsi="仿宋" w:eastAsia="仿宋" w:cs="仿宋"/>
          <w:b/>
          <w:color w:val="auto"/>
          <w:sz w:val="28"/>
          <w:highlight w:val="none"/>
        </w:rPr>
      </w:pP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8"/>
          <w:highlight w:val="none"/>
        </w:rPr>
        <w:t>附件十</w:t>
      </w:r>
    </w:p>
    <w:p>
      <w:pPr>
        <w:snapToGrid w:val="0"/>
        <w:spacing w:line="360" w:lineRule="auto"/>
        <w:jc w:val="center"/>
        <w:rPr>
          <w:rFonts w:hint="eastAsia" w:ascii="仿宋" w:hAnsi="仿宋" w:eastAsia="仿宋" w:cs="仿宋"/>
          <w:b/>
          <w:color w:val="auto"/>
          <w:sz w:val="24"/>
          <w:highlight w:val="none"/>
        </w:rPr>
      </w:pPr>
    </w:p>
    <w:p>
      <w:pPr>
        <w:snapToGrid w:val="0"/>
        <w:spacing w:line="360" w:lineRule="auto"/>
        <w:jc w:val="center"/>
        <w:rPr>
          <w:rFonts w:hint="eastAsia" w:ascii="仿宋" w:hAnsi="仿宋" w:eastAsia="仿宋" w:cs="仿宋"/>
          <w:b/>
          <w:color w:val="auto"/>
          <w:sz w:val="24"/>
          <w:highlight w:val="none"/>
        </w:rPr>
      </w:pPr>
      <w:bookmarkStart w:id="195" w:name="_Toc18230_WPSOffice_Level2"/>
      <w:r>
        <w:rPr>
          <w:rFonts w:hint="eastAsia" w:ascii="仿宋" w:hAnsi="仿宋" w:eastAsia="仿宋" w:cs="仿宋"/>
          <w:b/>
          <w:color w:val="auto"/>
          <w:sz w:val="24"/>
          <w:highlight w:val="none"/>
        </w:rPr>
        <w:t>服务要求偏离表</w:t>
      </w:r>
      <w:bookmarkEnd w:id="195"/>
    </w:p>
    <w:p>
      <w:pPr>
        <w:snapToGrid w:val="0"/>
        <w:spacing w:line="360" w:lineRule="auto"/>
        <w:jc w:val="center"/>
        <w:rPr>
          <w:rFonts w:hint="eastAsia" w:ascii="仿宋" w:hAnsi="仿宋" w:eastAsia="仿宋" w:cs="仿宋"/>
          <w:color w:val="auto"/>
          <w:sz w:val="24"/>
          <w:highlight w:val="none"/>
        </w:rPr>
      </w:pPr>
    </w:p>
    <w:tbl>
      <w:tblPr>
        <w:tblStyle w:val="29"/>
        <w:tblW w:w="7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275"/>
        <w:gridCol w:w="1650"/>
        <w:gridCol w:w="1555"/>
        <w:gridCol w:w="709"/>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918" w:type="dxa"/>
            <w:noWrap w:val="0"/>
            <w:vAlign w:val="center"/>
          </w:tcPr>
          <w:p>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75" w:type="dxa"/>
            <w:noWrap w:val="0"/>
            <w:vAlign w:val="center"/>
          </w:tcPr>
          <w:p>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1650" w:type="dxa"/>
            <w:noWrap w:val="0"/>
            <w:vAlign w:val="center"/>
          </w:tcPr>
          <w:p>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服务需求</w:t>
            </w:r>
          </w:p>
        </w:tc>
        <w:tc>
          <w:tcPr>
            <w:tcW w:w="1555" w:type="dxa"/>
            <w:noWrap w:val="0"/>
            <w:vAlign w:val="center"/>
          </w:tcPr>
          <w:p>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响应内容</w:t>
            </w:r>
          </w:p>
        </w:tc>
        <w:tc>
          <w:tcPr>
            <w:tcW w:w="709" w:type="dxa"/>
            <w:noWrap w:val="0"/>
            <w:vAlign w:val="center"/>
          </w:tcPr>
          <w:p>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响应情况</w:t>
            </w:r>
          </w:p>
        </w:tc>
        <w:tc>
          <w:tcPr>
            <w:tcW w:w="1661" w:type="dxa"/>
            <w:noWrap w:val="0"/>
            <w:vAlign w:val="center"/>
          </w:tcPr>
          <w:p>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918"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275" w:type="dxa"/>
            <w:noWrap w:val="0"/>
            <w:vAlign w:val="top"/>
          </w:tcPr>
          <w:p>
            <w:pPr>
              <w:snapToGrid w:val="0"/>
              <w:spacing w:line="360" w:lineRule="auto"/>
              <w:rPr>
                <w:rFonts w:hint="eastAsia" w:ascii="仿宋" w:hAnsi="仿宋" w:eastAsia="仿宋" w:cs="仿宋"/>
                <w:color w:val="auto"/>
                <w:sz w:val="24"/>
                <w:highlight w:val="none"/>
              </w:rPr>
            </w:pPr>
          </w:p>
        </w:tc>
        <w:tc>
          <w:tcPr>
            <w:tcW w:w="1650" w:type="dxa"/>
            <w:noWrap w:val="0"/>
            <w:vAlign w:val="top"/>
          </w:tcPr>
          <w:p>
            <w:pPr>
              <w:snapToGrid w:val="0"/>
              <w:spacing w:line="360" w:lineRule="auto"/>
              <w:rPr>
                <w:rFonts w:hint="eastAsia" w:ascii="仿宋" w:hAnsi="仿宋" w:eastAsia="仿宋" w:cs="仿宋"/>
                <w:color w:val="auto"/>
                <w:sz w:val="24"/>
                <w:highlight w:val="none"/>
              </w:rPr>
            </w:pPr>
          </w:p>
        </w:tc>
        <w:tc>
          <w:tcPr>
            <w:tcW w:w="1555" w:type="dxa"/>
            <w:noWrap w:val="0"/>
            <w:vAlign w:val="top"/>
          </w:tcPr>
          <w:p>
            <w:pPr>
              <w:snapToGrid w:val="0"/>
              <w:spacing w:line="360" w:lineRule="auto"/>
              <w:rPr>
                <w:rFonts w:hint="eastAsia" w:ascii="仿宋" w:hAnsi="仿宋" w:eastAsia="仿宋" w:cs="仿宋"/>
                <w:color w:val="auto"/>
                <w:sz w:val="24"/>
                <w:highlight w:val="none"/>
              </w:rPr>
            </w:pPr>
          </w:p>
        </w:tc>
        <w:tc>
          <w:tcPr>
            <w:tcW w:w="709" w:type="dxa"/>
            <w:noWrap w:val="0"/>
            <w:vAlign w:val="top"/>
          </w:tcPr>
          <w:p>
            <w:pPr>
              <w:snapToGrid w:val="0"/>
              <w:spacing w:line="360" w:lineRule="auto"/>
              <w:rPr>
                <w:rFonts w:hint="eastAsia" w:ascii="仿宋" w:hAnsi="仿宋" w:eastAsia="仿宋" w:cs="仿宋"/>
                <w:color w:val="auto"/>
                <w:sz w:val="24"/>
                <w:highlight w:val="none"/>
              </w:rPr>
            </w:pPr>
          </w:p>
        </w:tc>
        <w:tc>
          <w:tcPr>
            <w:tcW w:w="166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918"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275" w:type="dxa"/>
            <w:noWrap w:val="0"/>
            <w:vAlign w:val="top"/>
          </w:tcPr>
          <w:p>
            <w:pPr>
              <w:snapToGrid w:val="0"/>
              <w:spacing w:line="360" w:lineRule="auto"/>
              <w:rPr>
                <w:rFonts w:hint="eastAsia" w:ascii="仿宋" w:hAnsi="仿宋" w:eastAsia="仿宋" w:cs="仿宋"/>
                <w:color w:val="auto"/>
                <w:sz w:val="24"/>
                <w:highlight w:val="none"/>
              </w:rPr>
            </w:pPr>
          </w:p>
        </w:tc>
        <w:tc>
          <w:tcPr>
            <w:tcW w:w="1650" w:type="dxa"/>
            <w:noWrap w:val="0"/>
            <w:vAlign w:val="top"/>
          </w:tcPr>
          <w:p>
            <w:pPr>
              <w:snapToGrid w:val="0"/>
              <w:spacing w:line="360" w:lineRule="auto"/>
              <w:rPr>
                <w:rFonts w:hint="eastAsia" w:ascii="仿宋" w:hAnsi="仿宋" w:eastAsia="仿宋" w:cs="仿宋"/>
                <w:color w:val="auto"/>
                <w:sz w:val="24"/>
                <w:highlight w:val="none"/>
              </w:rPr>
            </w:pPr>
          </w:p>
        </w:tc>
        <w:tc>
          <w:tcPr>
            <w:tcW w:w="1555" w:type="dxa"/>
            <w:noWrap w:val="0"/>
            <w:vAlign w:val="top"/>
          </w:tcPr>
          <w:p>
            <w:pPr>
              <w:snapToGrid w:val="0"/>
              <w:spacing w:line="360" w:lineRule="auto"/>
              <w:rPr>
                <w:rFonts w:hint="eastAsia" w:ascii="仿宋" w:hAnsi="仿宋" w:eastAsia="仿宋" w:cs="仿宋"/>
                <w:color w:val="auto"/>
                <w:sz w:val="24"/>
                <w:highlight w:val="none"/>
              </w:rPr>
            </w:pPr>
          </w:p>
        </w:tc>
        <w:tc>
          <w:tcPr>
            <w:tcW w:w="709" w:type="dxa"/>
            <w:noWrap w:val="0"/>
            <w:vAlign w:val="top"/>
          </w:tcPr>
          <w:p>
            <w:pPr>
              <w:snapToGrid w:val="0"/>
              <w:spacing w:line="360" w:lineRule="auto"/>
              <w:rPr>
                <w:rFonts w:hint="eastAsia" w:ascii="仿宋" w:hAnsi="仿宋" w:eastAsia="仿宋" w:cs="仿宋"/>
                <w:color w:val="auto"/>
                <w:sz w:val="24"/>
                <w:highlight w:val="none"/>
              </w:rPr>
            </w:pPr>
          </w:p>
        </w:tc>
        <w:tc>
          <w:tcPr>
            <w:tcW w:w="166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918"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275" w:type="dxa"/>
            <w:noWrap w:val="0"/>
            <w:vAlign w:val="top"/>
          </w:tcPr>
          <w:p>
            <w:pPr>
              <w:snapToGrid w:val="0"/>
              <w:spacing w:line="360" w:lineRule="auto"/>
              <w:rPr>
                <w:rFonts w:hint="eastAsia" w:ascii="仿宋" w:hAnsi="仿宋" w:eastAsia="仿宋" w:cs="仿宋"/>
                <w:color w:val="auto"/>
                <w:sz w:val="24"/>
                <w:highlight w:val="none"/>
              </w:rPr>
            </w:pPr>
          </w:p>
        </w:tc>
        <w:tc>
          <w:tcPr>
            <w:tcW w:w="1650" w:type="dxa"/>
            <w:noWrap w:val="0"/>
            <w:vAlign w:val="top"/>
          </w:tcPr>
          <w:p>
            <w:pPr>
              <w:snapToGrid w:val="0"/>
              <w:spacing w:line="360" w:lineRule="auto"/>
              <w:rPr>
                <w:rFonts w:hint="eastAsia" w:ascii="仿宋" w:hAnsi="仿宋" w:eastAsia="仿宋" w:cs="仿宋"/>
                <w:color w:val="auto"/>
                <w:sz w:val="24"/>
                <w:highlight w:val="none"/>
              </w:rPr>
            </w:pPr>
          </w:p>
        </w:tc>
        <w:tc>
          <w:tcPr>
            <w:tcW w:w="1555" w:type="dxa"/>
            <w:noWrap w:val="0"/>
            <w:vAlign w:val="top"/>
          </w:tcPr>
          <w:p>
            <w:pPr>
              <w:snapToGrid w:val="0"/>
              <w:spacing w:line="360" w:lineRule="auto"/>
              <w:rPr>
                <w:rFonts w:hint="eastAsia" w:ascii="仿宋" w:hAnsi="仿宋" w:eastAsia="仿宋" w:cs="仿宋"/>
                <w:color w:val="auto"/>
                <w:sz w:val="24"/>
                <w:highlight w:val="none"/>
              </w:rPr>
            </w:pPr>
          </w:p>
        </w:tc>
        <w:tc>
          <w:tcPr>
            <w:tcW w:w="709" w:type="dxa"/>
            <w:noWrap w:val="0"/>
            <w:vAlign w:val="top"/>
          </w:tcPr>
          <w:p>
            <w:pPr>
              <w:snapToGrid w:val="0"/>
              <w:spacing w:line="360" w:lineRule="auto"/>
              <w:rPr>
                <w:rFonts w:hint="eastAsia" w:ascii="仿宋" w:hAnsi="仿宋" w:eastAsia="仿宋" w:cs="仿宋"/>
                <w:color w:val="auto"/>
                <w:sz w:val="24"/>
                <w:highlight w:val="none"/>
              </w:rPr>
            </w:pPr>
          </w:p>
        </w:tc>
        <w:tc>
          <w:tcPr>
            <w:tcW w:w="166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918"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275" w:type="dxa"/>
            <w:noWrap w:val="0"/>
            <w:vAlign w:val="top"/>
          </w:tcPr>
          <w:p>
            <w:pPr>
              <w:snapToGrid w:val="0"/>
              <w:spacing w:line="360" w:lineRule="auto"/>
              <w:rPr>
                <w:rFonts w:hint="eastAsia" w:ascii="仿宋" w:hAnsi="仿宋" w:eastAsia="仿宋" w:cs="仿宋"/>
                <w:color w:val="auto"/>
                <w:sz w:val="24"/>
                <w:highlight w:val="none"/>
              </w:rPr>
            </w:pPr>
          </w:p>
        </w:tc>
        <w:tc>
          <w:tcPr>
            <w:tcW w:w="1650" w:type="dxa"/>
            <w:noWrap w:val="0"/>
            <w:vAlign w:val="top"/>
          </w:tcPr>
          <w:p>
            <w:pPr>
              <w:snapToGrid w:val="0"/>
              <w:spacing w:line="360" w:lineRule="auto"/>
              <w:rPr>
                <w:rFonts w:hint="eastAsia" w:ascii="仿宋" w:hAnsi="仿宋" w:eastAsia="仿宋" w:cs="仿宋"/>
                <w:color w:val="auto"/>
                <w:sz w:val="24"/>
                <w:highlight w:val="none"/>
              </w:rPr>
            </w:pPr>
          </w:p>
        </w:tc>
        <w:tc>
          <w:tcPr>
            <w:tcW w:w="1555" w:type="dxa"/>
            <w:noWrap w:val="0"/>
            <w:vAlign w:val="top"/>
          </w:tcPr>
          <w:p>
            <w:pPr>
              <w:snapToGrid w:val="0"/>
              <w:spacing w:line="360" w:lineRule="auto"/>
              <w:rPr>
                <w:rFonts w:hint="eastAsia" w:ascii="仿宋" w:hAnsi="仿宋" w:eastAsia="仿宋" w:cs="仿宋"/>
                <w:color w:val="auto"/>
                <w:sz w:val="24"/>
                <w:highlight w:val="none"/>
              </w:rPr>
            </w:pPr>
          </w:p>
        </w:tc>
        <w:tc>
          <w:tcPr>
            <w:tcW w:w="709" w:type="dxa"/>
            <w:noWrap w:val="0"/>
            <w:vAlign w:val="top"/>
          </w:tcPr>
          <w:p>
            <w:pPr>
              <w:snapToGrid w:val="0"/>
              <w:spacing w:line="360" w:lineRule="auto"/>
              <w:rPr>
                <w:rFonts w:hint="eastAsia" w:ascii="仿宋" w:hAnsi="仿宋" w:eastAsia="仿宋" w:cs="仿宋"/>
                <w:color w:val="auto"/>
                <w:sz w:val="24"/>
                <w:highlight w:val="none"/>
              </w:rPr>
            </w:pPr>
          </w:p>
        </w:tc>
        <w:tc>
          <w:tcPr>
            <w:tcW w:w="1661" w:type="dxa"/>
            <w:noWrap w:val="0"/>
            <w:vAlign w:val="top"/>
          </w:tcPr>
          <w:p>
            <w:pPr>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918"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75" w:type="dxa"/>
            <w:noWrap w:val="0"/>
            <w:vAlign w:val="top"/>
          </w:tcPr>
          <w:p>
            <w:pPr>
              <w:snapToGrid w:val="0"/>
              <w:spacing w:line="360" w:lineRule="auto"/>
              <w:rPr>
                <w:rFonts w:hint="eastAsia" w:ascii="仿宋" w:hAnsi="仿宋" w:eastAsia="仿宋" w:cs="仿宋"/>
                <w:color w:val="auto"/>
                <w:sz w:val="24"/>
                <w:highlight w:val="none"/>
              </w:rPr>
            </w:pPr>
          </w:p>
        </w:tc>
        <w:tc>
          <w:tcPr>
            <w:tcW w:w="1650" w:type="dxa"/>
            <w:noWrap w:val="0"/>
            <w:vAlign w:val="top"/>
          </w:tcPr>
          <w:p>
            <w:pPr>
              <w:snapToGrid w:val="0"/>
              <w:spacing w:line="360" w:lineRule="auto"/>
              <w:rPr>
                <w:rFonts w:hint="eastAsia" w:ascii="仿宋" w:hAnsi="仿宋" w:eastAsia="仿宋" w:cs="仿宋"/>
                <w:color w:val="auto"/>
                <w:sz w:val="24"/>
                <w:highlight w:val="none"/>
              </w:rPr>
            </w:pPr>
          </w:p>
        </w:tc>
        <w:tc>
          <w:tcPr>
            <w:tcW w:w="1555" w:type="dxa"/>
            <w:noWrap w:val="0"/>
            <w:vAlign w:val="top"/>
          </w:tcPr>
          <w:p>
            <w:pPr>
              <w:snapToGrid w:val="0"/>
              <w:spacing w:line="360" w:lineRule="auto"/>
              <w:rPr>
                <w:rFonts w:hint="eastAsia" w:ascii="仿宋" w:hAnsi="仿宋" w:eastAsia="仿宋" w:cs="仿宋"/>
                <w:color w:val="auto"/>
                <w:sz w:val="24"/>
                <w:highlight w:val="none"/>
              </w:rPr>
            </w:pPr>
          </w:p>
        </w:tc>
        <w:tc>
          <w:tcPr>
            <w:tcW w:w="709" w:type="dxa"/>
            <w:noWrap w:val="0"/>
            <w:vAlign w:val="top"/>
          </w:tcPr>
          <w:p>
            <w:pPr>
              <w:snapToGrid w:val="0"/>
              <w:spacing w:line="360" w:lineRule="auto"/>
              <w:rPr>
                <w:rFonts w:hint="eastAsia" w:ascii="仿宋" w:hAnsi="仿宋" w:eastAsia="仿宋" w:cs="仿宋"/>
                <w:color w:val="auto"/>
                <w:sz w:val="24"/>
                <w:highlight w:val="none"/>
              </w:rPr>
            </w:pPr>
          </w:p>
        </w:tc>
        <w:tc>
          <w:tcPr>
            <w:tcW w:w="1661" w:type="dxa"/>
            <w:noWrap w:val="0"/>
            <w:vAlign w:val="top"/>
          </w:tcPr>
          <w:p>
            <w:pPr>
              <w:snapToGrid w:val="0"/>
              <w:spacing w:line="360" w:lineRule="auto"/>
              <w:rPr>
                <w:rFonts w:hint="eastAsia" w:ascii="仿宋" w:hAnsi="仿宋" w:eastAsia="仿宋" w:cs="仿宋"/>
                <w:color w:val="auto"/>
                <w:sz w:val="24"/>
                <w:highlight w:val="none"/>
              </w:rPr>
            </w:pPr>
          </w:p>
        </w:tc>
      </w:tr>
    </w:tbl>
    <w:p>
      <w:pPr>
        <w:snapToGrid w:val="0"/>
        <w:spacing w:line="360" w:lineRule="auto"/>
        <w:ind w:firstLine="480" w:firstLineChars="200"/>
        <w:rPr>
          <w:rFonts w:hint="eastAsia" w:ascii="仿宋" w:hAnsi="仿宋" w:eastAsia="仿宋" w:cs="仿宋"/>
          <w:color w:val="auto"/>
          <w:sz w:val="24"/>
          <w:highlight w:val="none"/>
        </w:rPr>
      </w:pP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人须根据第四部分服务需求进行逐一响应，投标文件中有偏差的，均应在此表中列出（内容较多的可以标注见投标文件第几页，偏差包括正偏差和负偏差），未在此表中列出的视同完全满足招标文件要求。</w:t>
      </w:r>
    </w:p>
    <w:p>
      <w:pPr>
        <w:pStyle w:val="59"/>
        <w:spacing w:after="120"/>
        <w:rPr>
          <w:rFonts w:hint="eastAsia" w:ascii="仿宋" w:hAnsi="仿宋" w:eastAsia="仿宋" w:cs="仿宋"/>
          <w:color w:val="auto"/>
          <w:highlight w:val="none"/>
        </w:rPr>
      </w:pP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单位名称（公章）：</w:t>
      </w:r>
    </w:p>
    <w:p>
      <w:pPr>
        <w:pStyle w:val="59"/>
        <w:spacing w:after="120"/>
        <w:rPr>
          <w:rFonts w:hint="eastAsia" w:ascii="仿宋" w:hAnsi="仿宋" w:eastAsia="仿宋" w:cs="仿宋"/>
          <w:color w:val="auto"/>
          <w:highlight w:val="none"/>
        </w:rPr>
      </w:pP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法定代表人（签字、盖章）：</w:t>
      </w:r>
    </w:p>
    <w:p>
      <w:pPr>
        <w:pStyle w:val="59"/>
        <w:spacing w:after="120"/>
        <w:rPr>
          <w:rFonts w:hint="eastAsia" w:ascii="仿宋" w:hAnsi="仿宋" w:eastAsia="仿宋" w:cs="仿宋"/>
          <w:color w:val="auto"/>
          <w:highlight w:val="none"/>
        </w:rPr>
      </w:pPr>
    </w:p>
    <w:p>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法人授权代表（签字）：</w:t>
      </w:r>
    </w:p>
    <w:p>
      <w:pPr>
        <w:snapToGrid w:val="0"/>
        <w:spacing w:line="360" w:lineRule="auto"/>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附件十一</w:t>
      </w:r>
    </w:p>
    <w:p>
      <w:pPr>
        <w:snapToGrid w:val="0"/>
        <w:spacing w:line="360" w:lineRule="auto"/>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高新技术企业证书</w:t>
      </w:r>
    </w:p>
    <w:p>
      <w:pPr>
        <w:pStyle w:val="2"/>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pPr>
        <w:pStyle w:val="2"/>
        <w:rPr>
          <w:rFonts w:hint="eastAsia" w:ascii="仿宋" w:hAnsi="仿宋" w:eastAsia="仿宋" w:cs="仿宋"/>
          <w:color w:val="auto"/>
          <w:highlight w:val="none"/>
          <w:lang w:eastAsia="zh-CN"/>
        </w:rPr>
      </w:pPr>
    </w:p>
    <w:p>
      <w:pPr>
        <w:snapToGrid w:val="0"/>
        <w:spacing w:line="360" w:lineRule="auto"/>
        <w:rPr>
          <w:rFonts w:hint="eastAsia" w:ascii="仿宋" w:hAnsi="仿宋" w:eastAsia="仿宋" w:cs="仿宋"/>
          <w:b/>
          <w:color w:val="auto"/>
          <w:sz w:val="28"/>
          <w:highlight w:val="none"/>
          <w:lang w:eastAsia="zh-CN"/>
        </w:rPr>
      </w:pPr>
    </w:p>
    <w:p>
      <w:pPr>
        <w:pStyle w:val="2"/>
        <w:rPr>
          <w:rFonts w:hint="eastAsia" w:ascii="仿宋" w:hAnsi="仿宋" w:eastAsia="仿宋" w:cs="仿宋"/>
          <w:b/>
          <w:color w:val="auto"/>
          <w:sz w:val="28"/>
          <w:highlight w:val="none"/>
          <w:lang w:eastAsia="zh-CN"/>
        </w:rPr>
      </w:pPr>
    </w:p>
    <w:p>
      <w:pPr>
        <w:pStyle w:val="2"/>
        <w:rPr>
          <w:rFonts w:hint="eastAsia" w:ascii="仿宋" w:hAnsi="仿宋" w:eastAsia="仿宋" w:cs="仿宋"/>
          <w:b/>
          <w:color w:val="auto"/>
          <w:sz w:val="28"/>
          <w:highlight w:val="none"/>
          <w:lang w:eastAsia="zh-CN"/>
        </w:rPr>
      </w:pPr>
    </w:p>
    <w:p>
      <w:pPr>
        <w:snapToGrid w:val="0"/>
        <w:spacing w:line="360" w:lineRule="auto"/>
        <w:rPr>
          <w:rFonts w:hint="eastAsia" w:ascii="仿宋" w:hAnsi="仿宋" w:eastAsia="仿宋" w:cs="仿宋"/>
          <w:b/>
          <w:color w:val="auto"/>
          <w:sz w:val="28"/>
          <w:highlight w:val="none"/>
          <w:lang w:eastAsia="zh-CN"/>
        </w:rPr>
      </w:pPr>
    </w:p>
    <w:p>
      <w:pPr>
        <w:snapToGrid w:val="0"/>
        <w:spacing w:line="360" w:lineRule="auto"/>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附件十二</w:t>
      </w:r>
    </w:p>
    <w:p>
      <w:pPr>
        <w:snapToGrid w:val="0"/>
        <w:spacing w:line="360" w:lineRule="auto"/>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对项目背景、现状的理解</w:t>
      </w:r>
    </w:p>
    <w:p>
      <w:pPr>
        <w:pStyle w:val="2"/>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pPr>
        <w:snapToGrid w:val="0"/>
        <w:spacing w:line="360" w:lineRule="auto"/>
        <w:rPr>
          <w:rFonts w:hint="eastAsia" w:ascii="仿宋" w:hAnsi="仿宋" w:eastAsia="仿宋" w:cs="仿宋"/>
          <w:b/>
          <w:color w:val="auto"/>
          <w:sz w:val="28"/>
          <w:highlight w:val="none"/>
          <w:lang w:eastAsia="zh-CN"/>
        </w:rPr>
      </w:pPr>
    </w:p>
    <w:p>
      <w:pPr>
        <w:snapToGrid w:val="0"/>
        <w:spacing w:line="360" w:lineRule="auto"/>
        <w:rPr>
          <w:rFonts w:hint="eastAsia" w:ascii="仿宋" w:hAnsi="仿宋" w:eastAsia="仿宋" w:cs="仿宋"/>
          <w:b/>
          <w:color w:val="auto"/>
          <w:sz w:val="28"/>
          <w:highlight w:val="none"/>
          <w:lang w:eastAsia="zh-CN"/>
        </w:rPr>
      </w:pPr>
    </w:p>
    <w:p>
      <w:pPr>
        <w:pStyle w:val="2"/>
        <w:ind w:left="0" w:leftChars="0" w:firstLine="0" w:firstLineChars="0"/>
        <w:rPr>
          <w:rFonts w:hint="eastAsia" w:ascii="仿宋" w:hAnsi="仿宋" w:eastAsia="仿宋" w:cs="仿宋"/>
          <w:b/>
          <w:color w:val="auto"/>
          <w:sz w:val="28"/>
          <w:highlight w:val="none"/>
          <w:lang w:eastAsia="zh-CN"/>
        </w:rPr>
      </w:pPr>
    </w:p>
    <w:p>
      <w:pPr>
        <w:pStyle w:val="2"/>
        <w:rPr>
          <w:rFonts w:hint="eastAsia" w:ascii="仿宋" w:hAnsi="仿宋" w:eastAsia="仿宋" w:cs="仿宋"/>
          <w:b/>
          <w:color w:val="auto"/>
          <w:sz w:val="28"/>
          <w:highlight w:val="none"/>
          <w:lang w:eastAsia="zh-CN"/>
        </w:rPr>
      </w:pPr>
    </w:p>
    <w:p>
      <w:pPr>
        <w:snapToGrid w:val="0"/>
        <w:spacing w:line="360" w:lineRule="auto"/>
        <w:rPr>
          <w:rFonts w:hint="eastAsia" w:ascii="仿宋" w:hAnsi="仿宋" w:eastAsia="仿宋" w:cs="仿宋"/>
          <w:b/>
          <w:color w:val="auto"/>
          <w:sz w:val="28"/>
          <w:highlight w:val="none"/>
          <w:lang w:eastAsia="zh-CN"/>
        </w:rPr>
      </w:pPr>
    </w:p>
    <w:p>
      <w:pPr>
        <w:snapToGrid w:val="0"/>
        <w:spacing w:line="360" w:lineRule="auto"/>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附件十三</w:t>
      </w:r>
    </w:p>
    <w:p>
      <w:pPr>
        <w:snapToGrid w:val="0"/>
        <w:spacing w:line="360" w:lineRule="auto"/>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规划方案</w:t>
      </w:r>
    </w:p>
    <w:p>
      <w:pPr>
        <w:pStyle w:val="2"/>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pPr>
        <w:snapToGrid w:val="0"/>
        <w:spacing w:line="360" w:lineRule="auto"/>
        <w:rPr>
          <w:rFonts w:hint="eastAsia" w:ascii="仿宋" w:hAnsi="仿宋" w:eastAsia="仿宋" w:cs="仿宋"/>
          <w:b/>
          <w:color w:val="auto"/>
          <w:sz w:val="28"/>
          <w:highlight w:val="none"/>
          <w:lang w:eastAsia="zh-CN"/>
        </w:rPr>
      </w:pPr>
    </w:p>
    <w:p>
      <w:pPr>
        <w:snapToGrid w:val="0"/>
        <w:spacing w:line="360" w:lineRule="auto"/>
        <w:rPr>
          <w:rFonts w:hint="eastAsia" w:ascii="仿宋" w:hAnsi="仿宋" w:eastAsia="仿宋" w:cs="仿宋"/>
          <w:b/>
          <w:color w:val="auto"/>
          <w:sz w:val="28"/>
          <w:highlight w:val="none"/>
          <w:lang w:eastAsia="zh-CN"/>
        </w:rPr>
      </w:pPr>
    </w:p>
    <w:p>
      <w:pPr>
        <w:pStyle w:val="2"/>
        <w:ind w:left="0" w:leftChars="0" w:firstLine="0" w:firstLineChars="0"/>
        <w:rPr>
          <w:rFonts w:hint="eastAsia" w:ascii="仿宋" w:hAnsi="仿宋" w:eastAsia="仿宋" w:cs="仿宋"/>
          <w:b/>
          <w:color w:val="auto"/>
          <w:sz w:val="28"/>
          <w:highlight w:val="none"/>
          <w:lang w:eastAsia="zh-CN"/>
        </w:rPr>
      </w:pPr>
    </w:p>
    <w:p>
      <w:pPr>
        <w:pStyle w:val="2"/>
        <w:ind w:left="0" w:leftChars="0" w:firstLine="0" w:firstLineChars="0"/>
        <w:rPr>
          <w:rFonts w:hint="eastAsia" w:ascii="仿宋" w:hAnsi="仿宋" w:eastAsia="仿宋" w:cs="仿宋"/>
          <w:color w:val="auto"/>
          <w:highlight w:val="none"/>
          <w:lang w:eastAsia="zh-CN"/>
        </w:rPr>
      </w:pPr>
    </w:p>
    <w:p>
      <w:pPr>
        <w:snapToGrid w:val="0"/>
        <w:spacing w:line="360" w:lineRule="auto"/>
        <w:rPr>
          <w:rFonts w:hint="eastAsia" w:ascii="仿宋" w:hAnsi="仿宋" w:eastAsia="仿宋" w:cs="仿宋"/>
          <w:b/>
          <w:color w:val="auto"/>
          <w:sz w:val="28"/>
          <w:highlight w:val="none"/>
        </w:rPr>
      </w:pPr>
      <w:r>
        <w:rPr>
          <w:rFonts w:hint="eastAsia" w:ascii="仿宋" w:hAnsi="仿宋" w:eastAsia="仿宋" w:cs="仿宋"/>
          <w:b/>
          <w:color w:val="auto"/>
          <w:sz w:val="28"/>
          <w:highlight w:val="none"/>
          <w:lang w:eastAsia="zh-CN"/>
        </w:rPr>
        <w:t>附件十四</w:t>
      </w:r>
    </w:p>
    <w:p>
      <w:pPr>
        <w:snapToGrid w:val="0"/>
        <w:spacing w:line="360" w:lineRule="auto"/>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设计质量、保密等保证措施</w:t>
      </w:r>
    </w:p>
    <w:p>
      <w:pPr>
        <w:pStyle w:val="2"/>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pPr>
        <w:snapToGrid w:val="0"/>
        <w:spacing w:line="360" w:lineRule="auto"/>
        <w:rPr>
          <w:rFonts w:hint="eastAsia" w:ascii="仿宋" w:hAnsi="仿宋" w:eastAsia="仿宋" w:cs="仿宋"/>
          <w:b/>
          <w:color w:val="auto"/>
          <w:sz w:val="28"/>
          <w:highlight w:val="none"/>
        </w:rPr>
      </w:pPr>
      <w:r>
        <w:rPr>
          <w:rFonts w:hint="eastAsia" w:ascii="仿宋" w:hAnsi="仿宋" w:eastAsia="仿宋" w:cs="仿宋"/>
          <w:b/>
          <w:color w:val="auto"/>
          <w:sz w:val="28"/>
          <w:highlight w:val="none"/>
          <w:lang w:eastAsia="zh-CN"/>
        </w:rPr>
        <w:t>附件十五</w:t>
      </w:r>
    </w:p>
    <w:p>
      <w:pPr>
        <w:snapToGrid w:val="0"/>
        <w:spacing w:line="360" w:lineRule="auto"/>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本项目重点、难点及对策</w:t>
      </w:r>
    </w:p>
    <w:p>
      <w:pPr>
        <w:pStyle w:val="2"/>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pPr>
        <w:snapToGrid w:val="0"/>
        <w:spacing w:line="360" w:lineRule="auto"/>
        <w:rPr>
          <w:rFonts w:hint="eastAsia" w:ascii="仿宋" w:hAnsi="仿宋" w:eastAsia="仿宋" w:cs="仿宋"/>
          <w:b/>
          <w:color w:val="auto"/>
          <w:sz w:val="28"/>
          <w:highlight w:val="none"/>
        </w:rPr>
      </w:pPr>
    </w:p>
    <w:p>
      <w:pPr>
        <w:snapToGrid w:val="0"/>
        <w:spacing w:line="360" w:lineRule="auto"/>
        <w:rPr>
          <w:rFonts w:hint="eastAsia" w:ascii="仿宋" w:hAnsi="仿宋" w:eastAsia="仿宋" w:cs="仿宋"/>
          <w:b/>
          <w:color w:val="auto"/>
          <w:sz w:val="28"/>
          <w:highlight w:val="none"/>
        </w:rPr>
      </w:pPr>
    </w:p>
    <w:p>
      <w:pPr>
        <w:pStyle w:val="2"/>
        <w:rPr>
          <w:rFonts w:hint="eastAsia" w:ascii="仿宋" w:hAnsi="仿宋" w:eastAsia="仿宋" w:cs="仿宋"/>
          <w:b/>
          <w:color w:val="auto"/>
          <w:sz w:val="28"/>
          <w:highlight w:val="none"/>
        </w:rPr>
      </w:pPr>
    </w:p>
    <w:p>
      <w:pPr>
        <w:pStyle w:val="2"/>
        <w:rPr>
          <w:rFonts w:hint="eastAsia" w:ascii="仿宋" w:hAnsi="仿宋" w:eastAsia="仿宋" w:cs="仿宋"/>
          <w:b/>
          <w:color w:val="auto"/>
          <w:sz w:val="28"/>
          <w:highlight w:val="none"/>
        </w:rPr>
      </w:pPr>
    </w:p>
    <w:p>
      <w:pPr>
        <w:pStyle w:val="2"/>
        <w:rPr>
          <w:rFonts w:hint="eastAsia" w:ascii="仿宋" w:hAnsi="仿宋" w:eastAsia="仿宋" w:cs="仿宋"/>
          <w:b/>
          <w:color w:val="auto"/>
          <w:sz w:val="28"/>
          <w:highlight w:val="none"/>
        </w:rPr>
      </w:pPr>
    </w:p>
    <w:p>
      <w:pPr>
        <w:pStyle w:val="2"/>
        <w:rPr>
          <w:rFonts w:hint="eastAsia" w:ascii="仿宋" w:hAnsi="仿宋" w:eastAsia="仿宋" w:cs="仿宋"/>
          <w:b/>
          <w:color w:val="auto"/>
          <w:sz w:val="28"/>
          <w:highlight w:val="none"/>
        </w:rPr>
      </w:pPr>
    </w:p>
    <w:p>
      <w:pPr>
        <w:pStyle w:val="2"/>
        <w:rPr>
          <w:rFonts w:hint="eastAsia" w:ascii="仿宋" w:hAnsi="仿宋" w:eastAsia="仿宋" w:cs="仿宋"/>
          <w:b/>
          <w:color w:val="auto"/>
          <w:sz w:val="28"/>
          <w:highlight w:val="none"/>
        </w:rPr>
      </w:pPr>
    </w:p>
    <w:p>
      <w:pPr>
        <w:pStyle w:val="2"/>
        <w:rPr>
          <w:rFonts w:hint="eastAsia" w:ascii="仿宋" w:hAnsi="仿宋" w:eastAsia="仿宋" w:cs="仿宋"/>
          <w:b/>
          <w:color w:val="auto"/>
          <w:sz w:val="28"/>
          <w:highlight w:val="none"/>
        </w:rPr>
      </w:pPr>
    </w:p>
    <w:p>
      <w:pPr>
        <w:snapToGrid w:val="0"/>
        <w:spacing w:line="360" w:lineRule="auto"/>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附件十</w:t>
      </w:r>
      <w:r>
        <w:rPr>
          <w:rFonts w:hint="eastAsia" w:ascii="仿宋" w:hAnsi="仿宋" w:eastAsia="仿宋" w:cs="仿宋"/>
          <w:b/>
          <w:color w:val="auto"/>
          <w:sz w:val="28"/>
          <w:highlight w:val="none"/>
          <w:lang w:eastAsia="zh-CN"/>
        </w:rPr>
        <w:t>六</w:t>
      </w:r>
    </w:p>
    <w:p>
      <w:pPr>
        <w:pStyle w:val="59"/>
        <w:spacing w:after="120"/>
        <w:ind w:firstLine="1883" w:firstLineChars="67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供应商认为有必要提供的其它材料</w:t>
      </w:r>
    </w:p>
    <w:p>
      <w:pPr>
        <w:pStyle w:val="2"/>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rPr>
        <w:t>城乡规划编制乙级及以上资质</w:t>
      </w:r>
      <w:r>
        <w:rPr>
          <w:rFonts w:hint="eastAsia" w:ascii="仿宋" w:hAnsi="仿宋" w:eastAsia="仿宋" w:cs="仿宋"/>
          <w:color w:val="auto"/>
          <w:highlight w:val="none"/>
          <w:lang w:eastAsia="zh-CN"/>
        </w:rPr>
        <w:t>等其他认为必要提供的材料）</w:t>
      </w: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color w:val="auto"/>
          <w:sz w:val="28"/>
          <w:highlight w:val="none"/>
        </w:rPr>
        <w:t>附件十</w:t>
      </w:r>
      <w:r>
        <w:rPr>
          <w:rFonts w:hint="eastAsia" w:ascii="仿宋" w:hAnsi="仿宋" w:eastAsia="仿宋" w:cs="仿宋"/>
          <w:b/>
          <w:color w:val="auto"/>
          <w:sz w:val="28"/>
          <w:highlight w:val="none"/>
          <w:lang w:eastAsia="zh-CN"/>
        </w:rPr>
        <w:t>七</w:t>
      </w:r>
    </w:p>
    <w:p>
      <w:pPr>
        <w:pStyle w:val="60"/>
        <w:spacing w:line="276" w:lineRule="auto"/>
        <w:ind w:left="561" w:leftChars="267" w:firstLine="2530" w:firstLineChars="900"/>
        <w:rPr>
          <w:rFonts w:hint="eastAsia" w:ascii="仿宋" w:hAnsi="仿宋" w:eastAsia="仿宋" w:cs="仿宋"/>
          <w:b/>
          <w:color w:val="auto"/>
          <w:kern w:val="2"/>
          <w:sz w:val="28"/>
          <w:szCs w:val="20"/>
          <w:highlight w:val="none"/>
          <w:lang w:val="en-US" w:eastAsia="zh-CN" w:bidi="ar-SA"/>
        </w:rPr>
      </w:pPr>
      <w:r>
        <w:rPr>
          <w:rFonts w:hint="eastAsia" w:ascii="仿宋" w:hAnsi="仿宋" w:eastAsia="仿宋" w:cs="仿宋"/>
          <w:b/>
          <w:color w:val="auto"/>
          <w:kern w:val="2"/>
          <w:sz w:val="28"/>
          <w:szCs w:val="20"/>
          <w:highlight w:val="none"/>
          <w:lang w:val="en-US" w:eastAsia="zh-CN" w:bidi="ar-SA"/>
        </w:rPr>
        <w:t>投标保证金缴纳凭证</w:t>
      </w:r>
    </w:p>
    <w:p>
      <w:pPr>
        <w:pStyle w:val="60"/>
        <w:spacing w:line="276" w:lineRule="auto"/>
        <w:ind w:left="420" w:leftChars="200" w:firstLine="5280" w:firstLineChars="2200"/>
        <w:jc w:val="left"/>
        <w:rPr>
          <w:rFonts w:hint="eastAsia" w:ascii="仿宋" w:hAnsi="仿宋" w:eastAsia="仿宋" w:cs="仿宋"/>
          <w:color w:val="auto"/>
          <w:sz w:val="24"/>
          <w:szCs w:val="24"/>
          <w:highlight w:val="none"/>
        </w:rPr>
      </w:pPr>
    </w:p>
    <w:p>
      <w:pPr>
        <w:pStyle w:val="60"/>
        <w:ind w:left="420" w:leftChars="200" w:firstLine="5280" w:firstLineChars="2200"/>
        <w:jc w:val="left"/>
        <w:rPr>
          <w:rFonts w:hint="eastAsia" w:ascii="仿宋" w:hAnsi="仿宋" w:eastAsia="仿宋" w:cs="仿宋"/>
          <w:color w:val="auto"/>
          <w:sz w:val="24"/>
          <w:szCs w:val="24"/>
          <w:highlight w:val="none"/>
        </w:rPr>
      </w:pPr>
    </w:p>
    <w:p>
      <w:pPr>
        <w:pStyle w:val="60"/>
        <w:ind w:left="420" w:leftChars="200" w:firstLine="5280" w:firstLineChars="2200"/>
        <w:jc w:val="left"/>
        <w:rPr>
          <w:rFonts w:hint="eastAsia" w:ascii="仿宋" w:hAnsi="仿宋" w:eastAsia="仿宋" w:cs="仿宋"/>
          <w:color w:val="auto"/>
          <w:sz w:val="24"/>
          <w:szCs w:val="24"/>
          <w:highlight w:val="none"/>
        </w:rPr>
      </w:pPr>
    </w:p>
    <w:p>
      <w:pPr>
        <w:pStyle w:val="60"/>
        <w:ind w:left="420" w:leftChars="200" w:firstLine="5280" w:firstLineChars="2200"/>
        <w:jc w:val="left"/>
        <w:rPr>
          <w:rFonts w:hint="eastAsia" w:ascii="仿宋" w:hAnsi="仿宋" w:eastAsia="仿宋" w:cs="仿宋"/>
          <w:color w:val="auto"/>
          <w:sz w:val="24"/>
          <w:szCs w:val="24"/>
          <w:highlight w:val="none"/>
        </w:rPr>
      </w:pPr>
    </w:p>
    <w:p>
      <w:pPr>
        <w:pStyle w:val="60"/>
        <w:ind w:left="420" w:leftChars="200" w:firstLine="5280" w:firstLineChars="2200"/>
        <w:jc w:val="left"/>
        <w:rPr>
          <w:rFonts w:hint="eastAsia" w:ascii="仿宋" w:hAnsi="仿宋" w:eastAsia="仿宋" w:cs="仿宋"/>
          <w:color w:val="auto"/>
          <w:sz w:val="24"/>
          <w:szCs w:val="24"/>
          <w:highlight w:val="none"/>
        </w:rPr>
      </w:pPr>
    </w:p>
    <w:p>
      <w:pPr>
        <w:pStyle w:val="60"/>
        <w:ind w:left="420" w:leftChars="200" w:firstLine="5280" w:firstLineChars="2200"/>
        <w:jc w:val="left"/>
        <w:rPr>
          <w:rFonts w:hint="eastAsia" w:ascii="仿宋" w:hAnsi="仿宋" w:eastAsia="仿宋" w:cs="仿宋"/>
          <w:color w:val="auto"/>
          <w:sz w:val="24"/>
          <w:szCs w:val="24"/>
          <w:highlight w:val="none"/>
        </w:rPr>
      </w:pPr>
    </w:p>
    <w:p>
      <w:pPr>
        <w:pStyle w:val="59"/>
        <w:spacing w:after="120"/>
        <w:ind w:left="0" w:leftChars="0" w:firstLine="0" w:firstLineChars="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snapToGrid w:val="0"/>
        <w:spacing w:line="360" w:lineRule="auto"/>
        <w:rPr>
          <w:rFonts w:hint="eastAsia" w:ascii="仿宋" w:hAnsi="仿宋" w:eastAsia="仿宋" w:cs="仿宋"/>
          <w:b/>
          <w:color w:val="auto"/>
          <w:sz w:val="24"/>
          <w:highlight w:val="none"/>
        </w:rPr>
      </w:pPr>
    </w:p>
    <w:p>
      <w:pPr>
        <w:rPr>
          <w:rFonts w:hint="eastAsia" w:ascii="仿宋" w:hAnsi="仿宋" w:eastAsia="仿宋" w:cs="仿宋"/>
          <w:b/>
          <w:color w:val="auto"/>
          <w:sz w:val="28"/>
          <w:szCs w:val="28"/>
          <w:highlight w:val="none"/>
        </w:rPr>
        <w:sectPr>
          <w:pgSz w:w="11906" w:h="16838"/>
          <w:pgMar w:top="1440" w:right="1797" w:bottom="1440" w:left="1797" w:header="851" w:footer="992" w:gutter="0"/>
          <w:cols w:space="720" w:num="1"/>
          <w:docGrid w:linePitch="312" w:charSpace="0"/>
        </w:sectPr>
      </w:pPr>
    </w:p>
    <w:p>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附件十</w:t>
      </w:r>
      <w:r>
        <w:rPr>
          <w:rFonts w:hint="eastAsia" w:ascii="仿宋" w:hAnsi="仿宋" w:eastAsia="仿宋" w:cs="仿宋"/>
          <w:b/>
          <w:color w:val="auto"/>
          <w:sz w:val="28"/>
          <w:szCs w:val="28"/>
          <w:highlight w:val="none"/>
          <w:lang w:eastAsia="zh-CN"/>
        </w:rPr>
        <w:t>八</w:t>
      </w:r>
    </w:p>
    <w:p>
      <w:pPr>
        <w:jc w:val="center"/>
        <w:rPr>
          <w:rFonts w:hint="eastAsia" w:ascii="仿宋" w:hAnsi="仿宋" w:eastAsia="仿宋" w:cs="仿宋"/>
          <w:b/>
          <w:bCs/>
          <w:color w:val="auto"/>
          <w:sz w:val="28"/>
          <w:szCs w:val="28"/>
          <w:highlight w:val="none"/>
        </w:rPr>
      </w:pP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投标企业所提供资料真实性承诺书</w:t>
      </w:r>
    </w:p>
    <w:p>
      <w:pPr>
        <w:ind w:firstLine="560" w:firstLineChars="200"/>
        <w:rPr>
          <w:rFonts w:hint="eastAsia" w:ascii="仿宋" w:hAnsi="仿宋" w:eastAsia="仿宋" w:cs="仿宋"/>
          <w:color w:val="auto"/>
          <w:kern w:val="0"/>
          <w:sz w:val="28"/>
          <w:szCs w:val="28"/>
          <w:highlight w:val="none"/>
          <w:lang w:val="zh-CN"/>
        </w:rPr>
      </w:pPr>
    </w:p>
    <w:p>
      <w:pPr>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我公司保证在项目（</w:t>
      </w: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项目</w:t>
      </w:r>
      <w:r>
        <w:rPr>
          <w:rFonts w:hint="eastAsia" w:ascii="仿宋" w:hAnsi="仿宋" w:eastAsia="仿宋" w:cs="仿宋"/>
          <w:color w:val="auto"/>
          <w:kern w:val="0"/>
          <w:sz w:val="28"/>
          <w:szCs w:val="28"/>
          <w:highlight w:val="none"/>
          <w:lang w:val="zh-CN"/>
        </w:rPr>
        <w:t>编号：）的招标活动中，所提供的所有资质证件全部真实有效，如有弄虚作假，愿意接受任何处罚。</w:t>
      </w: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pStyle w:val="59"/>
        <w:spacing w:after="120"/>
        <w:rPr>
          <w:rFonts w:hint="eastAsia" w:ascii="仿宋" w:hAnsi="仿宋" w:eastAsia="仿宋" w:cs="仿宋"/>
          <w:color w:val="auto"/>
          <w:highlight w:val="none"/>
        </w:rPr>
      </w:pPr>
    </w:p>
    <w:p>
      <w:pPr>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单位名称（公章）：</w:t>
      </w:r>
    </w:p>
    <w:p>
      <w:pPr>
        <w:rPr>
          <w:rFonts w:hint="eastAsia" w:ascii="仿宋" w:hAnsi="仿宋" w:eastAsia="仿宋" w:cs="仿宋"/>
          <w:color w:val="auto"/>
          <w:kern w:val="0"/>
          <w:sz w:val="28"/>
          <w:szCs w:val="28"/>
          <w:highlight w:val="none"/>
          <w:lang w:val="zh-CN"/>
        </w:rPr>
      </w:pPr>
    </w:p>
    <w:p>
      <w:pPr>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法定代表人（签字、盖章）：</w:t>
      </w:r>
    </w:p>
    <w:p>
      <w:pPr>
        <w:rPr>
          <w:rFonts w:hint="eastAsia" w:ascii="仿宋" w:hAnsi="仿宋" w:eastAsia="仿宋" w:cs="仿宋"/>
          <w:color w:val="auto"/>
          <w:kern w:val="0"/>
          <w:sz w:val="28"/>
          <w:szCs w:val="28"/>
          <w:highlight w:val="none"/>
          <w:lang w:val="zh-CN"/>
        </w:rPr>
      </w:pPr>
    </w:p>
    <w:p>
      <w:pPr>
        <w:rPr>
          <w:rFonts w:hint="eastAsia" w:ascii="仿宋" w:hAnsi="仿宋" w:eastAsia="仿宋" w:cs="仿宋"/>
          <w:b/>
          <w:bCs/>
          <w:color w:val="000000"/>
          <w:sz w:val="36"/>
          <w:szCs w:val="36"/>
        </w:rPr>
      </w:pPr>
      <w:r>
        <w:rPr>
          <w:rFonts w:hint="eastAsia" w:ascii="仿宋" w:hAnsi="仿宋" w:eastAsia="仿宋" w:cs="仿宋"/>
          <w:color w:val="auto"/>
          <w:kern w:val="0"/>
          <w:sz w:val="28"/>
          <w:szCs w:val="28"/>
          <w:highlight w:val="none"/>
          <w:lang w:val="zh-CN"/>
        </w:rPr>
        <w:t>法人授权代表（签字）：</w:t>
      </w:r>
    </w:p>
    <w:p>
      <w:pPr>
        <w:pStyle w:val="5"/>
        <w:spacing w:before="120" w:after="312" w:afterLines="100"/>
        <w:jc w:val="center"/>
        <w:rPr>
          <w:rFonts w:hint="eastAsia" w:ascii="仿宋" w:hAnsi="仿宋" w:eastAsia="仿宋" w:cs="仿宋"/>
          <w:b/>
          <w:bCs/>
          <w:color w:val="000000"/>
          <w:sz w:val="36"/>
          <w:szCs w:val="36"/>
        </w:rPr>
      </w:pPr>
    </w:p>
    <w:p>
      <w:pPr>
        <w:tabs>
          <w:tab w:val="left" w:pos="3447"/>
        </w:tabs>
        <w:rPr>
          <w:rFonts w:hint="eastAsia"/>
          <w:lang w:eastAsia="zh-CN"/>
        </w:rPr>
      </w:pPr>
      <w:r>
        <w:rPr>
          <w:rFonts w:hint="eastAsia"/>
          <w:lang w:eastAsia="zh-CN"/>
        </w:rPr>
        <w:tab/>
      </w:r>
    </w:p>
    <w:p>
      <w:pPr>
        <w:pStyle w:val="2"/>
        <w:rPr>
          <w:rFonts w:hint="eastAsia"/>
          <w:lang w:eastAsia="zh-CN"/>
        </w:rPr>
      </w:pPr>
    </w:p>
    <w:p>
      <w:pPr>
        <w:pStyle w:val="2"/>
        <w:rPr>
          <w:rFonts w:hint="eastAsia"/>
          <w:lang w:eastAsia="zh-CN"/>
        </w:rPr>
      </w:pPr>
    </w:p>
    <w:p>
      <w:pPr>
        <w:pStyle w:val="2"/>
        <w:rPr>
          <w:rFonts w:hint="eastAsia"/>
          <w:lang w:eastAsia="zh-CN"/>
        </w:rPr>
      </w:pPr>
    </w:p>
    <w:p>
      <w:pPr>
        <w:pStyle w:val="5"/>
        <w:spacing w:before="120" w:after="312" w:afterLines="100"/>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第七章、评标办法</w:t>
      </w:r>
      <w:bookmarkEnd w:id="187"/>
      <w:bookmarkEnd w:id="188"/>
    </w:p>
    <w:p>
      <w:pPr>
        <w:spacing w:line="440" w:lineRule="exact"/>
        <w:ind w:firstLine="482" w:firstLineChars="200"/>
        <w:rPr>
          <w:rFonts w:ascii="仿宋" w:hAnsi="仿宋" w:eastAsia="仿宋" w:cs="仿宋"/>
          <w:b/>
          <w:sz w:val="24"/>
        </w:rPr>
      </w:pPr>
      <w:bookmarkStart w:id="196" w:name="_Toc219020598"/>
      <w:bookmarkStart w:id="197" w:name="_Toc287267418"/>
      <w:bookmarkStart w:id="198" w:name="_Toc220171019"/>
      <w:bookmarkStart w:id="199" w:name="_Toc287368028"/>
      <w:bookmarkStart w:id="200" w:name="_Toc298786939"/>
      <w:bookmarkStart w:id="201" w:name="_Toc298786726"/>
      <w:bookmarkStart w:id="202" w:name="_Toc378520549"/>
      <w:r>
        <w:rPr>
          <w:rFonts w:hint="eastAsia" w:ascii="仿宋" w:hAnsi="仿宋" w:eastAsia="仿宋" w:cs="仿宋"/>
          <w:b/>
          <w:sz w:val="24"/>
        </w:rPr>
        <w:t>1. 评标依据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1.1　评标的依据为招标文件。</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2. 投标文件的澄清</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2.1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2.2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3. 对投标文件的评估和比较</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3.1　对实质性响应的投标文件进行评估和比较。</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3.2  对投标价格的评估和比较评定：</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（1）零配件、专用工具及相关服务的费用；</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（2）招标文件中所要求的有关服务费用；</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（3）发货到最终目的地的内陆运输、保险及其他费用；</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4. 评标过程的保密</w:t>
      </w:r>
    </w:p>
    <w:p>
      <w:pPr>
        <w:spacing w:line="440" w:lineRule="exact"/>
        <w:ind w:firstLine="480" w:firstLineChars="200"/>
        <w:rPr>
          <w:rFonts w:ascii="仿宋" w:hAnsi="仿宋" w:eastAsia="仿宋" w:cs="仿宋"/>
          <w:spacing w:val="-2"/>
          <w:sz w:val="24"/>
        </w:rPr>
      </w:pPr>
      <w:r>
        <w:rPr>
          <w:rFonts w:hint="eastAsia" w:ascii="仿宋" w:hAnsi="仿宋" w:eastAsia="仿宋" w:cs="仿宋"/>
          <w:sz w:val="24"/>
        </w:rPr>
        <w:t xml:space="preserve">4.1  </w:t>
      </w:r>
      <w:r>
        <w:rPr>
          <w:rFonts w:hint="eastAsia" w:ascii="仿宋" w:hAnsi="仿宋" w:eastAsia="仿宋" w:cs="仿宋"/>
          <w:spacing w:val="-2"/>
          <w:sz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cs="仿宋"/>
          <w:spacing w:val="-2"/>
          <w:sz w:val="24"/>
        </w:rPr>
      </w:pPr>
      <w:r>
        <w:rPr>
          <w:rFonts w:hint="eastAsia" w:ascii="仿宋" w:hAnsi="仿宋" w:eastAsia="仿宋" w:cs="仿宋"/>
          <w:sz w:val="24"/>
        </w:rPr>
        <w:t xml:space="preserve">4.2 </w:t>
      </w:r>
      <w:r>
        <w:rPr>
          <w:rFonts w:hint="eastAsia" w:ascii="仿宋" w:hAnsi="仿宋" w:eastAsia="仿宋" w:cs="仿宋"/>
          <w:spacing w:val="-2"/>
          <w:sz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5. 初步评审</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仿宋" w:hAnsi="仿宋" w:eastAsia="仿宋" w:cs="仿宋"/>
          <w:b/>
          <w:spacing w:val="-2"/>
          <w:sz w:val="24"/>
          <w:u w:val="single"/>
        </w:rPr>
      </w:pPr>
      <w:r>
        <w:rPr>
          <w:rFonts w:hint="eastAsia" w:ascii="仿宋" w:hAnsi="仿宋" w:eastAsia="仿宋" w:cs="仿宋"/>
          <w:b/>
          <w:spacing w:val="-2"/>
          <w:sz w:val="24"/>
          <w:u w:val="single"/>
        </w:rPr>
        <w:t xml:space="preserve"> 5.3　投标最低报价，不作为中标的依据。</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5.4　招标方不接受不符合国家有关部门相关规定的投标报价或优惠方案。</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5.6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5.7  评标委员会应当审查每一投标文件是否对招标文件提出的所有实质性要求和条件做出满足。未能在实质上满足的投标，应作废标处理。</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5.8　投标人不得误导、干扰招标方的评标活动，否则将废除其投标。</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5.9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5.10  下列情况属于重大偏差：</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（1）没有按照招标文件要求提供投标保证金的；</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（2）投标文件没有投标人授权代表签字和加盖公章的；</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（3）投标文件中附有招标方不能接受的条件的；</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（4）不符合招标文件中规定的其他实质性要求的。</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投标文件有上述情形之一的，为未能对招标文件做出实质性满足的投标，并作废标处理。</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5.12  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5.13  对投标文件满足招标文件条款的审查：</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（4）评标委员会判断投标文件的满足性仅基于投标文件本身而不靠外部证据；</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（5）评标委员会将拒绝被确定为非实质性满足的投标。投标人不能通过修正或撤消不符合之处而使其投标成为实质性满足的投标。</w:t>
      </w: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552" w:firstLineChars="200"/>
        <w:jc w:val="center"/>
        <w:rPr>
          <w:rFonts w:hint="eastAsia" w:ascii="仿宋" w:hAnsi="仿宋" w:eastAsia="仿宋" w:cs="仿宋"/>
          <w:spacing w:val="-2"/>
          <w:sz w:val="28"/>
          <w:szCs w:val="28"/>
        </w:rPr>
      </w:pPr>
    </w:p>
    <w:p>
      <w:pPr>
        <w:spacing w:line="440" w:lineRule="exact"/>
        <w:ind w:firstLine="632" w:firstLineChars="200"/>
        <w:jc w:val="center"/>
        <w:rPr>
          <w:rFonts w:ascii="仿宋" w:hAnsi="仿宋" w:eastAsia="仿宋" w:cs="仿宋"/>
          <w:spacing w:val="-2"/>
          <w:sz w:val="28"/>
          <w:szCs w:val="28"/>
        </w:rPr>
      </w:pPr>
      <w:r>
        <w:rPr>
          <w:rFonts w:hint="eastAsia" w:ascii="仿宋" w:hAnsi="仿宋" w:eastAsia="仿宋" w:cs="仿宋"/>
          <w:spacing w:val="-2"/>
          <w:sz w:val="32"/>
          <w:szCs w:val="32"/>
        </w:rPr>
        <w:t>投标文件响应程度初步审查表</w:t>
      </w:r>
    </w:p>
    <w:p>
      <w:pPr>
        <w:numPr>
          <w:ilvl w:val="0"/>
          <w:numId w:val="5"/>
        </w:numPr>
        <w:spacing w:line="440" w:lineRule="exact"/>
        <w:jc w:val="center"/>
        <w:rPr>
          <w:rFonts w:ascii="仿宋" w:hAnsi="仿宋" w:eastAsia="仿宋" w:cs="仿宋"/>
          <w:spacing w:val="-2"/>
          <w:sz w:val="28"/>
          <w:szCs w:val="28"/>
        </w:rPr>
      </w:pPr>
      <w:r>
        <w:rPr>
          <w:rFonts w:hint="eastAsia" w:ascii="仿宋" w:hAnsi="仿宋" w:eastAsia="仿宋" w:cs="仿宋"/>
          <w:spacing w:val="-2"/>
          <w:sz w:val="28"/>
          <w:szCs w:val="28"/>
        </w:rPr>
        <w:t>资格性审查</w:t>
      </w:r>
    </w:p>
    <w:tbl>
      <w:tblPr>
        <w:tblStyle w:val="29"/>
        <w:tblW w:w="8449" w:type="dxa"/>
        <w:tblInd w:w="0" w:type="dxa"/>
        <w:tblLayout w:type="fixed"/>
        <w:tblCellMar>
          <w:top w:w="0" w:type="dxa"/>
          <w:left w:w="0" w:type="dxa"/>
          <w:bottom w:w="0" w:type="dxa"/>
          <w:right w:w="0" w:type="dxa"/>
        </w:tblCellMar>
      </w:tblPr>
      <w:tblGrid>
        <w:gridCol w:w="742"/>
        <w:gridCol w:w="4667"/>
        <w:gridCol w:w="747"/>
        <w:gridCol w:w="706"/>
        <w:gridCol w:w="694"/>
        <w:gridCol w:w="893"/>
      </w:tblGrid>
      <w:tr>
        <w:tblPrEx>
          <w:tblLayout w:type="fixed"/>
          <w:tblCellMar>
            <w:top w:w="0" w:type="dxa"/>
            <w:left w:w="0" w:type="dxa"/>
            <w:bottom w:w="0" w:type="dxa"/>
            <w:right w:w="0" w:type="dxa"/>
          </w:tblCellMar>
        </w:tblPrEx>
        <w:trPr>
          <w:trHeight w:val="348" w:hRule="atLeast"/>
        </w:trPr>
        <w:tc>
          <w:tcPr>
            <w:tcW w:w="5409" w:type="dxa"/>
            <w:gridSpan w:val="2"/>
            <w:vMerge w:val="restart"/>
            <w:tcBorders>
              <w:top w:val="single" w:color="000000" w:sz="12" w:space="0"/>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评审内容</w:t>
            </w:r>
          </w:p>
        </w:tc>
        <w:tc>
          <w:tcPr>
            <w:tcW w:w="3040" w:type="dxa"/>
            <w:gridSpan w:val="4"/>
            <w:tcBorders>
              <w:top w:val="single" w:color="000000" w:sz="12" w:space="0"/>
              <w:left w:val="nil"/>
              <w:bottom w:val="single" w:color="000000" w:sz="8" w:space="0"/>
              <w:right w:val="single" w:color="000000" w:sz="12"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投标企业名称</w:t>
            </w:r>
          </w:p>
        </w:tc>
      </w:tr>
      <w:tr>
        <w:tblPrEx>
          <w:tblLayout w:type="fixed"/>
          <w:tblCellMar>
            <w:top w:w="0" w:type="dxa"/>
            <w:left w:w="0" w:type="dxa"/>
            <w:bottom w:w="0" w:type="dxa"/>
            <w:right w:w="0" w:type="dxa"/>
          </w:tblCellMar>
        </w:tblPrEx>
        <w:trPr>
          <w:trHeight w:val="776" w:hRule="atLeast"/>
        </w:trPr>
        <w:tc>
          <w:tcPr>
            <w:tcW w:w="5409" w:type="dxa"/>
            <w:gridSpan w:val="2"/>
            <w:vMerge w:val="continue"/>
            <w:tcBorders>
              <w:top w:val="single" w:color="000000" w:sz="12" w:space="0"/>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47"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jc w:val="center"/>
              <w:rPr>
                <w:rFonts w:hint="eastAsia" w:ascii="仿宋" w:hAnsi="仿宋" w:eastAsia="仿宋" w:cs="仿宋"/>
                <w:spacing w:val="-2"/>
                <w:sz w:val="24"/>
                <w:lang w:val="en-US" w:eastAsia="zh-CN"/>
              </w:rPr>
            </w:pPr>
            <w:r>
              <w:rPr>
                <w:rFonts w:hint="eastAsia" w:ascii="仿宋" w:hAnsi="仿宋" w:eastAsia="仿宋" w:cs="仿宋"/>
                <w:spacing w:val="-2"/>
                <w:sz w:val="24"/>
                <w:lang w:val="en-US" w:eastAsia="zh-CN"/>
              </w:rPr>
              <w:t>是否</w:t>
            </w:r>
          </w:p>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合格</w:t>
            </w:r>
          </w:p>
        </w:tc>
        <w:tc>
          <w:tcPr>
            <w:tcW w:w="706" w:type="dxa"/>
            <w:tcBorders>
              <w:top w:val="single" w:color="000000" w:sz="8" w:space="0"/>
              <w:left w:val="nil"/>
              <w:bottom w:val="single" w:color="000000" w:sz="8" w:space="0"/>
              <w:right w:val="single" w:color="000000" w:sz="8" w:space="0"/>
            </w:tcBorders>
            <w:noWrap w:val="0"/>
            <w:tcMar>
              <w:top w:w="12" w:type="dxa"/>
              <w:left w:w="12" w:type="dxa"/>
              <w:right w:w="12" w:type="dxa"/>
            </w:tcMar>
            <w:vAlign w:val="top"/>
          </w:tcPr>
          <w:p>
            <w:pPr>
              <w:spacing w:line="440" w:lineRule="exact"/>
              <w:jc w:val="center"/>
              <w:rPr>
                <w:rFonts w:hint="eastAsia" w:ascii="仿宋" w:hAnsi="仿宋" w:eastAsia="仿宋" w:cs="仿宋"/>
                <w:spacing w:val="-2"/>
                <w:sz w:val="24"/>
                <w:lang w:val="en-US" w:eastAsia="zh-CN"/>
              </w:rPr>
            </w:pPr>
            <w:r>
              <w:rPr>
                <w:rFonts w:hint="eastAsia" w:ascii="仿宋" w:hAnsi="仿宋" w:eastAsia="仿宋" w:cs="仿宋"/>
                <w:spacing w:val="-2"/>
                <w:sz w:val="24"/>
                <w:lang w:val="en-US" w:eastAsia="zh-CN"/>
              </w:rPr>
              <w:t>是否</w:t>
            </w:r>
          </w:p>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合格</w:t>
            </w:r>
          </w:p>
        </w:tc>
        <w:tc>
          <w:tcPr>
            <w:tcW w:w="694" w:type="dxa"/>
            <w:tcBorders>
              <w:top w:val="single" w:color="000000" w:sz="8" w:space="0"/>
              <w:left w:val="nil"/>
              <w:bottom w:val="single" w:color="000000" w:sz="8" w:space="0"/>
              <w:right w:val="single" w:color="000000" w:sz="8" w:space="0"/>
            </w:tcBorders>
            <w:noWrap w:val="0"/>
            <w:tcMar>
              <w:top w:w="12" w:type="dxa"/>
              <w:left w:w="12" w:type="dxa"/>
              <w:right w:w="12" w:type="dxa"/>
            </w:tcMar>
            <w:vAlign w:val="top"/>
          </w:tcPr>
          <w:p>
            <w:pPr>
              <w:spacing w:line="440" w:lineRule="exact"/>
              <w:jc w:val="center"/>
              <w:rPr>
                <w:rFonts w:hint="eastAsia" w:ascii="仿宋" w:hAnsi="仿宋" w:eastAsia="仿宋" w:cs="仿宋"/>
                <w:spacing w:val="-2"/>
                <w:sz w:val="24"/>
                <w:lang w:val="en-US" w:eastAsia="zh-CN"/>
              </w:rPr>
            </w:pPr>
            <w:r>
              <w:rPr>
                <w:rFonts w:hint="eastAsia" w:ascii="仿宋" w:hAnsi="仿宋" w:eastAsia="仿宋" w:cs="仿宋"/>
                <w:spacing w:val="-2"/>
                <w:sz w:val="24"/>
                <w:lang w:val="en-US" w:eastAsia="zh-CN"/>
              </w:rPr>
              <w:t>是否</w:t>
            </w:r>
          </w:p>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合格</w:t>
            </w:r>
          </w:p>
        </w:tc>
        <w:tc>
          <w:tcPr>
            <w:tcW w:w="893" w:type="dxa"/>
            <w:tcBorders>
              <w:top w:val="single" w:color="000000" w:sz="8" w:space="0"/>
              <w:left w:val="nil"/>
              <w:bottom w:val="single" w:color="000000" w:sz="8" w:space="0"/>
              <w:right w:val="single" w:color="000000" w:sz="12"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w:t>
            </w:r>
          </w:p>
        </w:tc>
      </w:tr>
      <w:tr>
        <w:tblPrEx>
          <w:tblLayout w:type="fixed"/>
          <w:tblCellMar>
            <w:top w:w="0" w:type="dxa"/>
            <w:left w:w="0" w:type="dxa"/>
            <w:bottom w:w="0" w:type="dxa"/>
            <w:right w:w="0" w:type="dxa"/>
          </w:tblCellMar>
        </w:tblPrEx>
        <w:trPr>
          <w:trHeight w:val="820" w:hRule="atLeast"/>
        </w:trPr>
        <w:tc>
          <w:tcPr>
            <w:tcW w:w="742" w:type="dxa"/>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1</w:t>
            </w: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是否具备有效的营业执照副本（三证合一），与原件一致</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single" w:color="000000" w:sz="8" w:space="0"/>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680" w:hRule="atLeast"/>
        </w:trPr>
        <w:tc>
          <w:tcPr>
            <w:tcW w:w="742" w:type="dxa"/>
            <w:vMerge w:val="restart"/>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2</w:t>
            </w:r>
          </w:p>
        </w:tc>
        <w:tc>
          <w:tcPr>
            <w:tcW w:w="4667" w:type="dxa"/>
            <w:tcBorders>
              <w:top w:val="nil"/>
              <w:left w:val="nil"/>
              <w:bottom w:val="nil"/>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符合《政府采购法》第二十二条规定的条件</w:t>
            </w:r>
          </w:p>
        </w:tc>
        <w:tc>
          <w:tcPr>
            <w:tcW w:w="747"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vMerge w:val="restart"/>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vMerge w:val="restart"/>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660" w:hRule="atLeast"/>
        </w:trPr>
        <w:tc>
          <w:tcPr>
            <w:tcW w:w="742" w:type="dxa"/>
            <w:vMerge w:val="continue"/>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（一）具有独立承担民事责任的能力；</w:t>
            </w:r>
          </w:p>
        </w:tc>
        <w:tc>
          <w:tcPr>
            <w:tcW w:w="747"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vMerge w:val="continue"/>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vMerge w:val="continue"/>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1100" w:hRule="atLeast"/>
        </w:trPr>
        <w:tc>
          <w:tcPr>
            <w:tcW w:w="742" w:type="dxa"/>
            <w:vMerge w:val="continue"/>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（二）具有履行合同所必需的设备和专业技术能力；</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880" w:hRule="atLeast"/>
        </w:trPr>
        <w:tc>
          <w:tcPr>
            <w:tcW w:w="742" w:type="dxa"/>
            <w:vMerge w:val="continue"/>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（三）有依法缴纳税收和社会保障资金的良好记录；</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880" w:hRule="atLeast"/>
        </w:trPr>
        <w:tc>
          <w:tcPr>
            <w:tcW w:w="742" w:type="dxa"/>
            <w:vMerge w:val="continue"/>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 xml:space="preserve">（四）参加政府采购活动前三年内，在经营活动中没有重大违法记录；        </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303" w:hRule="atLeast"/>
        </w:trPr>
        <w:tc>
          <w:tcPr>
            <w:tcW w:w="742" w:type="dxa"/>
            <w:vMerge w:val="continue"/>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 xml:space="preserve">（五）法律、行政法规规定的其他条件。        </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495" w:hRule="atLeast"/>
        </w:trPr>
        <w:tc>
          <w:tcPr>
            <w:tcW w:w="742" w:type="dxa"/>
            <w:tcBorders>
              <w:top w:val="nil"/>
              <w:left w:val="single" w:color="000000" w:sz="12" w:space="0"/>
              <w:bottom w:val="single" w:color="000000" w:sz="8" w:space="0"/>
              <w:right w:val="single" w:color="000000" w:sz="8" w:space="0"/>
            </w:tcBorders>
            <w:noWrap w:val="0"/>
            <w:tcMar>
              <w:top w:w="12" w:type="dxa"/>
              <w:left w:w="12" w:type="dxa"/>
              <w:right w:w="12" w:type="dxa"/>
            </w:tcMar>
            <w:vAlign w:val="center"/>
          </w:tcPr>
          <w:p>
            <w:pPr>
              <w:spacing w:line="440" w:lineRule="exact"/>
              <w:jc w:val="center"/>
              <w:rPr>
                <w:rFonts w:hint="eastAsia" w:ascii="仿宋" w:hAnsi="仿宋" w:eastAsia="仿宋" w:cs="仿宋"/>
                <w:spacing w:val="-2"/>
                <w:sz w:val="24"/>
              </w:rPr>
            </w:pPr>
            <w:r>
              <w:rPr>
                <w:rFonts w:hint="eastAsia" w:ascii="仿宋" w:hAnsi="仿宋" w:eastAsia="仿宋" w:cs="仿宋"/>
                <w:spacing w:val="-2"/>
                <w:sz w:val="24"/>
                <w:lang w:val="en-US" w:eastAsia="zh-CN"/>
              </w:rPr>
              <w:t>3</w:t>
            </w:r>
          </w:p>
        </w:tc>
        <w:tc>
          <w:tcPr>
            <w:tcW w:w="466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是否有投标保证金缴纳凭证</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center"/>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nil"/>
              <w:left w:val="nil"/>
              <w:bottom w:val="single" w:color="000000" w:sz="8" w:space="0"/>
              <w:right w:val="single" w:color="000000" w:sz="12"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r>
      <w:tr>
        <w:tblPrEx>
          <w:tblLayout w:type="fixed"/>
          <w:tblCellMar>
            <w:top w:w="0" w:type="dxa"/>
            <w:left w:w="0" w:type="dxa"/>
            <w:bottom w:w="0" w:type="dxa"/>
            <w:right w:w="0" w:type="dxa"/>
          </w:tblCellMar>
        </w:tblPrEx>
        <w:trPr>
          <w:trHeight w:val="879" w:hRule="atLeast"/>
        </w:trPr>
        <w:tc>
          <w:tcPr>
            <w:tcW w:w="5409" w:type="dxa"/>
            <w:gridSpan w:val="2"/>
            <w:tcBorders>
              <w:top w:val="nil"/>
              <w:left w:val="single" w:color="000000" w:sz="12" w:space="0"/>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r>
              <w:rPr>
                <w:rFonts w:hint="eastAsia" w:ascii="仿宋" w:hAnsi="仿宋" w:eastAsia="仿宋" w:cs="仿宋"/>
                <w:spacing w:val="-2"/>
                <w:sz w:val="24"/>
                <w:lang w:val="en-US" w:eastAsia="zh-CN"/>
              </w:rPr>
              <w:t>结论：通过评审打√     未通过评审打×</w:t>
            </w:r>
          </w:p>
        </w:tc>
        <w:tc>
          <w:tcPr>
            <w:tcW w:w="747"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706"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694" w:type="dxa"/>
            <w:tcBorders>
              <w:top w:val="nil"/>
              <w:left w:val="nil"/>
              <w:bottom w:val="single" w:color="000000" w:sz="8" w:space="0"/>
              <w:right w:val="single" w:color="000000" w:sz="8" w:space="0"/>
            </w:tcBorders>
            <w:noWrap w:val="0"/>
            <w:tcMar>
              <w:top w:w="12" w:type="dxa"/>
              <w:left w:w="12" w:type="dxa"/>
              <w:right w:w="12" w:type="dxa"/>
            </w:tcMar>
            <w:vAlign w:val="top"/>
          </w:tcPr>
          <w:p>
            <w:pPr>
              <w:spacing w:line="440" w:lineRule="exact"/>
              <w:rPr>
                <w:rFonts w:hint="eastAsia" w:ascii="仿宋" w:hAnsi="仿宋" w:eastAsia="仿宋" w:cs="仿宋"/>
                <w:spacing w:val="-2"/>
                <w:sz w:val="24"/>
              </w:rPr>
            </w:pPr>
          </w:p>
        </w:tc>
        <w:tc>
          <w:tcPr>
            <w:tcW w:w="893" w:type="dxa"/>
            <w:tcBorders>
              <w:top w:val="nil"/>
              <w:left w:val="nil"/>
              <w:bottom w:val="single" w:color="000000" w:sz="8" w:space="0"/>
              <w:right w:val="single" w:color="000000" w:sz="12" w:space="0"/>
            </w:tcBorders>
            <w:noWrap/>
            <w:tcMar>
              <w:top w:w="12" w:type="dxa"/>
              <w:left w:w="12" w:type="dxa"/>
              <w:right w:w="12" w:type="dxa"/>
            </w:tcMar>
            <w:vAlign w:val="center"/>
          </w:tcPr>
          <w:p>
            <w:pPr>
              <w:spacing w:line="440" w:lineRule="exact"/>
              <w:rPr>
                <w:rFonts w:hint="eastAsia" w:ascii="仿宋" w:hAnsi="仿宋" w:eastAsia="仿宋" w:cs="仿宋"/>
                <w:spacing w:val="-2"/>
                <w:sz w:val="24"/>
              </w:rPr>
            </w:pPr>
          </w:p>
        </w:tc>
      </w:tr>
    </w:tbl>
    <w:p>
      <w:pPr>
        <w:spacing w:line="440" w:lineRule="exact"/>
        <w:rPr>
          <w:rFonts w:hint="eastAsia" w:ascii="仿宋" w:hAnsi="仿宋" w:eastAsia="仿宋" w:cs="仿宋"/>
          <w:spacing w:val="-2"/>
          <w:sz w:val="24"/>
        </w:rPr>
      </w:pPr>
    </w:p>
    <w:p>
      <w:pPr>
        <w:spacing w:line="440" w:lineRule="exact"/>
        <w:rPr>
          <w:rFonts w:hint="eastAsia" w:ascii="仿宋" w:hAnsi="仿宋" w:eastAsia="仿宋" w:cs="仿宋"/>
          <w:spacing w:val="-2"/>
          <w:sz w:val="24"/>
        </w:rPr>
      </w:pPr>
    </w:p>
    <w:p>
      <w:pPr>
        <w:spacing w:line="440" w:lineRule="exact"/>
        <w:rPr>
          <w:rFonts w:hint="eastAsia" w:ascii="仿宋" w:hAnsi="仿宋" w:eastAsia="仿宋" w:cs="仿宋"/>
          <w:spacing w:val="-2"/>
          <w:sz w:val="24"/>
        </w:rPr>
      </w:pPr>
    </w:p>
    <w:p>
      <w:pPr>
        <w:spacing w:line="440" w:lineRule="exact"/>
        <w:rPr>
          <w:rFonts w:hint="eastAsia" w:ascii="仿宋" w:hAnsi="仿宋" w:eastAsia="仿宋" w:cs="仿宋"/>
          <w:spacing w:val="-2"/>
          <w:sz w:val="24"/>
        </w:rPr>
      </w:pPr>
    </w:p>
    <w:p>
      <w:pPr>
        <w:spacing w:line="440" w:lineRule="exact"/>
        <w:rPr>
          <w:rFonts w:hint="eastAsia" w:ascii="仿宋" w:hAnsi="仿宋" w:eastAsia="仿宋" w:cs="仿宋"/>
          <w:spacing w:val="-2"/>
          <w:sz w:val="24"/>
        </w:rPr>
      </w:pPr>
    </w:p>
    <w:p>
      <w:pPr>
        <w:pStyle w:val="8"/>
        <w:numPr>
          <w:ilvl w:val="0"/>
          <w:numId w:val="0"/>
        </w:numPr>
        <w:tabs>
          <w:tab w:val="clear" w:pos="425"/>
        </w:tabs>
        <w:ind w:leftChars="0"/>
        <w:rPr>
          <w:rFonts w:hint="eastAsia"/>
        </w:rPr>
      </w:pPr>
    </w:p>
    <w:p>
      <w:pPr>
        <w:spacing w:line="440" w:lineRule="exact"/>
        <w:rPr>
          <w:rFonts w:hint="eastAsia" w:ascii="仿宋" w:hAnsi="仿宋" w:eastAsia="仿宋" w:cs="仿宋"/>
          <w:spacing w:val="-2"/>
          <w:sz w:val="24"/>
        </w:rPr>
      </w:pPr>
    </w:p>
    <w:p>
      <w:pPr>
        <w:spacing w:line="440" w:lineRule="exact"/>
        <w:rPr>
          <w:rFonts w:hint="eastAsia" w:ascii="仿宋" w:hAnsi="仿宋" w:eastAsia="仿宋" w:cs="仿宋"/>
          <w:spacing w:val="-2"/>
          <w:sz w:val="24"/>
        </w:rPr>
      </w:pPr>
    </w:p>
    <w:p>
      <w:pPr>
        <w:pStyle w:val="8"/>
        <w:numPr>
          <w:ilvl w:val="0"/>
          <w:numId w:val="0"/>
        </w:numPr>
        <w:tabs>
          <w:tab w:val="clear" w:pos="425"/>
        </w:tabs>
        <w:ind w:leftChars="0"/>
        <w:rPr>
          <w:rFonts w:hint="eastAsia"/>
        </w:rPr>
      </w:pPr>
    </w:p>
    <w:p>
      <w:pPr>
        <w:spacing w:line="440" w:lineRule="exact"/>
        <w:jc w:val="center"/>
        <w:rPr>
          <w:rFonts w:ascii="仿宋" w:hAnsi="仿宋" w:eastAsia="仿宋" w:cs="仿宋"/>
          <w:spacing w:val="-2"/>
          <w:sz w:val="28"/>
          <w:szCs w:val="28"/>
        </w:rPr>
      </w:pPr>
      <w:r>
        <w:rPr>
          <w:rFonts w:hint="eastAsia" w:ascii="仿宋" w:hAnsi="仿宋" w:eastAsia="仿宋" w:cs="仿宋"/>
          <w:spacing w:val="-2"/>
          <w:sz w:val="28"/>
          <w:szCs w:val="28"/>
        </w:rPr>
        <w:t>2.符合性审查</w:t>
      </w:r>
    </w:p>
    <w:tbl>
      <w:tblPr>
        <w:tblStyle w:val="29"/>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6676"/>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restart"/>
            <w:tcBorders>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评审内容</w:t>
            </w:r>
          </w:p>
        </w:tc>
        <w:tc>
          <w:tcPr>
            <w:tcW w:w="2535" w:type="dxa"/>
            <w:gridSpan w:val="4"/>
            <w:tcBorders>
              <w:left w:val="single" w:color="auto" w:sz="4" w:space="0"/>
              <w:bottom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cs="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cs="仿宋"/>
                <w:b/>
                <w:szCs w:val="21"/>
              </w:rPr>
            </w:pPr>
            <w:r>
              <w:rPr>
                <w:rFonts w:hint="eastAsia" w:ascii="仿宋" w:hAnsi="仿宋" w:eastAsia="仿宋" w:cs="仿宋"/>
                <w:b/>
                <w:szCs w:val="21"/>
              </w:rPr>
              <w:t>1</w:t>
            </w:r>
          </w:p>
        </w:tc>
        <w:tc>
          <w:tcPr>
            <w:tcW w:w="646" w:type="dxa"/>
            <w:tcBorders>
              <w:top w:val="single" w:color="auto" w:sz="4" w:space="0"/>
              <w:left w:val="single" w:color="auto" w:sz="4" w:space="0"/>
            </w:tcBorders>
          </w:tcPr>
          <w:p>
            <w:pPr>
              <w:jc w:val="center"/>
              <w:rPr>
                <w:rFonts w:ascii="仿宋" w:hAnsi="仿宋" w:eastAsia="仿宋" w:cs="仿宋"/>
                <w:b/>
                <w:szCs w:val="21"/>
              </w:rPr>
            </w:pPr>
            <w:r>
              <w:rPr>
                <w:rFonts w:hint="eastAsia" w:ascii="仿宋" w:hAnsi="仿宋" w:eastAsia="仿宋" w:cs="仿宋"/>
                <w:b/>
                <w:szCs w:val="21"/>
              </w:rPr>
              <w:t>2</w:t>
            </w:r>
          </w:p>
        </w:tc>
        <w:tc>
          <w:tcPr>
            <w:tcW w:w="646" w:type="dxa"/>
            <w:vAlign w:val="center"/>
          </w:tcPr>
          <w:p>
            <w:pPr>
              <w:jc w:val="center"/>
              <w:rPr>
                <w:rFonts w:ascii="仿宋" w:hAnsi="仿宋" w:eastAsia="仿宋" w:cs="仿宋"/>
                <w:b/>
                <w:szCs w:val="21"/>
              </w:rPr>
            </w:pPr>
            <w:r>
              <w:rPr>
                <w:rFonts w:hint="eastAsia" w:ascii="仿宋" w:hAnsi="仿宋" w:eastAsia="仿宋" w:cs="仿宋"/>
                <w:b/>
                <w:szCs w:val="21"/>
              </w:rPr>
              <w:t>3</w:t>
            </w:r>
          </w:p>
        </w:tc>
        <w:tc>
          <w:tcPr>
            <w:tcW w:w="597" w:type="dxa"/>
            <w:vAlign w:val="center"/>
          </w:tcPr>
          <w:p>
            <w:pPr>
              <w:jc w:val="center"/>
              <w:rPr>
                <w:rFonts w:ascii="仿宋" w:hAnsi="仿宋" w:eastAsia="仿宋" w:cs="仿宋"/>
                <w:b/>
                <w:szCs w:val="21"/>
              </w:rPr>
            </w:pPr>
            <w:r>
              <w:rPr>
                <w:rFonts w:hint="eastAsia" w:ascii="仿宋" w:hAnsi="仿宋" w:eastAsia="仿宋" w:cs="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ascii="仿宋" w:hAnsi="仿宋" w:eastAsia="仿宋" w:cs="仿宋"/>
                <w:sz w:val="24"/>
              </w:rPr>
            </w:pPr>
            <w:r>
              <w:rPr>
                <w:rFonts w:hint="eastAsia" w:ascii="仿宋" w:hAnsi="仿宋" w:eastAsia="仿宋" w:cs="仿宋"/>
                <w:sz w:val="24"/>
              </w:rPr>
              <w:t>1</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是否提供资格声明函；</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ascii="仿宋" w:hAnsi="仿宋" w:eastAsia="仿宋" w:cs="仿宋"/>
                <w:sz w:val="24"/>
              </w:rPr>
            </w:pPr>
            <w:r>
              <w:rPr>
                <w:rFonts w:hint="eastAsia" w:ascii="仿宋" w:hAnsi="仿宋" w:eastAsia="仿宋" w:cs="仿宋"/>
                <w:sz w:val="24"/>
              </w:rPr>
              <w:t>2</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ascii="仿宋" w:hAnsi="仿宋" w:eastAsia="仿宋" w:cs="仿宋"/>
                <w:sz w:val="24"/>
              </w:rPr>
            </w:pPr>
            <w:r>
              <w:rPr>
                <w:rFonts w:hint="eastAsia" w:ascii="仿宋" w:hAnsi="仿宋" w:eastAsia="仿宋" w:cs="仿宋"/>
                <w:sz w:val="24"/>
              </w:rPr>
              <w:t>3</w:t>
            </w:r>
          </w:p>
        </w:tc>
        <w:tc>
          <w:tcPr>
            <w:tcW w:w="6676" w:type="dxa"/>
            <w:tcBorders>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是否提供法人授权委托书</w:t>
            </w:r>
            <w:r>
              <w:rPr>
                <w:rFonts w:hint="eastAsia" w:ascii="仿宋" w:hAnsi="仿宋" w:eastAsia="仿宋" w:cs="仿宋"/>
                <w:spacing w:val="-2"/>
                <w:sz w:val="24"/>
              </w:rPr>
              <w:t>；</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是否按规定提交投标文件份数；</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投标有效期是否满足招标文件要求的；</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投标人所报服务期限是否超过招标文件规定期限；</w:t>
            </w:r>
          </w:p>
        </w:tc>
        <w:tc>
          <w:tcPr>
            <w:tcW w:w="646" w:type="dxa"/>
            <w:tcBorders>
              <w:left w:val="single" w:color="auto" w:sz="4" w:space="0"/>
              <w:right w:val="single" w:color="auto" w:sz="4" w:space="0"/>
            </w:tcBorders>
            <w:vAlign w:val="center"/>
          </w:tcPr>
          <w:p>
            <w:pPr>
              <w:widowControl/>
              <w:shd w:val="clear" w:color="auto" w:fill="FAFAFA"/>
              <w:spacing w:line="360" w:lineRule="auto"/>
              <w:jc w:val="left"/>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投标文件载明的服务措施、技术标准、检验标准和方法等是否符合招标文件要求；</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snapToGrid w:val="0"/>
              <w:spacing w:line="360" w:lineRule="auto"/>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9</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0</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3" w:type="dxa"/>
            <w:vAlign w:val="center"/>
          </w:tcPr>
          <w:p>
            <w:pPr>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1</w:t>
            </w:r>
          </w:p>
        </w:tc>
        <w:tc>
          <w:tcPr>
            <w:tcW w:w="6676" w:type="dxa"/>
            <w:tcBorders>
              <w:right w:val="single" w:color="auto" w:sz="4" w:space="0"/>
            </w:tcBorders>
            <w:vAlign w:val="center"/>
          </w:tcPr>
          <w:p>
            <w:pPr>
              <w:spacing w:line="440" w:lineRule="exact"/>
              <w:rPr>
                <w:rFonts w:ascii="仿宋" w:hAnsi="仿宋" w:eastAsia="仿宋" w:cs="仿宋"/>
                <w:spacing w:val="-2"/>
                <w:sz w:val="24"/>
              </w:rPr>
            </w:pPr>
            <w:r>
              <w:rPr>
                <w:rFonts w:hint="eastAsia" w:ascii="仿宋" w:hAnsi="仿宋" w:eastAsia="仿宋" w:cs="仿宋"/>
                <w:spacing w:val="-2"/>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cs="仿宋"/>
                <w:szCs w:val="21"/>
              </w:rPr>
            </w:pPr>
          </w:p>
        </w:tc>
        <w:tc>
          <w:tcPr>
            <w:tcW w:w="646" w:type="dxa"/>
            <w:tcBorders>
              <w:left w:val="single" w:color="auto" w:sz="4" w:space="0"/>
            </w:tcBorders>
            <w:vAlign w:val="center"/>
          </w:tcPr>
          <w:p>
            <w:pPr>
              <w:rPr>
                <w:rFonts w:ascii="仿宋" w:hAnsi="仿宋" w:eastAsia="仿宋" w:cs="仿宋"/>
                <w:szCs w:val="21"/>
              </w:rPr>
            </w:pPr>
          </w:p>
        </w:tc>
        <w:tc>
          <w:tcPr>
            <w:tcW w:w="646" w:type="dxa"/>
            <w:tcBorders>
              <w:right w:val="single" w:color="auto" w:sz="4" w:space="0"/>
            </w:tcBorders>
          </w:tcPr>
          <w:p>
            <w:pPr>
              <w:rPr>
                <w:rFonts w:ascii="仿宋" w:hAnsi="仿宋" w:eastAsia="仿宋" w:cs="仿宋"/>
                <w:szCs w:val="21"/>
              </w:rPr>
            </w:pPr>
          </w:p>
        </w:tc>
        <w:tc>
          <w:tcPr>
            <w:tcW w:w="597" w:type="dxa"/>
            <w:tcBorders>
              <w:left w:val="single" w:color="auto" w:sz="4" w:space="0"/>
            </w:tcBorders>
          </w:tcPr>
          <w:p>
            <w:pP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tcPr>
          <w:p>
            <w:pPr>
              <w:rPr>
                <w:rFonts w:ascii="仿宋" w:hAnsi="仿宋" w:eastAsia="仿宋" w:cs="仿宋"/>
                <w:sz w:val="24"/>
              </w:rPr>
            </w:pPr>
            <w:r>
              <w:rPr>
                <w:rFonts w:hint="eastAsia" w:ascii="仿宋" w:hAnsi="仿宋" w:eastAsia="仿宋" w:cs="仿宋"/>
                <w:sz w:val="24"/>
              </w:rPr>
              <w:t>结论：是否通过评审</w:t>
            </w:r>
          </w:p>
        </w:tc>
        <w:tc>
          <w:tcPr>
            <w:tcW w:w="646" w:type="dxa"/>
            <w:tcBorders>
              <w:left w:val="single" w:color="auto" w:sz="4" w:space="0"/>
              <w:right w:val="single" w:color="auto" w:sz="4" w:space="0"/>
            </w:tcBorders>
          </w:tcPr>
          <w:p>
            <w:pPr>
              <w:rPr>
                <w:rFonts w:ascii="仿宋" w:hAnsi="仿宋" w:eastAsia="仿宋" w:cs="仿宋"/>
                <w:szCs w:val="21"/>
              </w:rPr>
            </w:pPr>
          </w:p>
        </w:tc>
        <w:tc>
          <w:tcPr>
            <w:tcW w:w="646" w:type="dxa"/>
            <w:tcBorders>
              <w:left w:val="single" w:color="auto" w:sz="4" w:space="0"/>
            </w:tcBorders>
          </w:tcPr>
          <w:p>
            <w:pPr>
              <w:rPr>
                <w:rFonts w:ascii="仿宋" w:hAnsi="仿宋" w:eastAsia="仿宋" w:cs="仿宋"/>
                <w:szCs w:val="21"/>
              </w:rPr>
            </w:pPr>
          </w:p>
        </w:tc>
        <w:tc>
          <w:tcPr>
            <w:tcW w:w="646" w:type="dxa"/>
          </w:tcPr>
          <w:p>
            <w:pPr>
              <w:rPr>
                <w:rFonts w:ascii="仿宋" w:hAnsi="仿宋" w:eastAsia="仿宋" w:cs="仿宋"/>
                <w:szCs w:val="21"/>
              </w:rPr>
            </w:pPr>
          </w:p>
        </w:tc>
        <w:tc>
          <w:tcPr>
            <w:tcW w:w="597" w:type="dxa"/>
          </w:tcPr>
          <w:p>
            <w:pPr>
              <w:rPr>
                <w:rFonts w:ascii="仿宋" w:hAnsi="仿宋" w:eastAsia="仿宋" w:cs="仿宋"/>
                <w:szCs w:val="21"/>
              </w:rPr>
            </w:pPr>
          </w:p>
        </w:tc>
      </w:tr>
    </w:tbl>
    <w:p>
      <w:pPr>
        <w:spacing w:line="440" w:lineRule="exact"/>
        <w:ind w:firstLine="480" w:firstLineChars="200"/>
        <w:rPr>
          <w:rFonts w:ascii="仿宋" w:hAnsi="仿宋" w:eastAsia="仿宋" w:cs="仿宋"/>
          <w:sz w:val="24"/>
        </w:rPr>
      </w:pPr>
      <w:r>
        <w:rPr>
          <w:rFonts w:hint="eastAsia" w:ascii="仿宋" w:hAnsi="仿宋" w:eastAsia="仿宋" w:cs="仿宋"/>
          <w:sz w:val="24"/>
        </w:rPr>
        <w:t>投标文件响应程度初步审查通过的投标企业，进入下一步详细评审阶段，未通过投标文件响应程度初步审查的企业，其投标作为无效标，不进入后期评审阶段。</w:t>
      </w:r>
    </w:p>
    <w:p>
      <w:pPr>
        <w:tabs>
          <w:tab w:val="left" w:pos="2880"/>
        </w:tabs>
        <w:spacing w:line="460" w:lineRule="atLeast"/>
        <w:jc w:val="left"/>
        <w:rPr>
          <w:rFonts w:hint="eastAsia" w:ascii="仿宋" w:hAnsi="仿宋" w:eastAsia="仿宋" w:cs="仿宋"/>
          <w:b/>
          <w:bCs/>
          <w:sz w:val="32"/>
          <w:szCs w:val="32"/>
        </w:rPr>
      </w:pPr>
    </w:p>
    <w:p>
      <w:pPr>
        <w:tabs>
          <w:tab w:val="left" w:pos="2880"/>
        </w:tabs>
        <w:spacing w:line="460" w:lineRule="atLeast"/>
        <w:jc w:val="left"/>
        <w:rPr>
          <w:rFonts w:hint="eastAsia" w:ascii="仿宋" w:hAnsi="仿宋" w:eastAsia="仿宋" w:cs="仿宋"/>
          <w:b/>
          <w:bCs/>
          <w:sz w:val="32"/>
          <w:szCs w:val="32"/>
        </w:rPr>
      </w:pPr>
    </w:p>
    <w:p>
      <w:pPr>
        <w:tabs>
          <w:tab w:val="left" w:pos="2880"/>
        </w:tabs>
        <w:spacing w:line="460" w:lineRule="atLeast"/>
        <w:jc w:val="left"/>
        <w:rPr>
          <w:rFonts w:hint="eastAsia" w:ascii="仿宋" w:hAnsi="仿宋" w:eastAsia="仿宋" w:cs="仿宋"/>
          <w:b/>
          <w:bCs/>
          <w:sz w:val="32"/>
          <w:szCs w:val="32"/>
        </w:rPr>
      </w:pPr>
    </w:p>
    <w:p>
      <w:pPr>
        <w:tabs>
          <w:tab w:val="left" w:pos="2880"/>
        </w:tabs>
        <w:spacing w:line="460" w:lineRule="atLeast"/>
        <w:jc w:val="left"/>
        <w:rPr>
          <w:rFonts w:hint="eastAsia" w:ascii="仿宋" w:hAnsi="仿宋" w:eastAsia="仿宋" w:cs="仿宋"/>
          <w:b/>
          <w:bCs/>
          <w:sz w:val="32"/>
          <w:szCs w:val="32"/>
        </w:rPr>
      </w:pPr>
    </w:p>
    <w:p>
      <w:pPr>
        <w:pStyle w:val="57"/>
        <w:rPr>
          <w:rFonts w:hint="eastAsia"/>
        </w:rPr>
      </w:pPr>
    </w:p>
    <w:p>
      <w:pPr>
        <w:tabs>
          <w:tab w:val="left" w:pos="2880"/>
        </w:tabs>
        <w:spacing w:line="460" w:lineRule="atLeast"/>
        <w:jc w:val="left"/>
        <w:rPr>
          <w:rFonts w:hint="eastAsia" w:ascii="仿宋" w:hAnsi="仿宋" w:eastAsia="仿宋" w:cs="仿宋"/>
          <w:b/>
          <w:bCs/>
          <w:sz w:val="32"/>
          <w:szCs w:val="32"/>
        </w:rPr>
      </w:pPr>
    </w:p>
    <w:p>
      <w:pPr>
        <w:tabs>
          <w:tab w:val="left" w:pos="2880"/>
        </w:tabs>
        <w:spacing w:line="460" w:lineRule="atLeast"/>
        <w:jc w:val="left"/>
        <w:rPr>
          <w:rFonts w:hint="eastAsia" w:ascii="仿宋" w:hAnsi="仿宋" w:eastAsia="仿宋" w:cs="仿宋"/>
          <w:b/>
          <w:bCs/>
          <w:sz w:val="32"/>
          <w:szCs w:val="32"/>
        </w:rPr>
      </w:pPr>
    </w:p>
    <w:p>
      <w:pPr>
        <w:tabs>
          <w:tab w:val="left" w:pos="2880"/>
        </w:tabs>
        <w:spacing w:line="460" w:lineRule="atLeast"/>
        <w:jc w:val="center"/>
        <w:rPr>
          <w:rFonts w:ascii="仿宋" w:hAnsi="仿宋" w:eastAsia="仿宋" w:cs="仿宋"/>
          <w:b/>
          <w:bCs/>
          <w:sz w:val="32"/>
          <w:szCs w:val="32"/>
        </w:rPr>
      </w:pPr>
      <w:r>
        <w:rPr>
          <w:rFonts w:hint="eastAsia" w:ascii="仿宋" w:hAnsi="仿宋" w:eastAsia="仿宋" w:cs="仿宋"/>
          <w:b/>
          <w:bCs/>
          <w:sz w:val="32"/>
          <w:szCs w:val="32"/>
        </w:rPr>
        <w:t>6.评 分 标 准</w:t>
      </w:r>
    </w:p>
    <w:p>
      <w:pPr>
        <w:tabs>
          <w:tab w:val="left" w:pos="2880"/>
        </w:tabs>
        <w:spacing w:line="460" w:lineRule="atLeast"/>
        <w:jc w:val="left"/>
        <w:rPr>
          <w:rFonts w:ascii="仿宋" w:hAnsi="仿宋" w:eastAsia="仿宋" w:cs="仿宋"/>
          <w:b/>
          <w:bCs/>
          <w:sz w:val="28"/>
          <w:szCs w:val="28"/>
        </w:rPr>
      </w:pPr>
      <w:r>
        <w:rPr>
          <w:rFonts w:hint="eastAsia" w:ascii="仿宋" w:hAnsi="仿宋" w:eastAsia="仿宋" w:cs="仿宋"/>
          <w:b/>
          <w:bCs/>
          <w:sz w:val="28"/>
          <w:szCs w:val="28"/>
        </w:rPr>
        <w:t>价格因素</w:t>
      </w:r>
    </w:p>
    <w:p>
      <w:pPr>
        <w:spacing w:line="440" w:lineRule="exact"/>
        <w:ind w:firstLine="472" w:firstLineChars="200"/>
        <w:rPr>
          <w:rFonts w:ascii="仿宋" w:hAnsi="仿宋" w:eastAsia="仿宋" w:cs="仿宋"/>
          <w:spacing w:val="-2"/>
          <w:sz w:val="24"/>
        </w:rPr>
      </w:pPr>
      <w:r>
        <w:rPr>
          <w:rFonts w:hint="eastAsia" w:ascii="仿宋" w:hAnsi="仿宋" w:eastAsia="仿宋" w:cs="仿宋"/>
          <w:spacing w:val="-2"/>
          <w:sz w:val="24"/>
        </w:rPr>
        <w:t>按照所投分包投标企业的投标报价的最低的为基准价。合同签订时约定的</w:t>
      </w:r>
      <w:r>
        <w:rPr>
          <w:rFonts w:hint="eastAsia" w:ascii="仿宋" w:hAnsi="仿宋" w:eastAsia="仿宋" w:cs="仿宋"/>
          <w:spacing w:val="-2"/>
          <w:sz w:val="24"/>
          <w:lang w:val="en-US" w:eastAsia="zh-CN"/>
        </w:rPr>
        <w:t>价格</w:t>
      </w:r>
      <w:r>
        <w:rPr>
          <w:rFonts w:hint="eastAsia" w:ascii="仿宋" w:hAnsi="仿宋" w:eastAsia="仿宋" w:cs="仿宋"/>
          <w:spacing w:val="-2"/>
          <w:sz w:val="24"/>
        </w:rPr>
        <w:t>以最终由评标委员会确定的基准价为准。</w:t>
      </w:r>
    </w:p>
    <w:bookmarkEnd w:id="196"/>
    <w:bookmarkEnd w:id="197"/>
    <w:bookmarkEnd w:id="198"/>
    <w:bookmarkEnd w:id="199"/>
    <w:bookmarkEnd w:id="200"/>
    <w:bookmarkEnd w:id="201"/>
    <w:bookmarkEnd w:id="202"/>
    <w:tbl>
      <w:tblPr>
        <w:tblStyle w:val="29"/>
        <w:tblW w:w="892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784"/>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blHeader/>
        </w:trPr>
        <w:tc>
          <w:tcPr>
            <w:tcW w:w="1322"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784"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分值</w:t>
            </w:r>
          </w:p>
        </w:tc>
        <w:tc>
          <w:tcPr>
            <w:tcW w:w="6823"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8929" w:type="dxa"/>
            <w:gridSpan w:val="3"/>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（一）价格部分（10分）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132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价格</w:t>
            </w:r>
          </w:p>
        </w:tc>
        <w:tc>
          <w:tcPr>
            <w:tcW w:w="78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6823" w:type="dxa"/>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在价格评分时，满足招标文件要求且合理的最低评标价为评标基准价，其价格分为满分。其他供应商的价格分统一按照下列公式计算：投标报价得分 =（评标基准价/投标报价）×100×10%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8929" w:type="dxa"/>
            <w:gridSpan w:val="3"/>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（二）商务、技术部分（90分）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widowControl/>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类似业绩</w:t>
            </w:r>
          </w:p>
        </w:tc>
        <w:tc>
          <w:tcPr>
            <w:tcW w:w="784" w:type="dxa"/>
            <w:noWrap w:val="0"/>
            <w:vAlign w:val="center"/>
          </w:tcPr>
          <w:p>
            <w:pPr>
              <w:widowControl/>
              <w:snapToGrid w:val="0"/>
              <w:spacing w:line="360" w:lineRule="auto"/>
              <w:jc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1</w:t>
            </w:r>
            <w:r>
              <w:rPr>
                <w:rFonts w:hint="eastAsia" w:ascii="宋体" w:hAnsi="宋体" w:cs="宋体"/>
                <w:color w:val="auto"/>
                <w:kern w:val="0"/>
                <w:sz w:val="24"/>
                <w:highlight w:val="none"/>
                <w:lang w:bidi="ar"/>
              </w:rPr>
              <w:t>6</w:t>
            </w:r>
          </w:p>
        </w:tc>
        <w:tc>
          <w:tcPr>
            <w:tcW w:w="6823"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投标人近三年（201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月至今）具有类似规划编制项目业绩，每提供一项相关业绩得2分，最多得16分。（需附合同或中标通知书）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widowControl/>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人员配置</w:t>
            </w:r>
          </w:p>
        </w:tc>
        <w:tc>
          <w:tcPr>
            <w:tcW w:w="784" w:type="dxa"/>
            <w:noWrap w:val="0"/>
            <w:vAlign w:val="center"/>
          </w:tcPr>
          <w:p>
            <w:pPr>
              <w:widowControl/>
              <w:snapToGrid w:val="0"/>
              <w:spacing w:line="360" w:lineRule="auto"/>
              <w:jc w:val="center"/>
              <w:rPr>
                <w:rFonts w:ascii="宋体" w:hAnsi="宋体" w:cs="宋体"/>
                <w:color w:val="auto"/>
                <w:kern w:val="0"/>
                <w:sz w:val="24"/>
                <w:highlight w:val="none"/>
                <w:lang w:bidi="ar"/>
              </w:rPr>
            </w:pPr>
            <w:r>
              <w:rPr>
                <w:rFonts w:hint="eastAsia" w:ascii="宋体" w:hAnsi="宋体"/>
                <w:color w:val="auto"/>
                <w:kern w:val="0"/>
                <w:sz w:val="24"/>
                <w:highlight w:val="none"/>
                <w:lang w:bidi="ar"/>
              </w:rPr>
              <w:t>10</w:t>
            </w:r>
          </w:p>
        </w:tc>
        <w:tc>
          <w:tcPr>
            <w:tcW w:w="6823" w:type="dxa"/>
            <w:noWrap w:val="0"/>
            <w:vAlign w:val="center"/>
          </w:tcPr>
          <w:p>
            <w:pPr>
              <w:widowControl/>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项目负责人为注册规划师，且为高级工程师得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分。项目组人员</w:t>
            </w:r>
            <w:r>
              <w:rPr>
                <w:rFonts w:hint="eastAsia" w:ascii="宋体" w:hAnsi="宋体" w:cs="宋体"/>
                <w:color w:val="auto"/>
                <w:sz w:val="24"/>
                <w:highlight w:val="none"/>
                <w:lang w:eastAsia="zh-CN"/>
              </w:rPr>
              <w:t>每提供一个具有工程师职称的人员得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（最高得</w:t>
            </w:r>
            <w:r>
              <w:rPr>
                <w:rFonts w:hint="eastAsia" w:ascii="宋体" w:hAnsi="宋体" w:cs="宋体"/>
                <w:color w:val="auto"/>
                <w:sz w:val="24"/>
                <w:highlight w:val="none"/>
                <w:lang w:val="en-US" w:eastAsia="zh-CN"/>
              </w:rPr>
              <w:t>6分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未提供不得分</w:t>
            </w:r>
            <w:r>
              <w:rPr>
                <w:rFonts w:hint="eastAsia" w:ascii="宋体" w:hAnsi="宋体" w:cs="宋体"/>
                <w:color w:val="auto"/>
                <w:sz w:val="24"/>
                <w:highlight w:val="none"/>
              </w:rPr>
              <w:t>。（以人员资格证书为准）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widowControl/>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高新技术企业</w:t>
            </w:r>
          </w:p>
        </w:tc>
        <w:tc>
          <w:tcPr>
            <w:tcW w:w="784" w:type="dxa"/>
            <w:noWrap w:val="0"/>
            <w:vAlign w:val="center"/>
          </w:tcPr>
          <w:p>
            <w:pPr>
              <w:widowControl/>
              <w:snapToGrid w:val="0"/>
              <w:spacing w:line="360" w:lineRule="auto"/>
              <w:jc w:val="center"/>
              <w:rPr>
                <w:rFonts w:hint="eastAsia" w:ascii="宋体" w:hAnsi="宋体"/>
                <w:color w:val="auto"/>
                <w:kern w:val="0"/>
                <w:sz w:val="24"/>
                <w:highlight w:val="none"/>
                <w:lang w:bidi="ar"/>
              </w:rPr>
            </w:pPr>
            <w:r>
              <w:rPr>
                <w:rFonts w:hint="eastAsia" w:ascii="宋体" w:hAnsi="宋体"/>
                <w:color w:val="auto"/>
                <w:kern w:val="0"/>
                <w:sz w:val="24"/>
                <w:highlight w:val="none"/>
                <w:lang w:bidi="ar"/>
              </w:rPr>
              <w:t>4</w:t>
            </w:r>
          </w:p>
        </w:tc>
        <w:tc>
          <w:tcPr>
            <w:tcW w:w="6823" w:type="dxa"/>
            <w:noWrap w:val="0"/>
            <w:vAlign w:val="center"/>
          </w:tcPr>
          <w:p>
            <w:pPr>
              <w:widowControl/>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具备省级行政主管部门颁发的高新技术企业证书得4分。（以证书扫描件为准）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widowControl/>
              <w:spacing w:line="36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对项目背景、现状的理解</w:t>
            </w:r>
          </w:p>
        </w:tc>
        <w:tc>
          <w:tcPr>
            <w:tcW w:w="784" w:type="dxa"/>
            <w:noWrap w:val="0"/>
            <w:vAlign w:val="center"/>
          </w:tcPr>
          <w:p>
            <w:pPr>
              <w:widowControl/>
              <w:spacing w:line="360" w:lineRule="auto"/>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6823" w:type="dxa"/>
            <w:noWrap w:val="0"/>
            <w:vAlign w:val="center"/>
          </w:tcPr>
          <w:p>
            <w:pPr>
              <w:widowControl/>
              <w:spacing w:line="360" w:lineRule="auto"/>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rPr>
              <w:t>对项目背景、现状的理解，“投标单位对项目背景、现状理解透彻的”，得</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一般的</w:t>
            </w:r>
            <w:r>
              <w:rPr>
                <w:rFonts w:hint="eastAsia" w:ascii="宋体" w:hAnsi="宋体" w:cs="宋体"/>
                <w:color w:val="auto"/>
                <w:kern w:val="0"/>
                <w:sz w:val="24"/>
                <w:highlight w:val="none"/>
              </w:rPr>
              <w:t>，得</w:t>
            </w: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分；缺乏理解的或未提供项目理解说明的，得</w:t>
            </w:r>
            <w:r>
              <w:rPr>
                <w:rFonts w:ascii="宋体" w:hAnsi="宋体" w:cs="宋体"/>
                <w:color w:val="auto"/>
                <w:kern w:val="0"/>
                <w:sz w:val="24"/>
                <w:highlight w:val="none"/>
              </w:rPr>
              <w:t>0</w:t>
            </w:r>
            <w:r>
              <w:rPr>
                <w:rFonts w:hint="eastAsia" w:ascii="宋体" w:hAnsi="宋体" w:cs="宋体"/>
                <w:color w:val="auto"/>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widowControl/>
              <w:jc w:val="left"/>
              <w:rPr>
                <w:rFonts w:hint="eastAsia"/>
                <w:color w:val="auto"/>
                <w:highlight w:val="none"/>
              </w:rPr>
            </w:pPr>
            <w:r>
              <w:rPr>
                <w:rFonts w:hint="eastAsia" w:ascii="宋体" w:hAnsi="宋体" w:cs="宋体"/>
                <w:color w:val="auto"/>
                <w:kern w:val="0"/>
                <w:sz w:val="24"/>
                <w:highlight w:val="none"/>
                <w:lang w:bidi="ar"/>
              </w:rPr>
              <w:t>规划方案</w:t>
            </w:r>
          </w:p>
        </w:tc>
        <w:tc>
          <w:tcPr>
            <w:tcW w:w="784" w:type="dxa"/>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6823" w:type="dxa"/>
            <w:noWrap w:val="0"/>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合理确定规划用地范围且规划方案有全面周到的考虑和安排，符合采购人的需求的，得30分；基本符合采购人的需求的，得</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分；部分符合采购人的需求的，得</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spacing w:line="276"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设计质量、保密等保证措施</w:t>
            </w:r>
          </w:p>
        </w:tc>
        <w:tc>
          <w:tcPr>
            <w:tcW w:w="784" w:type="dxa"/>
            <w:noWrap w:val="0"/>
            <w:vAlign w:val="center"/>
          </w:tcPr>
          <w:p>
            <w:pPr>
              <w:pStyle w:val="10"/>
              <w:spacing w:line="240" w:lineRule="atLeast"/>
              <w:jc w:val="center"/>
              <w:rPr>
                <w:rFonts w:hint="eastAsia" w:ascii="宋体" w:hAnsi="宋体" w:eastAsia="宋体" w:cs="宋体"/>
                <w:color w:val="auto"/>
                <w:kern w:val="0"/>
                <w:sz w:val="24"/>
                <w:highlight w:val="none"/>
              </w:rPr>
            </w:pPr>
            <w:r>
              <w:rPr>
                <w:rFonts w:hint="eastAsia" w:ascii="Times New Roman" w:eastAsia="宋体"/>
                <w:bCs/>
                <w:color w:val="auto"/>
                <w:sz w:val="24"/>
                <w:highlight w:val="none"/>
              </w:rPr>
              <w:t>10</w:t>
            </w:r>
          </w:p>
        </w:tc>
        <w:tc>
          <w:tcPr>
            <w:tcW w:w="6823" w:type="dxa"/>
            <w:noWrap w:val="0"/>
            <w:vAlign w:val="center"/>
          </w:tcPr>
          <w:p>
            <w:pPr>
              <w:pStyle w:val="1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设计质量、保密措施合理、具体、可行得6-10分；一般得1-5分。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2" w:type="dxa"/>
            <w:noWrap w:val="0"/>
            <w:vAlign w:val="center"/>
          </w:tcPr>
          <w:p>
            <w:pPr>
              <w:widowControl/>
              <w:spacing w:line="380" w:lineRule="exact"/>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本项目重点、难点及对策</w:t>
            </w:r>
          </w:p>
        </w:tc>
        <w:tc>
          <w:tcPr>
            <w:tcW w:w="784" w:type="dxa"/>
            <w:noWrap w:val="0"/>
            <w:vAlign w:val="center"/>
          </w:tcPr>
          <w:p>
            <w:pPr>
              <w:widowControl/>
              <w:spacing w:line="380" w:lineRule="exact"/>
              <w:jc w:val="center"/>
              <w:textAlignment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8</w:t>
            </w:r>
          </w:p>
        </w:tc>
        <w:tc>
          <w:tcPr>
            <w:tcW w:w="6823" w:type="dxa"/>
            <w:noWrap w:val="0"/>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投标单位充分考虑项目特点，提出的本项目重点、难点分析最为准确的，得8分；有一定认识的，得5</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分；一般的，得</w:t>
            </w:r>
            <w:r>
              <w:rPr>
                <w:rFonts w:ascii="宋体" w:hAnsi="宋体" w:cs="宋体"/>
                <w:color w:val="auto"/>
                <w:kern w:val="0"/>
                <w:sz w:val="24"/>
                <w:highlight w:val="none"/>
              </w:rPr>
              <w:t>3</w:t>
            </w:r>
            <w:r>
              <w:rPr>
                <w:rFonts w:hint="eastAsia" w:ascii="宋体" w:hAnsi="宋体" w:cs="宋体"/>
                <w:color w:val="auto"/>
                <w:kern w:val="0"/>
                <w:sz w:val="24"/>
                <w:highlight w:val="none"/>
              </w:rPr>
              <w:t>分；未提供相关说明的，得</w:t>
            </w:r>
            <w:r>
              <w:rPr>
                <w:rFonts w:ascii="宋体" w:hAnsi="宋体" w:cs="宋体"/>
                <w:color w:val="auto"/>
                <w:kern w:val="0"/>
                <w:sz w:val="24"/>
                <w:highlight w:val="none"/>
              </w:rPr>
              <w:t>0</w:t>
            </w:r>
            <w:r>
              <w:rPr>
                <w:rFonts w:hint="eastAsia" w:ascii="宋体" w:hAnsi="宋体" w:cs="宋体"/>
                <w:color w:val="auto"/>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atLeast"/>
        </w:trPr>
        <w:tc>
          <w:tcPr>
            <w:tcW w:w="1322" w:type="dxa"/>
            <w:noWrap w:val="0"/>
            <w:vAlign w:val="center"/>
          </w:tcPr>
          <w:p>
            <w:pPr>
              <w:widowControl/>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服务承诺</w:t>
            </w:r>
          </w:p>
        </w:tc>
        <w:tc>
          <w:tcPr>
            <w:tcW w:w="784" w:type="dxa"/>
            <w:noWrap w:val="0"/>
            <w:vAlign w:val="center"/>
          </w:tcPr>
          <w:p>
            <w:pPr>
              <w:snapToGrid w:val="0"/>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6823" w:type="dxa"/>
            <w:noWrap w:val="0"/>
            <w:vAlign w:val="center"/>
          </w:tcPr>
          <w:p>
            <w:pPr>
              <w:widowControl/>
              <w:snapToGrid w:val="0"/>
              <w:spacing w:line="360" w:lineRule="auto"/>
              <w:jc w:val="left"/>
              <w:rPr>
                <w:rFonts w:hint="eastAsia" w:ascii="宋体" w:hAnsi="宋体" w:cs="宋体"/>
                <w:color w:val="auto"/>
                <w:kern w:val="0"/>
                <w:sz w:val="24"/>
                <w:highlight w:val="none"/>
              </w:rPr>
            </w:pPr>
            <w:bookmarkStart w:id="203" w:name="_GoBack"/>
            <w:r>
              <w:rPr>
                <w:rFonts w:hint="eastAsia" w:ascii="宋体" w:hAnsi="宋体" w:cs="宋体"/>
                <w:color w:val="auto"/>
                <w:kern w:val="0"/>
                <w:sz w:val="24"/>
                <w:highlight w:val="none"/>
              </w:rPr>
              <w:t>投标</w:t>
            </w:r>
            <w:r>
              <w:rPr>
                <w:rFonts w:ascii="宋体" w:hAnsi="宋体" w:cs="宋体"/>
                <w:color w:val="auto"/>
                <w:kern w:val="0"/>
                <w:sz w:val="24"/>
                <w:highlight w:val="none"/>
              </w:rPr>
              <w:t>文件中服务方案清晰，提供完善的技术支持体系、服务响应时间</w:t>
            </w:r>
            <w:r>
              <w:rPr>
                <w:rFonts w:hint="eastAsia" w:ascii="宋体" w:hAnsi="宋体" w:cs="宋体"/>
                <w:color w:val="auto"/>
                <w:kern w:val="0"/>
                <w:sz w:val="24"/>
                <w:highlight w:val="none"/>
              </w:rPr>
              <w:t>快捷、后续服务承诺合理，保证规划方案的可实施性</w:t>
            </w:r>
            <w:r>
              <w:rPr>
                <w:rFonts w:ascii="宋体" w:hAnsi="宋体" w:cs="宋体"/>
                <w:color w:val="auto"/>
                <w:kern w:val="0"/>
                <w:sz w:val="24"/>
                <w:highlight w:val="none"/>
              </w:rPr>
              <w:t>等的得</w:t>
            </w:r>
            <w:r>
              <w:rPr>
                <w:rFonts w:hint="eastAsia" w:ascii="宋体" w:hAnsi="宋体" w:cs="宋体"/>
                <w:color w:val="auto"/>
                <w:kern w:val="0"/>
                <w:sz w:val="24"/>
                <w:highlight w:val="none"/>
              </w:rPr>
              <w:t>4-6</w:t>
            </w:r>
            <w:r>
              <w:rPr>
                <w:rFonts w:ascii="宋体" w:hAnsi="宋体" w:cs="宋体"/>
                <w:color w:val="auto"/>
                <w:kern w:val="0"/>
                <w:sz w:val="24"/>
                <w:highlight w:val="none"/>
              </w:rPr>
              <w:t>分，一般得1-</w:t>
            </w:r>
            <w:r>
              <w:rPr>
                <w:rFonts w:hint="eastAsia" w:ascii="宋体" w:hAnsi="宋体" w:cs="宋体"/>
                <w:color w:val="auto"/>
                <w:kern w:val="0"/>
                <w:sz w:val="24"/>
                <w:highlight w:val="none"/>
              </w:rPr>
              <w:t>3</w:t>
            </w:r>
            <w:r>
              <w:rPr>
                <w:rFonts w:ascii="宋体" w:hAnsi="宋体" w:cs="宋体"/>
                <w:color w:val="auto"/>
                <w:kern w:val="0"/>
                <w:sz w:val="24"/>
                <w:highlight w:val="none"/>
              </w:rPr>
              <w:t>分</w:t>
            </w:r>
            <w:r>
              <w:rPr>
                <w:rFonts w:hint="eastAsia" w:ascii="宋体" w:hAnsi="宋体" w:cs="宋体"/>
                <w:color w:val="auto"/>
                <w:kern w:val="0"/>
                <w:sz w:val="24"/>
                <w:highlight w:val="none"/>
              </w:rPr>
              <w:t>。</w:t>
            </w:r>
            <w:bookmarkEnd w:id="203"/>
          </w:p>
        </w:tc>
      </w:tr>
    </w:tbl>
    <w:p>
      <w:pPr>
        <w:pStyle w:val="2"/>
        <w:spacing w:line="240" w:lineRule="auto"/>
        <w:ind w:left="0" w:leftChars="0" w:firstLine="0" w:firstLineChars="0"/>
      </w:pPr>
    </w:p>
    <w:sectPr>
      <w:headerReference r:id="rId9"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3eSUp6YBAAA/AwAADgAAAAAA&#10;AAABACAAAAAeAQAAZHJzL2Uyb0RvYy54bWxQSwUGAAAAAAYABgBZAQAANg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Yrkbn6YBAAA/AwAADgAAAAAA&#10;AAABACAAAAAeAQAAZHJzL2Uyb0RvYy54bWxQSwUGAAAAAAYABgBZAQAANg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7xCq8BAABLAwAADgAAAGRycy9lMm9Eb2MueG1srVPNahsxEL4H8g5C&#10;91prE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07xCq8BAABL&#10;AwAADgAAAAAAAAABACAAAAAeAQAAZHJzL2Uyb0RvYy54bWxQSwUGAAAAAAYABgBZAQAAPw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v:textbox>
            </v:shape>
          </w:pict>
        </mc:Fallback>
      </mc:AlternateContent>
    </w:r>
  </w:p>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wZ5qcBAABAAwAADgAAAGRycy9lMm9Eb2MueG1srVLNahsxEL4X8g5C&#10;91hrQ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vSCEsctjujw6+fh99/Dn0cyn2d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MesGeanAQAAQAMAAA4AAAAA&#10;AAAAAQAgAAAAHgEAAGRycy9lMm9Eb2MueG1sUEsFBgAAAAAGAAYAWQEAADc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spacing w:after="84"/>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9E583"/>
    <w:multiLevelType w:val="singleLevel"/>
    <w:tmpl w:val="82C9E583"/>
    <w:lvl w:ilvl="0" w:tentative="0">
      <w:start w:val="1"/>
      <w:numFmt w:val="decimal"/>
      <w:lvlText w:val="%1."/>
      <w:lvlJc w:val="left"/>
      <w:pPr>
        <w:tabs>
          <w:tab w:val="left" w:pos="312"/>
        </w:tabs>
      </w:pPr>
    </w:lvl>
  </w:abstractNum>
  <w:abstractNum w:abstractNumId="1">
    <w:nsid w:val="9401B806"/>
    <w:multiLevelType w:val="singleLevel"/>
    <w:tmpl w:val="9401B806"/>
    <w:lvl w:ilvl="0" w:tentative="0">
      <w:start w:val="3"/>
      <w:numFmt w:val="chineseCounting"/>
      <w:suff w:val="nothing"/>
      <w:lvlText w:val="第%1章、"/>
      <w:lvlJc w:val="left"/>
      <w:rPr>
        <w:rFonts w:hint="eastAsia"/>
      </w:rPr>
    </w:lvl>
  </w:abstractNum>
  <w:abstractNum w:abstractNumId="2">
    <w:nsid w:val="00000005"/>
    <w:multiLevelType w:val="singleLevel"/>
    <w:tmpl w:val="00000005"/>
    <w:lvl w:ilvl="0" w:tentative="0">
      <w:start w:val="1"/>
      <w:numFmt w:val="decimal"/>
      <w:pStyle w:val="8"/>
      <w:lvlText w:val="%1."/>
      <w:lvlJc w:val="left"/>
      <w:pPr>
        <w:tabs>
          <w:tab w:val="left" w:pos="425"/>
        </w:tabs>
        <w:ind w:left="425" w:hanging="425"/>
      </w:pPr>
      <w:rPr>
        <w:rFonts w:hint="eastAsia"/>
      </w:rPr>
    </w:lvl>
  </w:abstractNum>
  <w:abstractNum w:abstractNumId="3">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4">
    <w:nsid w:val="3287E947"/>
    <w:multiLevelType w:val="singleLevel"/>
    <w:tmpl w:val="3287E947"/>
    <w:lvl w:ilvl="0" w:tentative="0">
      <w:start w:val="3"/>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637B"/>
    <w:rsid w:val="000C1451"/>
    <w:rsid w:val="00145F98"/>
    <w:rsid w:val="002B66EF"/>
    <w:rsid w:val="00321A4C"/>
    <w:rsid w:val="003913B3"/>
    <w:rsid w:val="004543AC"/>
    <w:rsid w:val="00561A8F"/>
    <w:rsid w:val="00740890"/>
    <w:rsid w:val="00746C85"/>
    <w:rsid w:val="00791D6E"/>
    <w:rsid w:val="008B2302"/>
    <w:rsid w:val="008E21D0"/>
    <w:rsid w:val="009364C7"/>
    <w:rsid w:val="00965EBF"/>
    <w:rsid w:val="00984428"/>
    <w:rsid w:val="009B3ACF"/>
    <w:rsid w:val="00B00A56"/>
    <w:rsid w:val="00B61F98"/>
    <w:rsid w:val="00B97A3C"/>
    <w:rsid w:val="00BE6F1C"/>
    <w:rsid w:val="00C55949"/>
    <w:rsid w:val="00C82A1E"/>
    <w:rsid w:val="00D4613E"/>
    <w:rsid w:val="00D81414"/>
    <w:rsid w:val="00D9326E"/>
    <w:rsid w:val="00F36EF5"/>
    <w:rsid w:val="00F735C3"/>
    <w:rsid w:val="00FC1304"/>
    <w:rsid w:val="00FC2C02"/>
    <w:rsid w:val="00FD3A5B"/>
    <w:rsid w:val="01237F14"/>
    <w:rsid w:val="020F7FA5"/>
    <w:rsid w:val="02241386"/>
    <w:rsid w:val="02254726"/>
    <w:rsid w:val="022D67A0"/>
    <w:rsid w:val="023E292F"/>
    <w:rsid w:val="040F4169"/>
    <w:rsid w:val="044809AD"/>
    <w:rsid w:val="04B520D2"/>
    <w:rsid w:val="04E51181"/>
    <w:rsid w:val="05E1620A"/>
    <w:rsid w:val="06403E54"/>
    <w:rsid w:val="065E4F61"/>
    <w:rsid w:val="06684534"/>
    <w:rsid w:val="0727436E"/>
    <w:rsid w:val="078D3B0A"/>
    <w:rsid w:val="07933371"/>
    <w:rsid w:val="083F18F1"/>
    <w:rsid w:val="084D1D7B"/>
    <w:rsid w:val="0895457D"/>
    <w:rsid w:val="08B328D2"/>
    <w:rsid w:val="08BE4914"/>
    <w:rsid w:val="08C860A8"/>
    <w:rsid w:val="094A052E"/>
    <w:rsid w:val="09514A39"/>
    <w:rsid w:val="096545A8"/>
    <w:rsid w:val="099E6A2B"/>
    <w:rsid w:val="099F57B4"/>
    <w:rsid w:val="0A142C6D"/>
    <w:rsid w:val="0AA2391D"/>
    <w:rsid w:val="0ACF3CFE"/>
    <w:rsid w:val="0AF26E26"/>
    <w:rsid w:val="0B073E1A"/>
    <w:rsid w:val="0B49349A"/>
    <w:rsid w:val="0B585517"/>
    <w:rsid w:val="0B945D47"/>
    <w:rsid w:val="0BAF49D6"/>
    <w:rsid w:val="0C7314CA"/>
    <w:rsid w:val="0CA851D1"/>
    <w:rsid w:val="0CB747E9"/>
    <w:rsid w:val="0CBD1FB3"/>
    <w:rsid w:val="0DAF38D9"/>
    <w:rsid w:val="0DC766F1"/>
    <w:rsid w:val="0E0C6044"/>
    <w:rsid w:val="0F322E9E"/>
    <w:rsid w:val="0F831A8C"/>
    <w:rsid w:val="0FB02B1B"/>
    <w:rsid w:val="0FCA307E"/>
    <w:rsid w:val="10B10472"/>
    <w:rsid w:val="10BD70A4"/>
    <w:rsid w:val="10C565E0"/>
    <w:rsid w:val="11026BD9"/>
    <w:rsid w:val="110C569E"/>
    <w:rsid w:val="11244F9E"/>
    <w:rsid w:val="117251DB"/>
    <w:rsid w:val="11BB0A89"/>
    <w:rsid w:val="11C019A8"/>
    <w:rsid w:val="11DD7492"/>
    <w:rsid w:val="12604EF0"/>
    <w:rsid w:val="12EB7B80"/>
    <w:rsid w:val="132534D3"/>
    <w:rsid w:val="13A765F3"/>
    <w:rsid w:val="149B16E7"/>
    <w:rsid w:val="14AC6BF3"/>
    <w:rsid w:val="15631B03"/>
    <w:rsid w:val="156A31A7"/>
    <w:rsid w:val="15742440"/>
    <w:rsid w:val="15C9701E"/>
    <w:rsid w:val="15D975B0"/>
    <w:rsid w:val="162E3323"/>
    <w:rsid w:val="16BC2AB7"/>
    <w:rsid w:val="16D526DC"/>
    <w:rsid w:val="171F0373"/>
    <w:rsid w:val="1734650F"/>
    <w:rsid w:val="18571F2A"/>
    <w:rsid w:val="186758E5"/>
    <w:rsid w:val="195573CA"/>
    <w:rsid w:val="198454BD"/>
    <w:rsid w:val="1A7C125A"/>
    <w:rsid w:val="1ACC15FD"/>
    <w:rsid w:val="1AD70ED4"/>
    <w:rsid w:val="1AE51690"/>
    <w:rsid w:val="1B890B31"/>
    <w:rsid w:val="1DF7116B"/>
    <w:rsid w:val="1E562334"/>
    <w:rsid w:val="1E6125F1"/>
    <w:rsid w:val="1EA2383F"/>
    <w:rsid w:val="1EFB61F4"/>
    <w:rsid w:val="1EFE416D"/>
    <w:rsid w:val="1F3B2AC3"/>
    <w:rsid w:val="1F4212D1"/>
    <w:rsid w:val="1F566319"/>
    <w:rsid w:val="203E7020"/>
    <w:rsid w:val="20B53E9D"/>
    <w:rsid w:val="20D83503"/>
    <w:rsid w:val="20F61559"/>
    <w:rsid w:val="21496BB1"/>
    <w:rsid w:val="21F62804"/>
    <w:rsid w:val="22551DE5"/>
    <w:rsid w:val="22553D16"/>
    <w:rsid w:val="2294215C"/>
    <w:rsid w:val="234942BA"/>
    <w:rsid w:val="2354388F"/>
    <w:rsid w:val="239017F9"/>
    <w:rsid w:val="2390602F"/>
    <w:rsid w:val="23C7467A"/>
    <w:rsid w:val="23ED3E7B"/>
    <w:rsid w:val="23F84C9B"/>
    <w:rsid w:val="24033439"/>
    <w:rsid w:val="240B1292"/>
    <w:rsid w:val="25C33C70"/>
    <w:rsid w:val="25F157C4"/>
    <w:rsid w:val="26A10F45"/>
    <w:rsid w:val="26FB3F43"/>
    <w:rsid w:val="273262AB"/>
    <w:rsid w:val="28482F65"/>
    <w:rsid w:val="284A7931"/>
    <w:rsid w:val="28D13661"/>
    <w:rsid w:val="297E391D"/>
    <w:rsid w:val="298F232A"/>
    <w:rsid w:val="29F61E8B"/>
    <w:rsid w:val="2A5B0CCC"/>
    <w:rsid w:val="2B150AB2"/>
    <w:rsid w:val="2B2D4E83"/>
    <w:rsid w:val="2B3A79DD"/>
    <w:rsid w:val="2BFB35C4"/>
    <w:rsid w:val="2CB52835"/>
    <w:rsid w:val="2D0C02CC"/>
    <w:rsid w:val="2D825009"/>
    <w:rsid w:val="2DBA08B0"/>
    <w:rsid w:val="2DCF6503"/>
    <w:rsid w:val="2DEB4C16"/>
    <w:rsid w:val="2DEE7286"/>
    <w:rsid w:val="2E601876"/>
    <w:rsid w:val="30261EC5"/>
    <w:rsid w:val="3087384B"/>
    <w:rsid w:val="309D217C"/>
    <w:rsid w:val="30C85673"/>
    <w:rsid w:val="30CD60BF"/>
    <w:rsid w:val="31872358"/>
    <w:rsid w:val="32253C10"/>
    <w:rsid w:val="326C6798"/>
    <w:rsid w:val="32D350CD"/>
    <w:rsid w:val="33A146E5"/>
    <w:rsid w:val="344978E9"/>
    <w:rsid w:val="347C1089"/>
    <w:rsid w:val="34D11356"/>
    <w:rsid w:val="34DB0CBB"/>
    <w:rsid w:val="35A967D9"/>
    <w:rsid w:val="35BC5921"/>
    <w:rsid w:val="35BE503F"/>
    <w:rsid w:val="35F76A56"/>
    <w:rsid w:val="36412E6A"/>
    <w:rsid w:val="3706212C"/>
    <w:rsid w:val="370A7F4A"/>
    <w:rsid w:val="371C59BD"/>
    <w:rsid w:val="377E1242"/>
    <w:rsid w:val="378E137A"/>
    <w:rsid w:val="38B13CA2"/>
    <w:rsid w:val="38BD3C77"/>
    <w:rsid w:val="391D2921"/>
    <w:rsid w:val="392B5E27"/>
    <w:rsid w:val="39FA03C9"/>
    <w:rsid w:val="3A061AEB"/>
    <w:rsid w:val="3A5448DC"/>
    <w:rsid w:val="3B0C442F"/>
    <w:rsid w:val="3B5C4DD9"/>
    <w:rsid w:val="3B945584"/>
    <w:rsid w:val="3BCC379C"/>
    <w:rsid w:val="3BD24A47"/>
    <w:rsid w:val="3C62448F"/>
    <w:rsid w:val="3CC84F02"/>
    <w:rsid w:val="3DDE51CC"/>
    <w:rsid w:val="3DE73176"/>
    <w:rsid w:val="3E4E2367"/>
    <w:rsid w:val="3E720604"/>
    <w:rsid w:val="3F1F3A3D"/>
    <w:rsid w:val="3F8668D1"/>
    <w:rsid w:val="3FF56EAF"/>
    <w:rsid w:val="40D342AE"/>
    <w:rsid w:val="41093443"/>
    <w:rsid w:val="41104C2F"/>
    <w:rsid w:val="41416411"/>
    <w:rsid w:val="41912A36"/>
    <w:rsid w:val="42B11C95"/>
    <w:rsid w:val="43671615"/>
    <w:rsid w:val="439C2393"/>
    <w:rsid w:val="43B16FF6"/>
    <w:rsid w:val="43CD0728"/>
    <w:rsid w:val="43DB0719"/>
    <w:rsid w:val="43F15A64"/>
    <w:rsid w:val="44361D98"/>
    <w:rsid w:val="44A914B6"/>
    <w:rsid w:val="44C54013"/>
    <w:rsid w:val="44E12F80"/>
    <w:rsid w:val="451621B9"/>
    <w:rsid w:val="4523757D"/>
    <w:rsid w:val="45E15917"/>
    <w:rsid w:val="46334E11"/>
    <w:rsid w:val="464F674F"/>
    <w:rsid w:val="46B7757A"/>
    <w:rsid w:val="46C72ACF"/>
    <w:rsid w:val="4848337A"/>
    <w:rsid w:val="48B21DF3"/>
    <w:rsid w:val="48D55D39"/>
    <w:rsid w:val="495D5DC7"/>
    <w:rsid w:val="49823B50"/>
    <w:rsid w:val="4A1323A4"/>
    <w:rsid w:val="4A241AD5"/>
    <w:rsid w:val="4A5B4CF5"/>
    <w:rsid w:val="4A705B11"/>
    <w:rsid w:val="4AA239A7"/>
    <w:rsid w:val="4B045F14"/>
    <w:rsid w:val="4B4F5EF1"/>
    <w:rsid w:val="4BFA76D9"/>
    <w:rsid w:val="4C167BB9"/>
    <w:rsid w:val="4C63067F"/>
    <w:rsid w:val="4CAA6B9C"/>
    <w:rsid w:val="4D3A0DE9"/>
    <w:rsid w:val="4DB1787A"/>
    <w:rsid w:val="4DC57EE3"/>
    <w:rsid w:val="4E0405E9"/>
    <w:rsid w:val="4E21054A"/>
    <w:rsid w:val="4E3314FB"/>
    <w:rsid w:val="4E3A2E66"/>
    <w:rsid w:val="4E8B7676"/>
    <w:rsid w:val="4F9F022F"/>
    <w:rsid w:val="4FC34284"/>
    <w:rsid w:val="50004A95"/>
    <w:rsid w:val="50FC47BB"/>
    <w:rsid w:val="51376A46"/>
    <w:rsid w:val="519D0953"/>
    <w:rsid w:val="52B50F48"/>
    <w:rsid w:val="52CB6CFE"/>
    <w:rsid w:val="5317181B"/>
    <w:rsid w:val="534345FA"/>
    <w:rsid w:val="53D0606B"/>
    <w:rsid w:val="564F2639"/>
    <w:rsid w:val="566561A7"/>
    <w:rsid w:val="567B44A9"/>
    <w:rsid w:val="56AB440F"/>
    <w:rsid w:val="56D95146"/>
    <w:rsid w:val="56F14735"/>
    <w:rsid w:val="57A56642"/>
    <w:rsid w:val="57B12DCB"/>
    <w:rsid w:val="57C230E3"/>
    <w:rsid w:val="57ED14DF"/>
    <w:rsid w:val="57F8030F"/>
    <w:rsid w:val="589A283E"/>
    <w:rsid w:val="58CD73F0"/>
    <w:rsid w:val="596B0399"/>
    <w:rsid w:val="5A8509DB"/>
    <w:rsid w:val="5CD02828"/>
    <w:rsid w:val="5CED1068"/>
    <w:rsid w:val="5D6C28C9"/>
    <w:rsid w:val="5D870632"/>
    <w:rsid w:val="5E076FAE"/>
    <w:rsid w:val="5E112834"/>
    <w:rsid w:val="5E2D4BA6"/>
    <w:rsid w:val="5E8125A0"/>
    <w:rsid w:val="5EA20052"/>
    <w:rsid w:val="5EFA45C6"/>
    <w:rsid w:val="5F5D0041"/>
    <w:rsid w:val="5FD82588"/>
    <w:rsid w:val="6009431E"/>
    <w:rsid w:val="609864D9"/>
    <w:rsid w:val="60D537A4"/>
    <w:rsid w:val="60E22C4D"/>
    <w:rsid w:val="61A60322"/>
    <w:rsid w:val="61C221EB"/>
    <w:rsid w:val="61E63296"/>
    <w:rsid w:val="61F939BB"/>
    <w:rsid w:val="61FD304B"/>
    <w:rsid w:val="6224186A"/>
    <w:rsid w:val="62672CB2"/>
    <w:rsid w:val="6379407E"/>
    <w:rsid w:val="63DD7F54"/>
    <w:rsid w:val="63F60752"/>
    <w:rsid w:val="640220DF"/>
    <w:rsid w:val="64560E6E"/>
    <w:rsid w:val="648E5CB4"/>
    <w:rsid w:val="64A10300"/>
    <w:rsid w:val="64C2600E"/>
    <w:rsid w:val="64EA505C"/>
    <w:rsid w:val="64EF2DCD"/>
    <w:rsid w:val="65186344"/>
    <w:rsid w:val="65802620"/>
    <w:rsid w:val="65AC2331"/>
    <w:rsid w:val="65DA20A2"/>
    <w:rsid w:val="663C5550"/>
    <w:rsid w:val="66590841"/>
    <w:rsid w:val="667C04A1"/>
    <w:rsid w:val="66FC541B"/>
    <w:rsid w:val="670B5D1A"/>
    <w:rsid w:val="67785B0F"/>
    <w:rsid w:val="67D9275B"/>
    <w:rsid w:val="681B5376"/>
    <w:rsid w:val="682F44F1"/>
    <w:rsid w:val="683E4589"/>
    <w:rsid w:val="68882E2B"/>
    <w:rsid w:val="68F67949"/>
    <w:rsid w:val="69116BE6"/>
    <w:rsid w:val="69A9216B"/>
    <w:rsid w:val="6A9B1934"/>
    <w:rsid w:val="6B327C17"/>
    <w:rsid w:val="6B357506"/>
    <w:rsid w:val="6B7A6D4B"/>
    <w:rsid w:val="6B7F3C8B"/>
    <w:rsid w:val="6BDB66FC"/>
    <w:rsid w:val="6C5F3CA6"/>
    <w:rsid w:val="6C9300D1"/>
    <w:rsid w:val="6CBD314A"/>
    <w:rsid w:val="6D0E5AE5"/>
    <w:rsid w:val="6D356133"/>
    <w:rsid w:val="6D510F2F"/>
    <w:rsid w:val="6DBB4675"/>
    <w:rsid w:val="6DE82DCF"/>
    <w:rsid w:val="6E55068F"/>
    <w:rsid w:val="6E7E197D"/>
    <w:rsid w:val="6F0D36B6"/>
    <w:rsid w:val="6F114EF6"/>
    <w:rsid w:val="6F53446B"/>
    <w:rsid w:val="6F813EA9"/>
    <w:rsid w:val="6FCD682F"/>
    <w:rsid w:val="6FCF7432"/>
    <w:rsid w:val="6FEA0DFA"/>
    <w:rsid w:val="701651A9"/>
    <w:rsid w:val="71435310"/>
    <w:rsid w:val="72131EC1"/>
    <w:rsid w:val="73537702"/>
    <w:rsid w:val="74033700"/>
    <w:rsid w:val="743015D9"/>
    <w:rsid w:val="74C77A7C"/>
    <w:rsid w:val="76085DD4"/>
    <w:rsid w:val="772366CB"/>
    <w:rsid w:val="778B7B96"/>
    <w:rsid w:val="77950CD1"/>
    <w:rsid w:val="77AE6C8A"/>
    <w:rsid w:val="78022F8E"/>
    <w:rsid w:val="786C738F"/>
    <w:rsid w:val="78D34AC3"/>
    <w:rsid w:val="78F7106B"/>
    <w:rsid w:val="790B2E24"/>
    <w:rsid w:val="790E6949"/>
    <w:rsid w:val="794624E8"/>
    <w:rsid w:val="7A0D000B"/>
    <w:rsid w:val="7A6341CA"/>
    <w:rsid w:val="7B09363E"/>
    <w:rsid w:val="7B3F5CB2"/>
    <w:rsid w:val="7C2F6EB3"/>
    <w:rsid w:val="7CAE0DCF"/>
    <w:rsid w:val="7D0A305A"/>
    <w:rsid w:val="7D1558D6"/>
    <w:rsid w:val="7D31246A"/>
    <w:rsid w:val="7D6876FE"/>
    <w:rsid w:val="7DA22583"/>
    <w:rsid w:val="7DFA3A58"/>
    <w:rsid w:val="7E167004"/>
    <w:rsid w:val="7EC65A36"/>
    <w:rsid w:val="7EFD2CD6"/>
    <w:rsid w:val="7F6E71CB"/>
    <w:rsid w:val="7FB2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outlineLvl w:val="0"/>
    </w:pPr>
    <w:rPr>
      <w:rFonts w:ascii="仿宋_GB2312"/>
      <w:sz w:val="32"/>
    </w:rPr>
  </w:style>
  <w:style w:type="paragraph" w:styleId="6">
    <w:name w:val="heading 2"/>
    <w:basedOn w:val="1"/>
    <w:next w:val="1"/>
    <w:link w:val="48"/>
    <w:qFormat/>
    <w:uiPriority w:val="0"/>
    <w:pPr>
      <w:keepNext/>
      <w:widowControl/>
      <w:spacing w:before="240" w:after="120"/>
      <w:jc w:val="left"/>
      <w:outlineLvl w:val="1"/>
    </w:pPr>
    <w:rPr>
      <w:b/>
      <w:kern w:val="0"/>
      <w:sz w:val="28"/>
      <w:szCs w:val="20"/>
    </w:rPr>
  </w:style>
  <w:style w:type="paragraph" w:styleId="7">
    <w:name w:val="heading 3"/>
    <w:basedOn w:val="1"/>
    <w:next w:val="1"/>
    <w:link w:val="55"/>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24">
    <w:name w:val="Default Paragraph Font"/>
    <w:link w:val="25"/>
    <w:semiHidden/>
    <w:unhideWhenUsed/>
    <w:qFormat/>
    <w:uiPriority w:val="1"/>
    <w:rPr>
      <w:rFonts w:cs="Times New Roman"/>
      <w:sz w:val="24"/>
      <w:szCs w:val="24"/>
    </w:rPr>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next w:val="4"/>
    <w:qFormat/>
    <w:uiPriority w:val="0"/>
    <w:pPr>
      <w:spacing w:line="360" w:lineRule="auto"/>
    </w:pPr>
    <w:rPr>
      <w:rFonts w:ascii="仿宋体" w:eastAsia="仿宋体"/>
      <w:sz w:val="24"/>
    </w:rPr>
  </w:style>
  <w:style w:type="paragraph" w:customStyle="1" w:styleId="4">
    <w:name w:val="Default"/>
    <w:basedOn w:val="1"/>
    <w:qFormat/>
    <w:uiPriority w:val="0"/>
    <w:pPr>
      <w:autoSpaceDE w:val="0"/>
      <w:autoSpaceDN w:val="0"/>
      <w:adjustRightInd w:val="0"/>
      <w:jc w:val="left"/>
    </w:pPr>
    <w:rPr>
      <w:rFonts w:ascii="Arial" w:hAnsi="Arial" w:cs="Arial"/>
      <w:color w:val="000000"/>
      <w:kern w:val="0"/>
      <w:sz w:val="24"/>
    </w:rPr>
  </w:style>
  <w:style w:type="paragraph" w:styleId="9">
    <w:name w:val="Body Text First Indent"/>
    <w:basedOn w:val="10"/>
    <w:qFormat/>
    <w:uiPriority w:val="0"/>
    <w:pPr>
      <w:ind w:firstLine="420" w:firstLineChars="100"/>
    </w:pPr>
    <w:rPr>
      <w:szCs w:val="21"/>
    </w:rPr>
  </w:style>
  <w:style w:type="paragraph" w:styleId="10">
    <w:name w:val="Body Text"/>
    <w:basedOn w:val="1"/>
    <w:next w:val="1"/>
    <w:qFormat/>
    <w:uiPriority w:val="0"/>
  </w:style>
  <w:style w:type="paragraph" w:styleId="11">
    <w:name w:val="Normal Indent"/>
    <w:basedOn w:val="1"/>
    <w:next w:val="1"/>
    <w:qFormat/>
    <w:uiPriority w:val="0"/>
    <w:pPr>
      <w:adjustRightInd w:val="0"/>
      <w:ind w:firstLine="420"/>
    </w:pPr>
    <w:rPr>
      <w:rFonts w:eastAsia="楷体_GB2312"/>
      <w:sz w:val="24"/>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List 2"/>
    <w:basedOn w:val="1"/>
    <w:qFormat/>
    <w:uiPriority w:val="99"/>
    <w:pPr>
      <w:ind w:left="100" w:leftChars="200" w:hanging="200" w:hangingChars="200"/>
      <w:contextualSpacing/>
    </w:pPr>
  </w:style>
  <w:style w:type="paragraph" w:styleId="15">
    <w:name w:val="Plain Text"/>
    <w:basedOn w:val="1"/>
    <w:unhideWhenUsed/>
    <w:qFormat/>
    <w:uiPriority w:val="99"/>
    <w:rPr>
      <w:rFonts w:ascii="宋体" w:hAnsi="Courier New" w:cs="Courier New"/>
      <w:szCs w:val="21"/>
    </w:rPr>
  </w:style>
  <w:style w:type="paragraph" w:styleId="16">
    <w:name w:val="Date"/>
    <w:basedOn w:val="1"/>
    <w:next w:val="1"/>
    <w:qFormat/>
    <w:uiPriority w:val="0"/>
    <w:pPr>
      <w:ind w:left="100" w:leftChars="2500"/>
    </w:pPr>
    <w:rPr>
      <w:rFonts w:ascii="华文仿宋" w:hAnsi="华文仿宋" w:eastAsia="华文仿宋"/>
      <w:sz w:val="24"/>
    </w:rPr>
  </w:style>
  <w:style w:type="paragraph" w:styleId="17">
    <w:name w:val="Body Text Indent 2"/>
    <w:basedOn w:val="1"/>
    <w:qFormat/>
    <w:uiPriority w:val="0"/>
    <w:pPr>
      <w:spacing w:line="360" w:lineRule="auto"/>
      <w:ind w:left="839" w:hanging="839" w:hangingChars="355"/>
    </w:pPr>
    <w:rPr>
      <w:b/>
      <w:sz w:val="24"/>
    </w:rPr>
  </w:style>
  <w:style w:type="paragraph" w:styleId="18">
    <w:name w:val="Balloon Text"/>
    <w:basedOn w:val="1"/>
    <w:link w:val="40"/>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customStyle="1" w:styleId="25">
    <w:name w:val=" Char Char1"/>
    <w:basedOn w:val="12"/>
    <w:link w:val="24"/>
    <w:qFormat/>
    <w:uiPriority w:val="0"/>
    <w:pPr>
      <w:shd w:val="clear" w:color="auto" w:fill="000080"/>
    </w:pPr>
    <w:rPr>
      <w:rFonts w:cs="Times New Roman"/>
      <w:sz w:val="24"/>
      <w:szCs w:val="24"/>
    </w:rPr>
  </w:style>
  <w:style w:type="character" w:styleId="26">
    <w:name w:val="Strong"/>
    <w:basedOn w:val="24"/>
    <w:qFormat/>
    <w:uiPriority w:val="0"/>
    <w:rPr>
      <w:b/>
    </w:rPr>
  </w:style>
  <w:style w:type="character" w:styleId="27">
    <w:name w:val="page number"/>
    <w:basedOn w:val="24"/>
    <w:qFormat/>
    <w:uiPriority w:val="0"/>
  </w:style>
  <w:style w:type="character" w:styleId="28">
    <w:name w:val="Hyperlink"/>
    <w:basedOn w:val="24"/>
    <w:semiHidden/>
    <w:unhideWhenUsed/>
    <w:qFormat/>
    <w:uiPriority w:val="99"/>
    <w:rPr>
      <w:color w:val="0000FF"/>
      <w:u w:val="single"/>
    </w:rPr>
  </w:style>
  <w:style w:type="table" w:styleId="30">
    <w:name w:val="Table Grid"/>
    <w:basedOn w:val="2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31">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3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默认段落字体 Para Char"/>
    <w:basedOn w:val="1"/>
    <w:qFormat/>
    <w:uiPriority w:val="0"/>
    <w:pPr>
      <w:adjustRightInd w:val="0"/>
      <w:spacing w:line="360" w:lineRule="auto"/>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
    <w:name w:val="列出段落1"/>
    <w:basedOn w:val="1"/>
    <w:qFormat/>
    <w:uiPriority w:val="34"/>
    <w:pPr>
      <w:ind w:firstLine="420" w:firstLineChars="200"/>
    </w:pPr>
  </w:style>
  <w:style w:type="character" w:customStyle="1" w:styleId="37">
    <w:name w:val="font11"/>
    <w:basedOn w:val="24"/>
    <w:qFormat/>
    <w:uiPriority w:val="0"/>
    <w:rPr>
      <w:rFonts w:hint="default" w:ascii="Times New Roman" w:hAnsi="Times New Roman" w:cs="Times New Roman"/>
      <w:color w:val="000000"/>
      <w:sz w:val="24"/>
      <w:szCs w:val="24"/>
      <w:u w:val="none"/>
    </w:rPr>
  </w:style>
  <w:style w:type="character" w:customStyle="1" w:styleId="38">
    <w:name w:val="font31"/>
    <w:basedOn w:val="24"/>
    <w:qFormat/>
    <w:uiPriority w:val="0"/>
    <w:rPr>
      <w:rFonts w:hint="eastAsia" w:ascii="宋体" w:hAnsi="宋体" w:eastAsia="宋体" w:cs="宋体"/>
      <w:color w:val="000000"/>
      <w:sz w:val="24"/>
      <w:szCs w:val="24"/>
      <w:u w:val="none"/>
    </w:rPr>
  </w:style>
  <w:style w:type="paragraph" w:customStyle="1" w:styleId="39">
    <w:name w:val="WPS Plain"/>
    <w:qFormat/>
    <w:uiPriority w:val="0"/>
    <w:rPr>
      <w:rFonts w:ascii="Times New Roman" w:hAnsi="Times New Roman" w:eastAsia="宋体" w:cs="Times New Roman"/>
      <w:lang w:val="en-US" w:eastAsia="zh-CN" w:bidi="ar-SA"/>
    </w:rPr>
  </w:style>
  <w:style w:type="character" w:customStyle="1" w:styleId="40">
    <w:name w:val="批注框文本 Char"/>
    <w:basedOn w:val="24"/>
    <w:link w:val="18"/>
    <w:qFormat/>
    <w:uiPriority w:val="0"/>
    <w:rPr>
      <w:kern w:val="2"/>
      <w:sz w:val="18"/>
      <w:szCs w:val="18"/>
    </w:rPr>
  </w:style>
  <w:style w:type="paragraph" w:customStyle="1" w:styleId="4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2">
    <w:name w:val="标题 1 Char"/>
    <w:link w:val="5"/>
    <w:qFormat/>
    <w:uiPriority w:val="0"/>
    <w:rPr>
      <w:rFonts w:ascii="仿宋_GB2312"/>
      <w:sz w:val="32"/>
    </w:rPr>
  </w:style>
  <w:style w:type="paragraph" w:customStyle="1" w:styleId="43">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纯文本1"/>
    <w:basedOn w:val="1"/>
    <w:qFormat/>
    <w:uiPriority w:val="0"/>
    <w:rPr>
      <w:rFonts w:ascii="宋体" w:hAnsi="Courier New"/>
      <w:kern w:val="0"/>
      <w:sz w:val="24"/>
    </w:rPr>
  </w:style>
  <w:style w:type="paragraph" w:customStyle="1" w:styleId="4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标题 2 Char"/>
    <w:link w:val="6"/>
    <w:qFormat/>
    <w:uiPriority w:val="0"/>
    <w:rPr>
      <w:b/>
      <w:kern w:val="0"/>
      <w:sz w:val="28"/>
      <w:szCs w:val="20"/>
    </w:rPr>
  </w:style>
  <w:style w:type="paragraph" w:customStyle="1" w:styleId="49">
    <w:name w:val="Normal_19"/>
    <w:qFormat/>
    <w:uiPriority w:val="0"/>
    <w:pPr>
      <w:spacing w:before="120" w:after="240"/>
      <w:jc w:val="both"/>
    </w:pPr>
    <w:rPr>
      <w:rFonts w:asciiTheme="minorHAnsi" w:hAnsiTheme="minorHAnsi" w:eastAsiaTheme="minorHAnsi" w:cstheme="minorBidi"/>
      <w:sz w:val="22"/>
      <w:szCs w:val="22"/>
      <w:lang w:val="en-US" w:eastAsia="en-US" w:bidi="ar-SA"/>
    </w:rPr>
  </w:style>
  <w:style w:type="paragraph" w:styleId="50">
    <w:name w:val="List Paragraph"/>
    <w:basedOn w:val="1"/>
    <w:qFormat/>
    <w:uiPriority w:val="1"/>
    <w:pPr>
      <w:ind w:firstLine="420" w:firstLineChars="200"/>
    </w:pPr>
  </w:style>
  <w:style w:type="character" w:customStyle="1" w:styleId="51">
    <w:name w:val="font01"/>
    <w:basedOn w:val="24"/>
    <w:qFormat/>
    <w:uiPriority w:val="0"/>
    <w:rPr>
      <w:rFonts w:hint="eastAsia" w:ascii="宋体" w:hAnsi="宋体" w:eastAsia="宋体" w:cs="宋体"/>
      <w:color w:val="000000"/>
      <w:sz w:val="22"/>
      <w:szCs w:val="22"/>
      <w:u w:val="none"/>
    </w:rPr>
  </w:style>
  <w:style w:type="paragraph" w:customStyle="1" w:styleId="52">
    <w:name w:val="样式 宋体 五号 行距: 单倍行距"/>
    <w:basedOn w:val="1"/>
    <w:qFormat/>
    <w:uiPriority w:val="0"/>
    <w:pPr>
      <w:adjustRightInd w:val="0"/>
      <w:jc w:val="left"/>
      <w:textAlignment w:val="baseline"/>
    </w:pPr>
    <w:rPr>
      <w:rFonts w:ascii="宋体" w:hAnsi="宋体"/>
      <w:kern w:val="0"/>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5">
    <w:name w:val="标题 3 Char"/>
    <w:link w:val="7"/>
    <w:qFormat/>
    <w:uiPriority w:val="0"/>
    <w:rPr>
      <w:b/>
      <w:bCs/>
      <w:sz w:val="32"/>
      <w:szCs w:val="32"/>
    </w:rPr>
  </w:style>
  <w:style w:type="paragraph" w:customStyle="1" w:styleId="56">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58">
    <w:name w:val="font21"/>
    <w:basedOn w:val="24"/>
    <w:qFormat/>
    <w:uiPriority w:val="0"/>
    <w:rPr>
      <w:rFonts w:hint="eastAsia" w:ascii="宋体" w:hAnsi="宋体" w:eastAsia="宋体" w:cs="宋体"/>
      <w:color w:val="000000"/>
      <w:sz w:val="21"/>
      <w:szCs w:val="21"/>
      <w:u w:val="none"/>
    </w:rPr>
  </w:style>
  <w:style w:type="paragraph" w:customStyle="1" w:styleId="59">
    <w:name w:val="Bid_正文"/>
    <w:basedOn w:val="11"/>
    <w:qFormat/>
    <w:uiPriority w:val="0"/>
    <w:pPr>
      <w:spacing w:after="156" w:afterLines="50" w:line="360" w:lineRule="auto"/>
      <w:ind w:firstLine="480" w:firstLineChars="200"/>
    </w:pPr>
    <w:rPr>
      <w:sz w:val="24"/>
    </w:rPr>
  </w:style>
  <w:style w:type="paragraph" w:customStyle="1" w:styleId="60">
    <w:name w:val="样式 左侧:  0.74 厘米1"/>
    <w:basedOn w:val="1"/>
    <w:qFormat/>
    <w:uiPriority w:val="0"/>
    <w:pPr>
      <w:spacing w:line="360" w:lineRule="auto"/>
      <w:ind w:left="620" w:hanging="200" w:hangingChars="20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5309</Words>
  <Characters>30267</Characters>
  <Lines>252</Lines>
  <Paragraphs>71</Paragraphs>
  <TotalTime>4</TotalTime>
  <ScaleCrop>false</ScaleCrop>
  <LinksUpToDate>false</LinksUpToDate>
  <CharactersWithSpaces>35505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别动我的糖</cp:lastModifiedBy>
  <cp:lastPrinted>2020-06-17T11:16:00Z</cp:lastPrinted>
  <dcterms:modified xsi:type="dcterms:W3CDTF">2022-06-01T06:02:34Z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DF25325CE42D49DCAEBD6DCBB0D75476</vt:lpwstr>
  </property>
</Properties>
</file>