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heme="minorEastAsia" w:hAnsiTheme="minorEastAsia" w:eastAsiaTheme="minorEastAsia" w:cstheme="minorEastAsia"/>
          <w:b/>
          <w:color w:val="auto"/>
          <w:sz w:val="44"/>
          <w:szCs w:val="44"/>
          <w:lang w:val="en-US" w:eastAsia="zh-CN"/>
        </w:rPr>
      </w:pPr>
      <w:r>
        <w:rPr>
          <w:rFonts w:hint="eastAsia" w:asciiTheme="minorEastAsia" w:hAnsiTheme="minorEastAsia" w:eastAsiaTheme="minorEastAsia" w:cstheme="minorEastAsia"/>
          <w:b/>
          <w:color w:val="auto"/>
          <w:sz w:val="44"/>
          <w:szCs w:val="44"/>
          <w:lang w:val="en-US" w:eastAsia="zh-CN"/>
        </w:rPr>
        <w:t>新和县中小学护眼灯采购项目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heme="minorEastAsia" w:hAnsiTheme="minorEastAsia" w:eastAsiaTheme="minorEastAsia" w:cstheme="minorEastAsia"/>
          <w:b/>
          <w:color w:val="auto"/>
          <w:sz w:val="44"/>
          <w:szCs w:val="44"/>
          <w:lang w:val="en-US" w:eastAsia="zh-CN"/>
        </w:rPr>
      </w:pPr>
    </w:p>
    <w:p>
      <w:pPr>
        <w:pStyle w:val="7"/>
        <w:outlineLvl w:val="9"/>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heme="minorEastAsia" w:hAnsiTheme="minorEastAsia" w:eastAsiaTheme="minorEastAsia" w:cstheme="minorEastAsia"/>
          <w:b/>
          <w:bCs/>
          <w:color w:val="auto"/>
          <w:sz w:val="24"/>
          <w:szCs w:val="28"/>
          <w:highlight w:val="none"/>
          <w:lang w:val="en-US" w:eastAsia="zh-CN"/>
        </w:rPr>
      </w:pPr>
      <w:r>
        <w:rPr>
          <w:rFonts w:hint="eastAsia" w:asciiTheme="minorEastAsia" w:hAnsiTheme="minorEastAsia" w:eastAsiaTheme="minorEastAsia" w:cstheme="minorEastAsia"/>
          <w:b/>
          <w:bCs/>
          <w:color w:val="auto"/>
          <w:sz w:val="24"/>
          <w:szCs w:val="28"/>
          <w:highlight w:val="none"/>
        </w:rPr>
        <w:t>项目编号：</w:t>
      </w:r>
      <w:r>
        <w:rPr>
          <w:rFonts w:hint="eastAsia" w:asciiTheme="minorEastAsia" w:hAnsiTheme="minorEastAsia" w:eastAsiaTheme="minorEastAsia" w:cstheme="minorEastAsia"/>
          <w:b/>
          <w:bCs/>
          <w:color w:val="auto"/>
          <w:sz w:val="24"/>
          <w:szCs w:val="28"/>
          <w:highlight w:val="none"/>
          <w:lang w:val="en-US" w:eastAsia="zh-CN"/>
        </w:rPr>
        <w:t xml:space="preserve">XHCG-2022-05 </w:t>
      </w:r>
    </w:p>
    <w:p>
      <w:pPr>
        <w:adjustRightInd w:val="0"/>
        <w:snapToGrid w:val="0"/>
        <w:spacing w:line="400" w:lineRule="exact"/>
        <w:jc w:val="both"/>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pStyle w:val="20"/>
        <w:ind w:left="0" w:leftChars="0" w:firstLine="0" w:firstLineChars="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rPr>
      </w:pPr>
    </w:p>
    <w:p>
      <w:pPr>
        <w:adjustRightInd w:val="0"/>
        <w:snapToGrid w:val="0"/>
        <w:jc w:val="center"/>
        <w:rPr>
          <w:rFonts w:hint="eastAsia" w:asciiTheme="minorEastAsia" w:hAnsiTheme="minorEastAsia" w:eastAsiaTheme="minorEastAsia" w:cstheme="minorEastAsia"/>
          <w:color w:val="auto"/>
          <w:sz w:val="144"/>
          <w:szCs w:val="40"/>
          <w:highlight w:val="none"/>
        </w:rPr>
      </w:pPr>
      <w:r>
        <w:rPr>
          <w:rFonts w:hint="eastAsia" w:asciiTheme="minorEastAsia" w:hAnsiTheme="minorEastAsia" w:eastAsiaTheme="minorEastAsia" w:cstheme="minorEastAsia"/>
          <w:color w:val="auto"/>
          <w:sz w:val="96"/>
          <w:szCs w:val="36"/>
          <w:highlight w:val="none"/>
          <w:lang w:val="en-US" w:eastAsia="zh-CN"/>
        </w:rPr>
        <w:t>招标</w:t>
      </w:r>
      <w:r>
        <w:rPr>
          <w:rFonts w:hint="eastAsia" w:asciiTheme="minorEastAsia" w:hAnsiTheme="minorEastAsia" w:eastAsiaTheme="minorEastAsia" w:cstheme="minorEastAsia"/>
          <w:color w:val="auto"/>
          <w:sz w:val="96"/>
          <w:szCs w:val="36"/>
          <w:highlight w:val="none"/>
        </w:rPr>
        <w:t>文件</w:t>
      </w:r>
    </w:p>
    <w:p>
      <w:pPr>
        <w:adjustRightInd w:val="0"/>
        <w:snapToGrid w:val="0"/>
        <w:spacing w:line="400" w:lineRule="exact"/>
        <w:jc w:val="center"/>
        <w:rPr>
          <w:rFonts w:hint="eastAsia" w:asciiTheme="minorEastAsia" w:hAnsiTheme="minorEastAsia" w:eastAsiaTheme="minorEastAsia" w:cstheme="minorEastAsia"/>
          <w:b/>
          <w:bCs/>
          <w:color w:val="auto"/>
          <w:kern w:val="0"/>
          <w:sz w:val="28"/>
          <w:szCs w:val="28"/>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pStyle w:val="20"/>
        <w:ind w:left="0" w:leftChars="0" w:firstLine="0" w:firstLineChars="0"/>
        <w:rPr>
          <w:rFonts w:hint="eastAsia" w:asciiTheme="minorEastAsia" w:hAnsiTheme="minorEastAsia" w:eastAsiaTheme="minorEastAsia" w:cstheme="minorEastAsia"/>
          <w:color w:val="auto"/>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pStyle w:val="20"/>
        <w:ind w:left="0" w:leftChars="0" w:firstLine="0" w:firstLineChars="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adjustRightInd w:val="0"/>
        <w:snapToGrid w:val="0"/>
        <w:spacing w:line="400" w:lineRule="exact"/>
        <w:rPr>
          <w:rFonts w:hint="eastAsia" w:asciiTheme="minorEastAsia" w:hAnsiTheme="minorEastAsia" w:eastAsiaTheme="minorEastAsia" w:cstheme="minorEastAsia"/>
          <w:color w:val="auto"/>
          <w:highlight w:val="none"/>
        </w:rPr>
      </w:pPr>
    </w:p>
    <w:p>
      <w:pPr>
        <w:adjustRightInd w:val="0"/>
        <w:snapToGrid w:val="0"/>
        <w:spacing w:line="400" w:lineRule="exact"/>
        <w:jc w:val="center"/>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sz w:val="32"/>
          <w:szCs w:val="24"/>
          <w:lang w:eastAsia="zh-CN"/>
        </w:rPr>
      </w:pPr>
      <w:r>
        <w:rPr>
          <w:rFonts w:hint="eastAsia" w:asciiTheme="minorEastAsia" w:hAnsiTheme="minorEastAsia" w:eastAsiaTheme="minorEastAsia" w:cstheme="minorEastAsia"/>
          <w:b/>
          <w:sz w:val="32"/>
          <w:szCs w:val="24"/>
          <w:lang w:eastAsia="zh-CN"/>
        </w:rPr>
        <w:t>采</w:t>
      </w:r>
      <w:r>
        <w:rPr>
          <w:rFonts w:hint="eastAsia" w:asciiTheme="minorEastAsia" w:hAnsiTheme="minorEastAsia" w:eastAsiaTheme="minorEastAsia" w:cstheme="minorEastAsia"/>
          <w:b/>
          <w:sz w:val="32"/>
          <w:szCs w:val="24"/>
          <w:lang w:val="en-US" w:eastAsia="zh-CN"/>
        </w:rPr>
        <w:t xml:space="preserve">   </w:t>
      </w:r>
      <w:r>
        <w:rPr>
          <w:rFonts w:hint="eastAsia" w:asciiTheme="minorEastAsia" w:hAnsiTheme="minorEastAsia" w:eastAsiaTheme="minorEastAsia" w:cstheme="minorEastAsia"/>
          <w:b/>
          <w:sz w:val="32"/>
          <w:szCs w:val="24"/>
          <w:lang w:eastAsia="zh-CN"/>
        </w:rPr>
        <w:t>购</w:t>
      </w:r>
      <w:r>
        <w:rPr>
          <w:rFonts w:hint="eastAsia" w:asciiTheme="minorEastAsia" w:hAnsiTheme="minorEastAsia" w:eastAsiaTheme="minorEastAsia" w:cstheme="minorEastAsia"/>
          <w:b/>
          <w:sz w:val="32"/>
          <w:szCs w:val="24"/>
          <w:lang w:val="en-US" w:eastAsia="zh-CN"/>
        </w:rPr>
        <w:t xml:space="preserve">   </w:t>
      </w:r>
      <w:r>
        <w:rPr>
          <w:rFonts w:hint="eastAsia" w:asciiTheme="minorEastAsia" w:hAnsiTheme="minorEastAsia" w:eastAsiaTheme="minorEastAsia" w:cstheme="minorEastAsia"/>
          <w:b/>
          <w:sz w:val="32"/>
          <w:szCs w:val="24"/>
          <w:lang w:eastAsia="zh-CN"/>
        </w:rPr>
        <w:t>人：</w:t>
      </w:r>
      <w:r>
        <w:rPr>
          <w:rFonts w:hint="eastAsia" w:asciiTheme="minorEastAsia" w:hAnsiTheme="minorEastAsia" w:eastAsiaTheme="minorEastAsia" w:cstheme="minorEastAsia"/>
          <w:b/>
          <w:color w:val="000000"/>
          <w:sz w:val="32"/>
          <w:szCs w:val="32"/>
          <w:lang w:eastAsia="zh-CN"/>
        </w:rPr>
        <w:t>新和县教育和科学技术局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FF0000"/>
          <w:sz w:val="32"/>
          <w:szCs w:val="32"/>
          <w:lang w:val="en-US" w:eastAsia="zh-CN"/>
        </w:rPr>
      </w:pPr>
      <w:r>
        <w:rPr>
          <w:rFonts w:hint="eastAsia" w:asciiTheme="minorEastAsia" w:hAnsiTheme="minorEastAsia" w:eastAsiaTheme="minorEastAsia" w:cstheme="minorEastAsia"/>
          <w:b/>
          <w:sz w:val="32"/>
          <w:szCs w:val="24"/>
        </w:rPr>
        <w:t>采购代理机构</w:t>
      </w:r>
      <w:r>
        <w:rPr>
          <w:rFonts w:hint="eastAsia" w:asciiTheme="minorEastAsia" w:hAnsiTheme="minorEastAsia" w:eastAsiaTheme="minorEastAsia" w:cstheme="minorEastAsia"/>
          <w:b/>
          <w:sz w:val="32"/>
          <w:szCs w:val="24"/>
          <w:lang w:eastAsia="zh-CN"/>
        </w:rPr>
        <w:t>：</w:t>
      </w:r>
      <w:r>
        <w:rPr>
          <w:rFonts w:hint="eastAsia" w:asciiTheme="minorEastAsia" w:hAnsiTheme="minorEastAsia" w:eastAsiaTheme="minorEastAsia" w:cstheme="minorEastAsia"/>
          <w:b/>
          <w:sz w:val="32"/>
          <w:szCs w:val="24"/>
          <w:lang w:val="en-US" w:eastAsia="zh-CN"/>
        </w:rPr>
        <w:t>阿克苏新华远景工程造价咨询有限公司</w:t>
      </w:r>
    </w:p>
    <w:p>
      <w:pPr>
        <w:spacing w:line="360" w:lineRule="auto"/>
        <w:ind w:firstLine="912" w:firstLineChars="285"/>
        <w:jc w:val="center"/>
        <w:rPr>
          <w:rFonts w:hint="eastAsia" w:asciiTheme="minorEastAsia" w:hAnsiTheme="minorEastAsia" w:eastAsiaTheme="minorEastAsia" w:cstheme="minorEastAsia"/>
          <w:sz w:val="32"/>
          <w:szCs w:val="32"/>
        </w:rPr>
      </w:pPr>
    </w:p>
    <w:p>
      <w:pPr>
        <w:spacing w:line="360" w:lineRule="auto"/>
        <w:jc w:val="both"/>
        <w:rPr>
          <w:rFonts w:hint="eastAsia" w:asciiTheme="minorEastAsia" w:hAnsiTheme="minorEastAsia" w:eastAsiaTheme="minorEastAsia" w:cstheme="minorEastAsia"/>
          <w:sz w:val="32"/>
          <w:szCs w:val="32"/>
        </w:rPr>
      </w:pPr>
    </w:p>
    <w:p>
      <w:pPr>
        <w:spacing w:line="500" w:lineRule="exact"/>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-135255</wp:posOffset>
            </wp:positionV>
            <wp:extent cx="6518910" cy="9072880"/>
            <wp:effectExtent l="0" t="0" r="1524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8408" t="6538" r="11344" b="11407"/>
                    <a:stretch>
                      <a:fillRect/>
                    </a:stretch>
                  </pic:blipFill>
                  <pic:spPr>
                    <a:xfrm>
                      <a:off x="0" y="0"/>
                      <a:ext cx="6518910" cy="9072880"/>
                    </a:xfrm>
                    <a:prstGeom prst="rect">
                      <a:avLst/>
                    </a:prstGeom>
                    <a:noFill/>
                    <a:ln>
                      <a:noFill/>
                    </a:ln>
                  </pic:spPr>
                </pic:pic>
              </a:graphicData>
            </a:graphic>
          </wp:anchor>
        </w:drawing>
      </w:r>
    </w:p>
    <w:p>
      <w:pPr>
        <w:pStyle w:val="2"/>
      </w:pPr>
    </w:p>
    <w:p>
      <w:pPr>
        <w:pStyle w:val="3"/>
        <w:ind w:left="0" w:leftChars="0" w:firstLine="0" w:firstLineChars="0"/>
        <w:rPr>
          <w:rFonts w:hint="eastAsia"/>
        </w:rPr>
      </w:pPr>
    </w:p>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    录</w:t>
      </w:r>
    </w:p>
    <w:p>
      <w:pPr>
        <w:pStyle w:val="2"/>
        <w:rPr>
          <w:rFonts w:hint="eastAsia" w:asciiTheme="minorEastAsia" w:hAnsiTheme="minorEastAsia" w:eastAsiaTheme="minorEastAsia" w:cstheme="minorEastAsia"/>
        </w:rPr>
      </w:pPr>
    </w:p>
    <w:p>
      <w:pPr>
        <w:pStyle w:val="39"/>
        <w:tabs>
          <w:tab w:val="right" w:leader="dot" w:pos="8732"/>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_Toc3818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第一章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shd w:val="clear" w:color="auto" w:fill="FFFFFF"/>
        </w:rPr>
        <w:t>招标公告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39"/>
        <w:tabs>
          <w:tab w:val="right" w:leader="dot" w:pos="8732"/>
        </w:tabs>
        <w:rPr>
          <w:rFonts w:hint="eastAsia" w:asciiTheme="minorEastAsia" w:hAnsiTheme="minorEastAsia" w:eastAsiaTheme="minorEastAsia" w:cstheme="minorEastAsia"/>
          <w:sz w:val="28"/>
          <w:szCs w:val="28"/>
        </w:rPr>
      </w:pPr>
    </w:p>
    <w:p>
      <w:pPr>
        <w:pStyle w:val="39"/>
        <w:tabs>
          <w:tab w:val="right" w:leader="dot" w:pos="8732"/>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_Toc18810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第二章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Cs/>
          <w:sz w:val="28"/>
          <w:szCs w:val="28"/>
        </w:rPr>
        <w:t>投标人须知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p>
    <w:p>
      <w:pPr>
        <w:pStyle w:val="39"/>
        <w:tabs>
          <w:tab w:val="right" w:leader="dot" w:pos="8732"/>
        </w:tabs>
        <w:rPr>
          <w:rFonts w:hint="eastAsia" w:asciiTheme="minorEastAsia" w:hAnsiTheme="minorEastAsia" w:eastAsiaTheme="minorEastAsia" w:cstheme="minorEastAsia"/>
          <w:sz w:val="28"/>
          <w:szCs w:val="28"/>
        </w:rPr>
      </w:pPr>
    </w:p>
    <w:p>
      <w:pPr>
        <w:pStyle w:val="39"/>
        <w:tabs>
          <w:tab w:val="right" w:leader="dot" w:pos="8732"/>
        </w:tabs>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_Toc2503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 xml:space="preserve">第三章 </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合同条款及合同格式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39"/>
        <w:tabs>
          <w:tab w:val="right" w:leader="dot" w:pos="8732"/>
        </w:tabs>
        <w:rPr>
          <w:rFonts w:hint="eastAsia" w:asciiTheme="minorEastAsia" w:hAnsiTheme="minorEastAsia" w:eastAsiaTheme="minorEastAsia" w:cstheme="minorEastAsia"/>
          <w:sz w:val="28"/>
          <w:szCs w:val="28"/>
          <w:lang w:val="en-US" w:eastAsia="zh-CN"/>
        </w:rPr>
      </w:pPr>
    </w:p>
    <w:p>
      <w:pPr>
        <w:pStyle w:val="39"/>
        <w:tabs>
          <w:tab w:val="right" w:leader="dot" w:pos="8732"/>
        </w:tabs>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_Toc15366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第四章  采购</w:t>
      </w:r>
      <w:r>
        <w:rPr>
          <w:rFonts w:hint="eastAsia" w:asciiTheme="minorEastAsia" w:hAnsiTheme="minorEastAsia" w:eastAsiaTheme="minorEastAsia" w:cstheme="minorEastAsia"/>
          <w:bCs/>
          <w:sz w:val="28"/>
          <w:szCs w:val="28"/>
          <w:lang w:val="en-US" w:eastAsia="zh-CN"/>
        </w:rPr>
        <w:t>需</w:t>
      </w:r>
      <w:r>
        <w:rPr>
          <w:rFonts w:hint="eastAsia" w:asciiTheme="minorEastAsia" w:hAnsiTheme="minorEastAsia" w:eastAsiaTheme="minorEastAsia" w:cstheme="minorEastAsia"/>
          <w:bCs/>
          <w:sz w:val="28"/>
          <w:szCs w:val="28"/>
        </w:rPr>
        <w:t>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6</w:t>
      </w:r>
    </w:p>
    <w:p>
      <w:pPr>
        <w:pStyle w:val="39"/>
        <w:tabs>
          <w:tab w:val="right" w:leader="dot" w:pos="8732"/>
        </w:tabs>
        <w:rPr>
          <w:rFonts w:hint="eastAsia" w:asciiTheme="minorEastAsia" w:hAnsiTheme="minorEastAsia" w:eastAsiaTheme="minorEastAsia" w:cstheme="minorEastAsia"/>
          <w:sz w:val="28"/>
          <w:szCs w:val="28"/>
          <w:lang w:val="en-US" w:eastAsia="zh-CN"/>
        </w:rPr>
      </w:pPr>
    </w:p>
    <w:p>
      <w:pPr>
        <w:pStyle w:val="39"/>
        <w:tabs>
          <w:tab w:val="right" w:leader="dot" w:pos="8732"/>
        </w:tabs>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_Toc23201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第五章  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8</w:t>
      </w:r>
    </w:p>
    <w:p>
      <w:pPr>
        <w:pStyle w:val="2"/>
        <w:rPr>
          <w:rFonts w:hint="eastAsia" w:asciiTheme="minorEastAsia" w:hAnsiTheme="minorEastAsia" w:eastAsiaTheme="minorEastAsia" w:cstheme="minorEastAsia"/>
          <w:sz w:val="32"/>
          <w:szCs w:val="32"/>
        </w:rPr>
        <w:sectPr>
          <w:headerReference r:id="rId3" w:type="default"/>
          <w:footerReference r:id="rId4" w:type="default"/>
          <w:pgSz w:w="11906" w:h="16838"/>
          <w:pgMar w:top="1440" w:right="1080" w:bottom="1440" w:left="1080" w:header="851" w:footer="992" w:gutter="0"/>
          <w:pgNumType w:fmt="decimal"/>
          <w:cols w:space="425" w:num="1"/>
          <w:docGrid w:linePitch="312" w:charSpace="0"/>
        </w:sectPr>
      </w:pPr>
      <w:r>
        <w:rPr>
          <w:rFonts w:hint="eastAsia" w:asciiTheme="minorEastAsia" w:hAnsiTheme="minorEastAsia" w:eastAsiaTheme="minorEastAsia" w:cstheme="minorEastAsia"/>
          <w:sz w:val="28"/>
          <w:szCs w:val="28"/>
        </w:rPr>
        <w:fldChar w:fldCharType="end"/>
      </w:r>
    </w:p>
    <w:p>
      <w:pPr>
        <w:spacing w:line="360" w:lineRule="auto"/>
        <w:jc w:val="center"/>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第一章  招标公告</w:t>
      </w:r>
    </w:p>
    <w:p>
      <w:pPr>
        <w:pStyle w:val="5"/>
        <w:numPr>
          <w:ilvl w:val="0"/>
          <w:numId w:val="0"/>
        </w:numPr>
        <w:spacing w:before="0" w:after="0" w:line="240" w:lineRule="auto"/>
        <w:jc w:val="center"/>
        <w:rPr>
          <w:rFonts w:hint="eastAsia" w:asciiTheme="minorEastAsia" w:hAnsiTheme="minorEastAsia" w:eastAsiaTheme="minorEastAsia" w:cstheme="minorEastAsia"/>
          <w:lang w:val="en-US" w:eastAsia="zh-CN"/>
        </w:rPr>
      </w:pPr>
      <w:bookmarkStart w:id="0" w:name="_Toc28359011"/>
      <w:bookmarkStart w:id="1" w:name="_Toc35393797"/>
      <w:r>
        <w:rPr>
          <w:rFonts w:hint="eastAsia" w:asciiTheme="minorEastAsia" w:hAnsiTheme="minorEastAsia" w:eastAsiaTheme="minorEastAsia" w:cstheme="minorEastAsia"/>
          <w:lang w:val="en-US" w:eastAsia="zh-CN"/>
        </w:rPr>
        <w:t>新和县中小学护眼灯采购项目招标公告</w:t>
      </w:r>
      <w:bookmarkEnd w:id="0"/>
      <w:bookmarkEnd w:id="1"/>
    </w:p>
    <w:p>
      <w:pPr>
        <w:rPr>
          <w:rFonts w:hint="eastAsia" w:asciiTheme="minorEastAsia" w:hAnsiTheme="minorEastAsia" w:eastAsiaTheme="minorEastAsia" w:cstheme="minorEastAsia"/>
        </w:rPr>
      </w:pPr>
    </w:p>
    <w:p>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新和县中小学护眼灯采购项目</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潜在</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应在</w:t>
      </w:r>
      <w:r>
        <w:rPr>
          <w:rFonts w:hint="eastAsia" w:asciiTheme="minorEastAsia" w:hAnsiTheme="minorEastAsia" w:eastAsiaTheme="minorEastAsia" w:cstheme="minorEastAsia"/>
          <w:sz w:val="24"/>
          <w:u w:val="single"/>
        </w:rPr>
        <w:t>新疆政府采购网</w:t>
      </w:r>
      <w:r>
        <w:rPr>
          <w:rFonts w:hint="eastAsia" w:asciiTheme="minorEastAsia" w:hAnsiTheme="minorEastAsia" w:eastAsiaTheme="minorEastAsia" w:cstheme="minorEastAsia"/>
          <w:sz w:val="24"/>
          <w:szCs w:val="24"/>
        </w:rPr>
        <w:t>获取</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，并于</w:t>
      </w:r>
      <w:r>
        <w:rPr>
          <w:rFonts w:hint="eastAsia" w:asciiTheme="minorEastAsia" w:hAnsiTheme="minorEastAsia" w:eastAsiaTheme="minorEastAsia" w:cstheme="minorEastAsia"/>
          <w:color w:val="auto"/>
          <w:sz w:val="24"/>
          <w:szCs w:val="24"/>
          <w:u w:val="single"/>
          <w:lang w:val="en-US" w:eastAsia="zh-CN"/>
        </w:rPr>
        <w:t>2022年05月30日10点30分</w:t>
      </w:r>
      <w:r>
        <w:rPr>
          <w:rFonts w:hint="eastAsia" w:asciiTheme="minorEastAsia" w:hAnsiTheme="minorEastAsia" w:eastAsiaTheme="minorEastAsia" w:cstheme="minorEastAsia"/>
          <w:sz w:val="24"/>
          <w:szCs w:val="24"/>
          <w:u w:val="none"/>
        </w:rPr>
        <w:t>（北京时间）</w:t>
      </w:r>
      <w:r>
        <w:rPr>
          <w:rFonts w:hint="eastAsia" w:asciiTheme="minorEastAsia" w:hAnsiTheme="minorEastAsia" w:eastAsiaTheme="minorEastAsia" w:cstheme="minorEastAsia"/>
          <w:sz w:val="24"/>
          <w:szCs w:val="24"/>
        </w:rPr>
        <w:t>前提交</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w:t>
      </w:r>
    </w:p>
    <w:p>
      <w:pPr>
        <w:pStyle w:val="12"/>
        <w:spacing w:before="0" w:beforeLines="0" w:beforeAutospacing="0" w:after="0" w:afterLines="0" w:afterAutospacing="0" w:line="440" w:lineRule="exact"/>
        <w:ind w:firstLine="480" w:firstLineChars="200"/>
        <w:outlineLvl w:val="1"/>
        <w:rPr>
          <w:rFonts w:hint="eastAsia" w:asciiTheme="minorEastAsia" w:hAnsiTheme="minorEastAsia" w:eastAsiaTheme="minorEastAsia" w:cstheme="minorEastAsia"/>
          <w:szCs w:val="24"/>
          <w:lang w:val="en-US" w:eastAsia="zh-CN"/>
        </w:rPr>
      </w:pPr>
      <w:bookmarkStart w:id="2" w:name="_Toc28359012"/>
      <w:bookmarkStart w:id="3" w:name="_Toc35393629"/>
      <w:bookmarkStart w:id="4" w:name="_Toc28359089"/>
      <w:bookmarkStart w:id="5" w:name="_Toc35393798"/>
      <w:r>
        <w:rPr>
          <w:rFonts w:hint="eastAsia" w:asciiTheme="minorEastAsia" w:hAnsiTheme="minorEastAsia" w:eastAsiaTheme="minorEastAsia" w:cstheme="minorEastAsia"/>
          <w:szCs w:val="24"/>
          <w:lang w:val="en-US" w:eastAsia="zh-CN"/>
        </w:rPr>
        <w:t>一、项目基本情况</w:t>
      </w:r>
      <w:bookmarkEnd w:id="2"/>
      <w:bookmarkEnd w:id="3"/>
      <w:bookmarkEnd w:id="4"/>
      <w:bookmarkEnd w:id="5"/>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 xml:space="preserve">项目编号：XHCG-2022-05 </w:t>
      </w:r>
    </w:p>
    <w:p>
      <w:pPr>
        <w:pStyle w:val="12"/>
        <w:spacing w:before="0" w:beforeLines="0" w:beforeAutospacing="0" w:after="0" w:afterLines="0" w:afterAutospacing="0" w:line="440" w:lineRule="exact"/>
        <w:ind w:firstLine="48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项目名称：新和县中小学护眼灯采购项目</w:t>
      </w:r>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招标方式：公开招标</w:t>
      </w:r>
    </w:p>
    <w:p>
      <w:pPr>
        <w:pStyle w:val="12"/>
        <w:spacing w:before="0" w:beforeLines="0" w:beforeAutospacing="0" w:after="0" w:afterLines="0" w:afterAutospacing="0" w:line="440" w:lineRule="exact"/>
        <w:ind w:firstLine="48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预算金额（元）：3300000</w:t>
      </w:r>
    </w:p>
    <w:p>
      <w:pPr>
        <w:pStyle w:val="12"/>
        <w:spacing w:before="0" w:beforeLines="0" w:beforeAutospacing="0" w:after="0" w:afterLines="0" w:afterAutospacing="0" w:line="440" w:lineRule="exact"/>
        <w:ind w:firstLine="48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最高限价（元）：3300000</w:t>
      </w:r>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招标需求：</w:t>
      </w:r>
      <w:bookmarkStart w:id="6" w:name="_Toc28359013"/>
      <w:bookmarkStart w:id="7" w:name="_Toc28359090"/>
      <w:bookmarkStart w:id="8" w:name="_Toc35393630"/>
      <w:bookmarkStart w:id="9" w:name="_Toc35393799"/>
    </w:p>
    <w:tbl>
      <w:tblPr>
        <w:tblStyle w:val="21"/>
        <w:tblpPr w:leftFromText="180" w:rightFromText="180" w:vertAnchor="text" w:horzAnchor="page" w:tblpX="1409" w:tblpY="324"/>
        <w:tblOverlap w:val="never"/>
        <w:tblW w:w="9695" w:type="dxa"/>
        <w:tblInd w:w="0" w:type="dxa"/>
        <w:tblLayout w:type="fixed"/>
        <w:tblCellMar>
          <w:top w:w="15" w:type="dxa"/>
          <w:left w:w="15" w:type="dxa"/>
          <w:bottom w:w="15" w:type="dxa"/>
          <w:right w:w="15" w:type="dxa"/>
        </w:tblCellMar>
      </w:tblPr>
      <w:tblGrid>
        <w:gridCol w:w="956"/>
        <w:gridCol w:w="2600"/>
        <w:gridCol w:w="743"/>
        <w:gridCol w:w="1311"/>
        <w:gridCol w:w="902"/>
        <w:gridCol w:w="2076"/>
        <w:gridCol w:w="1107"/>
      </w:tblGrid>
      <w:tr>
        <w:tblPrEx>
          <w:tblCellMar>
            <w:top w:w="15" w:type="dxa"/>
            <w:left w:w="15" w:type="dxa"/>
            <w:bottom w:w="15" w:type="dxa"/>
            <w:right w:w="15" w:type="dxa"/>
          </w:tblCellMar>
        </w:tblPrEx>
        <w:trPr>
          <w:trHeight w:val="1299"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标项序号</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标项名称</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31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预算金额</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元</w:t>
            </w:r>
            <w:r>
              <w:rPr>
                <w:rFonts w:hint="eastAsia" w:asciiTheme="minorEastAsia" w:hAnsiTheme="minorEastAsia" w:eastAsiaTheme="minorEastAsia" w:cstheme="minorEastAsia"/>
                <w:kern w:val="0"/>
                <w:sz w:val="24"/>
                <w:szCs w:val="24"/>
                <w:lang w:eastAsia="zh-CN" w:bidi="ar"/>
              </w:rPr>
              <w:t>）</w:t>
            </w:r>
          </w:p>
        </w:tc>
        <w:tc>
          <w:tcPr>
            <w:tcW w:w="9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单位</w:t>
            </w:r>
          </w:p>
        </w:tc>
        <w:tc>
          <w:tcPr>
            <w:tcW w:w="207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简要规格描述</w:t>
            </w:r>
          </w:p>
        </w:tc>
        <w:tc>
          <w:tcPr>
            <w:tcW w:w="11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tblPrEx>
          <w:tblCellMar>
            <w:top w:w="15" w:type="dxa"/>
            <w:left w:w="15" w:type="dxa"/>
            <w:bottom w:w="15" w:type="dxa"/>
            <w:right w:w="15" w:type="dxa"/>
          </w:tblCellMar>
        </w:tblPrEx>
        <w:trPr>
          <w:trHeight w:val="1820"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u w:val="none"/>
                <w:lang w:val="en-US" w:eastAsia="zh-CN"/>
              </w:rPr>
              <w:t>新和县中小学护眼灯采购项目</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31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pacing w:val="20"/>
                <w:kern w:val="0"/>
                <w:sz w:val="24"/>
                <w:szCs w:val="24"/>
                <w:highlight w:val="none"/>
                <w:lang w:val="en-US" w:eastAsia="zh-CN"/>
              </w:rPr>
              <w:t>3300000</w:t>
            </w:r>
          </w:p>
        </w:tc>
        <w:tc>
          <w:tcPr>
            <w:tcW w:w="9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批</w:t>
            </w:r>
          </w:p>
        </w:tc>
        <w:tc>
          <w:tcPr>
            <w:tcW w:w="207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护眼灯采购（技术参数详见招标文件）</w:t>
            </w:r>
          </w:p>
        </w:tc>
        <w:tc>
          <w:tcPr>
            <w:tcW w:w="11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p>
        </w:tc>
      </w:tr>
    </w:tbl>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color w:val="auto"/>
          <w:spacing w:val="20"/>
          <w:kern w:val="0"/>
          <w:sz w:val="28"/>
          <w:szCs w:val="28"/>
          <w:highlight w:val="none"/>
          <w:lang w:val="en-US" w:eastAsia="zh-CN"/>
        </w:rPr>
      </w:pPr>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合同履约期限：详见招标文件</w:t>
      </w:r>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4"/>
          <w:lang w:val="en-US" w:eastAsia="zh-CN"/>
        </w:rPr>
        <w:t>本项目（否）接受联合体投标。</w:t>
      </w:r>
    </w:p>
    <w:p>
      <w:pPr>
        <w:pStyle w:val="12"/>
        <w:numPr>
          <w:ilvl w:val="0"/>
          <w:numId w:val="0"/>
        </w:numPr>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p>
    <w:p>
      <w:pPr>
        <w:pStyle w:val="12"/>
        <w:numPr>
          <w:ilvl w:val="0"/>
          <w:numId w:val="0"/>
        </w:numPr>
        <w:spacing w:before="0" w:beforeLines="0" w:beforeAutospacing="0" w:after="0" w:afterLines="0" w:afterAutospacing="0" w:line="440" w:lineRule="exact"/>
        <w:ind w:firstLine="480" w:firstLineChars="200"/>
        <w:outlineLvl w:val="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4"/>
          <w:lang w:val="en-US" w:eastAsia="zh-CN"/>
        </w:rPr>
        <w:t>二、申请人的资格要求</w:t>
      </w:r>
      <w:bookmarkEnd w:id="6"/>
      <w:bookmarkEnd w:id="7"/>
      <w:bookmarkEnd w:id="8"/>
      <w:bookmarkEnd w:id="9"/>
    </w:p>
    <w:p>
      <w:pPr>
        <w:pStyle w:val="12"/>
        <w:spacing w:before="0" w:beforeLines="0" w:beforeAutospacing="0" w:after="0" w:afterLines="0" w:afterAutospacing="0" w:line="440" w:lineRule="exact"/>
        <w:ind w:firstLine="480" w:firstLineChars="200"/>
        <w:rPr>
          <w:rFonts w:hint="eastAsia" w:asciiTheme="minorEastAsia" w:hAnsiTheme="minorEastAsia" w:eastAsiaTheme="minorEastAsia" w:cstheme="minorEastAsia"/>
          <w:szCs w:val="24"/>
          <w:lang w:val="en-US" w:eastAsia="zh-CN"/>
        </w:rPr>
      </w:pPr>
      <w:bookmarkStart w:id="10" w:name="_Toc28359091"/>
      <w:bookmarkStart w:id="11" w:name="_Toc35393631"/>
      <w:bookmarkStart w:id="12" w:name="_Toc28359014"/>
      <w:bookmarkStart w:id="13" w:name="_Toc35393800"/>
      <w:r>
        <w:rPr>
          <w:rFonts w:hint="eastAsia" w:asciiTheme="minorEastAsia" w:hAnsiTheme="minorEastAsia" w:eastAsiaTheme="minorEastAsia" w:cstheme="minorEastAsia"/>
          <w:szCs w:val="24"/>
          <w:lang w:val="en-US" w:eastAsia="zh-CN"/>
        </w:rPr>
        <w:t>1.满足《中华人民共和国政府采购法》第二十二条规定；</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2.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 （4）《财政部民政部中国残疾人联合会关于促进残疾人就业政府采购政策的通知》财库〔2017〕141号。</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4"/>
          <w:lang w:val="en-US" w:eastAsia="zh-CN"/>
        </w:rPr>
        <w:t>3</w:t>
      </w:r>
      <w:r>
        <w:rPr>
          <w:rFonts w:hint="eastAsia" w:asciiTheme="minorEastAsia" w:hAnsiTheme="minorEastAsia" w:eastAsiaTheme="minorEastAsia" w:cstheme="minorEastAsia"/>
          <w:lang w:val="en-US" w:eastAsia="zh-CN"/>
        </w:rPr>
        <w:t>.本项目的特定资格要求：</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（1）具备有效的三证合一营业执照；</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（2）提供近三年（2019-2021）的财务审计报告或财务报表；</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凡拟参加本次招标项目的投标人，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 </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需提供材料：法定代表人授权委托书及身份证、</w:t>
      </w:r>
      <w:r>
        <w:rPr>
          <w:rFonts w:hint="eastAsia" w:asciiTheme="minorEastAsia" w:hAnsiTheme="minorEastAsia" w:eastAsiaTheme="minorEastAsia" w:cstheme="minorEastAsia"/>
          <w:color w:val="auto"/>
          <w:lang w:val="en-US" w:eastAsia="zh-CN"/>
        </w:rPr>
        <w:t>社保部门出具的近半年任意两个月本单位</w:t>
      </w:r>
      <w:r>
        <w:rPr>
          <w:rFonts w:hint="eastAsia" w:asciiTheme="minorEastAsia" w:hAnsiTheme="minorEastAsia" w:eastAsiaTheme="minorEastAsia" w:cstheme="minorEastAsia"/>
          <w:lang w:val="en-US" w:eastAsia="zh-CN"/>
        </w:rPr>
        <w:t>（被授权委托人需在其中）的社保证明原件、开户许可证或开户证明。（注：以上证件均应提供原件或加盖投标单位公章的复印件扫描件。）</w:t>
      </w:r>
    </w:p>
    <w:p>
      <w:pPr>
        <w:pStyle w:val="12"/>
        <w:spacing w:before="0" w:beforeAutospacing="0" w:after="0" w:afterAutospacing="0" w:line="44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单位负责人为同一人或者存在直接控股、管理关系的不同供应商，不得参加同一合同项下的政府采购活动；与招标人存在利害关系可能影响采购公正性的法人、其他组织或个人不得参与投标，违反规定的相关投标均无效。</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p>
    <w:p>
      <w:pPr>
        <w:pStyle w:val="12"/>
        <w:spacing w:before="0" w:beforeLines="0" w:beforeAutospacing="0" w:after="0" w:afterLines="0" w:afterAutospacing="0" w:line="440" w:lineRule="exact"/>
        <w:ind w:left="420" w:leftChars="200" w:firstLine="0" w:firstLineChars="0"/>
        <w:outlineLvl w:val="1"/>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lang w:val="en-US" w:eastAsia="zh-CN"/>
        </w:rPr>
        <w:t>三、获取招标文件</w:t>
      </w:r>
      <w:bookmarkEnd w:id="10"/>
      <w:bookmarkEnd w:id="11"/>
      <w:bookmarkEnd w:id="12"/>
      <w:bookmarkEnd w:id="13"/>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lang w:val="en-US" w:eastAsia="zh-CN"/>
        </w:rPr>
        <w:t>时间：2022年05月10日至 2022年05月17日，每天上午10：00至14:00，下午16:00至20:00（北京时间，法定节假日除外 ）</w:t>
      </w:r>
    </w:p>
    <w:p>
      <w:pPr>
        <w:pStyle w:val="12"/>
        <w:keepNext w:val="0"/>
        <w:keepLines w:val="0"/>
        <w:widowControl/>
        <w:suppressLineNumbers w:val="0"/>
        <w:spacing w:line="200" w:lineRule="atLeast"/>
        <w:ind w:left="0" w:firstLine="420"/>
        <w:rPr>
          <w:rFonts w:hint="default" w:asciiTheme="minorEastAsia" w:hAnsiTheme="minorEastAsia" w:eastAsiaTheme="minorEastAsia" w:cstheme="minorEastAsia"/>
          <w:color w:val="auto"/>
          <w:kern w:val="2"/>
          <w:sz w:val="24"/>
          <w:szCs w:val="21"/>
          <w:lang w:val="en-US" w:eastAsia="zh-CN" w:bidi="ar-SA"/>
        </w:rPr>
      </w:pPr>
      <w:bookmarkStart w:id="14" w:name="_Toc35393803"/>
      <w:bookmarkStart w:id="15" w:name="_Toc28359092"/>
      <w:bookmarkStart w:id="16" w:name="_Toc28359017"/>
      <w:bookmarkStart w:id="17" w:name="_Toc28359015"/>
      <w:bookmarkStart w:id="18" w:name="_Toc28359094"/>
      <w:bookmarkStart w:id="19" w:name="_Toc35393632"/>
      <w:bookmarkStart w:id="20" w:name="_Toc35393634"/>
      <w:bookmarkStart w:id="21" w:name="_Toc35393801"/>
      <w:r>
        <w:rPr>
          <w:rFonts w:hint="eastAsia" w:asciiTheme="minorEastAsia" w:hAnsiTheme="minorEastAsia" w:eastAsiaTheme="minorEastAsia" w:cstheme="minorEastAsia"/>
          <w:color w:val="auto"/>
          <w:sz w:val="24"/>
        </w:rPr>
        <w:t>地点：</w:t>
      </w:r>
      <w:r>
        <w:rPr>
          <w:rFonts w:hint="eastAsia" w:asciiTheme="minorEastAsia" w:hAnsiTheme="minorEastAsia" w:eastAsiaTheme="minorEastAsia" w:cstheme="minorEastAsia"/>
          <w:color w:val="auto"/>
          <w:sz w:val="24"/>
          <w:lang w:val="en-US" w:eastAsia="zh-CN"/>
        </w:rPr>
        <w:t>政采云平台线上获取</w:t>
      </w:r>
    </w:p>
    <w:p>
      <w:pPr>
        <w:spacing w:line="440" w:lineRule="exact"/>
        <w:ind w:left="420" w:leftChars="200" w:firstLine="0" w:firstLineChars="0"/>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 w:val="24"/>
        </w:rPr>
        <w:t>方式：</w:t>
      </w:r>
      <w:r>
        <w:rPr>
          <w:rFonts w:hint="eastAsia" w:asciiTheme="minorEastAsia" w:hAnsiTheme="minorEastAsia" w:eastAsiaTheme="minorEastAsia" w:cstheme="minorEastAsia"/>
          <w:color w:val="auto"/>
          <w:sz w:val="24"/>
          <w:lang w:val="en-US" w:eastAsia="zh-CN"/>
        </w:rPr>
        <w:t>政采云平台线上</w:t>
      </w:r>
      <w:r>
        <w:rPr>
          <w:rFonts w:hint="eastAsia" w:asciiTheme="minorEastAsia" w:hAnsiTheme="minorEastAsia" w:eastAsiaTheme="minorEastAsia" w:cstheme="minorEastAsia"/>
          <w:color w:val="auto"/>
          <w:sz w:val="24"/>
        </w:rPr>
        <w:t>报名成功后自行下载采购文件</w:t>
      </w:r>
      <w:r>
        <w:rPr>
          <w:rFonts w:hint="eastAsia" w:asciiTheme="minorEastAsia" w:hAnsiTheme="minorEastAsia" w:eastAsiaTheme="minorEastAsia" w:cstheme="minorEastAsia"/>
          <w:color w:val="auto"/>
          <w:szCs w:val="24"/>
          <w:lang w:val="en-US" w:eastAsia="zh-CN"/>
        </w:rPr>
        <w:t xml:space="preserve"> </w:t>
      </w:r>
    </w:p>
    <w:p>
      <w:pPr>
        <w:spacing w:line="440" w:lineRule="exact"/>
        <w:ind w:left="420" w:leftChars="200" w:firstLine="0" w:firstLineChars="0"/>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lang w:val="en-US" w:eastAsia="zh-CN"/>
        </w:rPr>
        <w:t xml:space="preserve"> </w:t>
      </w:r>
    </w:p>
    <w:bookmarkEnd w:id="14"/>
    <w:bookmarkEnd w:id="15"/>
    <w:bookmarkEnd w:id="16"/>
    <w:bookmarkEnd w:id="17"/>
    <w:bookmarkEnd w:id="18"/>
    <w:bookmarkEnd w:id="19"/>
    <w:bookmarkEnd w:id="20"/>
    <w:bookmarkEnd w:id="21"/>
    <w:p>
      <w:pPr>
        <w:pStyle w:val="12"/>
        <w:spacing w:before="0" w:beforeLines="0" w:beforeAutospacing="0" w:after="0" w:afterLines="0" w:afterAutospacing="0" w:line="440" w:lineRule="exact"/>
        <w:ind w:left="420" w:leftChars="200" w:firstLine="0" w:firstLineChars="0"/>
        <w:outlineLvl w:val="1"/>
        <w:rPr>
          <w:rFonts w:hint="eastAsia" w:asciiTheme="minorEastAsia" w:hAnsiTheme="minorEastAsia" w:eastAsiaTheme="minorEastAsia" w:cstheme="minorEastAsia"/>
          <w:color w:val="auto"/>
          <w:szCs w:val="24"/>
          <w:lang w:val="en-US" w:eastAsia="zh-CN"/>
        </w:rPr>
      </w:pPr>
      <w:bookmarkStart w:id="22" w:name="_Toc28359005"/>
      <w:bookmarkStart w:id="23" w:name="_Toc28359082"/>
      <w:bookmarkStart w:id="24" w:name="_Toc19042"/>
      <w:bookmarkStart w:id="25" w:name="_Toc35393793"/>
      <w:bookmarkStart w:id="26" w:name="_Toc35393624"/>
      <w:bookmarkStart w:id="27" w:name="_Toc1559"/>
      <w:r>
        <w:rPr>
          <w:rFonts w:hint="eastAsia" w:asciiTheme="minorEastAsia" w:hAnsiTheme="minorEastAsia" w:eastAsiaTheme="minorEastAsia" w:cstheme="minorEastAsia"/>
          <w:color w:val="auto"/>
          <w:szCs w:val="24"/>
          <w:lang w:val="en-US" w:eastAsia="zh-CN"/>
        </w:rPr>
        <w:t>四、提交投标文件</w:t>
      </w:r>
      <w:bookmarkEnd w:id="22"/>
      <w:bookmarkEnd w:id="23"/>
      <w:r>
        <w:rPr>
          <w:rFonts w:hint="eastAsia" w:asciiTheme="minorEastAsia" w:hAnsiTheme="minorEastAsia" w:eastAsiaTheme="minorEastAsia" w:cstheme="minorEastAsia"/>
          <w:color w:val="auto"/>
          <w:szCs w:val="24"/>
          <w:lang w:val="en-US" w:eastAsia="zh-CN"/>
        </w:rPr>
        <w:t>截止时间、开标时间和地点</w:t>
      </w:r>
      <w:bookmarkEnd w:id="24"/>
      <w:bookmarkEnd w:id="25"/>
      <w:bookmarkEnd w:id="26"/>
      <w:bookmarkEnd w:id="27"/>
    </w:p>
    <w:p>
      <w:pPr>
        <w:pStyle w:val="12"/>
        <w:keepNext w:val="0"/>
        <w:keepLines w:val="0"/>
        <w:widowControl/>
        <w:suppressLineNumbers w:val="0"/>
        <w:spacing w:line="200" w:lineRule="atLeast"/>
        <w:ind w:left="0" w:firstLine="42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4"/>
          <w:u w:val="none"/>
          <w:lang w:val="en-US" w:eastAsia="zh-CN"/>
        </w:rPr>
        <w:t>提交投标文件截止时间：2022年05月30日10点30分</w:t>
      </w:r>
      <w:r>
        <w:rPr>
          <w:rFonts w:hint="eastAsia" w:asciiTheme="minorEastAsia" w:hAnsiTheme="minorEastAsia" w:eastAsiaTheme="minorEastAsia" w:cstheme="minorEastAsia"/>
          <w:color w:val="auto"/>
          <w:szCs w:val="24"/>
          <w:lang w:val="en-US" w:eastAsia="zh-CN"/>
        </w:rPr>
        <w:t>（北京时间）</w:t>
      </w:r>
    </w:p>
    <w:p>
      <w:pPr>
        <w:pStyle w:val="12"/>
        <w:keepNext w:val="0"/>
        <w:keepLines w:val="0"/>
        <w:widowControl/>
        <w:suppressLineNumbers w:val="0"/>
        <w:spacing w:line="200" w:lineRule="atLeast"/>
        <w:ind w:left="0" w:firstLine="420"/>
        <w:rPr>
          <w:rFonts w:hint="eastAsia" w:asciiTheme="minorEastAsia" w:hAnsiTheme="minorEastAsia" w:eastAsiaTheme="minorEastAsia" w:cstheme="minorEastAsia"/>
          <w:color w:val="auto"/>
          <w:szCs w:val="24"/>
          <w:u w:val="none"/>
          <w:lang w:val="en-US" w:eastAsia="zh-CN"/>
        </w:rPr>
      </w:pPr>
      <w:r>
        <w:rPr>
          <w:rFonts w:hint="eastAsia" w:asciiTheme="minorEastAsia" w:hAnsiTheme="minorEastAsia" w:eastAsiaTheme="minorEastAsia" w:cstheme="minorEastAsia"/>
          <w:color w:val="auto"/>
          <w:szCs w:val="24"/>
          <w:u w:val="none"/>
          <w:lang w:val="en-US" w:eastAsia="zh-CN"/>
        </w:rPr>
        <w:t>投标地点：政采云网上不见面开标系统</w:t>
      </w:r>
    </w:p>
    <w:p>
      <w:pPr>
        <w:pStyle w:val="12"/>
        <w:keepNext w:val="0"/>
        <w:keepLines w:val="0"/>
        <w:widowControl/>
        <w:suppressLineNumbers w:val="0"/>
        <w:spacing w:line="200" w:lineRule="atLeast"/>
        <w:ind w:left="0" w:firstLine="420"/>
        <w:rPr>
          <w:rFonts w:hint="eastAsia" w:asciiTheme="minorEastAsia" w:hAnsiTheme="minorEastAsia" w:eastAsiaTheme="minorEastAsia" w:cstheme="minorEastAsia"/>
          <w:color w:val="auto"/>
          <w:szCs w:val="24"/>
          <w:u w:val="none"/>
          <w:lang w:val="en-US" w:eastAsia="zh-CN"/>
        </w:rPr>
      </w:pPr>
      <w:r>
        <w:rPr>
          <w:rFonts w:hint="eastAsia" w:asciiTheme="minorEastAsia" w:hAnsiTheme="minorEastAsia" w:eastAsiaTheme="minorEastAsia" w:cstheme="minorEastAsia"/>
          <w:color w:val="auto"/>
          <w:szCs w:val="24"/>
          <w:u w:val="none"/>
          <w:lang w:val="en-US" w:eastAsia="zh-CN"/>
        </w:rPr>
        <w:t>开标时间：2022年05月30日10点30分（北京时间）</w:t>
      </w:r>
    </w:p>
    <w:p>
      <w:pPr>
        <w:pStyle w:val="12"/>
        <w:keepNext w:val="0"/>
        <w:keepLines w:val="0"/>
        <w:widowControl/>
        <w:suppressLineNumbers w:val="0"/>
        <w:spacing w:line="200" w:lineRule="atLeast"/>
        <w:ind w:left="0" w:firstLine="420"/>
        <w:rPr>
          <w:rFonts w:hint="eastAsia" w:asciiTheme="minorEastAsia" w:hAnsiTheme="minorEastAsia" w:eastAsiaTheme="minorEastAsia" w:cstheme="minorEastAsia"/>
          <w:color w:val="auto"/>
          <w:szCs w:val="24"/>
          <w:u w:val="none"/>
          <w:lang w:val="en-US" w:eastAsia="zh-CN"/>
        </w:rPr>
      </w:pPr>
      <w:r>
        <w:rPr>
          <w:rFonts w:hint="eastAsia" w:asciiTheme="minorEastAsia" w:hAnsiTheme="minorEastAsia" w:eastAsiaTheme="minorEastAsia" w:cstheme="minorEastAsia"/>
          <w:color w:val="auto"/>
          <w:szCs w:val="24"/>
          <w:u w:val="none"/>
          <w:lang w:val="en-US" w:eastAsia="zh-CN"/>
        </w:rPr>
        <w:t>开标地点：政采云网上不见面开标系统</w:t>
      </w:r>
    </w:p>
    <w:p>
      <w:pPr>
        <w:pStyle w:val="12"/>
        <w:spacing w:before="0" w:beforeLines="0" w:beforeAutospacing="0" w:after="0" w:afterLines="0" w:afterAutospacing="0" w:line="440" w:lineRule="exact"/>
        <w:ind w:left="420" w:leftChars="200" w:firstLine="0" w:firstLineChars="0"/>
        <w:outlineLvl w:val="1"/>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五、公告期限</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自本公告发布之日起5个工作日。</w:t>
      </w:r>
      <w:bookmarkStart w:id="28" w:name="_Toc35393626"/>
      <w:bookmarkStart w:id="29" w:name="_Toc35393795"/>
      <w:bookmarkStart w:id="30" w:name="_Toc10216"/>
      <w:bookmarkStart w:id="31" w:name="_Toc17561"/>
    </w:p>
    <w:p>
      <w:pPr>
        <w:pStyle w:val="12"/>
        <w:spacing w:before="0" w:beforeLines="0" w:beforeAutospacing="0" w:after="0" w:afterLines="0" w:afterAutospacing="0" w:line="440" w:lineRule="exact"/>
        <w:ind w:left="420" w:leftChars="200" w:firstLine="0" w:firstLineChars="0"/>
        <w:outlineLvl w:val="1"/>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六、其他补充事宜</w:t>
      </w:r>
      <w:bookmarkEnd w:id="28"/>
      <w:bookmarkEnd w:id="29"/>
      <w:bookmarkEnd w:id="30"/>
      <w:bookmarkEnd w:id="31"/>
      <w:bookmarkStart w:id="32" w:name="_Toc35393796"/>
      <w:bookmarkStart w:id="33" w:name="_Toc35393627"/>
      <w:bookmarkStart w:id="34" w:name="_Toc28359008"/>
      <w:bookmarkStart w:id="35" w:name="_Toc28359085"/>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rPr>
      </w:pPr>
      <w:bookmarkStart w:id="36" w:name="_Toc8470"/>
      <w:bookmarkStart w:id="37" w:name="_Toc12305"/>
      <w:r>
        <w:rPr>
          <w:rFonts w:hint="eastAsia" w:asciiTheme="minorEastAsia" w:hAnsiTheme="minorEastAsia" w:eastAsiaTheme="minorEastAsia" w:cstheme="minorEastAsia"/>
          <w:szCs w:val="24"/>
        </w:rPr>
        <w:t>（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（2）本次公告在新疆政府采购网发布。</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p>
    <w:p>
      <w:pPr>
        <w:pStyle w:val="12"/>
        <w:spacing w:before="0" w:beforeLines="0" w:beforeAutospacing="0" w:after="0" w:afterLines="0" w:afterAutospacing="0" w:line="440" w:lineRule="exact"/>
        <w:ind w:left="420" w:leftChars="200" w:firstLine="0" w:firstLineChars="0"/>
        <w:outlineLvl w:val="1"/>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七、对本次招标提出询问，请按以下方式联系。</w:t>
      </w:r>
      <w:bookmarkEnd w:id="32"/>
      <w:bookmarkEnd w:id="33"/>
      <w:bookmarkEnd w:id="34"/>
      <w:bookmarkEnd w:id="35"/>
      <w:bookmarkEnd w:id="36"/>
      <w:bookmarkEnd w:id="37"/>
      <w:bookmarkStart w:id="38" w:name="_Toc28359096"/>
      <w:bookmarkStart w:id="39" w:name="_Toc35393806"/>
      <w:bookmarkStart w:id="40" w:name="_Toc28359019"/>
      <w:bookmarkStart w:id="41" w:name="_Toc35393637"/>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1.采购人信息</w:t>
      </w:r>
      <w:bookmarkEnd w:id="38"/>
      <w:bookmarkEnd w:id="39"/>
      <w:bookmarkEnd w:id="40"/>
      <w:bookmarkEnd w:id="41"/>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名称：新和县教育和科学技术局</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地址：新和县解放路16号</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联系方式：</w:t>
      </w:r>
      <w:r>
        <w:rPr>
          <w:rFonts w:hint="eastAsia" w:ascii="宋体" w:hAnsi="宋体" w:eastAsia="宋体" w:cs="宋体"/>
          <w:szCs w:val="24"/>
          <w:lang w:val="en-US" w:eastAsia="zh-CN"/>
        </w:rPr>
        <w:t>0997-6720619</w:t>
      </w:r>
      <w:r>
        <w:rPr>
          <w:rFonts w:hint="eastAsia" w:asciiTheme="minorEastAsia" w:hAnsiTheme="minorEastAsia" w:eastAsiaTheme="minorEastAsia" w:cstheme="minorEastAsia"/>
          <w:szCs w:val="24"/>
          <w:lang w:val="en-US" w:eastAsia="zh-CN"/>
        </w:rPr>
        <w:t xml:space="preserve">      </w:t>
      </w:r>
      <w:bookmarkStart w:id="42" w:name="_Toc35393638"/>
      <w:bookmarkStart w:id="43" w:name="_Toc28359097"/>
      <w:bookmarkStart w:id="44" w:name="_Toc35393807"/>
      <w:bookmarkStart w:id="45" w:name="_Toc28359020"/>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采购代理机构信息</w:t>
      </w:r>
      <w:bookmarkEnd w:id="42"/>
      <w:bookmarkEnd w:id="43"/>
      <w:bookmarkEnd w:id="44"/>
      <w:bookmarkEnd w:id="45"/>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名   称：阿克苏新华远景工程造价咨询有限公司</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地   址：阿克苏市左岸明珠香邸7号楼2单元</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bookmarkStart w:id="46" w:name="_Toc28359021"/>
      <w:bookmarkStart w:id="47" w:name="_Toc35393639"/>
      <w:bookmarkStart w:id="48" w:name="_Toc35393808"/>
      <w:bookmarkStart w:id="49" w:name="_Toc28359098"/>
      <w:r>
        <w:rPr>
          <w:rFonts w:hint="eastAsia" w:asciiTheme="minorEastAsia" w:hAnsiTheme="minorEastAsia" w:eastAsiaTheme="minorEastAsia" w:cstheme="minorEastAsia"/>
          <w:szCs w:val="24"/>
          <w:lang w:val="en-US" w:eastAsia="zh-CN"/>
        </w:rPr>
        <w:t>3.项目联系方式</w:t>
      </w:r>
      <w:bookmarkEnd w:id="46"/>
      <w:bookmarkEnd w:id="47"/>
      <w:bookmarkEnd w:id="48"/>
      <w:bookmarkEnd w:id="49"/>
    </w:p>
    <w:p>
      <w:pPr>
        <w:pStyle w:val="12"/>
        <w:spacing w:before="0" w:beforeLines="0" w:beforeAutospacing="0" w:after="0" w:afterLines="0" w:afterAutospacing="0" w:line="440" w:lineRule="exact"/>
        <w:ind w:left="420" w:leftChars="200" w:firstLine="0" w:firstLineChars="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联系方式：0997-2566670/13279096999</w:t>
      </w:r>
    </w:p>
    <w:p>
      <w:pPr>
        <w:pStyle w:val="12"/>
        <w:spacing w:before="0" w:beforeLines="0" w:beforeAutospacing="0" w:after="0" w:afterLines="0" w:afterAutospacing="0" w:line="440" w:lineRule="exact"/>
        <w:ind w:left="420" w:leftChars="200" w:firstLine="0" w:firstLineChars="0"/>
        <w:rPr>
          <w:rFonts w:hint="eastAsia" w:asciiTheme="minorEastAsia" w:hAnsiTheme="minorEastAsia" w:eastAsiaTheme="minorEastAsia" w:cstheme="minorEastAsia"/>
          <w:szCs w:val="24"/>
          <w:lang w:val="en-US" w:eastAsia="zh-CN"/>
        </w:rPr>
      </w:pPr>
    </w:p>
    <w:p>
      <w:pPr>
        <w:pStyle w:val="13"/>
        <w:rPr>
          <w:rFonts w:hint="eastAsia" w:asciiTheme="minorEastAsia" w:hAnsiTheme="minorEastAsia" w:eastAsiaTheme="minorEastAsia" w:cstheme="minorEastAsia"/>
          <w:color w:val="000000"/>
          <w:kern w:val="0"/>
          <w:sz w:val="24"/>
          <w:szCs w:val="24"/>
          <w:lang w:val="en-US" w:eastAsia="zh-CN" w:bidi="ar-SA"/>
        </w:rPr>
      </w:pPr>
    </w:p>
    <w:p>
      <w:pPr>
        <w:pStyle w:val="13"/>
        <w:rPr>
          <w:rFonts w:hint="eastAsia" w:asciiTheme="minorEastAsia" w:hAnsiTheme="minorEastAsia" w:eastAsiaTheme="minorEastAsia" w:cstheme="minorEastAsia"/>
          <w:color w:val="000000"/>
          <w:kern w:val="0"/>
          <w:sz w:val="24"/>
          <w:szCs w:val="24"/>
          <w:lang w:val="en-US" w:eastAsia="zh-CN" w:bidi="ar-SA"/>
        </w:rPr>
      </w:pPr>
    </w:p>
    <w:p>
      <w:pPr>
        <w:pStyle w:val="13"/>
        <w:rPr>
          <w:rFonts w:hint="eastAsia" w:asciiTheme="minorEastAsia" w:hAnsiTheme="minorEastAsia" w:eastAsiaTheme="minorEastAsia" w:cstheme="minorEastAsia"/>
          <w:color w:val="000000"/>
          <w:kern w:val="0"/>
          <w:sz w:val="24"/>
          <w:szCs w:val="24"/>
          <w:lang w:val="en-US" w:eastAsia="zh-CN" w:bidi="ar-SA"/>
        </w:rPr>
      </w:pPr>
    </w:p>
    <w:p>
      <w:pPr>
        <w:pStyle w:val="13"/>
        <w:jc w:val="right"/>
        <w:rPr>
          <w:rFonts w:hint="eastAsia" w:asciiTheme="minorEastAsia" w:hAnsiTheme="minorEastAsia" w:eastAsiaTheme="minorEastAsia" w:cstheme="minorEastAsia"/>
          <w:color w:val="000000"/>
          <w:kern w:val="0"/>
          <w:sz w:val="24"/>
          <w:szCs w:val="24"/>
          <w:lang w:val="en-US" w:eastAsia="zh-CN" w:bidi="ar-SA"/>
        </w:rPr>
      </w:pPr>
    </w:p>
    <w:p>
      <w:pPr>
        <w:pStyle w:val="13"/>
        <w:jc w:val="righ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阿克苏新华远景工程造价咨询有限公司</w:t>
      </w:r>
    </w:p>
    <w:p>
      <w:pPr>
        <w:pStyle w:val="13"/>
        <w:jc w:val="right"/>
        <w:rPr>
          <w:rFonts w:hint="eastAsia" w:asciiTheme="minorEastAsia" w:hAnsiTheme="minorEastAsia" w:eastAsiaTheme="minorEastAsia" w:cstheme="minorEastAsia"/>
          <w:color w:val="000000"/>
          <w:kern w:val="0"/>
          <w:sz w:val="24"/>
          <w:szCs w:val="24"/>
          <w:lang w:val="en-US" w:eastAsia="zh-CN" w:bidi="ar-SA"/>
        </w:rPr>
      </w:pPr>
    </w:p>
    <w:p>
      <w:pPr>
        <w:pStyle w:val="13"/>
        <w:jc w:val="center"/>
        <w:outlineLvl w:val="1"/>
        <w:rPr>
          <w:rFonts w:hint="eastAsia" w:asciiTheme="minorEastAsia" w:hAnsiTheme="minorEastAsia" w:eastAsiaTheme="minorEastAsia" w:cstheme="minorEastAsia"/>
          <w:color w:val="000000"/>
          <w:kern w:val="0"/>
          <w:sz w:val="24"/>
          <w:szCs w:val="24"/>
          <w:lang w:val="en-US" w:eastAsia="zh-CN" w:bidi="ar-SA"/>
        </w:rPr>
        <w:sectPr>
          <w:pgSz w:w="11906" w:h="16838"/>
          <w:pgMar w:top="1440" w:right="1080" w:bottom="1440" w:left="1080" w:header="851" w:footer="992" w:gutter="0"/>
          <w:pgNumType w:fmt="decimal"/>
          <w:cols w:space="425" w:num="1"/>
          <w:docGrid w:linePitch="312" w:charSpace="0"/>
        </w:sectPr>
      </w:pPr>
      <w:r>
        <w:rPr>
          <w:rFonts w:hint="eastAsia" w:asciiTheme="minorEastAsia" w:hAnsiTheme="minorEastAsia" w:eastAsiaTheme="minorEastAsia" w:cstheme="minorEastAsia"/>
          <w:color w:val="000000"/>
          <w:kern w:val="0"/>
          <w:sz w:val="24"/>
          <w:szCs w:val="24"/>
          <w:lang w:val="en-US" w:eastAsia="zh-CN" w:bidi="ar-SA"/>
        </w:rPr>
        <w:t xml:space="preserve">                          </w:t>
      </w:r>
    </w:p>
    <w:p>
      <w:pPr>
        <w:spacing w:line="480" w:lineRule="auto"/>
        <w:jc w:val="center"/>
        <w:outlineLvl w:val="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第二章 投标人须知</w:t>
      </w:r>
    </w:p>
    <w:tbl>
      <w:tblPr>
        <w:tblStyle w:val="21"/>
        <w:tblpPr w:leftFromText="181" w:rightFromText="181" w:vertAnchor="text" w:horzAnchor="margin" w:tblpX="-300" w:tblpY="154"/>
        <w:tblOverlap w:val="never"/>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49"/>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196" w:type="dxa"/>
            <w:gridSpan w:val="3"/>
            <w:vAlign w:val="center"/>
          </w:tcPr>
          <w:p>
            <w:pPr>
              <w:tabs>
                <w:tab w:val="left" w:pos="3015"/>
                <w:tab w:val="center" w:pos="4570"/>
              </w:tabs>
              <w:spacing w:line="360" w:lineRule="exact"/>
              <w:ind w:left="108"/>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   目</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新和县中小学护眼灯采购项目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en-US" w:eastAsia="zh-CN"/>
              </w:rPr>
              <w:t xml:space="preserve">XHCG-2022-05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12"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人及代理机构</w:t>
            </w:r>
            <w:r>
              <w:rPr>
                <w:rFonts w:hint="eastAsia" w:asciiTheme="minorEastAsia" w:hAnsiTheme="minorEastAsia" w:eastAsiaTheme="minorEastAsia" w:cstheme="minorEastAsia"/>
                <w:sz w:val="24"/>
                <w:lang w:val="en-US" w:eastAsia="zh-CN"/>
              </w:rPr>
              <w:t>信息</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采购人名称：新和县教育和科学技术局</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地址：新和县解放路16号</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 xml:space="preserve">联系方式：0997-6720619       </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采购代理机构信息</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名   称：阿克苏新华远景工程造价咨询有限公司</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地   址：阿克苏市左岸明珠香邸7号楼2单元206室</w:t>
            </w:r>
          </w:p>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项目联系人：王亚丽</w:t>
            </w:r>
          </w:p>
          <w:p>
            <w:pPr>
              <w:overflowPunct w:val="0"/>
              <w:spacing w:line="360" w:lineRule="exact"/>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联系方式：0997-2566670/13279096999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资金来源</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招标方式</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3"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采购内容</w:t>
            </w:r>
          </w:p>
        </w:tc>
        <w:tc>
          <w:tcPr>
            <w:tcW w:w="7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24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highlight w:val="none"/>
                <w:u w:val="none"/>
                <w:lang w:val="en-US" w:eastAsia="zh-CN"/>
              </w:rPr>
              <w:t>护眼灯采购（技术参数详见招标文件）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交货</w:t>
            </w:r>
            <w:r>
              <w:rPr>
                <w:rFonts w:hint="eastAsia" w:asciiTheme="minorEastAsia" w:hAnsiTheme="minorEastAsia" w:eastAsiaTheme="minorEastAsia" w:cstheme="minorEastAsia"/>
                <w:sz w:val="24"/>
              </w:rPr>
              <w:t>完工期</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合同签订后</w:t>
            </w:r>
            <w:r>
              <w:rPr>
                <w:rFonts w:hint="eastAsia" w:asciiTheme="minorEastAsia" w:hAnsiTheme="minorEastAsia" w:eastAsiaTheme="minorEastAsia" w:cstheme="minorEastAsia"/>
                <w:color w:val="auto"/>
                <w:sz w:val="24"/>
                <w:lang w:val="en-US" w:eastAsia="zh-CN"/>
              </w:rPr>
              <w:t>45</w:t>
            </w:r>
            <w:r>
              <w:rPr>
                <w:rFonts w:hint="eastAsia" w:asciiTheme="minorEastAsia" w:hAnsiTheme="minorEastAsia" w:eastAsiaTheme="minorEastAsia" w:cstheme="minorEastAsia"/>
                <w:color w:val="auto"/>
                <w:sz w:val="24"/>
              </w:rPr>
              <w:t>天内</w:t>
            </w:r>
            <w:r>
              <w:rPr>
                <w:rFonts w:hint="eastAsia" w:asciiTheme="minorEastAsia" w:hAnsiTheme="minorEastAsia" w:eastAsiaTheme="minorEastAsia" w:cstheme="minorEastAsia"/>
                <w:color w:val="auto"/>
                <w:sz w:val="24"/>
                <w:lang w:eastAsia="zh-CN"/>
              </w:rPr>
              <w:t>（项目竣工后需要进行第三方公司现场检测合格</w:t>
            </w:r>
            <w:r>
              <w:rPr>
                <w:rFonts w:hint="eastAsia" w:asciiTheme="minorEastAsia" w:hAnsiTheme="minorEastAsia" w:eastAsiaTheme="minorEastAsia" w:cstheme="minorEastAsia"/>
                <w:color w:val="auto"/>
                <w:sz w:val="24"/>
                <w:lang w:val="en-US" w:eastAsia="zh-CN"/>
              </w:rPr>
              <w:t>交付并通过验收达成使用条件</w:t>
            </w:r>
            <w:r>
              <w:rPr>
                <w:rFonts w:hint="eastAsia" w:asciiTheme="minorEastAsia" w:hAnsiTheme="minorEastAsia" w:eastAsiaTheme="minorEastAsia" w:cstheme="min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安装完成验收合格后</w:t>
            </w:r>
            <w:r>
              <w:rPr>
                <w:rFonts w:hint="eastAsia" w:asciiTheme="minorEastAsia" w:hAnsiTheme="minorEastAsia" w:eastAsiaTheme="minorEastAsia" w:cstheme="minorEastAsia"/>
                <w:color w:val="auto"/>
                <w:sz w:val="24"/>
                <w:lang w:val="en-US" w:eastAsia="zh-CN"/>
              </w:rPr>
              <w:t>三</w:t>
            </w:r>
            <w:r>
              <w:rPr>
                <w:rFonts w:hint="eastAsia" w:asciiTheme="minorEastAsia" w:hAnsiTheme="minorEastAsia" w:eastAsiaTheme="minorEastAsia" w:cstheme="minorEastAsia"/>
                <w:color w:val="auto"/>
                <w:sz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8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招标文件的构成</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构成</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的其他资料：答疑、澄清、修改、补充文件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trPr>
        <w:tc>
          <w:tcPr>
            <w:tcW w:w="8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评标委员会推荐中标候选人的人数</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241" w:firstLineChars="1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trPr>
        <w:tc>
          <w:tcPr>
            <w:tcW w:w="81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是否授权评标委员会确定中标人</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241" w:firstLineChars="1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22"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w:t>
            </w:r>
          </w:p>
        </w:tc>
        <w:tc>
          <w:tcPr>
            <w:tcW w:w="7035" w:type="dxa"/>
            <w:tcBorders>
              <w:top w:val="single" w:color="auto" w:sz="4" w:space="0"/>
              <w:left w:val="single" w:color="auto" w:sz="4" w:space="0"/>
              <w:bottom w:val="single" w:color="auto" w:sz="4" w:space="0"/>
              <w:right w:val="single" w:color="auto" w:sz="4" w:space="0"/>
            </w:tcBorders>
            <w:vAlign w:val="center"/>
          </w:tcPr>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1.满足《中华人民共和国政府采购法》第二十二条规定；</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2.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 （4）《财政部民政部中国残疾人联合会关于促进残疾人就业政府采购政策的通知》财库〔2017〕141号。</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3.本项目的特定资格要求：</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（1）具备有效的三证合一营业执照；</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（2）提供近三年（2019-2021）的财务审计报告或财务报表；</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3）凡拟参加本次招标项目的供应商，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 </w:t>
            </w:r>
          </w:p>
          <w:p>
            <w:pPr>
              <w:pStyle w:val="12"/>
              <w:spacing w:before="0" w:beforeLines="0" w:beforeAutospacing="0" w:after="0" w:afterLines="0" w:afterAutospacing="0" w:line="44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（4）需提供材料：法定代表人授权委托书及身份证、</w:t>
            </w:r>
            <w:r>
              <w:rPr>
                <w:rFonts w:hint="eastAsia" w:asciiTheme="minorEastAsia" w:hAnsiTheme="minorEastAsia" w:eastAsiaTheme="minorEastAsia" w:cstheme="minorEastAsia"/>
                <w:color w:val="auto"/>
                <w:szCs w:val="24"/>
                <w:lang w:val="en-US" w:eastAsia="zh-CN"/>
              </w:rPr>
              <w:t>社保部门出具的近半年任意两个月本单位（被</w:t>
            </w:r>
            <w:r>
              <w:rPr>
                <w:rFonts w:hint="eastAsia" w:asciiTheme="minorEastAsia" w:hAnsiTheme="minorEastAsia" w:eastAsiaTheme="minorEastAsia" w:cstheme="minorEastAsia"/>
                <w:szCs w:val="24"/>
                <w:lang w:val="en-US" w:eastAsia="zh-CN"/>
              </w:rPr>
              <w:t>授权委托人需在其中）的社保证明原件、开户许可证或开户证明。（注：以上证件均应提供原件或</w:t>
            </w:r>
            <w:bookmarkStart w:id="50" w:name="_GoBack"/>
            <w:bookmarkEnd w:id="50"/>
            <w:r>
              <w:rPr>
                <w:rFonts w:hint="eastAsia" w:asciiTheme="minorEastAsia" w:hAnsiTheme="minorEastAsia" w:eastAsiaTheme="minorEastAsia" w:cstheme="minorEastAsia"/>
                <w:szCs w:val="24"/>
                <w:lang w:val="en-US" w:eastAsia="zh-CN"/>
              </w:rPr>
              <w:t>加盖投标单位公章的复印件扫描件。）</w:t>
            </w:r>
          </w:p>
          <w:p>
            <w:pPr>
              <w:pStyle w:val="12"/>
              <w:spacing w:before="0" w:beforeLines="0" w:beforeAutospacing="0" w:after="0" w:afterLines="0" w:afterAutospacing="0"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4"/>
                <w:lang w:val="en-US" w:eastAsia="zh-CN"/>
              </w:rPr>
              <w:t xml:space="preserve">（5）单位负责人为同一人或者存在直接控股、管理关系的不同供应商，不得参加同一合同项下的政府采购活动；与招标人存在利害关系可能影响采购公正性的法人、其他组织或个人不得参与投标，违反规定的相关投标均无效。  </w:t>
            </w:r>
            <w:r>
              <w:rPr>
                <w:rFonts w:hint="eastAsia" w:asciiTheme="minorEastAsia" w:hAnsiTheme="minorEastAsia" w:eastAsiaTheme="minorEastAsia" w:cstheme="minorEastAsia"/>
                <w:kern w:val="0"/>
                <w:sz w:val="24"/>
                <w:szCs w:val="22"/>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9"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日历日</w:t>
            </w:r>
            <w:r>
              <w:rPr>
                <w:rFonts w:hint="eastAsia" w:asciiTheme="minorEastAsia" w:hAnsiTheme="minorEastAsia" w:eastAsiaTheme="minorEastAsia" w:cstheme="minorEastAsia"/>
                <w:sz w:val="24"/>
              </w:rPr>
              <w:t>（从投标截止之日算起）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7"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投标保证金</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投标保证金：</w:t>
            </w:r>
            <w:r>
              <w:rPr>
                <w:rFonts w:hint="eastAsia" w:asciiTheme="minorEastAsia" w:hAnsiTheme="minorEastAsia" w:eastAsiaTheme="minorEastAsia" w:cstheme="minorEastAsia"/>
                <w:color w:val="auto"/>
                <w:sz w:val="24"/>
                <w:lang w:val="en-US" w:eastAsia="zh-CN"/>
              </w:rPr>
              <w:t>陆</w:t>
            </w:r>
            <w:r>
              <w:rPr>
                <w:rFonts w:hint="eastAsia" w:asciiTheme="minorEastAsia" w:hAnsiTheme="minorEastAsia" w:eastAsiaTheme="minorEastAsia" w:cstheme="minorEastAsia"/>
                <w:color w:val="auto"/>
                <w:sz w:val="24"/>
              </w:rPr>
              <w:t>万元整（￥</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0000.00元）；投标保证金可以支票、汇票、本票、或者金融机构、担保机构出具的保函等非现金形式提交。</w:t>
            </w:r>
          </w:p>
          <w:p>
            <w:pPr>
              <w:overflowPunct w:val="0"/>
              <w:spacing w:line="36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开户名称：</w:t>
            </w:r>
            <w:r>
              <w:rPr>
                <w:rFonts w:hint="eastAsia" w:asciiTheme="minorEastAsia" w:hAnsiTheme="minorEastAsia" w:eastAsiaTheme="minorEastAsia" w:cstheme="minorEastAsia"/>
                <w:sz w:val="24"/>
                <w:lang w:eastAsia="zh-CN"/>
              </w:rPr>
              <w:t>阿克苏新华远景工程造价咨询有限公司</w:t>
            </w:r>
          </w:p>
          <w:p>
            <w:pPr>
              <w:overflowPunct w:val="0"/>
              <w:spacing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开户行：中国农业银行股份有限公司阿克苏东城（兵团）支行</w:t>
            </w:r>
          </w:p>
          <w:p>
            <w:pPr>
              <w:overflowPunct w:val="0"/>
              <w:spacing w:line="36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color w:val="auto"/>
                <w:sz w:val="24"/>
              </w:rPr>
              <w:t>开户行行号：</w:t>
            </w:r>
            <w:r>
              <w:rPr>
                <w:rFonts w:hint="eastAsia" w:asciiTheme="minorEastAsia" w:hAnsiTheme="minorEastAsia" w:eastAsiaTheme="minorEastAsia" w:cstheme="minorEastAsia"/>
                <w:color w:val="auto"/>
                <w:sz w:val="24"/>
                <w:lang w:val="en-US" w:eastAsia="zh-CN"/>
              </w:rPr>
              <w:t>103891077715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FF0000"/>
                <w:sz w:val="24"/>
              </w:rPr>
              <w:t> </w:t>
            </w:r>
            <w:r>
              <w:rPr>
                <w:rFonts w:hint="eastAsia" w:asciiTheme="minorEastAsia" w:hAnsiTheme="minorEastAsia" w:eastAsiaTheme="minorEastAsia" w:cstheme="minorEastAsia"/>
                <w:sz w:val="24"/>
              </w:rPr>
              <w:t>   </w:t>
            </w:r>
          </w:p>
          <w:p>
            <w:pPr>
              <w:overflowPunct w:val="0"/>
              <w:spacing w:line="36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账号：307777101040004365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 </w:t>
            </w:r>
          </w:p>
          <w:p>
            <w:pPr>
              <w:autoSpaceDE w:val="0"/>
              <w:autoSpaceDN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注：1）投标保证金必须于</w:t>
            </w:r>
            <w:r>
              <w:rPr>
                <w:rFonts w:hint="eastAsia" w:asciiTheme="minorEastAsia" w:hAnsiTheme="minorEastAsia" w:eastAsiaTheme="minorEastAsia" w:cstheme="minorEastAsia"/>
                <w:color w:val="auto"/>
                <w:sz w:val="24"/>
                <w:lang w:eastAsia="zh-CN"/>
              </w:rPr>
              <w:t>2022年</w:t>
            </w:r>
            <w:r>
              <w:rPr>
                <w:rFonts w:hint="eastAsia" w:asciiTheme="minorEastAsia" w:hAnsiTheme="minorEastAsia" w:eastAsiaTheme="minorEastAsia" w:cstheme="minorEastAsia"/>
                <w:color w:val="auto"/>
                <w:sz w:val="24"/>
                <w:lang w:val="en-US" w:eastAsia="zh-CN"/>
              </w:rPr>
              <w:t>05</w:t>
            </w:r>
            <w:r>
              <w:rPr>
                <w:rFonts w:hint="eastAsia" w:asciiTheme="minorEastAsia" w:hAnsiTheme="minorEastAsia" w:eastAsiaTheme="minorEastAsia" w:cstheme="minorEastAsia"/>
                <w:color w:val="auto"/>
                <w:sz w:val="24"/>
                <w:lang w:eastAsia="zh-CN"/>
              </w:rPr>
              <w:t>月</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lang w:eastAsia="zh-CN"/>
              </w:rPr>
              <w:t>日</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0时</w:t>
            </w:r>
            <w:r>
              <w:rPr>
                <w:rFonts w:hint="eastAsia" w:asciiTheme="minorEastAsia" w:hAnsiTheme="minorEastAsia" w:eastAsiaTheme="minorEastAsia" w:cstheme="minorEastAsia"/>
                <w:color w:val="auto"/>
                <w:sz w:val="24"/>
              </w:rPr>
              <w:t>之</w:t>
            </w:r>
            <w:r>
              <w:rPr>
                <w:rFonts w:hint="eastAsia" w:asciiTheme="minorEastAsia" w:hAnsiTheme="minorEastAsia" w:eastAsiaTheme="minorEastAsia" w:cstheme="minorEastAsia"/>
                <w:sz w:val="24"/>
              </w:rPr>
              <w:t>前交纳，以到账时间为准，逾期不交者视为自动放弃，逾期交纳者视为无效；</w:t>
            </w:r>
          </w:p>
          <w:p>
            <w:pPr>
              <w:autoSpaceDE w:val="0"/>
              <w:autoSpaceDN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2）转账时须注明项目名称标段号及用途</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投标保证金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autoSpaceDE w:val="0"/>
              <w:autoSpaceDN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3）在规定的投标保证金到账日期之后递交投标保证金的、投标保证金未从基本户汇出的、未注明项目名称的、未将汇款凭据复印件装订在投标文件中的视同未交纳投标保证金。</w:t>
            </w:r>
          </w:p>
          <w:p>
            <w:pPr>
              <w:overflowPunct w:val="0"/>
              <w:spacing w:line="360" w:lineRule="exact"/>
              <w:rPr>
                <w:rFonts w:hint="eastAsia" w:asciiTheme="minorEastAsia" w:hAnsiTheme="minorEastAsia" w:eastAsiaTheme="minorEastAsia" w:cstheme="minorEastAsia"/>
                <w:color w:val="FF0000"/>
                <w:kern w:val="0"/>
                <w:sz w:val="24"/>
                <w:lang w:val="en-US" w:eastAsia="zh-CN"/>
              </w:rPr>
            </w:pPr>
            <w:r>
              <w:rPr>
                <w:rFonts w:hint="eastAsia" w:asciiTheme="minorEastAsia" w:hAnsiTheme="minorEastAsia" w:eastAsiaTheme="minorEastAsia" w:cstheme="minorEastAsia"/>
                <w:sz w:val="24"/>
              </w:rPr>
              <w:t>4）投标人应充分考虑保证金在银行之间划转所需要的时间，以确保其在截止时间之前到达指定账户，否则后果自负。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w:t>
            </w:r>
          </w:p>
          <w:p>
            <w:pPr>
              <w:overflowPunct w:val="0"/>
              <w:spacing w:line="36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递交</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递交截止时间：</w:t>
            </w:r>
            <w:r>
              <w:rPr>
                <w:rFonts w:hint="eastAsia" w:asciiTheme="minorEastAsia" w:hAnsiTheme="minorEastAsia" w:eastAsiaTheme="minorEastAsia" w:cstheme="minorEastAsia"/>
                <w:color w:val="auto"/>
                <w:sz w:val="24"/>
                <w:lang w:eastAsia="zh-CN"/>
              </w:rPr>
              <w:t>2022年05月</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lang w:eastAsia="zh-CN"/>
              </w:rPr>
              <w:t>日1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lang w:eastAsia="zh-CN"/>
              </w:rPr>
              <w:t>点</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0分</w:t>
            </w:r>
            <w:r>
              <w:rPr>
                <w:rFonts w:hint="eastAsia" w:asciiTheme="minorEastAsia" w:hAnsiTheme="minorEastAsia" w:eastAsiaTheme="minorEastAsia" w:cstheme="minorEastAsia"/>
                <w:sz w:val="24"/>
              </w:rPr>
              <w:t>（北京时间）</w:t>
            </w:r>
          </w:p>
          <w:p>
            <w:pPr>
              <w:pStyle w:val="32"/>
              <w:spacing w:line="360" w:lineRule="exact"/>
              <w:rPr>
                <w:rFonts w:hint="eastAsia" w:asciiTheme="minorEastAsia" w:hAnsiTheme="minorEastAsia" w:eastAsiaTheme="minorEastAsia" w:cstheme="minorEastAsia"/>
                <w:color w:val="FF0000"/>
                <w:kern w:val="0"/>
                <w:sz w:val="24"/>
                <w:lang w:eastAsia="zh-CN"/>
              </w:rPr>
            </w:pPr>
            <w:r>
              <w:rPr>
                <w:rFonts w:hint="eastAsia" w:asciiTheme="minorEastAsia" w:hAnsiTheme="minorEastAsia" w:eastAsiaTheme="minorEastAsia" w:cstheme="minorEastAsia"/>
                <w:color w:val="auto"/>
                <w:kern w:val="2"/>
              </w:rPr>
              <w:t>地</w:t>
            </w:r>
            <w:r>
              <w:rPr>
                <w:rFonts w:hint="eastAsia" w:asciiTheme="minorEastAsia" w:hAnsiTheme="minorEastAsia" w:eastAsiaTheme="minorEastAsia" w:cstheme="minorEastAsia"/>
                <w:color w:val="auto"/>
                <w:kern w:val="2"/>
                <w:lang w:val="en-US" w:eastAsia="zh-CN"/>
              </w:rPr>
              <w:t>点</w:t>
            </w:r>
            <w:r>
              <w:rPr>
                <w:rFonts w:hint="eastAsia" w:asciiTheme="minorEastAsia" w:hAnsiTheme="minorEastAsia" w:eastAsiaTheme="minorEastAsia" w:cstheme="minorEastAsia"/>
                <w:color w:val="auto"/>
                <w:kern w:val="2"/>
              </w:rPr>
              <w:t>：</w:t>
            </w:r>
            <w:r>
              <w:rPr>
                <w:rFonts w:hint="eastAsia" w:asciiTheme="minorEastAsia" w:hAnsiTheme="minorEastAsia" w:eastAsiaTheme="minorEastAsia" w:cstheme="minorEastAsia"/>
                <w:sz w:val="24"/>
              </w:rPr>
              <w:t>政采云不见面开评标系统</w:t>
            </w:r>
            <w:r>
              <w:rPr>
                <w:rFonts w:hint="eastAsia" w:asciiTheme="minorEastAsia" w:hAnsiTheme="minorEastAsia" w:eastAsiaTheme="minorEastAsia" w:cstheme="minorEastAsia"/>
                <w:sz w:val="24"/>
                <w:lang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695"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开标时间及</w:t>
            </w:r>
          </w:p>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开标日期及时间：</w:t>
            </w:r>
            <w:r>
              <w:rPr>
                <w:rFonts w:hint="eastAsia" w:asciiTheme="minorEastAsia" w:hAnsiTheme="minorEastAsia" w:eastAsiaTheme="minorEastAsia" w:cstheme="minorEastAsia"/>
                <w:color w:val="auto"/>
                <w:sz w:val="24"/>
                <w:lang w:eastAsia="zh-CN"/>
              </w:rPr>
              <w:t>2022年05月</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lang w:eastAsia="zh-CN"/>
              </w:rPr>
              <w:t>日1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lang w:eastAsia="zh-CN"/>
              </w:rPr>
              <w:t>点</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0分</w:t>
            </w:r>
            <w:r>
              <w:rPr>
                <w:rFonts w:hint="eastAsia" w:asciiTheme="minorEastAsia" w:hAnsiTheme="minorEastAsia" w:eastAsiaTheme="minorEastAsia" w:cstheme="minorEastAsia"/>
                <w:sz w:val="24"/>
              </w:rPr>
              <w:t>（北京时间）</w:t>
            </w:r>
          </w:p>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开标地点：政采云不见面开评标系统</w:t>
            </w:r>
          </w:p>
          <w:p>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17</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结果公示</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pacing w:val="-12"/>
                <w:sz w:val="24"/>
              </w:rPr>
            </w:pPr>
            <w:r>
              <w:rPr>
                <w:rFonts w:hint="eastAsia" w:asciiTheme="minorEastAsia" w:hAnsiTheme="minorEastAsia" w:eastAsiaTheme="minorEastAsia" w:cstheme="minorEastAsia"/>
                <w:sz w:val="24"/>
              </w:rPr>
              <w:t>采购结果在新疆政府采购网发布中标公示，公示期不少于1个工作日。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评标方法及标准</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pacing w:val="-12"/>
                <w:sz w:val="24"/>
              </w:rPr>
            </w:pPr>
            <w:r>
              <w:rPr>
                <w:rFonts w:hint="eastAsia" w:asciiTheme="minorEastAsia" w:hAnsiTheme="minorEastAsia" w:eastAsiaTheme="minorEastAsia" w:cstheme="minorEastAsia"/>
                <w:bCs/>
                <w:sz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3"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开标程序</w:t>
            </w:r>
          </w:p>
        </w:tc>
        <w:tc>
          <w:tcPr>
            <w:tcW w:w="70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（1）投标文件递交：在投标截止前查验网上投标文件递交家数</w:t>
            </w:r>
          </w:p>
          <w:p>
            <w:pPr>
              <w:overflowPunct w:val="0"/>
              <w:spacing w:line="3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（2）开标顺序：以递交投标文件的确认收到时间由后往前依次唱标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0"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w:t>
            </w:r>
            <w:r>
              <w:rPr>
                <w:rFonts w:hint="eastAsia" w:asciiTheme="minorEastAsia" w:hAnsiTheme="minorEastAsia" w:eastAsiaTheme="minorEastAsia" w:cstheme="minorEastAsia"/>
                <w:sz w:val="24"/>
                <w:lang w:val="en-US" w:eastAsia="zh-CN"/>
              </w:rPr>
              <w:t>小组</w:t>
            </w:r>
            <w:r>
              <w:rPr>
                <w:rFonts w:hint="eastAsia" w:asciiTheme="minorEastAsia" w:hAnsiTheme="minorEastAsia" w:eastAsiaTheme="minorEastAsia" w:cstheme="minorEastAsia"/>
                <w:sz w:val="24"/>
              </w:rPr>
              <w:t>的组建</w:t>
            </w:r>
          </w:p>
        </w:tc>
        <w:tc>
          <w:tcPr>
            <w:tcW w:w="70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w:t>
            </w:r>
            <w:r>
              <w:rPr>
                <w:rFonts w:hint="eastAsia" w:asciiTheme="minorEastAsia" w:hAnsiTheme="minorEastAsia" w:eastAsiaTheme="minorEastAsia" w:cstheme="minorEastAsia"/>
                <w:color w:val="auto"/>
                <w:sz w:val="24"/>
                <w:lang w:val="en-US" w:eastAsia="zh-CN"/>
              </w:rPr>
              <w:t>小组</w:t>
            </w:r>
            <w:r>
              <w:rPr>
                <w:rFonts w:hint="eastAsia" w:asciiTheme="minorEastAsia" w:hAnsiTheme="minorEastAsia" w:eastAsiaTheme="minorEastAsia" w:cstheme="minorEastAsia"/>
                <w:color w:val="auto"/>
                <w:sz w:val="24"/>
              </w:rPr>
              <w:t>构成：5 人，其中招标人代表0人（限招标人在职人员，且应当具备评标专家相应的或者类似的条件）专家 5人；</w:t>
            </w:r>
          </w:p>
          <w:p>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  组 ：技术组   人，经济组   人。</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√不分组</w:t>
            </w:r>
          </w:p>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评标专家确定方式：随机抽取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7"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开标资格审查</w:t>
            </w:r>
          </w:p>
          <w:p>
            <w:pPr>
              <w:overflowPunct w:val="0"/>
              <w:spacing w:line="360" w:lineRule="exact"/>
              <w:jc w:val="center"/>
              <w:rPr>
                <w:rFonts w:hint="eastAsia" w:asciiTheme="minorEastAsia" w:hAnsiTheme="minorEastAsia" w:eastAsiaTheme="minorEastAsia" w:cstheme="minorEastAsia"/>
                <w:sz w:val="24"/>
              </w:rPr>
            </w:pP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1、法定代表人需提供法定代表人身份证明及身份证原件，授权委托人参加的授权委托人需提供附有法定代表人身份证明、法定代表人授权委托书及授权委托人身份证原件；</w:t>
            </w:r>
          </w:p>
          <w:p>
            <w:pPr>
              <w:keepNext w:val="0"/>
              <w:keepLines w:val="0"/>
              <w:pageBreakBefore w:val="0"/>
              <w:widowControl w:val="0"/>
              <w:kinsoku/>
              <w:wordWrap/>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2、有效经年检的营业执照；</w:t>
            </w:r>
          </w:p>
          <w:p>
            <w:pPr>
              <w:pStyle w:val="12"/>
              <w:spacing w:before="0" w:beforeAutospacing="0" w:after="0" w:afterAutospacing="0" w:line="440" w:lineRule="exact"/>
              <w:rPr>
                <w:rFonts w:hint="eastAsia" w:cs="宋体"/>
              </w:rPr>
            </w:pPr>
            <w:r>
              <w:rPr>
                <w:rFonts w:hint="eastAsia" w:cs="宋体"/>
                <w:lang w:val="en-US" w:eastAsia="zh-CN"/>
              </w:rPr>
              <w:t>3、</w:t>
            </w:r>
            <w:r>
              <w:rPr>
                <w:rFonts w:hint="eastAsia" w:cs="宋体"/>
              </w:rPr>
              <w:t>提供近三年（201</w:t>
            </w:r>
            <w:r>
              <w:rPr>
                <w:rFonts w:hint="eastAsia" w:cs="宋体"/>
                <w:lang w:val="en-US" w:eastAsia="zh-CN"/>
              </w:rPr>
              <w:t>9</w:t>
            </w:r>
            <w:r>
              <w:rPr>
                <w:rFonts w:hint="eastAsia" w:cs="宋体"/>
              </w:rPr>
              <w:t>-202</w:t>
            </w:r>
            <w:r>
              <w:rPr>
                <w:rFonts w:hint="eastAsia" w:cs="宋体"/>
                <w:lang w:val="en-US" w:eastAsia="zh-CN"/>
              </w:rPr>
              <w:t>1</w:t>
            </w:r>
            <w:r>
              <w:rPr>
                <w:rFonts w:hint="eastAsia" w:cs="宋体"/>
              </w:rPr>
              <w:t>）的财务审计报告或财务报表；</w:t>
            </w:r>
          </w:p>
          <w:p>
            <w:pPr>
              <w:keepNext w:val="0"/>
              <w:keepLines w:val="0"/>
              <w:pageBreakBefore w:val="0"/>
              <w:widowControl w:val="0"/>
              <w:kinsoku/>
              <w:wordWrap/>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、投标保证金银行缴存证明</w:t>
            </w:r>
            <w:r>
              <w:rPr>
                <w:rFonts w:hint="eastAsia" w:asciiTheme="minorEastAsia" w:hAnsiTheme="minorEastAsia" w:eastAsiaTheme="minorEastAsia" w:cstheme="minorEastAsia"/>
                <w:bCs/>
                <w:sz w:val="24"/>
                <w:lang w:val="en-US" w:eastAsia="zh-CN"/>
              </w:rPr>
              <w:t>、打款凭证或由采购代理机构开具的投标保证金收据</w:t>
            </w:r>
            <w:r>
              <w:rPr>
                <w:rFonts w:hint="eastAsia" w:asciiTheme="minorEastAsia" w:hAnsiTheme="minorEastAsia" w:eastAsiaTheme="minorEastAsia" w:cstheme="minorEastAsia"/>
                <w:bCs/>
                <w:sz w:val="24"/>
              </w:rPr>
              <w:t>；</w:t>
            </w:r>
          </w:p>
          <w:p>
            <w:pPr>
              <w:keepNext w:val="0"/>
              <w:keepLines w:val="0"/>
              <w:pageBreakBefore w:val="0"/>
              <w:widowControl w:val="0"/>
              <w:kinsoku/>
              <w:wordWrap/>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、社保部门出具的近半年任意两个月本单位（被授权委托人需在其中）的社保证明原件</w:t>
            </w:r>
            <w:r>
              <w:rPr>
                <w:rFonts w:hint="eastAsia" w:asciiTheme="minorEastAsia" w:hAnsiTheme="minorEastAsia" w:eastAsiaTheme="minorEastAsia" w:cstheme="minorEastAsia"/>
                <w:bCs/>
                <w:sz w:val="24"/>
                <w:lang w:eastAsia="zh-CN"/>
              </w:rPr>
              <w:t>及</w:t>
            </w:r>
            <w:r>
              <w:rPr>
                <w:rFonts w:hint="eastAsia" w:cs="宋体"/>
              </w:rPr>
              <w:t>完税证明；</w:t>
            </w:r>
          </w:p>
          <w:p>
            <w:pPr>
              <w:keepNext w:val="0"/>
              <w:keepLines w:val="0"/>
              <w:pageBreakBefore w:val="0"/>
              <w:widowControl w:val="0"/>
              <w:kinsoku/>
              <w:wordWrap/>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rPr>
              <w:t>、注明：第1、2、3、4条所述资料扫描至电子标书第</w:t>
            </w:r>
            <w:r>
              <w:rPr>
                <w:rFonts w:hint="eastAsia" w:asciiTheme="minorEastAsia" w:hAnsiTheme="minorEastAsia" w:eastAsiaTheme="minorEastAsia" w:cstheme="minorEastAsia"/>
                <w:bCs/>
                <w:sz w:val="24"/>
                <w:lang w:val="en-US" w:eastAsia="zh-CN"/>
              </w:rPr>
              <w:t>五</w:t>
            </w:r>
            <w:r>
              <w:rPr>
                <w:rFonts w:hint="eastAsia" w:asciiTheme="minorEastAsia" w:hAnsiTheme="minorEastAsia" w:eastAsiaTheme="minorEastAsia" w:cstheme="minorEastAsia"/>
                <w:bCs/>
                <w:sz w:val="24"/>
              </w:rPr>
              <w:t>章“投标文件格式”第</w:t>
            </w:r>
            <w:r>
              <w:rPr>
                <w:rFonts w:hint="eastAsia" w:asciiTheme="minorEastAsia" w:hAnsiTheme="minorEastAsia" w:eastAsiaTheme="minorEastAsia" w:cstheme="minorEastAsia"/>
                <w:bCs/>
                <w:sz w:val="24"/>
                <w:lang w:val="en-US" w:eastAsia="zh-CN"/>
              </w:rPr>
              <w:t>十</w:t>
            </w:r>
            <w:r>
              <w:rPr>
                <w:rFonts w:hint="eastAsia" w:asciiTheme="minorEastAsia" w:hAnsiTheme="minorEastAsia" w:eastAsiaTheme="minorEastAsia" w:cstheme="minorEastAsia"/>
                <w:bCs/>
                <w:sz w:val="24"/>
              </w:rPr>
              <w:t>项“投标单位反商业贿赂承诺书”页签并加盖电子印章，扫描件为原件扫描件。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60"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报价方式</w:t>
            </w:r>
          </w:p>
        </w:tc>
        <w:tc>
          <w:tcPr>
            <w:tcW w:w="7035"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报价应为此项总集成所有工作内容的一切费用，且报价为最终报价。投标人应按招标文件第四章“招标内容及技术参数” 要求的内容全部报价，投标报价应包括：生产、检验、包装、保险、利税、管理、安装、调试、监测检验、验收、培训、运杂费等全部费用。投标人在现场调试的全部过程中所发生的人员食宿等费用，保质期内的保修费等均包括在投标总报价之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0"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23</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招标文件费及招标代理服务费</w:t>
            </w:r>
          </w:p>
        </w:tc>
        <w:tc>
          <w:tcPr>
            <w:tcW w:w="7035"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招标文件费：售价0元。</w:t>
            </w:r>
          </w:p>
          <w:p>
            <w:pPr>
              <w:pStyle w:val="32"/>
              <w:spacing w:line="36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招标代理服务费：由中标单位支付（以中标价为基准价，参照计价格[2002]1980号文按差额定率累进法计算收取），由中标人支付，服务费应隐含在投标报价中，不再单独列支。（中标企业在领取中标通知书时一次性足额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24</w:t>
            </w:r>
          </w:p>
        </w:tc>
        <w:tc>
          <w:tcPr>
            <w:tcW w:w="234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付款方式</w:t>
            </w:r>
          </w:p>
        </w:tc>
        <w:tc>
          <w:tcPr>
            <w:tcW w:w="7035"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000000"/>
                <w:sz w:val="24"/>
              </w:rPr>
              <w:t>甲乙双方在签订合同中协商约定。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color w:val="000000"/>
                <w:kern w:val="0"/>
                <w:sz w:val="24"/>
                <w:lang w:val="en-US" w:eastAsia="zh-CN"/>
              </w:rPr>
              <w:t>25</w:t>
            </w:r>
          </w:p>
        </w:tc>
        <w:tc>
          <w:tcPr>
            <w:tcW w:w="2349"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rPr>
              <w:t>投标上限价</w:t>
            </w:r>
          </w:p>
        </w:tc>
        <w:tc>
          <w:tcPr>
            <w:tcW w:w="7035"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rPr>
              <w:t>设置采购上限价，采购上限价</w:t>
            </w:r>
            <w:r>
              <w:rPr>
                <w:rFonts w:hint="eastAsia" w:asciiTheme="minorEastAsia" w:hAnsiTheme="minorEastAsia" w:eastAsiaTheme="minorEastAsia" w:cstheme="minorEastAsia"/>
                <w:color w:val="auto"/>
                <w:sz w:val="24"/>
                <w:szCs w:val="24"/>
                <w:highlight w:val="none"/>
                <w:u w:val="none"/>
                <w:lang w:val="en-US" w:eastAsia="zh-CN"/>
              </w:rPr>
              <w:t>3300000</w:t>
            </w:r>
            <w:r>
              <w:rPr>
                <w:rFonts w:hint="eastAsia" w:asciiTheme="minorEastAsia" w:hAnsiTheme="minorEastAsia" w:eastAsiaTheme="minorEastAsia" w:cstheme="minorEastAsia"/>
                <w:color w:val="auto"/>
                <w:sz w:val="24"/>
                <w:szCs w:val="24"/>
                <w:highlight w:val="none"/>
                <w:u w:val="none"/>
                <w:lang w:val="zh-CN" w:eastAsia="zh-CN"/>
              </w:rPr>
              <w:t>元（</w:t>
            </w:r>
            <w:r>
              <w:rPr>
                <w:rFonts w:hint="eastAsia" w:asciiTheme="minorEastAsia" w:hAnsiTheme="minorEastAsia" w:eastAsiaTheme="minorEastAsia" w:cstheme="minorEastAsia"/>
                <w:color w:val="auto"/>
                <w:kern w:val="2"/>
                <w:lang w:eastAsia="zh-CN"/>
              </w:rPr>
              <w:t>叁佰叁拾万</w:t>
            </w:r>
            <w:r>
              <w:rPr>
                <w:rFonts w:hint="eastAsia" w:asciiTheme="minorEastAsia" w:hAnsiTheme="minorEastAsia" w:eastAsiaTheme="minorEastAsia" w:cstheme="minorEastAsia"/>
                <w:color w:val="auto"/>
                <w:kern w:val="2"/>
              </w:rPr>
              <w:t>元整）</w:t>
            </w:r>
            <w:r>
              <w:rPr>
                <w:rFonts w:hint="eastAsia" w:asciiTheme="minorEastAsia" w:hAnsiTheme="minorEastAsia" w:eastAsiaTheme="minorEastAsia" w:cstheme="minorEastAsia"/>
                <w:kern w:val="2"/>
              </w:rPr>
              <w:t>，投标企业的报价不能高于或等于此上限价，否则做无效报价处理。</w:t>
            </w:r>
            <w:r>
              <w:rPr>
                <w:rFonts w:hint="eastAsia" w:asciiTheme="minorEastAsia" w:hAnsiTheme="minorEastAsia" w:eastAsiaTheme="minorEastAsia" w:cstheme="minorEastAsia"/>
                <w:kern w:val="2"/>
                <w:lang w:val="en-US" w:eastAsia="zh-CN"/>
              </w:rPr>
              <w:t>（注：限价中包括安装费、运输费及税费等费用）。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26</w:t>
            </w:r>
          </w:p>
        </w:tc>
        <w:tc>
          <w:tcPr>
            <w:tcW w:w="2349"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jc w:val="center"/>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sz w:val="24"/>
              </w:rPr>
              <w:t>场地服务费</w:t>
            </w:r>
          </w:p>
        </w:tc>
        <w:tc>
          <w:tcPr>
            <w:tcW w:w="7035"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rPr>
              <w:t>投标人在提交投标文件时，需按规定缴纳场地服务费。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90"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27</w:t>
            </w:r>
          </w:p>
        </w:tc>
        <w:tc>
          <w:tcPr>
            <w:tcW w:w="2349"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w:t>
            </w:r>
            <w:r>
              <w:rPr>
                <w:rFonts w:hint="eastAsia" w:asciiTheme="minorEastAsia" w:hAnsiTheme="minorEastAsia" w:eastAsiaTheme="minorEastAsia" w:cstheme="minorEastAsia"/>
                <w:sz w:val="24"/>
                <w:lang w:val="en-US" w:eastAsia="zh-CN"/>
              </w:rPr>
              <w:t>要求</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的要求：</w:t>
            </w:r>
          </w:p>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4、供应商在开标时须携带制作加密电子投标文件所使用的CA锁，电脑须提前配置好浏览器（建议使用360浏览器或谷歌浏览器），以便开标时在线解密。</w:t>
            </w:r>
          </w:p>
          <w:p>
            <w:pPr>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pStyle w:val="32"/>
              <w:keepNext w:val="0"/>
              <w:keepLines w:val="0"/>
              <w:pageBreakBefore w:val="0"/>
              <w:widowControl w:val="0"/>
              <w:kinsoku/>
              <w:wordWrap/>
              <w:overflowPunct/>
              <w:topLinePunct w:val="0"/>
              <w:bidi w:val="0"/>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b/>
                <w:bCs/>
                <w:color w:val="auto"/>
                <w:sz w:val="24"/>
                <w:szCs w:val="24"/>
                <w:lang w:val="en-US" w:eastAsia="zh-CN"/>
              </w:rPr>
              <w:t>评标结束后，各投标单位须在一周内按招标文件要求将纸质版投标文件递交至招标代理处（所产生的费用投标单位自理）</w:t>
            </w:r>
            <w:r>
              <w:rPr>
                <w:rFonts w:hint="eastAsia" w:asciiTheme="minorEastAsia" w:hAnsiTheme="minorEastAsia" w:eastAsiaTheme="minorEastAsia" w:cstheme="minorEastAsia"/>
                <w:color w:val="auto"/>
                <w:sz w:val="24"/>
                <w:szCs w:val="24"/>
                <w:lang w:val="en-US" w:eastAsia="zh-CN"/>
              </w:rPr>
              <w:t>。纸质版投标文件可通过加密电子版投标文件打印生成，应当与电子版投标文件一致。【1、份数要求：</w:t>
            </w:r>
            <w:r>
              <w:rPr>
                <w:rFonts w:hint="eastAsia" w:asciiTheme="minorEastAsia" w:hAnsiTheme="minorEastAsia" w:eastAsiaTheme="minorEastAsia" w:cstheme="minorEastAsia"/>
                <w:b/>
                <w:bCs/>
                <w:color w:val="auto"/>
                <w:sz w:val="24"/>
                <w:szCs w:val="24"/>
                <w:lang w:val="en-US" w:eastAsia="zh-CN"/>
              </w:rPr>
              <w:t>正本壹份、副本贰份，电子标壹份（U盘）</w:t>
            </w:r>
            <w:r>
              <w:rPr>
                <w:rFonts w:hint="eastAsia" w:asciiTheme="minorEastAsia" w:hAnsiTheme="minorEastAsia" w:eastAsiaTheme="minorEastAsia" w:cstheme="minorEastAsia"/>
                <w:color w:val="auto"/>
                <w:sz w:val="24"/>
                <w:szCs w:val="24"/>
                <w:lang w:val="en-US" w:eastAsia="zh-CN"/>
              </w:rPr>
              <w:t>。2、装订要求：投标文件商务技术部分装订成一册，投标文件的装订必须采用死页胶粘本。】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96"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28</w:t>
            </w:r>
          </w:p>
        </w:tc>
        <w:tc>
          <w:tcPr>
            <w:tcW w:w="23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低于成本价不正当竞争预防措施</w:t>
            </w:r>
          </w:p>
        </w:tc>
        <w:tc>
          <w:tcPr>
            <w:tcW w:w="70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5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color w:val="auto"/>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Theme="minorEastAsia" w:hAnsiTheme="minorEastAsia" w:eastAsiaTheme="minorEastAsia" w:cstheme="minorEastAsia"/>
                <w:bCs/>
                <w:color w:val="auto"/>
                <w:sz w:val="24"/>
                <w:lang w:eastAsia="zh-CN"/>
              </w:rPr>
              <w:t>投标文件</w:t>
            </w:r>
            <w:r>
              <w:rPr>
                <w:rFonts w:hint="eastAsia" w:asciiTheme="minorEastAsia" w:hAnsiTheme="minorEastAsia" w:eastAsiaTheme="minorEastAsia" w:cstheme="minorEastAsia"/>
                <w:bCs/>
                <w:color w:val="auto"/>
                <w:sz w:val="24"/>
              </w:rPr>
              <w:t>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69" w:hRule="atLeast"/>
        </w:trPr>
        <w:tc>
          <w:tcPr>
            <w:tcW w:w="81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29</w:t>
            </w:r>
          </w:p>
        </w:tc>
        <w:tc>
          <w:tcPr>
            <w:tcW w:w="23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color w:val="auto"/>
                <w:sz w:val="24"/>
                <w:highlight w:val="none"/>
                <w:lang w:eastAsia="zh-CN"/>
              </w:rPr>
              <w:t>招标文件</w:t>
            </w:r>
            <w:r>
              <w:rPr>
                <w:rFonts w:hint="eastAsia" w:asciiTheme="minorEastAsia" w:hAnsiTheme="minorEastAsia" w:eastAsiaTheme="minorEastAsia" w:cstheme="minorEastAsia"/>
                <w:bCs/>
                <w:color w:val="auto"/>
                <w:sz w:val="24"/>
                <w:highlight w:val="none"/>
              </w:rPr>
              <w:t>的澄清和质疑</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1、综合说明</w:t>
            </w:r>
          </w:p>
          <w:p>
            <w:pPr>
              <w:keepNext w:val="0"/>
              <w:keepLines w:val="0"/>
              <w:pageBreakBefore w:val="0"/>
              <w:widowControl w:val="0"/>
              <w:kinsoku/>
              <w:wordWrap/>
              <w:overflowPunct/>
              <w:topLinePunct w:val="0"/>
              <w:autoSpaceDE/>
              <w:autoSpaceDN/>
              <w:bidi w:val="0"/>
              <w:adjustRightInd/>
              <w:snapToGrid/>
              <w:spacing w:line="230" w:lineRule="exact"/>
              <w:ind w:firstLine="422"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2、对</w:t>
            </w:r>
            <w:r>
              <w:rPr>
                <w:rFonts w:hint="eastAsia" w:asciiTheme="minorEastAsia" w:hAnsiTheme="minorEastAsia" w:eastAsiaTheme="minorEastAsia" w:cstheme="minorEastAsia"/>
                <w:bCs/>
                <w:color w:val="auto"/>
                <w:sz w:val="21"/>
                <w:szCs w:val="21"/>
                <w:highlight w:val="none"/>
                <w:lang w:eastAsia="zh-CN"/>
              </w:rPr>
              <w:t>招标文件</w:t>
            </w:r>
            <w:r>
              <w:rPr>
                <w:rFonts w:hint="eastAsia" w:asciiTheme="minorEastAsia" w:hAnsiTheme="minorEastAsia" w:eastAsiaTheme="minorEastAsia" w:cstheme="minorEastAsia"/>
                <w:bCs/>
                <w:color w:val="auto"/>
                <w:sz w:val="21"/>
                <w:szCs w:val="21"/>
                <w:highlight w:val="none"/>
              </w:rPr>
              <w:t>的澄清和质疑</w:t>
            </w:r>
          </w:p>
          <w:p>
            <w:pPr>
              <w:keepNext w:val="0"/>
              <w:keepLines w:val="0"/>
              <w:pageBreakBefore w:val="0"/>
              <w:widowControl w:val="0"/>
              <w:kinsoku/>
              <w:wordWrap/>
              <w:overflowPunct/>
              <w:topLinePunct w:val="0"/>
              <w:autoSpaceDE/>
              <w:autoSpaceDN/>
              <w:bidi w:val="0"/>
              <w:adjustRightInd/>
              <w:snapToGrid/>
              <w:spacing w:line="230" w:lineRule="exact"/>
              <w:ind w:firstLine="422"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投标人应尽早领取</w:t>
            </w:r>
            <w:r>
              <w:rPr>
                <w:rFonts w:hint="eastAsia" w:asciiTheme="minorEastAsia" w:hAnsiTheme="minorEastAsia" w:eastAsiaTheme="minorEastAsia" w:cstheme="minorEastAsia"/>
                <w:bCs/>
                <w:color w:val="auto"/>
                <w:sz w:val="21"/>
                <w:szCs w:val="21"/>
                <w:highlight w:val="none"/>
                <w:lang w:eastAsia="zh-CN"/>
              </w:rPr>
              <w:t>招标文件</w:t>
            </w:r>
            <w:r>
              <w:rPr>
                <w:rFonts w:hint="eastAsia" w:asciiTheme="minorEastAsia" w:hAnsiTheme="minorEastAsia" w:eastAsiaTheme="minorEastAsia" w:cstheme="minorEastAsia"/>
                <w:bCs/>
                <w:color w:val="auto"/>
                <w:sz w:val="21"/>
                <w:szCs w:val="21"/>
                <w:highlight w:val="none"/>
              </w:rPr>
              <w:t>，若对</w:t>
            </w:r>
            <w:r>
              <w:rPr>
                <w:rFonts w:hint="eastAsia" w:asciiTheme="minorEastAsia" w:hAnsiTheme="minorEastAsia" w:eastAsiaTheme="minorEastAsia" w:cstheme="minorEastAsia"/>
                <w:bCs/>
                <w:color w:val="auto"/>
                <w:sz w:val="21"/>
                <w:szCs w:val="21"/>
                <w:highlight w:val="none"/>
                <w:lang w:eastAsia="zh-CN"/>
              </w:rPr>
              <w:t>招标文件</w:t>
            </w:r>
            <w:r>
              <w:rPr>
                <w:rFonts w:hint="eastAsia" w:asciiTheme="minorEastAsia" w:hAnsiTheme="minorEastAsia" w:eastAsiaTheme="minorEastAsia" w:cstheme="minorEastAsia"/>
                <w:bCs/>
                <w:color w:val="auto"/>
                <w:sz w:val="21"/>
                <w:szCs w:val="21"/>
                <w:highlight w:val="none"/>
              </w:rPr>
              <w:t>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Theme="minorEastAsia" w:hAnsiTheme="minorEastAsia" w:eastAsiaTheme="minorEastAsia" w:cstheme="minorEastAsia"/>
                <w:bCs/>
                <w:color w:val="auto"/>
                <w:sz w:val="21"/>
                <w:szCs w:val="21"/>
                <w:highlight w:val="none"/>
                <w:lang w:val="en-US" w:eastAsia="zh-CN"/>
              </w:rPr>
              <w:t>(项目名称）</w:t>
            </w:r>
            <w:r>
              <w:rPr>
                <w:rFonts w:hint="eastAsia" w:asciiTheme="minorEastAsia" w:hAnsiTheme="minorEastAsia" w:eastAsiaTheme="minorEastAsia" w:cstheme="minorEastAsia"/>
                <w:bCs/>
                <w:color w:val="auto"/>
                <w:sz w:val="21"/>
                <w:szCs w:val="21"/>
                <w:highlight w:val="none"/>
              </w:rPr>
              <w:t>澄清或质疑使用”字样，并由身份证持有人签字确认。上述资料均须加盖公章。</w:t>
            </w:r>
          </w:p>
          <w:p>
            <w:pPr>
              <w:keepNext w:val="0"/>
              <w:keepLines w:val="0"/>
              <w:pageBreakBefore w:val="0"/>
              <w:widowControl w:val="0"/>
              <w:kinsoku/>
              <w:wordWrap/>
              <w:overflowPunct/>
              <w:topLinePunct w:val="0"/>
              <w:autoSpaceDE/>
              <w:autoSpaceDN/>
              <w:bidi w:val="0"/>
              <w:adjustRightInd/>
              <w:snapToGrid/>
              <w:spacing w:line="230" w:lineRule="exact"/>
              <w:ind w:firstLine="422"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Theme="minorEastAsia" w:hAnsiTheme="minorEastAsia" w:eastAsiaTheme="minorEastAsia" w:cstheme="minorEastAsia"/>
                <w:bCs/>
                <w:color w:val="auto"/>
                <w:sz w:val="21"/>
                <w:szCs w:val="21"/>
                <w:highlight w:val="none"/>
                <w:lang w:val="en-US" w:eastAsia="zh-CN"/>
              </w:rPr>
              <w:t>新疆政府采购网</w:t>
            </w:r>
            <w:r>
              <w:rPr>
                <w:rFonts w:hint="eastAsia" w:asciiTheme="minorEastAsia" w:hAnsiTheme="minorEastAsia" w:eastAsiaTheme="minorEastAsia" w:cstheme="minorEastAsia"/>
                <w:bCs/>
                <w:color w:val="auto"/>
                <w:sz w:val="21"/>
                <w:szCs w:val="21"/>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w:t>
            </w:r>
            <w:r>
              <w:rPr>
                <w:rFonts w:hint="eastAsia" w:asciiTheme="minorEastAsia" w:hAnsiTheme="minorEastAsia" w:eastAsiaTheme="minorEastAsia" w:cstheme="minorEastAsia"/>
                <w:bCs/>
                <w:color w:val="auto"/>
                <w:sz w:val="21"/>
                <w:szCs w:val="21"/>
                <w:highlight w:val="none"/>
                <w:lang w:eastAsia="zh-CN"/>
              </w:rPr>
              <w:t>投标文件</w:t>
            </w:r>
            <w:r>
              <w:rPr>
                <w:rFonts w:hint="eastAsia" w:asciiTheme="minorEastAsia" w:hAnsiTheme="minorEastAsia" w:eastAsiaTheme="minorEastAsia" w:cstheme="minorEastAsia"/>
                <w:bCs/>
                <w:color w:val="auto"/>
                <w:sz w:val="21"/>
                <w:szCs w:val="21"/>
                <w:highlight w:val="none"/>
              </w:rPr>
              <w:t>中对修改内容做实质性响应的，对其产生的不利因素由未确认者自行承担。同时招标人可以酌情延长投标截止时间。</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3、对招标过程和拟中标结果的质疑</w:t>
            </w:r>
          </w:p>
          <w:p>
            <w:pPr>
              <w:keepNext w:val="0"/>
              <w:keepLines w:val="0"/>
              <w:pageBreakBefore w:val="0"/>
              <w:widowControl w:val="0"/>
              <w:kinsoku/>
              <w:wordWrap/>
              <w:overflowPunct/>
              <w:topLinePunct w:val="0"/>
              <w:autoSpaceDE/>
              <w:autoSpaceDN/>
              <w:bidi w:val="0"/>
              <w:adjustRightInd/>
              <w:snapToGrid/>
              <w:spacing w:line="230" w:lineRule="exact"/>
              <w:ind w:firstLine="422"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投标人认为招标过程和拟中标结果使自己的权益受到损害的，可以在投标人于</w:t>
            </w:r>
            <w:r>
              <w:rPr>
                <w:rFonts w:hint="eastAsia" w:asciiTheme="minorEastAsia" w:hAnsiTheme="minorEastAsia" w:eastAsiaTheme="minorEastAsia" w:cstheme="minorEastAsia"/>
                <w:bCs/>
                <w:color w:val="auto"/>
                <w:sz w:val="21"/>
                <w:szCs w:val="21"/>
                <w:highlight w:val="none"/>
                <w:lang w:val="en-US" w:eastAsia="zh-CN"/>
              </w:rPr>
              <w:t>新疆政府采购网</w:t>
            </w:r>
            <w:r>
              <w:rPr>
                <w:rFonts w:hint="eastAsia" w:asciiTheme="minorEastAsia" w:hAnsiTheme="minorEastAsia" w:eastAsiaTheme="minorEastAsia" w:cstheme="minorEastAsia"/>
                <w:bCs/>
                <w:color w:val="auto"/>
                <w:sz w:val="21"/>
                <w:szCs w:val="21"/>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Theme="minorEastAsia" w:hAnsiTheme="minorEastAsia" w:eastAsiaTheme="minorEastAsia" w:cstheme="minorEastAsia"/>
                <w:bCs/>
                <w:color w:val="auto"/>
                <w:sz w:val="21"/>
                <w:szCs w:val="21"/>
                <w:highlight w:val="none"/>
                <w:lang w:eastAsia="zh-CN"/>
              </w:rPr>
              <w:t>（项目名称）</w:t>
            </w:r>
            <w:r>
              <w:rPr>
                <w:rFonts w:hint="eastAsia" w:asciiTheme="minorEastAsia" w:hAnsiTheme="minorEastAsia" w:eastAsiaTheme="minorEastAsia" w:cstheme="minorEastAsia"/>
                <w:bCs/>
                <w:color w:val="auto"/>
                <w:sz w:val="21"/>
                <w:szCs w:val="21"/>
                <w:highlight w:val="none"/>
              </w:rPr>
              <w:t>”字样，并由身份证持有人签字确认。上述资料均须加盖公章。</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4、澄清或质疑不予受理的情况，有下列情形之一的，属于无效质疑，被质疑人不予受理，由此产生的影响由投标人自行承担：</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(一)不是参与该政府采购项目活动供应商的;</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(二)被质疑人为采购人或政府采购代理机构之外的；</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(三)所有质疑事项超过质疑有效期的；</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(四)以具有法律效力的文书送达之外方式提出的；</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(五) 未按上述规定递交澄清或质疑函的；</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(六) </w:t>
            </w:r>
            <w:r>
              <w:rPr>
                <w:rFonts w:hint="eastAsia" w:asciiTheme="minorEastAsia" w:hAnsiTheme="minorEastAsia" w:eastAsiaTheme="minorEastAsia" w:cstheme="minorEastAsia"/>
                <w:bCs/>
                <w:color w:val="auto"/>
                <w:sz w:val="21"/>
                <w:szCs w:val="21"/>
                <w:highlight w:val="none"/>
                <w:lang w:eastAsia="zh-CN"/>
              </w:rPr>
              <w:t>其他</w:t>
            </w:r>
            <w:r>
              <w:rPr>
                <w:rFonts w:hint="eastAsia" w:asciiTheme="minorEastAsia" w:hAnsiTheme="minorEastAsia" w:eastAsiaTheme="minorEastAsia" w:cstheme="minorEastAsia"/>
                <w:bCs/>
                <w:color w:val="auto"/>
                <w:sz w:val="21"/>
                <w:szCs w:val="21"/>
                <w:highlight w:val="none"/>
              </w:rPr>
              <w:t>不符合受理条件的情形。</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5、其他</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澄清或质疑函递交地点：</w:t>
            </w:r>
            <w:r>
              <w:rPr>
                <w:rFonts w:hint="eastAsia" w:asciiTheme="minorEastAsia" w:hAnsiTheme="minorEastAsia" w:eastAsiaTheme="minorEastAsia" w:cstheme="minorEastAsia"/>
                <w:bCs/>
                <w:color w:val="auto"/>
                <w:sz w:val="21"/>
                <w:szCs w:val="21"/>
                <w:highlight w:val="none"/>
                <w:lang w:eastAsia="zh-CN"/>
              </w:rPr>
              <w:t>新疆阿克苏地区</w:t>
            </w:r>
            <w:r>
              <w:rPr>
                <w:rFonts w:hint="eastAsia" w:asciiTheme="minorEastAsia" w:hAnsiTheme="minorEastAsia" w:eastAsiaTheme="minorEastAsia" w:cstheme="minorEastAsia"/>
                <w:bCs/>
                <w:color w:val="auto"/>
                <w:sz w:val="21"/>
                <w:szCs w:val="21"/>
                <w:highlight w:val="none"/>
                <w:lang w:val="en-US" w:eastAsia="zh-CN"/>
              </w:rPr>
              <w:t>阿克苏市左岸明珠香邸7号楼2单元</w:t>
            </w:r>
          </w:p>
          <w:p>
            <w:pPr>
              <w:keepNext w:val="0"/>
              <w:keepLines w:val="0"/>
              <w:pageBreakBefore w:val="0"/>
              <w:widowControl w:val="0"/>
              <w:kinsoku/>
              <w:wordWrap/>
              <w:overflowPunct/>
              <w:topLinePunct w:val="0"/>
              <w:autoSpaceDE/>
              <w:autoSpaceDN/>
              <w:bidi w:val="0"/>
              <w:adjustRightInd/>
              <w:snapToGrid/>
              <w:spacing w:line="230" w:lineRule="exact"/>
              <w:textAlignment w:val="auto"/>
              <w:rPr>
                <w:rFonts w:hint="default" w:asciiTheme="minorEastAsia" w:hAnsiTheme="minorEastAsia" w:eastAsiaTheme="minorEastAsia" w:cstheme="minorEastAsia"/>
                <w:bCs/>
                <w:color w:val="auto"/>
                <w:sz w:val="24"/>
                <w:lang w:val="en-US"/>
              </w:rPr>
            </w:pPr>
            <w:r>
              <w:rPr>
                <w:rFonts w:hint="eastAsia" w:asciiTheme="minorEastAsia" w:hAnsiTheme="minorEastAsia" w:eastAsiaTheme="minorEastAsia" w:cstheme="minorEastAsia"/>
                <w:bCs/>
                <w:color w:val="auto"/>
                <w:sz w:val="21"/>
                <w:szCs w:val="21"/>
                <w:highlight w:val="none"/>
              </w:rPr>
              <w:t>联系电话：</w:t>
            </w:r>
            <w:r>
              <w:rPr>
                <w:rFonts w:hint="eastAsia" w:asciiTheme="minorEastAsia" w:hAnsiTheme="minorEastAsia" w:eastAsiaTheme="minorEastAsia" w:cstheme="minorEastAsia"/>
                <w:sz w:val="21"/>
                <w:szCs w:val="21"/>
                <w:lang w:val="en-US" w:eastAsia="zh-CN"/>
              </w:rPr>
              <w:t>13279096999</w:t>
            </w:r>
          </w:p>
        </w:tc>
      </w:tr>
    </w:tbl>
    <w:p>
      <w:pPr>
        <w:pStyle w:val="6"/>
        <w:keepNext w:val="0"/>
        <w:keepLines w:val="0"/>
        <w:adjustRightInd w:val="0"/>
        <w:snapToGrid w:val="0"/>
        <w:spacing w:before="120" w:after="120" w:line="360" w:lineRule="auto"/>
        <w:jc w:val="center"/>
        <w:rPr>
          <w:rFonts w:hint="eastAsia" w:asciiTheme="minorEastAsia" w:hAnsiTheme="minorEastAsia" w:eastAsiaTheme="minorEastAsia" w:cstheme="minorEastAsia"/>
          <w:bCs w:val="0"/>
          <w:color w:val="auto"/>
          <w:sz w:val="28"/>
          <w:szCs w:val="28"/>
        </w:rPr>
      </w:pPr>
      <w:r>
        <w:rPr>
          <w:rFonts w:hint="eastAsia" w:asciiTheme="minorEastAsia" w:hAnsiTheme="minorEastAsia" w:eastAsiaTheme="minorEastAsia" w:cstheme="minorEastAsia"/>
          <w:bCs w:val="0"/>
          <w:color w:val="auto"/>
          <w:sz w:val="28"/>
          <w:szCs w:val="28"/>
        </w:rPr>
        <w:t>投标人须知正文部分</w:t>
      </w:r>
    </w:p>
    <w:p>
      <w:pPr>
        <w:pStyle w:val="41"/>
        <w:ind w:firstLine="482" w:firstLineChars="200"/>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一、总则</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 合格的投标人</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1.2 有效的营业执照；</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1.4  投标人参加政府采购活动近三年内无违法违规记录和法律诉讼纠纷，</w:t>
      </w:r>
      <w:r>
        <w:rPr>
          <w:rFonts w:hint="eastAsia" w:asciiTheme="minorEastAsia" w:hAnsiTheme="minorEastAsia" w:eastAsiaTheme="minorEastAsia" w:cstheme="minorEastAsia"/>
          <w:bCs/>
          <w:color w:val="auto"/>
          <w:szCs w:val="24"/>
          <w:lang w:eastAsia="zh-CN"/>
        </w:rPr>
        <w:t>投标文件</w:t>
      </w:r>
      <w:r>
        <w:rPr>
          <w:rFonts w:hint="eastAsia" w:asciiTheme="minorEastAsia" w:hAnsiTheme="minorEastAsia" w:eastAsiaTheme="minorEastAsia" w:cstheme="minorEastAsia"/>
          <w:bCs/>
          <w:color w:val="auto"/>
          <w:szCs w:val="24"/>
        </w:rPr>
        <w:t>内需提供书面声明。</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1.5  为保证政府采购活动公平、公正、诚实信用，投标人提供的材料及技术参数应真实有效，</w:t>
      </w:r>
      <w:r>
        <w:rPr>
          <w:rFonts w:hint="eastAsia" w:asciiTheme="minorEastAsia" w:hAnsiTheme="minorEastAsia" w:eastAsiaTheme="minorEastAsia" w:cstheme="minorEastAsia"/>
          <w:bCs/>
          <w:color w:val="auto"/>
          <w:szCs w:val="24"/>
          <w:lang w:eastAsia="zh-CN"/>
        </w:rPr>
        <w:t>投标文件</w:t>
      </w:r>
      <w:r>
        <w:rPr>
          <w:rFonts w:hint="eastAsia" w:asciiTheme="minorEastAsia" w:hAnsiTheme="minorEastAsia" w:eastAsiaTheme="minorEastAsia" w:cstheme="minorEastAsia"/>
          <w:bCs/>
          <w:color w:val="auto"/>
          <w:szCs w:val="24"/>
        </w:rPr>
        <w:t>内需提供书面承诺书。</w:t>
      </w:r>
    </w:p>
    <w:p>
      <w:pPr>
        <w:pStyle w:val="36"/>
        <w:spacing w:line="360" w:lineRule="auto"/>
        <w:ind w:left="563" w:leftChars="267" w:firstLine="2" w:firstLineChars="1"/>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1.6  不符合以上条款规定的投标人，其投标无效。</w:t>
      </w:r>
    </w:p>
    <w:p>
      <w:pPr>
        <w:pStyle w:val="36"/>
        <w:spacing w:line="360" w:lineRule="auto"/>
        <w:ind w:left="563" w:leftChars="267" w:firstLine="2" w:firstLineChars="1"/>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 定义</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2.1“采购代理机构”系指</w:t>
      </w:r>
      <w:r>
        <w:rPr>
          <w:rFonts w:hint="eastAsia" w:asciiTheme="minorEastAsia" w:hAnsiTheme="minorEastAsia" w:eastAsiaTheme="minorEastAsia" w:cstheme="minorEastAsia"/>
          <w:color w:val="auto"/>
          <w:lang w:eastAsia="zh-CN"/>
        </w:rPr>
        <w:t>阿克苏新华远景工程造价咨询有限公司</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2.2“投标人”系指向采购代理机构提交</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w:t>
      </w:r>
      <w:r>
        <w:rPr>
          <w:rFonts w:hint="eastAsia" w:asciiTheme="minorEastAsia" w:hAnsiTheme="minorEastAsia" w:eastAsiaTheme="minorEastAsia" w:cstheme="minorEastAsia"/>
          <w:color w:val="auto"/>
          <w:szCs w:val="24"/>
          <w:lang w:val="en-US" w:eastAsia="zh-CN"/>
        </w:rPr>
        <w:t>服务供应商或</w:t>
      </w:r>
      <w:r>
        <w:rPr>
          <w:rFonts w:hint="eastAsia" w:asciiTheme="minorEastAsia" w:hAnsiTheme="minorEastAsia" w:eastAsiaTheme="minorEastAsia" w:cstheme="minorEastAsia"/>
          <w:color w:val="auto"/>
          <w:szCs w:val="24"/>
        </w:rPr>
        <w:t>货物制造商或代理商。</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2.3“货物”系指卖方按合同要求，须向买方提供的设计文件、货物、机械、材料、备品、手册及其他技术资料和材料。详见《政府采购品目分类目录》(财库[2013]189号)。</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2.4“服务”系指按合同规定卖方须承担的运输、装卸、安装调试、技术协助、培训和交付使用后保修期内应履行的义务及售后服务等其他类似的义务。</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2.5“卖方”系指提供合同货物和服务的经济实体。本次招标指中标人。</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2.6“买方”系指购买货物和服务的单位，即为本次招标的采购人。</w:t>
      </w:r>
    </w:p>
    <w:p>
      <w:pPr>
        <w:pStyle w:val="36"/>
        <w:spacing w:line="360" w:lineRule="auto"/>
        <w:ind w:firstLine="567"/>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2.7“节能产品”或者“环保产品”是指财政部发布最新一期的《节能产品政府采购清单》或者《环境标志产品政府采购清单》的产品，可在中国政府采购网(www.ccgp.gov.cn)查询。</w:t>
      </w:r>
    </w:p>
    <w:p>
      <w:pPr>
        <w:pStyle w:val="36"/>
        <w:spacing w:line="360" w:lineRule="auto"/>
        <w:ind w:firstLine="567"/>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36"/>
        <w:spacing w:line="360" w:lineRule="auto"/>
        <w:ind w:firstLine="567"/>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2.9 “语言文字”招标</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使用的语言文字为中文。专用术语使用外文的，应附有中文注释。</w:t>
      </w:r>
    </w:p>
    <w:p>
      <w:pPr>
        <w:pStyle w:val="36"/>
        <w:spacing w:line="360" w:lineRule="auto"/>
        <w:ind w:firstLine="567"/>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2.10</w:t>
      </w:r>
      <w:r>
        <w:rPr>
          <w:rFonts w:hint="eastAsia" w:asciiTheme="minorEastAsia" w:hAnsiTheme="minorEastAsia" w:eastAsiaTheme="minorEastAsia" w:cstheme="minorEastAsia"/>
          <w:color w:val="auto"/>
          <w:szCs w:val="24"/>
        </w:rPr>
        <w:t>“计量单位”所有计量均采用中华人民共和国法定计量单位。</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 其他要求</w:t>
      </w:r>
    </w:p>
    <w:p>
      <w:pPr>
        <w:pStyle w:val="36"/>
        <w:spacing w:line="360" w:lineRule="auto"/>
        <w:ind w:firstLine="567"/>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3.1 投标费用</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投标人应自行承担所有与本次招标投标有关的费用，而不论投标的结果如何。 </w:t>
      </w:r>
    </w:p>
    <w:p>
      <w:pPr>
        <w:pStyle w:val="36"/>
        <w:spacing w:line="360" w:lineRule="auto"/>
        <w:ind w:firstLine="567"/>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3.2 采购进口产品</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3.2.1 除投标人须知前附表另有规定外，本项目拒绝进口产品参加招标采购活动。</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3.2.2 本章第4.1款规定同意购买进口产品的，本项目采购活动不限制满足</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要求的国内产品参与招标。</w:t>
      </w:r>
    </w:p>
    <w:p>
      <w:pPr>
        <w:pStyle w:val="36"/>
        <w:spacing w:line="360" w:lineRule="auto"/>
        <w:ind w:firstLine="567"/>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3.3 政府采购政策支持 </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w:t>
      </w:r>
      <w:r>
        <w:rPr>
          <w:rFonts w:hint="eastAsia" w:asciiTheme="minorEastAsia" w:hAnsiTheme="minorEastAsia" w:eastAsiaTheme="minorEastAsia" w:cstheme="minorEastAsia"/>
          <w:color w:val="auto"/>
          <w:szCs w:val="24"/>
          <w:lang w:eastAsia="zh-CN"/>
        </w:rPr>
        <w:t>产品</w:t>
      </w:r>
      <w:r>
        <w:rPr>
          <w:rFonts w:hint="eastAsia" w:asciiTheme="minorEastAsia" w:hAnsiTheme="minorEastAsia" w:eastAsiaTheme="minorEastAsia" w:cstheme="minorEastAsia"/>
          <w:color w:val="auto"/>
          <w:szCs w:val="24"/>
        </w:rPr>
        <w:t>优惠累加优惠。财政部门关于政府采购强制采购、优先采购的政策规定可在中国政府采购网(www.ccgp.gov.cn)查询。本项目价格扣除比例见投标人须知前附表。</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3.3.2 同一项目中部分产品属于优先采购政策的，评审时只对该部分产品的报价实行价格优惠。</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3.3.3 为推进政府采购诚信体系建设，供应商在签署相关承诺，提供相关信息前，应认真阅读财政部门相关政策规定。</w:t>
      </w:r>
    </w:p>
    <w:p>
      <w:pPr>
        <w:pStyle w:val="41"/>
        <w:ind w:left="0" w:leftChars="0" w:firstLine="482" w:firstLineChars="200"/>
        <w:jc w:val="both"/>
        <w:outlineLvl w:val="1"/>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二、</w:t>
      </w:r>
      <w:r>
        <w:rPr>
          <w:rFonts w:hint="eastAsia" w:asciiTheme="minorEastAsia" w:hAnsiTheme="minorEastAsia" w:eastAsiaTheme="minorEastAsia" w:cstheme="minorEastAsia"/>
          <w:b/>
          <w:bCs/>
          <w:color w:val="auto"/>
          <w:lang w:eastAsia="zh-CN"/>
        </w:rPr>
        <w:t>招标文件</w:t>
      </w:r>
    </w:p>
    <w:p>
      <w:pPr>
        <w:pStyle w:val="36"/>
        <w:spacing w:line="360" w:lineRule="auto"/>
        <w:ind w:firstLine="567"/>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 xml:space="preserve">4. </w:t>
      </w:r>
      <w:r>
        <w:rPr>
          <w:rFonts w:hint="eastAsia" w:asciiTheme="minorEastAsia" w:hAnsiTheme="minorEastAsia" w:eastAsiaTheme="minorEastAsia" w:cstheme="minorEastAsia"/>
          <w:color w:val="auto"/>
          <w:szCs w:val="24"/>
          <w:lang w:eastAsia="zh-CN"/>
        </w:rPr>
        <w:t>招标文件</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4.1 </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用以阐明所需货物</w:t>
      </w:r>
      <w:r>
        <w:rPr>
          <w:rFonts w:hint="eastAsia" w:asciiTheme="minorEastAsia" w:hAnsiTheme="minorEastAsia" w:eastAsiaTheme="minorEastAsia" w:cstheme="minorEastAsia"/>
          <w:color w:val="auto"/>
          <w:szCs w:val="24"/>
          <w:lang w:eastAsia="zh-CN"/>
        </w:rPr>
        <w:t>或</w:t>
      </w:r>
      <w:r>
        <w:rPr>
          <w:rFonts w:hint="eastAsia" w:asciiTheme="minorEastAsia" w:hAnsiTheme="minorEastAsia" w:eastAsiaTheme="minorEastAsia" w:cstheme="minorEastAsia"/>
          <w:color w:val="auto"/>
          <w:szCs w:val="24"/>
        </w:rPr>
        <w:t>服务、招标投标程序和合同条款。包括：</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4.1.1 招标公告</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4.1.2 投标人须知</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4.1.3 合同条款及格式</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4.1.4 采购需求</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4.1.5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格式</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4.1.6 其他资料</w:t>
      </w:r>
    </w:p>
    <w:p>
      <w:pPr>
        <w:pStyle w:val="36"/>
        <w:spacing w:line="360" w:lineRule="auto"/>
        <w:ind w:firstLine="482" w:firstLineChars="200"/>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4.2 投标人应认真阅读</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中所有的事项、格式、条款和规范等要求。如果没有按照</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要求提交全部资料或者</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没有对</w:t>
      </w:r>
      <w:r>
        <w:rPr>
          <w:rFonts w:hint="eastAsia" w:asciiTheme="minorEastAsia" w:hAnsiTheme="minorEastAsia" w:eastAsiaTheme="minorEastAsia" w:cstheme="minorEastAsia"/>
          <w:color w:val="auto"/>
          <w:szCs w:val="24"/>
          <w:lang w:eastAsia="zh-CN"/>
        </w:rPr>
        <w:t>招标文件作出</w:t>
      </w:r>
      <w:r>
        <w:rPr>
          <w:rFonts w:hint="eastAsia" w:asciiTheme="minorEastAsia" w:hAnsiTheme="minorEastAsia" w:eastAsiaTheme="minorEastAsia" w:cstheme="minorEastAsia"/>
          <w:color w:val="auto"/>
          <w:szCs w:val="24"/>
        </w:rPr>
        <w:t>实质性响应，其投标将被拒绝。</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5. </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的澄清和修改</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5.1 招标人如需对已发出的</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进行必要澄清或者修改的，招标代理机构将在</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要求提交</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截止时间15日前，以书面形式通知所有获取</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的投标人。该澄清或者修改的内容为</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的组成部分。</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6. 延长开标时间</w:t>
      </w:r>
    </w:p>
    <w:p>
      <w:pPr>
        <w:pStyle w:val="36"/>
        <w:spacing w:line="360" w:lineRule="auto"/>
        <w:ind w:firstLine="567"/>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4"/>
        </w:rPr>
        <w:t>招标人视采购具体情况如需延长投标截止时间和开标时间，招标代理机构将在</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要求提交</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的截止时间3日前，将变更时间书面通知所有获取</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的投标人。</w:t>
      </w:r>
    </w:p>
    <w:p>
      <w:pPr>
        <w:pStyle w:val="41"/>
        <w:ind w:firstLine="482" w:firstLineChars="200"/>
        <w:jc w:val="both"/>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w:t>
      </w:r>
      <w:r>
        <w:rPr>
          <w:rFonts w:hint="eastAsia" w:asciiTheme="minorEastAsia" w:hAnsiTheme="minorEastAsia" w:eastAsiaTheme="minorEastAsia" w:cstheme="minorEastAsia"/>
          <w:b/>
          <w:bCs/>
          <w:color w:val="auto"/>
          <w:lang w:eastAsia="zh-CN"/>
        </w:rPr>
        <w:t>投标文件</w:t>
      </w:r>
      <w:r>
        <w:rPr>
          <w:rFonts w:hint="eastAsia" w:asciiTheme="minorEastAsia" w:hAnsiTheme="minorEastAsia" w:eastAsiaTheme="minorEastAsia" w:cstheme="minorEastAsia"/>
          <w:b/>
          <w:bCs/>
          <w:color w:val="auto"/>
        </w:rPr>
        <w:t>的编制</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7.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的编写</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7.1 投标人应仔细阅读</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,了解</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的要求，并在充分理解</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提出的货物技术规范、服务和商务条款后的基础上制作</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8. 投标的语言及计量单位</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8.1 投标人的</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以及投标人与采购代理机构就有关招标活动的所有来往函电均应使用中文。如果</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或与投标有关的</w:t>
      </w:r>
      <w:r>
        <w:rPr>
          <w:rFonts w:hint="eastAsia" w:asciiTheme="minorEastAsia" w:hAnsiTheme="minorEastAsia" w:eastAsiaTheme="minorEastAsia" w:cstheme="minorEastAsia"/>
          <w:color w:val="auto"/>
          <w:szCs w:val="24"/>
          <w:lang w:eastAsia="zh-CN"/>
        </w:rPr>
        <w:t>其他</w:t>
      </w:r>
      <w:r>
        <w:rPr>
          <w:rFonts w:hint="eastAsia" w:asciiTheme="minorEastAsia" w:hAnsiTheme="minorEastAsia" w:eastAsiaTheme="minorEastAsia" w:cstheme="minorEastAsia"/>
          <w:color w:val="auto"/>
          <w:szCs w:val="24"/>
        </w:rPr>
        <w:t>文件、信件及来往函电</w:t>
      </w:r>
      <w:r>
        <w:rPr>
          <w:rFonts w:hint="eastAsia" w:asciiTheme="minorEastAsia" w:hAnsiTheme="minorEastAsia" w:eastAsiaTheme="minorEastAsia" w:cstheme="minorEastAsia"/>
          <w:color w:val="auto"/>
          <w:szCs w:val="24"/>
          <w:lang w:eastAsia="zh-CN"/>
        </w:rPr>
        <w:t>以其他</w:t>
      </w:r>
      <w:r>
        <w:rPr>
          <w:rFonts w:hint="eastAsia" w:asciiTheme="minorEastAsia" w:hAnsiTheme="minorEastAsia" w:eastAsiaTheme="minorEastAsia" w:cstheme="minorEastAsia"/>
          <w:color w:val="auto"/>
          <w:szCs w:val="24"/>
        </w:rPr>
        <w:t>语言书写的，投标人应将其译成中文。</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8.2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中所使用的计量单位除</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中有特殊规定外，一律使用法定计量单位。</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9.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构成</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9.1  投标人编写的</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应包含以下内容:</w:t>
      </w:r>
    </w:p>
    <w:p>
      <w:pPr>
        <w:pStyle w:val="36"/>
        <w:spacing w:line="360" w:lineRule="auto"/>
        <w:ind w:firstLine="567"/>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9.1.1 资格、资信证明文件(以下文件必须在有效期内)</w:t>
      </w:r>
    </w:p>
    <w:p>
      <w:pPr>
        <w:pStyle w:val="36"/>
        <w:spacing w:line="360" w:lineRule="auto"/>
        <w:ind w:firstLine="471" w:firstLineChars="196"/>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(1) 企业营业执照副本</w:t>
      </w:r>
      <w:r>
        <w:rPr>
          <w:rFonts w:hint="eastAsia" w:asciiTheme="minorEastAsia" w:hAnsiTheme="minorEastAsia" w:eastAsiaTheme="minorEastAsia" w:cstheme="minorEastAsia"/>
          <w:color w:val="auto"/>
          <w:szCs w:val="24"/>
          <w:lang w:eastAsia="zh-CN"/>
        </w:rPr>
        <w:t>；</w:t>
      </w:r>
    </w:p>
    <w:p>
      <w:pPr>
        <w:pStyle w:val="36"/>
        <w:spacing w:line="360" w:lineRule="auto"/>
        <w:ind w:firstLine="482" w:firstLineChars="200"/>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 法定代表人身份证明</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授权委托人身份证明及授权委托书</w:t>
      </w:r>
    </w:p>
    <w:p>
      <w:pPr>
        <w:pStyle w:val="36"/>
        <w:spacing w:line="360" w:lineRule="auto"/>
        <w:ind w:firstLine="482" w:firstLineChars="200"/>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w:t>
      </w:r>
      <w:r>
        <w:rPr>
          <w:rFonts w:hint="eastAsia" w:asciiTheme="minorEastAsia" w:hAnsiTheme="minorEastAsia" w:eastAsiaTheme="minorEastAsia" w:cstheme="minorEastAsia"/>
          <w:color w:val="auto"/>
          <w:spacing w:val="-3"/>
          <w:szCs w:val="24"/>
        </w:rPr>
        <w:t>投标人认为有必要提供的声明及文件资料（包括但不限于社保缴纳记录等）</w:t>
      </w:r>
    </w:p>
    <w:p>
      <w:pPr>
        <w:pStyle w:val="36"/>
        <w:spacing w:line="360" w:lineRule="auto"/>
        <w:ind w:firstLine="567"/>
        <w:jc w:val="both"/>
        <w:outlineLvl w:val="2"/>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9.1.2 商务文件</w:t>
      </w:r>
    </w:p>
    <w:p>
      <w:pPr>
        <w:pStyle w:val="36"/>
        <w:spacing w:line="360" w:lineRule="auto"/>
        <w:ind w:firstLine="482" w:firstLineChars="200"/>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 投标函</w:t>
      </w:r>
    </w:p>
    <w:p>
      <w:pPr>
        <w:pStyle w:val="36"/>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rPr>
        <w:t xml:space="preserve">(2) </w:t>
      </w:r>
      <w:r>
        <w:rPr>
          <w:rFonts w:hint="eastAsia" w:asciiTheme="minorEastAsia" w:hAnsiTheme="minorEastAsia" w:eastAsiaTheme="minorEastAsia" w:cstheme="minorEastAsia"/>
          <w:color w:val="auto"/>
          <w:szCs w:val="24"/>
          <w:highlight w:val="none"/>
          <w:lang w:val="en-US" w:eastAsia="zh-CN"/>
        </w:rPr>
        <w:t>开标一览表</w:t>
      </w:r>
    </w:p>
    <w:p>
      <w:pPr>
        <w:pStyle w:val="36"/>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 售后服务方案</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pacing w:val="-3"/>
          <w:sz w:val="24"/>
          <w:highlight w:val="none"/>
        </w:rPr>
        <w:t>供应商“信用中国”的信用信息报告及中国政府采购网截图</w:t>
      </w:r>
    </w:p>
    <w:p>
      <w:pPr>
        <w:pStyle w:val="36"/>
        <w:shd w:val="clear" w:color="auto" w:fill="auto"/>
        <w:spacing w:line="360" w:lineRule="auto"/>
        <w:ind w:firstLine="470" w:firstLineChars="200"/>
        <w:jc w:val="both"/>
        <w:rPr>
          <w:rFonts w:hint="eastAsia" w:asciiTheme="minorEastAsia" w:hAnsiTheme="minorEastAsia" w:eastAsiaTheme="minorEastAsia" w:cstheme="minorEastAsia"/>
          <w:color w:val="auto"/>
          <w:spacing w:val="-3"/>
          <w:sz w:val="24"/>
          <w:highlight w:val="none"/>
        </w:rPr>
      </w:pPr>
      <w:r>
        <w:rPr>
          <w:rFonts w:hint="eastAsia" w:asciiTheme="minorEastAsia" w:hAnsiTheme="minorEastAsia" w:eastAsiaTheme="minorEastAsia" w:cstheme="minorEastAsia"/>
          <w:color w:val="auto"/>
          <w:spacing w:val="-3"/>
          <w:szCs w:val="24"/>
          <w:highlight w:val="none"/>
        </w:rPr>
        <w:t>(</w:t>
      </w:r>
      <w:r>
        <w:rPr>
          <w:rFonts w:hint="eastAsia" w:asciiTheme="minorEastAsia" w:hAnsiTheme="minorEastAsia" w:eastAsiaTheme="minorEastAsia" w:cstheme="minorEastAsia"/>
          <w:color w:val="auto"/>
          <w:spacing w:val="-3"/>
          <w:szCs w:val="24"/>
          <w:highlight w:val="none"/>
          <w:lang w:val="en-US" w:eastAsia="zh-CN"/>
        </w:rPr>
        <w:t>5</w:t>
      </w:r>
      <w:r>
        <w:rPr>
          <w:rFonts w:hint="eastAsia" w:asciiTheme="minorEastAsia" w:hAnsiTheme="minorEastAsia" w:eastAsiaTheme="minorEastAsia" w:cstheme="minorEastAsia"/>
          <w:color w:val="auto"/>
          <w:spacing w:val="-3"/>
          <w:szCs w:val="24"/>
          <w:highlight w:val="none"/>
        </w:rPr>
        <w:t xml:space="preserve">) </w:t>
      </w:r>
      <w:r>
        <w:rPr>
          <w:rFonts w:hint="eastAsia" w:asciiTheme="minorEastAsia" w:hAnsiTheme="minorEastAsia" w:eastAsiaTheme="minorEastAsia" w:cstheme="minorEastAsia"/>
          <w:color w:val="auto"/>
          <w:spacing w:val="-3"/>
          <w:sz w:val="24"/>
          <w:highlight w:val="none"/>
        </w:rPr>
        <w:t xml:space="preserve">投标人认为有必要提供的声明及文件资料 </w:t>
      </w:r>
    </w:p>
    <w:p>
      <w:pPr>
        <w:pStyle w:val="36"/>
        <w:shd w:val="clear" w:color="auto" w:fill="auto"/>
        <w:spacing w:line="360" w:lineRule="auto"/>
        <w:ind w:firstLine="567"/>
        <w:jc w:val="both"/>
        <w:outlineLvl w:val="2"/>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9.1.3 技术文件</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（1）供货实施方案</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（2）进度计划安排</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（3）人员组织架构</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（4）设计方案及指标参数</w:t>
      </w:r>
    </w:p>
    <w:p>
      <w:pPr>
        <w:pStyle w:val="36"/>
        <w:shd w:val="clear" w:color="auto" w:fill="auto"/>
        <w:spacing w:line="360" w:lineRule="auto"/>
        <w:ind w:firstLine="482" w:firstLineChars="200"/>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rPr>
        <w:t>投标人认为有必要提供的声明及文件资料</w:t>
      </w:r>
    </w:p>
    <w:p>
      <w:pPr>
        <w:pStyle w:val="36"/>
        <w:spacing w:line="360" w:lineRule="auto"/>
        <w:ind w:firstLine="482" w:firstLineChars="200"/>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9.1.4 电子标书</w:t>
      </w:r>
    </w:p>
    <w:p>
      <w:pPr>
        <w:pStyle w:val="36"/>
        <w:spacing w:line="360" w:lineRule="auto"/>
        <w:ind w:firstLine="482" w:firstLineChars="200"/>
        <w:jc w:val="both"/>
        <w:outlineLvl w:val="2"/>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 w:val="24"/>
          <w:szCs w:val="24"/>
          <w:lang w:val="en-US" w:eastAsia="zh-CN"/>
        </w:rPr>
        <w:t>本项目实行电子招投标，供应商需要使用CA锁，在新疆政府采购网--下载专区下载--供应商客户端制作投标文件，并生成JMBS格式加密文件，在投标截止前上传至政府采购云平台</w:t>
      </w:r>
      <w:r>
        <w:rPr>
          <w:rFonts w:hint="eastAsia" w:asciiTheme="minorEastAsia" w:hAnsiTheme="minorEastAsia" w:eastAsiaTheme="minorEastAsia" w:cstheme="minorEastAsia"/>
          <w:color w:val="auto"/>
          <w:szCs w:val="24"/>
        </w:rPr>
        <w:t>。</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9.2 第9.1.1条中第(1)(2)(3)项、第9.1.2条中第(1)(2)(</w:t>
      </w:r>
      <w:r>
        <w:rPr>
          <w:rFonts w:hint="eastAsia" w:asciiTheme="minorEastAsia" w:hAnsiTheme="minorEastAsia" w:eastAsiaTheme="minorEastAsia" w:cstheme="minorEastAsia"/>
          <w:color w:val="auto"/>
          <w:szCs w:val="24"/>
          <w:lang w:val="en-US" w:eastAsia="zh-CN"/>
        </w:rPr>
        <w:t>4</w:t>
      </w:r>
      <w:r>
        <w:rPr>
          <w:rFonts w:hint="eastAsia" w:asciiTheme="minorEastAsia" w:hAnsiTheme="minorEastAsia" w:eastAsiaTheme="minorEastAsia" w:cstheme="minorEastAsia"/>
          <w:color w:val="auto"/>
          <w:szCs w:val="24"/>
        </w:rPr>
        <w:t>)项，投标人在</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中必须提供有关材料，如果缺项，将导致投标失败。</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9.3 投标人在投标中违反国家有关法律法规的强制性规定的，其投标按未满足</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实质性要求处理。</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10.  投标书格式</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10.1  投标人应按</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提供的格式完整地填写所提供的货物、服务、数量及价格。</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11.  投标报价</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11.1  投标人应按</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lang w:val="en-US" w:eastAsia="zh-CN"/>
        </w:rPr>
        <w:t>要求</w:t>
      </w:r>
      <w:r>
        <w:rPr>
          <w:rFonts w:hint="eastAsia" w:asciiTheme="minorEastAsia" w:hAnsiTheme="minorEastAsia" w:eastAsiaTheme="minorEastAsia" w:cstheme="minorEastAsia"/>
          <w:color w:val="auto"/>
          <w:szCs w:val="24"/>
        </w:rPr>
        <w:t>，标明拟提供服务的单价和总价。如单价和总价不符，以单价累计为准。</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11.2 本标针对每种</w:t>
      </w:r>
      <w:r>
        <w:rPr>
          <w:rFonts w:hint="eastAsia" w:asciiTheme="minorEastAsia" w:hAnsiTheme="minorEastAsia" w:eastAsiaTheme="minorEastAsia" w:cstheme="minorEastAsia"/>
          <w:color w:val="auto"/>
          <w:szCs w:val="24"/>
          <w:lang w:eastAsia="zh-CN"/>
        </w:rPr>
        <w:t>服务</w:t>
      </w:r>
      <w:r>
        <w:rPr>
          <w:rFonts w:hint="eastAsia" w:asciiTheme="minorEastAsia" w:hAnsiTheme="minorEastAsia" w:eastAsiaTheme="minorEastAsia" w:cstheme="minorEastAsia"/>
          <w:color w:val="auto"/>
          <w:szCs w:val="24"/>
        </w:rPr>
        <w:t>只接受一个报价，不接受备选方案，但不拒绝优惠声明。</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11.3  投标人应按</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的要求对有关设计文件、服务的全部内容进行报价。</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   投标货币</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12.1 本次投标货币为人民币。</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13.  证明投标人合格和资格的文件</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13.1 投标人应提交证明其有资格参加投标和一旦其投标被接受则有能力履行合同的文件，并作为其</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的一部分。</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13.2 投标人应填写并提交</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所要求的资格证明类文件。</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  证明</w:t>
      </w:r>
      <w:r>
        <w:rPr>
          <w:rFonts w:hint="eastAsia" w:asciiTheme="minorEastAsia" w:hAnsiTheme="minorEastAsia" w:eastAsiaTheme="minorEastAsia" w:cstheme="minorEastAsia"/>
          <w:color w:val="auto"/>
          <w:szCs w:val="24"/>
          <w:lang w:eastAsia="zh-CN"/>
        </w:rPr>
        <w:t>服务</w:t>
      </w:r>
      <w:r>
        <w:rPr>
          <w:rFonts w:hint="eastAsia" w:asciiTheme="minorEastAsia" w:hAnsiTheme="minorEastAsia" w:eastAsiaTheme="minorEastAsia" w:cstheme="minorEastAsia"/>
          <w:color w:val="auto"/>
          <w:szCs w:val="24"/>
        </w:rPr>
        <w:t>的合格性和符合</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规定的文件</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14.1 投标人应提交</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要求的服务的合格性及符合</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规定的证明文件。证明文件可以是图纸和资料等，并作为</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的一部分。</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14.2 投标人应逐条阅读</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要求的技术规格条款要求，指出自己提供的服务是否对</w:t>
      </w:r>
      <w:r>
        <w:rPr>
          <w:rFonts w:hint="eastAsia" w:asciiTheme="minorEastAsia" w:hAnsiTheme="minorEastAsia" w:eastAsiaTheme="minorEastAsia" w:cstheme="minorEastAsia"/>
          <w:color w:val="auto"/>
          <w:szCs w:val="24"/>
          <w:lang w:eastAsia="zh-CN"/>
        </w:rPr>
        <w:t>招标文件作出</w:t>
      </w:r>
      <w:r>
        <w:rPr>
          <w:rFonts w:hint="eastAsia" w:asciiTheme="minorEastAsia" w:hAnsiTheme="minorEastAsia" w:eastAsiaTheme="minorEastAsia" w:cstheme="minorEastAsia"/>
          <w:color w:val="auto"/>
          <w:szCs w:val="24"/>
        </w:rPr>
        <w:t>实质性的响应，并将不能响应之处在</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所附的“技术规格偏离表”一一列出。否则，将视为投标人同意、确认或接受</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的全部或相应部分的要求。</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15.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的有效期</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15.1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从实际开标之日起 60 天内有效。</w:t>
      </w:r>
    </w:p>
    <w:p>
      <w:pPr>
        <w:pStyle w:val="36"/>
        <w:spacing w:line="360" w:lineRule="auto"/>
        <w:ind w:firstLine="567"/>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15.2  在特殊情况下, 在原投标有效期届满之前，采购代理机构</w:t>
      </w:r>
      <w:r>
        <w:rPr>
          <w:rFonts w:hint="eastAsia" w:asciiTheme="minorEastAsia" w:hAnsiTheme="minorEastAsia" w:eastAsiaTheme="minorEastAsia" w:cstheme="minorEastAsia"/>
          <w:color w:val="auto"/>
          <w:szCs w:val="24"/>
          <w:lang w:eastAsia="zh-CN"/>
        </w:rPr>
        <w:t>、招标人</w:t>
      </w:r>
      <w:r>
        <w:rPr>
          <w:rFonts w:hint="eastAsia" w:asciiTheme="minorEastAsia" w:hAnsiTheme="minorEastAsia" w:eastAsiaTheme="minorEastAsia" w:cstheme="minorEastAsia"/>
          <w:color w:val="auto"/>
          <w:szCs w:val="24"/>
        </w:rPr>
        <w:t>可与投标单位协商延长</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的有效期，并经投标方确认。</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15.3 投标人在投标有效期内撤销</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的，采购代理机构可以不退还投标保证金。</w:t>
      </w:r>
    </w:p>
    <w:p>
      <w:pPr>
        <w:pStyle w:val="36"/>
        <w:spacing w:line="360" w:lineRule="auto"/>
        <w:ind w:firstLine="567"/>
        <w:jc w:val="both"/>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rPr>
        <w:t xml:space="preserve">16.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的书写要求、标记要求、签署</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未按要求编制，</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将不能通过符合性检查，按重大偏离处理</w:t>
      </w:r>
      <w:r>
        <w:rPr>
          <w:rFonts w:hint="eastAsia" w:asciiTheme="minorEastAsia" w:hAnsiTheme="minorEastAsia" w:eastAsiaTheme="minorEastAsia" w:cstheme="minorEastAsia"/>
          <w:color w:val="auto"/>
          <w:szCs w:val="24"/>
          <w:lang w:eastAsia="zh-CN"/>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16.1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须用不褪色的墨水笔书写。</w:t>
      </w:r>
    </w:p>
    <w:p>
      <w:pPr>
        <w:spacing w:line="360" w:lineRule="auto"/>
        <w:ind w:firstLine="56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16.2  </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的书写应清楚工整，修改处应由法定代表人或投标人授权代表</w:t>
      </w:r>
      <w:r>
        <w:rPr>
          <w:rFonts w:hint="eastAsia" w:asciiTheme="minorEastAsia" w:hAnsiTheme="minorEastAsia" w:eastAsiaTheme="minorEastAsia" w:cstheme="minorEastAsia"/>
          <w:color w:val="auto"/>
          <w:sz w:val="24"/>
          <w:lang w:val="en-US" w:eastAsia="zh-CN"/>
        </w:rPr>
        <w:t>签章</w:t>
      </w:r>
      <w:r>
        <w:rPr>
          <w:rFonts w:hint="eastAsia" w:asciiTheme="minorEastAsia" w:hAnsiTheme="minorEastAsia" w:eastAsiaTheme="minorEastAsia" w:cstheme="minorEastAsia"/>
          <w:color w:val="auto"/>
          <w:sz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16.3  未实质性响应</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、或者关键字迹潦草、关键内容表达不清、或者未按要求填写</w:t>
      </w:r>
      <w:r>
        <w:rPr>
          <w:rFonts w:hint="eastAsia" w:asciiTheme="minorEastAsia" w:hAnsiTheme="minorEastAsia" w:eastAsiaTheme="minorEastAsia" w:cstheme="minorEastAsia"/>
          <w:color w:val="auto"/>
          <w:szCs w:val="24"/>
          <w:lang w:val="en-US" w:eastAsia="zh-CN"/>
        </w:rPr>
        <w:t>编制</w:t>
      </w:r>
      <w:r>
        <w:rPr>
          <w:rFonts w:hint="eastAsia" w:asciiTheme="minorEastAsia" w:hAnsiTheme="minorEastAsia" w:eastAsiaTheme="minorEastAsia" w:cstheme="minorEastAsia"/>
          <w:color w:val="auto"/>
          <w:szCs w:val="24"/>
        </w:rPr>
        <w:t>、或者可能导致非唯一理解的</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lang w:val="en-US" w:eastAsia="zh-CN"/>
        </w:rPr>
        <w:t>将被拒绝</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16.4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具有法律效力,若</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与采购</w:t>
      </w:r>
      <w:r>
        <w:rPr>
          <w:rFonts w:hint="eastAsia" w:asciiTheme="minorEastAsia" w:hAnsiTheme="minorEastAsia" w:eastAsiaTheme="minorEastAsia" w:cstheme="minorEastAsia"/>
          <w:color w:val="auto"/>
          <w:szCs w:val="24"/>
          <w:lang w:eastAsia="zh-CN"/>
        </w:rPr>
        <w:t>需求</w:t>
      </w:r>
      <w:r>
        <w:rPr>
          <w:rFonts w:hint="eastAsia" w:asciiTheme="minorEastAsia" w:hAnsiTheme="minorEastAsia" w:eastAsiaTheme="minorEastAsia" w:cstheme="minorEastAsia"/>
          <w:color w:val="auto"/>
          <w:szCs w:val="24"/>
        </w:rPr>
        <w:t xml:space="preserve">要求不一致，其内容影响成交结果时，责任由供应商自行承担。 </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16.5 为了保证</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的合法性、安全性和完整性，</w:t>
      </w:r>
      <w:r>
        <w:rPr>
          <w:rFonts w:hint="eastAsia" w:asciiTheme="minorEastAsia" w:hAnsiTheme="minorEastAsia" w:eastAsiaTheme="minorEastAsia" w:cstheme="minorEastAsia"/>
          <w:color w:val="auto"/>
          <w:szCs w:val="24"/>
          <w:lang w:eastAsia="zh-CN"/>
        </w:rPr>
        <w:t>投标文件必</w:t>
      </w:r>
      <w:r>
        <w:rPr>
          <w:rFonts w:hint="eastAsia" w:asciiTheme="minorEastAsia" w:hAnsiTheme="minorEastAsia" w:eastAsiaTheme="minorEastAsia" w:cstheme="minorEastAsia"/>
          <w:color w:val="auto"/>
          <w:szCs w:val="24"/>
          <w:lang w:val="en-US" w:eastAsia="zh-CN"/>
        </w:rPr>
        <w:t>须</w:t>
      </w:r>
      <w:r>
        <w:rPr>
          <w:rFonts w:hint="eastAsia" w:asciiTheme="minorEastAsia" w:hAnsiTheme="minorEastAsia" w:eastAsiaTheme="minorEastAsia" w:cstheme="minorEastAsia"/>
          <w:color w:val="auto"/>
          <w:szCs w:val="24"/>
        </w:rPr>
        <w:t>逐页</w:t>
      </w:r>
      <w:r>
        <w:rPr>
          <w:rFonts w:hint="eastAsia" w:asciiTheme="minorEastAsia" w:hAnsiTheme="minorEastAsia" w:eastAsiaTheme="minorEastAsia" w:cstheme="minorEastAsia"/>
          <w:color w:val="auto"/>
          <w:szCs w:val="24"/>
          <w:lang w:eastAsia="zh-CN"/>
        </w:rPr>
        <w:t>加盖单位公章</w:t>
      </w:r>
      <w:r>
        <w:rPr>
          <w:rFonts w:hint="eastAsia" w:asciiTheme="minorEastAsia" w:hAnsiTheme="minorEastAsia" w:eastAsiaTheme="minorEastAsia" w:cstheme="minorEastAsia"/>
          <w:color w:val="auto"/>
          <w:szCs w:val="24"/>
        </w:rPr>
        <w:t>。授权代表须将 “法人授权书”（原件）附在</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中。</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16.6 除供应商对错处做必要修改外，</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不得行间插字、涂改或增删。如有修改错漏处，必须由</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签署人签字或盖章。</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16.7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的份数：详见《投标人须知前附表》。</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16.8  投标人可根据投标</w:t>
      </w:r>
      <w:r>
        <w:rPr>
          <w:rFonts w:hint="eastAsia" w:asciiTheme="minorEastAsia" w:hAnsiTheme="minorEastAsia" w:eastAsiaTheme="minorEastAsia" w:cstheme="minorEastAsia"/>
          <w:color w:val="auto"/>
          <w:szCs w:val="24"/>
          <w:lang w:eastAsia="zh-CN"/>
        </w:rPr>
        <w:t>服务</w:t>
      </w:r>
      <w:r>
        <w:rPr>
          <w:rFonts w:hint="eastAsia" w:asciiTheme="minorEastAsia" w:hAnsiTheme="minorEastAsia" w:eastAsiaTheme="minorEastAsia" w:cstheme="minorEastAsia"/>
          <w:color w:val="auto"/>
          <w:szCs w:val="24"/>
        </w:rPr>
        <w:t>的具体需要自行编制</w:t>
      </w:r>
      <w:r>
        <w:rPr>
          <w:rFonts w:hint="eastAsia" w:asciiTheme="minorEastAsia" w:hAnsiTheme="minorEastAsia" w:eastAsiaTheme="minorEastAsia" w:cstheme="minorEastAsia"/>
          <w:color w:val="auto"/>
          <w:szCs w:val="24"/>
          <w:lang w:eastAsia="zh-CN"/>
        </w:rPr>
        <w:t>其他</w:t>
      </w:r>
      <w:r>
        <w:rPr>
          <w:rFonts w:hint="eastAsia" w:asciiTheme="minorEastAsia" w:hAnsiTheme="minorEastAsia" w:eastAsiaTheme="minorEastAsia" w:cstheme="minorEastAsia"/>
          <w:color w:val="auto"/>
          <w:szCs w:val="24"/>
        </w:rPr>
        <w:t>文件纳入投标书中。</w:t>
      </w:r>
    </w:p>
    <w:p>
      <w:pPr>
        <w:pStyle w:val="36"/>
        <w:spacing w:line="360" w:lineRule="auto"/>
        <w:ind w:firstLine="567"/>
        <w:jc w:val="both"/>
        <w:rPr>
          <w:rFonts w:hint="eastAsia" w:asciiTheme="minorEastAsia" w:hAnsiTheme="minorEastAsia" w:eastAsiaTheme="minorEastAsia" w:cstheme="minorEastAsia"/>
          <w:bCs/>
          <w:color w:val="auto"/>
          <w:szCs w:val="24"/>
        </w:rPr>
      </w:pPr>
      <w:r>
        <w:rPr>
          <w:rFonts w:hint="eastAsia" w:asciiTheme="minorEastAsia" w:hAnsiTheme="minorEastAsia" w:eastAsiaTheme="minorEastAsia" w:cstheme="minorEastAsia"/>
          <w:bCs/>
          <w:color w:val="auto"/>
          <w:szCs w:val="24"/>
        </w:rPr>
        <w:t xml:space="preserve">16.9  </w:t>
      </w:r>
      <w:r>
        <w:rPr>
          <w:rFonts w:hint="eastAsia" w:asciiTheme="minorEastAsia" w:hAnsiTheme="minorEastAsia" w:eastAsiaTheme="minorEastAsia" w:cstheme="minorEastAsia"/>
          <w:bCs/>
          <w:color w:val="auto"/>
          <w:szCs w:val="24"/>
          <w:lang w:val="en-US" w:eastAsia="zh-CN"/>
        </w:rPr>
        <w:t>纸质版</w:t>
      </w:r>
      <w:r>
        <w:rPr>
          <w:rFonts w:hint="eastAsia" w:asciiTheme="minorEastAsia" w:hAnsiTheme="minorEastAsia" w:eastAsiaTheme="minorEastAsia" w:cstheme="minorEastAsia"/>
          <w:bCs/>
          <w:color w:val="auto"/>
          <w:szCs w:val="24"/>
          <w:lang w:eastAsia="zh-CN"/>
        </w:rPr>
        <w:t>投标文件</w:t>
      </w:r>
      <w:r>
        <w:rPr>
          <w:rFonts w:hint="eastAsia" w:asciiTheme="minorEastAsia" w:hAnsiTheme="minorEastAsia" w:eastAsiaTheme="minorEastAsia" w:cstheme="minorEastAsia"/>
          <w:bCs/>
          <w:color w:val="auto"/>
          <w:szCs w:val="24"/>
        </w:rPr>
        <w:t>的装订必须采用死页胶粘本，不允许活页形式装订（非胶粘方式装订的投标书一律视同活页装订）。</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lang w:eastAsia="zh-CN"/>
        </w:rPr>
      </w:pPr>
      <w:r>
        <w:rPr>
          <w:rFonts w:hint="eastAsia" w:asciiTheme="minorEastAsia" w:hAnsiTheme="minorEastAsia" w:eastAsiaTheme="minorEastAsia" w:cstheme="minorEastAsia"/>
          <w:b w:val="0"/>
          <w:bCs/>
          <w:color w:val="auto"/>
          <w:szCs w:val="24"/>
          <w:highlight w:val="none"/>
        </w:rPr>
        <w:t>17.  投标保证金</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17.1  投标保证金金额：详见投标人须知前附表规定。</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17.2  投标保证金用于保护本次招标免受投标人的违规、违约行为而引起的风险。</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17.3  投标保证金应用人民币，由投标人按第二章《投标人须知》中明确的银行、</w:t>
      </w:r>
      <w:r>
        <w:rPr>
          <w:rFonts w:hint="eastAsia" w:asciiTheme="minorEastAsia" w:hAnsiTheme="minorEastAsia" w:eastAsiaTheme="minorEastAsia" w:cstheme="minorEastAsia"/>
          <w:b w:val="0"/>
          <w:bCs/>
          <w:color w:val="auto"/>
          <w:szCs w:val="24"/>
          <w:highlight w:val="none"/>
          <w:lang w:eastAsia="zh-CN"/>
        </w:rPr>
        <w:t>账号</w:t>
      </w:r>
      <w:r>
        <w:rPr>
          <w:rFonts w:hint="eastAsia" w:asciiTheme="minorEastAsia" w:hAnsiTheme="minorEastAsia" w:eastAsiaTheme="minorEastAsia" w:cstheme="minorEastAsia"/>
          <w:b w:val="0"/>
          <w:bCs/>
          <w:color w:val="auto"/>
          <w:szCs w:val="24"/>
          <w:highlight w:val="none"/>
        </w:rPr>
        <w:t>等信息，于开标前缴纳。对未按要求提交投标保证金的投标书，采购代理机构将视为不响应投标而予以拒绝。</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17.4 投标保证金应以支票、汇票、本票、或者金融机构、担保机构出具的保函等非现金形式提交。</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17.5  中标人的投标保证金自采购合同签定之日起5个工作日内不计利息予以退还。</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17.6  未中标人的投标保证金，自中标通知书发出之日起5个工作日内不计利息予以退还。</w:t>
      </w:r>
    </w:p>
    <w:p>
      <w:pPr>
        <w:pStyle w:val="36"/>
        <w:spacing w:line="360" w:lineRule="auto"/>
        <w:ind w:firstLine="567"/>
        <w:jc w:val="both"/>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17.7  发生以下情况中标人的投标保证金可能被没收：</w:t>
      </w:r>
    </w:p>
    <w:p>
      <w:pPr>
        <w:pStyle w:val="42"/>
        <w:spacing w:line="360" w:lineRule="auto"/>
        <w:ind w:firstLine="485"/>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17.7.1 未按28条规定签定合同；</w:t>
      </w:r>
    </w:p>
    <w:p>
      <w:pPr>
        <w:pStyle w:val="42"/>
        <w:spacing w:line="360" w:lineRule="auto"/>
        <w:ind w:firstLine="485"/>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17.7.2 未按第31条有关缴纳中标服务费的规定；</w:t>
      </w:r>
    </w:p>
    <w:p>
      <w:pPr>
        <w:pStyle w:val="41"/>
        <w:ind w:firstLine="482" w:firstLineChars="200"/>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四、</w:t>
      </w:r>
      <w:r>
        <w:rPr>
          <w:rFonts w:hint="eastAsia" w:asciiTheme="minorEastAsia" w:hAnsiTheme="minorEastAsia" w:eastAsiaTheme="minorEastAsia" w:cstheme="minorEastAsia"/>
          <w:b/>
          <w:bCs/>
          <w:color w:val="auto"/>
          <w:lang w:eastAsia="zh-CN"/>
        </w:rPr>
        <w:t>投标文件</w:t>
      </w:r>
      <w:r>
        <w:rPr>
          <w:rFonts w:hint="eastAsia" w:asciiTheme="minorEastAsia" w:hAnsiTheme="minorEastAsia" w:eastAsiaTheme="minorEastAsia" w:cstheme="minorEastAsia"/>
          <w:b/>
          <w:bCs/>
          <w:color w:val="auto"/>
        </w:rPr>
        <w:t>的递交</w:t>
      </w:r>
    </w:p>
    <w:p>
      <w:pPr>
        <w:pStyle w:val="36"/>
        <w:spacing w:line="360" w:lineRule="auto"/>
        <w:ind w:firstLine="567"/>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 xml:space="preserve">18.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lang w:val="en-US" w:eastAsia="zh-CN"/>
        </w:rPr>
        <w:t>递交</w:t>
      </w:r>
      <w:r>
        <w:rPr>
          <w:rFonts w:hint="eastAsia" w:asciiTheme="minorEastAsia" w:hAnsiTheme="minorEastAsia" w:eastAsiaTheme="minorEastAsia" w:cstheme="minorEastAsia"/>
          <w:color w:val="auto"/>
          <w:szCs w:val="24"/>
        </w:rPr>
        <w:t>的</w:t>
      </w:r>
      <w:r>
        <w:rPr>
          <w:rFonts w:hint="eastAsia" w:asciiTheme="minorEastAsia" w:hAnsiTheme="minorEastAsia" w:eastAsiaTheme="minorEastAsia" w:cstheme="minorEastAsia"/>
          <w:color w:val="auto"/>
          <w:szCs w:val="24"/>
          <w:lang w:val="en-US" w:eastAsia="zh-CN"/>
        </w:rPr>
        <w:t>格式</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18.1  </w:t>
      </w:r>
      <w:r>
        <w:rPr>
          <w:rFonts w:hint="eastAsia" w:asciiTheme="minorEastAsia" w:hAnsiTheme="minorEastAsia" w:eastAsiaTheme="minorEastAsia" w:cstheme="minorEastAsia"/>
          <w:color w:val="auto"/>
          <w:szCs w:val="24"/>
          <w:lang w:val="en-US" w:eastAsia="zh-CN"/>
        </w:rPr>
        <w:t>投标供应商应当在投标截止时间前，将生成的“JMBS格式电子加密投标文件”上传递交至“政府采购云平台”，投标截止时间以后上传递交的投标文件将被“政府采购云平台”拒收。</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18.</w:t>
      </w:r>
      <w:r>
        <w:rPr>
          <w:rFonts w:hint="eastAsia" w:asciiTheme="minorEastAsia" w:hAnsiTheme="minorEastAsia" w:eastAsiaTheme="minorEastAsia" w:cstheme="minorEastAsia"/>
          <w:color w:val="auto"/>
          <w:szCs w:val="24"/>
          <w:lang w:val="en-US" w:eastAsia="zh-CN"/>
        </w:rPr>
        <w:t>2</w:t>
      </w:r>
      <w:r>
        <w:rPr>
          <w:rFonts w:hint="eastAsia" w:asciiTheme="minorEastAsia" w:hAnsiTheme="minorEastAsia" w:eastAsiaTheme="minorEastAsia" w:cstheme="minorEastAsia"/>
          <w:color w:val="auto"/>
          <w:szCs w:val="24"/>
        </w:rPr>
        <w:t xml:space="preserve">  未按本须知要求投递</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，造成无法投标或投标失败等后果的由供应商自行承担。</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19.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递交的截止日期</w:t>
      </w:r>
    </w:p>
    <w:p>
      <w:pPr>
        <w:pStyle w:val="36"/>
        <w:spacing w:line="360" w:lineRule="auto"/>
        <w:ind w:firstLine="567"/>
        <w:jc w:val="both"/>
        <w:rPr>
          <w:rFonts w:hint="eastAsia"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color w:val="auto"/>
          <w:szCs w:val="24"/>
        </w:rPr>
        <w:t>19.1  投标人必须在《投标人须知前附表》中规定的时间之前将</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送达到规定的地点。</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19.2  超过</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规定的投标截止时间送达的</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将不予</w:t>
      </w:r>
      <w:r>
        <w:rPr>
          <w:rFonts w:hint="eastAsia" w:asciiTheme="minorEastAsia" w:hAnsiTheme="minorEastAsia" w:eastAsiaTheme="minorEastAsia" w:cstheme="minorEastAsia"/>
          <w:color w:val="auto"/>
          <w:szCs w:val="24"/>
          <w:lang w:eastAsia="zh-CN"/>
        </w:rPr>
        <w:t>接收</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20.  </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的修改和撤销</w:t>
      </w:r>
    </w:p>
    <w:p>
      <w:pPr>
        <w:pStyle w:val="34"/>
        <w:spacing w:line="360" w:lineRule="auto"/>
        <w:ind w:firstLine="56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投标人对其</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进行的修改或撤销应以书面形式并在</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规定的投标截止时间前送达</w:t>
      </w:r>
      <w:r>
        <w:rPr>
          <w:rFonts w:hint="eastAsia" w:asciiTheme="minorEastAsia" w:hAnsiTheme="minorEastAsia" w:eastAsiaTheme="minorEastAsia" w:cstheme="minorEastAsia"/>
          <w:color w:val="auto"/>
          <w:sz w:val="24"/>
          <w:szCs w:val="24"/>
          <w:lang w:val="en-US" w:eastAsia="zh-CN"/>
        </w:rPr>
        <w:t>招标人、</w:t>
      </w:r>
      <w:r>
        <w:rPr>
          <w:rFonts w:hint="eastAsia" w:asciiTheme="minorEastAsia" w:hAnsiTheme="minorEastAsia" w:eastAsiaTheme="minorEastAsia" w:cstheme="minorEastAsia"/>
          <w:color w:val="auto"/>
          <w:sz w:val="24"/>
          <w:szCs w:val="24"/>
        </w:rPr>
        <w:t>采购代理机构手中。</w:t>
      </w:r>
    </w:p>
    <w:p>
      <w:pPr>
        <w:pStyle w:val="34"/>
        <w:spacing w:line="360" w:lineRule="auto"/>
        <w:ind w:firstLine="56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  投标人对</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的修改或撤销应按</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规定进行准备、标注和递交。</w:t>
      </w:r>
    </w:p>
    <w:p>
      <w:pPr>
        <w:pStyle w:val="34"/>
        <w:spacing w:line="360" w:lineRule="auto"/>
        <w:ind w:firstLine="56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  投标截止时间以后，不允许对</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进行修改。</w:t>
      </w:r>
    </w:p>
    <w:p>
      <w:pPr>
        <w:pStyle w:val="34"/>
        <w:spacing w:line="360" w:lineRule="auto"/>
        <w:ind w:firstLine="567"/>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szCs w:val="24"/>
        </w:rPr>
        <w:t>20.4  投标人不得在投标截止时间起至</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有效期满前撤销</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w:t>
      </w:r>
    </w:p>
    <w:p>
      <w:pPr>
        <w:pStyle w:val="41"/>
        <w:ind w:left="0" w:leftChars="0" w:firstLine="482" w:firstLineChars="200"/>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五、开标</w:t>
      </w:r>
    </w:p>
    <w:p>
      <w:pPr>
        <w:pStyle w:val="34"/>
        <w:spacing w:line="360" w:lineRule="auto"/>
        <w:ind w:firstLine="56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开标</w:t>
      </w:r>
    </w:p>
    <w:p>
      <w:pPr>
        <w:pStyle w:val="36"/>
        <w:spacing w:line="360" w:lineRule="auto"/>
        <w:ind w:left="1" w:firstLine="484" w:firstLineChars="201"/>
        <w:jc w:val="both"/>
        <w:rPr>
          <w:rFonts w:hint="eastAsia"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color w:val="auto"/>
          <w:szCs w:val="24"/>
        </w:rPr>
        <w:t>21.1  除非采购代理机构另外书面通知，本标将按本</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《投标人须知前附表》中规定的时间和地点开标。</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21.2  开标时，</w:t>
      </w:r>
      <w:r>
        <w:rPr>
          <w:rFonts w:hint="eastAsia" w:asciiTheme="minorEastAsia" w:hAnsiTheme="minorEastAsia" w:eastAsiaTheme="minorEastAsia" w:cstheme="minorEastAsia"/>
          <w:color w:val="auto"/>
          <w:szCs w:val="24"/>
          <w:lang w:val="en-US" w:eastAsia="zh-CN"/>
        </w:rPr>
        <w:t>招标人、</w:t>
      </w:r>
      <w:r>
        <w:rPr>
          <w:rFonts w:hint="eastAsia" w:asciiTheme="minorEastAsia" w:hAnsiTheme="minorEastAsia" w:eastAsiaTheme="minorEastAsia" w:cstheme="minorEastAsia"/>
          <w:color w:val="auto"/>
          <w:szCs w:val="24"/>
        </w:rPr>
        <w:t>监督部门</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公证部门的工作人员将对</w:t>
      </w:r>
      <w:r>
        <w:rPr>
          <w:rFonts w:hint="eastAsia" w:asciiTheme="minorEastAsia" w:hAnsiTheme="minorEastAsia" w:eastAsiaTheme="minorEastAsia" w:cstheme="minorEastAsia"/>
          <w:color w:val="auto"/>
          <w:szCs w:val="24"/>
          <w:lang w:val="en-US" w:eastAsia="zh-CN"/>
        </w:rPr>
        <w:t>开标会议到场监督</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21.3 </w:t>
      </w:r>
      <w:r>
        <w:rPr>
          <w:rFonts w:hint="eastAsia" w:asciiTheme="minorEastAsia" w:hAnsiTheme="minorEastAsia" w:eastAsiaTheme="minorEastAsia" w:cstheme="minorEastAsia"/>
          <w:color w:val="auto"/>
          <w:szCs w:val="24"/>
          <w:lang w:val="en-US" w:eastAsia="zh-CN"/>
        </w:rPr>
        <w:t xml:space="preserve"> 开标时，投标单位完成在线解密后，由工作人员开始唱标</w:t>
      </w:r>
      <w:r>
        <w:rPr>
          <w:rFonts w:hint="eastAsia" w:asciiTheme="minorEastAsia" w:hAnsiTheme="minorEastAsia" w:eastAsiaTheme="minorEastAsia" w:cstheme="minorEastAsia"/>
          <w:color w:val="auto"/>
          <w:szCs w:val="24"/>
        </w:rPr>
        <w:t>。</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21.4  唱标完毕后，如果投标人对所唱内容有异议，应当场立即提出。经现场监标人员确认，认为有必要重新唱标的，由唱标员重新唱标。</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21.5  所有唱标均记录在案，并经监标人员或公证人员的签字，作为各投标人</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的组成部分。</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21.6  投标人代表对开标过程和开标记录有疑义，以及认为采购人、采购代理机构相关工作人员有需要回避的情形的，应当场提出询问或者回避申请。</w:t>
      </w:r>
    </w:p>
    <w:p>
      <w:pPr>
        <w:pStyle w:val="36"/>
        <w:spacing w:line="360" w:lineRule="auto"/>
        <w:ind w:firstLine="567"/>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4"/>
        </w:rPr>
        <w:t>21.</w:t>
      </w:r>
      <w:r>
        <w:rPr>
          <w:rFonts w:hint="eastAsia" w:asciiTheme="minorEastAsia" w:hAnsiTheme="minorEastAsia" w:eastAsiaTheme="minorEastAsia" w:cstheme="minorEastAsia"/>
          <w:color w:val="auto"/>
          <w:szCs w:val="24"/>
          <w:lang w:val="en-US" w:eastAsia="zh-CN"/>
        </w:rPr>
        <w:t>7</w:t>
      </w:r>
      <w:r>
        <w:rPr>
          <w:rFonts w:hint="eastAsia" w:asciiTheme="minorEastAsia" w:hAnsiTheme="minorEastAsia" w:eastAsiaTheme="minorEastAsia" w:cstheme="minorEastAsia"/>
          <w:color w:val="auto"/>
          <w:szCs w:val="24"/>
        </w:rPr>
        <w:t xml:space="preserve">  投标人未参加开标的，视同认可开标结果。</w:t>
      </w:r>
    </w:p>
    <w:p>
      <w:pPr>
        <w:pStyle w:val="41"/>
        <w:ind w:left="0" w:leftChars="0" w:firstLine="482" w:firstLineChars="200"/>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六、评标和定标</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 评标原则</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22.1  本标的评标遵循公平、公正、科学、择优的原则。</w:t>
      </w:r>
    </w:p>
    <w:p>
      <w:pPr>
        <w:pStyle w:val="36"/>
        <w:spacing w:line="360" w:lineRule="auto"/>
        <w:ind w:firstLine="567"/>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规定，优先推荐节能、环保产品，优先考虑中小企业。投标人符合规定，获得相应政府采购政策优惠的，应提供相关证明材料。</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22.3  不徇私情，不明招暗定。</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22.4  资格审查合格的投标人，均有同等机会参加竞争。</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22.5  评标人员不得私自泄露评标内容，不得进行旨在影响评标结果公正、公平的任何活动。</w:t>
      </w:r>
    </w:p>
    <w:p>
      <w:pPr>
        <w:pStyle w:val="36"/>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22.6  对于</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  评标方法</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采购代理机构将根据有关法律法规的规定组建本次招标的评标委员会。评标委员会成员由本行业相关技术、经济等方面的专家组成。其中，技术、经济等方面的专家不少于成员总人数的三分之二。</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评标的依据为</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和</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。根据相关法律法规的规定，评标委员会不以任何外部证据作为其评标的依据或标准。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23.3  评标过程将严格保密。开标后直到授予中标人合同止，凡是属于审查、澄清、评价和比较的有关评标资料以及授标建议等均不得向投标人或其他无关的人员透露。</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23.4  在评标的整个过程中，投标人所进行的旨在影响评标结果的活动，可能导致其投标被拒绝，或者被取消中标资格。</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23.5  本次招标采用综合评分法进行评标。评标分初步评审和详细评审两个阶段。</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23.5.1  初步评审分为资格性检查和符合性检查，只有通过初步评审的</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才可进入详细评审阶段。</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23.5.2  详细评审分为经济报价部分和技术标评审两个部分。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23.6  初步评审</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 资格性检查：依据法律法规和</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的规定，对</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中的资格证明、投标保证金等进行审查，以确定投标人是否具备投标资格。</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B. 符合性检查：依据</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的规定，从</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的有效性、完整性和对</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的响应程度进行审查，以确定是否对</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的实质性要求</w:t>
      </w:r>
      <w:r>
        <w:rPr>
          <w:rFonts w:hint="eastAsia" w:asciiTheme="minorEastAsia" w:hAnsiTheme="minorEastAsia" w:eastAsiaTheme="minorEastAsia" w:cstheme="minorEastAsia"/>
          <w:color w:val="auto"/>
          <w:sz w:val="24"/>
          <w:lang w:eastAsia="zh-CN"/>
        </w:rPr>
        <w:t>做出</w:t>
      </w:r>
      <w:r>
        <w:rPr>
          <w:rFonts w:hint="eastAsia" w:asciiTheme="minorEastAsia" w:hAnsiTheme="minorEastAsia" w:eastAsiaTheme="minorEastAsia" w:cstheme="minorEastAsia"/>
          <w:color w:val="auto"/>
          <w:sz w:val="24"/>
        </w:rPr>
        <w:t>响应，判定其内容是否真实可靠，是否满足</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的最基本的实质性要求，是否存在重大偏离。重大偏离系指</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的有效性、真实性、合同的</w:t>
      </w:r>
      <w:r>
        <w:rPr>
          <w:rFonts w:hint="eastAsia" w:asciiTheme="minorEastAsia" w:hAnsiTheme="minorEastAsia" w:eastAsiaTheme="minorEastAsia" w:cstheme="minorEastAsia"/>
          <w:color w:val="auto"/>
          <w:sz w:val="24"/>
          <w:lang w:val="en-US" w:eastAsia="zh-CN"/>
        </w:rPr>
        <w:t>服务</w:t>
      </w:r>
      <w:r>
        <w:rPr>
          <w:rFonts w:hint="eastAsia" w:asciiTheme="minorEastAsia" w:hAnsiTheme="minorEastAsia" w:eastAsiaTheme="minorEastAsia" w:cstheme="minorEastAsia"/>
          <w:color w:val="auto"/>
          <w:sz w:val="24"/>
        </w:rPr>
        <w:t>范围和</w:t>
      </w:r>
      <w:r>
        <w:rPr>
          <w:rFonts w:hint="eastAsia" w:asciiTheme="minorEastAsia" w:hAnsiTheme="minorEastAsia" w:eastAsiaTheme="minorEastAsia" w:cstheme="minorEastAsia"/>
          <w:color w:val="auto"/>
          <w:sz w:val="24"/>
          <w:lang w:val="en-US" w:eastAsia="zh-CN"/>
        </w:rPr>
        <w:t>采购需求</w:t>
      </w:r>
      <w:r>
        <w:rPr>
          <w:rFonts w:hint="eastAsia" w:asciiTheme="minorEastAsia" w:hAnsiTheme="minorEastAsia" w:eastAsiaTheme="minorEastAsia" w:cstheme="minorEastAsia"/>
          <w:color w:val="auto"/>
          <w:sz w:val="24"/>
        </w:rPr>
        <w:t>等内容在实质上与</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形成了重大的不一致，而这种不一致可能限制了买方的权力和投标人的义务，纠正或承认这些偏离将会对该投标人和</w:t>
      </w:r>
      <w:r>
        <w:rPr>
          <w:rFonts w:hint="eastAsia" w:asciiTheme="minorEastAsia" w:hAnsiTheme="minorEastAsia" w:eastAsiaTheme="minorEastAsia" w:cstheme="minorEastAsia"/>
          <w:color w:val="auto"/>
          <w:sz w:val="24"/>
          <w:lang w:eastAsia="zh-CN"/>
        </w:rPr>
        <w:t>其他</w:t>
      </w:r>
      <w:r>
        <w:rPr>
          <w:rFonts w:hint="eastAsia" w:asciiTheme="minorEastAsia" w:hAnsiTheme="minorEastAsia" w:eastAsiaTheme="minorEastAsia" w:cstheme="minorEastAsia"/>
          <w:color w:val="auto"/>
          <w:sz w:val="24"/>
        </w:rPr>
        <w:t>投标人合理的竞争地位产生不公正的影响。与</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有重大偏离的</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将被拒绝。</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具体评审内容系指：</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  投标人不满足本招标文件关于对投标人资格证明文件的规定；</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23.6.2  投标人没有按照招标文件的要求提供投标保证金，或者所提供的投标保证金有瑕疵；</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23.6.3  投标文件组成不完整，主要内容未能按招标文件规定的内容、格式填写；</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23.6.4  投标文件的有效期不满足招标文件的规定；</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23.6.5  投标文件没有按照规定签字盖章的；</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23.6.6  投标代表授权书未能由法定代表人签署；</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23.6.7  投标文件针对</w:t>
      </w:r>
      <w:r>
        <w:rPr>
          <w:rFonts w:hint="eastAsia" w:asciiTheme="minorEastAsia" w:hAnsiTheme="minorEastAsia" w:eastAsiaTheme="minorEastAsia" w:cstheme="minorEastAsia"/>
          <w:sz w:val="24"/>
          <w:lang w:eastAsia="zh-CN"/>
        </w:rPr>
        <w:t>货物</w:t>
      </w:r>
      <w:r>
        <w:rPr>
          <w:rFonts w:hint="eastAsia" w:asciiTheme="minorEastAsia" w:hAnsiTheme="minorEastAsia" w:eastAsiaTheme="minorEastAsia" w:cstheme="minorEastAsia"/>
          <w:sz w:val="24"/>
        </w:rPr>
        <w:t>出现了两个或两个以上的报价；</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23.6.8  投标报价超过最高限价；</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23.6.9  明显不符合招标文件关于对招标</w:t>
      </w:r>
      <w:r>
        <w:rPr>
          <w:rFonts w:hint="eastAsia" w:asciiTheme="minorEastAsia" w:hAnsiTheme="minorEastAsia" w:eastAsiaTheme="minorEastAsia" w:cstheme="minorEastAsia"/>
          <w:sz w:val="24"/>
          <w:lang w:eastAsia="zh-CN"/>
        </w:rPr>
        <w:t>货物</w:t>
      </w:r>
      <w:r>
        <w:rPr>
          <w:rFonts w:hint="eastAsia" w:asciiTheme="minorEastAsia" w:hAnsiTheme="minorEastAsia" w:eastAsiaTheme="minorEastAsia" w:cstheme="minorEastAsia"/>
          <w:sz w:val="24"/>
        </w:rPr>
        <w:t>技术规格和标准的要求；</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23.6.10 投标文件载明的招标项目</w:t>
      </w:r>
      <w:r>
        <w:rPr>
          <w:rFonts w:hint="eastAsia" w:asciiTheme="minorEastAsia" w:hAnsiTheme="minorEastAsia" w:eastAsiaTheme="minorEastAsia" w:cstheme="minorEastAsia"/>
          <w:sz w:val="24"/>
          <w:lang w:eastAsia="zh-CN"/>
        </w:rPr>
        <w:t>供货</w:t>
      </w:r>
      <w:r>
        <w:rPr>
          <w:rFonts w:hint="eastAsia" w:asciiTheme="minorEastAsia" w:hAnsiTheme="minorEastAsia" w:eastAsiaTheme="minorEastAsia" w:cstheme="minorEastAsia"/>
          <w:sz w:val="24"/>
        </w:rPr>
        <w:t>期限超过招标文件规定的期限；</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23.6.11 投标文件载明的</w:t>
      </w:r>
      <w:r>
        <w:rPr>
          <w:rFonts w:hint="eastAsia" w:asciiTheme="minorEastAsia" w:hAnsiTheme="minorEastAsia" w:eastAsiaTheme="minorEastAsia" w:cstheme="minorEastAsia"/>
          <w:sz w:val="24"/>
          <w:lang w:eastAsia="zh-CN"/>
        </w:rPr>
        <w:t>货物</w:t>
      </w:r>
      <w:r>
        <w:rPr>
          <w:rFonts w:hint="eastAsia" w:asciiTheme="minorEastAsia" w:hAnsiTheme="minorEastAsia" w:eastAsiaTheme="minorEastAsia" w:cstheme="minorEastAsia"/>
          <w:sz w:val="24"/>
        </w:rPr>
        <w:t>范围等不符合招标文件的要求；</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23.6.12 投标人近三年的财务报表出现连续亏损，且其亏损数额较大，对其履约存在潜在重大影响的；</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23.6.13  投标文件含有采购人不能接受的附加条件；</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23.6.14  不符合法律、法规和招标文件规定的其他实质性要求。</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 对通过初步评审的</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，评标委员会将对其进行算术性修正。算术性修正是指对</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的报价明细进行校核，并对其算术上和运算上的差错给予修正。修正的原则如下：</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  大写金额和小写金额不一致的，以大写金额为准；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单价金额小数点或者百分比有明显错位的，以总价为准，并修改单价；</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 xml:space="preserve">  总价金额与按单价汇总金额不一致的，以单价金额计算结果为准。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同时出现两种以上不一致的，按照前款规定的顺序修正。修正后的报价需经投标人确认后产生约束力，投标人不确认的，其投标无效。</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投标人的澄清、说明或者补正应当采用书面形式，并加盖公章，或者由法定代表人或其授权的代表签字。投标人的澄清、说明或者补正不得超出</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的范围或者改变</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的实质性内容。</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 xml:space="preserve">  对不同文字文本</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的解释发生异议的，以中文文本为准。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 xml:space="preserve">  评标委员会将拒绝被定为实质上非响应性的投标，投标人不能通过修正或撤销不符之处而使其投标成为响应性投标。</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23.7.</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 xml:space="preserve">  评标委员会将允许投标中有微小的不正规、不一致或不规则，而该微小之处不构成重大偏离。</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23.8  通过初步评审及算术性修正的投标文件将进入详细评审阶段。</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23.8.1  详细评审中，评标委员会将采用综合评估法中的打分法，以投标文件</w:t>
      </w:r>
      <w:r>
        <w:rPr>
          <w:rFonts w:hint="eastAsia" w:asciiTheme="minorEastAsia" w:hAnsiTheme="minorEastAsia" w:eastAsiaTheme="minorEastAsia" w:cstheme="minorEastAsia"/>
          <w:color w:val="auto"/>
          <w:sz w:val="24"/>
        </w:rPr>
        <w:t>能最大限度地满足</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中规定的各项评价标准为依据，独立地对各</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进行评审和打分。</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.2  评标委员会将对下述评审因素进行量化，并根据评委会每个成员对</w:t>
      </w:r>
      <w:r>
        <w:rPr>
          <w:rFonts w:hint="eastAsia" w:asciiTheme="minorEastAsia" w:hAnsiTheme="minorEastAsia" w:eastAsiaTheme="minorEastAsia" w:cstheme="minorEastAsia"/>
          <w:color w:val="auto"/>
          <w:sz w:val="24"/>
          <w:lang w:eastAsia="zh-CN"/>
        </w:rPr>
        <w:t>投标文件</w:t>
      </w:r>
      <w:r>
        <w:rPr>
          <w:rFonts w:hint="eastAsia" w:asciiTheme="minorEastAsia" w:hAnsiTheme="minorEastAsia" w:eastAsiaTheme="minorEastAsia" w:cstheme="minorEastAsia"/>
          <w:color w:val="auto"/>
          <w:sz w:val="24"/>
        </w:rPr>
        <w:t>的评审和理解进行打分。经济报价权重占</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商务、</w:t>
      </w:r>
      <w:r>
        <w:rPr>
          <w:rFonts w:hint="eastAsia" w:asciiTheme="minorEastAsia" w:hAnsiTheme="minorEastAsia" w:eastAsiaTheme="minorEastAsia" w:cstheme="minorEastAsia"/>
          <w:color w:val="auto"/>
          <w:sz w:val="24"/>
        </w:rPr>
        <w:t>技术标权重占</w:t>
      </w:r>
      <w:r>
        <w:rPr>
          <w:rFonts w:hint="eastAsia" w:asciiTheme="minorEastAsia" w:hAnsiTheme="minorEastAsia" w:eastAsiaTheme="minorEastAsia" w:cstheme="minorEastAsia"/>
          <w:color w:val="auto"/>
          <w:sz w:val="24"/>
          <w:lang w:val="en-US" w:eastAsia="zh-CN"/>
        </w:rPr>
        <w:t>70</w:t>
      </w:r>
      <w:r>
        <w:rPr>
          <w:rFonts w:hint="eastAsia" w:asciiTheme="minorEastAsia" w:hAnsiTheme="minorEastAsia" w:eastAsiaTheme="minorEastAsia" w:cstheme="minorEastAsia"/>
          <w:color w:val="auto"/>
          <w:sz w:val="24"/>
        </w:rPr>
        <w:t>%。投标人两部分的分值相加，即为该投标人的评标总得分。</w:t>
      </w:r>
    </w:p>
    <w:p>
      <w:pPr>
        <w:pStyle w:val="32"/>
        <w:rPr>
          <w:rFonts w:hint="eastAsia" w:asciiTheme="minorEastAsia" w:hAnsiTheme="minorEastAsia" w:eastAsiaTheme="minorEastAsia" w:cstheme="minorEastAsia"/>
          <w:color w:val="auto"/>
        </w:rPr>
      </w:pPr>
    </w:p>
    <w:p>
      <w:pPr>
        <w:spacing w:line="360" w:lineRule="auto"/>
        <w:jc w:val="center"/>
        <w:outlineLvl w:val="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初步评审标准</w:t>
      </w:r>
    </w:p>
    <w:tbl>
      <w:tblPr>
        <w:tblStyle w:val="2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50"/>
        <w:gridCol w:w="8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restart"/>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初步评审</w:t>
            </w:r>
          </w:p>
        </w:tc>
        <w:tc>
          <w:tcPr>
            <w:tcW w:w="9351" w:type="dxa"/>
            <w:gridSpan w:val="2"/>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center"/>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投标人满足本招标文件关于对投标人资格要求的规定；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投标人已按照招标文件的要求提供投标保证金.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投标文件组成完整，主要内容按招标文件规定的内容、格式填写；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投标文件是按照规定签字盖章.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投标文件针对货物未出现两个或两个以上的报价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符合招标文件关于对招标货物技术规格和标准的要求；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投标文件载明的</w:t>
            </w:r>
            <w:r>
              <w:rPr>
                <w:rFonts w:hint="eastAsia" w:asciiTheme="minorEastAsia" w:hAnsiTheme="minorEastAsia" w:eastAsiaTheme="minorEastAsia" w:cstheme="minorEastAsia"/>
                <w:sz w:val="24"/>
                <w:lang w:eastAsia="zh-CN"/>
              </w:rPr>
              <w:t>货物</w:t>
            </w:r>
            <w:r>
              <w:rPr>
                <w:rFonts w:hint="eastAsia" w:asciiTheme="minorEastAsia" w:hAnsiTheme="minorEastAsia" w:eastAsiaTheme="minorEastAsia" w:cstheme="minorEastAsia"/>
                <w:sz w:val="24"/>
              </w:rPr>
              <w:t>范围等</w:t>
            </w:r>
            <w:r>
              <w:rPr>
                <w:rFonts w:hint="eastAsia" w:asciiTheme="minorEastAsia" w:hAnsiTheme="minorEastAsia" w:eastAsiaTheme="minorEastAsia" w:cstheme="minorEastAsia"/>
                <w:sz w:val="24"/>
                <w:lang w:val="en-US" w:eastAsia="zh-CN"/>
              </w:rPr>
              <w:t>符合</w:t>
            </w:r>
            <w:r>
              <w:rPr>
                <w:rFonts w:hint="eastAsia" w:asciiTheme="minorEastAsia" w:hAnsiTheme="minorEastAsia" w:eastAsiaTheme="minorEastAsia" w:cstheme="minorEastAsia"/>
                <w:sz w:val="24"/>
              </w:rPr>
              <w:t>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8801" w:type="dxa"/>
            <w:noWrap w:val="0"/>
            <w:vAlign w:val="center"/>
          </w:tcPr>
          <w:p>
            <w:pPr>
              <w:spacing w:line="36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kern w:val="0"/>
                <w:sz w:val="24"/>
                <w:szCs w:val="24"/>
                <w:lang w:val="en-US" w:eastAsia="zh-CN" w:bidi="ar-SA"/>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88" w:type="dxa"/>
            <w:vMerge w:val="continue"/>
            <w:noWrap w:val="0"/>
            <w:vAlign w:val="top"/>
          </w:tcPr>
          <w:p>
            <w:pPr>
              <w:spacing w:line="360" w:lineRule="auto"/>
              <w:jc w:val="center"/>
              <w:rPr>
                <w:rFonts w:hint="eastAsia" w:asciiTheme="minorEastAsia" w:hAnsiTheme="minorEastAsia" w:eastAsiaTheme="minorEastAsia" w:cstheme="minorEastAsia"/>
                <w:sz w:val="24"/>
              </w:rPr>
            </w:pPr>
          </w:p>
        </w:tc>
        <w:tc>
          <w:tcPr>
            <w:tcW w:w="550" w:type="dxa"/>
            <w:noWrap w:val="0"/>
            <w:vAlign w:val="center"/>
          </w:tcPr>
          <w:p>
            <w:pPr>
              <w:spacing w:line="360" w:lineRule="auto"/>
              <w:jc w:val="both"/>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8801" w:type="dxa"/>
            <w:noWrap w:val="0"/>
            <w:vAlign w:val="center"/>
          </w:tcPr>
          <w:p>
            <w:pPr>
              <w:pStyle w:val="12"/>
              <w:spacing w:before="0" w:beforeAutospacing="0" w:after="0" w:afterAutospacing="0" w:line="360" w:lineRule="auto"/>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符合法律、法规和招标文件规定的其他实质性要求。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39" w:type="dxa"/>
            <w:gridSpan w:val="3"/>
            <w:noWrap w:val="0"/>
            <w:vAlign w:val="center"/>
          </w:tcPr>
          <w:p>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初步评审合格后方可进入详细评审阶段</w:t>
            </w:r>
          </w:p>
        </w:tc>
      </w:tr>
    </w:tbl>
    <w:p>
      <w:pPr>
        <w:pStyle w:val="32"/>
        <w:rPr>
          <w:rFonts w:hint="eastAsia" w:asciiTheme="minorEastAsia" w:hAnsiTheme="minorEastAsia" w:eastAsiaTheme="minorEastAsia" w:cstheme="minorEastAsia"/>
        </w:rPr>
      </w:pPr>
    </w:p>
    <w:p>
      <w:pP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经济报价评分标准</w:t>
      </w:r>
    </w:p>
    <w:tbl>
      <w:tblPr>
        <w:tblStyle w:val="2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542" w:type="dxa"/>
            <w:noWrap w:val="0"/>
            <w:vAlign w:val="center"/>
          </w:tcPr>
          <w:p>
            <w:pPr>
              <w:shd w:val="clear" w:color="auto" w:fill="auto"/>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经</w:t>
            </w:r>
          </w:p>
          <w:p>
            <w:pPr>
              <w:shd w:val="clear" w:color="auto" w:fill="auto"/>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济</w:t>
            </w:r>
          </w:p>
          <w:p>
            <w:pPr>
              <w:shd w:val="clear" w:color="auto" w:fill="auto"/>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报</w:t>
            </w:r>
          </w:p>
          <w:p>
            <w:pPr>
              <w:shd w:val="clear" w:color="auto" w:fill="auto"/>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价</w:t>
            </w:r>
          </w:p>
          <w:p>
            <w:pPr>
              <w:shd w:val="clear" w:color="auto" w:fill="auto"/>
              <w:spacing w:line="360" w:lineRule="auto"/>
              <w:jc w:val="center"/>
              <w:rPr>
                <w:rFonts w:hint="eastAsia" w:ascii="宋体" w:hAnsi="宋体" w:cs="宋体"/>
                <w:color w:val="auto"/>
                <w:sz w:val="28"/>
                <w:szCs w:val="28"/>
                <w:highlight w:val="none"/>
              </w:rPr>
            </w:pPr>
          </w:p>
        </w:tc>
        <w:tc>
          <w:tcPr>
            <w:tcW w:w="8637" w:type="dxa"/>
            <w:noWrap w:val="0"/>
            <w:vAlign w:val="top"/>
          </w:tcPr>
          <w:p>
            <w:pPr>
              <w:pStyle w:val="43"/>
              <w:shd w:val="clear" w:color="auto" w:fill="auto"/>
              <w:adjustRightInd w:val="0"/>
              <w:snapToGrid w:val="0"/>
              <w:spacing w:line="360" w:lineRule="auto"/>
              <w:ind w:firstLine="0" w:firstLineChars="0"/>
              <w:jc w:val="both"/>
              <w:rPr>
                <w:rFonts w:hint="eastAsia" w:ascii="宋体" w:hAnsi="宋体" w:eastAsia="宋体" w:cs="宋体"/>
                <w:bCs/>
                <w:color w:val="auto"/>
                <w:spacing w:val="-3"/>
                <w:sz w:val="28"/>
                <w:szCs w:val="28"/>
                <w:highlight w:val="none"/>
              </w:rPr>
            </w:pPr>
            <w:r>
              <w:rPr>
                <w:rFonts w:hint="eastAsia" w:ascii="宋体" w:hAnsi="宋体" w:eastAsia="宋体" w:cs="宋体"/>
                <w:bCs/>
                <w:color w:val="auto"/>
                <w:spacing w:val="-3"/>
                <w:sz w:val="28"/>
                <w:szCs w:val="28"/>
                <w:highlight w:val="none"/>
              </w:rPr>
              <w:t>经济报价得分计算：</w:t>
            </w:r>
          </w:p>
          <w:p>
            <w:pPr>
              <w:rPr>
                <w:rFonts w:ascii="宋体" w:hAnsi="宋体" w:cs="宋体"/>
                <w:sz w:val="28"/>
                <w:szCs w:val="28"/>
              </w:rPr>
            </w:pPr>
            <w:r>
              <w:rPr>
                <w:rFonts w:hint="eastAsia" w:ascii="宋体" w:hAnsi="宋体" w:cs="宋体"/>
                <w:sz w:val="28"/>
                <w:szCs w:val="28"/>
              </w:rPr>
              <w:t>1、综合评分法中的价格分统一采用低价优先法计算，即满足招标文件要求且投标价格最低的投标报价为基准价，其价格分为满分3</w:t>
            </w:r>
            <w:r>
              <w:rPr>
                <w:rFonts w:ascii="宋体" w:hAnsi="宋体" w:cs="宋体"/>
                <w:sz w:val="28"/>
                <w:szCs w:val="28"/>
              </w:rPr>
              <w:t>0</w:t>
            </w:r>
            <w:r>
              <w:rPr>
                <w:rFonts w:hint="eastAsia" w:ascii="宋体" w:hAnsi="宋体" w:cs="宋体"/>
                <w:sz w:val="28"/>
                <w:szCs w:val="28"/>
              </w:rPr>
              <w:t>分。</w:t>
            </w:r>
          </w:p>
          <w:p>
            <w:pPr>
              <w:rPr>
                <w:rFonts w:ascii="宋体" w:hAnsi="宋体" w:cs="宋体"/>
                <w:sz w:val="28"/>
                <w:szCs w:val="28"/>
              </w:rPr>
            </w:pPr>
            <w:r>
              <w:rPr>
                <w:rFonts w:hint="eastAsia" w:ascii="宋体" w:hAnsi="宋体" w:cs="宋体"/>
                <w:sz w:val="28"/>
                <w:szCs w:val="28"/>
              </w:rPr>
              <w:t>2、其他投标单位的投标报价得分计算公式如下：</w:t>
            </w:r>
          </w:p>
          <w:p>
            <w:pPr>
              <w:pStyle w:val="43"/>
              <w:shd w:val="clear" w:color="auto" w:fill="auto"/>
              <w:adjustRightInd w:val="0"/>
              <w:snapToGrid w:val="0"/>
              <w:spacing w:line="360" w:lineRule="auto"/>
              <w:ind w:firstLine="471"/>
              <w:jc w:val="both"/>
              <w:rPr>
                <w:rFonts w:hint="eastAsia" w:ascii="宋体" w:hAnsi="宋体" w:eastAsia="宋体" w:cs="宋体"/>
                <w:b w:val="0"/>
                <w:color w:val="auto"/>
                <w:spacing w:val="-3"/>
                <w:sz w:val="24"/>
                <w:highlight w:val="none"/>
                <w:lang w:eastAsia="zh-CN"/>
              </w:rPr>
            </w:pPr>
            <w:r>
              <w:rPr>
                <w:rFonts w:hint="eastAsia" w:ascii="宋体" w:hAnsi="宋体" w:cs="宋体"/>
                <w:b/>
                <w:bCs w:val="0"/>
                <w:sz w:val="28"/>
                <w:szCs w:val="18"/>
              </w:rPr>
              <w:t>投标报价得分=（评标基准价／投标报价）×3</w:t>
            </w:r>
            <w:r>
              <w:rPr>
                <w:rFonts w:ascii="宋体" w:hAnsi="宋体" w:cs="宋体"/>
                <w:b/>
                <w:bCs w:val="0"/>
                <w:sz w:val="28"/>
                <w:szCs w:val="18"/>
              </w:rPr>
              <w:t>0</w:t>
            </w:r>
            <w:r>
              <w:rPr>
                <w:rFonts w:hint="eastAsia" w:ascii="宋体" w:hAnsi="宋体" w:cs="宋体"/>
                <w:b/>
                <w:bCs w:val="0"/>
                <w:sz w:val="28"/>
                <w:szCs w:val="18"/>
              </w:rPr>
              <w:t>；小数点后保留二位，四舍五入。</w:t>
            </w:r>
          </w:p>
        </w:tc>
      </w:tr>
    </w:tbl>
    <w:p>
      <w:pPr>
        <w:keepNext/>
        <w:keepLines/>
        <w:pageBreakBefore/>
        <w:shd w:val="clear" w:color="auto" w:fill="auto"/>
        <w:spacing w:line="264"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lang w:val="en-US" w:eastAsia="zh-CN"/>
        </w:rPr>
        <w:t>商务</w:t>
      </w:r>
      <w:r>
        <w:rPr>
          <w:rFonts w:hint="eastAsia" w:ascii="宋体" w:hAnsi="宋体" w:cs="宋体"/>
          <w:b/>
          <w:color w:val="auto"/>
          <w:sz w:val="24"/>
          <w:highlight w:val="none"/>
        </w:rPr>
        <w:t>标评分标准</w:t>
      </w:r>
    </w:p>
    <w:tbl>
      <w:tblPr>
        <w:tblStyle w:val="21"/>
        <w:tblW w:w="9718" w:type="dxa"/>
        <w:jc w:val="center"/>
        <w:tblLayout w:type="fixed"/>
        <w:tblCellMar>
          <w:top w:w="0" w:type="dxa"/>
          <w:left w:w="108" w:type="dxa"/>
          <w:bottom w:w="0" w:type="dxa"/>
          <w:right w:w="108" w:type="dxa"/>
        </w:tblCellMar>
      </w:tblPr>
      <w:tblGrid>
        <w:gridCol w:w="437"/>
        <w:gridCol w:w="2787"/>
        <w:gridCol w:w="961"/>
        <w:gridCol w:w="5533"/>
      </w:tblGrid>
      <w:tr>
        <w:tblPrEx>
          <w:tblCellMar>
            <w:top w:w="0" w:type="dxa"/>
            <w:left w:w="108" w:type="dxa"/>
            <w:bottom w:w="0" w:type="dxa"/>
            <w:right w:w="108" w:type="dxa"/>
          </w:tblCellMar>
        </w:tblPrEx>
        <w:trPr>
          <w:trHeight w:val="609" w:hRule="atLeast"/>
          <w:jc w:val="center"/>
        </w:trPr>
        <w:tc>
          <w:tcPr>
            <w:tcW w:w="3224"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评分内容</w:t>
            </w:r>
          </w:p>
        </w:tc>
        <w:tc>
          <w:tcPr>
            <w:tcW w:w="961" w:type="dxa"/>
            <w:tcBorders>
              <w:top w:val="single" w:color="auto" w:sz="4" w:space="0"/>
              <w:left w:val="nil"/>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5533" w:type="dxa"/>
            <w:tcBorders>
              <w:top w:val="single" w:color="auto" w:sz="4" w:space="0"/>
              <w:left w:val="nil"/>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CellMar>
            <w:top w:w="0" w:type="dxa"/>
            <w:left w:w="108" w:type="dxa"/>
            <w:bottom w:w="0" w:type="dxa"/>
            <w:right w:w="108" w:type="dxa"/>
          </w:tblCellMar>
        </w:tblPrEx>
        <w:trPr>
          <w:trHeight w:val="781" w:hRule="atLeast"/>
          <w:jc w:val="center"/>
        </w:trPr>
        <w:tc>
          <w:tcPr>
            <w:tcW w:w="437" w:type="dxa"/>
            <w:vMerge w:val="restart"/>
            <w:tcBorders>
              <w:left w:val="single" w:color="auto" w:sz="4" w:space="0"/>
              <w:right w:val="single" w:color="auto" w:sz="4" w:space="0"/>
            </w:tcBorders>
            <w:noWrap w:val="0"/>
            <w:vAlign w:val="center"/>
          </w:tcPr>
          <w:p>
            <w:pPr>
              <w:shd w:val="clear" w:color="auto" w:fill="auto"/>
              <w:spacing w:line="2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商务标评分</w:t>
            </w:r>
          </w:p>
        </w:tc>
        <w:tc>
          <w:tcPr>
            <w:tcW w:w="27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auto"/>
                <w:lang w:val="en-US" w:eastAsia="zh-CN"/>
              </w:rPr>
              <w:t>售后服务方案</w:t>
            </w:r>
          </w:p>
        </w:tc>
        <w:tc>
          <w:tcPr>
            <w:tcW w:w="961" w:type="dxa"/>
            <w:vMerge w:val="restart"/>
            <w:tcBorders>
              <w:top w:val="nil"/>
              <w:left w:val="nil"/>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15</w:t>
            </w:r>
            <w:r>
              <w:rPr>
                <w:rFonts w:hint="eastAsia" w:ascii="宋体" w:hAnsi="宋体" w:eastAsia="宋体" w:cs="宋体"/>
                <w:color w:val="auto"/>
                <w:szCs w:val="24"/>
                <w:highlight w:val="none"/>
                <w:lang w:val="en-US" w:eastAsia="zh-CN"/>
              </w:rPr>
              <w:t>分</w:t>
            </w:r>
          </w:p>
        </w:tc>
        <w:tc>
          <w:tcPr>
            <w:tcW w:w="5533" w:type="dxa"/>
            <w:tcBorders>
              <w:top w:val="nil"/>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auto"/>
              <w:jc w:val="left"/>
              <w:textAlignment w:val="auto"/>
              <w:rPr>
                <w:rFonts w:hint="default" w:eastAsia="宋体" w:cs="Times New Roman"/>
                <w:color w:val="auto"/>
                <w:lang w:val="en-US" w:eastAsia="zh-CN"/>
              </w:rPr>
            </w:pPr>
            <w:r>
              <w:rPr>
                <w:rFonts w:hint="eastAsia" w:ascii="宋体" w:hAnsi="宋体" w:cs="宋体"/>
                <w:color w:val="auto"/>
                <w:sz w:val="21"/>
                <w:szCs w:val="21"/>
                <w:lang w:val="zh-CN"/>
              </w:rPr>
              <w:t>售后</w:t>
            </w:r>
            <w:r>
              <w:rPr>
                <w:rFonts w:ascii="宋体" w:hAnsi="宋体" w:cs="宋体"/>
                <w:color w:val="auto"/>
                <w:sz w:val="21"/>
                <w:szCs w:val="21"/>
                <w:lang w:val="zh-CN"/>
              </w:rPr>
              <w:t>服务</w:t>
            </w:r>
            <w:r>
              <w:rPr>
                <w:rFonts w:hint="eastAsia" w:ascii="宋体" w:hAnsi="宋体" w:cs="宋体"/>
                <w:color w:val="auto"/>
                <w:sz w:val="21"/>
                <w:szCs w:val="21"/>
                <w:lang w:val="zh-CN"/>
              </w:rPr>
              <w:t>体系</w:t>
            </w:r>
            <w:r>
              <w:rPr>
                <w:rFonts w:ascii="宋体" w:hAnsi="宋体" w:cs="宋体"/>
                <w:color w:val="auto"/>
                <w:sz w:val="21"/>
                <w:szCs w:val="21"/>
                <w:lang w:val="zh-CN"/>
              </w:rPr>
              <w:t>机构科学性</w:t>
            </w:r>
            <w:r>
              <w:rPr>
                <w:rFonts w:hint="eastAsia" w:ascii="宋体" w:hAnsi="宋体" w:cs="宋体"/>
                <w:color w:val="auto"/>
                <w:sz w:val="21"/>
                <w:szCs w:val="21"/>
                <w:lang w:val="zh-CN"/>
              </w:rPr>
              <w:t>；</w:t>
            </w:r>
            <w:r>
              <w:rPr>
                <w:rFonts w:hint="eastAsia" w:ascii="宋体" w:hAnsi="宋体" w:cs="宋体"/>
                <w:color w:val="auto"/>
                <w:sz w:val="21"/>
                <w:szCs w:val="21"/>
                <w:lang w:val="en-US" w:eastAsia="zh-CN"/>
              </w:rPr>
              <w:t xml:space="preserve"> 3分</w:t>
            </w:r>
            <w:r>
              <w:rPr>
                <w:rFonts w:hint="eastAsia" w:cs="Times New Roman"/>
                <w:color w:val="auto"/>
                <w:kern w:val="2"/>
                <w:sz w:val="21"/>
                <w:szCs w:val="24"/>
                <w:lang w:val="en-US" w:eastAsia="zh-CN" w:bidi="ar-SA"/>
              </w:rPr>
              <w:t>，</w:t>
            </w:r>
            <w:r>
              <w:rPr>
                <w:rFonts w:hint="eastAsia" w:ascii="宋体" w:hAnsi="宋体" w:eastAsia="宋体" w:cs="宋体"/>
                <w:color w:val="auto"/>
                <w:kern w:val="0"/>
                <w:sz w:val="21"/>
                <w:szCs w:val="21"/>
                <w:lang w:val="zh-CN" w:eastAsia="zh-CN" w:bidi="ar-SA"/>
              </w:rPr>
              <w:t>没有提供的不得分</w:t>
            </w:r>
          </w:p>
        </w:tc>
      </w:tr>
      <w:tr>
        <w:tblPrEx>
          <w:tblCellMar>
            <w:top w:w="0" w:type="dxa"/>
            <w:left w:w="108" w:type="dxa"/>
            <w:bottom w:w="0" w:type="dxa"/>
            <w:right w:w="108" w:type="dxa"/>
          </w:tblCellMar>
        </w:tblPrEx>
        <w:trPr>
          <w:trHeight w:val="775" w:hRule="atLeast"/>
          <w:jc w:val="center"/>
        </w:trPr>
        <w:tc>
          <w:tcPr>
            <w:tcW w:w="437"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jc w:val="left"/>
              <w:textAlignment w:val="auto"/>
            </w:pPr>
          </w:p>
        </w:tc>
        <w:tc>
          <w:tcPr>
            <w:tcW w:w="2787" w:type="dxa"/>
            <w:vMerge w:val="continue"/>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jc w:val="left"/>
              <w:textAlignment w:val="auto"/>
            </w:pPr>
          </w:p>
        </w:tc>
        <w:tc>
          <w:tcPr>
            <w:tcW w:w="961" w:type="dxa"/>
            <w:vMerge w:val="continue"/>
            <w:tcBorders>
              <w:left w:val="nil"/>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jc w:val="left"/>
              <w:textAlignment w:val="auto"/>
            </w:pPr>
          </w:p>
        </w:tc>
        <w:tc>
          <w:tcPr>
            <w:tcW w:w="5533" w:type="dxa"/>
            <w:tcBorders>
              <w:top w:val="nil"/>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color w:val="auto"/>
                <w:lang w:val="en-US" w:eastAsia="zh-CN"/>
              </w:rPr>
            </w:pPr>
            <w:r>
              <w:rPr>
                <w:rFonts w:hint="eastAsia" w:ascii="宋体" w:hAnsi="宋体" w:cs="宋体"/>
                <w:color w:val="auto"/>
                <w:sz w:val="21"/>
                <w:szCs w:val="21"/>
                <w:lang w:val="zh-CN"/>
              </w:rPr>
              <w:t>售后服务人员组成合理分工明确</w:t>
            </w:r>
            <w:r>
              <w:rPr>
                <w:rFonts w:hint="eastAsia" w:ascii="宋体" w:cs="宋体"/>
                <w:color w:val="auto"/>
                <w:sz w:val="21"/>
                <w:szCs w:val="21"/>
                <w:lang w:val="zh-CN"/>
              </w:rPr>
              <w:t>；</w:t>
            </w:r>
            <w:r>
              <w:rPr>
                <w:rFonts w:hint="eastAsia" w:ascii="宋体" w:cs="宋体"/>
                <w:color w:val="auto"/>
                <w:sz w:val="21"/>
                <w:szCs w:val="21"/>
                <w:lang w:val="en-US" w:eastAsia="zh-CN"/>
              </w:rPr>
              <w:t xml:space="preserve"> </w:t>
            </w:r>
            <w:r>
              <w:rPr>
                <w:rFonts w:hint="eastAsia" w:ascii="宋体" w:hAnsi="宋体" w:cs="宋体"/>
                <w:color w:val="auto"/>
                <w:sz w:val="21"/>
                <w:szCs w:val="21"/>
                <w:lang w:val="en-US" w:eastAsia="zh-CN"/>
              </w:rPr>
              <w:t>3</w:t>
            </w:r>
            <w:r>
              <w:rPr>
                <w:rFonts w:hint="eastAsia" w:ascii="Calibri" w:hAnsi="Calibri" w:eastAsia="宋体" w:cs="Times New Roman"/>
                <w:color w:val="auto"/>
                <w:kern w:val="2"/>
                <w:sz w:val="21"/>
                <w:szCs w:val="24"/>
                <w:lang w:val="en-US" w:eastAsia="zh-CN" w:bidi="ar-SA"/>
              </w:rPr>
              <w:t>分</w:t>
            </w:r>
            <w:r>
              <w:rPr>
                <w:rFonts w:hint="eastAsia" w:hAnsi="Calibri" w:cs="Times New Roman"/>
                <w:color w:val="auto"/>
                <w:kern w:val="2"/>
                <w:sz w:val="21"/>
                <w:szCs w:val="24"/>
                <w:lang w:val="en-US" w:eastAsia="zh-CN" w:bidi="ar-SA"/>
              </w:rPr>
              <w:t>，</w:t>
            </w:r>
            <w:r>
              <w:rPr>
                <w:rFonts w:hint="eastAsia" w:ascii="宋体" w:hAnsi="宋体" w:eastAsia="宋体" w:cs="宋体"/>
                <w:color w:val="auto"/>
                <w:kern w:val="0"/>
                <w:sz w:val="21"/>
                <w:szCs w:val="21"/>
                <w:lang w:val="zh-CN" w:eastAsia="zh-CN" w:bidi="ar-SA"/>
              </w:rPr>
              <w:t>没有提供的不得分</w:t>
            </w:r>
          </w:p>
        </w:tc>
      </w:tr>
      <w:tr>
        <w:tblPrEx>
          <w:tblCellMar>
            <w:top w:w="0" w:type="dxa"/>
            <w:left w:w="108" w:type="dxa"/>
            <w:bottom w:w="0" w:type="dxa"/>
            <w:right w:w="108" w:type="dxa"/>
          </w:tblCellMar>
        </w:tblPrEx>
        <w:trPr>
          <w:trHeight w:val="792" w:hRule="atLeast"/>
          <w:jc w:val="center"/>
        </w:trPr>
        <w:tc>
          <w:tcPr>
            <w:tcW w:w="43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pPr>
          </w:p>
        </w:tc>
        <w:tc>
          <w:tcPr>
            <w:tcW w:w="278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pPr>
          </w:p>
        </w:tc>
        <w:tc>
          <w:tcPr>
            <w:tcW w:w="961" w:type="dxa"/>
            <w:vMerge w:val="continue"/>
            <w:tcBorders>
              <w:left w:val="nil"/>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pPr>
          </w:p>
        </w:tc>
        <w:tc>
          <w:tcPr>
            <w:tcW w:w="5533" w:type="dxa"/>
            <w:tcBorders>
              <w:top w:val="nil"/>
              <w:left w:val="single" w:color="auto" w:sz="4" w:space="0"/>
              <w:bottom w:val="single" w:color="auto" w:sz="4" w:space="0"/>
              <w:right w:val="single" w:color="auto" w:sz="4" w:space="0"/>
            </w:tcBorders>
            <w:noWrap w:val="0"/>
            <w:vAlign w:val="center"/>
          </w:tcPr>
          <w:p>
            <w:pPr>
              <w:spacing w:line="400" w:lineRule="exact"/>
              <w:rPr>
                <w:rFonts w:hint="default"/>
                <w:color w:val="auto"/>
                <w:lang w:val="en-US" w:eastAsia="zh-CN"/>
              </w:rPr>
            </w:pPr>
            <w:r>
              <w:rPr>
                <w:rFonts w:hint="eastAsia" w:ascii="宋体" w:hAnsi="宋体" w:cs="宋体"/>
                <w:color w:val="auto"/>
                <w:sz w:val="21"/>
                <w:szCs w:val="21"/>
                <w:lang w:val="zh-CN"/>
              </w:rPr>
              <w:t>服务及保障措施完善可行；</w:t>
            </w:r>
            <w:r>
              <w:rPr>
                <w:rFonts w:hint="eastAsia" w:ascii="宋体" w:hAnsi="宋体" w:cs="宋体"/>
                <w:color w:val="auto"/>
                <w:sz w:val="21"/>
                <w:szCs w:val="21"/>
                <w:lang w:val="en-US" w:eastAsia="zh-CN"/>
              </w:rPr>
              <w:t xml:space="preserve"> </w:t>
            </w:r>
            <w:r>
              <w:rPr>
                <w:rFonts w:hint="eastAsia" w:cs="Times New Roman"/>
                <w:color w:val="auto"/>
                <w:kern w:val="2"/>
                <w:sz w:val="21"/>
                <w:szCs w:val="24"/>
                <w:lang w:val="en-US" w:eastAsia="zh-CN" w:bidi="ar-SA"/>
              </w:rPr>
              <w:t>3分</w:t>
            </w:r>
            <w:r>
              <w:rPr>
                <w:rFonts w:hint="eastAsia" w:hAnsi="Calibri" w:cs="Times New Roman"/>
                <w:color w:val="auto"/>
                <w:kern w:val="2"/>
                <w:sz w:val="21"/>
                <w:szCs w:val="24"/>
                <w:lang w:val="en-US" w:eastAsia="zh-CN" w:bidi="ar-SA"/>
              </w:rPr>
              <w:t>，</w:t>
            </w:r>
            <w:r>
              <w:rPr>
                <w:rFonts w:hint="eastAsia" w:ascii="宋体" w:hAnsi="宋体" w:eastAsia="宋体" w:cs="宋体"/>
                <w:color w:val="auto"/>
                <w:kern w:val="0"/>
                <w:sz w:val="21"/>
                <w:szCs w:val="21"/>
                <w:lang w:val="zh-CN" w:eastAsia="zh-CN" w:bidi="ar-SA"/>
              </w:rPr>
              <w:t>没有提供的不得分</w:t>
            </w:r>
          </w:p>
        </w:tc>
      </w:tr>
      <w:tr>
        <w:tblPrEx>
          <w:tblCellMar>
            <w:top w:w="0" w:type="dxa"/>
            <w:left w:w="108" w:type="dxa"/>
            <w:bottom w:w="0" w:type="dxa"/>
            <w:right w:w="108" w:type="dxa"/>
          </w:tblCellMar>
        </w:tblPrEx>
        <w:trPr>
          <w:trHeight w:val="777" w:hRule="atLeast"/>
          <w:jc w:val="center"/>
        </w:trPr>
        <w:tc>
          <w:tcPr>
            <w:tcW w:w="43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278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961" w:type="dxa"/>
            <w:vMerge w:val="continue"/>
            <w:tcBorders>
              <w:left w:val="nil"/>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5533" w:type="dxa"/>
            <w:tcBorders>
              <w:top w:val="nil"/>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color w:val="auto"/>
                <w:lang w:val="en-US" w:eastAsia="zh-CN"/>
              </w:rPr>
            </w:pPr>
            <w:r>
              <w:rPr>
                <w:rFonts w:hint="eastAsia" w:ascii="宋体" w:hAnsi="宋体" w:cs="宋体"/>
                <w:color w:val="auto"/>
                <w:sz w:val="21"/>
                <w:szCs w:val="21"/>
                <w:lang w:val="zh-CN"/>
              </w:rPr>
              <w:t>故障排除能力及响应时间及时性</w:t>
            </w:r>
            <w:r>
              <w:rPr>
                <w:rFonts w:hint="eastAsia" w:ascii="宋体" w:cs="宋体"/>
                <w:color w:val="auto"/>
                <w:sz w:val="21"/>
                <w:szCs w:val="21"/>
                <w:lang w:val="zh-CN"/>
              </w:rPr>
              <w:t>；</w:t>
            </w:r>
            <w:r>
              <w:rPr>
                <w:rFonts w:hint="eastAsia" w:ascii="宋体" w:cs="宋体"/>
                <w:color w:val="auto"/>
                <w:sz w:val="21"/>
                <w:szCs w:val="21"/>
                <w:lang w:val="en-US" w:eastAsia="zh-CN"/>
              </w:rPr>
              <w:t xml:space="preserve"> </w:t>
            </w:r>
            <w:r>
              <w:rPr>
                <w:rFonts w:hint="eastAsia" w:hAnsi="Calibri" w:cs="Times New Roman"/>
                <w:color w:val="auto"/>
                <w:kern w:val="2"/>
                <w:sz w:val="21"/>
                <w:szCs w:val="24"/>
                <w:lang w:val="en-US" w:eastAsia="zh-CN" w:bidi="ar-SA"/>
              </w:rPr>
              <w:t>3分，</w:t>
            </w:r>
            <w:r>
              <w:rPr>
                <w:rFonts w:hint="eastAsia" w:ascii="宋体" w:hAnsi="宋体" w:eastAsia="宋体" w:cs="宋体"/>
                <w:color w:val="auto"/>
                <w:kern w:val="0"/>
                <w:sz w:val="21"/>
                <w:szCs w:val="21"/>
                <w:lang w:val="zh-CN" w:eastAsia="zh-CN" w:bidi="ar-SA"/>
              </w:rPr>
              <w:t>没有提供的不得分</w:t>
            </w:r>
          </w:p>
        </w:tc>
      </w:tr>
      <w:tr>
        <w:tblPrEx>
          <w:tblCellMar>
            <w:top w:w="0" w:type="dxa"/>
            <w:left w:w="108" w:type="dxa"/>
            <w:bottom w:w="0" w:type="dxa"/>
            <w:right w:w="108" w:type="dxa"/>
          </w:tblCellMar>
        </w:tblPrEx>
        <w:trPr>
          <w:trHeight w:val="692" w:hRule="atLeast"/>
          <w:jc w:val="center"/>
        </w:trPr>
        <w:tc>
          <w:tcPr>
            <w:tcW w:w="43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2787" w:type="dxa"/>
            <w:vMerge w:val="continue"/>
            <w:tcBorders>
              <w:left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961" w:type="dxa"/>
            <w:vMerge w:val="continue"/>
            <w:tcBorders>
              <w:left w:val="nil"/>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p>
        </w:tc>
        <w:tc>
          <w:tcPr>
            <w:tcW w:w="5533" w:type="dxa"/>
            <w:tcBorders>
              <w:top w:val="nil"/>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color w:val="auto"/>
                <w:lang w:val="en-US" w:eastAsia="zh-CN"/>
              </w:rPr>
            </w:pPr>
            <w:r>
              <w:rPr>
                <w:rFonts w:hint="eastAsia" w:ascii="宋体" w:hAnsi="宋体" w:cs="宋体"/>
                <w:color w:val="auto"/>
                <w:sz w:val="21"/>
                <w:szCs w:val="21"/>
                <w:lang w:val="zh-CN"/>
              </w:rPr>
              <w:t>质保期后服务承诺等进行综合打分</w:t>
            </w:r>
            <w:r>
              <w:rPr>
                <w:rFonts w:hint="eastAsia" w:ascii="宋体" w:cs="宋体"/>
                <w:color w:val="auto"/>
                <w:sz w:val="21"/>
                <w:szCs w:val="21"/>
                <w:lang w:val="zh-CN"/>
              </w:rPr>
              <w:t>；</w:t>
            </w:r>
            <w:r>
              <w:rPr>
                <w:rFonts w:hint="eastAsia" w:ascii="宋体" w:cs="宋体"/>
                <w:color w:val="auto"/>
                <w:sz w:val="21"/>
                <w:szCs w:val="21"/>
                <w:lang w:val="en-US" w:eastAsia="zh-CN"/>
              </w:rPr>
              <w:t xml:space="preserve"> </w:t>
            </w:r>
            <w:r>
              <w:rPr>
                <w:rFonts w:hint="eastAsia" w:hAnsi="Calibri" w:cs="Times New Roman"/>
                <w:color w:val="auto"/>
                <w:kern w:val="2"/>
                <w:sz w:val="21"/>
                <w:szCs w:val="24"/>
                <w:lang w:val="en-US" w:eastAsia="zh-CN" w:bidi="ar-SA"/>
              </w:rPr>
              <w:t>3分，</w:t>
            </w:r>
            <w:r>
              <w:rPr>
                <w:rFonts w:hint="eastAsia" w:ascii="宋体" w:hAnsi="宋体" w:eastAsia="宋体" w:cs="宋体"/>
                <w:color w:val="auto"/>
                <w:kern w:val="0"/>
                <w:sz w:val="21"/>
                <w:szCs w:val="21"/>
                <w:lang w:val="zh-CN" w:eastAsia="zh-CN" w:bidi="ar-SA"/>
              </w:rPr>
              <w:t>没有提供的不得分</w:t>
            </w:r>
          </w:p>
        </w:tc>
      </w:tr>
      <w:tr>
        <w:tblPrEx>
          <w:tblCellMar>
            <w:top w:w="0" w:type="dxa"/>
            <w:left w:w="108" w:type="dxa"/>
            <w:bottom w:w="0" w:type="dxa"/>
            <w:right w:w="108" w:type="dxa"/>
          </w:tblCellMar>
        </w:tblPrEx>
        <w:trPr>
          <w:trHeight w:val="712" w:hRule="atLeast"/>
          <w:jc w:val="center"/>
        </w:trPr>
        <w:tc>
          <w:tcPr>
            <w:tcW w:w="3224"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9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5533" w:type="dxa"/>
            <w:tcBorders>
              <w:top w:val="single" w:color="auto" w:sz="4" w:space="0"/>
              <w:left w:val="single" w:color="auto" w:sz="4" w:space="0"/>
              <w:bottom w:val="single" w:color="auto" w:sz="4" w:space="0"/>
              <w:right w:val="single" w:color="auto" w:sz="4" w:space="0"/>
            </w:tcBorders>
            <w:noWrap w:val="0"/>
            <w:vAlign w:val="center"/>
          </w:tcPr>
          <w:p>
            <w:pPr>
              <w:pStyle w:val="12"/>
              <w:shd w:val="clear" w:color="auto" w:fill="auto"/>
              <w:spacing w:before="0" w:beforeAutospacing="0" w:after="0" w:afterAutospacing="0" w:line="240" w:lineRule="exact"/>
              <w:jc w:val="both"/>
              <w:rPr>
                <w:rFonts w:hint="eastAsia"/>
                <w:b/>
                <w:color w:val="auto"/>
                <w:sz w:val="21"/>
                <w:szCs w:val="21"/>
                <w:highlight w:val="none"/>
              </w:rPr>
            </w:pPr>
          </w:p>
        </w:tc>
      </w:tr>
    </w:tbl>
    <w:p>
      <w:pPr>
        <w:pStyle w:val="7"/>
        <w:shd w:val="clear" w:color="auto" w:fill="auto"/>
        <w:outlineLvl w:val="9"/>
        <w:rPr>
          <w:rFonts w:hint="eastAsia" w:ascii="宋体" w:hAnsi="宋体" w:cs="宋体"/>
          <w:b w:val="0"/>
          <w:color w:val="auto"/>
          <w:sz w:val="24"/>
          <w:highlight w:val="none"/>
        </w:rPr>
      </w:pPr>
    </w:p>
    <w:p>
      <w:pPr>
        <w:pStyle w:val="2"/>
        <w:rPr>
          <w:rFonts w:hint="eastAsia"/>
        </w:rPr>
      </w:pPr>
    </w:p>
    <w:p>
      <w:pPr>
        <w:spacing w:line="460" w:lineRule="exact"/>
        <w:jc w:val="both"/>
        <w:rPr>
          <w:rFonts w:hint="eastAsia" w:ascii="宋体" w:hAnsi="宋体" w:cs="宋体"/>
          <w:b/>
          <w:color w:val="auto"/>
          <w:sz w:val="36"/>
          <w:szCs w:val="36"/>
          <w:highlight w:val="none"/>
        </w:rPr>
      </w:pPr>
    </w:p>
    <w:p>
      <w:pPr>
        <w:keepNext/>
        <w:keepLines/>
        <w:pageBreakBefore/>
        <w:shd w:val="clear" w:color="auto" w:fill="auto"/>
        <w:spacing w:line="264" w:lineRule="auto"/>
        <w:jc w:val="center"/>
        <w:outlineLvl w:val="2"/>
        <w:rPr>
          <w:rFonts w:hint="eastAsia"/>
          <w:color w:val="auto"/>
          <w:sz w:val="32"/>
          <w:szCs w:val="40"/>
          <w:highlight w:val="none"/>
        </w:rPr>
      </w:pPr>
      <w:r>
        <w:rPr>
          <w:rFonts w:hint="eastAsia" w:ascii="宋体" w:hAnsi="宋体" w:cs="宋体"/>
          <w:b/>
          <w:color w:val="auto"/>
          <w:sz w:val="32"/>
          <w:szCs w:val="32"/>
          <w:highlight w:val="none"/>
          <w:lang w:val="en-US" w:eastAsia="zh-CN"/>
        </w:rPr>
        <w:t>技术</w:t>
      </w:r>
      <w:r>
        <w:rPr>
          <w:rFonts w:hint="eastAsia" w:ascii="宋体" w:hAnsi="宋体" w:cs="宋体"/>
          <w:b/>
          <w:color w:val="auto"/>
          <w:sz w:val="32"/>
          <w:szCs w:val="32"/>
          <w:highlight w:val="none"/>
        </w:rPr>
        <w:t>标评分标准</w:t>
      </w:r>
    </w:p>
    <w:tbl>
      <w:tblPr>
        <w:tblStyle w:val="21"/>
        <w:tblW w:w="9905" w:type="dxa"/>
        <w:jc w:val="center"/>
        <w:tblLayout w:type="fixed"/>
        <w:tblCellMar>
          <w:top w:w="0" w:type="dxa"/>
          <w:left w:w="108" w:type="dxa"/>
          <w:bottom w:w="0" w:type="dxa"/>
          <w:right w:w="108" w:type="dxa"/>
        </w:tblCellMar>
      </w:tblPr>
      <w:tblGrid>
        <w:gridCol w:w="438"/>
        <w:gridCol w:w="2481"/>
        <w:gridCol w:w="959"/>
        <w:gridCol w:w="5861"/>
      </w:tblGrid>
      <w:tr>
        <w:tblPrEx>
          <w:tblCellMar>
            <w:top w:w="0" w:type="dxa"/>
            <w:left w:w="108" w:type="dxa"/>
            <w:bottom w:w="0" w:type="dxa"/>
            <w:right w:w="108" w:type="dxa"/>
          </w:tblCellMar>
        </w:tblPrEx>
        <w:trPr>
          <w:trHeight w:val="474" w:hRule="atLeast"/>
          <w:jc w:val="center"/>
        </w:trPr>
        <w:tc>
          <w:tcPr>
            <w:tcW w:w="2919"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评分内容</w:t>
            </w:r>
          </w:p>
        </w:tc>
        <w:tc>
          <w:tcPr>
            <w:tcW w:w="959" w:type="dxa"/>
            <w:tcBorders>
              <w:top w:val="single" w:color="auto" w:sz="4" w:space="0"/>
              <w:left w:val="nil"/>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61" w:type="dxa"/>
            <w:tcBorders>
              <w:top w:val="single" w:color="auto" w:sz="4" w:space="0"/>
              <w:left w:val="nil"/>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r>
      <w:tr>
        <w:tblPrEx>
          <w:tblCellMar>
            <w:top w:w="0" w:type="dxa"/>
            <w:left w:w="108" w:type="dxa"/>
            <w:bottom w:w="0" w:type="dxa"/>
            <w:right w:w="108" w:type="dxa"/>
          </w:tblCellMar>
        </w:tblPrEx>
        <w:trPr>
          <w:trHeight w:val="1250" w:hRule="atLeast"/>
          <w:jc w:val="center"/>
        </w:trPr>
        <w:tc>
          <w:tcPr>
            <w:tcW w:w="438" w:type="dxa"/>
            <w:vMerge w:val="restart"/>
            <w:tcBorders>
              <w:left w:val="single" w:color="auto" w:sz="4" w:space="0"/>
              <w:right w:val="single" w:color="auto" w:sz="4" w:space="0"/>
            </w:tcBorders>
            <w:noWrap w:val="0"/>
            <w:vAlign w:val="center"/>
          </w:tcPr>
          <w:p>
            <w:pPr>
              <w:shd w:val="clear" w:color="auto" w:fill="auto"/>
              <w:spacing w:line="2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技术部分</w:t>
            </w:r>
          </w:p>
        </w:tc>
        <w:tc>
          <w:tcPr>
            <w:tcW w:w="2481" w:type="dxa"/>
            <w:tcBorders>
              <w:top w:val="nil"/>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技术指标符合性</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16分</w:t>
            </w:r>
          </w:p>
        </w:tc>
        <w:tc>
          <w:tcPr>
            <w:tcW w:w="5861" w:type="dxa"/>
            <w:tcBorders>
              <w:top w:val="nil"/>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投标产品技术参数和配置完全满足或优于招标文件要求的，得16分；其中带“★”指标为实质性要求，须全部满足，否则视为无效投标；其他指标不满足的一项扣2分，最多扣16分。</w:t>
            </w:r>
          </w:p>
        </w:tc>
      </w:tr>
      <w:tr>
        <w:tblPrEx>
          <w:tblCellMar>
            <w:top w:w="0" w:type="dxa"/>
            <w:left w:w="108" w:type="dxa"/>
            <w:bottom w:w="0" w:type="dxa"/>
            <w:right w:w="108" w:type="dxa"/>
          </w:tblCellMar>
        </w:tblPrEx>
        <w:trPr>
          <w:trHeight w:val="90" w:hRule="atLeast"/>
          <w:jc w:val="center"/>
        </w:trPr>
        <w:tc>
          <w:tcPr>
            <w:tcW w:w="438" w:type="dxa"/>
            <w:vMerge w:val="continue"/>
            <w:tcBorders>
              <w:left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color w:val="auto"/>
                <w:sz w:val="24"/>
                <w:szCs w:val="24"/>
                <w:highlight w:val="none"/>
              </w:rPr>
            </w:pPr>
          </w:p>
        </w:tc>
        <w:tc>
          <w:tcPr>
            <w:tcW w:w="24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产品质量评价</w:t>
            </w:r>
          </w:p>
        </w:tc>
        <w:tc>
          <w:tcPr>
            <w:tcW w:w="9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24分</w:t>
            </w:r>
          </w:p>
        </w:tc>
        <w:tc>
          <w:tcPr>
            <w:tcW w:w="58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1、所投产品LED教室灯、LED黑板灯依据《GB 7793-2010》《GB 50034-2013》《GB/T 5700-2008 》《GB/T 13379-2008》及《GB 7000.1-2015》 要求通过资源节约或设备节能类认证的，每有一个产品满足的得4分，满分8分；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2、所投产品LED教室灯、LED黑板灯依据《GB 7793-2010》《GB 50034-2013》《GB/T 5700-2008 》《GB/T 13379-2008》及《GB 7000.1-2015》 要求通过绿色健康或环境保护类认证的，每有一个产品满足的得4分，满分8分；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3、所投产品LED教室灯、LED黑板灯依据《GB 7793-2010》《GB 50034-2013》《GB/T 5700-2008 》《GB/T 13379-2008》及《GB 7000.1-2015》 要求满足安装使用时间或在役时间≥1年的，每有一个产品满足的得4分，满分8分；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注：以上每项均须提供第三方认证机构出具的认证证书（产品型号及依据须在同一份证书上体现，分开提供无效）及全国认证认可信息公共服务平台证书状态为“有效”的查询证明复印件；认证结果不符合或提供材料不齐全不得分。</w:t>
            </w:r>
          </w:p>
        </w:tc>
      </w:tr>
      <w:tr>
        <w:tblPrEx>
          <w:tblCellMar>
            <w:top w:w="0" w:type="dxa"/>
            <w:left w:w="108" w:type="dxa"/>
            <w:bottom w:w="0" w:type="dxa"/>
            <w:right w:w="108" w:type="dxa"/>
          </w:tblCellMar>
        </w:tblPrEx>
        <w:trPr>
          <w:trHeight w:val="1506" w:hRule="atLeast"/>
          <w:jc w:val="center"/>
        </w:trPr>
        <w:tc>
          <w:tcPr>
            <w:tcW w:w="4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32"/>
              </w:rPr>
            </w:pPr>
          </w:p>
        </w:tc>
        <w:tc>
          <w:tcPr>
            <w:tcW w:w="2481" w:type="dxa"/>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项目实施方案</w:t>
            </w:r>
          </w:p>
        </w:tc>
        <w:tc>
          <w:tcPr>
            <w:tcW w:w="959" w:type="dxa"/>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15分</w:t>
            </w:r>
          </w:p>
        </w:tc>
        <w:tc>
          <w:tcPr>
            <w:tcW w:w="586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zh-CN" w:eastAsia="zh-CN" w:bidi="ar-SA"/>
              </w:rPr>
              <w:t>评标委员会根据投标人实施方案中：①项目进度计划合理得</w:t>
            </w:r>
            <w:r>
              <w:rPr>
                <w:rFonts w:hint="eastAsia" w:ascii="宋体" w:hAnsi="宋体" w:eastAsia="宋体" w:cs="宋体"/>
                <w:color w:val="auto"/>
                <w:kern w:val="0"/>
                <w:sz w:val="21"/>
                <w:szCs w:val="21"/>
                <w:lang w:val="en-US" w:eastAsia="zh-CN" w:bidi="ar-SA"/>
              </w:rPr>
              <w:t>3分，</w:t>
            </w:r>
            <w:r>
              <w:rPr>
                <w:rFonts w:hint="eastAsia" w:ascii="宋体" w:hAnsi="宋体" w:eastAsia="宋体" w:cs="宋体"/>
                <w:color w:val="auto"/>
                <w:kern w:val="0"/>
                <w:sz w:val="21"/>
                <w:szCs w:val="21"/>
                <w:lang w:val="zh-CN" w:eastAsia="zh-CN" w:bidi="ar-SA"/>
              </w:rPr>
              <w:t>没有提供</w:t>
            </w:r>
            <w:r>
              <w:rPr>
                <w:rFonts w:hint="eastAsia" w:ascii="宋体" w:hAnsi="宋体" w:cs="宋体"/>
                <w:color w:val="auto"/>
                <w:kern w:val="0"/>
                <w:sz w:val="21"/>
                <w:szCs w:val="21"/>
                <w:lang w:val="zh-CN" w:eastAsia="zh-CN" w:bidi="ar-SA"/>
              </w:rPr>
              <w:t>或不合理</w:t>
            </w:r>
            <w:r>
              <w:rPr>
                <w:rFonts w:hint="eastAsia" w:ascii="宋体" w:hAnsi="宋体" w:eastAsia="宋体" w:cs="宋体"/>
                <w:color w:val="auto"/>
                <w:kern w:val="0"/>
                <w:sz w:val="21"/>
                <w:szCs w:val="21"/>
                <w:lang w:val="zh-CN" w:eastAsia="zh-CN" w:bidi="ar-SA"/>
              </w:rPr>
              <w:t>的不得分；②人员配备合理得</w:t>
            </w:r>
            <w:r>
              <w:rPr>
                <w:rFonts w:hint="eastAsia" w:ascii="宋体" w:hAnsi="宋体" w:eastAsia="宋体" w:cs="宋体"/>
                <w:color w:val="auto"/>
                <w:kern w:val="0"/>
                <w:sz w:val="21"/>
                <w:szCs w:val="21"/>
                <w:lang w:val="en-US" w:eastAsia="zh-CN" w:bidi="ar-SA"/>
              </w:rPr>
              <w:t>3分，</w:t>
            </w:r>
            <w:r>
              <w:rPr>
                <w:rFonts w:hint="eastAsia" w:ascii="宋体" w:hAnsi="宋体" w:eastAsia="宋体" w:cs="宋体"/>
                <w:color w:val="auto"/>
                <w:kern w:val="0"/>
                <w:sz w:val="21"/>
                <w:szCs w:val="21"/>
                <w:lang w:val="zh-CN" w:eastAsia="zh-CN" w:bidi="ar-SA"/>
              </w:rPr>
              <w:t>没有提供</w:t>
            </w:r>
            <w:r>
              <w:rPr>
                <w:rFonts w:hint="eastAsia" w:ascii="宋体" w:hAnsi="宋体" w:cs="宋体"/>
                <w:color w:val="auto"/>
                <w:kern w:val="0"/>
                <w:sz w:val="21"/>
                <w:szCs w:val="21"/>
                <w:lang w:val="zh-CN" w:eastAsia="zh-CN" w:bidi="ar-SA"/>
              </w:rPr>
              <w:t>或不合理</w:t>
            </w:r>
            <w:r>
              <w:rPr>
                <w:rFonts w:hint="eastAsia" w:ascii="宋体" w:hAnsi="宋体" w:eastAsia="宋体" w:cs="宋体"/>
                <w:color w:val="auto"/>
                <w:kern w:val="0"/>
                <w:sz w:val="21"/>
                <w:szCs w:val="21"/>
                <w:lang w:val="zh-CN" w:eastAsia="zh-CN" w:bidi="ar-SA"/>
              </w:rPr>
              <w:t>的不得分；③安装机具配备充分度得</w:t>
            </w:r>
            <w:r>
              <w:rPr>
                <w:rFonts w:hint="eastAsia" w:ascii="宋体" w:hAnsi="宋体" w:eastAsia="宋体" w:cs="宋体"/>
                <w:color w:val="auto"/>
                <w:kern w:val="0"/>
                <w:sz w:val="21"/>
                <w:szCs w:val="21"/>
                <w:lang w:val="en-US" w:eastAsia="zh-CN" w:bidi="ar-SA"/>
              </w:rPr>
              <w:t>3分，</w:t>
            </w:r>
            <w:r>
              <w:rPr>
                <w:rFonts w:hint="eastAsia" w:ascii="宋体" w:hAnsi="宋体" w:eastAsia="宋体" w:cs="宋体"/>
                <w:color w:val="auto"/>
                <w:kern w:val="0"/>
                <w:sz w:val="21"/>
                <w:szCs w:val="21"/>
                <w:lang w:val="zh-CN" w:eastAsia="zh-CN" w:bidi="ar-SA"/>
              </w:rPr>
              <w:t>没有提供</w:t>
            </w:r>
            <w:r>
              <w:rPr>
                <w:rFonts w:hint="eastAsia" w:ascii="宋体" w:hAnsi="宋体" w:cs="宋体"/>
                <w:color w:val="auto"/>
                <w:kern w:val="0"/>
                <w:sz w:val="21"/>
                <w:szCs w:val="21"/>
                <w:lang w:val="zh-CN" w:eastAsia="zh-CN" w:bidi="ar-SA"/>
              </w:rPr>
              <w:t>或不合理</w:t>
            </w:r>
            <w:r>
              <w:rPr>
                <w:rFonts w:hint="eastAsia" w:ascii="宋体" w:hAnsi="宋体" w:eastAsia="宋体" w:cs="宋体"/>
                <w:color w:val="auto"/>
                <w:kern w:val="0"/>
                <w:sz w:val="21"/>
                <w:szCs w:val="21"/>
                <w:lang w:val="zh-CN" w:eastAsia="zh-CN" w:bidi="ar-SA"/>
              </w:rPr>
              <w:t>的不得分；④质量管理体系完善得</w:t>
            </w:r>
            <w:r>
              <w:rPr>
                <w:rFonts w:hint="eastAsia" w:ascii="宋体" w:hAnsi="宋体" w:eastAsia="宋体" w:cs="宋体"/>
                <w:color w:val="auto"/>
                <w:kern w:val="0"/>
                <w:sz w:val="21"/>
                <w:szCs w:val="21"/>
                <w:lang w:val="en-US" w:eastAsia="zh-CN" w:bidi="ar-SA"/>
              </w:rPr>
              <w:t>3分，</w:t>
            </w:r>
            <w:r>
              <w:rPr>
                <w:rFonts w:hint="eastAsia" w:ascii="宋体" w:hAnsi="宋体" w:eastAsia="宋体" w:cs="宋体"/>
                <w:color w:val="auto"/>
                <w:kern w:val="0"/>
                <w:sz w:val="21"/>
                <w:szCs w:val="21"/>
                <w:lang w:val="zh-CN" w:eastAsia="zh-CN" w:bidi="ar-SA"/>
              </w:rPr>
              <w:t>没有提供</w:t>
            </w:r>
            <w:r>
              <w:rPr>
                <w:rFonts w:hint="eastAsia" w:ascii="宋体" w:hAnsi="宋体" w:cs="宋体"/>
                <w:color w:val="auto"/>
                <w:kern w:val="0"/>
                <w:sz w:val="21"/>
                <w:szCs w:val="21"/>
                <w:lang w:val="zh-CN" w:eastAsia="zh-CN" w:bidi="ar-SA"/>
              </w:rPr>
              <w:t>或不合理</w:t>
            </w:r>
            <w:r>
              <w:rPr>
                <w:rFonts w:hint="eastAsia" w:ascii="宋体" w:hAnsi="宋体" w:eastAsia="宋体" w:cs="宋体"/>
                <w:color w:val="auto"/>
                <w:kern w:val="0"/>
                <w:sz w:val="21"/>
                <w:szCs w:val="21"/>
                <w:lang w:val="zh-CN" w:eastAsia="zh-CN" w:bidi="ar-SA"/>
              </w:rPr>
              <w:t>的不得分；⑤安全文明及夜间施工措施可靠性承诺有</w:t>
            </w:r>
            <w:r>
              <w:rPr>
                <w:rFonts w:hint="eastAsia" w:ascii="宋体" w:hAnsi="宋体" w:eastAsia="宋体" w:cs="宋体"/>
                <w:color w:val="auto"/>
                <w:kern w:val="0"/>
                <w:sz w:val="21"/>
                <w:szCs w:val="21"/>
                <w:lang w:val="en-US" w:eastAsia="zh-CN" w:bidi="ar-SA"/>
              </w:rPr>
              <w:t>3分，</w:t>
            </w:r>
            <w:r>
              <w:rPr>
                <w:rFonts w:hint="eastAsia" w:ascii="宋体" w:hAnsi="宋体" w:eastAsia="宋体" w:cs="宋体"/>
                <w:color w:val="auto"/>
                <w:kern w:val="0"/>
                <w:sz w:val="21"/>
                <w:szCs w:val="21"/>
                <w:lang w:val="zh-CN" w:eastAsia="zh-CN" w:bidi="ar-SA"/>
              </w:rPr>
              <w:t>没有提供</w:t>
            </w:r>
            <w:r>
              <w:rPr>
                <w:rFonts w:hint="eastAsia" w:ascii="宋体" w:hAnsi="宋体" w:cs="宋体"/>
                <w:color w:val="auto"/>
                <w:kern w:val="0"/>
                <w:sz w:val="21"/>
                <w:szCs w:val="21"/>
                <w:lang w:val="zh-CN" w:eastAsia="zh-CN" w:bidi="ar-SA"/>
              </w:rPr>
              <w:t>或不合理</w:t>
            </w:r>
            <w:r>
              <w:rPr>
                <w:rFonts w:hint="eastAsia" w:ascii="宋体" w:hAnsi="宋体" w:eastAsia="宋体" w:cs="宋体"/>
                <w:color w:val="auto"/>
                <w:kern w:val="0"/>
                <w:sz w:val="21"/>
                <w:szCs w:val="21"/>
                <w:lang w:val="zh-CN" w:eastAsia="zh-CN" w:bidi="ar-SA"/>
              </w:rPr>
              <w:t>的不得分。</w:t>
            </w:r>
          </w:p>
        </w:tc>
      </w:tr>
      <w:tr>
        <w:tblPrEx>
          <w:tblCellMar>
            <w:top w:w="0" w:type="dxa"/>
            <w:left w:w="108" w:type="dxa"/>
            <w:bottom w:w="0" w:type="dxa"/>
            <w:right w:w="108" w:type="dxa"/>
          </w:tblCellMar>
        </w:tblPrEx>
        <w:trPr>
          <w:trHeight w:val="450" w:hRule="atLeast"/>
          <w:jc w:val="center"/>
        </w:trPr>
        <w:tc>
          <w:tcPr>
            <w:tcW w:w="2919"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55</w:t>
            </w:r>
            <w:r>
              <w:rPr>
                <w:rFonts w:hint="eastAsia" w:ascii="宋体" w:hAnsi="宋体" w:cs="宋体"/>
                <w:color w:val="auto"/>
                <w:sz w:val="24"/>
                <w:szCs w:val="24"/>
                <w:highlight w:val="none"/>
              </w:rPr>
              <w:t>分</w:t>
            </w:r>
          </w:p>
        </w:tc>
        <w:tc>
          <w:tcPr>
            <w:tcW w:w="5861" w:type="dxa"/>
            <w:tcBorders>
              <w:top w:val="single" w:color="auto" w:sz="4" w:space="0"/>
              <w:left w:val="single" w:color="auto" w:sz="4" w:space="0"/>
              <w:bottom w:val="single" w:color="auto" w:sz="4" w:space="0"/>
              <w:right w:val="single" w:color="auto" w:sz="4" w:space="0"/>
            </w:tcBorders>
            <w:noWrap w:val="0"/>
            <w:vAlign w:val="center"/>
          </w:tcPr>
          <w:p>
            <w:pPr>
              <w:pStyle w:val="12"/>
              <w:shd w:val="clear" w:color="auto" w:fill="auto"/>
              <w:spacing w:before="0" w:beforeAutospacing="0" w:after="0" w:afterAutospacing="0" w:line="240" w:lineRule="exact"/>
              <w:jc w:val="both"/>
              <w:rPr>
                <w:rFonts w:hint="eastAsia"/>
                <w:b/>
                <w:color w:val="auto"/>
                <w:sz w:val="24"/>
                <w:szCs w:val="24"/>
                <w:highlight w:val="none"/>
              </w:rPr>
            </w:pPr>
          </w:p>
        </w:tc>
      </w:tr>
    </w:tbl>
    <w:tbl>
      <w:tblPr>
        <w:tblStyle w:val="22"/>
        <w:tblpPr w:leftFromText="180" w:rightFromText="180" w:vertAnchor="text" w:tblpX="10877" w:tblpY="-1488"/>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pPr>
              <w:rPr>
                <w:rFonts w:hint="eastAsia" w:asciiTheme="minorEastAsia" w:hAnsiTheme="minorEastAsia" w:eastAsiaTheme="minorEastAsia" w:cstheme="minorEastAsia"/>
                <w:b/>
                <w:bCs/>
                <w:sz w:val="32"/>
                <w:szCs w:val="32"/>
                <w:vertAlign w:val="baseline"/>
              </w:rPr>
            </w:pPr>
          </w:p>
        </w:tc>
      </w:tr>
    </w:tbl>
    <w:p>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pPr>
        <w:jc w:val="center"/>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val="en-US" w:eastAsia="zh-CN"/>
        </w:rPr>
        <w:t>三</w:t>
      </w:r>
      <w:r>
        <w:rPr>
          <w:rFonts w:hint="eastAsia" w:asciiTheme="minorEastAsia" w:hAnsiTheme="minorEastAsia" w:eastAsiaTheme="minorEastAsia" w:cstheme="minorEastAsia"/>
          <w:b/>
          <w:bCs/>
          <w:sz w:val="32"/>
          <w:szCs w:val="32"/>
        </w:rPr>
        <w:t>章   合 同（</w:t>
      </w:r>
      <w:r>
        <w:rPr>
          <w:rFonts w:hint="eastAsia" w:asciiTheme="minorEastAsia" w:hAnsiTheme="minorEastAsia" w:eastAsiaTheme="minorEastAsia" w:cstheme="minorEastAsia"/>
          <w:b/>
          <w:bCs/>
          <w:sz w:val="32"/>
          <w:szCs w:val="32"/>
          <w:lang w:val="en-US" w:eastAsia="zh-CN"/>
        </w:rPr>
        <w:t>参考版</w:t>
      </w:r>
      <w:r>
        <w:rPr>
          <w:rFonts w:hint="eastAsia" w:asciiTheme="minorEastAsia" w:hAnsiTheme="minorEastAsia" w:eastAsiaTheme="minorEastAsia" w:cstheme="minorEastAsia"/>
          <w:b/>
          <w:bCs/>
          <w:sz w:val="32"/>
          <w:szCs w:val="32"/>
        </w:rPr>
        <w:t>）</w:t>
      </w:r>
    </w:p>
    <w:p>
      <w:pPr>
        <w:jc w:val="both"/>
        <w:rPr>
          <w:rFonts w:hint="eastAsia" w:asciiTheme="minorEastAsia" w:hAnsiTheme="minorEastAsia" w:eastAsiaTheme="minorEastAsia" w:cstheme="minorEastAsia"/>
          <w:sz w:val="44"/>
          <w:szCs w:val="44"/>
        </w:rPr>
      </w:pPr>
    </w:p>
    <w:p>
      <w:pPr>
        <w:jc w:val="center"/>
        <w:rPr>
          <w:rFonts w:hint="eastAsia" w:asciiTheme="minorEastAsia" w:hAnsiTheme="minorEastAsia" w:eastAsiaTheme="minorEastAsia" w:cstheme="minorEastAsia"/>
          <w:sz w:val="44"/>
          <w:szCs w:val="44"/>
        </w:rPr>
      </w:pPr>
    </w:p>
    <w:p>
      <w:pPr>
        <w:jc w:val="center"/>
        <w:outlineLvl w:val="1"/>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购 货 合 同（版本）</w:t>
      </w:r>
    </w:p>
    <w:p>
      <w:pPr>
        <w:rPr>
          <w:rFonts w:hint="eastAsia" w:asciiTheme="minorEastAsia" w:hAnsiTheme="minorEastAsia" w:eastAsiaTheme="minorEastAsia" w:cstheme="minorEastAsia"/>
          <w:sz w:val="28"/>
          <w:szCs w:val="28"/>
        </w:rPr>
      </w:pPr>
    </w:p>
    <w:p>
      <w:pPr>
        <w:pStyle w:val="32"/>
        <w:rPr>
          <w:rFonts w:hint="eastAsia" w:asciiTheme="minorEastAsia" w:hAnsiTheme="minorEastAsia" w:eastAsiaTheme="minorEastAsia" w:cstheme="minorEastAsia"/>
          <w:sz w:val="28"/>
          <w:szCs w:val="28"/>
        </w:rPr>
      </w:pPr>
    </w:p>
    <w:p>
      <w:pPr>
        <w:jc w:val="center"/>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合同编号：</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20"/>
        <w:rPr>
          <w:rFonts w:hint="eastAsia"/>
        </w:rPr>
      </w:pPr>
    </w:p>
    <w:p>
      <w:pPr>
        <w:rPr>
          <w:rFonts w:hint="eastAsia" w:asciiTheme="minorEastAsia" w:hAnsiTheme="minorEastAsia" w:eastAsiaTheme="minorEastAsia" w:cstheme="minorEastAsia"/>
          <w:sz w:val="32"/>
          <w:szCs w:val="32"/>
        </w:rPr>
      </w:pPr>
    </w:p>
    <w:p>
      <w:pPr>
        <w:ind w:firstLine="843" w:firstLineChars="300"/>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ind w:firstLine="843" w:firstLineChars="300"/>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购货单位：</w:t>
      </w:r>
    </w:p>
    <w:p>
      <w:pPr>
        <w:ind w:firstLine="843" w:firstLineChars="300"/>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供货单位：</w:t>
      </w:r>
    </w:p>
    <w:p>
      <w:pPr>
        <w:ind w:firstLine="843" w:firstLineChars="300"/>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    期：  年   月   日</w:t>
      </w:r>
    </w:p>
    <w:p>
      <w:pP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outlineLvl w:val="1"/>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购  货  合  同</w:t>
      </w:r>
    </w:p>
    <w:p>
      <w:pPr>
        <w:rPr>
          <w:rFonts w:hint="eastAsia" w:asciiTheme="minorEastAsia" w:hAnsiTheme="minorEastAsia" w:eastAsiaTheme="minorEastAsia" w:cstheme="minorEastAsia"/>
          <w:sz w:val="24"/>
        </w:rPr>
      </w:pP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甲方（买方）: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合同编号：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签订地点：</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乙方（卖方）: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签订时间： 年  月  日</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根据《中华人民共和国政府采购法》，《中华人民共和国合同法》等法律法规的规定，买卖双方按照招标结果签订合同。</w:t>
      </w:r>
    </w:p>
    <w:p>
      <w:pPr>
        <w:spacing w:line="500" w:lineRule="exact"/>
        <w:jc w:val="center"/>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91"/>
        <w:gridCol w:w="897"/>
        <w:gridCol w:w="1481"/>
        <w:gridCol w:w="835"/>
        <w:gridCol w:w="881"/>
        <w:gridCol w:w="1528"/>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2"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91"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tc>
        <w:tc>
          <w:tcPr>
            <w:tcW w:w="897"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1481"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835"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881"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528"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1481"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2" w:type="dxa"/>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91" w:type="dxa"/>
          </w:tcPr>
          <w:p>
            <w:pPr>
              <w:spacing w:line="500" w:lineRule="exact"/>
              <w:rPr>
                <w:rFonts w:hint="eastAsia" w:asciiTheme="minorEastAsia" w:hAnsiTheme="minorEastAsia" w:eastAsiaTheme="minorEastAsia" w:cstheme="minorEastAsia"/>
                <w:sz w:val="24"/>
              </w:rPr>
            </w:pPr>
          </w:p>
        </w:tc>
        <w:tc>
          <w:tcPr>
            <w:tcW w:w="897"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c>
          <w:tcPr>
            <w:tcW w:w="835" w:type="dxa"/>
          </w:tcPr>
          <w:p>
            <w:pPr>
              <w:spacing w:line="500" w:lineRule="exact"/>
              <w:rPr>
                <w:rFonts w:hint="eastAsia" w:asciiTheme="minorEastAsia" w:hAnsiTheme="minorEastAsia" w:eastAsiaTheme="minorEastAsia" w:cstheme="minorEastAsia"/>
                <w:sz w:val="24"/>
              </w:rPr>
            </w:pPr>
          </w:p>
        </w:tc>
        <w:tc>
          <w:tcPr>
            <w:tcW w:w="881" w:type="dxa"/>
          </w:tcPr>
          <w:p>
            <w:pPr>
              <w:spacing w:line="500" w:lineRule="exact"/>
              <w:rPr>
                <w:rFonts w:hint="eastAsia" w:asciiTheme="minorEastAsia" w:hAnsiTheme="minorEastAsia" w:eastAsiaTheme="minorEastAsia" w:cstheme="minorEastAsia"/>
                <w:sz w:val="24"/>
              </w:rPr>
            </w:pPr>
          </w:p>
        </w:tc>
        <w:tc>
          <w:tcPr>
            <w:tcW w:w="1528"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2" w:type="dxa"/>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591" w:type="dxa"/>
          </w:tcPr>
          <w:p>
            <w:pPr>
              <w:spacing w:line="500" w:lineRule="exact"/>
              <w:rPr>
                <w:rFonts w:hint="eastAsia" w:asciiTheme="minorEastAsia" w:hAnsiTheme="minorEastAsia" w:eastAsiaTheme="minorEastAsia" w:cstheme="minorEastAsia"/>
                <w:sz w:val="24"/>
              </w:rPr>
            </w:pPr>
          </w:p>
        </w:tc>
        <w:tc>
          <w:tcPr>
            <w:tcW w:w="897"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c>
          <w:tcPr>
            <w:tcW w:w="835" w:type="dxa"/>
          </w:tcPr>
          <w:p>
            <w:pPr>
              <w:spacing w:line="500" w:lineRule="exact"/>
              <w:rPr>
                <w:rFonts w:hint="eastAsia" w:asciiTheme="minorEastAsia" w:hAnsiTheme="minorEastAsia" w:eastAsiaTheme="minorEastAsia" w:cstheme="minorEastAsia"/>
                <w:sz w:val="24"/>
              </w:rPr>
            </w:pPr>
          </w:p>
        </w:tc>
        <w:tc>
          <w:tcPr>
            <w:tcW w:w="881" w:type="dxa"/>
          </w:tcPr>
          <w:p>
            <w:pPr>
              <w:spacing w:line="500" w:lineRule="exact"/>
              <w:rPr>
                <w:rFonts w:hint="eastAsia" w:asciiTheme="minorEastAsia" w:hAnsiTheme="minorEastAsia" w:eastAsiaTheme="minorEastAsia" w:cstheme="minorEastAsia"/>
                <w:sz w:val="24"/>
              </w:rPr>
            </w:pPr>
          </w:p>
        </w:tc>
        <w:tc>
          <w:tcPr>
            <w:tcW w:w="1528"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2" w:type="dxa"/>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591" w:type="dxa"/>
          </w:tcPr>
          <w:p>
            <w:pPr>
              <w:spacing w:line="500" w:lineRule="exact"/>
              <w:rPr>
                <w:rFonts w:hint="eastAsia" w:asciiTheme="minorEastAsia" w:hAnsiTheme="minorEastAsia" w:eastAsiaTheme="minorEastAsia" w:cstheme="minorEastAsia"/>
                <w:sz w:val="24"/>
              </w:rPr>
            </w:pPr>
          </w:p>
        </w:tc>
        <w:tc>
          <w:tcPr>
            <w:tcW w:w="897"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c>
          <w:tcPr>
            <w:tcW w:w="835" w:type="dxa"/>
          </w:tcPr>
          <w:p>
            <w:pPr>
              <w:spacing w:line="500" w:lineRule="exact"/>
              <w:rPr>
                <w:rFonts w:hint="eastAsia" w:asciiTheme="minorEastAsia" w:hAnsiTheme="minorEastAsia" w:eastAsiaTheme="minorEastAsia" w:cstheme="minorEastAsia"/>
                <w:sz w:val="24"/>
              </w:rPr>
            </w:pPr>
          </w:p>
        </w:tc>
        <w:tc>
          <w:tcPr>
            <w:tcW w:w="881" w:type="dxa"/>
          </w:tcPr>
          <w:p>
            <w:pPr>
              <w:spacing w:line="500" w:lineRule="exact"/>
              <w:rPr>
                <w:rFonts w:hint="eastAsia" w:asciiTheme="minorEastAsia" w:hAnsiTheme="minorEastAsia" w:eastAsiaTheme="minorEastAsia" w:cstheme="minorEastAsia"/>
                <w:sz w:val="24"/>
              </w:rPr>
            </w:pPr>
          </w:p>
        </w:tc>
        <w:tc>
          <w:tcPr>
            <w:tcW w:w="1528" w:type="dxa"/>
          </w:tcPr>
          <w:p>
            <w:pPr>
              <w:spacing w:line="500" w:lineRule="exact"/>
              <w:rPr>
                <w:rFonts w:hint="eastAsia" w:asciiTheme="minorEastAsia" w:hAnsiTheme="minorEastAsia" w:eastAsiaTheme="minorEastAsia" w:cstheme="minorEastAsia"/>
                <w:sz w:val="24"/>
              </w:rPr>
            </w:pPr>
          </w:p>
        </w:tc>
        <w:tc>
          <w:tcPr>
            <w:tcW w:w="1481" w:type="dxa"/>
          </w:tcPr>
          <w:p>
            <w:pPr>
              <w:spacing w:line="500" w:lineRule="exac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82" w:type="dxa"/>
          </w:tcPr>
          <w:p>
            <w:pPr>
              <w:spacing w:line="500" w:lineRule="exact"/>
              <w:jc w:val="center"/>
              <w:rPr>
                <w:rFonts w:hint="eastAsia" w:asciiTheme="minorEastAsia" w:hAnsiTheme="minorEastAsia" w:eastAsiaTheme="minorEastAsia" w:cstheme="minorEastAsia"/>
                <w:sz w:val="24"/>
              </w:rPr>
            </w:pPr>
          </w:p>
        </w:tc>
        <w:tc>
          <w:tcPr>
            <w:tcW w:w="1591" w:type="dxa"/>
          </w:tcPr>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7103" w:type="dxa"/>
            <w:gridSpan w:val="6"/>
          </w:tcPr>
          <w:p>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小写人民币：</w:t>
            </w:r>
            <w:r>
              <w:rPr>
                <w:rFonts w:hint="eastAsia" w:asciiTheme="minorEastAsia" w:hAnsiTheme="minorEastAsia" w:eastAsiaTheme="minorEastAsia" w:cstheme="minorEastAsia"/>
                <w:sz w:val="24"/>
                <w:u w:val="single"/>
              </w:rPr>
              <w:t xml:space="preserve">                                 </w:t>
            </w:r>
          </w:p>
          <w:p>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大写人民币：</w:t>
            </w:r>
            <w:r>
              <w:rPr>
                <w:rFonts w:hint="eastAsia" w:asciiTheme="minorEastAsia" w:hAnsiTheme="minorEastAsia" w:eastAsiaTheme="minorEastAsia" w:cstheme="minorEastAsia"/>
                <w:sz w:val="24"/>
                <w:u w:val="single"/>
              </w:rPr>
              <w:t xml:space="preserve">                                  </w:t>
            </w:r>
          </w:p>
        </w:tc>
      </w:tr>
    </w:tbl>
    <w:p>
      <w:pPr>
        <w:spacing w:line="5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第一条：付款方式</w:t>
      </w:r>
      <w:r>
        <w:rPr>
          <w:rFonts w:hint="eastAsia" w:asciiTheme="minorEastAsia" w:hAnsiTheme="minorEastAsia" w:eastAsiaTheme="minorEastAsia" w:cstheme="minorEastAsia"/>
          <w:color w:val="auto"/>
          <w:sz w:val="24"/>
        </w:rPr>
        <w:t>：</w:t>
      </w:r>
    </w:p>
    <w:p>
      <w:pPr>
        <w:pStyle w:val="20"/>
        <w:numPr>
          <w:ilvl w:val="0"/>
          <w:numId w:val="2"/>
        </w:numP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材料到货后，经甲方验收合格，支付至合同总价的30%。</w:t>
      </w:r>
    </w:p>
    <w:p>
      <w:pPr>
        <w:pStyle w:val="20"/>
        <w:numPr>
          <w:ilvl w:val="0"/>
          <w:numId w:val="2"/>
        </w:numP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安装调试合格，并通过甲方验收后，支付至合同总价的95%，剩余5%做为质保金。</w:t>
      </w:r>
    </w:p>
    <w:p>
      <w:pPr>
        <w:pStyle w:val="20"/>
        <w:numPr>
          <w:ilvl w:val="0"/>
          <w:numId w:val="2"/>
        </w:numP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交付使用后满一年且售后服务响应及时，可向甲方申请支付质保金（合同金额的5%）。</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第二条：合同总价款：</w:t>
      </w:r>
      <w:r>
        <w:rPr>
          <w:rFonts w:hint="eastAsia" w:asciiTheme="minorEastAsia" w:hAnsiTheme="minorEastAsia" w:eastAsiaTheme="minorEastAsia" w:cstheme="minorEastAsia"/>
          <w:sz w:val="24"/>
        </w:rPr>
        <w:t xml:space="preserve">本合同项下货物总价款为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大写）人民币，具体单价详见上述“供货一览表”。</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本合同总价款是指货物设计、制造、包装、仓储、运输、安装调试、检测、验收及保修期内备品备件发生的所有费用。</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本合同总价款还包含卖方应当提供的伴随服务和售后服务费用。</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本合同执行期间合同总价款不变。</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第三条：组成本合同的有关文件：</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下列关于</w:t>
      </w:r>
      <w:r>
        <w:rPr>
          <w:rFonts w:hint="eastAsia" w:asciiTheme="minorEastAsia" w:hAnsiTheme="minorEastAsia" w:eastAsiaTheme="minorEastAsia" w:cstheme="minorEastAsia"/>
          <w:sz w:val="24"/>
          <w:u w:val="single"/>
        </w:rPr>
        <w:t xml:space="preserve">                     项目，</w:t>
      </w:r>
      <w:r>
        <w:rPr>
          <w:rFonts w:hint="eastAsia" w:asciiTheme="minorEastAsia" w:hAnsiTheme="minorEastAsia" w:eastAsiaTheme="minorEastAsia" w:cstheme="minorEastAsia"/>
          <w:sz w:val="24"/>
        </w:rPr>
        <w:t xml:space="preserve">本合同不可分割的组成部分，与本合同具有同等法律效力，这些文件包括但不限于：   </w:t>
      </w:r>
    </w:p>
    <w:p>
      <w:pPr>
        <w:numPr>
          <w:ilvl w:val="0"/>
          <w:numId w:val="3"/>
        </w:num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卖方提供的报价文件和报价表；  </w:t>
      </w:r>
    </w:p>
    <w:p>
      <w:pPr>
        <w:numPr>
          <w:ilvl w:val="0"/>
          <w:numId w:val="3"/>
        </w:num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供货一览表；    </w:t>
      </w:r>
    </w:p>
    <w:p>
      <w:p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（3）交货地点一览表；</w:t>
      </w:r>
    </w:p>
    <w:p>
      <w:p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（4）服务承诺；       </w:t>
      </w:r>
    </w:p>
    <w:p>
      <w:p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（5）中标或成交通知书；       </w:t>
      </w:r>
    </w:p>
    <w:p>
      <w:pPr>
        <w:spacing w:line="500" w:lineRule="exac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（6）买卖双方商定的其他文件。</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示：如本合同所涉及的标的物已通过政府集中采购方式确定供货商，则本合同有关合同标的、数量、价款、质量标准、交货期限、质保责任、违约责任等条款应当与询价文件及成交供应商采购报价文件中相关内容相一致，不能变更。</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第四条：质量保证</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1、卖方所提供的货物的技术规格应与招标文件规定的技术规格及报价文件相一致；若技术性能无特殊说明，则按国家有关部门最新颁布的标准及规范为准。</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卖方应保证货物是全新、未使用过的原装合格产品，并完全符合合同规定的质量、规格和性能的要求。卖方应保证其提供的货物在正常使用和保养条件下，在其使用寿命内具有良好的性能。货物验收后，在质量保证期内，卖方应对由于设计、工艺或材料的缺陷及安装过程中产生的问题所发生的任何不足或故障负责，在卖方要求的时间内负责采用符合合同规定的规格、质量和性能要求的新零件、部件或设备来更换有缺陷的部分或修补缺陷部分，所需费用由卖方承担，同时相应延长修补或更换件的质量保证期。</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第五条：包装要求</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除合同另有规定外，卖方提供的全部货物均应按标准保护措施进行包装。该包装应适应于远距离运输、防潮、防震和防野蛮装卸，以确保货物安全无损运抵指定地点。由于包装不善所引起的货物损失均由卖方承担。</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2、每一包装单元内应附详细的装箱单和质量合格凭证。</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第六条：交货和验收</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1、双方签订合同后由乙方派遣场地工程师验收场地安装条件，符合安装条件后乙方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工作日交货到买方指定地方。</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2、卖方交付的货物和服务应当完全符合本合同及招标文件、报价文件所规定的要求。卖方提供的货物和服务不符合本合同及招标文件、报价文件规定的，买方有权拒收，由此引起的风险、费用，由卖方承担。</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3、货物的到货验收包括：型号、规格、数量、外观质量</w:t>
      </w:r>
      <w:r>
        <w:rPr>
          <w:rFonts w:hint="eastAsia" w:asciiTheme="minorEastAsia" w:hAnsiTheme="minorEastAsia" w:eastAsiaTheme="minorEastAsia" w:cstheme="minorEastAsia"/>
          <w:sz w:val="24"/>
          <w:lang w:eastAsia="zh-CN"/>
        </w:rPr>
        <w:t>及</w:t>
      </w:r>
      <w:r>
        <w:rPr>
          <w:rFonts w:hint="eastAsia" w:asciiTheme="minorEastAsia" w:hAnsiTheme="minorEastAsia" w:eastAsiaTheme="minorEastAsia" w:cstheme="minorEastAsia"/>
          <w:sz w:val="24"/>
        </w:rPr>
        <w:t>货物包装等完好。</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卖方应将提供货物的装箱清单、随机资料及配件、随机工具等交付给买方；卖方不能完整交付货物及本款规定的单证和工具的，视为未按合同约定交货，卖方负责补齐，因此导致逾期交付的，由卖方按本合同第八条承担相关的违约责任。</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5、设备安装调试完毕后，由双方在5个工作日内共同验收。验收合格的，由买方签署验收结算书，并加盖单位公章。</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6、货物调试验收的标准：按行业通行标准、厂方出厂标准和卖方报价文件的承诺（详见合同附件载明的标准，并不低于国家相关标准）。</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7、如果因为场地等甲方原因造成延期行为由甲方负责。</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第七条：伴随服务及售后服务</w:t>
      </w:r>
    </w:p>
    <w:p>
      <w:pPr>
        <w:spacing w:line="50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 xml:space="preserve"> 1.设备经过双方验收合格之日起进入质保期，</w:t>
      </w:r>
      <w:r>
        <w:rPr>
          <w:rFonts w:hint="eastAsia" w:asciiTheme="minorEastAsia" w:hAnsiTheme="minorEastAsia" w:eastAsiaTheme="minorEastAsia" w:cstheme="minorEastAsia"/>
          <w:color w:val="auto"/>
          <w:sz w:val="24"/>
        </w:rPr>
        <w:t>质保期为</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质保修期内，卖方必须在接到买方保修通知后24小时内派人至买方指定地点现场维修。质保期内，如因火灾、水灾。地震、磁电串入等不可抗拒原因及操作不当等人为因素造成的损坏、卖方负责免费维修。设备材料成本费由买方承担。</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rPr>
        <w:t>2.质保期</w:t>
      </w:r>
      <w:r>
        <w:rPr>
          <w:rFonts w:hint="eastAsia" w:asciiTheme="minorEastAsia" w:hAnsiTheme="minorEastAsia" w:eastAsiaTheme="minorEastAsia" w:cstheme="minorEastAsia"/>
          <w:color w:val="auto"/>
          <w:sz w:val="24"/>
          <w:lang w:eastAsia="zh-CN"/>
        </w:rPr>
        <w:t>满</w:t>
      </w:r>
      <w:r>
        <w:rPr>
          <w:rFonts w:hint="eastAsia" w:asciiTheme="minorEastAsia" w:hAnsiTheme="minorEastAsia" w:eastAsiaTheme="minorEastAsia" w:cstheme="minorEastAsia"/>
          <w:color w:val="auto"/>
          <w:sz w:val="24"/>
        </w:rPr>
        <w:t>后</w:t>
      </w:r>
      <w:r>
        <w:rPr>
          <w:rFonts w:hint="eastAsia" w:asciiTheme="minorEastAsia" w:hAnsiTheme="minorEastAsia" w:eastAsiaTheme="minorEastAsia" w:cstheme="minorEastAsia"/>
          <w:color w:val="auto"/>
          <w:sz w:val="24"/>
          <w:lang w:eastAsia="zh-CN"/>
        </w:rPr>
        <w:t>，买卖双方可约定</w:t>
      </w:r>
      <w:r>
        <w:rPr>
          <w:rFonts w:hint="eastAsia" w:asciiTheme="minorEastAsia" w:hAnsiTheme="minorEastAsia" w:eastAsiaTheme="minorEastAsia" w:cstheme="minorEastAsia"/>
          <w:color w:val="auto"/>
          <w:sz w:val="24"/>
        </w:rPr>
        <w:t>卖方有偿提供设备的终身维护保养服务，卖方接到</w:t>
      </w:r>
      <w:r>
        <w:rPr>
          <w:rFonts w:hint="eastAsia" w:asciiTheme="minorEastAsia" w:hAnsiTheme="minorEastAsia" w:eastAsiaTheme="minorEastAsia" w:cstheme="minorEastAsia"/>
          <w:sz w:val="24"/>
        </w:rPr>
        <w:t>甲方维修通知后48小时派人至现场维修。设备的维修、更换，卖方酌情收取成本费和服务费，收费标准另行约定。</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3、卖方还应免费提供设备安装和维修所需的专用工具和辅助材料，应派专业技术人员在项目现场对买方使用人员进行培训或指导，在使用一段时间后可根据买方的要求另行安排培训计划。</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第八条：违约责任</w:t>
      </w:r>
    </w:p>
    <w:p>
      <w:pPr>
        <w:spacing w:line="500" w:lineRule="exact"/>
        <w:ind w:firstLine="482"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买方无故逾期验收和办理货款支付手续的,买方应按逾期付款总额每日5‰ 向卖方支付违约金，</w:t>
      </w:r>
      <w:r>
        <w:rPr>
          <w:rFonts w:hint="eastAsia" w:asciiTheme="minorEastAsia" w:hAnsiTheme="minorEastAsia" w:eastAsiaTheme="minorEastAsia" w:cstheme="minorEastAsia"/>
          <w:color w:val="auto"/>
          <w:sz w:val="24"/>
          <w:lang w:val="en-US" w:eastAsia="zh-CN"/>
        </w:rPr>
        <w:t>违约金最高为</w:t>
      </w:r>
      <w:r>
        <w:rPr>
          <w:rFonts w:hint="eastAsia" w:asciiTheme="minorEastAsia" w:hAnsiTheme="minorEastAsia" w:eastAsiaTheme="minorEastAsia" w:cstheme="minorEastAsia"/>
          <w:color w:val="auto"/>
          <w:sz w:val="24"/>
        </w:rPr>
        <w:t>合同总价款的5%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如逾期达10天以上可向当地法院提起诉讼</w:t>
      </w:r>
      <w:r>
        <w:rPr>
          <w:rFonts w:hint="eastAsia" w:asciiTheme="minorEastAsia" w:hAnsiTheme="minorEastAsia" w:eastAsiaTheme="minorEastAsia" w:cstheme="minorEastAsia"/>
          <w:color w:val="auto"/>
          <w:sz w:val="24"/>
          <w:lang w:eastAsia="zh-CN"/>
        </w:rPr>
        <w:t>。</w:t>
      </w:r>
    </w:p>
    <w:p>
      <w:pPr>
        <w:spacing w:line="50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2、卖方逾期交付货物的，卖方</w:t>
      </w:r>
      <w:r>
        <w:rPr>
          <w:rFonts w:hint="eastAsia" w:asciiTheme="minorEastAsia" w:hAnsiTheme="minorEastAsia" w:eastAsiaTheme="minorEastAsia" w:cstheme="minorEastAsia"/>
          <w:color w:val="auto"/>
          <w:sz w:val="24"/>
          <w:lang w:eastAsia="zh-CN"/>
        </w:rPr>
        <w:t>应按逾期交货总额</w:t>
      </w:r>
      <w:r>
        <w:rPr>
          <w:rFonts w:hint="eastAsia" w:asciiTheme="minorEastAsia" w:hAnsiTheme="minorEastAsia" w:eastAsiaTheme="minorEastAsia" w:cstheme="minorEastAsia"/>
          <w:color w:val="auto"/>
          <w:sz w:val="24"/>
          <w:lang w:val="en-US" w:eastAsia="zh-CN"/>
        </w:rPr>
        <w:t>每日</w:t>
      </w: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en-US" w:eastAsia="zh-CN"/>
        </w:rPr>
        <w:t>向买方支付</w:t>
      </w:r>
      <w:r>
        <w:rPr>
          <w:rFonts w:hint="eastAsia" w:asciiTheme="minorEastAsia" w:hAnsiTheme="minorEastAsia" w:eastAsiaTheme="minorEastAsia" w:cstheme="minorEastAsia"/>
          <w:color w:val="auto"/>
          <w:sz w:val="24"/>
        </w:rPr>
        <w:t>违约金，逾期交货达1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天（包括1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天）以上的，买方有权解除本合同</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卖</w:t>
      </w:r>
      <w:r>
        <w:rPr>
          <w:rFonts w:hint="eastAsia" w:asciiTheme="minorEastAsia" w:hAnsiTheme="minorEastAsia" w:eastAsiaTheme="minorEastAsia" w:cstheme="minorEastAsia"/>
          <w:color w:val="auto"/>
          <w:sz w:val="24"/>
          <w:lang w:eastAsia="zh-CN"/>
        </w:rPr>
        <w:t>方因逾期交货或因其他违约行为导致</w:t>
      </w:r>
      <w:r>
        <w:rPr>
          <w:rFonts w:hint="eastAsia" w:asciiTheme="minorEastAsia" w:hAnsiTheme="minorEastAsia" w:eastAsiaTheme="minorEastAsia" w:cstheme="minorEastAsia"/>
          <w:color w:val="auto"/>
          <w:sz w:val="24"/>
          <w:lang w:val="en-US" w:eastAsia="zh-CN"/>
        </w:rPr>
        <w:t>买</w:t>
      </w:r>
      <w:r>
        <w:rPr>
          <w:rFonts w:hint="eastAsia" w:asciiTheme="minorEastAsia" w:hAnsiTheme="minorEastAsia" w:eastAsiaTheme="minorEastAsia" w:cstheme="minorEastAsia"/>
          <w:color w:val="auto"/>
          <w:sz w:val="24"/>
          <w:lang w:eastAsia="zh-CN"/>
        </w:rPr>
        <w:t>方解除合同的，</w:t>
      </w:r>
      <w:r>
        <w:rPr>
          <w:rFonts w:hint="eastAsia" w:asciiTheme="minorEastAsia" w:hAnsiTheme="minorEastAsia" w:eastAsiaTheme="minorEastAsia" w:cstheme="minorEastAsia"/>
          <w:color w:val="auto"/>
          <w:sz w:val="24"/>
          <w:lang w:val="en-US" w:eastAsia="zh-CN"/>
        </w:rPr>
        <w:t>如造成甲方损失超过违约金</w:t>
      </w:r>
      <w:r>
        <w:rPr>
          <w:rFonts w:hint="eastAsia" w:asciiTheme="minorEastAsia" w:hAnsiTheme="minorEastAsia" w:eastAsiaTheme="minorEastAsia" w:cstheme="minorEastAsia"/>
          <w:color w:val="auto"/>
          <w:sz w:val="24"/>
        </w:rPr>
        <w:t>（包括但不限于买方因解除合同而向第三方订购同类货物多支付的价款或费用）的，</w:t>
      </w:r>
      <w:r>
        <w:rPr>
          <w:rFonts w:hint="eastAsia" w:asciiTheme="minorEastAsia" w:hAnsiTheme="minorEastAsia" w:eastAsiaTheme="minorEastAsia" w:cstheme="minorEastAsia"/>
          <w:color w:val="auto"/>
          <w:sz w:val="24"/>
          <w:lang w:val="en-US" w:eastAsia="zh-CN"/>
        </w:rPr>
        <w:t>由</w:t>
      </w:r>
      <w:r>
        <w:rPr>
          <w:rFonts w:hint="eastAsia" w:asciiTheme="minorEastAsia" w:hAnsiTheme="minorEastAsia" w:eastAsiaTheme="minorEastAsia" w:cstheme="minorEastAsia"/>
          <w:color w:val="auto"/>
          <w:sz w:val="24"/>
        </w:rPr>
        <w:t>卖方</w:t>
      </w:r>
      <w:r>
        <w:rPr>
          <w:rFonts w:hint="eastAsia" w:asciiTheme="minorEastAsia" w:hAnsiTheme="minorEastAsia" w:eastAsiaTheme="minorEastAsia" w:cstheme="minorEastAsia"/>
          <w:color w:val="auto"/>
          <w:sz w:val="24"/>
          <w:lang w:val="en-US" w:eastAsia="zh-CN"/>
        </w:rPr>
        <w:t>承担</w:t>
      </w:r>
      <w:r>
        <w:rPr>
          <w:rFonts w:hint="eastAsia" w:asciiTheme="minorEastAsia" w:hAnsiTheme="minorEastAsia" w:eastAsiaTheme="minorEastAsia" w:cstheme="minorEastAsia"/>
          <w:color w:val="auto"/>
          <w:sz w:val="24"/>
        </w:rPr>
        <w:t>全部赔偿。</w:t>
      </w:r>
    </w:p>
    <w:p>
      <w:pPr>
        <w:spacing w:line="50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3、卖方所交付的货物品种、型号、规格不符合</w:t>
      </w:r>
      <w:r>
        <w:rPr>
          <w:rFonts w:hint="eastAsia" w:asciiTheme="minorEastAsia" w:hAnsiTheme="minorEastAsia" w:eastAsiaTheme="minorEastAsia" w:cstheme="minorEastAsia"/>
          <w:color w:val="auto"/>
          <w:sz w:val="24"/>
          <w:lang w:val="en-US" w:eastAsia="zh-CN"/>
        </w:rPr>
        <w:t>招标文件</w:t>
      </w:r>
      <w:r>
        <w:rPr>
          <w:rFonts w:hint="eastAsia" w:asciiTheme="minorEastAsia" w:hAnsiTheme="minorEastAsia" w:eastAsiaTheme="minorEastAsia" w:cstheme="minorEastAsia"/>
          <w:color w:val="auto"/>
          <w:sz w:val="24"/>
        </w:rPr>
        <w:t>规定的，买方有权拒收或要求卖方立即补齐、更换。买方拒收的，卖方应向买方支付</w:t>
      </w:r>
      <w:r>
        <w:rPr>
          <w:rFonts w:hint="eastAsia" w:asciiTheme="minorEastAsia" w:hAnsiTheme="minorEastAsia" w:eastAsiaTheme="minorEastAsia" w:cstheme="minorEastAsia"/>
          <w:color w:val="auto"/>
          <w:sz w:val="24"/>
          <w:lang w:val="en-US" w:eastAsia="zh-CN"/>
        </w:rPr>
        <w:t>不符合招标文件规定部分</w:t>
      </w:r>
      <w:r>
        <w:rPr>
          <w:rFonts w:hint="eastAsia" w:asciiTheme="minorEastAsia" w:hAnsiTheme="minorEastAsia" w:eastAsiaTheme="minorEastAsia" w:cstheme="minorEastAsia"/>
          <w:color w:val="auto"/>
          <w:sz w:val="24"/>
        </w:rPr>
        <w:t>货款总额5%的违约金；卖方按要求补齐更换货物因此超过合同约定的交货期限的，视为卖方逾期交付货物，按本合同第2款承担违约责任。</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4、卖方未按本合同的规定和“服务承诺”提供伴随服务/售后服务的，应按合同总价款的5%向买方承担违约责任。</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5、卖方在承担上述2-4款一项或多项违约责任后，仍应继续履行合同规定的义务（买方解除合同的除外）。买方未能及时追究卖方的任何一项违约责任并不表明买方放弃追究卖方该项或其他违约责任。</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第九条：合同的变更和终止</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除《政府采购法》第49条、第50条第二款规定及本合同约定的情形外，本合同一经签订，买卖双方不得擅自变更、中止或终止合同。</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第十条：合同的转让</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卖方不得擅自部分或全部转让其应履行的合同义务。</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第十一条：争议的解决</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1、因货物的质量问题发生争议的，应当邀请国家认可的质量检测机构对货物质量进行鉴定。货物符合标准的，鉴定费由买方承担；货物不符合质量标准的，鉴定费由卖方承担。</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2、因履行本合同引起的或与本合同有关的争议，买、卖双方应首先通过友好协商解决，如果协商不能解决争议，则采取以下2种方式解决争议：</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（1）向买方所在地有管辖权的人民法院提起诉讼；</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（2）向买方所在地仲裁委员会按其仲裁规则申请仲裁；在仲裁期间，本合同应继续履行。</w:t>
      </w:r>
    </w:p>
    <w:p>
      <w:pPr>
        <w:spacing w:line="5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第十二条：合同生效及其他</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1、本合同自双方签章之日生效，签章日期不一致的，以在后的日期为合同生效之日。</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2、本合同一式四份，买卖双方各执二份，。</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3、买方的采购代理机构，根据买方的授权代其采购确定卖方为成交单位，但不承担本合同规定的买方的权利和义务。</w:t>
      </w:r>
    </w:p>
    <w:p>
      <w:pPr>
        <w:spacing w:line="5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4、合同应按照中华人民共和国的现行法律进行解释。</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甲方（采购人）：（盖章）            乙方（供应商）：</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法定代表人：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委托代理人：</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                        电    话：</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帐    号：                         帐     号：  </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行     号：                         行      号：</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期：年  月   日              日      期：年  月   日</w:t>
      </w:r>
    </w:p>
    <w:p>
      <w:pPr>
        <w:pStyle w:val="32"/>
        <w:spacing w:line="500" w:lineRule="exact"/>
        <w:rPr>
          <w:rFonts w:hint="eastAsia" w:asciiTheme="minorEastAsia" w:hAnsiTheme="minorEastAsia" w:eastAsiaTheme="minorEastAsia" w:cstheme="minorEastAsia"/>
          <w:kern w:val="2"/>
        </w:rPr>
      </w:pPr>
    </w:p>
    <w:p>
      <w:pPr>
        <w:spacing w:line="440" w:lineRule="exact"/>
        <w:ind w:firstLine="480"/>
        <w:rPr>
          <w:rFonts w:hint="eastAsia" w:asciiTheme="minorEastAsia" w:hAnsiTheme="minorEastAsia" w:eastAsiaTheme="minorEastAsia" w:cstheme="minorEastAsia"/>
          <w:sz w:val="24"/>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pStyle w:val="32"/>
        <w:rPr>
          <w:rFonts w:hint="eastAsia" w:asciiTheme="minorEastAsia" w:hAnsiTheme="minorEastAsia" w:eastAsiaTheme="minorEastAsia" w:cstheme="minorEastAsia"/>
          <w:b/>
          <w:bCs/>
          <w:sz w:val="32"/>
          <w:szCs w:val="32"/>
        </w:rPr>
      </w:pPr>
    </w:p>
    <w:p>
      <w:pPr>
        <w:numPr>
          <w:ilvl w:val="0"/>
          <w:numId w:val="0"/>
        </w:numPr>
        <w:spacing w:line="360" w:lineRule="auto"/>
        <w:jc w:val="both"/>
        <w:outlineLvl w:val="0"/>
        <w:rPr>
          <w:rFonts w:hint="eastAsia" w:asciiTheme="minorEastAsia" w:hAnsiTheme="minorEastAsia" w:eastAsiaTheme="minorEastAsia" w:cstheme="minorEastAsia"/>
          <w:b/>
          <w:bCs/>
          <w:sz w:val="32"/>
          <w:szCs w:val="32"/>
          <w:lang w:val="en-US" w:eastAsia="zh-CN"/>
        </w:rPr>
      </w:pPr>
    </w:p>
    <w:p>
      <w:pPr>
        <w:numPr>
          <w:ilvl w:val="0"/>
          <w:numId w:val="0"/>
        </w:numPr>
        <w:spacing w:line="360" w:lineRule="auto"/>
        <w:jc w:val="center"/>
        <w:outlineLvl w:val="0"/>
        <w:rPr>
          <w:rFonts w:hint="eastAsia" w:asciiTheme="minorEastAsia" w:hAnsiTheme="minorEastAsia" w:eastAsiaTheme="minorEastAsia" w:cstheme="minorEastAsia"/>
          <w:b/>
          <w:bCs/>
          <w:sz w:val="32"/>
          <w:szCs w:val="32"/>
          <w:lang w:val="en-US" w:eastAsia="zh-CN"/>
        </w:rPr>
      </w:pPr>
    </w:p>
    <w:p>
      <w:pPr>
        <w:numPr>
          <w:ilvl w:val="0"/>
          <w:numId w:val="0"/>
        </w:numPr>
        <w:spacing w:line="360" w:lineRule="auto"/>
        <w:jc w:val="center"/>
        <w:outlineLvl w:val="0"/>
        <w:rPr>
          <w:rFonts w:hint="eastAsia" w:asciiTheme="minorEastAsia" w:hAnsiTheme="minorEastAsia" w:eastAsiaTheme="minorEastAsia" w:cstheme="minorEastAsia"/>
          <w:b/>
          <w:bCs/>
          <w:sz w:val="32"/>
          <w:szCs w:val="32"/>
          <w:lang w:val="en-US" w:eastAsia="zh-CN"/>
        </w:rPr>
      </w:pPr>
    </w:p>
    <w:p>
      <w:pPr>
        <w:numPr>
          <w:ilvl w:val="0"/>
          <w:numId w:val="0"/>
        </w:numPr>
        <w:spacing w:line="360" w:lineRule="auto"/>
        <w:jc w:val="center"/>
        <w:outlineLvl w:val="0"/>
        <w:rPr>
          <w:rFonts w:hint="eastAsia" w:asciiTheme="minorEastAsia" w:hAnsiTheme="minorEastAsia" w:eastAsiaTheme="minorEastAsia" w:cstheme="minorEastAsia"/>
          <w:b/>
          <w:bCs/>
          <w:sz w:val="32"/>
          <w:szCs w:val="32"/>
          <w:lang w:val="en-US" w:eastAsia="zh-CN"/>
        </w:rPr>
      </w:pPr>
    </w:p>
    <w:p>
      <w:pPr>
        <w:numPr>
          <w:ilvl w:val="0"/>
          <w:numId w:val="0"/>
        </w:numPr>
        <w:spacing w:line="360" w:lineRule="auto"/>
        <w:jc w:val="center"/>
        <w:outlineLvl w:val="0"/>
        <w:rPr>
          <w:rFonts w:hint="eastAsia" w:asciiTheme="minorEastAsia" w:hAnsiTheme="minorEastAsia" w:eastAsiaTheme="minorEastAsia" w:cstheme="minorEastAsia"/>
          <w:b/>
          <w:bCs/>
          <w:sz w:val="32"/>
          <w:szCs w:val="32"/>
          <w:lang w:val="en-US" w:eastAsia="zh-CN"/>
        </w:rPr>
      </w:pPr>
    </w:p>
    <w:p>
      <w:pPr>
        <w:numPr>
          <w:ilvl w:val="0"/>
          <w:numId w:val="0"/>
        </w:numPr>
        <w:spacing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第四章 </w:t>
      </w:r>
      <w:r>
        <w:rPr>
          <w:rFonts w:hint="eastAsia" w:asciiTheme="minorEastAsia" w:hAnsiTheme="minorEastAsia" w:eastAsiaTheme="minorEastAsia" w:cstheme="minorEastAsia"/>
          <w:b/>
          <w:bCs/>
          <w:sz w:val="32"/>
          <w:szCs w:val="32"/>
        </w:rPr>
        <w:t>采购</w:t>
      </w:r>
      <w:r>
        <w:rPr>
          <w:rFonts w:hint="eastAsia" w:asciiTheme="minorEastAsia" w:hAnsiTheme="minorEastAsia" w:eastAsiaTheme="minorEastAsia" w:cstheme="minorEastAsia"/>
          <w:b/>
          <w:bCs/>
          <w:sz w:val="32"/>
          <w:szCs w:val="32"/>
          <w:lang w:val="en-US" w:eastAsia="zh-CN"/>
        </w:rPr>
        <w:t>清单和设计方案要求</w:t>
      </w:r>
    </w:p>
    <w:tbl>
      <w:tblPr>
        <w:tblStyle w:val="2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69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jc w:val="center"/>
              <w:rPr>
                <w:rFonts w:asciiTheme="minorEastAsia" w:hAnsiTheme="minorEastAsia"/>
                <w:b/>
                <w:kern w:val="0"/>
                <w:sz w:val="20"/>
                <w:szCs w:val="21"/>
              </w:rPr>
            </w:pPr>
            <w:r>
              <w:rPr>
                <w:rFonts w:hint="eastAsia" w:asciiTheme="minorEastAsia" w:hAnsiTheme="minorEastAsia"/>
                <w:b/>
                <w:kern w:val="0"/>
                <w:sz w:val="20"/>
                <w:szCs w:val="21"/>
              </w:rPr>
              <w:t>序号</w:t>
            </w:r>
          </w:p>
        </w:tc>
        <w:tc>
          <w:tcPr>
            <w:tcW w:w="709" w:type="dxa"/>
            <w:shd w:val="clear" w:color="auto" w:fill="auto"/>
            <w:vAlign w:val="center"/>
          </w:tcPr>
          <w:p>
            <w:pPr>
              <w:jc w:val="center"/>
              <w:rPr>
                <w:rFonts w:asciiTheme="minorEastAsia" w:hAnsiTheme="minorEastAsia"/>
                <w:b/>
                <w:kern w:val="0"/>
                <w:sz w:val="20"/>
                <w:szCs w:val="21"/>
              </w:rPr>
            </w:pPr>
            <w:r>
              <w:rPr>
                <w:rFonts w:hint="eastAsia" w:asciiTheme="minorEastAsia" w:hAnsiTheme="minorEastAsia"/>
                <w:b/>
                <w:kern w:val="0"/>
                <w:sz w:val="20"/>
                <w:szCs w:val="21"/>
              </w:rPr>
              <w:t>产品名称</w:t>
            </w:r>
          </w:p>
        </w:tc>
        <w:tc>
          <w:tcPr>
            <w:tcW w:w="6946" w:type="dxa"/>
            <w:shd w:val="clear" w:color="auto" w:fill="auto"/>
            <w:vAlign w:val="center"/>
          </w:tcPr>
          <w:p>
            <w:pPr>
              <w:jc w:val="center"/>
              <w:rPr>
                <w:rFonts w:asciiTheme="minorEastAsia" w:hAnsiTheme="minorEastAsia"/>
                <w:b/>
                <w:kern w:val="0"/>
                <w:sz w:val="20"/>
                <w:szCs w:val="21"/>
              </w:rPr>
            </w:pPr>
            <w:r>
              <w:rPr>
                <w:rFonts w:hint="eastAsia" w:asciiTheme="minorEastAsia" w:hAnsiTheme="minorEastAsia"/>
                <w:b/>
                <w:kern w:val="0"/>
                <w:sz w:val="20"/>
                <w:szCs w:val="21"/>
              </w:rPr>
              <w:t>技术参数</w:t>
            </w:r>
          </w:p>
        </w:tc>
        <w:tc>
          <w:tcPr>
            <w:tcW w:w="850" w:type="dxa"/>
            <w:shd w:val="clear" w:color="auto" w:fill="auto"/>
            <w:vAlign w:val="center"/>
          </w:tcPr>
          <w:p>
            <w:pPr>
              <w:jc w:val="center"/>
              <w:rPr>
                <w:rFonts w:asciiTheme="minorEastAsia" w:hAnsiTheme="minorEastAsia"/>
                <w:b/>
                <w:kern w:val="0"/>
                <w:sz w:val="20"/>
                <w:szCs w:val="21"/>
              </w:rPr>
            </w:pPr>
            <w:r>
              <w:rPr>
                <w:rFonts w:hint="eastAsia" w:asciiTheme="minorEastAsia" w:hAnsiTheme="minorEastAsia"/>
                <w:b/>
                <w:kern w:val="0"/>
                <w:sz w:val="20"/>
                <w:szCs w:val="21"/>
              </w:rPr>
              <w:t>数量（</w:t>
            </w:r>
            <w:r>
              <w:rPr>
                <w:rFonts w:asciiTheme="minorEastAsia" w:hAnsiTheme="minorEastAsia"/>
                <w:b/>
                <w:kern w:val="0"/>
                <w:sz w:val="2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Theme="minorEastAsia" w:hAnsiTheme="minorEastAsia"/>
                <w:kern w:val="0"/>
                <w:sz w:val="20"/>
                <w:szCs w:val="21"/>
              </w:rPr>
            </w:pPr>
            <w:r>
              <w:rPr>
                <w:rFonts w:hint="eastAsia" w:asciiTheme="minorEastAsia" w:hAnsiTheme="minorEastAsia"/>
                <w:kern w:val="0"/>
                <w:sz w:val="20"/>
                <w:szCs w:val="21"/>
              </w:rPr>
              <w:t>1</w:t>
            </w:r>
          </w:p>
        </w:tc>
        <w:tc>
          <w:tcPr>
            <w:tcW w:w="709" w:type="dxa"/>
            <w:vAlign w:val="center"/>
          </w:tcPr>
          <w:p>
            <w:pPr>
              <w:jc w:val="center"/>
              <w:rPr>
                <w:rFonts w:ascii="宋体" w:hAnsi="宋体" w:eastAsia="宋体"/>
                <w:kern w:val="0"/>
                <w:sz w:val="20"/>
                <w:szCs w:val="21"/>
              </w:rPr>
            </w:pPr>
            <w:r>
              <w:rPr>
                <w:rFonts w:hint="eastAsia" w:ascii="宋体" w:hAnsi="宋体" w:eastAsia="宋体" w:cs="Arial"/>
                <w:kern w:val="0"/>
                <w:sz w:val="20"/>
                <w:szCs w:val="21"/>
              </w:rPr>
              <w:t>LED教室灯</w:t>
            </w:r>
          </w:p>
        </w:tc>
        <w:tc>
          <w:tcPr>
            <w:tcW w:w="6946" w:type="dxa"/>
            <w:vAlign w:val="center"/>
          </w:tcPr>
          <w:p>
            <w:pPr>
              <w:jc w:val="left"/>
              <w:rPr>
                <w:rFonts w:ascii="宋体" w:hAnsi="宋体" w:eastAsia="宋体" w:cs="Arial"/>
                <w:kern w:val="0"/>
                <w:sz w:val="20"/>
                <w:szCs w:val="21"/>
              </w:rPr>
            </w:pPr>
            <w:r>
              <w:rPr>
                <w:rFonts w:ascii="宋体" w:hAnsi="宋体" w:eastAsia="宋体" w:cs="Arial"/>
                <w:kern w:val="0"/>
                <w:sz w:val="20"/>
                <w:szCs w:val="21"/>
              </w:rPr>
              <w:t>1</w:t>
            </w:r>
            <w:r>
              <w:rPr>
                <w:rFonts w:hint="eastAsia" w:ascii="宋体" w:hAnsi="宋体" w:eastAsia="宋体" w:cs="Arial"/>
                <w:kern w:val="0"/>
                <w:sz w:val="20"/>
                <w:szCs w:val="21"/>
              </w:rPr>
              <w:t>、LED教室灯额定功率≤55W。</w:t>
            </w:r>
          </w:p>
          <w:p>
            <w:pPr>
              <w:jc w:val="left"/>
              <w:rPr>
                <w:rFonts w:ascii="宋体" w:hAnsi="宋体" w:eastAsia="宋体" w:cs="Arial"/>
                <w:kern w:val="0"/>
                <w:sz w:val="20"/>
                <w:szCs w:val="21"/>
              </w:rPr>
            </w:pPr>
            <w:r>
              <w:rPr>
                <w:rFonts w:hint="eastAsia" w:ascii="宋体" w:hAnsi="宋体" w:eastAsia="宋体" w:cs="Arial"/>
                <w:kern w:val="0"/>
                <w:sz w:val="20"/>
                <w:szCs w:val="21"/>
              </w:rPr>
              <w:t>2、LED教室灯长度≥1000mm；为一体式微晶防眩面板灯，灯具外形应平整、无凹陷和毛刺，焊缝无透光现象，表面均匀、光洁，无流挂现象。</w:t>
            </w:r>
          </w:p>
          <w:p>
            <w:pPr>
              <w:jc w:val="left"/>
              <w:rPr>
                <w:rFonts w:ascii="宋体" w:hAnsi="宋体" w:eastAsia="宋体" w:cs="Arial"/>
                <w:kern w:val="0"/>
                <w:sz w:val="20"/>
                <w:szCs w:val="21"/>
              </w:rPr>
            </w:pPr>
            <w:r>
              <w:rPr>
                <w:rFonts w:hint="eastAsia" w:ascii="宋体" w:hAnsi="宋体" w:eastAsia="宋体" w:cs="Arial"/>
                <w:kern w:val="0"/>
                <w:sz w:val="20"/>
                <w:szCs w:val="21"/>
              </w:rPr>
              <w:t>★3、LED教室灯色温（或相关色温）在初始测试（0或1000小时）及</w:t>
            </w:r>
            <w:r>
              <w:rPr>
                <w:rFonts w:ascii="宋体" w:hAnsi="宋体" w:eastAsia="宋体" w:cs="Arial"/>
                <w:kern w:val="0"/>
                <w:sz w:val="20"/>
                <w:szCs w:val="21"/>
              </w:rPr>
              <w:t>正常燃点</w:t>
            </w:r>
            <w:r>
              <w:rPr>
                <w:rFonts w:hint="eastAsia" w:ascii="宋体" w:hAnsi="宋体" w:eastAsia="宋体" w:cs="Arial"/>
                <w:kern w:val="0"/>
                <w:sz w:val="20"/>
                <w:szCs w:val="21"/>
              </w:rPr>
              <w:t>20000小时或以上时间均满足3300-5300K。</w:t>
            </w:r>
          </w:p>
          <w:p>
            <w:pPr>
              <w:jc w:val="left"/>
              <w:rPr>
                <w:rFonts w:ascii="宋体" w:hAnsi="宋体" w:eastAsia="宋体" w:cs="Arial"/>
                <w:kern w:val="0"/>
                <w:sz w:val="20"/>
                <w:szCs w:val="21"/>
              </w:rPr>
            </w:pPr>
            <w:r>
              <w:rPr>
                <w:rFonts w:hint="eastAsia" w:ascii="宋体" w:hAnsi="宋体" w:eastAsia="宋体" w:cs="Arial"/>
                <w:kern w:val="0"/>
                <w:sz w:val="20"/>
                <w:szCs w:val="21"/>
              </w:rPr>
              <w:t>★4、LED教室灯显色指数在初始测试（0或1000小时）及</w:t>
            </w:r>
            <w:r>
              <w:rPr>
                <w:rFonts w:ascii="宋体" w:hAnsi="宋体" w:eastAsia="宋体" w:cs="Arial"/>
                <w:kern w:val="0"/>
                <w:sz w:val="20"/>
                <w:szCs w:val="21"/>
              </w:rPr>
              <w:t>正常燃点</w:t>
            </w:r>
            <w:r>
              <w:rPr>
                <w:rFonts w:hint="eastAsia" w:ascii="宋体" w:hAnsi="宋体" w:eastAsia="宋体" w:cs="Arial"/>
                <w:kern w:val="0"/>
                <w:sz w:val="20"/>
                <w:szCs w:val="21"/>
              </w:rPr>
              <w:t>20000小时或以上时间均满足Ra≥90、R9≥50。</w:t>
            </w:r>
          </w:p>
          <w:p>
            <w:pPr>
              <w:jc w:val="left"/>
              <w:rPr>
                <w:rFonts w:ascii="宋体" w:hAnsi="宋体" w:eastAsia="宋体" w:cs="Arial"/>
                <w:kern w:val="0"/>
                <w:sz w:val="20"/>
                <w:szCs w:val="21"/>
              </w:rPr>
            </w:pPr>
            <w:r>
              <w:rPr>
                <w:rFonts w:hint="eastAsia" w:ascii="宋体" w:hAnsi="宋体" w:eastAsia="宋体" w:cs="Arial"/>
                <w:kern w:val="0"/>
                <w:sz w:val="20"/>
                <w:szCs w:val="21"/>
              </w:rPr>
              <w:t>5、LED教室灯色容差（或色品容差）正常燃点20000小时或以上时间后与初始测试（0或1000小时）的差值（绝对值）≤5 SDCM。</w:t>
            </w:r>
          </w:p>
          <w:p>
            <w:pPr>
              <w:jc w:val="left"/>
              <w:rPr>
                <w:rFonts w:ascii="宋体" w:hAnsi="宋体" w:eastAsia="宋体" w:cs="Arial"/>
                <w:kern w:val="0"/>
                <w:sz w:val="20"/>
                <w:szCs w:val="21"/>
              </w:rPr>
            </w:pPr>
            <w:r>
              <w:rPr>
                <w:rFonts w:hint="eastAsia" w:ascii="宋体" w:hAnsi="宋体" w:eastAsia="宋体" w:cs="Arial"/>
                <w:kern w:val="0"/>
                <w:sz w:val="20"/>
                <w:szCs w:val="21"/>
              </w:rPr>
              <w:t>★6、为使教室课桌面达到最佳的照度均匀度与防眩效果，LED教室灯须满足宽光束角类型，即光束角（或半峰光束角）在初始测试（0或1000小时）与</w:t>
            </w:r>
            <w:r>
              <w:rPr>
                <w:rFonts w:ascii="宋体" w:hAnsi="宋体" w:eastAsia="宋体" w:cs="Arial"/>
                <w:kern w:val="0"/>
                <w:sz w:val="20"/>
                <w:szCs w:val="21"/>
              </w:rPr>
              <w:t>正常燃点</w:t>
            </w:r>
            <w:r>
              <w:rPr>
                <w:rFonts w:hint="eastAsia" w:ascii="宋体" w:hAnsi="宋体" w:eastAsia="宋体" w:cs="Arial"/>
                <w:kern w:val="0"/>
                <w:sz w:val="20"/>
                <w:szCs w:val="21"/>
              </w:rPr>
              <w:t>20000小时或以上时间均满足：C0-C180面及C90-C270面均应≥70°且两平面相差≤10°。</w:t>
            </w:r>
          </w:p>
          <w:p>
            <w:pPr>
              <w:jc w:val="left"/>
              <w:rPr>
                <w:rFonts w:ascii="宋体" w:hAnsi="宋体" w:eastAsia="宋体" w:cs="Arial"/>
                <w:kern w:val="0"/>
                <w:sz w:val="20"/>
                <w:szCs w:val="21"/>
              </w:rPr>
            </w:pPr>
            <w:r>
              <w:rPr>
                <w:rFonts w:hint="eastAsia" w:ascii="宋体" w:hAnsi="宋体" w:eastAsia="宋体" w:cs="Arial"/>
                <w:kern w:val="0"/>
                <w:sz w:val="20"/>
                <w:szCs w:val="21"/>
              </w:rPr>
              <w:t>7、LED教室灯人体电磁辐射测试满足20kHz-10MHz感应电流密度系数≤0.85。</w:t>
            </w:r>
          </w:p>
          <w:p>
            <w:pPr>
              <w:jc w:val="left"/>
              <w:rPr>
                <w:rFonts w:ascii="宋体" w:hAnsi="宋体" w:eastAsia="宋体" w:cs="Arial"/>
                <w:kern w:val="0"/>
                <w:sz w:val="20"/>
                <w:szCs w:val="21"/>
              </w:rPr>
            </w:pPr>
            <w:r>
              <w:rPr>
                <w:rFonts w:hint="eastAsia" w:ascii="宋体" w:hAnsi="宋体" w:eastAsia="宋体" w:cs="Arial"/>
                <w:kern w:val="0"/>
                <w:sz w:val="20"/>
                <w:szCs w:val="21"/>
              </w:rPr>
              <w:t>★8、LED教室灯满足灯具距离桌面的最低悬挂高度不应低于1.7m，平均照度维持率≥95%，且百勒克斯照明功率密度≤1.8 W/㎡/100 lx。</w:t>
            </w:r>
          </w:p>
          <w:p>
            <w:pPr>
              <w:jc w:val="left"/>
              <w:rPr>
                <w:rFonts w:ascii="宋体" w:hAnsi="宋体" w:eastAsia="宋体" w:cs="Arial"/>
                <w:kern w:val="0"/>
                <w:sz w:val="20"/>
                <w:szCs w:val="21"/>
              </w:rPr>
            </w:pPr>
            <w:r>
              <w:rPr>
                <w:rFonts w:hint="eastAsia" w:ascii="宋体" w:hAnsi="宋体" w:eastAsia="宋体" w:cs="Arial"/>
                <w:kern w:val="0"/>
                <w:sz w:val="20"/>
                <w:szCs w:val="21"/>
              </w:rPr>
              <w:t>★9、LED教室灯发光面</w:t>
            </w:r>
            <w:r>
              <w:rPr>
                <w:rFonts w:ascii="宋体" w:hAnsi="宋体" w:eastAsia="宋体" w:cs="Arial"/>
                <w:kern w:val="0"/>
                <w:sz w:val="20"/>
                <w:szCs w:val="21"/>
              </w:rPr>
              <w:t>法线</w:t>
            </w:r>
            <w:r>
              <w:rPr>
                <w:rFonts w:hint="eastAsia" w:ascii="宋体" w:hAnsi="宋体" w:eastAsia="宋体" w:cs="Arial"/>
                <w:kern w:val="0"/>
                <w:sz w:val="20"/>
                <w:szCs w:val="21"/>
              </w:rPr>
              <w:t>方向</w:t>
            </w:r>
            <w:r>
              <w:rPr>
                <w:rFonts w:ascii="宋体" w:hAnsi="宋体" w:eastAsia="宋体" w:cs="Arial"/>
                <w:kern w:val="0"/>
                <w:sz w:val="20"/>
                <w:szCs w:val="21"/>
              </w:rPr>
              <w:t>亮度</w:t>
            </w:r>
            <w:r>
              <w:rPr>
                <w:rFonts w:hint="eastAsia" w:ascii="宋体" w:hAnsi="宋体" w:eastAsia="宋体" w:cs="Arial"/>
                <w:kern w:val="0"/>
                <w:sz w:val="20"/>
                <w:szCs w:val="21"/>
              </w:rPr>
              <w:t>≤13000</w:t>
            </w:r>
            <w:r>
              <w:rPr>
                <w:rFonts w:ascii="宋体" w:hAnsi="宋体" w:eastAsia="宋体" w:cs="Arial"/>
                <w:kern w:val="0"/>
                <w:sz w:val="20"/>
                <w:szCs w:val="21"/>
              </w:rPr>
              <w:t>cd/</w:t>
            </w:r>
            <w:r>
              <w:rPr>
                <w:rFonts w:hint="eastAsia" w:ascii="宋体" w:hAnsi="宋体" w:eastAsia="宋体" w:cs="Arial"/>
                <w:kern w:val="0"/>
                <w:sz w:val="20"/>
                <w:szCs w:val="21"/>
              </w:rPr>
              <w:t>㎡，长边</w:t>
            </w:r>
            <w:r>
              <w:rPr>
                <w:rFonts w:ascii="宋体" w:hAnsi="宋体" w:eastAsia="宋体" w:cs="Arial"/>
                <w:kern w:val="0"/>
                <w:sz w:val="20"/>
                <w:szCs w:val="21"/>
              </w:rPr>
              <w:t>γ1=60°</w:t>
            </w:r>
            <w:r>
              <w:rPr>
                <w:rFonts w:hint="eastAsia" w:ascii="宋体" w:hAnsi="宋体" w:eastAsia="宋体" w:cs="Arial"/>
                <w:kern w:val="0"/>
                <w:sz w:val="20"/>
                <w:szCs w:val="21"/>
              </w:rPr>
              <w:t>及</w:t>
            </w:r>
            <w:r>
              <w:rPr>
                <w:rFonts w:ascii="宋体" w:hAnsi="宋体" w:eastAsia="宋体" w:cs="Arial"/>
                <w:kern w:val="0"/>
                <w:sz w:val="20"/>
                <w:szCs w:val="21"/>
              </w:rPr>
              <w:t>短边γ2=60°</w:t>
            </w:r>
            <w:r>
              <w:rPr>
                <w:rFonts w:hint="eastAsia" w:ascii="宋体" w:hAnsi="宋体" w:eastAsia="宋体" w:cs="Arial"/>
                <w:kern w:val="0"/>
                <w:sz w:val="20"/>
                <w:szCs w:val="21"/>
              </w:rPr>
              <w:t>角度</w:t>
            </w:r>
            <w:r>
              <w:rPr>
                <w:rFonts w:ascii="宋体" w:hAnsi="宋体" w:eastAsia="宋体" w:cs="Arial"/>
                <w:kern w:val="0"/>
                <w:sz w:val="20"/>
                <w:szCs w:val="21"/>
              </w:rPr>
              <w:t>内亮度</w:t>
            </w:r>
            <w:r>
              <w:rPr>
                <w:rFonts w:hint="eastAsia" w:ascii="宋体" w:hAnsi="宋体" w:eastAsia="宋体" w:cs="Arial"/>
                <w:kern w:val="0"/>
                <w:sz w:val="20"/>
                <w:szCs w:val="21"/>
              </w:rPr>
              <w:t>均≤</w:t>
            </w:r>
            <w:r>
              <w:rPr>
                <w:rFonts w:ascii="宋体" w:hAnsi="宋体" w:eastAsia="宋体" w:cs="Arial"/>
                <w:kern w:val="0"/>
                <w:sz w:val="20"/>
                <w:szCs w:val="21"/>
              </w:rPr>
              <w:t>8</w:t>
            </w:r>
            <w:r>
              <w:rPr>
                <w:rFonts w:hint="eastAsia" w:ascii="宋体" w:hAnsi="宋体" w:eastAsia="宋体" w:cs="Arial"/>
                <w:kern w:val="0"/>
                <w:sz w:val="20"/>
                <w:szCs w:val="21"/>
              </w:rPr>
              <w:t>000</w:t>
            </w:r>
            <w:r>
              <w:rPr>
                <w:rFonts w:ascii="宋体" w:hAnsi="宋体" w:eastAsia="宋体" w:cs="Arial"/>
                <w:kern w:val="0"/>
                <w:sz w:val="20"/>
                <w:szCs w:val="21"/>
              </w:rPr>
              <w:t>cd/</w:t>
            </w:r>
            <w:r>
              <w:rPr>
                <w:rFonts w:hint="eastAsia" w:ascii="宋体" w:hAnsi="宋体" w:eastAsia="宋体" w:cs="Arial"/>
                <w:kern w:val="0"/>
                <w:sz w:val="20"/>
                <w:szCs w:val="21"/>
              </w:rPr>
              <w:t>㎡。</w:t>
            </w:r>
          </w:p>
          <w:p>
            <w:pPr>
              <w:jc w:val="left"/>
              <w:rPr>
                <w:rFonts w:ascii="宋体" w:hAnsi="宋体" w:eastAsia="宋体" w:cs="Arial"/>
                <w:kern w:val="0"/>
                <w:sz w:val="20"/>
                <w:szCs w:val="21"/>
              </w:rPr>
            </w:pPr>
            <w:r>
              <w:rPr>
                <w:rFonts w:hint="eastAsia" w:ascii="宋体" w:hAnsi="宋体" w:eastAsia="宋体" w:cs="Arial"/>
                <w:kern w:val="0"/>
                <w:sz w:val="20"/>
                <w:szCs w:val="21"/>
              </w:rPr>
              <w:t>注</w:t>
            </w:r>
            <w:r>
              <w:rPr>
                <w:rFonts w:ascii="宋体" w:hAnsi="宋体" w:eastAsia="宋体" w:cs="Arial"/>
                <w:kern w:val="0"/>
                <w:sz w:val="20"/>
                <w:szCs w:val="21"/>
              </w:rPr>
              <w:t>：</w:t>
            </w:r>
            <w:r>
              <w:rPr>
                <w:rFonts w:hint="eastAsia" w:ascii="宋体" w:hAnsi="宋体" w:eastAsia="宋体" w:cs="Arial"/>
                <w:kern w:val="0"/>
                <w:sz w:val="20"/>
                <w:szCs w:val="21"/>
              </w:rPr>
              <w:t>第3</w:t>
            </w:r>
            <w:r>
              <w:rPr>
                <w:rFonts w:ascii="宋体" w:hAnsi="宋体" w:eastAsia="宋体" w:cs="Arial"/>
                <w:kern w:val="0"/>
                <w:sz w:val="20"/>
                <w:szCs w:val="21"/>
              </w:rPr>
              <w:t>-</w:t>
            </w:r>
            <w:r>
              <w:rPr>
                <w:rFonts w:hint="eastAsia" w:ascii="宋体" w:hAnsi="宋体" w:eastAsia="宋体" w:cs="Arial"/>
                <w:kern w:val="0"/>
                <w:sz w:val="20"/>
                <w:szCs w:val="21"/>
              </w:rPr>
              <w:t>9项</w:t>
            </w:r>
            <w:r>
              <w:rPr>
                <w:rFonts w:ascii="宋体" w:hAnsi="宋体" w:eastAsia="宋体" w:cs="Arial"/>
                <w:kern w:val="0"/>
                <w:sz w:val="20"/>
                <w:szCs w:val="21"/>
              </w:rPr>
              <w:t>须提供</w:t>
            </w:r>
            <w:r>
              <w:rPr>
                <w:rFonts w:hint="eastAsia" w:ascii="宋体" w:hAnsi="宋体" w:eastAsia="宋体" w:cs="Arial"/>
                <w:kern w:val="0"/>
                <w:sz w:val="20"/>
                <w:szCs w:val="21"/>
              </w:rPr>
              <w:t>第三方检测机构出具的封面带有CMA及CNAS标志的检测报告（如有</w:t>
            </w:r>
            <w:r>
              <w:rPr>
                <w:rFonts w:ascii="宋体" w:hAnsi="宋体" w:eastAsia="宋体" w:cs="Arial"/>
                <w:kern w:val="0"/>
                <w:sz w:val="20"/>
                <w:szCs w:val="21"/>
              </w:rPr>
              <w:t>燃点时间要求，</w:t>
            </w:r>
            <w:r>
              <w:rPr>
                <w:rFonts w:hint="eastAsia" w:ascii="宋体" w:hAnsi="宋体" w:eastAsia="宋体" w:cs="Arial"/>
                <w:kern w:val="0"/>
                <w:sz w:val="20"/>
                <w:szCs w:val="21"/>
              </w:rPr>
              <w:t>报告</w:t>
            </w:r>
            <w:r>
              <w:rPr>
                <w:rFonts w:ascii="宋体" w:hAnsi="宋体" w:eastAsia="宋体" w:cs="Arial"/>
                <w:kern w:val="0"/>
                <w:sz w:val="20"/>
                <w:szCs w:val="21"/>
              </w:rPr>
              <w:t>上</w:t>
            </w:r>
            <w:r>
              <w:rPr>
                <w:rFonts w:hint="eastAsia" w:ascii="宋体" w:hAnsi="宋体" w:eastAsia="宋体" w:cs="Arial"/>
                <w:kern w:val="0"/>
                <w:sz w:val="20"/>
                <w:szCs w:val="21"/>
              </w:rPr>
              <w:t>的检测</w:t>
            </w:r>
            <w:r>
              <w:rPr>
                <w:rFonts w:ascii="宋体" w:hAnsi="宋体" w:eastAsia="宋体" w:cs="Arial"/>
                <w:kern w:val="0"/>
                <w:sz w:val="20"/>
                <w:szCs w:val="21"/>
              </w:rPr>
              <w:t>起止时间</w:t>
            </w:r>
            <w:r>
              <w:rPr>
                <w:rFonts w:hint="eastAsia" w:ascii="宋体" w:hAnsi="宋体" w:eastAsia="宋体" w:cs="Arial"/>
                <w:kern w:val="0"/>
                <w:sz w:val="20"/>
                <w:szCs w:val="21"/>
              </w:rPr>
              <w:t>须为</w:t>
            </w:r>
            <w:r>
              <w:rPr>
                <w:rFonts w:ascii="宋体" w:hAnsi="宋体" w:eastAsia="宋体" w:cs="Arial"/>
                <w:kern w:val="0"/>
                <w:sz w:val="20"/>
                <w:szCs w:val="21"/>
              </w:rPr>
              <w:t>正常燃点</w:t>
            </w:r>
            <w:r>
              <w:rPr>
                <w:rFonts w:hint="eastAsia" w:ascii="宋体" w:hAnsi="宋体" w:eastAsia="宋体" w:cs="Arial"/>
                <w:kern w:val="0"/>
                <w:sz w:val="20"/>
                <w:szCs w:val="21"/>
              </w:rPr>
              <w:t>时间，</w:t>
            </w:r>
            <w:r>
              <w:rPr>
                <w:rFonts w:ascii="宋体" w:hAnsi="宋体" w:eastAsia="宋体" w:cs="Arial"/>
                <w:kern w:val="0"/>
                <w:sz w:val="20"/>
                <w:szCs w:val="21"/>
              </w:rPr>
              <w:t>加速测试无效</w:t>
            </w:r>
            <w:r>
              <w:rPr>
                <w:rFonts w:hint="eastAsia" w:ascii="宋体" w:hAnsi="宋体" w:eastAsia="宋体" w:cs="Arial"/>
                <w:kern w:val="0"/>
                <w:sz w:val="20"/>
                <w:szCs w:val="21"/>
              </w:rPr>
              <w:t>）及全国认证</w:t>
            </w:r>
            <w:r>
              <w:rPr>
                <w:rFonts w:ascii="宋体" w:hAnsi="宋体" w:eastAsia="宋体" w:cs="Arial"/>
                <w:kern w:val="0"/>
                <w:sz w:val="20"/>
                <w:szCs w:val="21"/>
              </w:rPr>
              <w:t>认可信息</w:t>
            </w:r>
            <w:r>
              <w:rPr>
                <w:rFonts w:hint="eastAsia" w:ascii="宋体" w:hAnsi="宋体" w:eastAsia="宋体" w:cs="Arial"/>
                <w:kern w:val="0"/>
                <w:sz w:val="20"/>
                <w:szCs w:val="21"/>
              </w:rPr>
              <w:t>公共</w:t>
            </w:r>
            <w:r>
              <w:rPr>
                <w:rFonts w:ascii="宋体" w:hAnsi="宋体" w:eastAsia="宋体" w:cs="Arial"/>
                <w:kern w:val="0"/>
                <w:sz w:val="20"/>
                <w:szCs w:val="21"/>
              </w:rPr>
              <w:t>服务平台</w:t>
            </w:r>
            <w:r>
              <w:rPr>
                <w:rFonts w:hint="eastAsia" w:ascii="宋体" w:hAnsi="宋体" w:eastAsia="宋体" w:cs="Arial"/>
                <w:kern w:val="0"/>
                <w:sz w:val="20"/>
                <w:szCs w:val="21"/>
              </w:rPr>
              <w:t>检测报告</w:t>
            </w:r>
            <w:r>
              <w:rPr>
                <w:rFonts w:ascii="宋体" w:hAnsi="宋体" w:eastAsia="宋体" w:cs="Arial"/>
                <w:kern w:val="0"/>
                <w:sz w:val="20"/>
                <w:szCs w:val="21"/>
              </w:rPr>
              <w:t>编号</w:t>
            </w:r>
            <w:r>
              <w:rPr>
                <w:rFonts w:hint="eastAsia" w:ascii="宋体" w:hAnsi="宋体" w:eastAsia="宋体" w:cs="Arial"/>
                <w:kern w:val="0"/>
                <w:sz w:val="20"/>
                <w:szCs w:val="21"/>
              </w:rPr>
              <w:t>查询证明复印件。</w:t>
            </w:r>
          </w:p>
          <w:p>
            <w:pPr>
              <w:jc w:val="left"/>
              <w:rPr>
                <w:rFonts w:ascii="宋体" w:hAnsi="宋体" w:eastAsia="宋体" w:cs="Arial"/>
                <w:kern w:val="0"/>
                <w:sz w:val="20"/>
                <w:szCs w:val="21"/>
              </w:rPr>
            </w:pPr>
            <w:r>
              <w:rPr>
                <w:rFonts w:ascii="宋体" w:hAnsi="宋体" w:eastAsia="宋体" w:cs="Arial"/>
                <w:kern w:val="0"/>
                <w:sz w:val="20"/>
                <w:szCs w:val="21"/>
              </w:rPr>
              <w:t>1</w:t>
            </w:r>
            <w:r>
              <w:rPr>
                <w:rFonts w:hint="eastAsia" w:ascii="宋体" w:hAnsi="宋体" w:eastAsia="宋体" w:cs="Arial"/>
                <w:kern w:val="0"/>
                <w:sz w:val="20"/>
                <w:szCs w:val="21"/>
              </w:rPr>
              <w:t>0、LED教室灯整灯通过国家强制性CCC认证。</w:t>
            </w:r>
          </w:p>
          <w:p>
            <w:pPr>
              <w:jc w:val="left"/>
              <w:rPr>
                <w:rFonts w:ascii="宋体" w:hAnsi="宋体" w:eastAsia="宋体" w:cs="Arial"/>
                <w:kern w:val="0"/>
                <w:sz w:val="20"/>
                <w:szCs w:val="21"/>
              </w:rPr>
            </w:pPr>
            <w:r>
              <w:rPr>
                <w:rFonts w:ascii="宋体" w:hAnsi="宋体" w:eastAsia="宋体" w:cs="Arial"/>
                <w:kern w:val="0"/>
                <w:sz w:val="20"/>
                <w:szCs w:val="21"/>
              </w:rPr>
              <w:t>1</w:t>
            </w:r>
            <w:r>
              <w:rPr>
                <w:rFonts w:hint="eastAsia" w:ascii="宋体" w:hAnsi="宋体" w:eastAsia="宋体" w:cs="Arial"/>
                <w:kern w:val="0"/>
                <w:sz w:val="20"/>
                <w:szCs w:val="21"/>
              </w:rPr>
              <w:t>1、LED教室灯依据《GB/T 26572-2011》及《GB/T 26125-2011》标准通过电器电子产品认证。</w:t>
            </w:r>
          </w:p>
          <w:p>
            <w:pPr>
              <w:jc w:val="left"/>
              <w:rPr>
                <w:rFonts w:ascii="宋体" w:hAnsi="宋体" w:eastAsia="宋体" w:cs="Arial"/>
                <w:kern w:val="0"/>
                <w:sz w:val="20"/>
                <w:szCs w:val="21"/>
              </w:rPr>
            </w:pPr>
            <w:r>
              <w:rPr>
                <w:rFonts w:ascii="宋体" w:hAnsi="宋体" w:eastAsia="宋体" w:cs="Arial"/>
                <w:kern w:val="0"/>
                <w:sz w:val="20"/>
                <w:szCs w:val="21"/>
              </w:rPr>
              <w:t>1</w:t>
            </w:r>
            <w:r>
              <w:rPr>
                <w:rFonts w:hint="eastAsia" w:ascii="宋体" w:hAnsi="宋体" w:eastAsia="宋体" w:cs="Arial"/>
                <w:kern w:val="0"/>
                <w:sz w:val="20"/>
                <w:szCs w:val="21"/>
              </w:rPr>
              <w:t>2、LED教室灯频闪质量特征为无危害频闪或无频闪危害或</w:t>
            </w:r>
            <w:r>
              <w:rPr>
                <w:rFonts w:ascii="宋体" w:hAnsi="宋体" w:eastAsia="宋体" w:cs="Arial"/>
                <w:kern w:val="0"/>
                <w:sz w:val="20"/>
                <w:szCs w:val="21"/>
              </w:rPr>
              <w:t>无显著影响</w:t>
            </w:r>
            <w:r>
              <w:rPr>
                <w:rFonts w:hint="eastAsia" w:ascii="宋体" w:hAnsi="宋体" w:eastAsia="宋体" w:cs="Arial"/>
                <w:kern w:val="0"/>
                <w:sz w:val="20"/>
                <w:szCs w:val="21"/>
              </w:rPr>
              <w:t>。</w:t>
            </w:r>
          </w:p>
          <w:p>
            <w:pPr>
              <w:jc w:val="left"/>
              <w:rPr>
                <w:rFonts w:ascii="宋体" w:hAnsi="宋体" w:eastAsia="宋体" w:cs="Arial"/>
                <w:kern w:val="0"/>
                <w:sz w:val="20"/>
                <w:szCs w:val="21"/>
              </w:rPr>
            </w:pPr>
            <w:r>
              <w:rPr>
                <w:rFonts w:hint="eastAsia" w:ascii="宋体" w:hAnsi="宋体" w:eastAsia="宋体" w:cs="Arial"/>
                <w:kern w:val="0"/>
                <w:sz w:val="20"/>
                <w:szCs w:val="21"/>
              </w:rPr>
              <w:t>13、LED教室灯蓝光危害等级为RG0（或0类危险）。</w:t>
            </w:r>
          </w:p>
          <w:p>
            <w:pPr>
              <w:jc w:val="left"/>
              <w:rPr>
                <w:rFonts w:ascii="宋体" w:hAnsi="宋体" w:eastAsia="宋体" w:cs="Arial"/>
                <w:kern w:val="0"/>
                <w:sz w:val="20"/>
                <w:szCs w:val="21"/>
              </w:rPr>
            </w:pPr>
            <w:r>
              <w:rPr>
                <w:rFonts w:hint="eastAsia" w:ascii="宋体" w:hAnsi="宋体" w:eastAsia="宋体" w:cs="Arial"/>
                <w:kern w:val="0"/>
                <w:sz w:val="20"/>
                <w:szCs w:val="21"/>
              </w:rPr>
              <w:t>★14、LED教室灯蓝光质量特征为低蓝光或</w:t>
            </w:r>
            <w:r>
              <w:rPr>
                <w:rFonts w:ascii="宋体" w:hAnsi="宋体" w:eastAsia="宋体" w:cs="Arial"/>
                <w:kern w:val="0"/>
                <w:sz w:val="20"/>
                <w:szCs w:val="21"/>
              </w:rPr>
              <w:t>更优</w:t>
            </w:r>
            <w:r>
              <w:rPr>
                <w:rFonts w:hint="eastAsia" w:ascii="宋体" w:hAnsi="宋体" w:eastAsia="宋体" w:cs="Arial"/>
                <w:kern w:val="0"/>
                <w:sz w:val="20"/>
                <w:szCs w:val="21"/>
              </w:rPr>
              <w:t>特征。</w:t>
            </w:r>
          </w:p>
          <w:p>
            <w:pPr>
              <w:jc w:val="left"/>
              <w:rPr>
                <w:rFonts w:ascii="宋体" w:hAnsi="宋体" w:eastAsia="宋体" w:cs="Arial"/>
                <w:kern w:val="0"/>
                <w:sz w:val="20"/>
                <w:szCs w:val="21"/>
              </w:rPr>
            </w:pPr>
            <w:r>
              <w:rPr>
                <w:rFonts w:hint="eastAsia" w:ascii="宋体" w:hAnsi="宋体" w:eastAsia="宋体" w:cs="Arial"/>
                <w:kern w:val="0"/>
                <w:sz w:val="20"/>
                <w:szCs w:val="21"/>
              </w:rPr>
              <w:t>★15、LED教室灯护眼质量特征为眼舒适或</w:t>
            </w:r>
            <w:r>
              <w:rPr>
                <w:rFonts w:ascii="宋体" w:hAnsi="宋体" w:eastAsia="宋体" w:cs="Arial"/>
                <w:kern w:val="0"/>
                <w:sz w:val="20"/>
                <w:szCs w:val="21"/>
              </w:rPr>
              <w:t>更优</w:t>
            </w:r>
            <w:r>
              <w:rPr>
                <w:rFonts w:hint="eastAsia" w:ascii="宋体" w:hAnsi="宋体" w:eastAsia="宋体" w:cs="Arial"/>
                <w:kern w:val="0"/>
                <w:sz w:val="20"/>
                <w:szCs w:val="21"/>
              </w:rPr>
              <w:t>特征。</w:t>
            </w:r>
          </w:p>
          <w:p>
            <w:pPr>
              <w:jc w:val="left"/>
              <w:rPr>
                <w:rFonts w:ascii="宋体" w:hAnsi="宋体" w:eastAsia="宋体" w:cs="Arial"/>
                <w:kern w:val="0"/>
                <w:sz w:val="20"/>
                <w:szCs w:val="21"/>
              </w:rPr>
            </w:pPr>
            <w:r>
              <w:rPr>
                <w:rFonts w:hint="eastAsia" w:ascii="宋体" w:hAnsi="宋体" w:eastAsia="宋体" w:cs="Arial"/>
                <w:kern w:val="0"/>
                <w:sz w:val="20"/>
                <w:szCs w:val="21"/>
              </w:rPr>
              <w:t>★16、LED教室灯依据《GB 7793-2010》《GB 50034-2013》《GB/T 5700-2008》《GB/T 13379-2008》及《GB 7000.1-2015》标准通过光环境认证。</w:t>
            </w:r>
          </w:p>
          <w:p>
            <w:pPr>
              <w:jc w:val="left"/>
              <w:rPr>
                <w:rFonts w:ascii="宋体" w:hAnsi="宋体" w:eastAsia="宋体" w:cs="Arial"/>
                <w:color w:val="FF0000"/>
                <w:kern w:val="0"/>
                <w:sz w:val="20"/>
                <w:szCs w:val="21"/>
              </w:rPr>
            </w:pPr>
            <w:r>
              <w:rPr>
                <w:rFonts w:hint="eastAsia" w:ascii="宋体" w:hAnsi="宋体" w:eastAsia="宋体" w:cs="Arial"/>
                <w:kern w:val="0"/>
                <w:sz w:val="20"/>
                <w:szCs w:val="21"/>
              </w:rPr>
              <w:t>注</w:t>
            </w:r>
            <w:r>
              <w:rPr>
                <w:rFonts w:ascii="宋体" w:hAnsi="宋体" w:eastAsia="宋体" w:cs="Arial"/>
                <w:kern w:val="0"/>
                <w:sz w:val="20"/>
                <w:szCs w:val="21"/>
              </w:rPr>
              <w:t>：</w:t>
            </w:r>
            <w:r>
              <w:rPr>
                <w:rFonts w:hint="eastAsia" w:ascii="宋体" w:hAnsi="宋体" w:eastAsia="宋体" w:cs="Arial"/>
                <w:kern w:val="0"/>
                <w:sz w:val="20"/>
                <w:szCs w:val="21"/>
              </w:rPr>
              <w:t>第</w:t>
            </w:r>
            <w:r>
              <w:rPr>
                <w:rFonts w:ascii="宋体" w:hAnsi="宋体" w:eastAsia="宋体" w:cs="Arial"/>
                <w:kern w:val="0"/>
                <w:sz w:val="20"/>
                <w:szCs w:val="21"/>
              </w:rPr>
              <w:t>1</w:t>
            </w:r>
            <w:r>
              <w:rPr>
                <w:rFonts w:hint="eastAsia" w:ascii="宋体" w:hAnsi="宋体" w:eastAsia="宋体" w:cs="Arial"/>
                <w:kern w:val="0"/>
                <w:sz w:val="20"/>
                <w:szCs w:val="21"/>
              </w:rPr>
              <w:t>0</w:t>
            </w:r>
            <w:r>
              <w:rPr>
                <w:rFonts w:ascii="宋体" w:hAnsi="宋体" w:eastAsia="宋体" w:cs="Arial"/>
                <w:kern w:val="0"/>
                <w:sz w:val="20"/>
                <w:szCs w:val="21"/>
              </w:rPr>
              <w:t>-1</w:t>
            </w:r>
            <w:r>
              <w:rPr>
                <w:rFonts w:hint="eastAsia" w:ascii="宋体" w:hAnsi="宋体" w:eastAsia="宋体" w:cs="Arial"/>
                <w:kern w:val="0"/>
                <w:sz w:val="20"/>
                <w:szCs w:val="21"/>
              </w:rPr>
              <w:t>6项</w:t>
            </w:r>
            <w:r>
              <w:rPr>
                <w:rFonts w:ascii="宋体" w:hAnsi="宋体" w:eastAsia="宋体" w:cs="Arial"/>
                <w:kern w:val="0"/>
                <w:sz w:val="20"/>
                <w:szCs w:val="21"/>
              </w:rPr>
              <w:t>须</w:t>
            </w:r>
            <w:r>
              <w:rPr>
                <w:rFonts w:hint="eastAsia" w:ascii="宋体" w:hAnsi="宋体" w:eastAsia="宋体" w:cs="Arial"/>
                <w:kern w:val="0"/>
                <w:sz w:val="20"/>
                <w:szCs w:val="21"/>
              </w:rPr>
              <w:t>提供第三方认证机构出具的认证证书（证书上须标注产品型号及认证</w:t>
            </w:r>
            <w:r>
              <w:rPr>
                <w:rFonts w:ascii="宋体" w:hAnsi="宋体" w:eastAsia="宋体" w:cs="Arial"/>
                <w:kern w:val="0"/>
                <w:sz w:val="20"/>
                <w:szCs w:val="21"/>
              </w:rPr>
              <w:t>标准</w:t>
            </w:r>
            <w:r>
              <w:rPr>
                <w:rFonts w:hint="eastAsia" w:ascii="宋体" w:hAnsi="宋体" w:eastAsia="宋体" w:cs="Arial"/>
                <w:kern w:val="0"/>
                <w:sz w:val="20"/>
                <w:szCs w:val="21"/>
              </w:rPr>
              <w:t>）及全国认证</w:t>
            </w:r>
            <w:r>
              <w:rPr>
                <w:rFonts w:ascii="宋体" w:hAnsi="宋体" w:eastAsia="宋体" w:cs="Arial"/>
                <w:kern w:val="0"/>
                <w:sz w:val="20"/>
                <w:szCs w:val="21"/>
              </w:rPr>
              <w:t>认可信息</w:t>
            </w:r>
            <w:r>
              <w:rPr>
                <w:rFonts w:hint="eastAsia" w:ascii="宋体" w:hAnsi="宋体" w:eastAsia="宋体" w:cs="Arial"/>
                <w:kern w:val="0"/>
                <w:sz w:val="20"/>
                <w:szCs w:val="21"/>
              </w:rPr>
              <w:t>公共</w:t>
            </w:r>
            <w:r>
              <w:rPr>
                <w:rFonts w:ascii="宋体" w:hAnsi="宋体" w:eastAsia="宋体" w:cs="Arial"/>
                <w:kern w:val="0"/>
                <w:sz w:val="20"/>
                <w:szCs w:val="21"/>
              </w:rPr>
              <w:t>服务平台</w:t>
            </w:r>
            <w:r>
              <w:rPr>
                <w:rFonts w:hint="eastAsia" w:ascii="宋体" w:hAnsi="宋体" w:eastAsia="宋体" w:cs="Arial"/>
                <w:kern w:val="0"/>
                <w:sz w:val="20"/>
                <w:szCs w:val="21"/>
              </w:rPr>
              <w:t>证书</w:t>
            </w:r>
            <w:r>
              <w:rPr>
                <w:rFonts w:ascii="宋体" w:hAnsi="宋体" w:eastAsia="宋体" w:cs="Arial"/>
                <w:kern w:val="0"/>
                <w:sz w:val="20"/>
                <w:szCs w:val="21"/>
              </w:rPr>
              <w:t>状态</w:t>
            </w:r>
            <w:r>
              <w:rPr>
                <w:rFonts w:hint="eastAsia" w:ascii="宋体" w:hAnsi="宋体" w:eastAsia="宋体" w:cs="Arial"/>
                <w:kern w:val="0"/>
                <w:sz w:val="20"/>
                <w:szCs w:val="21"/>
              </w:rPr>
              <w:t>为</w:t>
            </w:r>
            <w:r>
              <w:rPr>
                <w:rFonts w:ascii="宋体" w:hAnsi="宋体" w:eastAsia="宋体" w:cs="Arial"/>
                <w:kern w:val="0"/>
                <w:sz w:val="20"/>
                <w:szCs w:val="21"/>
              </w:rPr>
              <w:t>“</w:t>
            </w:r>
            <w:r>
              <w:rPr>
                <w:rFonts w:hint="eastAsia" w:ascii="宋体" w:hAnsi="宋体" w:eastAsia="宋体" w:cs="Arial"/>
                <w:kern w:val="0"/>
                <w:sz w:val="20"/>
                <w:szCs w:val="21"/>
              </w:rPr>
              <w:t>有效</w:t>
            </w:r>
            <w:r>
              <w:rPr>
                <w:rFonts w:ascii="宋体" w:hAnsi="宋体" w:eastAsia="宋体" w:cs="Arial"/>
                <w:kern w:val="0"/>
                <w:sz w:val="20"/>
                <w:szCs w:val="21"/>
              </w:rPr>
              <w:t>”</w:t>
            </w:r>
            <w:r>
              <w:rPr>
                <w:rFonts w:hint="eastAsia" w:ascii="宋体" w:hAnsi="宋体" w:eastAsia="宋体" w:cs="Arial"/>
                <w:kern w:val="0"/>
                <w:sz w:val="20"/>
                <w:szCs w:val="21"/>
              </w:rPr>
              <w:t>查询证明复印件。</w:t>
            </w:r>
          </w:p>
        </w:tc>
        <w:tc>
          <w:tcPr>
            <w:tcW w:w="850" w:type="dxa"/>
            <w:vAlign w:val="center"/>
          </w:tcPr>
          <w:p>
            <w:pPr>
              <w:jc w:val="center"/>
              <w:rPr>
                <w:rFonts w:hint="default" w:eastAsia="宋体" w:cs="Arial" w:asciiTheme="minorEastAsia" w:hAnsiTheme="minorEastAsia"/>
                <w:kern w:val="0"/>
                <w:sz w:val="20"/>
                <w:szCs w:val="21"/>
                <w:lang w:val="en-US" w:eastAsia="zh-CN"/>
              </w:rPr>
            </w:pPr>
            <w:r>
              <w:rPr>
                <w:rFonts w:hint="eastAsia" w:cs="Arial" w:asciiTheme="minorEastAsia" w:hAnsiTheme="minorEastAsia"/>
                <w:kern w:val="0"/>
                <w:sz w:val="2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Theme="minorEastAsia" w:hAnsiTheme="minorEastAsia"/>
                <w:kern w:val="0"/>
                <w:sz w:val="20"/>
                <w:szCs w:val="21"/>
              </w:rPr>
            </w:pPr>
            <w:r>
              <w:rPr>
                <w:rFonts w:hint="eastAsia" w:asciiTheme="minorEastAsia" w:hAnsiTheme="minorEastAsia"/>
                <w:kern w:val="0"/>
                <w:sz w:val="20"/>
                <w:szCs w:val="21"/>
              </w:rPr>
              <w:t>2</w:t>
            </w:r>
          </w:p>
        </w:tc>
        <w:tc>
          <w:tcPr>
            <w:tcW w:w="709" w:type="dxa"/>
            <w:vAlign w:val="center"/>
          </w:tcPr>
          <w:p>
            <w:pPr>
              <w:jc w:val="center"/>
              <w:rPr>
                <w:rFonts w:asciiTheme="minorEastAsia" w:hAnsiTheme="minorEastAsia"/>
                <w:kern w:val="0"/>
                <w:sz w:val="20"/>
                <w:szCs w:val="21"/>
              </w:rPr>
            </w:pPr>
            <w:r>
              <w:rPr>
                <w:rFonts w:hint="eastAsia" w:asciiTheme="minorEastAsia" w:hAnsiTheme="minorEastAsia"/>
                <w:kern w:val="0"/>
                <w:sz w:val="20"/>
                <w:szCs w:val="21"/>
              </w:rPr>
              <w:t>LED黑板灯</w:t>
            </w:r>
          </w:p>
        </w:tc>
        <w:tc>
          <w:tcPr>
            <w:tcW w:w="6946" w:type="dxa"/>
            <w:vAlign w:val="center"/>
          </w:tcPr>
          <w:p>
            <w:pPr>
              <w:jc w:val="left"/>
              <w:rPr>
                <w:rFonts w:ascii="宋体" w:hAnsi="宋体" w:eastAsia="宋体" w:cs="Arial"/>
                <w:kern w:val="0"/>
                <w:sz w:val="20"/>
                <w:szCs w:val="21"/>
              </w:rPr>
            </w:pPr>
            <w:r>
              <w:rPr>
                <w:rFonts w:hint="eastAsia" w:ascii="宋体" w:hAnsi="宋体" w:eastAsia="宋体" w:cs="Arial"/>
                <w:kern w:val="0"/>
                <w:sz w:val="20"/>
                <w:szCs w:val="21"/>
              </w:rPr>
              <w:t>1、LED</w:t>
            </w:r>
            <w:r>
              <w:rPr>
                <w:rFonts w:hint="eastAsia" w:asciiTheme="minorEastAsia" w:hAnsiTheme="minorEastAsia"/>
                <w:kern w:val="0"/>
                <w:sz w:val="20"/>
                <w:szCs w:val="21"/>
              </w:rPr>
              <w:t>黑板</w:t>
            </w:r>
            <w:r>
              <w:rPr>
                <w:rFonts w:hint="eastAsia" w:ascii="宋体" w:hAnsi="宋体" w:eastAsia="宋体" w:cs="Arial"/>
                <w:kern w:val="0"/>
                <w:sz w:val="20"/>
                <w:szCs w:val="21"/>
              </w:rPr>
              <w:t>灯额定功率≤55W。</w:t>
            </w:r>
          </w:p>
          <w:p>
            <w:pPr>
              <w:jc w:val="left"/>
              <w:rPr>
                <w:rFonts w:ascii="宋体" w:hAnsi="宋体" w:eastAsia="宋体" w:cs="Arial"/>
                <w:kern w:val="0"/>
                <w:sz w:val="20"/>
                <w:szCs w:val="21"/>
              </w:rPr>
            </w:pPr>
            <w:r>
              <w:rPr>
                <w:rFonts w:hint="eastAsia" w:ascii="宋体" w:hAnsi="宋体" w:eastAsia="宋体" w:cs="Arial"/>
                <w:kern w:val="0"/>
                <w:sz w:val="20"/>
                <w:szCs w:val="21"/>
              </w:rPr>
              <w:t>2、LED</w:t>
            </w:r>
            <w:r>
              <w:rPr>
                <w:rFonts w:hint="eastAsia" w:asciiTheme="minorEastAsia" w:hAnsiTheme="minorEastAsia"/>
                <w:kern w:val="0"/>
                <w:sz w:val="20"/>
                <w:szCs w:val="21"/>
              </w:rPr>
              <w:t>黑板</w:t>
            </w:r>
            <w:r>
              <w:rPr>
                <w:rFonts w:hint="eastAsia" w:ascii="宋体" w:hAnsi="宋体" w:eastAsia="宋体" w:cs="Arial"/>
                <w:kern w:val="0"/>
                <w:sz w:val="20"/>
                <w:szCs w:val="21"/>
              </w:rPr>
              <w:t>灯长度≥1</w:t>
            </w:r>
            <w:r>
              <w:rPr>
                <w:rFonts w:ascii="宋体" w:hAnsi="宋体" w:eastAsia="宋体" w:cs="Arial"/>
                <w:kern w:val="0"/>
                <w:sz w:val="20"/>
                <w:szCs w:val="21"/>
              </w:rPr>
              <w:t>5</w:t>
            </w:r>
            <w:r>
              <w:rPr>
                <w:rFonts w:hint="eastAsia" w:ascii="宋体" w:hAnsi="宋体" w:eastAsia="宋体" w:cs="Arial"/>
                <w:kern w:val="0"/>
                <w:sz w:val="20"/>
                <w:szCs w:val="21"/>
              </w:rPr>
              <w:t>00mm；为一体式防眩</w:t>
            </w:r>
            <w:r>
              <w:rPr>
                <w:rFonts w:ascii="宋体" w:hAnsi="宋体" w:eastAsia="宋体" w:cs="Arial"/>
                <w:kern w:val="0"/>
                <w:sz w:val="20"/>
                <w:szCs w:val="21"/>
              </w:rPr>
              <w:t>灯具</w:t>
            </w:r>
            <w:r>
              <w:rPr>
                <w:rFonts w:hint="eastAsia" w:ascii="宋体" w:hAnsi="宋体" w:eastAsia="宋体" w:cs="Arial"/>
                <w:kern w:val="0"/>
                <w:sz w:val="20"/>
                <w:szCs w:val="21"/>
              </w:rPr>
              <w:t>，灯具外形应平整、无凹陷和毛刺，焊缝无透光现象，表面均匀、光洁，无流挂现象。</w:t>
            </w:r>
          </w:p>
          <w:p>
            <w:pPr>
              <w:jc w:val="left"/>
              <w:rPr>
                <w:rFonts w:ascii="宋体" w:hAnsi="宋体" w:eastAsia="宋体" w:cs="Arial"/>
                <w:kern w:val="0"/>
                <w:sz w:val="20"/>
                <w:szCs w:val="21"/>
              </w:rPr>
            </w:pPr>
            <w:r>
              <w:rPr>
                <w:rFonts w:hint="eastAsia" w:ascii="宋体" w:hAnsi="宋体" w:eastAsia="宋体" w:cs="Arial"/>
                <w:kern w:val="0"/>
                <w:sz w:val="20"/>
                <w:szCs w:val="21"/>
              </w:rPr>
              <w:t>★3、LED</w:t>
            </w:r>
            <w:r>
              <w:rPr>
                <w:rFonts w:hint="eastAsia" w:asciiTheme="minorEastAsia" w:hAnsiTheme="minorEastAsia"/>
                <w:kern w:val="0"/>
                <w:sz w:val="20"/>
                <w:szCs w:val="21"/>
              </w:rPr>
              <w:t>黑板</w:t>
            </w:r>
            <w:r>
              <w:rPr>
                <w:rFonts w:hint="eastAsia" w:ascii="宋体" w:hAnsi="宋体" w:eastAsia="宋体" w:cs="Arial"/>
                <w:kern w:val="0"/>
                <w:sz w:val="20"/>
                <w:szCs w:val="21"/>
              </w:rPr>
              <w:t>灯色温（或相关色温）在初始测试（0或1000小时）及正常燃点20000小时或以上时间均满足3300-5300K。</w:t>
            </w:r>
          </w:p>
          <w:p>
            <w:pPr>
              <w:jc w:val="left"/>
              <w:rPr>
                <w:rFonts w:ascii="宋体" w:hAnsi="宋体" w:eastAsia="宋体" w:cs="Arial"/>
                <w:kern w:val="0"/>
                <w:sz w:val="20"/>
                <w:szCs w:val="21"/>
              </w:rPr>
            </w:pPr>
            <w:r>
              <w:rPr>
                <w:rFonts w:hint="eastAsia" w:ascii="宋体" w:hAnsi="宋体" w:eastAsia="宋体" w:cs="Arial"/>
                <w:kern w:val="0"/>
                <w:sz w:val="20"/>
                <w:szCs w:val="21"/>
              </w:rPr>
              <w:t>★4、LED</w:t>
            </w:r>
            <w:r>
              <w:rPr>
                <w:rFonts w:hint="eastAsia" w:asciiTheme="minorEastAsia" w:hAnsiTheme="minorEastAsia"/>
                <w:kern w:val="0"/>
                <w:sz w:val="20"/>
                <w:szCs w:val="21"/>
              </w:rPr>
              <w:t>黑板</w:t>
            </w:r>
            <w:r>
              <w:rPr>
                <w:rFonts w:hint="eastAsia" w:ascii="宋体" w:hAnsi="宋体" w:eastAsia="宋体" w:cs="Arial"/>
                <w:kern w:val="0"/>
                <w:sz w:val="20"/>
                <w:szCs w:val="21"/>
              </w:rPr>
              <w:t>灯显色指数在初始测试（0或1000小时）及正常燃点20000小时或以上时间均满足Ra≥90、R9≥50。</w:t>
            </w:r>
          </w:p>
          <w:p>
            <w:pPr>
              <w:jc w:val="left"/>
              <w:rPr>
                <w:rFonts w:ascii="宋体" w:hAnsi="宋体" w:eastAsia="宋体" w:cs="Arial"/>
                <w:kern w:val="0"/>
                <w:sz w:val="20"/>
                <w:szCs w:val="21"/>
              </w:rPr>
            </w:pPr>
            <w:r>
              <w:rPr>
                <w:rFonts w:hint="eastAsia" w:ascii="宋体" w:hAnsi="宋体" w:eastAsia="宋体" w:cs="Arial"/>
                <w:kern w:val="0"/>
                <w:sz w:val="20"/>
                <w:szCs w:val="21"/>
              </w:rPr>
              <w:t>5、LED</w:t>
            </w:r>
            <w:r>
              <w:rPr>
                <w:rFonts w:hint="eastAsia" w:asciiTheme="minorEastAsia" w:hAnsiTheme="minorEastAsia"/>
                <w:kern w:val="0"/>
                <w:sz w:val="20"/>
                <w:szCs w:val="21"/>
              </w:rPr>
              <w:t>黑板</w:t>
            </w:r>
            <w:r>
              <w:rPr>
                <w:rFonts w:hint="eastAsia" w:ascii="宋体" w:hAnsi="宋体" w:eastAsia="宋体" w:cs="Arial"/>
                <w:kern w:val="0"/>
                <w:sz w:val="20"/>
                <w:szCs w:val="21"/>
              </w:rPr>
              <w:t>灯色容差（或色品容差）正常燃点20000小时或以上时间后与初始测试（0或1000小时）的差值（绝对值）≤5 SDCM。</w:t>
            </w:r>
          </w:p>
          <w:p>
            <w:pPr>
              <w:jc w:val="left"/>
              <w:rPr>
                <w:rFonts w:ascii="宋体" w:hAnsi="宋体" w:eastAsia="宋体" w:cs="Arial"/>
                <w:kern w:val="0"/>
                <w:sz w:val="20"/>
                <w:szCs w:val="21"/>
              </w:rPr>
            </w:pPr>
            <w:r>
              <w:rPr>
                <w:rFonts w:hint="eastAsia" w:ascii="宋体" w:hAnsi="宋体" w:eastAsia="宋体" w:cs="Arial"/>
                <w:kern w:val="0"/>
                <w:sz w:val="20"/>
                <w:szCs w:val="21"/>
              </w:rPr>
              <w:t>★6、为配合书写板尺寸，使书写板照明达到最佳的照度均匀度与防眩效果，LED黑板灯配光非对称，即光束角（或半峰光束角）在初始测试（0或1000小时）与正常燃点20000小时或以上时间均满足：C0-C180面应≥70°且C90-C270面应≤40°（或C90-C270面应≥70°且C0-C180面应≤40°）。</w:t>
            </w:r>
          </w:p>
          <w:p>
            <w:pPr>
              <w:jc w:val="left"/>
              <w:rPr>
                <w:rFonts w:ascii="宋体" w:hAnsi="宋体" w:eastAsia="宋体" w:cs="Arial"/>
                <w:kern w:val="0"/>
                <w:sz w:val="20"/>
                <w:szCs w:val="21"/>
              </w:rPr>
            </w:pPr>
            <w:r>
              <w:rPr>
                <w:rFonts w:hint="eastAsia" w:ascii="宋体" w:hAnsi="宋体" w:eastAsia="宋体" w:cs="Arial"/>
                <w:kern w:val="0"/>
                <w:sz w:val="20"/>
                <w:szCs w:val="21"/>
              </w:rPr>
              <w:t>7、LED</w:t>
            </w:r>
            <w:r>
              <w:rPr>
                <w:rFonts w:hint="eastAsia" w:asciiTheme="minorEastAsia" w:hAnsiTheme="minorEastAsia"/>
                <w:kern w:val="0"/>
                <w:sz w:val="20"/>
                <w:szCs w:val="21"/>
              </w:rPr>
              <w:t>黑板</w:t>
            </w:r>
            <w:r>
              <w:rPr>
                <w:rFonts w:hint="eastAsia" w:ascii="宋体" w:hAnsi="宋体" w:eastAsia="宋体" w:cs="Arial"/>
                <w:kern w:val="0"/>
                <w:sz w:val="20"/>
                <w:szCs w:val="21"/>
              </w:rPr>
              <w:t>灯人体电磁辐射测试满足20kHz-10MHz感应电流密度系数≤0.85。</w:t>
            </w:r>
          </w:p>
          <w:p>
            <w:pPr>
              <w:jc w:val="left"/>
              <w:rPr>
                <w:rFonts w:ascii="宋体" w:hAnsi="宋体" w:eastAsia="宋体" w:cs="Arial"/>
                <w:kern w:val="0"/>
                <w:sz w:val="20"/>
                <w:szCs w:val="21"/>
              </w:rPr>
            </w:pPr>
            <w:r>
              <w:rPr>
                <w:rFonts w:hint="eastAsia" w:ascii="宋体" w:hAnsi="宋体" w:eastAsia="宋体" w:cs="Arial"/>
                <w:kern w:val="0"/>
                <w:sz w:val="20"/>
                <w:szCs w:val="21"/>
              </w:rPr>
              <w:t>★8、LED</w:t>
            </w:r>
            <w:r>
              <w:rPr>
                <w:rFonts w:hint="eastAsia" w:asciiTheme="minorEastAsia" w:hAnsiTheme="minorEastAsia"/>
                <w:kern w:val="0"/>
                <w:sz w:val="20"/>
                <w:szCs w:val="21"/>
              </w:rPr>
              <w:t>黑板</w:t>
            </w:r>
            <w:r>
              <w:rPr>
                <w:rFonts w:hint="eastAsia" w:ascii="宋体" w:hAnsi="宋体" w:eastAsia="宋体" w:cs="Arial"/>
                <w:kern w:val="0"/>
                <w:sz w:val="20"/>
                <w:szCs w:val="21"/>
              </w:rPr>
              <w:t>灯平均照度维持率≥95%。</w:t>
            </w:r>
          </w:p>
          <w:p>
            <w:pPr>
              <w:jc w:val="left"/>
              <w:rPr>
                <w:rFonts w:ascii="宋体" w:hAnsi="宋体" w:eastAsia="宋体" w:cs="Arial"/>
                <w:kern w:val="0"/>
                <w:sz w:val="20"/>
                <w:szCs w:val="21"/>
              </w:rPr>
            </w:pPr>
            <w:r>
              <w:rPr>
                <w:rFonts w:hint="eastAsia" w:ascii="宋体" w:hAnsi="宋体" w:eastAsia="宋体" w:cs="Arial"/>
                <w:kern w:val="0"/>
                <w:sz w:val="20"/>
                <w:szCs w:val="21"/>
              </w:rPr>
              <w:t>★9、LED</w:t>
            </w:r>
            <w:r>
              <w:rPr>
                <w:rFonts w:hint="eastAsia" w:asciiTheme="minorEastAsia" w:hAnsiTheme="minorEastAsia"/>
                <w:kern w:val="0"/>
                <w:sz w:val="20"/>
                <w:szCs w:val="21"/>
              </w:rPr>
              <w:t>黑板</w:t>
            </w:r>
            <w:r>
              <w:rPr>
                <w:rFonts w:hint="eastAsia" w:ascii="宋体" w:hAnsi="宋体" w:eastAsia="宋体" w:cs="Arial"/>
                <w:kern w:val="0"/>
                <w:sz w:val="20"/>
                <w:szCs w:val="21"/>
              </w:rPr>
              <w:t>灯发光面法线方向亮度≤13000cd/㎡，长边γ1=60°及短边γ2=60°角度内亮度均≤8000cd/㎡。</w:t>
            </w:r>
          </w:p>
          <w:p>
            <w:pPr>
              <w:jc w:val="left"/>
              <w:rPr>
                <w:rFonts w:ascii="宋体" w:hAnsi="宋体" w:eastAsia="宋体" w:cs="Arial"/>
                <w:kern w:val="0"/>
                <w:sz w:val="20"/>
                <w:szCs w:val="21"/>
              </w:rPr>
            </w:pPr>
            <w:r>
              <w:rPr>
                <w:rFonts w:hint="eastAsia" w:ascii="宋体" w:hAnsi="宋体" w:eastAsia="宋体" w:cs="Arial"/>
                <w:kern w:val="0"/>
                <w:sz w:val="20"/>
                <w:szCs w:val="21"/>
              </w:rPr>
              <w:t>注</w:t>
            </w:r>
            <w:r>
              <w:rPr>
                <w:rFonts w:ascii="宋体" w:hAnsi="宋体" w:eastAsia="宋体" w:cs="Arial"/>
                <w:kern w:val="0"/>
                <w:sz w:val="20"/>
                <w:szCs w:val="21"/>
              </w:rPr>
              <w:t>：</w:t>
            </w:r>
            <w:r>
              <w:rPr>
                <w:rFonts w:hint="eastAsia" w:ascii="宋体" w:hAnsi="宋体" w:eastAsia="宋体" w:cs="Arial"/>
                <w:kern w:val="0"/>
                <w:sz w:val="20"/>
                <w:szCs w:val="21"/>
              </w:rPr>
              <w:t>第3</w:t>
            </w:r>
            <w:r>
              <w:rPr>
                <w:rFonts w:ascii="宋体" w:hAnsi="宋体" w:eastAsia="宋体" w:cs="Arial"/>
                <w:kern w:val="0"/>
                <w:sz w:val="20"/>
                <w:szCs w:val="21"/>
              </w:rPr>
              <w:t>-</w:t>
            </w:r>
            <w:r>
              <w:rPr>
                <w:rFonts w:hint="eastAsia" w:ascii="宋体" w:hAnsi="宋体" w:eastAsia="宋体" w:cs="Arial"/>
                <w:kern w:val="0"/>
                <w:sz w:val="20"/>
                <w:szCs w:val="21"/>
              </w:rPr>
              <w:t>9项</w:t>
            </w:r>
            <w:r>
              <w:rPr>
                <w:rFonts w:ascii="宋体" w:hAnsi="宋体" w:eastAsia="宋体" w:cs="Arial"/>
                <w:kern w:val="0"/>
                <w:sz w:val="20"/>
                <w:szCs w:val="21"/>
              </w:rPr>
              <w:t>须提供</w:t>
            </w:r>
            <w:r>
              <w:rPr>
                <w:rFonts w:hint="eastAsia" w:ascii="宋体" w:hAnsi="宋体" w:eastAsia="宋体" w:cs="Arial"/>
                <w:kern w:val="0"/>
                <w:sz w:val="20"/>
                <w:szCs w:val="21"/>
              </w:rPr>
              <w:t>第三方检测机构出具的封面带有CMA及CNAS标志的检测报告（如有</w:t>
            </w:r>
            <w:r>
              <w:rPr>
                <w:rFonts w:ascii="宋体" w:hAnsi="宋体" w:eastAsia="宋体" w:cs="Arial"/>
                <w:kern w:val="0"/>
                <w:sz w:val="20"/>
                <w:szCs w:val="21"/>
              </w:rPr>
              <w:t>燃点时间要求，</w:t>
            </w:r>
            <w:r>
              <w:rPr>
                <w:rFonts w:hint="eastAsia" w:ascii="宋体" w:hAnsi="宋体" w:eastAsia="宋体" w:cs="Arial"/>
                <w:kern w:val="0"/>
                <w:sz w:val="20"/>
                <w:szCs w:val="21"/>
              </w:rPr>
              <w:t>报告</w:t>
            </w:r>
            <w:r>
              <w:rPr>
                <w:rFonts w:ascii="宋体" w:hAnsi="宋体" w:eastAsia="宋体" w:cs="Arial"/>
                <w:kern w:val="0"/>
                <w:sz w:val="20"/>
                <w:szCs w:val="21"/>
              </w:rPr>
              <w:t>上</w:t>
            </w:r>
            <w:r>
              <w:rPr>
                <w:rFonts w:hint="eastAsia" w:ascii="宋体" w:hAnsi="宋体" w:eastAsia="宋体" w:cs="Arial"/>
                <w:kern w:val="0"/>
                <w:sz w:val="20"/>
                <w:szCs w:val="21"/>
              </w:rPr>
              <w:t>的检测</w:t>
            </w:r>
            <w:r>
              <w:rPr>
                <w:rFonts w:ascii="宋体" w:hAnsi="宋体" w:eastAsia="宋体" w:cs="Arial"/>
                <w:kern w:val="0"/>
                <w:sz w:val="20"/>
                <w:szCs w:val="21"/>
              </w:rPr>
              <w:t>起止时间</w:t>
            </w:r>
            <w:r>
              <w:rPr>
                <w:rFonts w:hint="eastAsia" w:ascii="宋体" w:hAnsi="宋体" w:eastAsia="宋体" w:cs="Arial"/>
                <w:kern w:val="0"/>
                <w:sz w:val="20"/>
                <w:szCs w:val="21"/>
              </w:rPr>
              <w:t>须为</w:t>
            </w:r>
            <w:r>
              <w:rPr>
                <w:rFonts w:ascii="宋体" w:hAnsi="宋体" w:eastAsia="宋体" w:cs="Arial"/>
                <w:kern w:val="0"/>
                <w:sz w:val="20"/>
                <w:szCs w:val="21"/>
              </w:rPr>
              <w:t>正常燃点</w:t>
            </w:r>
            <w:r>
              <w:rPr>
                <w:rFonts w:hint="eastAsia" w:ascii="宋体" w:hAnsi="宋体" w:eastAsia="宋体" w:cs="Arial"/>
                <w:kern w:val="0"/>
                <w:sz w:val="20"/>
                <w:szCs w:val="21"/>
              </w:rPr>
              <w:t>时间，</w:t>
            </w:r>
            <w:r>
              <w:rPr>
                <w:rFonts w:ascii="宋体" w:hAnsi="宋体" w:eastAsia="宋体" w:cs="Arial"/>
                <w:kern w:val="0"/>
                <w:sz w:val="20"/>
                <w:szCs w:val="21"/>
              </w:rPr>
              <w:t>加速测试无效</w:t>
            </w:r>
            <w:r>
              <w:rPr>
                <w:rFonts w:hint="eastAsia" w:ascii="宋体" w:hAnsi="宋体" w:eastAsia="宋体" w:cs="Arial"/>
                <w:kern w:val="0"/>
                <w:sz w:val="20"/>
                <w:szCs w:val="21"/>
              </w:rPr>
              <w:t>）及全国认证</w:t>
            </w:r>
            <w:r>
              <w:rPr>
                <w:rFonts w:ascii="宋体" w:hAnsi="宋体" w:eastAsia="宋体" w:cs="Arial"/>
                <w:kern w:val="0"/>
                <w:sz w:val="20"/>
                <w:szCs w:val="21"/>
              </w:rPr>
              <w:t>认可信息</w:t>
            </w:r>
            <w:r>
              <w:rPr>
                <w:rFonts w:hint="eastAsia" w:ascii="宋体" w:hAnsi="宋体" w:eastAsia="宋体" w:cs="Arial"/>
                <w:kern w:val="0"/>
                <w:sz w:val="20"/>
                <w:szCs w:val="21"/>
              </w:rPr>
              <w:t>公共</w:t>
            </w:r>
            <w:r>
              <w:rPr>
                <w:rFonts w:ascii="宋体" w:hAnsi="宋体" w:eastAsia="宋体" w:cs="Arial"/>
                <w:kern w:val="0"/>
                <w:sz w:val="20"/>
                <w:szCs w:val="21"/>
              </w:rPr>
              <w:t>服务平台</w:t>
            </w:r>
            <w:r>
              <w:rPr>
                <w:rFonts w:hint="eastAsia" w:ascii="宋体" w:hAnsi="宋体" w:eastAsia="宋体" w:cs="Arial"/>
                <w:kern w:val="0"/>
                <w:sz w:val="20"/>
                <w:szCs w:val="21"/>
              </w:rPr>
              <w:t>检测报告</w:t>
            </w:r>
            <w:r>
              <w:rPr>
                <w:rFonts w:ascii="宋体" w:hAnsi="宋体" w:eastAsia="宋体" w:cs="Arial"/>
                <w:kern w:val="0"/>
                <w:sz w:val="20"/>
                <w:szCs w:val="21"/>
              </w:rPr>
              <w:t>编号</w:t>
            </w:r>
            <w:r>
              <w:rPr>
                <w:rFonts w:hint="eastAsia" w:ascii="宋体" w:hAnsi="宋体" w:eastAsia="宋体" w:cs="Arial"/>
                <w:kern w:val="0"/>
                <w:sz w:val="20"/>
                <w:szCs w:val="21"/>
              </w:rPr>
              <w:t>查询证明复印件。</w:t>
            </w:r>
          </w:p>
          <w:p>
            <w:pPr>
              <w:jc w:val="left"/>
              <w:rPr>
                <w:rFonts w:ascii="宋体" w:hAnsi="宋体" w:eastAsia="宋体" w:cs="Arial"/>
                <w:kern w:val="0"/>
                <w:sz w:val="20"/>
                <w:szCs w:val="21"/>
              </w:rPr>
            </w:pPr>
            <w:r>
              <w:rPr>
                <w:rFonts w:hint="eastAsia" w:ascii="宋体" w:hAnsi="宋体" w:eastAsia="宋体" w:cs="Arial"/>
                <w:kern w:val="0"/>
                <w:sz w:val="20"/>
                <w:szCs w:val="21"/>
              </w:rPr>
              <w:t>10、LED</w:t>
            </w:r>
            <w:r>
              <w:rPr>
                <w:rFonts w:hint="eastAsia" w:asciiTheme="minorEastAsia" w:hAnsiTheme="minorEastAsia"/>
                <w:kern w:val="0"/>
                <w:sz w:val="20"/>
                <w:szCs w:val="21"/>
              </w:rPr>
              <w:t>黑板</w:t>
            </w:r>
            <w:r>
              <w:rPr>
                <w:rFonts w:hint="eastAsia" w:ascii="宋体" w:hAnsi="宋体" w:eastAsia="宋体" w:cs="Arial"/>
                <w:kern w:val="0"/>
                <w:sz w:val="20"/>
                <w:szCs w:val="21"/>
              </w:rPr>
              <w:t>灯整灯通过国家强制性CCC认证。</w:t>
            </w:r>
          </w:p>
          <w:p>
            <w:pPr>
              <w:jc w:val="left"/>
              <w:rPr>
                <w:rFonts w:ascii="宋体" w:hAnsi="宋体" w:eastAsia="宋体" w:cs="Arial"/>
                <w:kern w:val="0"/>
                <w:sz w:val="20"/>
                <w:szCs w:val="21"/>
              </w:rPr>
            </w:pPr>
            <w:r>
              <w:rPr>
                <w:rFonts w:hint="eastAsia" w:ascii="宋体" w:hAnsi="宋体" w:eastAsia="宋体" w:cs="Arial"/>
                <w:kern w:val="0"/>
                <w:sz w:val="20"/>
                <w:szCs w:val="21"/>
              </w:rPr>
              <w:t>11、LED</w:t>
            </w:r>
            <w:r>
              <w:rPr>
                <w:rFonts w:hint="eastAsia" w:asciiTheme="minorEastAsia" w:hAnsiTheme="minorEastAsia"/>
                <w:kern w:val="0"/>
                <w:sz w:val="20"/>
                <w:szCs w:val="21"/>
              </w:rPr>
              <w:t>黑板</w:t>
            </w:r>
            <w:r>
              <w:rPr>
                <w:rFonts w:hint="eastAsia" w:ascii="宋体" w:hAnsi="宋体" w:eastAsia="宋体" w:cs="Arial"/>
                <w:kern w:val="0"/>
                <w:sz w:val="20"/>
                <w:szCs w:val="21"/>
              </w:rPr>
              <w:t>灯依据《GB/T 26572-2011》及《GB/T 26125-2011》标准通过电器电子产品认证。</w:t>
            </w:r>
          </w:p>
          <w:p>
            <w:pPr>
              <w:jc w:val="left"/>
              <w:rPr>
                <w:rFonts w:ascii="宋体" w:hAnsi="宋体" w:eastAsia="宋体" w:cs="Arial"/>
                <w:kern w:val="0"/>
                <w:sz w:val="20"/>
                <w:szCs w:val="21"/>
              </w:rPr>
            </w:pPr>
            <w:r>
              <w:rPr>
                <w:rFonts w:hint="eastAsia" w:ascii="宋体" w:hAnsi="宋体" w:eastAsia="宋体" w:cs="Arial"/>
                <w:kern w:val="0"/>
                <w:sz w:val="20"/>
                <w:szCs w:val="21"/>
              </w:rPr>
              <w:t>12、LED</w:t>
            </w:r>
            <w:r>
              <w:rPr>
                <w:rFonts w:hint="eastAsia" w:asciiTheme="minorEastAsia" w:hAnsiTheme="minorEastAsia"/>
                <w:kern w:val="0"/>
                <w:sz w:val="20"/>
                <w:szCs w:val="21"/>
              </w:rPr>
              <w:t>黑板</w:t>
            </w:r>
            <w:r>
              <w:rPr>
                <w:rFonts w:hint="eastAsia" w:ascii="宋体" w:hAnsi="宋体" w:eastAsia="宋体" w:cs="Arial"/>
                <w:kern w:val="0"/>
                <w:sz w:val="20"/>
                <w:szCs w:val="21"/>
              </w:rPr>
              <w:t>灯频闪质量特征为无危害频闪或无频闪危害或无显著影响。</w:t>
            </w:r>
          </w:p>
          <w:p>
            <w:pPr>
              <w:jc w:val="left"/>
              <w:rPr>
                <w:rFonts w:ascii="宋体" w:hAnsi="宋体" w:eastAsia="宋体" w:cs="Arial"/>
                <w:kern w:val="0"/>
                <w:sz w:val="20"/>
                <w:szCs w:val="21"/>
              </w:rPr>
            </w:pPr>
            <w:r>
              <w:rPr>
                <w:rFonts w:hint="eastAsia" w:ascii="宋体" w:hAnsi="宋体" w:eastAsia="宋体" w:cs="Arial"/>
                <w:kern w:val="0"/>
                <w:sz w:val="20"/>
                <w:szCs w:val="21"/>
              </w:rPr>
              <w:t>13、LED</w:t>
            </w:r>
            <w:r>
              <w:rPr>
                <w:rFonts w:hint="eastAsia" w:asciiTheme="minorEastAsia" w:hAnsiTheme="minorEastAsia"/>
                <w:kern w:val="0"/>
                <w:sz w:val="20"/>
                <w:szCs w:val="21"/>
              </w:rPr>
              <w:t>黑板</w:t>
            </w:r>
            <w:r>
              <w:rPr>
                <w:rFonts w:hint="eastAsia" w:ascii="宋体" w:hAnsi="宋体" w:eastAsia="宋体" w:cs="Arial"/>
                <w:kern w:val="0"/>
                <w:sz w:val="20"/>
                <w:szCs w:val="21"/>
              </w:rPr>
              <w:t>灯蓝光危害等级为RG0（或0类危险）。</w:t>
            </w:r>
          </w:p>
          <w:p>
            <w:pPr>
              <w:jc w:val="left"/>
              <w:rPr>
                <w:rFonts w:ascii="宋体" w:hAnsi="宋体" w:eastAsia="宋体" w:cs="Arial"/>
                <w:kern w:val="0"/>
                <w:sz w:val="20"/>
                <w:szCs w:val="21"/>
              </w:rPr>
            </w:pPr>
            <w:r>
              <w:rPr>
                <w:rFonts w:hint="eastAsia" w:ascii="宋体" w:hAnsi="宋体" w:eastAsia="宋体" w:cs="Arial"/>
                <w:kern w:val="0"/>
                <w:sz w:val="20"/>
                <w:szCs w:val="21"/>
              </w:rPr>
              <w:t>★14、LED</w:t>
            </w:r>
            <w:r>
              <w:rPr>
                <w:rFonts w:hint="eastAsia" w:asciiTheme="minorEastAsia" w:hAnsiTheme="minorEastAsia"/>
                <w:kern w:val="0"/>
                <w:sz w:val="20"/>
                <w:szCs w:val="21"/>
              </w:rPr>
              <w:t>黑板</w:t>
            </w:r>
            <w:r>
              <w:rPr>
                <w:rFonts w:hint="eastAsia" w:ascii="宋体" w:hAnsi="宋体" w:eastAsia="宋体" w:cs="Arial"/>
                <w:kern w:val="0"/>
                <w:sz w:val="20"/>
                <w:szCs w:val="21"/>
              </w:rPr>
              <w:t>灯蓝光质量特征为低蓝光或更优特征。</w:t>
            </w:r>
          </w:p>
          <w:p>
            <w:pPr>
              <w:jc w:val="left"/>
              <w:rPr>
                <w:rFonts w:ascii="宋体" w:hAnsi="宋体" w:eastAsia="宋体" w:cs="Arial"/>
                <w:kern w:val="0"/>
                <w:sz w:val="20"/>
                <w:szCs w:val="21"/>
              </w:rPr>
            </w:pPr>
            <w:r>
              <w:rPr>
                <w:rFonts w:hint="eastAsia" w:ascii="宋体" w:hAnsi="宋体" w:eastAsia="宋体" w:cs="Arial"/>
                <w:kern w:val="0"/>
                <w:sz w:val="20"/>
                <w:szCs w:val="21"/>
              </w:rPr>
              <w:t>★15、LED</w:t>
            </w:r>
            <w:r>
              <w:rPr>
                <w:rFonts w:hint="eastAsia" w:asciiTheme="minorEastAsia" w:hAnsiTheme="minorEastAsia"/>
                <w:kern w:val="0"/>
                <w:sz w:val="20"/>
                <w:szCs w:val="21"/>
              </w:rPr>
              <w:t>黑板</w:t>
            </w:r>
            <w:r>
              <w:rPr>
                <w:rFonts w:hint="eastAsia" w:ascii="宋体" w:hAnsi="宋体" w:eastAsia="宋体" w:cs="Arial"/>
                <w:kern w:val="0"/>
                <w:sz w:val="20"/>
                <w:szCs w:val="21"/>
              </w:rPr>
              <w:t>灯护眼质量特征为眼舒适或更优特征。</w:t>
            </w:r>
          </w:p>
          <w:p>
            <w:pPr>
              <w:jc w:val="left"/>
              <w:rPr>
                <w:rFonts w:ascii="宋体" w:hAnsi="宋体" w:eastAsia="宋体" w:cs="Arial"/>
                <w:kern w:val="0"/>
                <w:sz w:val="20"/>
                <w:szCs w:val="21"/>
              </w:rPr>
            </w:pPr>
            <w:r>
              <w:rPr>
                <w:rFonts w:hint="eastAsia" w:ascii="宋体" w:hAnsi="宋体" w:eastAsia="宋体" w:cs="Arial"/>
                <w:kern w:val="0"/>
                <w:sz w:val="20"/>
                <w:szCs w:val="21"/>
              </w:rPr>
              <w:t>★16、LED</w:t>
            </w:r>
            <w:r>
              <w:rPr>
                <w:rFonts w:hint="eastAsia" w:asciiTheme="minorEastAsia" w:hAnsiTheme="minorEastAsia"/>
                <w:kern w:val="0"/>
                <w:sz w:val="20"/>
                <w:szCs w:val="21"/>
              </w:rPr>
              <w:t>黑板</w:t>
            </w:r>
            <w:r>
              <w:rPr>
                <w:rFonts w:hint="eastAsia" w:ascii="宋体" w:hAnsi="宋体" w:eastAsia="宋体" w:cs="Arial"/>
                <w:kern w:val="0"/>
                <w:sz w:val="20"/>
                <w:szCs w:val="21"/>
              </w:rPr>
              <w:t>灯依据《GB 7793-2010》《GB 50034-2013》《GB/T 5700-2008》《GB/T 13379-2008》及《GB 7000.1-2015》标准通过光环境认证。</w:t>
            </w:r>
          </w:p>
          <w:p>
            <w:pPr>
              <w:jc w:val="left"/>
              <w:rPr>
                <w:rFonts w:ascii="宋体" w:hAnsi="宋体" w:eastAsia="宋体" w:cs="Arial"/>
                <w:kern w:val="0"/>
                <w:sz w:val="20"/>
                <w:szCs w:val="21"/>
              </w:rPr>
            </w:pPr>
            <w:r>
              <w:rPr>
                <w:rFonts w:hint="eastAsia" w:ascii="宋体" w:hAnsi="宋体" w:eastAsia="宋体" w:cs="Arial"/>
                <w:kern w:val="0"/>
                <w:sz w:val="20"/>
                <w:szCs w:val="21"/>
              </w:rPr>
              <w:t>注</w:t>
            </w:r>
            <w:r>
              <w:rPr>
                <w:rFonts w:ascii="宋体" w:hAnsi="宋体" w:eastAsia="宋体" w:cs="Arial"/>
                <w:kern w:val="0"/>
                <w:sz w:val="20"/>
                <w:szCs w:val="21"/>
              </w:rPr>
              <w:t>：</w:t>
            </w:r>
            <w:r>
              <w:rPr>
                <w:rFonts w:hint="eastAsia" w:ascii="宋体" w:hAnsi="宋体" w:eastAsia="宋体" w:cs="Arial"/>
                <w:kern w:val="0"/>
                <w:sz w:val="20"/>
                <w:szCs w:val="21"/>
              </w:rPr>
              <w:t>第</w:t>
            </w:r>
            <w:r>
              <w:rPr>
                <w:rFonts w:ascii="宋体" w:hAnsi="宋体" w:eastAsia="宋体" w:cs="Arial"/>
                <w:kern w:val="0"/>
                <w:sz w:val="20"/>
                <w:szCs w:val="21"/>
              </w:rPr>
              <w:t>1</w:t>
            </w:r>
            <w:r>
              <w:rPr>
                <w:rFonts w:hint="eastAsia" w:ascii="宋体" w:hAnsi="宋体" w:eastAsia="宋体" w:cs="Arial"/>
                <w:kern w:val="0"/>
                <w:sz w:val="20"/>
                <w:szCs w:val="21"/>
              </w:rPr>
              <w:t>0</w:t>
            </w:r>
            <w:r>
              <w:rPr>
                <w:rFonts w:ascii="宋体" w:hAnsi="宋体" w:eastAsia="宋体" w:cs="Arial"/>
                <w:kern w:val="0"/>
                <w:sz w:val="20"/>
                <w:szCs w:val="21"/>
              </w:rPr>
              <w:t>-1</w:t>
            </w:r>
            <w:r>
              <w:rPr>
                <w:rFonts w:hint="eastAsia" w:ascii="宋体" w:hAnsi="宋体" w:eastAsia="宋体" w:cs="Arial"/>
                <w:kern w:val="0"/>
                <w:sz w:val="20"/>
                <w:szCs w:val="21"/>
              </w:rPr>
              <w:t>6项</w:t>
            </w:r>
            <w:r>
              <w:rPr>
                <w:rFonts w:ascii="宋体" w:hAnsi="宋体" w:eastAsia="宋体" w:cs="Arial"/>
                <w:kern w:val="0"/>
                <w:sz w:val="20"/>
                <w:szCs w:val="21"/>
              </w:rPr>
              <w:t>须</w:t>
            </w:r>
            <w:r>
              <w:rPr>
                <w:rFonts w:hint="eastAsia" w:ascii="宋体" w:hAnsi="宋体" w:eastAsia="宋体" w:cs="Arial"/>
                <w:kern w:val="0"/>
                <w:sz w:val="20"/>
                <w:szCs w:val="21"/>
              </w:rPr>
              <w:t>提供第三方认证机构出具的认证证书（证书上须标注产品型号及认证</w:t>
            </w:r>
            <w:r>
              <w:rPr>
                <w:rFonts w:ascii="宋体" w:hAnsi="宋体" w:eastAsia="宋体" w:cs="Arial"/>
                <w:kern w:val="0"/>
                <w:sz w:val="20"/>
                <w:szCs w:val="21"/>
              </w:rPr>
              <w:t>标准</w:t>
            </w:r>
            <w:r>
              <w:rPr>
                <w:rFonts w:hint="eastAsia" w:ascii="宋体" w:hAnsi="宋体" w:eastAsia="宋体" w:cs="Arial"/>
                <w:kern w:val="0"/>
                <w:sz w:val="20"/>
                <w:szCs w:val="21"/>
              </w:rPr>
              <w:t>）及全国认证</w:t>
            </w:r>
            <w:r>
              <w:rPr>
                <w:rFonts w:ascii="宋体" w:hAnsi="宋体" w:eastAsia="宋体" w:cs="Arial"/>
                <w:kern w:val="0"/>
                <w:sz w:val="20"/>
                <w:szCs w:val="21"/>
              </w:rPr>
              <w:t>认可信息</w:t>
            </w:r>
            <w:r>
              <w:rPr>
                <w:rFonts w:hint="eastAsia" w:ascii="宋体" w:hAnsi="宋体" w:eastAsia="宋体" w:cs="Arial"/>
                <w:kern w:val="0"/>
                <w:sz w:val="20"/>
                <w:szCs w:val="21"/>
              </w:rPr>
              <w:t>公共</w:t>
            </w:r>
            <w:r>
              <w:rPr>
                <w:rFonts w:ascii="宋体" w:hAnsi="宋体" w:eastAsia="宋体" w:cs="Arial"/>
                <w:kern w:val="0"/>
                <w:sz w:val="20"/>
                <w:szCs w:val="21"/>
              </w:rPr>
              <w:t>服务平台</w:t>
            </w:r>
            <w:r>
              <w:rPr>
                <w:rFonts w:hint="eastAsia" w:ascii="宋体" w:hAnsi="宋体" w:eastAsia="宋体" w:cs="Arial"/>
                <w:kern w:val="0"/>
                <w:sz w:val="20"/>
                <w:szCs w:val="21"/>
              </w:rPr>
              <w:t>证书</w:t>
            </w:r>
            <w:r>
              <w:rPr>
                <w:rFonts w:ascii="宋体" w:hAnsi="宋体" w:eastAsia="宋体" w:cs="Arial"/>
                <w:kern w:val="0"/>
                <w:sz w:val="20"/>
                <w:szCs w:val="21"/>
              </w:rPr>
              <w:t>状态</w:t>
            </w:r>
            <w:r>
              <w:rPr>
                <w:rFonts w:hint="eastAsia" w:ascii="宋体" w:hAnsi="宋体" w:eastAsia="宋体" w:cs="Arial"/>
                <w:kern w:val="0"/>
                <w:sz w:val="20"/>
                <w:szCs w:val="21"/>
              </w:rPr>
              <w:t>为</w:t>
            </w:r>
            <w:r>
              <w:rPr>
                <w:rFonts w:ascii="宋体" w:hAnsi="宋体" w:eastAsia="宋体" w:cs="Arial"/>
                <w:kern w:val="0"/>
                <w:sz w:val="20"/>
                <w:szCs w:val="21"/>
              </w:rPr>
              <w:t>“</w:t>
            </w:r>
            <w:r>
              <w:rPr>
                <w:rFonts w:hint="eastAsia" w:ascii="宋体" w:hAnsi="宋体" w:eastAsia="宋体" w:cs="Arial"/>
                <w:kern w:val="0"/>
                <w:sz w:val="20"/>
                <w:szCs w:val="21"/>
              </w:rPr>
              <w:t>有效</w:t>
            </w:r>
            <w:r>
              <w:rPr>
                <w:rFonts w:ascii="宋体" w:hAnsi="宋体" w:eastAsia="宋体" w:cs="Arial"/>
                <w:kern w:val="0"/>
                <w:sz w:val="20"/>
                <w:szCs w:val="21"/>
              </w:rPr>
              <w:t>”</w:t>
            </w:r>
            <w:r>
              <w:rPr>
                <w:rFonts w:hint="eastAsia" w:ascii="宋体" w:hAnsi="宋体" w:eastAsia="宋体" w:cs="Arial"/>
                <w:kern w:val="0"/>
                <w:sz w:val="20"/>
                <w:szCs w:val="21"/>
              </w:rPr>
              <w:t>查询证明复印件。</w:t>
            </w:r>
          </w:p>
        </w:tc>
        <w:tc>
          <w:tcPr>
            <w:tcW w:w="850" w:type="dxa"/>
            <w:vAlign w:val="center"/>
          </w:tcPr>
          <w:p>
            <w:pPr>
              <w:jc w:val="center"/>
              <w:rPr>
                <w:rFonts w:hint="default" w:eastAsia="宋体" w:cs="Arial" w:asciiTheme="minorEastAsia" w:hAnsiTheme="minorEastAsia"/>
                <w:kern w:val="0"/>
                <w:sz w:val="20"/>
                <w:szCs w:val="21"/>
                <w:lang w:val="en-US" w:eastAsia="zh-CN"/>
              </w:rPr>
            </w:pPr>
            <w:r>
              <w:rPr>
                <w:rFonts w:hint="eastAsia" w:cs="Arial" w:asciiTheme="minorEastAsia" w:hAnsiTheme="minorEastAsia"/>
                <w:kern w:val="0"/>
                <w:sz w:val="20"/>
                <w:szCs w:val="21"/>
                <w:lang w:val="en-US" w:eastAsia="zh-CN"/>
              </w:rPr>
              <w:t>3</w:t>
            </w:r>
          </w:p>
        </w:tc>
      </w:tr>
    </w:tbl>
    <w:p>
      <w:pPr>
        <w:rPr>
          <w:rFonts w:asciiTheme="minorEastAsia" w:hAnsiTheme="minorEastAsia"/>
          <w:b/>
          <w:sz w:val="24"/>
        </w:rPr>
      </w:pPr>
      <w:r>
        <w:rPr>
          <w:rFonts w:hint="eastAsia" w:asciiTheme="minorEastAsia" w:hAnsiTheme="minorEastAsia"/>
          <w:b/>
          <w:sz w:val="24"/>
        </w:rPr>
        <w:t>备注：</w:t>
      </w:r>
      <w:r>
        <w:rPr>
          <w:rFonts w:hint="eastAsia" w:asciiTheme="minorEastAsia" w:hAnsiTheme="minorEastAsia"/>
          <w:b/>
          <w:sz w:val="24"/>
          <w:lang w:eastAsia="zh-CN"/>
        </w:rPr>
        <w:t>上述为每间教室采购数量，</w:t>
      </w:r>
      <w:r>
        <w:rPr>
          <w:rFonts w:hint="eastAsia" w:asciiTheme="minorEastAsia" w:hAnsiTheme="minorEastAsia"/>
          <w:b/>
          <w:sz w:val="24"/>
          <w:lang w:val="en-US" w:eastAsia="zh-CN"/>
        </w:rPr>
        <w:t>共采购452套。</w:t>
      </w:r>
      <w:r>
        <w:rPr>
          <w:rFonts w:hint="eastAsia" w:asciiTheme="minorEastAsia" w:hAnsiTheme="minorEastAsia"/>
          <w:b/>
          <w:sz w:val="24"/>
        </w:rPr>
        <w:t>打★号指标为实质性条款，须全部满足。</w:t>
      </w:r>
    </w:p>
    <w:p>
      <w:pPr>
        <w:widowControl/>
        <w:jc w:val="left"/>
        <w:rPr>
          <w:rFonts w:hint="eastAsia" w:asciiTheme="minorEastAsia" w:hAnsiTheme="minorEastAsia" w:eastAsiaTheme="minorEastAsia" w:cstheme="minorEastAsia"/>
          <w:b/>
          <w:kern w:val="0"/>
          <w:sz w:val="32"/>
          <w:szCs w:val="32"/>
          <w:lang w:val="en-US" w:eastAsia="zh-CN"/>
        </w:rPr>
      </w:pPr>
      <w:r>
        <w:rPr>
          <w:rFonts w:asciiTheme="minorEastAsia" w:hAnsiTheme="minorEastAsia"/>
          <w:b/>
          <w:sz w:val="24"/>
        </w:rPr>
        <w:br w:type="page"/>
      </w: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lang w:val="en-US" w:eastAsia="zh-CN"/>
        </w:rPr>
      </w:pPr>
    </w:p>
    <w:p>
      <w:pPr>
        <w:pStyle w:val="37"/>
        <w:spacing w:line="360" w:lineRule="auto"/>
        <w:ind w:firstLine="0" w:firstLineChars="0"/>
        <w:jc w:val="center"/>
        <w:outlineLvl w:val="1"/>
        <w:rPr>
          <w:rFonts w:hint="eastAsia" w:asciiTheme="minorEastAsia" w:hAnsiTheme="minorEastAsia" w:eastAsiaTheme="minorEastAsia" w:cstheme="minorEastAsia"/>
          <w:b/>
          <w:kern w:val="0"/>
          <w:sz w:val="32"/>
          <w:szCs w:val="32"/>
          <w:lang w:val="en-US" w:eastAsia="zh-CN"/>
        </w:rPr>
      </w:pPr>
      <w:r>
        <w:rPr>
          <w:rFonts w:hint="eastAsia" w:asciiTheme="minorEastAsia" w:hAnsiTheme="minorEastAsia" w:eastAsiaTheme="minorEastAsia" w:cstheme="minorEastAsia"/>
          <w:b/>
          <w:kern w:val="0"/>
          <w:sz w:val="32"/>
          <w:szCs w:val="32"/>
          <w:lang w:val="en-US" w:eastAsia="zh-CN"/>
        </w:rPr>
        <w:t>售后内容要求</w:t>
      </w:r>
    </w:p>
    <w:p>
      <w:pPr>
        <w:pStyle w:val="37"/>
        <w:spacing w:line="360" w:lineRule="auto"/>
        <w:ind w:firstLine="0" w:firstLineChars="0"/>
        <w:jc w:val="center"/>
        <w:outlineLvl w:val="9"/>
        <w:rPr>
          <w:rFonts w:hint="default" w:asciiTheme="minorEastAsia" w:hAnsiTheme="minorEastAsia" w:eastAsiaTheme="minorEastAsia" w:cstheme="minorEastAsia"/>
          <w:b/>
          <w:kern w:val="0"/>
          <w:sz w:val="32"/>
          <w:szCs w:val="32"/>
          <w:lang w:val="en-US"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82"/>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788" w:type="dxa"/>
            <w:noWrap w:val="0"/>
            <w:vAlign w:val="center"/>
          </w:tcPr>
          <w:p>
            <w:pPr>
              <w:spacing w:line="500" w:lineRule="exact"/>
              <w:jc w:val="center"/>
              <w:rPr>
                <w:rFonts w:hint="eastAsia" w:ascii="宋体" w:hAnsi="宋体"/>
                <w:color w:val="auto"/>
              </w:rPr>
            </w:pPr>
            <w:r>
              <w:rPr>
                <w:rFonts w:hint="eastAsia" w:ascii="宋体" w:hAnsi="宋体"/>
                <w:color w:val="auto"/>
              </w:rPr>
              <w:t>序 号</w:t>
            </w:r>
          </w:p>
        </w:tc>
        <w:tc>
          <w:tcPr>
            <w:tcW w:w="1682" w:type="dxa"/>
            <w:noWrap w:val="0"/>
            <w:vAlign w:val="center"/>
          </w:tcPr>
          <w:p>
            <w:pPr>
              <w:spacing w:line="500" w:lineRule="exact"/>
              <w:jc w:val="center"/>
              <w:rPr>
                <w:rFonts w:hint="eastAsia" w:ascii="宋体" w:hAnsi="宋体"/>
                <w:color w:val="auto"/>
              </w:rPr>
            </w:pPr>
            <w:r>
              <w:rPr>
                <w:rFonts w:hint="eastAsia" w:ascii="宋体" w:hAnsi="宋体"/>
                <w:color w:val="auto"/>
              </w:rPr>
              <w:t>项  目</w:t>
            </w:r>
          </w:p>
        </w:tc>
        <w:tc>
          <w:tcPr>
            <w:tcW w:w="6628" w:type="dxa"/>
            <w:noWrap w:val="0"/>
            <w:vAlign w:val="center"/>
          </w:tcPr>
          <w:p>
            <w:pPr>
              <w:spacing w:line="500" w:lineRule="exact"/>
              <w:jc w:val="center"/>
              <w:rPr>
                <w:rFonts w:hint="eastAsia" w:ascii="宋体" w:hAnsi="宋体"/>
                <w:color w:val="auto"/>
              </w:rPr>
            </w:pPr>
            <w:r>
              <w:rPr>
                <w:rFonts w:hint="eastAsia" w:ascii="宋体" w:hAnsi="宋体"/>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jc w:val="center"/>
        </w:trPr>
        <w:tc>
          <w:tcPr>
            <w:tcW w:w="788" w:type="dxa"/>
            <w:noWrap w:val="0"/>
            <w:vAlign w:val="center"/>
          </w:tcPr>
          <w:p>
            <w:pPr>
              <w:spacing w:line="500" w:lineRule="exact"/>
              <w:jc w:val="center"/>
              <w:rPr>
                <w:rFonts w:hint="eastAsia" w:ascii="宋体" w:hAnsi="宋体" w:eastAsia="宋体"/>
                <w:bCs/>
                <w:color w:val="auto"/>
                <w:szCs w:val="21"/>
                <w:lang w:eastAsia="zh-CN"/>
              </w:rPr>
            </w:pPr>
            <w:r>
              <w:rPr>
                <w:rFonts w:hint="eastAsia" w:ascii="宋体" w:hAnsi="宋体"/>
                <w:bCs/>
                <w:color w:val="auto"/>
                <w:szCs w:val="21"/>
                <w:lang w:val="en-US" w:eastAsia="zh-CN"/>
              </w:rPr>
              <w:t>1</w:t>
            </w:r>
          </w:p>
        </w:tc>
        <w:tc>
          <w:tcPr>
            <w:tcW w:w="1682" w:type="dxa"/>
            <w:noWrap w:val="0"/>
            <w:vAlign w:val="center"/>
          </w:tcPr>
          <w:p>
            <w:pPr>
              <w:spacing w:line="360" w:lineRule="exact"/>
              <w:jc w:val="center"/>
              <w:rPr>
                <w:rFonts w:hint="eastAsia" w:ascii="宋体" w:hAnsi="宋体" w:eastAsia="宋体"/>
                <w:bCs/>
                <w:color w:val="auto"/>
                <w:szCs w:val="21"/>
                <w:lang w:eastAsia="zh-CN"/>
              </w:rPr>
            </w:pPr>
            <w:r>
              <w:rPr>
                <w:rFonts w:hint="eastAsia" w:ascii="宋体" w:hAnsi="宋体"/>
                <w:bCs/>
                <w:color w:val="auto"/>
                <w:szCs w:val="21"/>
                <w:lang w:val="en-US" w:eastAsia="zh-CN"/>
              </w:rPr>
              <w:t>售后</w:t>
            </w:r>
          </w:p>
        </w:tc>
        <w:tc>
          <w:tcPr>
            <w:tcW w:w="6628" w:type="dxa"/>
            <w:noWrap w:val="0"/>
            <w:vAlign w:val="center"/>
          </w:tcPr>
          <w:p>
            <w:pPr>
              <w:pStyle w:val="14"/>
              <w:spacing w:line="360" w:lineRule="auto"/>
              <w:rPr>
                <w:rFonts w:hint="eastAsia"/>
                <w:color w:val="auto"/>
              </w:rPr>
            </w:pPr>
            <w:r>
              <w:rPr>
                <w:rFonts w:hint="eastAsia"/>
                <w:color w:val="auto"/>
              </w:rPr>
              <w:t>中标企业必须满足所有采购人的</w:t>
            </w:r>
            <w:r>
              <w:rPr>
                <w:rFonts w:hint="eastAsia"/>
                <w:color w:val="auto"/>
                <w:lang w:val="en-US" w:eastAsia="zh-CN"/>
              </w:rPr>
              <w:t>使用</w:t>
            </w:r>
            <w:r>
              <w:rPr>
                <w:rFonts w:hint="eastAsia"/>
                <w:color w:val="auto"/>
              </w:rPr>
              <w:t>需求，并严格按照产品购销合同和服务承诺进行</w:t>
            </w:r>
            <w:r>
              <w:rPr>
                <w:rFonts w:hint="eastAsia"/>
                <w:color w:val="auto"/>
                <w:lang w:val="en-US" w:eastAsia="zh-CN"/>
              </w:rPr>
              <w:t>护眼灯的生产及安装</w:t>
            </w:r>
            <w:r>
              <w:rPr>
                <w:rFonts w:hint="eastAsia"/>
                <w:color w:val="auto"/>
              </w:rPr>
              <w:t>。</w:t>
            </w:r>
          </w:p>
          <w:p>
            <w:pPr>
              <w:pStyle w:val="14"/>
              <w:numPr>
                <w:ilvl w:val="0"/>
                <w:numId w:val="4"/>
              </w:numPr>
              <w:spacing w:line="360" w:lineRule="auto"/>
              <w:rPr>
                <w:rFonts w:hint="eastAsia"/>
                <w:color w:val="auto"/>
              </w:rPr>
            </w:pPr>
            <w:r>
              <w:rPr>
                <w:rFonts w:hint="eastAsia"/>
                <w:color w:val="auto"/>
                <w:lang w:val="en-US" w:eastAsia="zh-CN"/>
              </w:rPr>
              <w:t>使用时出现故障</w:t>
            </w:r>
            <w:r>
              <w:rPr>
                <w:rFonts w:hint="eastAsia"/>
                <w:color w:val="auto"/>
              </w:rPr>
              <w:t>2小时内予以响应，</w:t>
            </w:r>
            <w:r>
              <w:rPr>
                <w:rFonts w:hint="eastAsia"/>
                <w:color w:val="auto"/>
                <w:lang w:val="en-US" w:eastAsia="zh-CN"/>
              </w:rPr>
              <w:t>24小时</w:t>
            </w:r>
            <w:r>
              <w:rPr>
                <w:rFonts w:hint="eastAsia"/>
                <w:color w:val="auto"/>
              </w:rPr>
              <w:t>内能够</w:t>
            </w:r>
            <w:r>
              <w:rPr>
                <w:rFonts w:hint="eastAsia"/>
                <w:color w:val="auto"/>
                <w:lang w:val="en-US" w:eastAsia="zh-CN"/>
              </w:rPr>
              <w:t>上门解决</w:t>
            </w:r>
            <w:r>
              <w:rPr>
                <w:rFonts w:hint="eastAsia"/>
                <w:color w:val="auto"/>
              </w:rPr>
              <w:t>；</w:t>
            </w:r>
          </w:p>
          <w:p>
            <w:pPr>
              <w:pStyle w:val="14"/>
              <w:numPr>
                <w:ilvl w:val="0"/>
                <w:numId w:val="4"/>
              </w:numPr>
              <w:spacing w:line="360" w:lineRule="auto"/>
              <w:ind w:left="360" w:leftChars="0" w:hanging="360" w:firstLineChars="0"/>
              <w:rPr>
                <w:rFonts w:hint="default"/>
                <w:color w:val="auto"/>
                <w:lang w:val="en-US" w:eastAsia="zh-CN"/>
              </w:rPr>
            </w:pPr>
            <w:r>
              <w:rPr>
                <w:rFonts w:hint="eastAsia"/>
                <w:color w:val="auto"/>
                <w:lang w:val="en-US" w:eastAsia="zh-CN"/>
              </w:rPr>
              <w:t>如出现货物故障，需要更换或者调换货，需要有备用货物，保障产品的正常运行。</w:t>
            </w:r>
          </w:p>
          <w:p>
            <w:pPr>
              <w:spacing w:line="400" w:lineRule="exact"/>
              <w:rPr>
                <w:rFonts w:hint="eastAsia"/>
                <w:color w:val="auto"/>
                <w:lang w:val="en-US" w:eastAsia="zh-CN"/>
              </w:rPr>
            </w:pPr>
            <w:r>
              <w:rPr>
                <w:rFonts w:hint="eastAsia"/>
                <w:color w:val="auto"/>
                <w:lang w:val="en-US" w:eastAsia="zh-CN"/>
              </w:rPr>
              <w:t>3、在交付使用前三个月安排专人跟踪货物使用情况，出现问题及时解决。</w:t>
            </w:r>
          </w:p>
          <w:p>
            <w:pPr>
              <w:pStyle w:val="20"/>
              <w:ind w:left="0" w:leftChars="0" w:firstLine="0" w:firstLineChars="0"/>
              <w:rPr>
                <w:rFonts w:hint="default"/>
                <w:color w:val="auto"/>
                <w:lang w:val="en-US" w:eastAsia="zh-CN"/>
              </w:rPr>
            </w:pPr>
            <w:r>
              <w:rPr>
                <w:rFonts w:hint="eastAsia" w:ascii="Calibri" w:hAnsi="Calibri" w:eastAsia="宋体" w:cs="Times New Roman"/>
                <w:color w:val="auto"/>
                <w:kern w:val="2"/>
                <w:sz w:val="21"/>
                <w:szCs w:val="24"/>
                <w:lang w:val="en-US" w:eastAsia="zh-CN" w:bidi="ar-SA"/>
              </w:rPr>
              <w:t>4、质保年限为验收合格后3年</w:t>
            </w:r>
            <w:r>
              <w:rPr>
                <w:rFonts w:hint="eastAsia" w:hAnsi="Calibri" w:cs="Times New Roman"/>
                <w:color w:val="auto"/>
                <w:kern w:val="2"/>
                <w:sz w:val="21"/>
                <w:szCs w:val="24"/>
                <w:lang w:val="en-US" w:eastAsia="zh-CN" w:bidi="ar-SA"/>
              </w:rPr>
              <w:t>，质保期到期后供应商需指定第三方对供应的产品进行专业检测</w:t>
            </w:r>
            <w:r>
              <w:rPr>
                <w:rFonts w:hint="eastAsia" w:ascii="Calibri" w:hAnsi="Calibri" w:eastAsia="宋体" w:cs="Times New Roman"/>
                <w:color w:val="auto"/>
                <w:kern w:val="2"/>
                <w:sz w:val="21"/>
                <w:szCs w:val="24"/>
                <w:lang w:val="en-US" w:eastAsia="zh-CN" w:bidi="ar-SA"/>
              </w:rPr>
              <w:t>。</w:t>
            </w:r>
          </w:p>
        </w:tc>
      </w:tr>
    </w:tbl>
    <w:p>
      <w:pPr>
        <w:pStyle w:val="37"/>
        <w:spacing w:line="360" w:lineRule="auto"/>
        <w:ind w:firstLine="0" w:firstLineChars="0"/>
        <w:jc w:val="center"/>
        <w:outlineLvl w:val="9"/>
        <w:rPr>
          <w:rFonts w:hint="eastAsia" w:asciiTheme="minorEastAsia" w:hAnsiTheme="minorEastAsia" w:eastAsiaTheme="minorEastAsia" w:cstheme="minorEastAsia"/>
          <w:b/>
          <w:kern w:val="0"/>
          <w:sz w:val="32"/>
          <w:szCs w:val="32"/>
          <w:lang w:val="en-US" w:eastAsia="zh-CN"/>
        </w:rPr>
      </w:pP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rPr>
      </w:pP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rPr>
      </w:pP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rPr>
      </w:pP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rPr>
      </w:pPr>
    </w:p>
    <w:p>
      <w:pPr>
        <w:pStyle w:val="37"/>
        <w:spacing w:line="360" w:lineRule="auto"/>
        <w:ind w:firstLine="0" w:firstLineChars="0"/>
        <w:jc w:val="both"/>
        <w:outlineLvl w:val="9"/>
        <w:rPr>
          <w:rFonts w:hint="eastAsia" w:asciiTheme="minorEastAsia" w:hAnsiTheme="minorEastAsia" w:eastAsiaTheme="minorEastAsia" w:cstheme="minorEastAsia"/>
          <w:b/>
          <w:kern w:val="0"/>
          <w:sz w:val="32"/>
          <w:szCs w:val="32"/>
        </w:rPr>
      </w:pPr>
    </w:p>
    <w:p>
      <w:pPr>
        <w:pStyle w:val="37"/>
        <w:spacing w:line="360" w:lineRule="auto"/>
        <w:ind w:firstLine="0" w:firstLineChars="0"/>
        <w:jc w:val="center"/>
        <w:outlineLvl w:val="9"/>
        <w:rPr>
          <w:rFonts w:hint="eastAsia" w:asciiTheme="minorEastAsia" w:hAnsiTheme="minorEastAsia" w:eastAsiaTheme="minorEastAsia" w:cstheme="minorEastAsia"/>
          <w:b/>
          <w:kern w:val="0"/>
          <w:sz w:val="32"/>
          <w:szCs w:val="32"/>
        </w:rPr>
      </w:pPr>
    </w:p>
    <w:p>
      <w:pPr>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pPr>
        <w:pStyle w:val="37"/>
        <w:spacing w:line="360" w:lineRule="auto"/>
        <w:ind w:firstLine="0" w:firstLineChars="0"/>
        <w:jc w:val="center"/>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kern w:val="0"/>
          <w:sz w:val="32"/>
          <w:szCs w:val="32"/>
        </w:rPr>
        <w:t>第五章</w:t>
      </w:r>
      <w:r>
        <w:rPr>
          <w:rFonts w:hint="eastAsia" w:asciiTheme="minorEastAsia" w:hAnsiTheme="minorEastAsia" w:eastAsiaTheme="minorEastAsia" w:cstheme="minorEastAsia"/>
          <w:b/>
          <w:kern w:val="0"/>
          <w:sz w:val="32"/>
          <w:szCs w:val="32"/>
          <w:lang w:val="en-US" w:eastAsia="zh-CN"/>
        </w:rPr>
        <w:t xml:space="preserve">  </w:t>
      </w:r>
      <w:r>
        <w:rPr>
          <w:rFonts w:hint="eastAsia" w:asciiTheme="minorEastAsia" w:hAnsiTheme="minorEastAsia" w:eastAsiaTheme="minorEastAsia" w:cstheme="minorEastAsia"/>
          <w:b/>
          <w:kern w:val="0"/>
          <w:sz w:val="32"/>
          <w:szCs w:val="32"/>
        </w:rPr>
        <w:t>投标文件格式及要求</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w:t>
      </w:r>
    </w:p>
    <w:p>
      <w:pPr>
        <w:adjustRightInd w:val="0"/>
        <w:snapToGrid w:val="0"/>
        <w:spacing w:line="360" w:lineRule="auto"/>
        <w:jc w:val="center"/>
        <w:rPr>
          <w:rFonts w:hint="eastAsia" w:ascii="宋体" w:hAnsi="宋体" w:cs="宋体"/>
          <w:color w:val="auto"/>
          <w:sz w:val="24"/>
        </w:rPr>
      </w:pPr>
    </w:p>
    <w:p>
      <w:pPr>
        <w:adjustRightInd w:val="0"/>
        <w:snapToGrid w:val="0"/>
        <w:spacing w:line="360" w:lineRule="auto"/>
        <w:jc w:val="center"/>
        <w:rPr>
          <w:rFonts w:hint="eastAsia" w:ascii="宋体" w:hAnsi="宋体" w:cs="宋体"/>
          <w:color w:val="auto"/>
          <w:sz w:val="24"/>
        </w:rPr>
      </w:pPr>
    </w:p>
    <w:p>
      <w:pPr>
        <w:adjustRightInd w:val="0"/>
        <w:snapToGrid w:val="0"/>
        <w:spacing w:line="360" w:lineRule="auto"/>
        <w:ind w:firstLine="482" w:firstLineChars="200"/>
        <w:rPr>
          <w:rFonts w:hint="eastAsia" w:ascii="宋体" w:hAnsi="宋体" w:cs="宋体"/>
          <w:color w:val="auto"/>
          <w:sz w:val="24"/>
        </w:rPr>
      </w:pPr>
    </w:p>
    <w:p>
      <w:pPr>
        <w:adjustRightInd w:val="0"/>
        <w:snapToGrid w:val="0"/>
        <w:spacing w:line="360" w:lineRule="auto"/>
        <w:jc w:val="center"/>
        <w:outlineLvl w:val="0"/>
        <w:rPr>
          <w:rFonts w:hint="eastAsia" w:ascii="宋体" w:hAnsi="宋体" w:cs="宋体"/>
          <w:color w:val="auto"/>
          <w:sz w:val="24"/>
        </w:rPr>
      </w:pPr>
      <w:r>
        <w:rPr>
          <w:rFonts w:hint="eastAsia" w:ascii="宋体" w:hAnsi="宋体" w:cs="宋体"/>
          <w:color w:val="auto"/>
          <w:sz w:val="24"/>
          <w:u w:val="single"/>
        </w:rPr>
        <w:t xml:space="preserve">                                      （项目名称）</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jc w:val="center"/>
        <w:outlineLvl w:val="0"/>
        <w:rPr>
          <w:rFonts w:hint="eastAsia" w:ascii="宋体" w:hAnsi="宋体" w:cs="宋体"/>
          <w:color w:val="auto"/>
          <w:sz w:val="24"/>
        </w:rPr>
      </w:pPr>
      <w:r>
        <w:rPr>
          <w:rFonts w:hint="eastAsia" w:ascii="宋体" w:hAnsi="宋体" w:cs="宋体"/>
          <w:color w:val="auto"/>
          <w:sz w:val="24"/>
        </w:rPr>
        <w:t>投  标  文  件</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jc w:val="center"/>
        <w:outlineLvl w:val="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adjustRightInd w:val="0"/>
        <w:snapToGrid w:val="0"/>
        <w:spacing w:line="360" w:lineRule="auto"/>
        <w:jc w:val="center"/>
        <w:rPr>
          <w:rFonts w:hint="eastAsia" w:ascii="宋体" w:hAnsi="宋体" w:cs="宋体"/>
          <w:color w:val="auto"/>
          <w:sz w:val="24"/>
          <w:u w:val="single"/>
        </w:rPr>
      </w:pPr>
    </w:p>
    <w:p>
      <w:pPr>
        <w:adjustRightInd w:val="0"/>
        <w:snapToGrid w:val="0"/>
        <w:spacing w:line="360" w:lineRule="auto"/>
        <w:jc w:val="center"/>
        <w:outlineLvl w:val="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adjustRightInd w:val="0"/>
        <w:snapToGrid w:val="0"/>
        <w:spacing w:line="360" w:lineRule="auto"/>
        <w:jc w:val="center"/>
        <w:rPr>
          <w:rFonts w:hint="eastAsia" w:ascii="宋体" w:hAnsi="宋体" w:cs="宋体"/>
          <w:color w:val="auto"/>
          <w:sz w:val="24"/>
        </w:rPr>
      </w:pPr>
    </w:p>
    <w:p>
      <w:pPr>
        <w:adjustRightInd w:val="0"/>
        <w:snapToGrid w:val="0"/>
        <w:spacing w:line="360" w:lineRule="auto"/>
        <w:jc w:val="center"/>
        <w:rPr>
          <w:rFonts w:hint="eastAsia" w:ascii="宋体" w:hAnsi="宋体" w:cs="宋体"/>
          <w:color w:val="auto"/>
          <w:sz w:val="24"/>
        </w:rPr>
      </w:pPr>
    </w:p>
    <w:p>
      <w:pPr>
        <w:adjustRightInd w:val="0"/>
        <w:snapToGrid w:val="0"/>
        <w:spacing w:line="360" w:lineRule="auto"/>
        <w:jc w:val="center"/>
        <w:outlineLvl w:val="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pacing w:line="360" w:lineRule="auto"/>
        <w:jc w:val="center"/>
        <w:outlineLvl w:val="9"/>
        <w:rPr>
          <w:rFonts w:hint="eastAsia" w:ascii="宋体" w:hAnsi="宋体" w:cs="宋体"/>
          <w:color w:val="auto"/>
          <w:sz w:val="28"/>
          <w:szCs w:val="28"/>
        </w:rPr>
      </w:pPr>
    </w:p>
    <w:p>
      <w:pPr>
        <w:adjustRightInd w:val="0"/>
        <w:spacing w:line="360" w:lineRule="auto"/>
        <w:jc w:val="center"/>
        <w:outlineLvl w:val="0"/>
        <w:rPr>
          <w:rFonts w:hint="eastAsia" w:ascii="宋体" w:hAnsi="宋体" w:cs="宋体"/>
          <w:color w:val="auto"/>
          <w:sz w:val="28"/>
          <w:szCs w:val="28"/>
        </w:rPr>
      </w:pPr>
      <w:r>
        <w:rPr>
          <w:rFonts w:hint="eastAsia" w:ascii="宋体" w:hAnsi="宋体" w:cs="宋体"/>
          <w:color w:val="auto"/>
          <w:sz w:val="28"/>
          <w:szCs w:val="28"/>
        </w:rPr>
        <w:t>目</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录</w:t>
      </w:r>
    </w:p>
    <w:p>
      <w:pPr>
        <w:adjustRightInd w:val="0"/>
        <w:spacing w:line="360" w:lineRule="auto"/>
        <w:jc w:val="center"/>
        <w:rPr>
          <w:rFonts w:hint="eastAsia" w:ascii="宋体" w:hAnsi="宋体" w:cs="宋体"/>
          <w:b w:val="0"/>
          <w:bCs/>
          <w:color w:val="auto"/>
          <w:sz w:val="24"/>
        </w:rPr>
      </w:pPr>
    </w:p>
    <w:p>
      <w:pPr>
        <w:spacing w:line="360" w:lineRule="auto"/>
        <w:jc w:val="center"/>
        <w:outlineLvl w:val="1"/>
        <w:rPr>
          <w:rFonts w:hint="eastAsia" w:ascii="宋体" w:hAnsi="宋体" w:cs="宋体"/>
          <w:color w:val="auto"/>
          <w:sz w:val="24"/>
        </w:rPr>
      </w:pPr>
      <w:r>
        <w:rPr>
          <w:rFonts w:hint="eastAsia" w:ascii="宋体" w:hAnsi="宋体" w:cs="宋体"/>
          <w:color w:val="auto"/>
          <w:sz w:val="24"/>
          <w:lang w:eastAsia="zh-CN"/>
        </w:rPr>
        <w:t>格式自拟</w:t>
      </w:r>
      <w:r>
        <w:rPr>
          <w:rFonts w:hint="eastAsia" w:ascii="宋体" w:hAnsi="宋体" w:cs="宋体"/>
          <w:color w:val="auto"/>
          <w:sz w:val="24"/>
        </w:rPr>
        <w:br w:type="page"/>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（一）投 标 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（招标人名称）：</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我们收到你们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，经认真研究，我们决定参加投标。</w:t>
      </w:r>
    </w:p>
    <w:p>
      <w:pPr>
        <w:keepNext w:val="0"/>
        <w:keepLines w:val="0"/>
        <w:pageBreakBefore w:val="0"/>
        <w:widowControl w:val="0"/>
        <w:kinsoku/>
        <w:wordWrap/>
        <w:overflowPunct/>
        <w:topLinePunct w:val="0"/>
        <w:autoSpaceDE/>
        <w:autoSpaceDN/>
        <w:bidi w:val="0"/>
        <w:adjustRightInd/>
        <w:snapToGrid/>
        <w:spacing w:line="288" w:lineRule="auto"/>
        <w:ind w:firstLine="56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⒈按照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中的一切要求，提供招标</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⒉如果我们的投标书被接受，我们将履行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中规定的每一项要求，按期、按质、按量完成交货和完工任务。</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⒊我们同意按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的规定，本投标书的有效期为开标后</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 xml:space="preserve"> 天。</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⒋我们愿意提供采购人在</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中要求的所有资料。</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⒌我们认为你们有选择或拒绝任何投标者中标的权力。我们理解，最低报价不是中标的唯一条件。</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⒍我们愿按合同法履行自己的全部责任。</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⒎我方愿意遵守国家有关规定及</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中规定的收费标准，承付中标服务费。</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⒏该项投标在开标后的全过程中保持有效，不</w:t>
      </w:r>
      <w:r>
        <w:rPr>
          <w:rFonts w:hint="eastAsia" w:ascii="宋体" w:hAnsi="宋体" w:eastAsia="宋体" w:cs="宋体"/>
          <w:color w:val="auto"/>
          <w:sz w:val="24"/>
          <w:szCs w:val="24"/>
          <w:lang w:eastAsia="zh-CN"/>
        </w:rPr>
        <w:t>做</w:t>
      </w:r>
      <w:r>
        <w:rPr>
          <w:rFonts w:hint="eastAsia" w:ascii="宋体" w:hAnsi="宋体" w:eastAsia="宋体" w:cs="宋体"/>
          <w:color w:val="auto"/>
          <w:sz w:val="24"/>
          <w:szCs w:val="24"/>
        </w:rPr>
        <w:t>任何更改和变动。</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⒐综合说明：</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（1）材料的详细技术参数、技术条件、技术标准、拟达到的质量标准和保险期限。</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计划、组织机构及人员安排。</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（3）技术服务。</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）要求项目单位提供的配合。</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内容有不同意见的偏离说明</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）其它。</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.所有有关本标书的函电，请按下列地址联系：</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       位：</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 政 编 码：</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p>
      <w:pPr>
        <w:keepNext w:val="0"/>
        <w:keepLines w:val="0"/>
        <w:pageBreakBefore w:val="0"/>
        <w:widowControl w:val="0"/>
        <w:kinsoku/>
        <w:wordWrap/>
        <w:overflowPunct/>
        <w:topLinePunct w:val="0"/>
        <w:autoSpaceDE/>
        <w:autoSpaceDN/>
        <w:bidi w:val="0"/>
        <w:adjustRightInd/>
        <w:snapToGrid/>
        <w:spacing w:line="288" w:lineRule="auto"/>
        <w:ind w:firstLine="567"/>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320"/>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32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pPr>
        <w:pStyle w:val="2"/>
        <w:jc w:val="right"/>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firstLine="2651" w:firstLineChars="1100"/>
        <w:jc w:val="right"/>
        <w:textAlignment w:val="auto"/>
        <w:rPr>
          <w:rFonts w:hint="eastAsia"/>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w:t>
      </w:r>
      <w:r>
        <w:rPr>
          <w:rFonts w:hint="eastAsia" w:ascii="宋体" w:hAnsi="宋体" w:eastAsia="宋体" w:cs="宋体"/>
          <w:color w:val="auto"/>
          <w:sz w:val="24"/>
          <w:szCs w:val="24"/>
          <w:lang w:eastAsia="zh-CN"/>
        </w:rPr>
        <w:t>字或盖</w:t>
      </w:r>
      <w:r>
        <w:rPr>
          <w:rFonts w:hint="eastAsia" w:ascii="宋体" w:hAnsi="宋体" w:eastAsia="宋体" w:cs="宋体"/>
          <w:color w:val="auto"/>
          <w:sz w:val="24"/>
          <w:szCs w:val="24"/>
        </w:rPr>
        <w:t>章）</w:t>
      </w:r>
    </w:p>
    <w:p>
      <w:pPr>
        <w:pStyle w:val="2"/>
        <w:jc w:val="right"/>
        <w:rPr>
          <w:rFonts w:hint="eastAsia"/>
        </w:rPr>
      </w:pP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spacing w:line="360" w:lineRule="auto"/>
        <w:jc w:val="right"/>
        <w:rPr>
          <w:rFonts w:hint="eastAsia" w:ascii="宋体" w:hAnsi="宋体" w:eastAsia="宋体" w:cs="宋体"/>
          <w:bCs/>
          <w:color w:val="auto"/>
          <w:sz w:val="24"/>
          <w:szCs w:val="24"/>
        </w:rPr>
      </w:pPr>
    </w:p>
    <w:p>
      <w:pPr>
        <w:pStyle w:val="32"/>
        <w:rPr>
          <w:rFonts w:hint="eastAsia" w:hAnsi="宋体"/>
          <w:bCs/>
          <w:color w:val="auto"/>
        </w:rPr>
      </w:pPr>
    </w:p>
    <w:p>
      <w:pPr>
        <w:rPr>
          <w:rFonts w:hint="eastAsia" w:ascii="宋体" w:hAnsi="宋体" w:cs="宋体"/>
          <w:b/>
          <w:color w:val="auto"/>
          <w:sz w:val="24"/>
        </w:rPr>
      </w:pPr>
      <w:r>
        <w:rPr>
          <w:rFonts w:hint="eastAsia" w:ascii="宋体" w:hAnsi="宋体" w:cs="宋体"/>
          <w:b/>
          <w:color w:val="auto"/>
          <w:sz w:val="24"/>
        </w:rPr>
        <w:br w:type="page"/>
      </w:r>
    </w:p>
    <w:p>
      <w:pPr>
        <w:numPr>
          <w:ilvl w:val="0"/>
          <w:numId w:val="5"/>
        </w:numPr>
        <w:spacing w:line="360" w:lineRule="auto"/>
        <w:jc w:val="center"/>
        <w:outlineLvl w:val="1"/>
        <w:rPr>
          <w:rFonts w:hint="eastAsia" w:ascii="宋体" w:hAnsi="宋体" w:cs="宋体"/>
          <w:b/>
          <w:color w:val="auto"/>
          <w:sz w:val="24"/>
        </w:rPr>
      </w:pPr>
      <w:r>
        <w:rPr>
          <w:rFonts w:hint="eastAsia" w:ascii="宋体" w:hAnsi="宋体" w:cs="宋体"/>
          <w:b/>
          <w:color w:val="auto"/>
          <w:sz w:val="24"/>
        </w:rPr>
        <w:t>法定代表人身份证明</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 xml:space="preserve"> 日</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 xml:space="preserve"> （投标人名称）的法定代表人。</w:t>
      </w:r>
    </w:p>
    <w:p>
      <w:pPr>
        <w:spacing w:line="360" w:lineRule="auto"/>
        <w:ind w:firstLine="964" w:firstLineChars="400"/>
        <w:rPr>
          <w:rFonts w:hint="eastAsia" w:ascii="宋体" w:hAnsi="宋体" w:cs="宋体"/>
          <w:color w:val="auto"/>
          <w:sz w:val="24"/>
        </w:rPr>
      </w:pPr>
      <w:r>
        <w:rPr>
          <w:rFonts w:hint="eastAsia" w:ascii="宋体" w:hAnsi="宋体" w:cs="宋体"/>
          <w:color w:val="auto"/>
          <w:sz w:val="24"/>
        </w:rPr>
        <w:t>特此证明。</w:t>
      </w:r>
    </w:p>
    <w:p>
      <w:pPr>
        <w:spacing w:line="360" w:lineRule="auto"/>
        <w:rPr>
          <w:rFonts w:hint="eastAsia" w:ascii="宋体" w:hAnsi="宋体" w:cs="宋体"/>
          <w:color w:val="auto"/>
          <w:sz w:val="24"/>
        </w:rPr>
      </w:pPr>
      <w:r>
        <w:rPr>
          <w:rFonts w:hint="eastAsia" w:ascii="宋体" w:hAnsi="宋体" w:cs="宋体"/>
          <w:color w:val="auto"/>
          <w:sz w:val="24"/>
        </w:rPr>
        <w:t>注：后附法定代表人身份证复印件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jc w:val="right"/>
        <w:rPr>
          <w:rFonts w:hint="eastAsia" w:ascii="宋体" w:hAnsi="宋体" w:cs="宋体"/>
          <w:color w:val="auto"/>
          <w:sz w:val="24"/>
        </w:rPr>
      </w:pPr>
      <w:r>
        <w:rPr>
          <w:rFonts w:hint="eastAsia" w:ascii="宋体" w:hAnsi="宋体" w:cs="宋体"/>
          <w:color w:val="auto"/>
          <w:sz w:val="24"/>
        </w:rPr>
        <w:t>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pStyle w:val="32"/>
        <w:jc w:val="right"/>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pStyle w:val="32"/>
        <w:rPr>
          <w:rFonts w:hint="eastAsia" w:hAnsi="宋体"/>
          <w:color w:val="auto"/>
        </w:rPr>
      </w:pPr>
    </w:p>
    <w:p>
      <w:pPr>
        <w:spacing w:line="360" w:lineRule="auto"/>
        <w:rPr>
          <w:rFonts w:hint="eastAsia" w:ascii="宋体" w:hAnsi="宋体" w:cs="宋体"/>
          <w:color w:val="auto"/>
          <w:sz w:val="24"/>
        </w:rPr>
      </w:pPr>
    </w:p>
    <w:p>
      <w:pPr>
        <w:numPr>
          <w:ilvl w:val="0"/>
          <w:numId w:val="5"/>
        </w:numPr>
        <w:spacing w:line="360" w:lineRule="auto"/>
        <w:ind w:left="0" w:leftChars="0" w:firstLine="0" w:firstLineChars="0"/>
        <w:jc w:val="center"/>
        <w:outlineLvl w:val="1"/>
        <w:rPr>
          <w:rFonts w:hint="eastAsia" w:ascii="宋体" w:hAnsi="宋体" w:cs="宋体"/>
          <w:b/>
          <w:bCs/>
          <w:color w:val="auto"/>
          <w:sz w:val="24"/>
        </w:rPr>
      </w:pPr>
      <w:r>
        <w:rPr>
          <w:rFonts w:hint="eastAsia" w:ascii="宋体" w:hAnsi="宋体" w:cs="宋体"/>
          <w:b/>
          <w:bCs/>
          <w:color w:val="auto"/>
          <w:sz w:val="24"/>
        </w:rPr>
        <w:t>法定代表人的授权委托书</w:t>
      </w:r>
    </w:p>
    <w:p>
      <w:pPr>
        <w:spacing w:line="360" w:lineRule="auto"/>
        <w:rPr>
          <w:rFonts w:hint="eastAsia" w:ascii="宋体" w:hAnsi="宋体" w:cs="宋体"/>
          <w:color w:val="auto"/>
          <w:sz w:val="24"/>
        </w:rPr>
      </w:pPr>
    </w:p>
    <w:p>
      <w:pPr>
        <w:topLinePunct/>
        <w:spacing w:line="360" w:lineRule="auto"/>
        <w:ind w:firstLine="482"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lang w:eastAsia="zh-CN"/>
        </w:rPr>
        <w:t>投标文件</w:t>
      </w:r>
      <w:r>
        <w:rPr>
          <w:rFonts w:hint="eastAsia" w:ascii="宋体" w:hAnsi="宋体" w:cs="宋体"/>
          <w:color w:val="auto"/>
          <w:sz w:val="24"/>
        </w:rPr>
        <w:t>、签订合同和处理有关事宜，其法律后果由我方承担。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委托期限：</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代理人无转委托权。</w:t>
      </w:r>
    </w:p>
    <w:p>
      <w:pPr>
        <w:spacing w:line="360" w:lineRule="auto"/>
        <w:ind w:firstLine="482" w:firstLineChars="200"/>
        <w:rPr>
          <w:rFonts w:hint="eastAsia" w:ascii="宋体" w:hAnsi="宋体" w:cs="宋体"/>
          <w:color w:val="auto"/>
          <w:sz w:val="24"/>
        </w:rPr>
      </w:pP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附：法定代表人身份证明、委托代理人身份证复印件</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w:t>
      </w:r>
      <w:r>
        <w:rPr>
          <w:rFonts w:hint="eastAsia" w:ascii="宋体" w:hAnsi="宋体" w:cs="宋体"/>
          <w:color w:val="auto"/>
          <w:sz w:val="24"/>
        </w:rPr>
        <w:t>）</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r>
        <w:rPr>
          <w:rFonts w:hint="eastAsia" w:ascii="宋体" w:hAnsi="宋体" w:cs="宋体"/>
          <w:color w:val="auto"/>
          <w:sz w:val="24"/>
          <w:u w:val="none"/>
        </w:rPr>
        <w:t xml:space="preserve">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 xml:space="preserve">（签字） </w:t>
      </w: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2" w:firstLineChars="200"/>
        <w:rPr>
          <w:rFonts w:hint="eastAsia" w:ascii="宋体" w:hAnsi="宋体" w:cs="宋体"/>
          <w:color w:val="auto"/>
          <w:sz w:val="24"/>
        </w:rPr>
      </w:pPr>
    </w:p>
    <w:p>
      <w:pPr>
        <w:spacing w:line="360" w:lineRule="auto"/>
        <w:ind w:firstLine="482" w:firstLineChars="200"/>
        <w:rPr>
          <w:rFonts w:hint="eastAsia" w:ascii="宋体" w:hAnsi="宋体" w:cs="宋体"/>
          <w:color w:val="auto"/>
          <w:sz w:val="24"/>
        </w:rPr>
      </w:pPr>
      <w:r>
        <w:rPr>
          <w:rFonts w:hint="eastAsia" w:ascii="宋体" w:hAnsi="宋体" w:cs="宋体"/>
          <w:color w:val="auto"/>
          <w:sz w:val="24"/>
        </w:rPr>
        <w:t xml:space="preserve">                              </w:t>
      </w:r>
    </w:p>
    <w:p>
      <w:pPr>
        <w:spacing w:line="360" w:lineRule="auto"/>
        <w:jc w:val="center"/>
        <w:outlineLvl w:val="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jc w:val="center"/>
        <w:rPr>
          <w:rFonts w:hint="eastAsia" w:ascii="宋体" w:hAnsi="宋体" w:cs="宋体"/>
          <w:b/>
          <w:color w:val="auto"/>
          <w:sz w:val="24"/>
        </w:rPr>
      </w:pPr>
    </w:p>
    <w:p>
      <w:pPr>
        <w:spacing w:line="360" w:lineRule="auto"/>
        <w:jc w:val="left"/>
        <w:outlineLvl w:val="9"/>
        <w:rPr>
          <w:rFonts w:hint="eastAsia" w:ascii="宋体" w:hAnsi="宋体" w:cs="宋体"/>
          <w:b/>
          <w:color w:val="auto"/>
          <w:sz w:val="24"/>
        </w:rPr>
      </w:pPr>
    </w:p>
    <w:p>
      <w:pPr>
        <w:spacing w:line="360" w:lineRule="auto"/>
        <w:jc w:val="left"/>
        <w:outlineLvl w:val="9"/>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pStyle w:val="2"/>
        <w:rPr>
          <w:rFonts w:hint="eastAsia" w:ascii="宋体" w:hAnsi="宋体" w:cs="宋体"/>
          <w:b/>
          <w:color w:val="auto"/>
          <w:sz w:val="24"/>
        </w:rPr>
      </w:pPr>
    </w:p>
    <w:p>
      <w:pPr>
        <w:spacing w:line="360" w:lineRule="auto"/>
        <w:jc w:val="both"/>
        <w:outlineLvl w:val="9"/>
        <w:rPr>
          <w:rFonts w:hint="eastAsia" w:ascii="宋体" w:hAnsi="宋体" w:cs="宋体"/>
          <w:b/>
          <w:color w:val="auto"/>
          <w:sz w:val="24"/>
        </w:rPr>
        <w:sectPr>
          <w:footerReference r:id="rId6" w:type="first"/>
          <w:footerReference r:id="rId5" w:type="default"/>
          <w:pgSz w:w="11849" w:h="16781"/>
          <w:pgMar w:top="1213" w:right="1080" w:bottom="1213" w:left="1080" w:header="851" w:footer="850" w:gutter="0"/>
          <w:pgNumType w:fmt="decimal"/>
          <w:cols w:space="720" w:num="1"/>
          <w:titlePg/>
          <w:docGrid w:type="linesAndChars" w:linePitch="320" w:charSpace="269"/>
        </w:sectPr>
      </w:pPr>
    </w:p>
    <w:p>
      <w:pPr>
        <w:numPr>
          <w:ilvl w:val="0"/>
          <w:numId w:val="5"/>
        </w:numPr>
        <w:tabs>
          <w:tab w:val="center" w:pos="7115"/>
          <w:tab w:val="right" w:pos="14230"/>
        </w:tabs>
        <w:spacing w:line="360" w:lineRule="auto"/>
        <w:ind w:left="0" w:leftChars="0" w:firstLine="0" w:firstLineChars="0"/>
        <w:jc w:val="center"/>
        <w:outlineLvl w:val="1"/>
        <w:rPr>
          <w:rFonts w:hint="eastAsia" w:asciiTheme="minorEastAsia" w:hAnsiTheme="minorEastAsia" w:eastAsiaTheme="minorEastAsia" w:cstheme="minorEastAsia"/>
          <w:color w:val="auto"/>
        </w:rPr>
      </w:pPr>
      <w:r>
        <w:rPr>
          <w:rFonts w:hint="eastAsia" w:ascii="宋体" w:hAnsi="宋体" w:cs="宋体"/>
          <w:b/>
          <w:color w:val="auto"/>
          <w:sz w:val="24"/>
        </w:rPr>
        <w:t>开标一览表</w:t>
      </w:r>
    </w:p>
    <w:p>
      <w:pPr>
        <w:pStyle w:val="34"/>
        <w:snapToGrid w:val="0"/>
        <w:spacing w:line="400" w:lineRule="exact"/>
        <w:ind w:firstLine="120" w:firstLineChars="5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项目名称：                                             单位：元</w:t>
      </w:r>
    </w:p>
    <w:tbl>
      <w:tblPr>
        <w:tblStyle w:val="21"/>
        <w:tblW w:w="13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372"/>
        <w:gridCol w:w="2250"/>
        <w:gridCol w:w="2295"/>
        <w:gridCol w:w="291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3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产品名称</w:t>
            </w:r>
          </w:p>
        </w:tc>
        <w:tc>
          <w:tcPr>
            <w:tcW w:w="22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22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数量（套）</w:t>
            </w:r>
          </w:p>
        </w:tc>
        <w:tc>
          <w:tcPr>
            <w:tcW w:w="291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总价（元）</w:t>
            </w:r>
          </w:p>
        </w:tc>
        <w:tc>
          <w:tcPr>
            <w:tcW w:w="15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45" w:type="dxa"/>
            <w:vAlign w:val="center"/>
          </w:tcPr>
          <w:p>
            <w:pPr>
              <w:pStyle w:val="34"/>
              <w:ind w:left="-342" w:leftChars="0" w:right="-354" w:rightChars="0" w:firstLine="420" w:firstLineChars="0"/>
              <w:jc w:val="center"/>
              <w:rPr>
                <w:rFonts w:hint="eastAsia" w:asciiTheme="minorEastAsia" w:hAnsiTheme="minorEastAsia" w:eastAsiaTheme="minorEastAsia" w:cstheme="minorEastAsia"/>
                <w:color w:val="auto"/>
                <w:sz w:val="21"/>
              </w:rPr>
            </w:pPr>
          </w:p>
        </w:tc>
        <w:tc>
          <w:tcPr>
            <w:tcW w:w="3372"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50"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9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91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158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4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3372"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50"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9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91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158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4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3372"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50"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9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91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158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45" w:type="dxa"/>
            <w:vAlign w:val="center"/>
          </w:tcPr>
          <w:p>
            <w:pPr>
              <w:pStyle w:val="34"/>
              <w:ind w:left="-342" w:leftChars="0" w:right="-354" w:rightChars="0" w:firstLine="420" w:firstLineChars="0"/>
              <w:jc w:val="center"/>
              <w:rPr>
                <w:rFonts w:hint="eastAsia" w:asciiTheme="minorEastAsia" w:hAnsiTheme="minorEastAsia" w:eastAsiaTheme="minorEastAsia" w:cstheme="minorEastAsia"/>
                <w:color w:val="auto"/>
                <w:sz w:val="21"/>
                <w:szCs w:val="24"/>
                <w:lang w:val="en-US" w:eastAsia="zh-CN" w:bidi="ar-SA"/>
              </w:rPr>
            </w:pPr>
          </w:p>
        </w:tc>
        <w:tc>
          <w:tcPr>
            <w:tcW w:w="3372" w:type="dxa"/>
            <w:vAlign w:val="center"/>
          </w:tcPr>
          <w:p>
            <w:pPr>
              <w:pStyle w:val="34"/>
              <w:ind w:left="-342" w:right="-354" w:firstLine="420"/>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合计（元）</w:t>
            </w:r>
          </w:p>
        </w:tc>
        <w:tc>
          <w:tcPr>
            <w:tcW w:w="2250"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29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291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c>
          <w:tcPr>
            <w:tcW w:w="1585" w:type="dxa"/>
            <w:vAlign w:val="center"/>
          </w:tcPr>
          <w:p>
            <w:pPr>
              <w:pStyle w:val="34"/>
              <w:ind w:left="-342" w:right="-354" w:firstLine="420"/>
              <w:jc w:val="center"/>
              <w:rPr>
                <w:rFonts w:hint="eastAsia" w:asciiTheme="minorEastAsia" w:hAnsiTheme="minorEastAsia" w:eastAsiaTheme="minorEastAsia" w:cstheme="minorEastAsia"/>
                <w:color w:val="auto"/>
                <w:sz w:val="21"/>
              </w:rPr>
            </w:pPr>
          </w:p>
        </w:tc>
      </w:tr>
    </w:tbl>
    <w:p>
      <w:pPr>
        <w:pStyle w:val="34"/>
        <w:snapToGrid w:val="0"/>
        <w:spacing w:line="400" w:lineRule="exact"/>
        <w:rPr>
          <w:rFonts w:hint="eastAsia" w:asciiTheme="minorEastAsia" w:hAnsiTheme="minorEastAsia" w:eastAsiaTheme="minorEastAsia" w:cstheme="minorEastAsia"/>
          <w:color w:val="auto"/>
        </w:rPr>
      </w:pPr>
    </w:p>
    <w:p>
      <w:pPr>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投标人全称：（公章）              </w:t>
      </w:r>
    </w:p>
    <w:p>
      <w:pPr>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法定代表人</w:t>
      </w:r>
      <w:r>
        <w:rPr>
          <w:rFonts w:hint="eastAsia" w:asciiTheme="minorEastAsia" w:hAnsiTheme="minorEastAsia" w:eastAsiaTheme="minorEastAsia" w:cstheme="minorEastAsia"/>
          <w:sz w:val="24"/>
        </w:rPr>
        <w:t>或其授权代理人签字：</w:t>
      </w:r>
    </w:p>
    <w:p>
      <w:pPr>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p>
      <w:pPr>
        <w:pStyle w:val="34"/>
        <w:spacing w:line="4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kern w:val="2"/>
        </w:rPr>
        <w:t>日期：</w:t>
      </w:r>
    </w:p>
    <w:p>
      <w:pPr>
        <w:spacing w:line="360" w:lineRule="auto"/>
        <w:outlineLvl w:val="2"/>
        <w:rPr>
          <w:rFonts w:hint="eastAsia" w:hAnsi="宋体" w:cs="宋体"/>
          <w:b/>
          <w:color w:val="auto"/>
          <w:sz w:val="24"/>
        </w:rPr>
      </w:pPr>
      <w:r>
        <w:rPr>
          <w:rFonts w:hint="eastAsia" w:ascii="宋体" w:hAnsi="宋体" w:cs="宋体"/>
          <w:b/>
          <w:color w:val="auto"/>
          <w:sz w:val="24"/>
        </w:rPr>
        <w:t>注：1、在开标一览表中，按第二章投标人须知规定不允许出现两种报价，否则其投标将被拒绝。</w:t>
      </w:r>
    </w:p>
    <w:p>
      <w:pPr>
        <w:pStyle w:val="7"/>
        <w:outlineLvl w:val="9"/>
        <w:rPr>
          <w:rFonts w:hint="eastAsia"/>
          <w:color w:val="auto"/>
        </w:rPr>
        <w:sectPr>
          <w:pgSz w:w="16781" w:h="11849" w:orient="landscape"/>
          <w:pgMar w:top="1080" w:right="1440" w:bottom="1080" w:left="1440" w:header="851" w:footer="850" w:gutter="0"/>
          <w:pgNumType w:fmt="decimal"/>
          <w:cols w:space="720" w:num="1"/>
          <w:titlePg/>
          <w:docGrid w:type="linesAndChars" w:linePitch="320" w:charSpace="269"/>
        </w:sectPr>
      </w:pPr>
    </w:p>
    <w:p>
      <w:pPr>
        <w:spacing w:line="360" w:lineRule="auto"/>
        <w:jc w:val="center"/>
        <w:outlineLvl w:val="1"/>
        <w:rPr>
          <w:rFonts w:hint="eastAsia" w:hAnsi="宋体" w:cs="宋体"/>
          <w:b/>
          <w:bCs w:val="0"/>
          <w:color w:val="auto"/>
          <w:sz w:val="24"/>
        </w:rPr>
      </w:pPr>
      <w:r>
        <w:rPr>
          <w:rFonts w:hint="eastAsia" w:hAnsi="宋体" w:cs="宋体"/>
          <w:b/>
          <w:bCs w:val="0"/>
          <w:color w:val="auto"/>
          <w:sz w:val="24"/>
        </w:rPr>
        <w:t>（</w:t>
      </w:r>
      <w:r>
        <w:rPr>
          <w:rFonts w:hint="eastAsia" w:hAnsi="宋体" w:cs="宋体"/>
          <w:b/>
          <w:bCs w:val="0"/>
          <w:color w:val="auto"/>
          <w:sz w:val="24"/>
          <w:lang w:val="en-US" w:eastAsia="zh-CN"/>
        </w:rPr>
        <w:t>五</w:t>
      </w:r>
      <w:r>
        <w:rPr>
          <w:rFonts w:hint="eastAsia" w:hAnsi="宋体" w:cs="宋体"/>
          <w:b/>
          <w:bCs w:val="0"/>
          <w:color w:val="auto"/>
          <w:sz w:val="24"/>
        </w:rPr>
        <w:t>）技 术 规 格 偏 离 表</w:t>
      </w:r>
    </w:p>
    <w:p>
      <w:pPr>
        <w:spacing w:line="360" w:lineRule="auto"/>
        <w:ind w:hanging="23"/>
        <w:jc w:val="left"/>
        <w:rPr>
          <w:rFonts w:hint="eastAsia" w:ascii="宋体" w:hAnsi="宋体" w:cs="宋体"/>
          <w:color w:val="auto"/>
          <w:sz w:val="24"/>
        </w:rPr>
      </w:pPr>
      <w:r>
        <w:rPr>
          <w:rFonts w:hint="eastAsia" w:ascii="宋体" w:hAnsi="宋体" w:cs="宋体"/>
          <w:color w:val="auto"/>
          <w:sz w:val="24"/>
        </w:rPr>
        <w:t xml:space="preserve">项目编号：                                                    </w:t>
      </w:r>
    </w:p>
    <w:tbl>
      <w:tblPr>
        <w:tblStyle w:val="21"/>
        <w:tblW w:w="0" w:type="auto"/>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招标规格</w:t>
            </w: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投标规格</w:t>
            </w: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   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9520"/>
        <w:rPr>
          <w:rFonts w:hint="eastAsia" w:ascii="宋体" w:hAnsi="宋体" w:cs="宋体"/>
          <w:color w:val="auto"/>
          <w:kern w:val="0"/>
          <w:sz w:val="24"/>
        </w:rPr>
      </w:pPr>
    </w:p>
    <w:p>
      <w:pPr>
        <w:spacing w:line="360" w:lineRule="auto"/>
        <w:jc w:val="right"/>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jc w:val="right"/>
        <w:rPr>
          <w:rFonts w:hint="default" w:eastAsia="宋体"/>
          <w:color w:val="auto"/>
          <w:lang w:val="en-US" w:eastAsia="zh-CN"/>
        </w:rPr>
        <w:sectPr>
          <w:pgSz w:w="16781" w:h="11849" w:orient="landscape"/>
          <w:pgMar w:top="1440" w:right="1080" w:bottom="1440" w:left="1080" w:header="851" w:footer="850" w:gutter="0"/>
          <w:pgNumType w:fmt="decimal"/>
          <w:cols w:space="720" w:num="1"/>
          <w:titlePg/>
          <w:docGrid w:type="linesAndChars" w:linePitch="320" w:charSpace="269"/>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color w:val="auto"/>
          <w:lang w:val="en-US" w:eastAsia="zh-CN"/>
        </w:rPr>
        <w:t xml:space="preserve"> </w:t>
      </w:r>
    </w:p>
    <w:p>
      <w:pPr>
        <w:numPr>
          <w:ilvl w:val="0"/>
          <w:numId w:val="6"/>
        </w:numPr>
        <w:spacing w:line="360" w:lineRule="auto"/>
        <w:jc w:val="center"/>
        <w:outlineLvl w:val="1"/>
        <w:rPr>
          <w:rFonts w:hint="eastAsia" w:ascii="宋体" w:hAnsi="宋体" w:cs="宋体"/>
          <w:b/>
          <w:color w:val="auto"/>
          <w:kern w:val="0"/>
          <w:sz w:val="24"/>
        </w:rPr>
      </w:pPr>
      <w:r>
        <w:rPr>
          <w:rFonts w:hint="eastAsia" w:ascii="宋体" w:hAnsi="宋体" w:cs="宋体"/>
          <w:b/>
          <w:color w:val="auto"/>
          <w:kern w:val="0"/>
          <w:sz w:val="24"/>
        </w:rPr>
        <w:t>资格审查资料</w:t>
      </w:r>
    </w:p>
    <w:p>
      <w:pPr>
        <w:autoSpaceDE w:val="0"/>
        <w:autoSpaceDN w:val="0"/>
        <w:adjustRightInd w:val="0"/>
        <w:spacing w:line="360" w:lineRule="auto"/>
        <w:jc w:val="center"/>
        <w:outlineLvl w:val="2"/>
        <w:rPr>
          <w:rFonts w:hint="eastAsia" w:ascii="宋体" w:hAnsi="宋体" w:cs="宋体"/>
          <w:b/>
          <w:color w:val="auto"/>
          <w:sz w:val="24"/>
        </w:rPr>
      </w:pPr>
      <w:r>
        <w:rPr>
          <w:rFonts w:hint="eastAsia" w:ascii="宋体" w:hAnsi="宋体" w:cs="宋体"/>
          <w:b/>
          <w:color w:val="auto"/>
          <w:sz w:val="24"/>
          <w:lang w:eastAsia="zh-CN"/>
        </w:rPr>
        <w:t>（</w:t>
      </w:r>
      <w:r>
        <w:rPr>
          <w:rFonts w:hint="eastAsia" w:ascii="宋体" w:hAnsi="宋体" w:cs="宋体"/>
          <w:b/>
          <w:color w:val="auto"/>
          <w:sz w:val="24"/>
          <w:lang w:val="en-US" w:eastAsia="zh-CN"/>
        </w:rPr>
        <w:t>1</w:t>
      </w:r>
      <w:r>
        <w:rPr>
          <w:rFonts w:hint="eastAsia" w:ascii="宋体" w:hAnsi="宋体" w:cs="宋体"/>
          <w:b/>
          <w:color w:val="auto"/>
          <w:sz w:val="24"/>
          <w:lang w:eastAsia="zh-CN"/>
        </w:rPr>
        <w:t>）</w:t>
      </w:r>
      <w:r>
        <w:rPr>
          <w:rFonts w:hint="eastAsia" w:ascii="宋体" w:hAnsi="宋体" w:cs="宋体"/>
          <w:b/>
          <w:color w:val="auto"/>
          <w:sz w:val="24"/>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投标人名称</w:t>
            </w:r>
          </w:p>
        </w:tc>
        <w:tc>
          <w:tcPr>
            <w:tcW w:w="7900" w:type="dxa"/>
            <w:gridSpan w:val="9"/>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注册地址</w:t>
            </w:r>
          </w:p>
        </w:tc>
        <w:tc>
          <w:tcPr>
            <w:tcW w:w="3813" w:type="dxa"/>
            <w:gridSpan w:val="5"/>
            <w:noWrap w:val="0"/>
            <w:vAlign w:val="center"/>
          </w:tcPr>
          <w:p>
            <w:pPr>
              <w:spacing w:line="360" w:lineRule="auto"/>
              <w:jc w:val="center"/>
              <w:rPr>
                <w:rFonts w:hint="eastAsia" w:ascii="宋体" w:hAnsi="宋体" w:cs="宋体"/>
                <w:color w:val="auto"/>
                <w:sz w:val="24"/>
              </w:rPr>
            </w:pPr>
          </w:p>
        </w:tc>
        <w:tc>
          <w:tcPr>
            <w:tcW w:w="14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邮政编码</w:t>
            </w:r>
          </w:p>
        </w:tc>
        <w:tc>
          <w:tcPr>
            <w:tcW w:w="2685" w:type="dxa"/>
            <w:gridSpan w:val="3"/>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71" w:type="dxa"/>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联系方式</w:t>
            </w:r>
          </w:p>
        </w:tc>
        <w:tc>
          <w:tcPr>
            <w:tcW w:w="1292"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联系人</w:t>
            </w:r>
          </w:p>
        </w:tc>
        <w:tc>
          <w:tcPr>
            <w:tcW w:w="2521" w:type="dxa"/>
            <w:gridSpan w:val="3"/>
            <w:noWrap w:val="0"/>
            <w:vAlign w:val="center"/>
          </w:tcPr>
          <w:p>
            <w:pPr>
              <w:spacing w:line="360" w:lineRule="auto"/>
              <w:jc w:val="center"/>
              <w:rPr>
                <w:rFonts w:hint="eastAsia" w:ascii="宋体" w:hAnsi="宋体" w:cs="宋体"/>
                <w:color w:val="auto"/>
                <w:sz w:val="24"/>
              </w:rPr>
            </w:pPr>
          </w:p>
        </w:tc>
        <w:tc>
          <w:tcPr>
            <w:tcW w:w="14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电  话</w:t>
            </w:r>
          </w:p>
        </w:tc>
        <w:tc>
          <w:tcPr>
            <w:tcW w:w="2685" w:type="dxa"/>
            <w:gridSpan w:val="3"/>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71" w:type="dxa"/>
            <w:vMerge w:val="continue"/>
            <w:noWrap w:val="0"/>
            <w:vAlign w:val="center"/>
          </w:tcPr>
          <w:p>
            <w:pPr>
              <w:spacing w:line="360" w:lineRule="auto"/>
              <w:jc w:val="center"/>
              <w:rPr>
                <w:rFonts w:hint="eastAsia" w:ascii="宋体" w:hAnsi="宋体" w:cs="宋体"/>
                <w:color w:val="auto"/>
                <w:sz w:val="24"/>
              </w:rPr>
            </w:pPr>
          </w:p>
        </w:tc>
        <w:tc>
          <w:tcPr>
            <w:tcW w:w="1292"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传  真</w:t>
            </w:r>
          </w:p>
        </w:tc>
        <w:tc>
          <w:tcPr>
            <w:tcW w:w="2521" w:type="dxa"/>
            <w:gridSpan w:val="3"/>
            <w:noWrap w:val="0"/>
            <w:vAlign w:val="center"/>
          </w:tcPr>
          <w:p>
            <w:pPr>
              <w:spacing w:line="360" w:lineRule="auto"/>
              <w:jc w:val="center"/>
              <w:rPr>
                <w:rFonts w:hint="eastAsia" w:ascii="宋体" w:hAnsi="宋体" w:cs="宋体"/>
                <w:color w:val="auto"/>
                <w:sz w:val="24"/>
              </w:rPr>
            </w:pPr>
          </w:p>
        </w:tc>
        <w:tc>
          <w:tcPr>
            <w:tcW w:w="1402"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网  址</w:t>
            </w:r>
          </w:p>
        </w:tc>
        <w:tc>
          <w:tcPr>
            <w:tcW w:w="2685" w:type="dxa"/>
            <w:gridSpan w:val="3"/>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组织结构</w:t>
            </w:r>
          </w:p>
        </w:tc>
        <w:tc>
          <w:tcPr>
            <w:tcW w:w="7900" w:type="dxa"/>
            <w:gridSpan w:val="9"/>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法定代表人</w:t>
            </w:r>
          </w:p>
        </w:tc>
        <w:tc>
          <w:tcPr>
            <w:tcW w:w="1009"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1361" w:type="dxa"/>
            <w:gridSpan w:val="2"/>
            <w:noWrap w:val="0"/>
            <w:vAlign w:val="center"/>
          </w:tcPr>
          <w:p>
            <w:pPr>
              <w:spacing w:line="360" w:lineRule="auto"/>
              <w:jc w:val="center"/>
              <w:rPr>
                <w:rFonts w:hint="eastAsia" w:ascii="宋体" w:hAnsi="宋体" w:cs="宋体"/>
                <w:color w:val="auto"/>
                <w:sz w:val="24"/>
              </w:rPr>
            </w:pPr>
          </w:p>
        </w:tc>
        <w:tc>
          <w:tcPr>
            <w:tcW w:w="1443"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技术职称</w:t>
            </w:r>
          </w:p>
        </w:tc>
        <w:tc>
          <w:tcPr>
            <w:tcW w:w="1696" w:type="dxa"/>
            <w:gridSpan w:val="2"/>
            <w:noWrap w:val="0"/>
            <w:vAlign w:val="center"/>
          </w:tcPr>
          <w:p>
            <w:pPr>
              <w:spacing w:line="360" w:lineRule="auto"/>
              <w:jc w:val="center"/>
              <w:rPr>
                <w:rFonts w:hint="eastAsia" w:ascii="宋体" w:hAnsi="宋体" w:cs="宋体"/>
                <w:color w:val="auto"/>
                <w:sz w:val="24"/>
              </w:rPr>
            </w:pPr>
          </w:p>
        </w:tc>
        <w:tc>
          <w:tcPr>
            <w:tcW w:w="798"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电话</w:t>
            </w:r>
          </w:p>
        </w:tc>
        <w:tc>
          <w:tcPr>
            <w:tcW w:w="1593"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技术负责人</w:t>
            </w:r>
          </w:p>
        </w:tc>
        <w:tc>
          <w:tcPr>
            <w:tcW w:w="1009"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1361" w:type="dxa"/>
            <w:gridSpan w:val="2"/>
            <w:noWrap w:val="0"/>
            <w:vAlign w:val="center"/>
          </w:tcPr>
          <w:p>
            <w:pPr>
              <w:spacing w:line="360" w:lineRule="auto"/>
              <w:jc w:val="center"/>
              <w:rPr>
                <w:rFonts w:hint="eastAsia" w:ascii="宋体" w:hAnsi="宋体" w:cs="宋体"/>
                <w:color w:val="auto"/>
                <w:sz w:val="24"/>
              </w:rPr>
            </w:pPr>
          </w:p>
        </w:tc>
        <w:tc>
          <w:tcPr>
            <w:tcW w:w="1443"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技术职称</w:t>
            </w:r>
          </w:p>
        </w:tc>
        <w:tc>
          <w:tcPr>
            <w:tcW w:w="1696" w:type="dxa"/>
            <w:gridSpan w:val="2"/>
            <w:noWrap w:val="0"/>
            <w:vAlign w:val="center"/>
          </w:tcPr>
          <w:p>
            <w:pPr>
              <w:spacing w:line="360" w:lineRule="auto"/>
              <w:jc w:val="center"/>
              <w:rPr>
                <w:rFonts w:hint="eastAsia" w:ascii="宋体" w:hAnsi="宋体" w:cs="宋体"/>
                <w:color w:val="auto"/>
                <w:sz w:val="24"/>
              </w:rPr>
            </w:pPr>
          </w:p>
        </w:tc>
        <w:tc>
          <w:tcPr>
            <w:tcW w:w="798"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电话</w:t>
            </w:r>
          </w:p>
        </w:tc>
        <w:tc>
          <w:tcPr>
            <w:tcW w:w="1593" w:type="dxa"/>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成立时间</w:t>
            </w:r>
          </w:p>
        </w:tc>
        <w:tc>
          <w:tcPr>
            <w:tcW w:w="2370" w:type="dxa"/>
            <w:gridSpan w:val="3"/>
            <w:noWrap w:val="0"/>
            <w:vAlign w:val="center"/>
          </w:tcPr>
          <w:p>
            <w:pPr>
              <w:spacing w:line="360" w:lineRule="auto"/>
              <w:jc w:val="center"/>
              <w:rPr>
                <w:rFonts w:hint="eastAsia" w:ascii="宋体" w:hAnsi="宋体" w:cs="宋体"/>
                <w:color w:val="auto"/>
                <w:sz w:val="24"/>
              </w:rPr>
            </w:pPr>
          </w:p>
        </w:tc>
        <w:tc>
          <w:tcPr>
            <w:tcW w:w="5530" w:type="dxa"/>
            <w:gridSpan w:val="6"/>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企业资质等级</w:t>
            </w:r>
          </w:p>
        </w:tc>
        <w:tc>
          <w:tcPr>
            <w:tcW w:w="2370" w:type="dxa"/>
            <w:gridSpan w:val="3"/>
            <w:noWrap w:val="0"/>
            <w:vAlign w:val="center"/>
          </w:tcPr>
          <w:p>
            <w:pPr>
              <w:spacing w:line="360" w:lineRule="auto"/>
              <w:jc w:val="center"/>
              <w:rPr>
                <w:rFonts w:hint="eastAsia" w:ascii="宋体" w:hAnsi="宋体" w:cs="宋体"/>
                <w:color w:val="auto"/>
                <w:sz w:val="24"/>
              </w:rPr>
            </w:pPr>
          </w:p>
        </w:tc>
        <w:tc>
          <w:tcPr>
            <w:tcW w:w="906" w:type="dxa"/>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其中</w:t>
            </w:r>
          </w:p>
        </w:tc>
        <w:tc>
          <w:tcPr>
            <w:tcW w:w="2233"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项目经理</w:t>
            </w:r>
          </w:p>
        </w:tc>
        <w:tc>
          <w:tcPr>
            <w:tcW w:w="239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营业执照号</w:t>
            </w:r>
          </w:p>
        </w:tc>
        <w:tc>
          <w:tcPr>
            <w:tcW w:w="2370" w:type="dxa"/>
            <w:gridSpan w:val="3"/>
            <w:noWrap w:val="0"/>
            <w:vAlign w:val="center"/>
          </w:tcPr>
          <w:p>
            <w:pPr>
              <w:spacing w:line="360" w:lineRule="auto"/>
              <w:jc w:val="center"/>
              <w:rPr>
                <w:rFonts w:hint="eastAsia" w:ascii="宋体" w:hAnsi="宋体" w:cs="宋体"/>
                <w:color w:val="auto"/>
                <w:sz w:val="24"/>
              </w:rPr>
            </w:pPr>
          </w:p>
        </w:tc>
        <w:tc>
          <w:tcPr>
            <w:tcW w:w="906" w:type="dxa"/>
            <w:vMerge w:val="continue"/>
            <w:noWrap w:val="0"/>
            <w:vAlign w:val="center"/>
          </w:tcPr>
          <w:p>
            <w:pPr>
              <w:spacing w:line="360" w:lineRule="auto"/>
              <w:jc w:val="center"/>
              <w:rPr>
                <w:rFonts w:hint="eastAsia" w:ascii="宋体" w:hAnsi="宋体" w:cs="宋体"/>
                <w:color w:val="auto"/>
                <w:sz w:val="24"/>
              </w:rPr>
            </w:pPr>
          </w:p>
        </w:tc>
        <w:tc>
          <w:tcPr>
            <w:tcW w:w="2233"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高级职称人员</w:t>
            </w:r>
          </w:p>
        </w:tc>
        <w:tc>
          <w:tcPr>
            <w:tcW w:w="239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注册资金</w:t>
            </w:r>
          </w:p>
        </w:tc>
        <w:tc>
          <w:tcPr>
            <w:tcW w:w="2370" w:type="dxa"/>
            <w:gridSpan w:val="3"/>
            <w:noWrap w:val="0"/>
            <w:vAlign w:val="center"/>
          </w:tcPr>
          <w:p>
            <w:pPr>
              <w:spacing w:line="360" w:lineRule="auto"/>
              <w:jc w:val="center"/>
              <w:rPr>
                <w:rFonts w:hint="eastAsia" w:ascii="宋体" w:hAnsi="宋体" w:cs="宋体"/>
                <w:color w:val="auto"/>
                <w:sz w:val="24"/>
              </w:rPr>
            </w:pPr>
          </w:p>
        </w:tc>
        <w:tc>
          <w:tcPr>
            <w:tcW w:w="906" w:type="dxa"/>
            <w:vMerge w:val="continue"/>
            <w:noWrap w:val="0"/>
            <w:vAlign w:val="center"/>
          </w:tcPr>
          <w:p>
            <w:pPr>
              <w:spacing w:line="360" w:lineRule="auto"/>
              <w:jc w:val="center"/>
              <w:rPr>
                <w:rFonts w:hint="eastAsia" w:ascii="宋体" w:hAnsi="宋体" w:cs="宋体"/>
                <w:color w:val="auto"/>
                <w:sz w:val="24"/>
              </w:rPr>
            </w:pPr>
          </w:p>
        </w:tc>
        <w:tc>
          <w:tcPr>
            <w:tcW w:w="2233"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中级职称人员</w:t>
            </w:r>
          </w:p>
        </w:tc>
        <w:tc>
          <w:tcPr>
            <w:tcW w:w="239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开户银行</w:t>
            </w:r>
          </w:p>
        </w:tc>
        <w:tc>
          <w:tcPr>
            <w:tcW w:w="2370" w:type="dxa"/>
            <w:gridSpan w:val="3"/>
            <w:noWrap w:val="0"/>
            <w:vAlign w:val="center"/>
          </w:tcPr>
          <w:p>
            <w:pPr>
              <w:spacing w:line="360" w:lineRule="auto"/>
              <w:jc w:val="center"/>
              <w:rPr>
                <w:rFonts w:hint="eastAsia" w:ascii="宋体" w:hAnsi="宋体" w:cs="宋体"/>
                <w:color w:val="auto"/>
                <w:sz w:val="24"/>
              </w:rPr>
            </w:pPr>
          </w:p>
        </w:tc>
        <w:tc>
          <w:tcPr>
            <w:tcW w:w="906" w:type="dxa"/>
            <w:vMerge w:val="continue"/>
            <w:noWrap w:val="0"/>
            <w:vAlign w:val="center"/>
          </w:tcPr>
          <w:p>
            <w:pPr>
              <w:spacing w:line="360" w:lineRule="auto"/>
              <w:jc w:val="center"/>
              <w:rPr>
                <w:rFonts w:hint="eastAsia" w:ascii="宋体" w:hAnsi="宋体" w:cs="宋体"/>
                <w:color w:val="auto"/>
                <w:sz w:val="24"/>
              </w:rPr>
            </w:pPr>
          </w:p>
        </w:tc>
        <w:tc>
          <w:tcPr>
            <w:tcW w:w="2233"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初级职称人员</w:t>
            </w:r>
          </w:p>
        </w:tc>
        <w:tc>
          <w:tcPr>
            <w:tcW w:w="239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账号</w:t>
            </w:r>
          </w:p>
        </w:tc>
        <w:tc>
          <w:tcPr>
            <w:tcW w:w="2370" w:type="dxa"/>
            <w:gridSpan w:val="3"/>
            <w:noWrap w:val="0"/>
            <w:vAlign w:val="center"/>
          </w:tcPr>
          <w:p>
            <w:pPr>
              <w:spacing w:line="360" w:lineRule="auto"/>
              <w:jc w:val="center"/>
              <w:rPr>
                <w:rFonts w:hint="eastAsia" w:ascii="宋体" w:hAnsi="宋体" w:cs="宋体"/>
                <w:color w:val="auto"/>
                <w:sz w:val="24"/>
              </w:rPr>
            </w:pPr>
          </w:p>
        </w:tc>
        <w:tc>
          <w:tcPr>
            <w:tcW w:w="906" w:type="dxa"/>
            <w:vMerge w:val="continue"/>
            <w:noWrap w:val="0"/>
            <w:vAlign w:val="center"/>
          </w:tcPr>
          <w:p>
            <w:pPr>
              <w:spacing w:line="360" w:lineRule="auto"/>
              <w:jc w:val="center"/>
              <w:rPr>
                <w:rFonts w:hint="eastAsia" w:ascii="宋体" w:hAnsi="宋体" w:cs="宋体"/>
                <w:color w:val="auto"/>
                <w:sz w:val="24"/>
              </w:rPr>
            </w:pPr>
          </w:p>
        </w:tc>
        <w:tc>
          <w:tcPr>
            <w:tcW w:w="2233"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技  工</w:t>
            </w:r>
          </w:p>
        </w:tc>
        <w:tc>
          <w:tcPr>
            <w:tcW w:w="239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经营范围</w:t>
            </w:r>
          </w:p>
        </w:tc>
        <w:tc>
          <w:tcPr>
            <w:tcW w:w="7900" w:type="dxa"/>
            <w:gridSpan w:val="9"/>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备注</w:t>
            </w:r>
          </w:p>
        </w:tc>
        <w:tc>
          <w:tcPr>
            <w:tcW w:w="7900" w:type="dxa"/>
            <w:gridSpan w:val="9"/>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备注：本表后应附企业法人营业执照等材料的复印件。</w:t>
      </w:r>
    </w:p>
    <w:p>
      <w:pPr>
        <w:spacing w:line="360" w:lineRule="auto"/>
        <w:rPr>
          <w:rFonts w:hint="eastAsia" w:ascii="宋体" w:hAnsi="宋体" w:cs="宋体"/>
          <w:color w:val="auto"/>
          <w:sz w:val="24"/>
        </w:rPr>
      </w:pPr>
    </w:p>
    <w:p>
      <w:pPr>
        <w:spacing w:before="160" w:beforeLines="50" w:after="160" w:afterLines="50" w:line="360" w:lineRule="auto"/>
        <w:outlineLvl w:val="2"/>
        <w:rPr>
          <w:rFonts w:hint="eastAsia" w:ascii="宋体" w:hAnsi="宋体" w:cs="宋体"/>
          <w:b/>
          <w:color w:val="auto"/>
          <w:sz w:val="24"/>
        </w:rPr>
      </w:pPr>
      <w:r>
        <w:rPr>
          <w:rFonts w:hint="eastAsia" w:ascii="宋体" w:hAnsi="宋体" w:cs="宋体"/>
          <w:b/>
          <w:color w:val="auto"/>
          <w:sz w:val="24"/>
        </w:rPr>
        <w:t>（2）企业其他信誉情况表</w:t>
      </w:r>
    </w:p>
    <w:p>
      <w:pPr>
        <w:spacing w:line="360" w:lineRule="auto"/>
        <w:ind w:left="724" w:hanging="720" w:hangingChars="300"/>
        <w:rPr>
          <w:rFonts w:hint="eastAsia" w:ascii="宋体" w:hAnsi="宋体" w:cs="宋体"/>
          <w:color w:val="auto"/>
          <w:sz w:val="24"/>
        </w:rPr>
      </w:pPr>
      <w:r>
        <w:rPr>
          <w:rFonts w:hint="eastAsia" w:ascii="宋体" w:hAnsi="宋体" w:cs="宋体"/>
          <w:color w:val="auto"/>
          <w:sz w:val="24"/>
        </w:rPr>
        <w:t>1）近三年企业不良行为记录情况</w:t>
      </w:r>
    </w:p>
    <w:p>
      <w:pPr>
        <w:spacing w:line="360" w:lineRule="auto"/>
        <w:ind w:left="724" w:hanging="720" w:hangingChars="300"/>
        <w:rPr>
          <w:rFonts w:hint="eastAsia" w:ascii="宋体" w:hAnsi="宋体" w:cs="宋体"/>
          <w:color w:val="auto"/>
          <w:sz w:val="24"/>
        </w:rPr>
      </w:pPr>
      <w:r>
        <w:rPr>
          <w:rFonts w:hint="eastAsia" w:ascii="宋体" w:hAnsi="宋体" w:cs="宋体"/>
          <w:color w:val="auto"/>
          <w:sz w:val="24"/>
        </w:rPr>
        <w:t>2）在供货以及近年已完成供货合同履行情况</w:t>
      </w:r>
    </w:p>
    <w:p>
      <w:pPr>
        <w:spacing w:line="360" w:lineRule="auto"/>
        <w:ind w:left="724" w:hanging="720" w:hangingChars="300"/>
        <w:rPr>
          <w:rFonts w:hint="eastAsia" w:ascii="宋体" w:hAnsi="宋体" w:cs="宋体"/>
          <w:color w:val="auto"/>
          <w:sz w:val="24"/>
        </w:rPr>
      </w:pPr>
      <w:r>
        <w:rPr>
          <w:rFonts w:hint="eastAsia" w:ascii="宋体" w:hAnsi="宋体" w:cs="宋体"/>
          <w:color w:val="auto"/>
          <w:sz w:val="24"/>
        </w:rPr>
        <w:t>3）其  他</w:t>
      </w:r>
    </w:p>
    <w:p>
      <w:pPr>
        <w:spacing w:line="360" w:lineRule="auto"/>
        <w:ind w:left="724" w:hanging="720" w:hangingChars="300"/>
        <w:rPr>
          <w:rFonts w:hint="eastAsia" w:ascii="宋体" w:hAnsi="宋体" w:cs="宋体"/>
          <w:color w:val="auto"/>
          <w:sz w:val="24"/>
        </w:rPr>
      </w:pPr>
    </w:p>
    <w:p>
      <w:pPr>
        <w:autoSpaceDE w:val="0"/>
        <w:autoSpaceDN w:val="0"/>
        <w:adjustRightInd w:val="0"/>
        <w:snapToGrid w:val="0"/>
        <w:spacing w:line="360" w:lineRule="auto"/>
        <w:outlineLvl w:val="2"/>
        <w:rPr>
          <w:rFonts w:hint="eastAsia" w:ascii="宋体" w:hAnsi="宋体" w:cs="宋体"/>
          <w:b/>
          <w:color w:val="auto"/>
          <w:kern w:val="0"/>
          <w:sz w:val="24"/>
        </w:rPr>
      </w:pPr>
      <w:r>
        <w:rPr>
          <w:rFonts w:hint="eastAsia" w:ascii="宋体" w:hAnsi="宋体" w:eastAsia="宋体" w:cs="宋体"/>
          <w:b/>
          <w:color w:val="auto"/>
          <w:kern w:val="2"/>
          <w:sz w:val="24"/>
          <w:szCs w:val="24"/>
          <w:lang w:val="en-US" w:eastAsia="zh-CN" w:bidi="ar-SA"/>
        </w:rPr>
        <w:t>（3）</w:t>
      </w:r>
      <w:r>
        <w:rPr>
          <w:rFonts w:hint="eastAsia" w:ascii="宋体" w:hAnsi="宋体" w:cs="宋体"/>
          <w:b/>
          <w:color w:val="auto"/>
          <w:kern w:val="0"/>
          <w:sz w:val="24"/>
        </w:rPr>
        <w:t>企业认为有必要提供的其他材料（企业综合实力等资料）</w:t>
      </w:r>
    </w:p>
    <w:p>
      <w:pPr>
        <w:pStyle w:val="2"/>
        <w:rPr>
          <w:rFonts w:hint="eastAsia"/>
          <w:color w:val="auto"/>
        </w:rPr>
      </w:pPr>
    </w:p>
    <w:p>
      <w:pPr>
        <w:rPr>
          <w:rFonts w:hint="eastAsia" w:ascii="宋体" w:hAnsi="宋体" w:cs="宋体"/>
          <w:b/>
          <w:color w:val="auto"/>
          <w:kern w:val="0"/>
          <w:sz w:val="24"/>
          <w:lang w:eastAsia="zh-CN"/>
        </w:rPr>
      </w:pPr>
      <w:r>
        <w:rPr>
          <w:rFonts w:hint="eastAsia" w:ascii="宋体" w:hAnsi="宋体" w:cs="宋体"/>
          <w:b/>
          <w:color w:val="auto"/>
          <w:kern w:val="0"/>
          <w:sz w:val="24"/>
          <w:lang w:eastAsia="zh-CN"/>
        </w:rPr>
        <w:br w:type="page"/>
      </w: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rPr>
      </w:pPr>
      <w:r>
        <w:rPr>
          <w:rFonts w:hint="eastAsia" w:ascii="宋体" w:hAnsi="宋体" w:cs="宋体"/>
          <w:b/>
          <w:color w:val="auto"/>
          <w:kern w:val="0"/>
          <w:sz w:val="24"/>
          <w:lang w:val="en-US" w:eastAsia="zh-CN"/>
        </w:rPr>
        <w:t>（七）</w:t>
      </w:r>
      <w:r>
        <w:rPr>
          <w:rFonts w:hint="eastAsia" w:ascii="宋体" w:hAnsi="宋体" w:cs="宋体"/>
          <w:b/>
          <w:color w:val="auto"/>
          <w:kern w:val="0"/>
          <w:sz w:val="24"/>
        </w:rPr>
        <w:t>其他材料</w:t>
      </w:r>
    </w:p>
    <w:p>
      <w:pPr>
        <w:pStyle w:val="2"/>
        <w:numPr>
          <w:ilvl w:val="0"/>
          <w:numId w:val="0"/>
        </w:numPr>
        <w:rPr>
          <w:rFonts w:hint="eastAsia"/>
          <w:color w:val="auto"/>
        </w:rPr>
      </w:pPr>
    </w:p>
    <w:p>
      <w:pPr>
        <w:pStyle w:val="3"/>
        <w:numPr>
          <w:ilvl w:val="0"/>
          <w:numId w:val="0"/>
        </w:numPr>
        <w:ind w:leftChars="0"/>
        <w:jc w:val="center"/>
        <w:outlineLvl w:val="1"/>
        <w:rPr>
          <w:rFonts w:hint="eastAsia"/>
          <w:color w:val="auto"/>
          <w:lang w:val="en-US" w:eastAsia="zh-CN"/>
        </w:rPr>
      </w:pPr>
      <w:r>
        <w:rPr>
          <w:rFonts w:hint="eastAsia" w:ascii="宋体" w:hAnsi="宋体" w:eastAsia="宋体" w:cs="宋体"/>
          <w:i w:val="0"/>
          <w:iCs w:val="0"/>
          <w:color w:val="auto"/>
          <w:kern w:val="2"/>
          <w:sz w:val="24"/>
          <w:szCs w:val="24"/>
          <w:highlight w:val="none"/>
          <w:lang w:val="en-US" w:eastAsia="zh-CN" w:bidi="ar-SA"/>
        </w:rPr>
        <w:t>投标人认为有必要提供的声明及文件资料</w:t>
      </w:r>
    </w:p>
    <w:p>
      <w:pPr>
        <w:numPr>
          <w:ilvl w:val="0"/>
          <w:numId w:val="0"/>
        </w:numPr>
        <w:spacing w:line="480" w:lineRule="atLeast"/>
        <w:ind w:right="-965" w:rightChars="0"/>
        <w:rPr>
          <w:rFonts w:hint="eastAsia" w:ascii="宋体" w:hAnsi="宋体" w:eastAsia="宋体" w:cs="宋体"/>
          <w:b/>
          <w:color w:val="auto"/>
          <w:kern w:val="0"/>
          <w:sz w:val="24"/>
          <w:lang w:val="en-US" w:eastAsia="zh-CN"/>
        </w:rPr>
      </w:pPr>
    </w:p>
    <w:p>
      <w:pPr>
        <w:pStyle w:val="29"/>
        <w:rPr>
          <w:rFonts w:hint="eastAsia" w:asciiTheme="minorEastAsia" w:hAnsiTheme="minorEastAsia" w:eastAsiaTheme="minorEastAsia" w:cstheme="minorEastAsia"/>
          <w:b/>
          <w:bCs/>
          <w:color w:val="auto"/>
          <w:szCs w:val="24"/>
          <w:highlight w:val="none"/>
        </w:rPr>
      </w:pPr>
      <w:r>
        <w:rPr>
          <w:rFonts w:hint="eastAsia" w:ascii="宋体" w:hAnsi="宋体" w:cs="宋体"/>
          <w:b/>
          <w:bCs/>
          <w:color w:val="auto"/>
          <w:sz w:val="24"/>
          <w:lang w:val="en-US" w:eastAsia="zh-CN"/>
        </w:rPr>
        <w:t>如：</w:t>
      </w:r>
      <w:r>
        <w:rPr>
          <w:rFonts w:hint="eastAsia" w:ascii="宋体" w:hAnsi="宋体" w:eastAsia="宋体" w:cs="宋体"/>
          <w:b/>
          <w:bCs/>
          <w:color w:val="auto"/>
          <w:sz w:val="24"/>
          <w:lang w:val="en-US" w:eastAsia="zh-CN"/>
        </w:rPr>
        <w:t>售后服务方案</w:t>
      </w:r>
    </w:p>
    <w:p>
      <w:pPr>
        <w:pStyle w:val="29"/>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供货实施方案</w:t>
      </w:r>
    </w:p>
    <w:p>
      <w:pPr>
        <w:pStyle w:val="29"/>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进度计划安排</w:t>
      </w:r>
    </w:p>
    <w:p>
      <w:pPr>
        <w:pStyle w:val="29"/>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人员组织架构</w:t>
      </w:r>
    </w:p>
    <w:p>
      <w:pPr>
        <w:pStyle w:val="29"/>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设计方案及指标参数</w:t>
      </w:r>
    </w:p>
    <w:p>
      <w:pPr>
        <w:pStyle w:val="29"/>
        <w:rPr>
          <w:rFonts w:hint="eastAsia" w:ascii="宋体" w:hAnsi="宋体" w:eastAsia="宋体" w:cs="宋体"/>
          <w:color w:val="auto"/>
          <w:sz w:val="24"/>
          <w:lang w:val="en-US" w:eastAsia="zh-CN"/>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pStyle w:val="29"/>
        <w:rPr>
          <w:rFonts w:hint="eastAsia" w:ascii="宋体" w:hAnsi="宋体" w:cs="宋体"/>
          <w:color w:val="auto"/>
          <w:sz w:val="24"/>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8"/>
          <w:szCs w:val="28"/>
          <w:lang w:val="en-US" w:eastAsia="zh-CN"/>
        </w:rPr>
      </w:pPr>
      <w:r>
        <w:rPr>
          <w:rFonts w:hint="eastAsia" w:ascii="宋体" w:hAnsi="宋体" w:cs="宋体"/>
          <w:b/>
          <w:color w:val="auto"/>
          <w:kern w:val="0"/>
          <w:sz w:val="28"/>
          <w:szCs w:val="28"/>
          <w:lang w:val="en-US" w:eastAsia="zh-CN"/>
        </w:rPr>
        <w:t>（八）设计方案</w:t>
      </w:r>
    </w:p>
    <w:p>
      <w:pPr>
        <w:tabs>
          <w:tab w:val="left" w:pos="540"/>
        </w:tabs>
        <w:jc w:val="center"/>
        <w:rPr>
          <w:rFonts w:hint="eastAsia" w:asciiTheme="minorEastAsia" w:hAnsiTheme="minorEastAsia" w:eastAsiaTheme="minorEastAsia" w:cstheme="minorEastAsia"/>
        </w:rPr>
      </w:pPr>
    </w:p>
    <w:p>
      <w:pPr>
        <w:spacing w:line="440" w:lineRule="exact"/>
        <w:ind w:firstLine="482" w:firstLineChars="200"/>
        <w:rPr>
          <w:rFonts w:hint="eastAsia" w:asciiTheme="minorEastAsia" w:hAnsiTheme="minorEastAsia" w:eastAsiaTheme="minorEastAsia" w:cstheme="minorEastAsia"/>
          <w:sz w:val="24"/>
          <w:lang w:val="en-GB"/>
        </w:rPr>
      </w:pPr>
      <w:r>
        <w:rPr>
          <w:rFonts w:hint="eastAsia" w:asciiTheme="minorEastAsia" w:hAnsiTheme="minorEastAsia" w:eastAsiaTheme="minorEastAsia" w:cstheme="minorEastAsia"/>
          <w:b/>
          <w:sz w:val="24"/>
          <w:lang w:val="en-GB"/>
        </w:rPr>
        <w:t>项目设计方案包括但不限于以下内容，主要根据招标需求的要求</w:t>
      </w:r>
      <w:r>
        <w:rPr>
          <w:rFonts w:hint="eastAsia" w:asciiTheme="minorEastAsia" w:hAnsiTheme="minorEastAsia" w:eastAsiaTheme="minorEastAsia" w:cstheme="minorEastAsia"/>
          <w:sz w:val="24"/>
          <w:lang w:val="en-GB"/>
        </w:rPr>
        <w:t>（格式自定）</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GB"/>
        </w:rPr>
        <w:t>1、</w:t>
      </w:r>
      <w:r>
        <w:rPr>
          <w:rFonts w:hint="eastAsia" w:asciiTheme="minorEastAsia" w:hAnsiTheme="minorEastAsia" w:eastAsiaTheme="minorEastAsia" w:cstheme="minorEastAsia"/>
          <w:sz w:val="24"/>
        </w:rPr>
        <w:t>对于项目中涉及到的重要技术环节和方案(</w:t>
      </w:r>
      <w:r>
        <w:rPr>
          <w:rFonts w:hint="eastAsia" w:asciiTheme="minorEastAsia" w:hAnsiTheme="minorEastAsia" w:eastAsiaTheme="minorEastAsia" w:cstheme="minorEastAsia"/>
          <w:color w:val="FF0000"/>
          <w:sz w:val="24"/>
        </w:rPr>
        <w:t>如各种线路布线、安装</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color w:val="FF0000"/>
          <w:sz w:val="24"/>
        </w:rPr>
        <w:t>系统总合成以及消防安全措施、保障用户人身安全等</w:t>
      </w:r>
      <w:r>
        <w:rPr>
          <w:rFonts w:hint="eastAsia" w:asciiTheme="minorEastAsia" w:hAnsiTheme="minorEastAsia" w:eastAsiaTheme="minorEastAsia" w:cstheme="minorEastAsia"/>
          <w:sz w:val="24"/>
        </w:rPr>
        <w:t>),要详细说明其技术处理方法或处理建议及依照的有关法规。必要时,也可以提供相关的图片或照片示意。</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GB"/>
        </w:rPr>
        <w:t>2、</w:t>
      </w:r>
      <w:r>
        <w:rPr>
          <w:rFonts w:hint="eastAsia" w:asciiTheme="minorEastAsia" w:hAnsiTheme="minorEastAsia" w:eastAsiaTheme="minorEastAsia" w:cstheme="minorEastAsia"/>
          <w:sz w:val="24"/>
        </w:rPr>
        <w:t>产品的说明及详细技术规格资料。</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3、提供有关图纸和资料，</w:t>
      </w:r>
      <w:r>
        <w:rPr>
          <w:rFonts w:hint="eastAsia" w:asciiTheme="minorEastAsia" w:hAnsiTheme="minorEastAsia" w:eastAsiaTheme="minorEastAsia" w:cstheme="minorEastAsia"/>
          <w:color w:val="FF0000"/>
          <w:sz w:val="24"/>
        </w:rPr>
        <w:t>如线路图、平面图、效果图等设计图纸</w:t>
      </w:r>
      <w:r>
        <w:rPr>
          <w:rFonts w:hint="eastAsia" w:asciiTheme="minorEastAsia" w:hAnsiTheme="minorEastAsia" w:eastAsiaTheme="minorEastAsia" w:cstheme="minorEastAsia"/>
          <w:sz w:val="24"/>
        </w:rPr>
        <w:t>。</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GB"/>
        </w:rPr>
        <w:t>4、</w:t>
      </w:r>
      <w:r>
        <w:rPr>
          <w:rFonts w:hint="eastAsia" w:asciiTheme="minorEastAsia" w:hAnsiTheme="minorEastAsia" w:eastAsiaTheme="minorEastAsia" w:cstheme="minorEastAsia"/>
          <w:sz w:val="24"/>
        </w:rPr>
        <w:t>项目负责人简历及拟投入本项目的主要成员。</w:t>
      </w:r>
    </w:p>
    <w:p>
      <w:pPr>
        <w:spacing w:line="440" w:lineRule="exact"/>
        <w:ind w:firstLine="480" w:firstLineChars="200"/>
        <w:rPr>
          <w:rFonts w:hint="eastAsia" w:asciiTheme="minorEastAsia" w:hAnsiTheme="minorEastAsia" w:eastAsiaTheme="minorEastAsia" w:cstheme="minorEastAsia"/>
          <w:sz w:val="24"/>
          <w:lang w:val="en-GB"/>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GB"/>
        </w:rPr>
        <w:t>、质保期。</w:t>
      </w:r>
    </w:p>
    <w:p>
      <w:pPr>
        <w:spacing w:line="440" w:lineRule="exact"/>
        <w:ind w:firstLine="480" w:firstLineChars="200"/>
        <w:rPr>
          <w:rFonts w:hint="eastAsia" w:asciiTheme="minorEastAsia" w:hAnsiTheme="minorEastAsia" w:eastAsiaTheme="minorEastAsia" w:cstheme="minorEastAsia"/>
          <w:sz w:val="24"/>
          <w:lang w:val="en-GB"/>
        </w:rPr>
      </w:pPr>
      <w:r>
        <w:rPr>
          <w:rFonts w:hint="eastAsia" w:asciiTheme="minorEastAsia" w:hAnsiTheme="minorEastAsia" w:eastAsiaTheme="minorEastAsia" w:cstheme="minorEastAsia"/>
          <w:sz w:val="24"/>
          <w:lang w:val="en-GB"/>
        </w:rPr>
        <w:t>6、应急维修时间安排。</w:t>
      </w:r>
    </w:p>
    <w:p>
      <w:pPr>
        <w:spacing w:line="440" w:lineRule="exact"/>
        <w:ind w:firstLine="480" w:firstLineChars="200"/>
        <w:rPr>
          <w:rFonts w:hint="eastAsia" w:asciiTheme="minorEastAsia" w:hAnsiTheme="minorEastAsia" w:eastAsiaTheme="minorEastAsia" w:cstheme="minorEastAsia"/>
          <w:sz w:val="24"/>
          <w:lang w:val="en-GB"/>
        </w:rPr>
      </w:pPr>
      <w:r>
        <w:rPr>
          <w:rFonts w:hint="eastAsia" w:asciiTheme="minorEastAsia" w:hAnsiTheme="minorEastAsia" w:eastAsiaTheme="minorEastAsia" w:cstheme="minorEastAsia"/>
          <w:sz w:val="24"/>
          <w:lang w:val="en-GB"/>
        </w:rPr>
        <w:t>7、售后服务机构地点、地址、联系电话及技术服务人员（包括工程师等人员）。</w:t>
      </w:r>
    </w:p>
    <w:p>
      <w:pPr>
        <w:spacing w:line="440" w:lineRule="exact"/>
        <w:ind w:firstLine="480" w:firstLineChars="200"/>
        <w:rPr>
          <w:rFonts w:hint="eastAsia" w:asciiTheme="minorEastAsia" w:hAnsiTheme="minorEastAsia" w:eastAsiaTheme="minorEastAsia" w:cstheme="minorEastAsia"/>
          <w:sz w:val="24"/>
          <w:lang w:val="en-GB"/>
        </w:rPr>
      </w:pPr>
      <w:r>
        <w:rPr>
          <w:rFonts w:hint="eastAsia" w:asciiTheme="minorEastAsia" w:hAnsiTheme="minorEastAsia" w:eastAsiaTheme="minorEastAsia" w:cstheme="minorEastAsia"/>
          <w:sz w:val="24"/>
          <w:lang w:val="en-GB"/>
        </w:rPr>
        <w:t>8、其它服务承诺。</w:t>
      </w:r>
    </w:p>
    <w:p>
      <w:pPr>
        <w:spacing w:line="440" w:lineRule="exact"/>
        <w:ind w:firstLine="480" w:firstLineChars="200"/>
        <w:rPr>
          <w:rFonts w:hint="eastAsia" w:asciiTheme="minorEastAsia" w:hAnsiTheme="minorEastAsia" w:eastAsiaTheme="minorEastAsia" w:cstheme="minorEastAsia"/>
          <w:b/>
          <w:color w:val="0000FF"/>
          <w:kern w:val="2"/>
          <w:sz w:val="32"/>
          <w:szCs w:val="32"/>
        </w:rPr>
      </w:pPr>
      <w:r>
        <w:rPr>
          <w:rFonts w:hint="eastAsia" w:asciiTheme="minorEastAsia" w:hAnsiTheme="minorEastAsia" w:eastAsiaTheme="minorEastAsia" w:cstheme="minorEastAsia"/>
          <w:sz w:val="24"/>
          <w:lang w:val="en-GB"/>
        </w:rPr>
        <w:t>9、培训计划。</w:t>
      </w: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pStyle w:val="34"/>
        <w:snapToGrid w:val="0"/>
        <w:spacing w:line="360" w:lineRule="auto"/>
        <w:jc w:val="both"/>
        <w:rPr>
          <w:rFonts w:hint="eastAsia" w:asciiTheme="minorEastAsia" w:hAnsiTheme="minorEastAsia" w:eastAsiaTheme="minorEastAsia" w:cstheme="minorEastAsia"/>
          <w:b/>
          <w:color w:val="FF0000"/>
          <w:kern w:val="2"/>
          <w:sz w:val="32"/>
          <w:szCs w:val="32"/>
        </w:rPr>
      </w:pPr>
    </w:p>
    <w:p>
      <w:pPr>
        <w:numPr>
          <w:ilvl w:val="0"/>
          <w:numId w:val="7"/>
        </w:numPr>
        <w:spacing w:line="440" w:lineRule="exact"/>
        <w:jc w:val="center"/>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技术负责人简历及拟投入本项目主要成员名称及证件 </w:t>
      </w:r>
    </w:p>
    <w:p>
      <w:pPr>
        <w:spacing w:line="240" w:lineRule="atLeast"/>
        <w:jc w:val="center"/>
        <w:rPr>
          <w:rFonts w:hint="eastAsia" w:asciiTheme="minorEastAsia" w:hAnsiTheme="minorEastAsia" w:eastAsiaTheme="minorEastAsia" w:cstheme="minorEastAsia"/>
          <w:b/>
          <w:sz w:val="32"/>
          <w:szCs w:val="32"/>
          <w:lang w:eastAsia="zh-CN"/>
        </w:rPr>
      </w:pPr>
    </w:p>
    <w:p>
      <w:pPr>
        <w:tabs>
          <w:tab w:val="left" w:pos="277"/>
          <w:tab w:val="left" w:pos="2493"/>
          <w:tab w:val="left" w:pos="5263"/>
        </w:tabs>
        <w:spacing w:line="440" w:lineRule="exact"/>
        <w:rPr>
          <w:rFonts w:hint="eastAsia" w:asciiTheme="minorEastAsia" w:hAnsiTheme="minorEastAsia" w:eastAsiaTheme="minorEastAsia" w:cstheme="minorEastAsia"/>
          <w:sz w:val="24"/>
        </w:rPr>
      </w:pPr>
    </w:p>
    <w:p>
      <w:pPr>
        <w:tabs>
          <w:tab w:val="left" w:pos="277"/>
          <w:tab w:val="left" w:pos="2493"/>
          <w:tab w:val="left" w:pos="5263"/>
        </w:tabs>
        <w:spacing w:line="240" w:lineRule="atLeast"/>
        <w:rPr>
          <w:rFonts w:hint="eastAsia" w:asciiTheme="minorEastAsia" w:hAnsiTheme="minorEastAsia" w:eastAsiaTheme="minorEastAsia" w:cstheme="minorEastAsia"/>
          <w:b/>
          <w:sz w:val="28"/>
        </w:rPr>
      </w:pPr>
    </w:p>
    <w:p>
      <w:pPr>
        <w:widowControl/>
        <w:autoSpaceDE w:val="0"/>
        <w:autoSpaceDN w:val="0"/>
        <w:spacing w:line="440" w:lineRule="exact"/>
        <w:ind w:left="181" w:leftChars="86" w:firstLine="210" w:firstLineChars="100"/>
        <w:textAlignment w:val="bottom"/>
        <w:rPr>
          <w:rFonts w:hint="eastAsia" w:asciiTheme="minorEastAsia" w:hAnsiTheme="minorEastAsia" w:eastAsiaTheme="minorEastAsia" w:cstheme="minorEastAsia"/>
          <w:szCs w:val="21"/>
        </w:rPr>
      </w:pPr>
    </w:p>
    <w:p>
      <w:pPr>
        <w:widowControl/>
        <w:autoSpaceDE w:val="0"/>
        <w:autoSpaceDN w:val="0"/>
        <w:spacing w:line="440" w:lineRule="exact"/>
        <w:ind w:left="181" w:leftChars="86" w:firstLine="210" w:firstLineChars="100"/>
        <w:textAlignment w:val="bottom"/>
        <w:rPr>
          <w:rFonts w:hint="eastAsia" w:asciiTheme="minorEastAsia" w:hAnsiTheme="minorEastAsia" w:eastAsiaTheme="minorEastAsia" w:cstheme="minorEastAsia"/>
          <w:szCs w:val="21"/>
        </w:rPr>
      </w:pPr>
    </w:p>
    <w:p>
      <w:pPr>
        <w:widowControl/>
        <w:autoSpaceDE w:val="0"/>
        <w:autoSpaceDN w:val="0"/>
        <w:spacing w:line="440" w:lineRule="exact"/>
        <w:ind w:left="181" w:leftChars="86" w:firstLine="210" w:firstLineChars="100"/>
        <w:textAlignment w:val="bottom"/>
        <w:rPr>
          <w:rFonts w:hint="eastAsia" w:asciiTheme="minorEastAsia" w:hAnsiTheme="minorEastAsia" w:eastAsiaTheme="minorEastAsia" w:cstheme="minorEastAsia"/>
          <w:szCs w:val="21"/>
        </w:rPr>
      </w:pPr>
    </w:p>
    <w:p>
      <w:pPr>
        <w:widowControl/>
        <w:autoSpaceDE w:val="0"/>
        <w:autoSpaceDN w:val="0"/>
        <w:spacing w:line="440" w:lineRule="exact"/>
        <w:ind w:left="181" w:leftChars="86" w:firstLine="210" w:firstLineChars="100"/>
        <w:textAlignment w:val="bottom"/>
        <w:rPr>
          <w:rFonts w:hint="eastAsia" w:asciiTheme="minorEastAsia" w:hAnsiTheme="minorEastAsia" w:eastAsiaTheme="minorEastAsia" w:cstheme="minorEastAsia"/>
          <w:szCs w:val="21"/>
        </w:rPr>
      </w:pPr>
    </w:p>
    <w:p>
      <w:pPr>
        <w:widowControl/>
        <w:autoSpaceDE w:val="0"/>
        <w:autoSpaceDN w:val="0"/>
        <w:spacing w:line="440" w:lineRule="exact"/>
        <w:ind w:left="181" w:leftChars="86" w:firstLine="210" w:firstLineChars="100"/>
        <w:textAlignment w:val="bottom"/>
        <w:rPr>
          <w:rFonts w:hint="eastAsia" w:asciiTheme="minorEastAsia" w:hAnsiTheme="minorEastAsia" w:eastAsiaTheme="minorEastAsia" w:cstheme="minorEastAsia"/>
          <w:szCs w:val="21"/>
        </w:rPr>
      </w:pPr>
    </w:p>
    <w:p>
      <w:pPr>
        <w:pStyle w:val="32"/>
        <w:rPr>
          <w:rFonts w:hint="eastAsia" w:asciiTheme="minorEastAsia" w:hAnsiTheme="minorEastAsia" w:eastAsiaTheme="minorEastAsia" w:cstheme="minorEastAsia"/>
          <w:szCs w:val="21"/>
        </w:rPr>
      </w:pPr>
    </w:p>
    <w:p>
      <w:pPr>
        <w:pStyle w:val="32"/>
        <w:rPr>
          <w:rFonts w:hint="eastAsia" w:asciiTheme="minorEastAsia" w:hAnsiTheme="minorEastAsia" w:eastAsiaTheme="minorEastAsia" w:cstheme="minorEastAsia"/>
          <w:szCs w:val="21"/>
        </w:rPr>
      </w:pPr>
    </w:p>
    <w:p>
      <w:pPr>
        <w:pStyle w:val="34"/>
        <w:snapToGrid w:val="0"/>
        <w:spacing w:line="360" w:lineRule="auto"/>
        <w:jc w:val="both"/>
        <w:rPr>
          <w:rFonts w:hint="eastAsia" w:asciiTheme="minorEastAsia" w:hAnsiTheme="minorEastAsia" w:eastAsiaTheme="minorEastAsia" w:cstheme="minorEastAsia"/>
          <w:b/>
          <w:bCs/>
          <w:color w:val="auto"/>
          <w:sz w:val="28"/>
          <w:szCs w:val="28"/>
        </w:rPr>
      </w:pPr>
    </w:p>
    <w:p>
      <w:pPr>
        <w:jc w:val="center"/>
        <w:rPr>
          <w:rFonts w:hint="eastAsia" w:asciiTheme="minorEastAsia" w:hAnsiTheme="minorEastAsia" w:eastAsiaTheme="minorEastAsia" w:cstheme="minorEastAsia"/>
          <w:b/>
          <w:bCs/>
          <w:sz w:val="32"/>
        </w:rPr>
      </w:pPr>
    </w:p>
    <w:p>
      <w:pPr>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br w:type="page"/>
      </w:r>
    </w:p>
    <w:p>
      <w:pPr>
        <w:numPr>
          <w:ilvl w:val="0"/>
          <w:numId w:val="0"/>
        </w:numPr>
        <w:jc w:val="center"/>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十</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投标单位反商业贿赂承诺书</w:t>
      </w:r>
    </w:p>
    <w:p>
      <w:pPr>
        <w:widowControl/>
        <w:spacing w:before="100" w:beforeAutospacing="1" w:after="100" w:afterAutospacing="1"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rPr>
        <w:t>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rPr>
        <w:t> </w:t>
      </w:r>
      <w:r>
        <w:rPr>
          <w:rFonts w:hint="eastAsia" w:asciiTheme="minorEastAsia" w:hAnsiTheme="minorEastAsia" w:eastAsiaTheme="minorEastAsia" w:cstheme="minorEastAsia"/>
          <w:sz w:val="24"/>
          <w:szCs w:val="24"/>
        </w:rPr>
        <w:t>我公司承诺在</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240" w:lineRule="auto"/>
        <w:ind w:firstLine="899"/>
        <w:jc w:val="both"/>
        <w:rPr>
          <w:rFonts w:hint="eastAsia" w:asciiTheme="minorEastAsia" w:hAnsiTheme="minorEastAsia" w:eastAsiaTheme="minorEastAsia" w:cstheme="minorEastAsia"/>
          <w:sz w:val="24"/>
          <w:szCs w:val="24"/>
        </w:rPr>
      </w:pPr>
    </w:p>
    <w:p>
      <w:pPr>
        <w:widowControl/>
        <w:spacing w:before="100" w:beforeAutospacing="1" w:after="100" w:afterAutospacing="1" w:line="240" w:lineRule="auto"/>
        <w:ind w:firstLine="89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p>
    <w:p>
      <w:pPr>
        <w:pStyle w:val="20"/>
        <w:spacing w:line="240" w:lineRule="auto"/>
        <w:jc w:val="both"/>
        <w:rPr>
          <w:rFonts w:hint="eastAsia"/>
        </w:rPr>
      </w:pPr>
    </w:p>
    <w:p>
      <w:pPr>
        <w:widowControl/>
        <w:spacing w:before="100" w:beforeAutospacing="1" w:after="100" w:afterAutospacing="1" w:line="240" w:lineRule="auto"/>
        <w:ind w:firstLine="89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w:t>
      </w: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rPr>
        <w:t>：（签字）</w:t>
      </w:r>
    </w:p>
    <w:p>
      <w:pPr>
        <w:pStyle w:val="20"/>
        <w:spacing w:line="240" w:lineRule="auto"/>
        <w:jc w:val="both"/>
        <w:rPr>
          <w:rFonts w:hint="eastAsia"/>
        </w:rPr>
      </w:pPr>
    </w:p>
    <w:p>
      <w:pPr>
        <w:widowControl/>
        <w:spacing w:before="100" w:beforeAutospacing="1" w:after="100" w:afterAutospacing="1" w:line="240" w:lineRule="auto"/>
        <w:ind w:firstLine="89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法人授权代表签字：（签字）</w:t>
      </w:r>
    </w:p>
    <w:p>
      <w:pPr>
        <w:pStyle w:val="11"/>
        <w:spacing w:line="460" w:lineRule="atLeast"/>
        <w:ind w:firstLine="2400"/>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480" w:lineRule="exact"/>
        <w:jc w:val="center"/>
        <w:rPr>
          <w:rFonts w:hint="eastAsia" w:asciiTheme="minorEastAsia" w:hAnsiTheme="minorEastAsia" w:eastAsiaTheme="minorEastAsia" w:cstheme="minorEastAsia"/>
          <w:b/>
          <w:sz w:val="28"/>
          <w:szCs w:val="28"/>
        </w:rPr>
      </w:pPr>
    </w:p>
    <w:p>
      <w:pPr>
        <w:spacing w:line="480" w:lineRule="exact"/>
        <w:rPr>
          <w:rFonts w:hint="eastAsia" w:asciiTheme="minorEastAsia" w:hAnsiTheme="minorEastAsia" w:eastAsiaTheme="minorEastAsia" w:cstheme="minorEastAsia"/>
          <w:sz w:val="28"/>
          <w:szCs w:val="28"/>
        </w:rPr>
      </w:pPr>
    </w:p>
    <w:p>
      <w:pPr>
        <w:spacing w:line="480" w:lineRule="exact"/>
        <w:rPr>
          <w:rFonts w:hint="eastAsia" w:asciiTheme="minorEastAsia" w:hAnsiTheme="minorEastAsia" w:eastAsiaTheme="minorEastAsia" w:cstheme="minorEastAsia"/>
          <w:sz w:val="28"/>
          <w:szCs w:val="28"/>
        </w:rPr>
      </w:pPr>
    </w:p>
    <w:p>
      <w:pPr>
        <w:spacing w:line="480" w:lineRule="exact"/>
        <w:rPr>
          <w:rFonts w:hint="eastAsia" w:asciiTheme="minorEastAsia" w:hAnsiTheme="minorEastAsia" w:eastAsiaTheme="minorEastAsia" w:cstheme="minorEastAsia"/>
          <w:sz w:val="28"/>
          <w:szCs w:val="28"/>
        </w:rPr>
      </w:pPr>
    </w:p>
    <w:p>
      <w:pPr>
        <w:spacing w:line="480" w:lineRule="exact"/>
        <w:rPr>
          <w:rFonts w:hint="eastAsia" w:asciiTheme="minorEastAsia" w:hAnsiTheme="minorEastAsia" w:eastAsiaTheme="minorEastAsia" w:cstheme="minorEastAsia"/>
          <w:sz w:val="28"/>
          <w:szCs w:val="28"/>
        </w:rPr>
      </w:pPr>
    </w:p>
    <w:p>
      <w:pPr>
        <w:spacing w:line="480" w:lineRule="exact"/>
        <w:rPr>
          <w:rFonts w:hint="eastAsia" w:asciiTheme="minorEastAsia" w:hAnsiTheme="minorEastAsia" w:eastAsiaTheme="minorEastAsia" w:cstheme="minorEastAsia"/>
          <w:sz w:val="28"/>
          <w:szCs w:val="28"/>
        </w:rPr>
      </w:pPr>
    </w:p>
    <w:p>
      <w:pPr>
        <w:tabs>
          <w:tab w:val="left" w:pos="277"/>
          <w:tab w:val="left" w:pos="2493"/>
          <w:tab w:val="left" w:pos="5263"/>
        </w:tabs>
        <w:spacing w:line="460" w:lineRule="exact"/>
        <w:rPr>
          <w:rFonts w:hint="eastAsia" w:asciiTheme="minorEastAsia" w:hAnsiTheme="minorEastAsia" w:eastAsiaTheme="minorEastAsia" w:cstheme="minorEastAsia"/>
          <w:b/>
          <w:sz w:val="28"/>
        </w:rPr>
      </w:pPr>
    </w:p>
    <w:p>
      <w:pPr>
        <w:tabs>
          <w:tab w:val="left" w:pos="277"/>
          <w:tab w:val="left" w:pos="2493"/>
          <w:tab w:val="left" w:pos="5263"/>
        </w:tabs>
        <w:spacing w:line="460" w:lineRule="exact"/>
        <w:rPr>
          <w:rFonts w:hint="eastAsia" w:asciiTheme="minorEastAsia" w:hAnsiTheme="minorEastAsia" w:eastAsiaTheme="minorEastAsia" w:cstheme="minorEastAsia"/>
          <w:b/>
          <w:sz w:val="28"/>
        </w:rPr>
      </w:pPr>
    </w:p>
    <w:p>
      <w:pPr>
        <w:tabs>
          <w:tab w:val="left" w:pos="277"/>
          <w:tab w:val="left" w:pos="2493"/>
          <w:tab w:val="left" w:pos="5263"/>
        </w:tabs>
        <w:spacing w:line="460" w:lineRule="exact"/>
        <w:rPr>
          <w:rFonts w:hint="eastAsia" w:asciiTheme="minorEastAsia" w:hAnsiTheme="minorEastAsia" w:eastAsiaTheme="minorEastAsia" w:cstheme="minorEastAsia"/>
          <w:b/>
          <w:sz w:val="28"/>
        </w:rPr>
      </w:pPr>
    </w:p>
    <w:p>
      <w:pPr>
        <w:tabs>
          <w:tab w:val="left" w:pos="277"/>
          <w:tab w:val="left" w:pos="2493"/>
          <w:tab w:val="left" w:pos="5263"/>
        </w:tabs>
        <w:spacing w:line="460" w:lineRule="exact"/>
        <w:rPr>
          <w:rFonts w:hint="eastAsia" w:asciiTheme="minorEastAsia" w:hAnsiTheme="minorEastAsia" w:eastAsiaTheme="minorEastAsia" w:cstheme="minorEastAsia"/>
          <w:b/>
          <w:sz w:val="28"/>
        </w:rPr>
      </w:pPr>
    </w:p>
    <w:p>
      <w:pPr>
        <w:tabs>
          <w:tab w:val="left" w:pos="277"/>
          <w:tab w:val="left" w:pos="2493"/>
          <w:tab w:val="left" w:pos="5263"/>
        </w:tabs>
        <w:spacing w:line="460" w:lineRule="exact"/>
        <w:rPr>
          <w:rFonts w:hint="eastAsia" w:asciiTheme="minorEastAsia" w:hAnsiTheme="minorEastAsia" w:eastAsiaTheme="minorEastAsia" w:cstheme="minorEastAsia"/>
          <w:sz w:val="28"/>
        </w:rPr>
      </w:pPr>
    </w:p>
    <w:p>
      <w:pPr>
        <w:rPr>
          <w:rFonts w:hint="eastAsia" w:asciiTheme="minorEastAsia" w:hAnsiTheme="minorEastAsia" w:eastAsiaTheme="minorEastAsia" w:cstheme="minorEastAsia"/>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p>
    <w:pPr>
      <w:pStyle w:val="15"/>
      <w:ind w:right="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42</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BF463"/>
    <w:multiLevelType w:val="singleLevel"/>
    <w:tmpl w:val="E9FBF463"/>
    <w:lvl w:ilvl="0" w:tentative="0">
      <w:start w:val="1"/>
      <w:numFmt w:val="decimal"/>
      <w:suff w:val="nothing"/>
      <w:lvlText w:val="（%1）"/>
      <w:lvlJc w:val="left"/>
    </w:lvl>
  </w:abstractNum>
  <w:abstractNum w:abstractNumId="1">
    <w:nsid w:val="FB9F933C"/>
    <w:multiLevelType w:val="singleLevel"/>
    <w:tmpl w:val="FB9F933C"/>
    <w:lvl w:ilvl="0" w:tentative="0">
      <w:start w:val="9"/>
      <w:numFmt w:val="chineseCounting"/>
      <w:suff w:val="space"/>
      <w:lvlText w:val="（%1）"/>
      <w:lvlJc w:val="left"/>
      <w:rPr>
        <w:rFonts w:hint="eastAsia"/>
      </w:rPr>
    </w:lvl>
  </w:abstractNum>
  <w:abstractNum w:abstractNumId="2">
    <w:nsid w:val="001D01B5"/>
    <w:multiLevelType w:val="singleLevel"/>
    <w:tmpl w:val="001D01B5"/>
    <w:lvl w:ilvl="0" w:tentative="0">
      <w:start w:val="6"/>
      <w:numFmt w:val="chineseCounting"/>
      <w:suff w:val="space"/>
      <w:lvlText w:val="（%1）"/>
      <w:lvlJc w:val="left"/>
      <w:rPr>
        <w:rFonts w:hint="eastAsia"/>
      </w:rPr>
    </w:lvl>
  </w:abstractNum>
  <w:abstractNum w:abstractNumId="3">
    <w:nsid w:val="1DEB00F0"/>
    <w:multiLevelType w:val="multilevel"/>
    <w:tmpl w:val="1DEB00F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535356"/>
    <w:multiLevelType w:val="singleLevel"/>
    <w:tmpl w:val="36535356"/>
    <w:lvl w:ilvl="0" w:tentative="0">
      <w:start w:val="1"/>
      <w:numFmt w:val="decimal"/>
      <w:suff w:val="nothing"/>
      <w:lvlText w:val="（%1）"/>
      <w:lvlJc w:val="left"/>
    </w:lvl>
  </w:abstractNum>
  <w:abstractNum w:abstractNumId="5">
    <w:nsid w:val="3A266631"/>
    <w:multiLevelType w:val="singleLevel"/>
    <w:tmpl w:val="3A266631"/>
    <w:lvl w:ilvl="0" w:tentative="0">
      <w:start w:val="2"/>
      <w:numFmt w:val="chineseCounting"/>
      <w:suff w:val="space"/>
      <w:lvlText w:val="（%1）"/>
      <w:lvlJc w:val="left"/>
      <w:rPr>
        <w:rFonts w:hint="eastAsia"/>
        <w:b/>
        <w:bCs/>
        <w:sz w:val="24"/>
        <w:szCs w:val="24"/>
      </w:rPr>
    </w:lvl>
  </w:abstractNum>
  <w:abstractNum w:abstractNumId="6">
    <w:nsid w:val="52B7C010"/>
    <w:multiLevelType w:val="singleLevel"/>
    <w:tmpl w:val="52B7C010"/>
    <w:lvl w:ilvl="0" w:tentative="0">
      <w:start w:val="1"/>
      <w:numFmt w:val="decimal"/>
      <w:pStyle w:val="8"/>
      <w:lvlText w:val="%1."/>
      <w:lvlJc w:val="left"/>
      <w:pPr>
        <w:tabs>
          <w:tab w:val="left" w:pos="360"/>
        </w:tabs>
        <w:ind w:left="360" w:hanging="360"/>
      </w:p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NGRkNDQ2ZmMyOGQ0ZjRmNDg1M2E5YjFlNzIyZTEifQ=="/>
  </w:docVars>
  <w:rsids>
    <w:rsidRoot w:val="00C605D5"/>
    <w:rsid w:val="001570FF"/>
    <w:rsid w:val="00181CF5"/>
    <w:rsid w:val="001939CB"/>
    <w:rsid w:val="001A3A81"/>
    <w:rsid w:val="001D0757"/>
    <w:rsid w:val="00260C7A"/>
    <w:rsid w:val="003729E5"/>
    <w:rsid w:val="0044440A"/>
    <w:rsid w:val="005006AD"/>
    <w:rsid w:val="00624534"/>
    <w:rsid w:val="007E0DE2"/>
    <w:rsid w:val="007F3EB0"/>
    <w:rsid w:val="0089350F"/>
    <w:rsid w:val="008A30A1"/>
    <w:rsid w:val="00910040"/>
    <w:rsid w:val="00920E8F"/>
    <w:rsid w:val="00934D5B"/>
    <w:rsid w:val="00966A0F"/>
    <w:rsid w:val="009D7AC8"/>
    <w:rsid w:val="00B43324"/>
    <w:rsid w:val="00B6292C"/>
    <w:rsid w:val="00C01732"/>
    <w:rsid w:val="00C605D5"/>
    <w:rsid w:val="00D36545"/>
    <w:rsid w:val="00E43C95"/>
    <w:rsid w:val="00F2605B"/>
    <w:rsid w:val="00FD28DF"/>
    <w:rsid w:val="0179093B"/>
    <w:rsid w:val="01DC4A16"/>
    <w:rsid w:val="02036451"/>
    <w:rsid w:val="023B0A71"/>
    <w:rsid w:val="027D140D"/>
    <w:rsid w:val="02F2197A"/>
    <w:rsid w:val="02FE7161"/>
    <w:rsid w:val="03B24C65"/>
    <w:rsid w:val="03D9716B"/>
    <w:rsid w:val="044F1E27"/>
    <w:rsid w:val="05006790"/>
    <w:rsid w:val="05CD222A"/>
    <w:rsid w:val="05D47115"/>
    <w:rsid w:val="060B61C5"/>
    <w:rsid w:val="063E065D"/>
    <w:rsid w:val="06620BC5"/>
    <w:rsid w:val="06A218D0"/>
    <w:rsid w:val="06AA0D82"/>
    <w:rsid w:val="06BB5EC1"/>
    <w:rsid w:val="06E22920"/>
    <w:rsid w:val="06F72B50"/>
    <w:rsid w:val="071C2954"/>
    <w:rsid w:val="076F4E51"/>
    <w:rsid w:val="07F13FAE"/>
    <w:rsid w:val="083E6E64"/>
    <w:rsid w:val="084E624D"/>
    <w:rsid w:val="086D3F47"/>
    <w:rsid w:val="08C278E7"/>
    <w:rsid w:val="08DA0EE6"/>
    <w:rsid w:val="09445D34"/>
    <w:rsid w:val="094E5430"/>
    <w:rsid w:val="099A05A4"/>
    <w:rsid w:val="09A17C56"/>
    <w:rsid w:val="09F63AFE"/>
    <w:rsid w:val="0A3B1E36"/>
    <w:rsid w:val="0A63294F"/>
    <w:rsid w:val="0A8D1477"/>
    <w:rsid w:val="0AFC0DC2"/>
    <w:rsid w:val="0D1B205B"/>
    <w:rsid w:val="0DBF4B4E"/>
    <w:rsid w:val="0DD64510"/>
    <w:rsid w:val="0E3474C8"/>
    <w:rsid w:val="0EB74E91"/>
    <w:rsid w:val="0F465088"/>
    <w:rsid w:val="0F816575"/>
    <w:rsid w:val="0FA77648"/>
    <w:rsid w:val="0FC34624"/>
    <w:rsid w:val="0FE10FA2"/>
    <w:rsid w:val="10545A22"/>
    <w:rsid w:val="10B11D03"/>
    <w:rsid w:val="10B33060"/>
    <w:rsid w:val="10E22807"/>
    <w:rsid w:val="11157A5A"/>
    <w:rsid w:val="11F217F0"/>
    <w:rsid w:val="12411BCF"/>
    <w:rsid w:val="12BC7D6F"/>
    <w:rsid w:val="13037B1E"/>
    <w:rsid w:val="133D39BB"/>
    <w:rsid w:val="13723A40"/>
    <w:rsid w:val="13B97796"/>
    <w:rsid w:val="13F16717"/>
    <w:rsid w:val="14B44B01"/>
    <w:rsid w:val="150F24F1"/>
    <w:rsid w:val="15A150C6"/>
    <w:rsid w:val="167839E4"/>
    <w:rsid w:val="16A44CCF"/>
    <w:rsid w:val="16E66CA8"/>
    <w:rsid w:val="17020BFB"/>
    <w:rsid w:val="17130ADB"/>
    <w:rsid w:val="174A6570"/>
    <w:rsid w:val="17744270"/>
    <w:rsid w:val="177F328A"/>
    <w:rsid w:val="1780043A"/>
    <w:rsid w:val="178013F7"/>
    <w:rsid w:val="178F24C8"/>
    <w:rsid w:val="17926FCD"/>
    <w:rsid w:val="1824217E"/>
    <w:rsid w:val="18CD45C3"/>
    <w:rsid w:val="18F10F67"/>
    <w:rsid w:val="1A6D78A8"/>
    <w:rsid w:val="1A9948C0"/>
    <w:rsid w:val="1AA32C9D"/>
    <w:rsid w:val="1AAE21D3"/>
    <w:rsid w:val="1AB45EAE"/>
    <w:rsid w:val="1ACE4623"/>
    <w:rsid w:val="1AFF2A2E"/>
    <w:rsid w:val="1B4A3CA9"/>
    <w:rsid w:val="1BAC18F5"/>
    <w:rsid w:val="1BCD73DB"/>
    <w:rsid w:val="1BDE2400"/>
    <w:rsid w:val="1BFE6842"/>
    <w:rsid w:val="1C2A7B9B"/>
    <w:rsid w:val="1CF569FF"/>
    <w:rsid w:val="1CF6363D"/>
    <w:rsid w:val="1D3E34EC"/>
    <w:rsid w:val="1D574CA6"/>
    <w:rsid w:val="1D6C6711"/>
    <w:rsid w:val="1D772C6E"/>
    <w:rsid w:val="1E1C406F"/>
    <w:rsid w:val="1E3407AB"/>
    <w:rsid w:val="1E59612F"/>
    <w:rsid w:val="1E5F4147"/>
    <w:rsid w:val="1EF668DD"/>
    <w:rsid w:val="1F4859D6"/>
    <w:rsid w:val="1F4C5997"/>
    <w:rsid w:val="1FFB1450"/>
    <w:rsid w:val="20F40274"/>
    <w:rsid w:val="21576A10"/>
    <w:rsid w:val="219B7122"/>
    <w:rsid w:val="21A0043A"/>
    <w:rsid w:val="21C834FB"/>
    <w:rsid w:val="2209012F"/>
    <w:rsid w:val="227A0C60"/>
    <w:rsid w:val="22A67131"/>
    <w:rsid w:val="22E65FDF"/>
    <w:rsid w:val="233A2A8E"/>
    <w:rsid w:val="24933F6C"/>
    <w:rsid w:val="24B902EF"/>
    <w:rsid w:val="24E7343A"/>
    <w:rsid w:val="251B2213"/>
    <w:rsid w:val="25266290"/>
    <w:rsid w:val="25926FC7"/>
    <w:rsid w:val="25E510B9"/>
    <w:rsid w:val="26347A30"/>
    <w:rsid w:val="26577642"/>
    <w:rsid w:val="26A56238"/>
    <w:rsid w:val="27412F82"/>
    <w:rsid w:val="279C4817"/>
    <w:rsid w:val="282D0687"/>
    <w:rsid w:val="28527C59"/>
    <w:rsid w:val="28846B74"/>
    <w:rsid w:val="28A73568"/>
    <w:rsid w:val="28B6416D"/>
    <w:rsid w:val="28C33AF0"/>
    <w:rsid w:val="28EE003E"/>
    <w:rsid w:val="290621D5"/>
    <w:rsid w:val="29144BC3"/>
    <w:rsid w:val="295842F5"/>
    <w:rsid w:val="29787D5F"/>
    <w:rsid w:val="29AD1B04"/>
    <w:rsid w:val="29B11398"/>
    <w:rsid w:val="2A7A709F"/>
    <w:rsid w:val="2A7B0171"/>
    <w:rsid w:val="2A913529"/>
    <w:rsid w:val="2AAF1898"/>
    <w:rsid w:val="2AB259ED"/>
    <w:rsid w:val="2B384473"/>
    <w:rsid w:val="2C540F3A"/>
    <w:rsid w:val="2C8073A3"/>
    <w:rsid w:val="2D0A159E"/>
    <w:rsid w:val="2D123EF9"/>
    <w:rsid w:val="2D3224AD"/>
    <w:rsid w:val="2D5E05A6"/>
    <w:rsid w:val="2E01513D"/>
    <w:rsid w:val="2E7035CF"/>
    <w:rsid w:val="2E8E7DD3"/>
    <w:rsid w:val="2E9B041F"/>
    <w:rsid w:val="2EA4028A"/>
    <w:rsid w:val="2EE236F2"/>
    <w:rsid w:val="2EE713B8"/>
    <w:rsid w:val="2EF866A1"/>
    <w:rsid w:val="2F457270"/>
    <w:rsid w:val="2F640035"/>
    <w:rsid w:val="2F7E7CC7"/>
    <w:rsid w:val="2FD1240E"/>
    <w:rsid w:val="2FEE1EFD"/>
    <w:rsid w:val="300901C4"/>
    <w:rsid w:val="30094D8C"/>
    <w:rsid w:val="3082380E"/>
    <w:rsid w:val="30D1591B"/>
    <w:rsid w:val="312E32CE"/>
    <w:rsid w:val="31325CC4"/>
    <w:rsid w:val="3143321D"/>
    <w:rsid w:val="31506ACE"/>
    <w:rsid w:val="317258B0"/>
    <w:rsid w:val="3192388D"/>
    <w:rsid w:val="31A103CB"/>
    <w:rsid w:val="3205419A"/>
    <w:rsid w:val="320F4FB3"/>
    <w:rsid w:val="322D17D7"/>
    <w:rsid w:val="327B2543"/>
    <w:rsid w:val="32D670EC"/>
    <w:rsid w:val="32EE07D7"/>
    <w:rsid w:val="331568F6"/>
    <w:rsid w:val="33615BDC"/>
    <w:rsid w:val="33801B10"/>
    <w:rsid w:val="33A57D10"/>
    <w:rsid w:val="33A87367"/>
    <w:rsid w:val="33CC1C6F"/>
    <w:rsid w:val="33D558E4"/>
    <w:rsid w:val="34072578"/>
    <w:rsid w:val="34326FE6"/>
    <w:rsid w:val="34476EF2"/>
    <w:rsid w:val="345B1C31"/>
    <w:rsid w:val="34786BA2"/>
    <w:rsid w:val="348312DD"/>
    <w:rsid w:val="35036878"/>
    <w:rsid w:val="355D6F13"/>
    <w:rsid w:val="358F4E5D"/>
    <w:rsid w:val="361278F2"/>
    <w:rsid w:val="362353CB"/>
    <w:rsid w:val="365A7BE3"/>
    <w:rsid w:val="36663198"/>
    <w:rsid w:val="366D747E"/>
    <w:rsid w:val="36C67ABC"/>
    <w:rsid w:val="36F87B86"/>
    <w:rsid w:val="37393BD3"/>
    <w:rsid w:val="376427D7"/>
    <w:rsid w:val="37AC319E"/>
    <w:rsid w:val="37D15F8F"/>
    <w:rsid w:val="385B709E"/>
    <w:rsid w:val="3889116C"/>
    <w:rsid w:val="38987C10"/>
    <w:rsid w:val="38A87E0A"/>
    <w:rsid w:val="38D707F0"/>
    <w:rsid w:val="390508B4"/>
    <w:rsid w:val="391F25C8"/>
    <w:rsid w:val="39750D1F"/>
    <w:rsid w:val="39AE59C5"/>
    <w:rsid w:val="39E95B27"/>
    <w:rsid w:val="3A476CA9"/>
    <w:rsid w:val="3A601544"/>
    <w:rsid w:val="3A735E8A"/>
    <w:rsid w:val="3AA27206"/>
    <w:rsid w:val="3B20191A"/>
    <w:rsid w:val="3B367B4A"/>
    <w:rsid w:val="3B76198A"/>
    <w:rsid w:val="3B88153A"/>
    <w:rsid w:val="3BC25E4C"/>
    <w:rsid w:val="3C1D38FF"/>
    <w:rsid w:val="3C850B8E"/>
    <w:rsid w:val="3CFF62DE"/>
    <w:rsid w:val="3D1274F5"/>
    <w:rsid w:val="3D795025"/>
    <w:rsid w:val="3DB41DDC"/>
    <w:rsid w:val="3E100261"/>
    <w:rsid w:val="3E193507"/>
    <w:rsid w:val="3E2F5045"/>
    <w:rsid w:val="3EEF2EB7"/>
    <w:rsid w:val="3F19736B"/>
    <w:rsid w:val="3FDB5EC8"/>
    <w:rsid w:val="400242A3"/>
    <w:rsid w:val="40464190"/>
    <w:rsid w:val="40FB07EE"/>
    <w:rsid w:val="411E0584"/>
    <w:rsid w:val="41D96B91"/>
    <w:rsid w:val="42297D00"/>
    <w:rsid w:val="426130C3"/>
    <w:rsid w:val="42C80C96"/>
    <w:rsid w:val="432475AE"/>
    <w:rsid w:val="43CC1A33"/>
    <w:rsid w:val="445A46AE"/>
    <w:rsid w:val="44CD5A0E"/>
    <w:rsid w:val="4522000A"/>
    <w:rsid w:val="45407A6E"/>
    <w:rsid w:val="45433394"/>
    <w:rsid w:val="45505C1C"/>
    <w:rsid w:val="45734839"/>
    <w:rsid w:val="45BA31E7"/>
    <w:rsid w:val="45D64208"/>
    <w:rsid w:val="45F43F07"/>
    <w:rsid w:val="45F95111"/>
    <w:rsid w:val="46157CFB"/>
    <w:rsid w:val="464C7FB7"/>
    <w:rsid w:val="46A43E2E"/>
    <w:rsid w:val="46B8615F"/>
    <w:rsid w:val="46CB53EF"/>
    <w:rsid w:val="47194753"/>
    <w:rsid w:val="47523D62"/>
    <w:rsid w:val="47590C4D"/>
    <w:rsid w:val="477A41B1"/>
    <w:rsid w:val="478C7274"/>
    <w:rsid w:val="47D30B07"/>
    <w:rsid w:val="481334F1"/>
    <w:rsid w:val="483024D5"/>
    <w:rsid w:val="484F47FF"/>
    <w:rsid w:val="488C5052"/>
    <w:rsid w:val="48C06AA9"/>
    <w:rsid w:val="48CE7418"/>
    <w:rsid w:val="48DF5743"/>
    <w:rsid w:val="48E04C2C"/>
    <w:rsid w:val="49036924"/>
    <w:rsid w:val="492B50AE"/>
    <w:rsid w:val="49523BA5"/>
    <w:rsid w:val="497E2652"/>
    <w:rsid w:val="498301F9"/>
    <w:rsid w:val="49C6491F"/>
    <w:rsid w:val="49D557EC"/>
    <w:rsid w:val="49E36EF3"/>
    <w:rsid w:val="49F9407B"/>
    <w:rsid w:val="4A0305CD"/>
    <w:rsid w:val="4A081BC2"/>
    <w:rsid w:val="4A563B69"/>
    <w:rsid w:val="4A6531D4"/>
    <w:rsid w:val="4A952013"/>
    <w:rsid w:val="4B7A5635"/>
    <w:rsid w:val="4B840FA7"/>
    <w:rsid w:val="4BAB1CB1"/>
    <w:rsid w:val="4BAF61B3"/>
    <w:rsid w:val="4C0E7648"/>
    <w:rsid w:val="4C734607"/>
    <w:rsid w:val="4C790FB5"/>
    <w:rsid w:val="4CD91EE8"/>
    <w:rsid w:val="4D6420F9"/>
    <w:rsid w:val="4E0A7D5D"/>
    <w:rsid w:val="4E5C7B2F"/>
    <w:rsid w:val="4E5E50B9"/>
    <w:rsid w:val="4E822997"/>
    <w:rsid w:val="4EB138B7"/>
    <w:rsid w:val="4EE03EEF"/>
    <w:rsid w:val="4F0749B2"/>
    <w:rsid w:val="4F0B2804"/>
    <w:rsid w:val="4F9965D6"/>
    <w:rsid w:val="4FDD14F6"/>
    <w:rsid w:val="50874471"/>
    <w:rsid w:val="50E31B77"/>
    <w:rsid w:val="50F31F94"/>
    <w:rsid w:val="5137039A"/>
    <w:rsid w:val="515633B6"/>
    <w:rsid w:val="51825310"/>
    <w:rsid w:val="51840691"/>
    <w:rsid w:val="51E602B9"/>
    <w:rsid w:val="51ED71DA"/>
    <w:rsid w:val="51FC1513"/>
    <w:rsid w:val="52485CDA"/>
    <w:rsid w:val="52495CC3"/>
    <w:rsid w:val="527C0BA1"/>
    <w:rsid w:val="52FC221A"/>
    <w:rsid w:val="532B0BAA"/>
    <w:rsid w:val="536B3F59"/>
    <w:rsid w:val="54094BAC"/>
    <w:rsid w:val="54143C13"/>
    <w:rsid w:val="54B3207A"/>
    <w:rsid w:val="54E10A58"/>
    <w:rsid w:val="551F1935"/>
    <w:rsid w:val="55487E30"/>
    <w:rsid w:val="558E2409"/>
    <w:rsid w:val="55EC5382"/>
    <w:rsid w:val="560E6B41"/>
    <w:rsid w:val="562E4E9C"/>
    <w:rsid w:val="56320916"/>
    <w:rsid w:val="563F1A83"/>
    <w:rsid w:val="56992BD3"/>
    <w:rsid w:val="56BA7AB1"/>
    <w:rsid w:val="571C1C97"/>
    <w:rsid w:val="571C2EFB"/>
    <w:rsid w:val="57392849"/>
    <w:rsid w:val="57CA3F70"/>
    <w:rsid w:val="57EF7682"/>
    <w:rsid w:val="57FD3876"/>
    <w:rsid w:val="58135486"/>
    <w:rsid w:val="583354EA"/>
    <w:rsid w:val="58794897"/>
    <w:rsid w:val="587E5E60"/>
    <w:rsid w:val="58825949"/>
    <w:rsid w:val="58B072E4"/>
    <w:rsid w:val="58E36079"/>
    <w:rsid w:val="590859A1"/>
    <w:rsid w:val="596D0F64"/>
    <w:rsid w:val="59941FB8"/>
    <w:rsid w:val="59AA7FBE"/>
    <w:rsid w:val="59D83100"/>
    <w:rsid w:val="59DA58E4"/>
    <w:rsid w:val="5A1F635C"/>
    <w:rsid w:val="5A511C57"/>
    <w:rsid w:val="5A551748"/>
    <w:rsid w:val="5A867DFA"/>
    <w:rsid w:val="5AD73411"/>
    <w:rsid w:val="5B746A04"/>
    <w:rsid w:val="5B781E69"/>
    <w:rsid w:val="5BA569DC"/>
    <w:rsid w:val="5C3E5DA6"/>
    <w:rsid w:val="5C92311F"/>
    <w:rsid w:val="5CFA0384"/>
    <w:rsid w:val="5D055EAE"/>
    <w:rsid w:val="5D6362DB"/>
    <w:rsid w:val="5DAE2F88"/>
    <w:rsid w:val="5DB45341"/>
    <w:rsid w:val="5DD21BFF"/>
    <w:rsid w:val="5E0C1EBC"/>
    <w:rsid w:val="5E1F1FDD"/>
    <w:rsid w:val="5E2F2311"/>
    <w:rsid w:val="5F6043C6"/>
    <w:rsid w:val="6027777B"/>
    <w:rsid w:val="605E5899"/>
    <w:rsid w:val="605F32EF"/>
    <w:rsid w:val="60B461E6"/>
    <w:rsid w:val="618162DA"/>
    <w:rsid w:val="623311A8"/>
    <w:rsid w:val="624031CE"/>
    <w:rsid w:val="62FF66F4"/>
    <w:rsid w:val="630208B9"/>
    <w:rsid w:val="633766EB"/>
    <w:rsid w:val="63822E81"/>
    <w:rsid w:val="63A31776"/>
    <w:rsid w:val="640D3763"/>
    <w:rsid w:val="641043DB"/>
    <w:rsid w:val="64743339"/>
    <w:rsid w:val="64803865"/>
    <w:rsid w:val="64917820"/>
    <w:rsid w:val="656115C8"/>
    <w:rsid w:val="6572454E"/>
    <w:rsid w:val="65A45066"/>
    <w:rsid w:val="65E858DE"/>
    <w:rsid w:val="660632C1"/>
    <w:rsid w:val="662B028E"/>
    <w:rsid w:val="663A6D66"/>
    <w:rsid w:val="667A5C6C"/>
    <w:rsid w:val="66D21D2E"/>
    <w:rsid w:val="6731005B"/>
    <w:rsid w:val="676E5E19"/>
    <w:rsid w:val="67A10081"/>
    <w:rsid w:val="67A57E4C"/>
    <w:rsid w:val="67B37A94"/>
    <w:rsid w:val="67F86FDE"/>
    <w:rsid w:val="67F87EDB"/>
    <w:rsid w:val="688B3837"/>
    <w:rsid w:val="688C0415"/>
    <w:rsid w:val="68AC3254"/>
    <w:rsid w:val="68FD4A31"/>
    <w:rsid w:val="69616E0A"/>
    <w:rsid w:val="69653029"/>
    <w:rsid w:val="696C3E62"/>
    <w:rsid w:val="69AC35BB"/>
    <w:rsid w:val="6AA67D9D"/>
    <w:rsid w:val="6AA9576E"/>
    <w:rsid w:val="6ABB1205"/>
    <w:rsid w:val="6B66028C"/>
    <w:rsid w:val="6B7F581E"/>
    <w:rsid w:val="6B824366"/>
    <w:rsid w:val="6BB04130"/>
    <w:rsid w:val="6BBA3331"/>
    <w:rsid w:val="6C430DCB"/>
    <w:rsid w:val="6C8104C6"/>
    <w:rsid w:val="6CC86707"/>
    <w:rsid w:val="6D8B6DD7"/>
    <w:rsid w:val="6DBD042C"/>
    <w:rsid w:val="6E17163C"/>
    <w:rsid w:val="6F2E515F"/>
    <w:rsid w:val="6F5E0815"/>
    <w:rsid w:val="6F710481"/>
    <w:rsid w:val="6FC716E4"/>
    <w:rsid w:val="6FD42CB7"/>
    <w:rsid w:val="6FE16EE8"/>
    <w:rsid w:val="6FF1447F"/>
    <w:rsid w:val="7007308C"/>
    <w:rsid w:val="707308A7"/>
    <w:rsid w:val="70AA13AC"/>
    <w:rsid w:val="71AF0397"/>
    <w:rsid w:val="722D0624"/>
    <w:rsid w:val="72BC3910"/>
    <w:rsid w:val="72CD3D47"/>
    <w:rsid w:val="72DD1AD5"/>
    <w:rsid w:val="732A573A"/>
    <w:rsid w:val="73BE3C56"/>
    <w:rsid w:val="73D16D97"/>
    <w:rsid w:val="74F00593"/>
    <w:rsid w:val="764A33B0"/>
    <w:rsid w:val="767F7E19"/>
    <w:rsid w:val="76CC2450"/>
    <w:rsid w:val="76D26D6D"/>
    <w:rsid w:val="7765361F"/>
    <w:rsid w:val="777F79AC"/>
    <w:rsid w:val="77D341C1"/>
    <w:rsid w:val="77E01310"/>
    <w:rsid w:val="77F56C55"/>
    <w:rsid w:val="77FB6683"/>
    <w:rsid w:val="782A3DBC"/>
    <w:rsid w:val="78453FA2"/>
    <w:rsid w:val="788A742A"/>
    <w:rsid w:val="791D21B0"/>
    <w:rsid w:val="7965708F"/>
    <w:rsid w:val="79B24069"/>
    <w:rsid w:val="79C43206"/>
    <w:rsid w:val="79F22230"/>
    <w:rsid w:val="7A083C89"/>
    <w:rsid w:val="7A304E2C"/>
    <w:rsid w:val="7A564148"/>
    <w:rsid w:val="7A657F41"/>
    <w:rsid w:val="7A9B08A8"/>
    <w:rsid w:val="7B560ACB"/>
    <w:rsid w:val="7BF3183E"/>
    <w:rsid w:val="7BFB69BB"/>
    <w:rsid w:val="7C257B9B"/>
    <w:rsid w:val="7C3C2310"/>
    <w:rsid w:val="7C4400D7"/>
    <w:rsid w:val="7C8C6D13"/>
    <w:rsid w:val="7C9262E9"/>
    <w:rsid w:val="7CCB5D24"/>
    <w:rsid w:val="7D016778"/>
    <w:rsid w:val="7DA22646"/>
    <w:rsid w:val="7DAC1C28"/>
    <w:rsid w:val="7DBC602F"/>
    <w:rsid w:val="7DD561CD"/>
    <w:rsid w:val="7DF877D6"/>
    <w:rsid w:val="7E114D51"/>
    <w:rsid w:val="7E207FE8"/>
    <w:rsid w:val="7E6B6EDC"/>
    <w:rsid w:val="7E721B3E"/>
    <w:rsid w:val="7E7713DD"/>
    <w:rsid w:val="7F40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40"/>
    <w:qFormat/>
    <w:uiPriority w:val="0"/>
    <w:pPr>
      <w:keepLines/>
      <w:adjustRightInd w:val="0"/>
      <w:spacing w:line="360" w:lineRule="auto"/>
      <w:jc w:val="left"/>
      <w:textAlignment w:val="baseline"/>
      <w:outlineLvl w:val="0"/>
    </w:pPr>
    <w:rPr>
      <w:b/>
      <w:spacing w:val="20"/>
      <w:kern w:val="44"/>
      <w:sz w:val="32"/>
    </w:rPr>
  </w:style>
  <w:style w:type="paragraph" w:styleId="6">
    <w:name w:val="heading 2"/>
    <w:basedOn w:val="1"/>
    <w:next w:val="1"/>
    <w:qFormat/>
    <w:uiPriority w:val="0"/>
    <w:pPr>
      <w:keepLines/>
      <w:adjustRightInd w:val="0"/>
      <w:spacing w:line="360" w:lineRule="auto"/>
      <w:jc w:val="left"/>
      <w:textAlignment w:val="baseline"/>
      <w:outlineLvl w:val="1"/>
    </w:pPr>
    <w:rPr>
      <w:rFonts w:ascii="Arial" w:hAnsi="Arial"/>
      <w:b/>
      <w:spacing w:val="20"/>
      <w:kern w:val="0"/>
      <w:sz w:val="28"/>
    </w:rPr>
  </w:style>
  <w:style w:type="paragraph" w:styleId="7">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Body Text First Indent"/>
    <w:basedOn w:val="2"/>
    <w:next w:val="4"/>
    <w:qFormat/>
    <w:uiPriority w:val="0"/>
    <w:pPr>
      <w:autoSpaceDE w:val="0"/>
      <w:autoSpaceDN w:val="0"/>
      <w:adjustRightInd w:val="0"/>
      <w:ind w:firstLine="420" w:firstLineChars="100"/>
      <w:jc w:val="left"/>
    </w:pPr>
    <w:rPr>
      <w:rFonts w:ascii="仿宋_GB2312" w:hAnsi="Calibri"/>
      <w:b/>
      <w:kern w:val="0"/>
      <w:sz w:val="32"/>
      <w:szCs w:val="32"/>
    </w:rPr>
  </w:style>
  <w:style w:type="paragraph" w:styleId="4">
    <w:name w:val="toc 6"/>
    <w:basedOn w:val="1"/>
    <w:next w:val="1"/>
    <w:qFormat/>
    <w:uiPriority w:val="0"/>
    <w:pPr>
      <w:ind w:left="1050"/>
      <w:jc w:val="left"/>
    </w:pPr>
    <w:rPr>
      <w:rFonts w:ascii="Calibri" w:hAnsi="Calibri"/>
      <w:sz w:val="18"/>
      <w:szCs w:val="18"/>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adjustRightInd w:val="0"/>
      <w:ind w:firstLine="420"/>
      <w:textAlignment w:val="baseline"/>
    </w:pPr>
    <w:rPr>
      <w:rFonts w:eastAsia="楷体_GB2312"/>
      <w:szCs w:val="20"/>
    </w:rPr>
  </w:style>
  <w:style w:type="paragraph" w:styleId="10">
    <w:name w:val="toa heading"/>
    <w:basedOn w:val="1"/>
    <w:next w:val="1"/>
    <w:unhideWhenUsed/>
    <w:qFormat/>
    <w:uiPriority w:val="99"/>
    <w:pPr>
      <w:spacing w:before="120"/>
    </w:pPr>
    <w:rPr>
      <w:rFonts w:ascii="Arial" w:hAnsi="Arial"/>
      <w:sz w:val="24"/>
    </w:rPr>
  </w:style>
  <w:style w:type="paragraph" w:styleId="11">
    <w:name w:val="Body Text Indent"/>
    <w:basedOn w:val="1"/>
    <w:next w:val="12"/>
    <w:qFormat/>
    <w:uiPriority w:val="0"/>
    <w:pPr>
      <w:spacing w:line="360" w:lineRule="auto"/>
      <w:ind w:firstLine="435"/>
    </w:pPr>
    <w:rPr>
      <w:kern w:val="0"/>
      <w:sz w:val="24"/>
    </w:rPr>
  </w:style>
  <w:style w:type="paragraph" w:styleId="12">
    <w:name w:val="Normal (Web)"/>
    <w:basedOn w:val="1"/>
    <w:next w:val="13"/>
    <w:qFormat/>
    <w:uiPriority w:val="0"/>
    <w:pPr>
      <w:widowControl/>
      <w:spacing w:before="100" w:beforeAutospacing="1" w:after="100" w:afterAutospacing="1"/>
      <w:jc w:val="left"/>
    </w:pPr>
    <w:rPr>
      <w:rFonts w:ascii="宋体" w:hAnsi="宋体"/>
      <w:color w:val="000000"/>
      <w:kern w:val="0"/>
      <w:sz w:val="24"/>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Plain Text"/>
    <w:basedOn w:val="1"/>
    <w:next w:val="15"/>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Date"/>
    <w:basedOn w:val="1"/>
    <w:next w:val="1"/>
    <w:qFormat/>
    <w:uiPriority w:val="0"/>
    <w:rPr>
      <w:kern w:val="0"/>
      <w:sz w:val="24"/>
    </w:rPr>
  </w:style>
  <w:style w:type="paragraph" w:styleId="17">
    <w:name w:val="Body Text Indent 2"/>
    <w:basedOn w:val="1"/>
    <w:qFormat/>
    <w:uiPriority w:val="0"/>
    <w:pPr>
      <w:ind w:firstLine="480"/>
    </w:pPr>
    <w:rPr>
      <w:kern w:val="0"/>
      <w:sz w:val="20"/>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Body Text First Indent 2"/>
    <w:basedOn w:val="11"/>
    <w:qFormat/>
    <w:uiPriority w:val="0"/>
    <w:pPr>
      <w:spacing w:after="120"/>
      <w:ind w:firstLine="200" w:firstLineChars="200"/>
      <w:jc w:val="left"/>
    </w:pPr>
    <w:rPr>
      <w:rFonts w:hAnsi="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customStyle="1" w:styleId="25">
    <w:name w:val="font11"/>
    <w:basedOn w:val="23"/>
    <w:qFormat/>
    <w:uiPriority w:val="0"/>
    <w:rPr>
      <w:rFonts w:hint="eastAsia" w:ascii="宋体" w:hAnsi="宋体" w:eastAsia="宋体" w:cs="宋体"/>
      <w:color w:val="000000"/>
      <w:sz w:val="18"/>
      <w:szCs w:val="18"/>
      <w:u w:val="none"/>
    </w:rPr>
  </w:style>
  <w:style w:type="character" w:customStyle="1" w:styleId="26">
    <w:name w:val="font01"/>
    <w:basedOn w:val="23"/>
    <w:qFormat/>
    <w:uiPriority w:val="0"/>
    <w:rPr>
      <w:rFonts w:hint="eastAsia" w:ascii="宋体" w:hAnsi="宋体" w:eastAsia="宋体" w:cs="宋体"/>
      <w:color w:val="000000"/>
      <w:sz w:val="22"/>
      <w:szCs w:val="22"/>
      <w:u w:val="none"/>
    </w:rPr>
  </w:style>
  <w:style w:type="character" w:customStyle="1" w:styleId="27">
    <w:name w:val="font21"/>
    <w:basedOn w:val="23"/>
    <w:qFormat/>
    <w:uiPriority w:val="0"/>
    <w:rPr>
      <w:rFonts w:hint="eastAsia" w:ascii="宋体" w:hAnsi="宋体" w:eastAsia="宋体" w:cs="宋体"/>
      <w:color w:val="000000"/>
      <w:sz w:val="22"/>
      <w:szCs w:val="22"/>
      <w:u w:val="none"/>
    </w:rPr>
  </w:style>
  <w:style w:type="paragraph" w:customStyle="1" w:styleId="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styleId="29">
    <w:name w:val="No Spacing"/>
    <w:qFormat/>
    <w:uiPriority w:val="1"/>
    <w:rPr>
      <w:rFonts w:ascii="Calibri" w:hAnsi="Calibri" w:eastAsia="宋体" w:cs="Times New Roman"/>
      <w:sz w:val="22"/>
      <w:szCs w:val="22"/>
      <w:lang w:val="en-US" w:eastAsia="zh-CN" w:bidi="ar-SA"/>
    </w:rPr>
  </w:style>
  <w:style w:type="paragraph" w:customStyle="1" w:styleId="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31">
    <w:name w:val="List Paragraph1"/>
    <w:basedOn w:val="1"/>
    <w:qFormat/>
    <w:uiPriority w:val="34"/>
    <w:pPr>
      <w:ind w:firstLine="420" w:firstLineChars="200"/>
    </w:pPr>
  </w:style>
  <w:style w:type="paragraph" w:customStyle="1" w:styleId="3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1"/>
    <w:basedOn w:val="1"/>
    <w:qFormat/>
    <w:uiPriority w:val="0"/>
    <w:pPr>
      <w:spacing w:line="480" w:lineRule="exact"/>
      <w:ind w:firstLine="480" w:firstLineChars="200"/>
    </w:pPr>
    <w:rPr>
      <w:rFonts w:ascii="宋体"/>
      <w:sz w:val="24"/>
    </w:rPr>
  </w:style>
  <w:style w:type="paragraph" w:customStyle="1" w:styleId="36">
    <w:name w:val="Default Text"/>
    <w:basedOn w:val="1"/>
    <w:qFormat/>
    <w:uiPriority w:val="0"/>
    <w:pPr>
      <w:widowControl/>
      <w:overflowPunct w:val="0"/>
      <w:autoSpaceDE w:val="0"/>
      <w:autoSpaceDN w:val="0"/>
      <w:adjustRightInd w:val="0"/>
      <w:jc w:val="left"/>
      <w:textAlignment w:val="baseline"/>
    </w:pPr>
    <w:rPr>
      <w:kern w:val="0"/>
      <w:sz w:val="24"/>
    </w:rPr>
  </w:style>
  <w:style w:type="paragraph" w:styleId="37">
    <w:name w:val="List Paragraph"/>
    <w:basedOn w:val="1"/>
    <w:qFormat/>
    <w:uiPriority w:val="0"/>
    <w:pPr>
      <w:ind w:firstLine="420" w:firstLineChars="200"/>
    </w:pPr>
    <w:rPr>
      <w:sz w:val="24"/>
      <w:szCs w:val="22"/>
    </w:rPr>
  </w:style>
  <w:style w:type="paragraph" w:customStyle="1" w:styleId="38">
    <w:name w:val="Plain Text"/>
    <w:basedOn w:val="1"/>
    <w:qFormat/>
    <w:uiPriority w:val="0"/>
    <w:pPr>
      <w:adjustRightInd w:val="0"/>
      <w:textAlignment w:val="baseline"/>
    </w:pPr>
    <w:rPr>
      <w:rFonts w:ascii="宋体" w:hAnsi="Courier New" w:eastAsia="楷体_GB2312"/>
      <w:sz w:val="28"/>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标题 1 字符"/>
    <w:link w:val="5"/>
    <w:qFormat/>
    <w:uiPriority w:val="0"/>
    <w:rPr>
      <w:b/>
      <w:spacing w:val="20"/>
      <w:kern w:val="44"/>
      <w:sz w:val="32"/>
    </w:rPr>
  </w:style>
  <w:style w:type="paragraph" w:customStyle="1" w:styleId="41">
    <w:name w:val="样式 标题 3 + (中文) 黑体 小四 非加粗 段前: 7.8 磅 段后: 0 磅 行距: 固定值 20 磅"/>
    <w:basedOn w:val="7"/>
    <w:qFormat/>
    <w:uiPriority w:val="0"/>
    <w:pPr>
      <w:spacing w:before="120" w:after="120" w:line="400" w:lineRule="exact"/>
    </w:pPr>
    <w:rPr>
      <w:rFonts w:ascii="Times New Roman" w:hAnsi="Times New Roman" w:eastAsia="宋体"/>
      <w:b w:val="0"/>
      <w:sz w:val="24"/>
      <w:szCs w:val="20"/>
    </w:rPr>
  </w:style>
  <w:style w:type="paragraph" w:customStyle="1" w:styleId="4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4">
    <w:name w:val="（符号）三标题1.1"/>
    <w:basedOn w:val="1"/>
    <w:qFormat/>
    <w:uiPriority w:val="0"/>
    <w:pPr>
      <w:tabs>
        <w:tab w:val="left" w:pos="700"/>
      </w:tabs>
      <w:spacing w:line="500" w:lineRule="exact"/>
    </w:pPr>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20670</Words>
  <Characters>22430</Characters>
  <Lines>170</Lines>
  <Paragraphs>47</Paragraphs>
  <TotalTime>1</TotalTime>
  <ScaleCrop>false</ScaleCrop>
  <LinksUpToDate>false</LinksUpToDate>
  <CharactersWithSpaces>24638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2020-12-04T15:56:00Z</dcterms:created>
  <dc:creator>alt-201601</dc:creator>
  <cp:lastModifiedBy>Administrator</cp:lastModifiedBy>
  <cp:lastPrinted>2020-11-16T08:44:00Z</cp:lastPrinted>
  <dcterms:modified xsi:type="dcterms:W3CDTF">2022-05-09T11:38:02Z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2288802656B44503A2CE364B9BB9268E</vt:lpwstr>
  </property>
</Properties>
</file>