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9"/>
        <w:jc w:val="both"/>
        <w:rPr>
          <w:rFonts w:hint="eastAsia" w:ascii="仿宋_GB2312" w:hAnsi="仿宋" w:eastAsia="仿宋_GB2312"/>
          <w:b/>
          <w:color w:val="auto"/>
          <w:sz w:val="48"/>
          <w:szCs w:val="48"/>
        </w:rPr>
      </w:pPr>
      <w:r>
        <w:rPr>
          <w:rFonts w:hint="eastAsia" w:ascii="仿宋_GB2312" w:hAnsi="仿宋" w:eastAsia="仿宋_GB2312"/>
          <w:b/>
          <w:color w:val="auto"/>
          <w:sz w:val="48"/>
          <w:szCs w:val="48"/>
        </w:rPr>
        <w:t xml:space="preserve"> </w:t>
      </w:r>
    </w:p>
    <w:p>
      <w:pPr>
        <w:pStyle w:val="139"/>
        <w:jc w:val="both"/>
        <w:rPr>
          <w:rFonts w:hint="eastAsia" w:ascii="仿宋_GB2312" w:hAnsi="仿宋" w:eastAsia="仿宋_GB2312"/>
          <w:b/>
          <w:color w:val="auto"/>
          <w:sz w:val="48"/>
          <w:szCs w:val="48"/>
        </w:rPr>
      </w:pPr>
    </w:p>
    <w:p>
      <w:pPr>
        <w:pStyle w:val="139"/>
        <w:jc w:val="center"/>
        <w:rPr>
          <w:rFonts w:hint="eastAsia" w:ascii="仿宋_GB2312" w:hAnsi="仿宋" w:eastAsia="仿宋_GB2312"/>
          <w:color w:val="auto"/>
          <w:sz w:val="72"/>
          <w:szCs w:val="72"/>
        </w:rPr>
      </w:pPr>
      <w:r>
        <w:rPr>
          <w:rFonts w:hint="eastAsia" w:ascii="仿宋_GB2312" w:hAnsi="仿宋" w:eastAsia="仿宋_GB2312"/>
          <w:color w:val="auto"/>
          <w:sz w:val="52"/>
          <w:szCs w:val="52"/>
        </w:rPr>
        <w:t>产教融合实训中心建设项目</w:t>
      </w:r>
    </w:p>
    <w:p>
      <w:pPr>
        <w:pStyle w:val="139"/>
        <w:jc w:val="center"/>
        <w:rPr>
          <w:rFonts w:hint="eastAsia" w:ascii="仿宋_GB2312" w:hAnsi="仿宋" w:eastAsia="仿宋_GB2312"/>
          <w:color w:val="auto"/>
          <w:sz w:val="48"/>
        </w:rPr>
      </w:pPr>
    </w:p>
    <w:p>
      <w:pPr>
        <w:pStyle w:val="139"/>
        <w:jc w:val="center"/>
        <w:rPr>
          <w:rFonts w:hint="eastAsia" w:ascii="仿宋_GB2312" w:hAnsi="仿宋" w:eastAsia="仿宋_GB2312"/>
          <w:color w:val="auto"/>
          <w:sz w:val="32"/>
        </w:rPr>
      </w:pPr>
    </w:p>
    <w:p>
      <w:pPr>
        <w:pStyle w:val="139"/>
        <w:jc w:val="center"/>
        <w:rPr>
          <w:rFonts w:hint="eastAsia" w:ascii="仿宋_GB2312" w:hAnsi="仿宋" w:eastAsia="仿宋_GB2312"/>
          <w:color w:val="auto"/>
          <w:sz w:val="32"/>
        </w:rPr>
      </w:pPr>
    </w:p>
    <w:p>
      <w:pPr>
        <w:pStyle w:val="139"/>
        <w:jc w:val="center"/>
        <w:rPr>
          <w:rFonts w:hint="eastAsia" w:ascii="仿宋_GB2312" w:hAnsi="仿宋" w:eastAsia="仿宋_GB2312"/>
          <w:b/>
          <w:bCs/>
          <w:color w:val="auto"/>
          <w:spacing w:val="20"/>
          <w:sz w:val="96"/>
          <w:szCs w:val="112"/>
        </w:rPr>
      </w:pPr>
    </w:p>
    <w:p>
      <w:pPr>
        <w:pStyle w:val="139"/>
        <w:jc w:val="center"/>
        <w:rPr>
          <w:rFonts w:hint="eastAsia" w:ascii="仿宋_GB2312" w:hAnsi="仿宋" w:eastAsia="仿宋_GB2312"/>
          <w:b/>
          <w:bCs/>
          <w:color w:val="auto"/>
          <w:spacing w:val="20"/>
          <w:sz w:val="84"/>
          <w:szCs w:val="84"/>
        </w:rPr>
      </w:pPr>
      <w:r>
        <w:rPr>
          <w:rFonts w:hint="eastAsia" w:ascii="仿宋_GB2312" w:hAnsi="仿宋" w:eastAsia="仿宋_GB2312"/>
          <w:b/>
          <w:bCs/>
          <w:color w:val="auto"/>
          <w:spacing w:val="20"/>
          <w:sz w:val="84"/>
          <w:szCs w:val="84"/>
        </w:rPr>
        <w:t>招  标  文  件</w:t>
      </w:r>
    </w:p>
    <w:p>
      <w:pPr>
        <w:pStyle w:val="139"/>
        <w:ind w:firstLine="1920" w:firstLineChars="600"/>
        <w:jc w:val="center"/>
        <w:rPr>
          <w:rFonts w:hint="eastAsia" w:ascii="仿宋_GB2312" w:hAnsi="仿宋" w:eastAsia="仿宋_GB2312"/>
          <w:color w:val="auto"/>
          <w:sz w:val="32"/>
        </w:rPr>
      </w:pPr>
    </w:p>
    <w:p>
      <w:pPr>
        <w:pStyle w:val="139"/>
        <w:ind w:firstLine="1920" w:firstLineChars="600"/>
        <w:jc w:val="center"/>
        <w:rPr>
          <w:rFonts w:ascii="仿宋_GB2312" w:hAnsi="仿宋" w:eastAsia="仿宋_GB2312"/>
          <w:color w:val="auto"/>
          <w:sz w:val="32"/>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r>
        <w:rPr>
          <w:rFonts w:hint="eastAsia" w:ascii="仿宋_GB2312" w:hAnsi="仿宋" w:eastAsia="仿宋_GB2312"/>
          <w:sz w:val="32"/>
          <w:szCs w:val="31"/>
        </w:rPr>
        <w:t xml:space="preserve"> </w:t>
      </w:r>
    </w:p>
    <w:p>
      <w:pPr>
        <w:ind w:firstLine="1280" w:firstLineChars="400"/>
        <w:rPr>
          <w:rFonts w:hint="eastAsia" w:ascii="仿宋" w:hAnsi="仿宋" w:eastAsia="仿宋" w:cs="仿宋"/>
          <w:color w:val="FF0000"/>
          <w:sz w:val="32"/>
          <w:szCs w:val="32"/>
        </w:rPr>
      </w:pPr>
      <w:r>
        <w:rPr>
          <w:rFonts w:hint="eastAsia" w:ascii="仿宋" w:hAnsi="仿宋" w:eastAsia="仿宋" w:cs="仿宋"/>
          <w:sz w:val="32"/>
          <w:szCs w:val="32"/>
        </w:rPr>
        <w:t>项目编号：分2022-01-92</w:t>
      </w:r>
    </w:p>
    <w:p>
      <w:pPr>
        <w:pStyle w:val="41"/>
        <w:ind w:firstLine="320"/>
        <w:rPr>
          <w:rFonts w:hint="eastAsia" w:ascii="仿宋" w:hAnsi="仿宋" w:eastAsia="仿宋" w:cs="仿宋"/>
          <w:color w:val="FF0000"/>
          <w:sz w:val="32"/>
          <w:szCs w:val="32"/>
        </w:rPr>
      </w:pPr>
    </w:p>
    <w:p>
      <w:pPr>
        <w:pStyle w:val="41"/>
        <w:ind w:firstLine="1280" w:firstLineChars="400"/>
        <w:rPr>
          <w:rFonts w:hint="eastAsia" w:eastAsia="仿宋"/>
          <w:color w:val="000000"/>
        </w:rPr>
      </w:pPr>
      <w:r>
        <w:rPr>
          <w:rFonts w:hint="eastAsia" w:ascii="仿宋" w:hAnsi="仿宋" w:eastAsia="仿宋" w:cs="仿宋"/>
          <w:color w:val="000000"/>
          <w:sz w:val="32"/>
          <w:szCs w:val="32"/>
        </w:rPr>
        <w:t>采 购 人：阿克苏地区中等职业技术学校</w:t>
      </w:r>
    </w:p>
    <w:p>
      <w:pPr>
        <w:pStyle w:val="41"/>
        <w:ind w:firstLine="210"/>
        <w:rPr>
          <w:rFonts w:hint="eastAsia"/>
        </w:rPr>
      </w:pPr>
    </w:p>
    <w:p>
      <w:pPr>
        <w:ind w:firstLine="1280" w:firstLineChars="400"/>
        <w:rPr>
          <w:rFonts w:hint="eastAsia" w:ascii="仿宋" w:hAnsi="仿宋" w:eastAsia="仿宋" w:cs="仿宋"/>
          <w:sz w:val="32"/>
          <w:szCs w:val="32"/>
        </w:rPr>
      </w:pPr>
      <w:r>
        <w:rPr>
          <w:rFonts w:hint="eastAsia" w:ascii="仿宋" w:hAnsi="仿宋" w:eastAsia="仿宋" w:cs="仿宋"/>
          <w:sz w:val="32"/>
          <w:szCs w:val="32"/>
        </w:rPr>
        <w:t>招标机构名称：新疆天巨辰工程项目管理有限公司</w:t>
      </w:r>
    </w:p>
    <w:p>
      <w:pPr>
        <w:pStyle w:val="139"/>
        <w:jc w:val="center"/>
        <w:rPr>
          <w:rFonts w:hint="eastAsia" w:ascii="仿宋" w:hAnsi="仿宋" w:eastAsia="仿宋" w:cs="仿宋"/>
          <w:color w:val="auto"/>
          <w:sz w:val="32"/>
          <w:szCs w:val="32"/>
        </w:rPr>
      </w:pPr>
    </w:p>
    <w:p>
      <w:pPr>
        <w:pStyle w:val="139"/>
        <w:jc w:val="center"/>
        <w:rPr>
          <w:rFonts w:hint="eastAsia" w:ascii="仿宋" w:hAnsi="仿宋" w:eastAsia="仿宋" w:cs="仿宋"/>
          <w:color w:val="auto"/>
          <w:sz w:val="32"/>
          <w:szCs w:val="32"/>
        </w:rPr>
      </w:pPr>
    </w:p>
    <w:p>
      <w:pPr>
        <w:pStyle w:val="139"/>
        <w:spacing w:line="520" w:lineRule="exact"/>
        <w:ind w:right="1260" w:rightChars="60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二〇二二年五月</w:t>
      </w:r>
    </w:p>
    <w:p>
      <w:pPr>
        <w:jc w:val="center"/>
        <w:rPr>
          <w:rFonts w:hint="eastAsia" w:ascii="仿宋_GB2312" w:hAnsi="仿宋" w:eastAsia="仿宋_GB2312"/>
          <w:spacing w:val="40"/>
          <w:kern w:val="0"/>
          <w:sz w:val="32"/>
          <w:szCs w:val="32"/>
        </w:rPr>
      </w:pPr>
    </w:p>
    <w:p>
      <w:pPr>
        <w:rPr>
          <w:rFonts w:hint="eastAsia" w:ascii="仿宋_GB2312" w:hAnsi="仿宋" w:eastAsia="仿宋_GB2312"/>
          <w:spacing w:val="40"/>
          <w:kern w:val="0"/>
          <w:sz w:val="32"/>
          <w:szCs w:val="32"/>
        </w:rPr>
      </w:pPr>
    </w:p>
    <w:p>
      <w:pPr>
        <w:jc w:val="center"/>
        <w:rPr>
          <w:rFonts w:hint="eastAsia" w:ascii="仿宋_GB2312" w:hAnsi="宋体" w:eastAsia="仿宋_GB2312"/>
          <w:b/>
          <w:spacing w:val="20"/>
          <w:sz w:val="44"/>
          <w:szCs w:val="44"/>
        </w:rPr>
        <w:sectPr>
          <w:headerReference r:id="rId3" w:type="default"/>
          <w:pgSz w:w="11910" w:h="16840"/>
          <w:pgMar w:top="1220" w:right="800" w:bottom="840" w:left="860" w:header="680" w:footer="992" w:gutter="0"/>
          <w:cols w:space="720" w:num="1"/>
        </w:sectPr>
      </w:pPr>
    </w:p>
    <w:p>
      <w:pPr>
        <w:pStyle w:val="41"/>
        <w:ind w:firstLine="210"/>
        <w:rPr>
          <w:rFonts w:hint="eastAsia"/>
        </w:rPr>
      </w:pPr>
    </w:p>
    <w:p>
      <w:pPr>
        <w:jc w:val="center"/>
        <w:rPr>
          <w:rFonts w:hint="eastAsia" w:ascii="仿宋" w:hAnsi="仿宋" w:eastAsia="仿宋" w:cs="仿宋"/>
          <w:b/>
          <w:sz w:val="32"/>
          <w:szCs w:val="32"/>
        </w:rPr>
      </w:pPr>
      <w:r>
        <w:rPr>
          <w:rFonts w:hint="eastAsia" w:ascii="仿宋" w:hAnsi="仿宋" w:eastAsia="仿宋" w:cs="仿宋"/>
          <w:b/>
          <w:spacing w:val="20"/>
          <w:sz w:val="52"/>
          <w:szCs w:val="52"/>
        </w:rPr>
        <w:t>目 录</w:t>
      </w:r>
    </w:p>
    <w:p>
      <w:pPr>
        <w:spacing w:line="700" w:lineRule="exact"/>
        <w:rPr>
          <w:rFonts w:hint="eastAsia" w:ascii="仿宋" w:hAnsi="仿宋" w:eastAsia="仿宋" w:cs="仿宋"/>
          <w:sz w:val="32"/>
          <w:szCs w:val="32"/>
        </w:rPr>
      </w:pPr>
    </w:p>
    <w:p>
      <w:pPr>
        <w:spacing w:line="400" w:lineRule="exact"/>
        <w:ind w:left="420" w:leftChars="200"/>
        <w:rPr>
          <w:rFonts w:hint="eastAsia" w:ascii="仿宋" w:hAnsi="仿宋" w:eastAsia="仿宋" w:cs="仿宋"/>
          <w:b/>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第一部分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招标公告</w:t>
      </w:r>
    </w:p>
    <w:p>
      <w:pPr>
        <w:spacing w:line="400" w:lineRule="exact"/>
        <w:ind w:left="420" w:leftChars="200"/>
        <w:rPr>
          <w:rFonts w:hint="eastAsia" w:ascii="仿宋" w:hAnsi="仿宋" w:eastAsia="仿宋" w:cs="仿宋"/>
          <w:b/>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第二部分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投标人须知前附表</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第三部分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采购项目需求说明</w:t>
      </w:r>
    </w:p>
    <w:p>
      <w:pPr>
        <w:spacing w:line="400" w:lineRule="exact"/>
        <w:ind w:left="420" w:leftChars="200"/>
        <w:rPr>
          <w:rFonts w:hint="eastAsia" w:ascii="仿宋" w:hAnsi="仿宋" w:eastAsia="仿宋" w:cs="仿宋"/>
          <w:b/>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第四部分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合同一般条款</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第五部分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 xml:space="preserve">投标文件编制   </w:t>
      </w:r>
    </w:p>
    <w:p>
      <w:pPr>
        <w:spacing w:line="400" w:lineRule="exact"/>
        <w:ind w:left="420" w:leftChars="200"/>
        <w:rPr>
          <w:rFonts w:hint="eastAsia" w:ascii="仿宋" w:hAnsi="仿宋" w:eastAsia="仿宋" w:cs="仿宋"/>
          <w:b/>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第六部分 </w:t>
      </w: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w:t>
      </w:r>
    </w:p>
    <w:p>
      <w:pPr>
        <w:spacing w:line="400" w:lineRule="exact"/>
        <w:ind w:left="420" w:leftChars="200"/>
        <w:rPr>
          <w:rFonts w:hint="eastAsia" w:ascii="仿宋" w:hAnsi="仿宋" w:eastAsia="仿宋" w:cs="仿宋"/>
          <w:b/>
          <w:sz w:val="32"/>
          <w:szCs w:val="32"/>
        </w:rPr>
      </w:pPr>
      <w:r>
        <w:rPr>
          <w:rFonts w:hint="eastAsia" w:ascii="仿宋" w:hAnsi="仿宋" w:eastAsia="仿宋" w:cs="仿宋"/>
          <w:sz w:val="36"/>
          <w:szCs w:val="36"/>
        </w:rPr>
        <w:t> 附  件</w:t>
      </w:r>
      <w:r>
        <w:rPr>
          <w:rFonts w:hint="eastAsia" w:ascii="仿宋" w:hAnsi="仿宋" w:eastAsia="仿宋" w:cs="仿宋"/>
          <w:b/>
          <w:sz w:val="36"/>
          <w:szCs w:val="36"/>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t xml:space="preserve">             </w:t>
      </w:r>
    </w:p>
    <w:p>
      <w:pPr>
        <w:spacing w:line="400" w:lineRule="exact"/>
        <w:rPr>
          <w:rFonts w:hint="eastAsia" w:ascii="仿宋" w:hAnsi="仿宋" w:eastAsia="仿宋" w:cs="仿宋"/>
          <w:b/>
          <w:sz w:val="32"/>
          <w:szCs w:val="32"/>
        </w:rPr>
      </w:pPr>
    </w:p>
    <w:p>
      <w:pPr>
        <w:spacing w:line="400" w:lineRule="exact"/>
        <w:rPr>
          <w:rFonts w:hint="eastAsia" w:ascii="仿宋_GB2312" w:hAnsi="仿宋" w:eastAsia="仿宋_GB2312"/>
          <w:b/>
          <w:sz w:val="32"/>
        </w:rPr>
      </w:pPr>
    </w:p>
    <w:p>
      <w:pPr>
        <w:rPr>
          <w:rFonts w:hint="eastAsia" w:ascii="仿宋_GB2312" w:hAnsi="仿宋" w:eastAsia="仿宋_GB2312"/>
          <w:b/>
          <w:color w:val="000000"/>
          <w:sz w:val="36"/>
          <w:szCs w:val="36"/>
        </w:rPr>
      </w:pPr>
    </w:p>
    <w:p>
      <w:pPr>
        <w:rPr>
          <w:rFonts w:hint="eastAsia" w:ascii="仿宋_GB2312" w:hAnsi="仿宋" w:eastAsia="仿宋_GB2312"/>
          <w:b/>
          <w:color w:val="000000"/>
          <w:sz w:val="36"/>
          <w:szCs w:val="36"/>
        </w:rPr>
      </w:pPr>
    </w:p>
    <w:p>
      <w:pPr>
        <w:spacing w:before="92"/>
        <w:ind w:right="57"/>
        <w:jc w:val="center"/>
        <w:rPr>
          <w:rFonts w:hint="eastAsia" w:ascii="仿宋" w:hAnsi="仿宋" w:eastAsia="仿宋" w:cs="仿宋"/>
          <w:b/>
          <w:sz w:val="36"/>
          <w:szCs w:val="36"/>
        </w:rPr>
      </w:pPr>
    </w:p>
    <w:p>
      <w:pPr>
        <w:spacing w:before="92"/>
        <w:ind w:right="57"/>
        <w:jc w:val="center"/>
        <w:rPr>
          <w:rFonts w:hint="eastAsia" w:ascii="仿宋" w:hAnsi="仿宋" w:eastAsia="仿宋" w:cs="仿宋"/>
          <w:b/>
          <w:sz w:val="36"/>
          <w:szCs w:val="36"/>
        </w:rPr>
      </w:pPr>
    </w:p>
    <w:p>
      <w:pPr>
        <w:spacing w:before="92"/>
        <w:ind w:right="57"/>
        <w:jc w:val="center"/>
        <w:rPr>
          <w:rFonts w:hint="eastAsia" w:ascii="仿宋" w:hAnsi="仿宋" w:eastAsia="仿宋" w:cs="仿宋"/>
          <w:b/>
          <w:sz w:val="36"/>
          <w:szCs w:val="36"/>
        </w:rPr>
        <w:sectPr>
          <w:footerReference r:id="rId4" w:type="default"/>
          <w:pgSz w:w="11910" w:h="16840"/>
          <w:pgMar w:top="1220" w:right="800" w:bottom="840" w:left="860" w:header="680" w:footer="992" w:gutter="0"/>
          <w:pgNumType w:start="1"/>
          <w:cols w:space="720" w:num="1"/>
        </w:sectPr>
      </w:pPr>
    </w:p>
    <w:p>
      <w:pPr>
        <w:pStyle w:val="41"/>
        <w:ind w:firstLine="210"/>
        <w:rPr>
          <w:rFonts w:hint="eastAsia"/>
        </w:rPr>
      </w:pPr>
    </w:p>
    <w:p>
      <w:pPr>
        <w:spacing w:before="92"/>
        <w:ind w:right="57"/>
        <w:jc w:val="center"/>
        <w:rPr>
          <w:rFonts w:hint="eastAsia" w:ascii="仿宋" w:hAnsi="仿宋" w:eastAsia="仿宋" w:cs="仿宋"/>
          <w:b/>
          <w:sz w:val="36"/>
          <w:szCs w:val="36"/>
        </w:rPr>
      </w:pPr>
      <w:r>
        <w:rPr>
          <w:rFonts w:hint="eastAsia" w:ascii="仿宋" w:hAnsi="仿宋" w:eastAsia="仿宋" w:cs="仿宋"/>
          <w:b/>
          <w:sz w:val="36"/>
          <w:szCs w:val="36"/>
        </w:rPr>
        <w:t>第一部分招标公告</w:t>
      </w:r>
    </w:p>
    <w:p>
      <w:pPr>
        <w:spacing w:before="92"/>
        <w:ind w:right="57"/>
        <w:jc w:val="center"/>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pStyle w:val="41"/>
        <w:ind w:firstLine="361"/>
        <w:rPr>
          <w:rFonts w:hint="eastAsia" w:ascii="仿宋" w:hAnsi="仿宋" w:eastAsia="仿宋" w:cs="仿宋"/>
          <w:b/>
          <w:sz w:val="36"/>
          <w:szCs w:val="36"/>
        </w:rPr>
      </w:pPr>
    </w:p>
    <w:p>
      <w:pPr>
        <w:pStyle w:val="41"/>
        <w:ind w:firstLine="361"/>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r>
        <w:rPr>
          <w:rFonts w:hint="eastAsia" w:ascii="仿宋" w:hAnsi="仿宋" w:eastAsia="仿宋" w:cs="仿宋"/>
          <w:b/>
          <w:sz w:val="36"/>
          <w:szCs w:val="36"/>
        </w:rPr>
        <w:t>第二部分 投标人须知前附表</w:t>
      </w:r>
    </w:p>
    <w:p>
      <w:pPr>
        <w:pStyle w:val="2"/>
        <w:spacing w:before="6"/>
        <w:rPr>
          <w:b/>
        </w:rPr>
      </w:pPr>
    </w:p>
    <w:tbl>
      <w:tblPr>
        <w:tblStyle w:val="43"/>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2"/>
        <w:gridCol w:w="2473"/>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2" w:type="dxa"/>
            <w:noWrap w:val="0"/>
            <w:vAlign w:val="top"/>
          </w:tcPr>
          <w:p>
            <w:pPr>
              <w:pStyle w:val="135"/>
              <w:spacing w:before="59"/>
              <w:ind w:left="99" w:right="89"/>
              <w:jc w:val="center"/>
              <w:rPr>
                <w:rFonts w:hint="eastAsia" w:ascii="仿宋" w:hAnsi="仿宋" w:eastAsia="仿宋" w:cs="仿宋"/>
                <w:b/>
                <w:sz w:val="28"/>
                <w:szCs w:val="28"/>
              </w:rPr>
            </w:pPr>
            <w:r>
              <w:rPr>
                <w:rFonts w:hint="eastAsia" w:ascii="仿宋" w:hAnsi="仿宋" w:eastAsia="仿宋" w:cs="仿宋"/>
                <w:b/>
                <w:sz w:val="28"/>
                <w:szCs w:val="28"/>
              </w:rPr>
              <w:t>项号</w:t>
            </w:r>
          </w:p>
        </w:tc>
        <w:tc>
          <w:tcPr>
            <w:tcW w:w="2473" w:type="dxa"/>
            <w:noWrap w:val="0"/>
            <w:vAlign w:val="top"/>
          </w:tcPr>
          <w:p>
            <w:pPr>
              <w:pStyle w:val="135"/>
              <w:spacing w:before="59"/>
              <w:ind w:left="113" w:right="104"/>
              <w:jc w:val="center"/>
              <w:rPr>
                <w:rFonts w:hint="eastAsia" w:ascii="仿宋" w:hAnsi="仿宋" w:eastAsia="仿宋" w:cs="仿宋"/>
                <w:b/>
                <w:sz w:val="28"/>
                <w:szCs w:val="28"/>
              </w:rPr>
            </w:pPr>
            <w:r>
              <w:rPr>
                <w:rFonts w:hint="eastAsia" w:ascii="仿宋" w:hAnsi="仿宋" w:eastAsia="仿宋" w:cs="仿宋"/>
                <w:b/>
                <w:sz w:val="28"/>
                <w:szCs w:val="28"/>
              </w:rPr>
              <w:t>内容</w:t>
            </w:r>
          </w:p>
        </w:tc>
        <w:tc>
          <w:tcPr>
            <w:tcW w:w="6452" w:type="dxa"/>
            <w:noWrap w:val="0"/>
            <w:vAlign w:val="top"/>
          </w:tcPr>
          <w:p>
            <w:pPr>
              <w:pStyle w:val="135"/>
              <w:spacing w:before="59"/>
              <w:ind w:left="2502" w:right="2493"/>
              <w:jc w:val="center"/>
              <w:rPr>
                <w:rFonts w:hint="eastAsia" w:ascii="仿宋" w:hAnsi="仿宋" w:eastAsia="仿宋" w:cs="仿宋"/>
                <w:b/>
                <w:sz w:val="28"/>
                <w:szCs w:val="28"/>
              </w:rPr>
            </w:pPr>
            <w:r>
              <w:rPr>
                <w:rFonts w:hint="eastAsia" w:ascii="仿宋" w:hAnsi="仿宋" w:eastAsia="仿宋" w:cs="仿宋"/>
                <w:b/>
                <w:sz w:val="28"/>
                <w:szCs w:val="28"/>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02" w:type="dxa"/>
            <w:vMerge w:val="restart"/>
            <w:noWrap w:val="0"/>
            <w:vAlign w:val="top"/>
          </w:tcPr>
          <w:p>
            <w:pPr>
              <w:pStyle w:val="135"/>
              <w:rPr>
                <w:rFonts w:hint="eastAsia" w:ascii="仿宋" w:hAnsi="仿宋" w:eastAsia="仿宋" w:cs="仿宋"/>
                <w:b/>
                <w:sz w:val="28"/>
                <w:szCs w:val="28"/>
              </w:rPr>
            </w:pPr>
          </w:p>
          <w:p>
            <w:pPr>
              <w:pStyle w:val="135"/>
              <w:spacing w:before="6"/>
              <w:rPr>
                <w:rFonts w:hint="eastAsia" w:ascii="仿宋" w:hAnsi="仿宋" w:eastAsia="仿宋" w:cs="仿宋"/>
                <w:b/>
                <w:sz w:val="28"/>
                <w:szCs w:val="28"/>
              </w:rPr>
            </w:pPr>
          </w:p>
          <w:p>
            <w:pPr>
              <w:pStyle w:val="135"/>
              <w:spacing w:before="1"/>
              <w:ind w:left="11"/>
              <w:jc w:val="center"/>
              <w:rPr>
                <w:rFonts w:hint="eastAsia" w:ascii="仿宋" w:hAnsi="仿宋" w:eastAsia="仿宋" w:cs="仿宋"/>
                <w:sz w:val="28"/>
                <w:szCs w:val="28"/>
              </w:rPr>
            </w:pPr>
            <w:r>
              <w:rPr>
                <w:rFonts w:hint="eastAsia" w:ascii="仿宋" w:hAnsi="仿宋" w:eastAsia="仿宋" w:cs="仿宋"/>
                <w:sz w:val="28"/>
                <w:szCs w:val="28"/>
              </w:rPr>
              <w:t>1</w:t>
            </w:r>
          </w:p>
        </w:tc>
        <w:tc>
          <w:tcPr>
            <w:tcW w:w="2473"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项目名称：</w:t>
            </w:r>
          </w:p>
        </w:tc>
        <w:tc>
          <w:tcPr>
            <w:tcW w:w="6452" w:type="dxa"/>
            <w:noWrap w:val="0"/>
            <w:vAlign w:val="center"/>
          </w:tcPr>
          <w:p>
            <w:pPr>
              <w:pStyle w:val="135"/>
              <w:spacing w:before="184"/>
              <w:ind w:left="106"/>
              <w:rPr>
                <w:rFonts w:hint="eastAsia" w:ascii="仿宋" w:hAnsi="仿宋" w:eastAsia="仿宋" w:cs="仿宋"/>
                <w:sz w:val="28"/>
                <w:szCs w:val="28"/>
              </w:rPr>
            </w:pPr>
            <w:r>
              <w:rPr>
                <w:rFonts w:hint="eastAsia" w:ascii="仿宋" w:hAnsi="仿宋" w:eastAsia="仿宋" w:cs="仿宋"/>
                <w:sz w:val="28"/>
                <w:szCs w:val="28"/>
              </w:rPr>
              <w:t>产教融合实训中心建设项目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02" w:type="dxa"/>
            <w:vMerge w:val="continue"/>
            <w:tcBorders>
              <w:top w:val="nil"/>
            </w:tcBorders>
            <w:noWrap w:val="0"/>
            <w:vAlign w:val="top"/>
          </w:tcPr>
          <w:p>
            <w:pPr>
              <w:rPr>
                <w:rFonts w:hint="eastAsia" w:ascii="仿宋" w:hAnsi="仿宋" w:eastAsia="仿宋" w:cs="仿宋"/>
                <w:sz w:val="28"/>
                <w:szCs w:val="28"/>
              </w:rPr>
            </w:pPr>
          </w:p>
        </w:tc>
        <w:tc>
          <w:tcPr>
            <w:tcW w:w="2473"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招标内容</w:t>
            </w:r>
          </w:p>
        </w:tc>
        <w:tc>
          <w:tcPr>
            <w:tcW w:w="6452" w:type="dxa"/>
            <w:noWrap w:val="0"/>
            <w:vAlign w:val="center"/>
          </w:tcPr>
          <w:p>
            <w:pPr>
              <w:pStyle w:val="135"/>
              <w:spacing w:before="120"/>
              <w:ind w:left="106"/>
              <w:rPr>
                <w:rFonts w:ascii="仿宋" w:hAnsi="仿宋" w:eastAsia="仿宋" w:cs="仿宋"/>
                <w:sz w:val="28"/>
                <w:szCs w:val="28"/>
              </w:rPr>
            </w:pPr>
            <w:r>
              <w:rPr>
                <w:rFonts w:hint="eastAsia" w:ascii="仿宋" w:hAnsi="仿宋" w:eastAsia="仿宋" w:cs="仿宋"/>
                <w:sz w:val="28"/>
                <w:szCs w:val="28"/>
              </w:rPr>
              <w:t>详见清单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02" w:type="dxa"/>
            <w:vMerge w:val="restart"/>
            <w:noWrap w:val="0"/>
            <w:vAlign w:val="top"/>
          </w:tcPr>
          <w:p>
            <w:pPr>
              <w:pStyle w:val="135"/>
              <w:rPr>
                <w:rFonts w:hint="eastAsia" w:ascii="仿宋" w:hAnsi="仿宋" w:eastAsia="仿宋" w:cs="仿宋"/>
                <w:b/>
                <w:sz w:val="28"/>
                <w:szCs w:val="28"/>
              </w:rPr>
            </w:pPr>
          </w:p>
          <w:p>
            <w:pPr>
              <w:pStyle w:val="135"/>
              <w:rPr>
                <w:rFonts w:hint="eastAsia" w:ascii="仿宋" w:hAnsi="仿宋" w:eastAsia="仿宋" w:cs="仿宋"/>
                <w:b/>
                <w:sz w:val="28"/>
                <w:szCs w:val="28"/>
              </w:rPr>
            </w:pPr>
          </w:p>
          <w:p>
            <w:pPr>
              <w:pStyle w:val="135"/>
              <w:rPr>
                <w:rFonts w:hint="eastAsia" w:ascii="仿宋" w:hAnsi="仿宋" w:eastAsia="仿宋" w:cs="仿宋"/>
                <w:b/>
                <w:sz w:val="28"/>
                <w:szCs w:val="28"/>
              </w:rPr>
            </w:pPr>
          </w:p>
          <w:p>
            <w:pPr>
              <w:pStyle w:val="135"/>
              <w:spacing w:before="7"/>
              <w:rPr>
                <w:rFonts w:hint="eastAsia" w:ascii="仿宋" w:hAnsi="仿宋" w:eastAsia="仿宋" w:cs="仿宋"/>
                <w:b/>
                <w:sz w:val="28"/>
                <w:szCs w:val="28"/>
              </w:rPr>
            </w:pPr>
          </w:p>
          <w:p>
            <w:pPr>
              <w:pStyle w:val="135"/>
              <w:ind w:left="11"/>
              <w:jc w:val="center"/>
              <w:rPr>
                <w:rFonts w:hint="eastAsia" w:ascii="仿宋" w:hAnsi="仿宋" w:eastAsia="仿宋" w:cs="仿宋"/>
                <w:sz w:val="28"/>
                <w:szCs w:val="28"/>
              </w:rPr>
            </w:pPr>
            <w:r>
              <w:rPr>
                <w:rFonts w:hint="eastAsia" w:ascii="仿宋" w:hAnsi="仿宋" w:eastAsia="仿宋" w:cs="仿宋"/>
                <w:sz w:val="28"/>
                <w:szCs w:val="28"/>
              </w:rPr>
              <w:t>2</w:t>
            </w:r>
          </w:p>
        </w:tc>
        <w:tc>
          <w:tcPr>
            <w:tcW w:w="2473"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招标人</w:t>
            </w:r>
          </w:p>
        </w:tc>
        <w:tc>
          <w:tcPr>
            <w:tcW w:w="6452" w:type="dxa"/>
            <w:noWrap w:val="0"/>
            <w:vAlign w:val="center"/>
          </w:tcPr>
          <w:p>
            <w:pPr>
              <w:pStyle w:val="135"/>
              <w:spacing w:before="186"/>
              <w:ind w:left="106"/>
              <w:rPr>
                <w:rFonts w:hint="eastAsia" w:ascii="仿宋" w:hAnsi="仿宋" w:eastAsia="仿宋" w:cs="仿宋"/>
                <w:sz w:val="28"/>
                <w:szCs w:val="28"/>
              </w:rPr>
            </w:pPr>
            <w:r>
              <w:rPr>
                <w:rFonts w:hint="eastAsia" w:ascii="仿宋" w:hAnsi="仿宋" w:eastAsia="仿宋" w:cs="仿宋"/>
                <w:sz w:val="28"/>
                <w:szCs w:val="28"/>
              </w:rPr>
              <w:t>阿克苏地区中等职业技术学校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802" w:type="dxa"/>
            <w:vMerge w:val="continue"/>
            <w:tcBorders>
              <w:top w:val="nil"/>
            </w:tcBorders>
            <w:noWrap w:val="0"/>
            <w:vAlign w:val="top"/>
          </w:tcPr>
          <w:p>
            <w:pPr>
              <w:rPr>
                <w:rFonts w:hint="eastAsia" w:ascii="仿宋" w:hAnsi="仿宋" w:eastAsia="仿宋" w:cs="仿宋"/>
                <w:sz w:val="28"/>
                <w:szCs w:val="28"/>
              </w:rPr>
            </w:pPr>
          </w:p>
        </w:tc>
        <w:tc>
          <w:tcPr>
            <w:tcW w:w="2473" w:type="dxa"/>
            <w:noWrap w:val="0"/>
            <w:vAlign w:val="center"/>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招标代理机构</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新疆天巨辰工程项目管理有限公司</w:t>
            </w: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lang w:val="zh-CN"/>
              </w:rPr>
              <w:t>联系人：</w:t>
            </w:r>
            <w:r>
              <w:rPr>
                <w:rFonts w:hint="eastAsia" w:ascii="仿宋" w:hAnsi="仿宋" w:eastAsia="仿宋" w:cs="仿宋"/>
                <w:sz w:val="28"/>
                <w:szCs w:val="28"/>
              </w:rPr>
              <w:t>白玉</w:t>
            </w: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联系电话：0997-2166788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2" w:type="dxa"/>
            <w:noWrap w:val="0"/>
            <w:vAlign w:val="top"/>
          </w:tcPr>
          <w:p>
            <w:pPr>
              <w:pStyle w:val="135"/>
              <w:spacing w:before="182"/>
              <w:ind w:left="11"/>
              <w:jc w:val="center"/>
              <w:rPr>
                <w:rFonts w:hint="eastAsia" w:ascii="仿宋" w:hAnsi="仿宋" w:eastAsia="仿宋" w:cs="仿宋"/>
                <w:sz w:val="28"/>
                <w:szCs w:val="28"/>
              </w:rPr>
            </w:pPr>
            <w:r>
              <w:rPr>
                <w:rFonts w:hint="eastAsia" w:ascii="仿宋" w:hAnsi="仿宋" w:eastAsia="仿宋" w:cs="仿宋"/>
                <w:sz w:val="28"/>
                <w:szCs w:val="28"/>
              </w:rPr>
              <w:t>3</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项目地点</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阿克苏地区中等职业技术学校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802" w:type="dxa"/>
            <w:noWrap w:val="0"/>
            <w:vAlign w:val="top"/>
          </w:tcPr>
          <w:p>
            <w:pPr>
              <w:pStyle w:val="135"/>
              <w:spacing w:before="151"/>
              <w:ind w:left="11"/>
              <w:jc w:val="center"/>
              <w:rPr>
                <w:rFonts w:hint="eastAsia" w:ascii="仿宋" w:hAnsi="仿宋" w:eastAsia="仿宋" w:cs="仿宋"/>
                <w:sz w:val="28"/>
                <w:szCs w:val="28"/>
              </w:rPr>
            </w:pPr>
            <w:r>
              <w:rPr>
                <w:rFonts w:hint="eastAsia" w:ascii="仿宋" w:hAnsi="仿宋" w:eastAsia="仿宋" w:cs="仿宋"/>
                <w:sz w:val="28"/>
                <w:szCs w:val="28"/>
              </w:rPr>
              <w:t>4</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质量标准</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符合国家及行业质量验收合格标准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02" w:type="dxa"/>
            <w:noWrap w:val="0"/>
            <w:vAlign w:val="top"/>
          </w:tcPr>
          <w:p>
            <w:pPr>
              <w:pStyle w:val="135"/>
              <w:spacing w:before="158"/>
              <w:ind w:left="11"/>
              <w:jc w:val="center"/>
              <w:rPr>
                <w:rFonts w:hint="eastAsia" w:ascii="仿宋" w:hAnsi="仿宋" w:eastAsia="仿宋" w:cs="仿宋"/>
                <w:sz w:val="28"/>
                <w:szCs w:val="28"/>
              </w:rPr>
            </w:pPr>
            <w:r>
              <w:rPr>
                <w:rFonts w:hint="eastAsia" w:ascii="仿宋" w:hAnsi="仿宋" w:eastAsia="仿宋" w:cs="仿宋"/>
                <w:sz w:val="28"/>
                <w:szCs w:val="28"/>
              </w:rPr>
              <w:t>5</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交货期</w:t>
            </w:r>
          </w:p>
        </w:tc>
        <w:tc>
          <w:tcPr>
            <w:tcW w:w="6452" w:type="dxa"/>
            <w:noWrap w:val="0"/>
            <w:vAlign w:val="center"/>
          </w:tcPr>
          <w:p>
            <w:pPr>
              <w:pStyle w:val="135"/>
              <w:spacing w:before="120"/>
              <w:ind w:left="106"/>
              <w:rPr>
                <w:rFonts w:ascii="仿宋" w:hAnsi="仿宋" w:eastAsia="仿宋" w:cs="仿宋"/>
                <w:color w:val="FF0000"/>
                <w:sz w:val="28"/>
                <w:szCs w:val="28"/>
              </w:rPr>
            </w:pPr>
            <w:r>
              <w:rPr>
                <w:rFonts w:hint="eastAsia" w:ascii="仿宋" w:hAnsi="仿宋" w:eastAsia="仿宋"/>
                <w:sz w:val="28"/>
                <w:szCs w:val="28"/>
              </w:rPr>
              <w:t>自合同签订之日起60天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atLeast"/>
        </w:trPr>
        <w:tc>
          <w:tcPr>
            <w:tcW w:w="802" w:type="dxa"/>
            <w:noWrap w:val="0"/>
            <w:vAlign w:val="top"/>
          </w:tcPr>
          <w:p>
            <w:pPr>
              <w:pStyle w:val="135"/>
              <w:spacing w:before="179"/>
              <w:ind w:left="11"/>
              <w:jc w:val="center"/>
              <w:rPr>
                <w:rFonts w:hint="eastAsia" w:ascii="仿宋" w:hAnsi="仿宋" w:eastAsia="仿宋" w:cs="仿宋"/>
                <w:sz w:val="28"/>
                <w:szCs w:val="28"/>
              </w:rPr>
            </w:pPr>
            <w:r>
              <w:rPr>
                <w:rFonts w:hint="eastAsia" w:ascii="仿宋" w:hAnsi="仿宋" w:eastAsia="仿宋" w:cs="仿宋"/>
                <w:sz w:val="28"/>
                <w:szCs w:val="28"/>
              </w:rPr>
              <w:t>6</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质保期</w:t>
            </w:r>
          </w:p>
        </w:tc>
        <w:tc>
          <w:tcPr>
            <w:tcW w:w="6452" w:type="dxa"/>
            <w:noWrap w:val="0"/>
            <w:vAlign w:val="center"/>
          </w:tcPr>
          <w:p>
            <w:pPr>
              <w:pStyle w:val="135"/>
              <w:spacing w:before="120"/>
              <w:ind w:left="106"/>
              <w:rPr>
                <w:rFonts w:ascii="仿宋" w:hAnsi="仿宋" w:eastAsia="仿宋"/>
                <w:sz w:val="28"/>
                <w:szCs w:val="28"/>
              </w:rPr>
            </w:pPr>
            <w:r>
              <w:rPr>
                <w:rFonts w:hint="eastAsia" w:ascii="仿宋" w:hAnsi="仿宋" w:eastAsia="仿宋"/>
                <w:sz w:val="28"/>
                <w:szCs w:val="28"/>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atLeast"/>
        </w:trPr>
        <w:tc>
          <w:tcPr>
            <w:tcW w:w="802" w:type="dxa"/>
            <w:noWrap w:val="0"/>
            <w:vAlign w:val="top"/>
          </w:tcPr>
          <w:p>
            <w:pPr>
              <w:pStyle w:val="135"/>
              <w:spacing w:before="179"/>
              <w:ind w:left="11"/>
              <w:jc w:val="center"/>
              <w:rPr>
                <w:rFonts w:hint="eastAsia" w:ascii="仿宋" w:hAnsi="仿宋" w:eastAsia="仿宋" w:cs="仿宋"/>
                <w:sz w:val="28"/>
                <w:szCs w:val="28"/>
              </w:rPr>
            </w:pPr>
            <w:r>
              <w:rPr>
                <w:rFonts w:hint="eastAsia" w:ascii="仿宋" w:hAnsi="仿宋" w:eastAsia="仿宋" w:cs="仿宋"/>
                <w:sz w:val="28"/>
                <w:szCs w:val="28"/>
              </w:rPr>
              <w:t>7</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最高限价</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sz w:val="28"/>
                <w:szCs w:val="28"/>
              </w:rPr>
              <w:t>4000000</w:t>
            </w:r>
            <w:r>
              <w:rPr>
                <w:rFonts w:hint="eastAsia" w:ascii="仿宋" w:hAnsi="仿宋" w:eastAsia="仿宋" w:cs="仿宋"/>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02" w:type="dxa"/>
            <w:noWrap w:val="0"/>
            <w:vAlign w:val="center"/>
          </w:tcPr>
          <w:p>
            <w:pPr>
              <w:pStyle w:val="135"/>
              <w:spacing w:before="90"/>
              <w:jc w:val="center"/>
              <w:rPr>
                <w:rFonts w:hint="eastAsia" w:ascii="仿宋" w:hAnsi="仿宋" w:eastAsia="仿宋" w:cs="仿宋"/>
                <w:sz w:val="28"/>
                <w:szCs w:val="28"/>
              </w:rPr>
            </w:pPr>
            <w:r>
              <w:rPr>
                <w:rFonts w:hint="eastAsia" w:ascii="仿宋" w:hAnsi="仿宋" w:eastAsia="仿宋" w:cs="仿宋"/>
                <w:sz w:val="28"/>
                <w:szCs w:val="28"/>
              </w:rPr>
              <w:t>8</w:t>
            </w:r>
          </w:p>
        </w:tc>
        <w:tc>
          <w:tcPr>
            <w:tcW w:w="2473" w:type="dxa"/>
            <w:noWrap w:val="0"/>
            <w:vAlign w:val="center"/>
          </w:tcPr>
          <w:p>
            <w:pPr>
              <w:pStyle w:val="135"/>
              <w:spacing w:before="120"/>
              <w:ind w:left="106"/>
              <w:jc w:val="center"/>
              <w:rPr>
                <w:rFonts w:hint="eastAsia" w:ascii="仿宋" w:hAnsi="仿宋" w:eastAsia="仿宋" w:cs="仿宋"/>
                <w:sz w:val="28"/>
                <w:szCs w:val="28"/>
              </w:rPr>
            </w:pPr>
            <w:r>
              <w:rPr>
                <w:rFonts w:hint="eastAsia" w:ascii="仿宋" w:hAnsi="仿宋" w:eastAsia="仿宋" w:cs="仿宋"/>
                <w:sz w:val="28"/>
                <w:szCs w:val="28"/>
              </w:rPr>
              <w:t xml:space="preserve"> </w:t>
            </w:r>
          </w:p>
          <w:p>
            <w:pPr>
              <w:pStyle w:val="135"/>
              <w:spacing w:before="120"/>
              <w:ind w:left="106"/>
              <w:jc w:val="center"/>
              <w:rPr>
                <w:rFonts w:hint="eastAsia" w:ascii="仿宋" w:hAnsi="仿宋" w:eastAsia="仿宋" w:cs="仿宋"/>
                <w:sz w:val="28"/>
                <w:szCs w:val="28"/>
              </w:rPr>
            </w:pPr>
          </w:p>
          <w:p>
            <w:pPr>
              <w:pStyle w:val="135"/>
              <w:spacing w:before="120"/>
              <w:ind w:left="106"/>
              <w:jc w:val="center"/>
              <w:rPr>
                <w:rFonts w:hint="eastAsia" w:ascii="仿宋" w:hAnsi="仿宋" w:eastAsia="仿宋" w:cs="仿宋"/>
                <w:sz w:val="28"/>
                <w:szCs w:val="28"/>
              </w:rPr>
            </w:pPr>
          </w:p>
          <w:p>
            <w:pPr>
              <w:pStyle w:val="135"/>
              <w:spacing w:before="120"/>
              <w:ind w:left="106"/>
              <w:jc w:val="center"/>
              <w:rPr>
                <w:rFonts w:hint="eastAsia" w:ascii="仿宋" w:hAnsi="仿宋" w:eastAsia="仿宋" w:cs="仿宋"/>
                <w:sz w:val="28"/>
                <w:szCs w:val="28"/>
              </w:rPr>
            </w:pPr>
            <w:r>
              <w:rPr>
                <w:rFonts w:hint="eastAsia" w:ascii="仿宋" w:hAnsi="仿宋" w:eastAsia="仿宋" w:cs="仿宋"/>
                <w:sz w:val="28"/>
                <w:szCs w:val="28"/>
              </w:rPr>
              <w:t>资格要求</w:t>
            </w:r>
          </w:p>
          <w:p>
            <w:pPr>
              <w:pStyle w:val="135"/>
              <w:spacing w:before="120"/>
              <w:ind w:left="106"/>
              <w:jc w:val="center"/>
              <w:rPr>
                <w:rFonts w:hint="eastAsia" w:ascii="仿宋" w:hAnsi="仿宋" w:eastAsia="仿宋" w:cs="仿宋"/>
                <w:sz w:val="28"/>
                <w:szCs w:val="28"/>
              </w:rPr>
            </w:pPr>
          </w:p>
          <w:p>
            <w:pPr>
              <w:pStyle w:val="135"/>
              <w:spacing w:before="120"/>
              <w:ind w:left="106"/>
              <w:jc w:val="center"/>
              <w:rPr>
                <w:rFonts w:hint="eastAsia" w:ascii="仿宋" w:hAnsi="仿宋" w:eastAsia="仿宋" w:cs="仿宋"/>
                <w:sz w:val="28"/>
                <w:szCs w:val="28"/>
              </w:rPr>
            </w:pPr>
          </w:p>
          <w:p>
            <w:pPr>
              <w:pStyle w:val="135"/>
              <w:spacing w:before="120"/>
              <w:jc w:val="center"/>
              <w:rPr>
                <w:rFonts w:ascii="仿宋" w:hAnsi="仿宋" w:eastAsia="仿宋" w:cs="仿宋"/>
                <w:sz w:val="28"/>
                <w:szCs w:val="28"/>
              </w:rPr>
            </w:pPr>
          </w:p>
        </w:tc>
        <w:tc>
          <w:tcPr>
            <w:tcW w:w="6452" w:type="dxa"/>
            <w:noWrap w:val="0"/>
            <w:vAlign w:val="center"/>
          </w:tcPr>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hint="eastAsia" w:ascii="仿宋" w:hAnsi="仿宋" w:eastAsia="仿宋" w:cs="仿宋"/>
                <w:b/>
                <w:bCs/>
                <w:sz w:val="28"/>
                <w:szCs w:val="28"/>
              </w:rPr>
            </w:pPr>
            <w:r>
              <w:rPr>
                <w:rFonts w:hint="eastAsia" w:ascii="仿宋" w:hAnsi="仿宋" w:eastAsia="仿宋"/>
                <w:sz w:val="28"/>
                <w:szCs w:val="28"/>
              </w:rPr>
              <w:t xml:space="preserve">3.本项目的特定资格要求：（1）有效的营业执照；（2）具有良好的商业信誉和健全的财务会计制度；（3）有依法缴纳税收和社会保障资金的良好记录;（4）法定代表人身份证原件及复印件或法定代表人授权委托书和委托代理人的身份证原件（授权书需附法人身份证及委托人身份证复印件）；（5）未被“信用中国”（www.creditchina.gov.cn）、中国政府采购网（www.ccgp.gov.cn）列入失信被执行人、重大税收违法案件当事人名单、政府采购严重违法失信行为记录名单；（6）此项目不接受联合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02" w:type="dxa"/>
            <w:noWrap w:val="0"/>
            <w:vAlign w:val="top"/>
          </w:tcPr>
          <w:p>
            <w:pPr>
              <w:pStyle w:val="135"/>
              <w:spacing w:before="90"/>
              <w:ind w:firstLine="280" w:firstLineChars="100"/>
              <w:rPr>
                <w:rFonts w:hint="eastAsia" w:ascii="仿宋" w:hAnsi="仿宋" w:eastAsia="仿宋" w:cs="仿宋"/>
                <w:sz w:val="28"/>
                <w:szCs w:val="28"/>
              </w:rPr>
            </w:pPr>
            <w:r>
              <w:rPr>
                <w:rFonts w:hint="eastAsia" w:ascii="仿宋" w:hAnsi="仿宋" w:eastAsia="仿宋" w:cs="仿宋"/>
                <w:sz w:val="28"/>
                <w:szCs w:val="28"/>
              </w:rPr>
              <w:t>9</w:t>
            </w:r>
          </w:p>
        </w:tc>
        <w:tc>
          <w:tcPr>
            <w:tcW w:w="2473" w:type="dxa"/>
            <w:noWrap w:val="0"/>
            <w:vAlign w:val="top"/>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投标有效期</w:t>
            </w:r>
          </w:p>
        </w:tc>
        <w:tc>
          <w:tcPr>
            <w:tcW w:w="6452" w:type="dxa"/>
            <w:noWrap w:val="0"/>
            <w:vAlign w:val="center"/>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30天 （从投标截止之日算起）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802" w:type="dxa"/>
            <w:noWrap w:val="0"/>
            <w:vAlign w:val="top"/>
          </w:tcPr>
          <w:p>
            <w:pPr>
              <w:pStyle w:val="135"/>
              <w:spacing w:before="120"/>
              <w:ind w:left="106"/>
              <w:rPr>
                <w:rFonts w:ascii="仿宋" w:hAnsi="仿宋" w:eastAsia="仿宋" w:cs="仿宋"/>
                <w:sz w:val="28"/>
                <w:szCs w:val="28"/>
              </w:rPr>
            </w:pPr>
            <w:r>
              <w:rPr>
                <w:rFonts w:hint="eastAsia" w:ascii="仿宋" w:hAnsi="仿宋" w:eastAsia="仿宋" w:cs="仿宋"/>
                <w:sz w:val="28"/>
                <w:szCs w:val="28"/>
              </w:rPr>
              <w:t>10</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投标保证金</w:t>
            </w:r>
          </w:p>
        </w:tc>
        <w:tc>
          <w:tcPr>
            <w:tcW w:w="6452" w:type="dxa"/>
            <w:noWrap w:val="0"/>
            <w:vAlign w:val="center"/>
          </w:tcPr>
          <w:p>
            <w:pPr>
              <w:rPr>
                <w:rFonts w:hint="eastAsia" w:ascii="仿宋" w:hAnsi="仿宋" w:eastAsia="仿宋"/>
                <w:sz w:val="28"/>
                <w:szCs w:val="28"/>
              </w:rPr>
            </w:pPr>
            <w:r>
              <w:rPr>
                <w:rFonts w:hint="eastAsia" w:ascii="仿宋" w:hAnsi="仿宋" w:eastAsia="仿宋"/>
                <w:sz w:val="28"/>
                <w:szCs w:val="28"/>
              </w:rPr>
              <w:t>投标保证金金额：80000.00元（大写：捌万元整）</w:t>
            </w:r>
          </w:p>
          <w:p>
            <w:pPr>
              <w:rPr>
                <w:rFonts w:hint="eastAsia" w:ascii="仿宋" w:hAnsi="仿宋" w:eastAsia="仿宋"/>
                <w:sz w:val="28"/>
                <w:szCs w:val="28"/>
                <w:lang w:eastAsia="zh-CN"/>
              </w:rPr>
            </w:pPr>
            <w:r>
              <w:rPr>
                <w:rFonts w:hint="eastAsia" w:ascii="仿宋" w:hAnsi="仿宋" w:eastAsia="仿宋"/>
                <w:sz w:val="28"/>
                <w:szCs w:val="28"/>
              </w:rPr>
              <w:t>投标保证金缴纳方式：以支票、汇票、本票或者金融机构、担保机构出具的保函等非现金形式</w:t>
            </w:r>
            <w:r>
              <w:rPr>
                <w:rFonts w:hint="eastAsia" w:ascii="仿宋" w:hAnsi="仿宋" w:eastAsia="仿宋"/>
                <w:sz w:val="28"/>
                <w:szCs w:val="28"/>
                <w:lang w:eastAsia="zh-CN"/>
              </w:rPr>
              <w:t>。</w:t>
            </w:r>
          </w:p>
          <w:p>
            <w:pPr>
              <w:rPr>
                <w:rFonts w:hint="eastAsia" w:ascii="仿宋" w:hAnsi="仿宋" w:eastAsia="仿宋" w:cs="仿宋"/>
                <w:sz w:val="28"/>
                <w:szCs w:val="28"/>
              </w:rPr>
            </w:pPr>
            <w:r>
              <w:rPr>
                <w:rFonts w:hint="eastAsia" w:ascii="仿宋" w:hAnsi="仿宋" w:eastAsia="仿宋"/>
                <w:sz w:val="28"/>
                <w:szCs w:val="28"/>
              </w:rPr>
              <w:t>帐    号：</w:t>
            </w:r>
            <w:r>
              <w:rPr>
                <w:rFonts w:hint="eastAsia" w:ascii="仿宋" w:hAnsi="仿宋" w:eastAsia="仿宋" w:cs="仿宋"/>
                <w:sz w:val="28"/>
                <w:szCs w:val="28"/>
              </w:rPr>
              <w:t>3014 0216 0902 492 0889</w:t>
            </w:r>
          </w:p>
          <w:p>
            <w:pPr>
              <w:rPr>
                <w:rFonts w:hint="eastAsia" w:ascii="仿宋" w:hAnsi="仿宋" w:eastAsia="仿宋"/>
                <w:sz w:val="28"/>
                <w:szCs w:val="28"/>
              </w:rPr>
            </w:pPr>
            <w:r>
              <w:rPr>
                <w:rFonts w:hint="eastAsia" w:ascii="仿宋" w:hAnsi="仿宋" w:eastAsia="仿宋"/>
                <w:sz w:val="28"/>
                <w:szCs w:val="28"/>
              </w:rPr>
              <w:t>单位名称：</w:t>
            </w:r>
            <w:r>
              <w:rPr>
                <w:rFonts w:hint="eastAsia" w:ascii="仿宋" w:hAnsi="仿宋" w:eastAsia="仿宋" w:cs="仿宋"/>
                <w:sz w:val="28"/>
                <w:szCs w:val="28"/>
              </w:rPr>
              <w:t>新疆天巨辰工程项目管理有限公司</w:t>
            </w:r>
          </w:p>
          <w:p>
            <w:pPr>
              <w:rPr>
                <w:rFonts w:hint="eastAsia" w:ascii="仿宋" w:hAnsi="仿宋" w:eastAsia="仿宋"/>
                <w:sz w:val="28"/>
                <w:szCs w:val="28"/>
              </w:rPr>
            </w:pPr>
            <w:r>
              <w:rPr>
                <w:rFonts w:hint="eastAsia" w:ascii="仿宋" w:hAnsi="仿宋" w:eastAsia="仿宋"/>
                <w:sz w:val="28"/>
                <w:szCs w:val="28"/>
              </w:rPr>
              <w:t>开户银行：</w:t>
            </w:r>
            <w:r>
              <w:rPr>
                <w:rFonts w:hint="eastAsia" w:ascii="仿宋" w:hAnsi="仿宋" w:eastAsia="仿宋" w:cs="仿宋"/>
                <w:sz w:val="28"/>
                <w:szCs w:val="28"/>
              </w:rPr>
              <w:t>中国工商银行股份有限公司阿克苏塔北北路支行</w:t>
            </w:r>
          </w:p>
          <w:p>
            <w:pPr>
              <w:rPr>
                <w:rFonts w:ascii="仿宋" w:hAnsi="仿宋" w:eastAsia="仿宋"/>
                <w:sz w:val="28"/>
                <w:szCs w:val="28"/>
              </w:rPr>
            </w:pPr>
            <w:r>
              <w:rPr>
                <w:rFonts w:hint="eastAsia" w:ascii="仿宋" w:hAnsi="仿宋" w:eastAsia="仿宋"/>
                <w:sz w:val="28"/>
                <w:szCs w:val="28"/>
              </w:rPr>
              <w:t>投标保证金缴纳截止时间：2022年6月</w:t>
            </w:r>
            <w:r>
              <w:rPr>
                <w:rFonts w:hint="eastAsia" w:ascii="仿宋" w:hAnsi="仿宋" w:eastAsia="仿宋"/>
                <w:sz w:val="28"/>
                <w:szCs w:val="28"/>
                <w:lang w:val="en-US" w:eastAsia="zh-CN"/>
              </w:rPr>
              <w:t>16</w:t>
            </w:r>
            <w:r>
              <w:rPr>
                <w:rFonts w:hint="eastAsia" w:ascii="仿宋" w:hAnsi="仿宋" w:eastAsia="仿宋"/>
                <w:sz w:val="28"/>
                <w:szCs w:val="28"/>
              </w:rPr>
              <w:t>日18:00</w:t>
            </w:r>
          </w:p>
          <w:p>
            <w:pPr>
              <w:pStyle w:val="135"/>
              <w:spacing w:before="120"/>
              <w:ind w:left="106"/>
              <w:rPr>
                <w:rFonts w:hint="eastAsia" w:ascii="仿宋" w:hAnsi="仿宋" w:eastAsia="仿宋" w:cs="仿宋"/>
                <w:sz w:val="28"/>
                <w:szCs w:val="28"/>
              </w:rPr>
            </w:pPr>
            <w:r>
              <w:rPr>
                <w:rFonts w:hint="eastAsia" w:ascii="仿宋" w:hAnsi="仿宋" w:eastAsia="仿宋"/>
                <w:sz w:val="28"/>
                <w:szCs w:val="28"/>
              </w:rPr>
              <w:t>供应商未按招标文件规定缴纳保证金的，其投标文件将被拒绝评审。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802"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ascii="仿宋" w:hAnsi="仿宋" w:eastAsia="仿宋" w:cs="仿宋"/>
                <w:sz w:val="28"/>
                <w:szCs w:val="28"/>
              </w:rPr>
            </w:pPr>
            <w:r>
              <w:rPr>
                <w:rFonts w:hint="eastAsia" w:ascii="仿宋" w:hAnsi="仿宋" w:eastAsia="仿宋" w:cs="仿宋"/>
                <w:sz w:val="28"/>
                <w:szCs w:val="28"/>
              </w:rPr>
              <w:t>11</w:t>
            </w:r>
          </w:p>
        </w:tc>
        <w:tc>
          <w:tcPr>
            <w:tcW w:w="2473"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是否接受联合体投标</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 不接受</w:t>
            </w: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02" w:type="dxa"/>
            <w:noWrap w:val="0"/>
            <w:vAlign w:val="top"/>
          </w:tcPr>
          <w:p>
            <w:pPr>
              <w:pStyle w:val="135"/>
              <w:spacing w:before="120"/>
              <w:ind w:left="106"/>
              <w:rPr>
                <w:rFonts w:ascii="仿宋" w:hAnsi="仿宋" w:eastAsia="仿宋" w:cs="仿宋"/>
                <w:sz w:val="28"/>
                <w:szCs w:val="28"/>
              </w:rPr>
            </w:pPr>
            <w:r>
              <w:rPr>
                <w:rFonts w:hint="eastAsia" w:ascii="仿宋" w:hAnsi="仿宋" w:eastAsia="仿宋" w:cs="仿宋"/>
                <w:sz w:val="28"/>
                <w:szCs w:val="28"/>
              </w:rPr>
              <w:t>12</w:t>
            </w:r>
          </w:p>
        </w:tc>
        <w:tc>
          <w:tcPr>
            <w:tcW w:w="2473" w:type="dxa"/>
            <w:noWrap w:val="0"/>
            <w:vAlign w:val="top"/>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现场踏勘及招标答疑</w:t>
            </w:r>
          </w:p>
        </w:tc>
        <w:tc>
          <w:tcPr>
            <w:tcW w:w="6452" w:type="dxa"/>
            <w:noWrap w:val="0"/>
            <w:vAlign w:val="center"/>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13</w:t>
            </w:r>
          </w:p>
        </w:tc>
        <w:tc>
          <w:tcPr>
            <w:tcW w:w="2473" w:type="dxa"/>
            <w:noWrap w:val="0"/>
            <w:vAlign w:val="top"/>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投标文件份数</w:t>
            </w:r>
          </w:p>
        </w:tc>
        <w:tc>
          <w:tcPr>
            <w:tcW w:w="6452" w:type="dxa"/>
            <w:noWrap w:val="0"/>
            <w:vAlign w:val="center"/>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本项目采用电子招投标，无需提供纸质版投标文件。成交结果公示后，排序前三名的需提供3份纸质版响应文件（一正二副）。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02" w:type="dxa"/>
            <w:noWrap w:val="0"/>
            <w:vAlign w:val="top"/>
          </w:tcPr>
          <w:p>
            <w:pPr>
              <w:pStyle w:val="135"/>
              <w:spacing w:before="120"/>
              <w:rPr>
                <w:rFonts w:hint="eastAsia" w:ascii="仿宋" w:hAnsi="仿宋" w:eastAsia="仿宋" w:cs="仿宋"/>
                <w:sz w:val="28"/>
                <w:szCs w:val="28"/>
              </w:rPr>
            </w:pPr>
            <w:r>
              <w:rPr>
                <w:rFonts w:hint="eastAsia" w:ascii="仿宋" w:hAnsi="仿宋" w:eastAsia="仿宋" w:cs="仿宋"/>
                <w:sz w:val="28"/>
                <w:szCs w:val="28"/>
              </w:rPr>
              <w:t>14</w:t>
            </w:r>
          </w:p>
        </w:tc>
        <w:tc>
          <w:tcPr>
            <w:tcW w:w="2473" w:type="dxa"/>
            <w:noWrap w:val="0"/>
            <w:vAlign w:val="top"/>
          </w:tcPr>
          <w:p>
            <w:pPr>
              <w:pStyle w:val="135"/>
              <w:spacing w:before="120"/>
              <w:rPr>
                <w:rFonts w:hint="eastAsia" w:ascii="仿宋" w:hAnsi="仿宋" w:eastAsia="仿宋" w:cs="仿宋"/>
                <w:sz w:val="28"/>
                <w:szCs w:val="28"/>
                <w:lang w:val="zh-CN"/>
              </w:rPr>
            </w:pPr>
            <w:r>
              <w:rPr>
                <w:rFonts w:hint="eastAsia" w:ascii="仿宋" w:hAnsi="仿宋" w:eastAsia="仿宋" w:cs="仿宋"/>
                <w:sz w:val="28"/>
                <w:szCs w:val="28"/>
              </w:rPr>
              <w:t>投标文件提交地点及截止时间</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投标截止时间：2022年6月</w:t>
            </w:r>
            <w:r>
              <w:rPr>
                <w:rFonts w:hint="eastAsia" w:ascii="仿宋" w:hAnsi="仿宋" w:eastAsia="仿宋" w:cs="仿宋"/>
                <w:sz w:val="28"/>
                <w:szCs w:val="28"/>
                <w:lang w:val="en-US" w:eastAsia="zh-CN"/>
              </w:rPr>
              <w:t>16</w:t>
            </w:r>
            <w:r>
              <w:rPr>
                <w:rFonts w:hint="eastAsia" w:ascii="仿宋" w:hAnsi="仿宋" w:eastAsia="仿宋" w:cs="仿宋"/>
                <w:sz w:val="28"/>
                <w:szCs w:val="28"/>
              </w:rPr>
              <w:t>日北京时间10：30 分</w:t>
            </w: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投标文件提交地点：</w:t>
            </w:r>
            <w:r>
              <w:rPr>
                <w:rFonts w:ascii="仿宋" w:hAnsi="仿宋" w:eastAsia="仿宋" w:cs="仿宋"/>
                <w:sz w:val="28"/>
                <w:szCs w:val="28"/>
              </w:rPr>
              <w:t>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2"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15</w:t>
            </w:r>
          </w:p>
        </w:tc>
        <w:tc>
          <w:tcPr>
            <w:tcW w:w="2473"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开标时间及地点</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开标时间：2022年6月</w:t>
            </w:r>
            <w:r>
              <w:rPr>
                <w:rFonts w:hint="eastAsia" w:ascii="仿宋" w:hAnsi="仿宋" w:eastAsia="仿宋" w:cs="仿宋"/>
                <w:sz w:val="28"/>
                <w:szCs w:val="28"/>
                <w:lang w:val="en-US" w:eastAsia="zh-CN"/>
              </w:rPr>
              <w:t>16</w:t>
            </w:r>
            <w:r>
              <w:rPr>
                <w:rFonts w:hint="eastAsia" w:ascii="仿宋" w:hAnsi="仿宋" w:eastAsia="仿宋" w:cs="仿宋"/>
                <w:sz w:val="28"/>
                <w:szCs w:val="28"/>
              </w:rPr>
              <w:t>日北京时间 10：30 分</w:t>
            </w: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开标地点：</w:t>
            </w:r>
            <w:r>
              <w:rPr>
                <w:rFonts w:ascii="仿宋" w:hAnsi="仿宋" w:eastAsia="仿宋" w:cs="仿宋"/>
                <w:sz w:val="28"/>
                <w:szCs w:val="28"/>
              </w:rPr>
              <w:t>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90"/>
              <w:ind w:firstLine="280" w:firstLineChars="100"/>
              <w:rPr>
                <w:rFonts w:hint="eastAsia" w:ascii="仿宋" w:hAnsi="仿宋" w:eastAsia="仿宋" w:cs="仿宋"/>
                <w:sz w:val="28"/>
                <w:szCs w:val="28"/>
              </w:rPr>
            </w:pPr>
          </w:p>
          <w:p>
            <w:pPr>
              <w:pStyle w:val="135"/>
              <w:spacing w:before="90"/>
              <w:ind w:firstLine="280" w:firstLineChars="100"/>
              <w:rPr>
                <w:rFonts w:hint="eastAsia" w:ascii="仿宋" w:hAnsi="仿宋" w:eastAsia="仿宋" w:cs="仿宋"/>
                <w:sz w:val="28"/>
                <w:szCs w:val="28"/>
              </w:rPr>
            </w:pPr>
            <w:r>
              <w:rPr>
                <w:rFonts w:hint="eastAsia" w:ascii="仿宋" w:hAnsi="仿宋" w:eastAsia="仿宋" w:cs="仿宋"/>
                <w:sz w:val="28"/>
                <w:szCs w:val="28"/>
              </w:rPr>
              <w:t>16</w:t>
            </w:r>
          </w:p>
        </w:tc>
        <w:tc>
          <w:tcPr>
            <w:tcW w:w="2473"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评标委员会的组建</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评标委员会构成： 5人</w:t>
            </w: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评标专家确定方式：随机抽取</w:t>
            </w:r>
            <w:r>
              <w:rPr>
                <w:rFonts w:hint="eastAsia" w:ascii="仿宋" w:hAnsi="仿宋" w:eastAsia="仿宋" w:cs="仿宋"/>
                <w:sz w:val="28"/>
                <w:szCs w:val="28"/>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802" w:type="dxa"/>
            <w:noWrap w:val="0"/>
            <w:vAlign w:val="top"/>
          </w:tcPr>
          <w:p>
            <w:pPr>
              <w:pStyle w:val="135"/>
              <w:spacing w:before="90"/>
              <w:ind w:firstLine="280" w:firstLineChars="100"/>
              <w:rPr>
                <w:rFonts w:hint="eastAsia" w:ascii="仿宋" w:hAnsi="仿宋" w:eastAsia="仿宋" w:cs="仿宋"/>
                <w:sz w:val="28"/>
                <w:szCs w:val="28"/>
              </w:rPr>
            </w:pPr>
          </w:p>
          <w:p>
            <w:pPr>
              <w:pStyle w:val="135"/>
              <w:spacing w:before="90"/>
              <w:ind w:firstLine="280" w:firstLineChars="100"/>
              <w:rPr>
                <w:rFonts w:hint="eastAsia" w:ascii="仿宋" w:hAnsi="仿宋" w:eastAsia="仿宋" w:cs="仿宋"/>
                <w:sz w:val="28"/>
                <w:szCs w:val="28"/>
              </w:rPr>
            </w:pPr>
            <w:r>
              <w:rPr>
                <w:rFonts w:hint="eastAsia" w:ascii="仿宋" w:hAnsi="仿宋" w:eastAsia="仿宋" w:cs="仿宋"/>
                <w:sz w:val="28"/>
                <w:szCs w:val="28"/>
              </w:rPr>
              <w:t>17</w:t>
            </w:r>
          </w:p>
        </w:tc>
        <w:tc>
          <w:tcPr>
            <w:tcW w:w="2473"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盖章和签字要求</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企业公章</w:t>
            </w: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企业法定代表人签字或盖章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90"/>
              <w:ind w:firstLine="280" w:firstLineChars="100"/>
              <w:rPr>
                <w:rFonts w:hint="eastAsia" w:ascii="仿宋" w:hAnsi="仿宋" w:eastAsia="仿宋" w:cs="仿宋"/>
                <w:sz w:val="28"/>
                <w:szCs w:val="28"/>
              </w:rPr>
            </w:pPr>
            <w:r>
              <w:rPr>
                <w:rFonts w:hint="eastAsia" w:ascii="仿宋" w:hAnsi="仿宋" w:eastAsia="仿宋" w:cs="仿宋"/>
                <w:sz w:val="28"/>
                <w:szCs w:val="28"/>
              </w:rPr>
              <w:t>18</w:t>
            </w:r>
          </w:p>
        </w:tc>
        <w:tc>
          <w:tcPr>
            <w:tcW w:w="2473" w:type="dxa"/>
            <w:noWrap w:val="0"/>
            <w:vAlign w:val="top"/>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评标方法</w:t>
            </w:r>
          </w:p>
        </w:tc>
        <w:tc>
          <w:tcPr>
            <w:tcW w:w="6452" w:type="dxa"/>
            <w:noWrap w:val="0"/>
            <w:vAlign w:val="center"/>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90"/>
              <w:ind w:firstLine="280" w:firstLineChars="100"/>
              <w:rPr>
                <w:rFonts w:hint="eastAsia" w:ascii="仿宋" w:hAnsi="仿宋" w:eastAsia="仿宋" w:cs="仿宋"/>
                <w:sz w:val="28"/>
                <w:szCs w:val="28"/>
              </w:rPr>
            </w:pPr>
            <w:r>
              <w:rPr>
                <w:rFonts w:hint="eastAsia" w:ascii="仿宋" w:hAnsi="仿宋" w:eastAsia="仿宋" w:cs="仿宋"/>
                <w:sz w:val="28"/>
                <w:szCs w:val="28"/>
              </w:rPr>
              <w:t>19</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政府采购政策支持</w:t>
            </w:r>
          </w:p>
        </w:tc>
        <w:tc>
          <w:tcPr>
            <w:tcW w:w="6452" w:type="dxa"/>
            <w:noWrap w:val="0"/>
            <w:vAlign w:val="center"/>
          </w:tcPr>
          <w:p>
            <w:pPr>
              <w:pStyle w:val="135"/>
              <w:spacing w:before="120"/>
              <w:rPr>
                <w:rFonts w:hint="eastAsia" w:ascii="仿宋" w:hAnsi="仿宋" w:eastAsia="仿宋" w:cs="仿宋"/>
                <w:sz w:val="28"/>
                <w:szCs w:val="28"/>
              </w:rPr>
            </w:pPr>
            <w:r>
              <w:rPr>
                <w:rFonts w:hint="eastAsia" w:ascii="仿宋" w:hAnsi="仿宋" w:eastAsia="仿宋" w:cs="仿宋"/>
                <w:sz w:val="28"/>
                <w:szCs w:val="28"/>
              </w:rPr>
              <w:t>1.本项目为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p>
            <w:pPr>
              <w:pStyle w:val="135"/>
              <w:spacing w:before="120"/>
              <w:rPr>
                <w:rFonts w:ascii="仿宋" w:hAnsi="仿宋" w:eastAsia="仿宋" w:cs="仿宋"/>
                <w:sz w:val="28"/>
                <w:szCs w:val="28"/>
              </w:rPr>
            </w:pPr>
            <w:r>
              <w:rPr>
                <w:rFonts w:hint="eastAsia" w:ascii="仿宋" w:hAnsi="仿宋" w:eastAsia="仿宋" w:cs="仿宋"/>
                <w:sz w:val="28"/>
                <w:szCs w:val="28"/>
              </w:rPr>
              <w:t>2.落实其他政府采购政策，具体办法详见评分办法。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90"/>
              <w:ind w:firstLine="280" w:firstLineChars="100"/>
              <w:rPr>
                <w:rFonts w:ascii="仿宋" w:hAnsi="仿宋" w:eastAsia="仿宋" w:cs="仿宋"/>
                <w:sz w:val="28"/>
                <w:szCs w:val="28"/>
              </w:rPr>
            </w:pPr>
            <w:r>
              <w:rPr>
                <w:rFonts w:hint="eastAsia" w:ascii="仿宋" w:hAnsi="仿宋" w:eastAsia="仿宋" w:cs="仿宋"/>
                <w:sz w:val="28"/>
                <w:szCs w:val="28"/>
              </w:rPr>
              <w:t>20</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相关费用</w:t>
            </w:r>
          </w:p>
        </w:tc>
        <w:tc>
          <w:tcPr>
            <w:tcW w:w="6452" w:type="dxa"/>
            <w:noWrap w:val="0"/>
            <w:vAlign w:val="center"/>
          </w:tcPr>
          <w:p>
            <w:pPr>
              <w:pStyle w:val="135"/>
              <w:spacing w:before="120"/>
              <w:rPr>
                <w:rFonts w:hint="eastAsia" w:ascii="仿宋" w:hAnsi="仿宋" w:eastAsia="仿宋" w:cs="仿宋"/>
                <w:sz w:val="28"/>
                <w:szCs w:val="28"/>
              </w:rPr>
            </w:pPr>
            <w:r>
              <w:rPr>
                <w:rFonts w:hint="eastAsia" w:ascii="仿宋" w:hAnsi="仿宋" w:eastAsia="仿宋" w:cs="仿宋"/>
                <w:sz w:val="28"/>
                <w:szCs w:val="28"/>
              </w:rPr>
              <w:t>1.场地服务费：供应商在提交响应文件时，需按规定缴纳场地服务费；开标现场提供纸质版开票信息交于代理公司；</w:t>
            </w:r>
          </w:p>
          <w:p>
            <w:pPr>
              <w:pStyle w:val="135"/>
              <w:spacing w:before="120"/>
              <w:rPr>
                <w:rFonts w:hint="eastAsia" w:ascii="仿宋" w:hAnsi="仿宋" w:eastAsia="仿宋" w:cs="仿宋"/>
                <w:sz w:val="28"/>
                <w:szCs w:val="28"/>
              </w:rPr>
            </w:pPr>
            <w:r>
              <w:rPr>
                <w:rFonts w:hint="eastAsia" w:ascii="仿宋" w:hAnsi="仿宋" w:eastAsia="仿宋" w:cs="仿宋"/>
                <w:sz w:val="28"/>
                <w:szCs w:val="28"/>
              </w:rPr>
              <w:t>2.代理服务费：成交供应商按《招标代理服务收费管理暂行办法》（计价格[2002]1980号）向采购代理机构支付招标代理费；</w:t>
            </w:r>
          </w:p>
          <w:p>
            <w:pPr>
              <w:pStyle w:val="135"/>
              <w:spacing w:before="120"/>
              <w:rPr>
                <w:rFonts w:hint="eastAsia" w:ascii="仿宋" w:hAnsi="仿宋" w:eastAsia="仿宋" w:cs="仿宋"/>
                <w:sz w:val="28"/>
                <w:szCs w:val="28"/>
              </w:rPr>
            </w:pPr>
            <w:r>
              <w:rPr>
                <w:rFonts w:hint="eastAsia" w:ascii="仿宋" w:hAnsi="仿宋" w:eastAsia="仿宋" w:cs="仿宋"/>
                <w:sz w:val="28"/>
                <w:szCs w:val="28"/>
              </w:rPr>
              <w:t>3.成交供应商向公证机关交纳公证费。</w:t>
            </w:r>
          </w:p>
        </w:tc>
      </w:tr>
    </w:tbl>
    <w:p>
      <w:pPr>
        <w:pStyle w:val="135"/>
        <w:spacing w:before="90"/>
        <w:ind w:firstLine="240" w:firstLineChars="100"/>
        <w:rPr>
          <w:rFonts w:hint="eastAsia" w:ascii="仿宋" w:hAnsi="仿宋" w:eastAsia="仿宋" w:cs="仿宋"/>
          <w:sz w:val="24"/>
        </w:rPr>
        <w:sectPr>
          <w:footerReference r:id="rId5" w:type="default"/>
          <w:pgSz w:w="11910" w:h="16840"/>
          <w:pgMar w:top="1220" w:right="800" w:bottom="840" w:left="860" w:header="680" w:footer="992" w:gutter="0"/>
          <w:pgNumType w:start="1"/>
          <w:cols w:space="720" w:num="1"/>
        </w:sectPr>
      </w:pPr>
    </w:p>
    <w:p>
      <w:pPr>
        <w:spacing w:before="92"/>
        <w:ind w:right="57"/>
        <w:jc w:val="center"/>
        <w:rPr>
          <w:rFonts w:hint="eastAsia" w:ascii="仿宋" w:hAnsi="仿宋" w:eastAsia="仿宋" w:cs="仿宋"/>
          <w:b/>
          <w:sz w:val="36"/>
          <w:szCs w:val="36"/>
        </w:rPr>
      </w:pPr>
      <w:r>
        <w:rPr>
          <w:rFonts w:hint="eastAsia" w:ascii="仿宋" w:hAnsi="仿宋" w:eastAsia="仿宋" w:cs="仿宋"/>
          <w:b/>
          <w:color w:val="000000"/>
          <w:sz w:val="36"/>
          <w:szCs w:val="36"/>
        </w:rPr>
        <w:t>投标人须知</w:t>
      </w:r>
    </w:p>
    <w:p>
      <w:pPr>
        <w:spacing w:line="360" w:lineRule="auto"/>
        <w:ind w:firstLine="419" w:firstLineChars="149"/>
        <w:rPr>
          <w:rFonts w:hint="eastAsia" w:ascii="仿宋" w:hAnsi="仿宋" w:eastAsia="仿宋" w:cs="仿宋"/>
          <w:b/>
          <w:color w:val="000000"/>
          <w:sz w:val="28"/>
          <w:szCs w:val="28"/>
        </w:rPr>
      </w:pPr>
      <w:r>
        <w:rPr>
          <w:rFonts w:hint="eastAsia" w:ascii="仿宋" w:hAnsi="仿宋" w:eastAsia="仿宋" w:cs="仿宋"/>
          <w:b/>
          <w:color w:val="000000"/>
          <w:sz w:val="28"/>
          <w:szCs w:val="28"/>
        </w:rPr>
        <w:t>（一）总则</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  定义</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1.1“代理机构”系指新疆天巨辰工程项目管理有限公司。</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1.2“招标人”系指</w:t>
      </w:r>
      <w:r>
        <w:rPr>
          <w:rFonts w:hint="eastAsia" w:ascii="仿宋" w:hAnsi="仿宋" w:eastAsia="仿宋" w:cs="仿宋"/>
          <w:sz w:val="28"/>
          <w:szCs w:val="28"/>
        </w:rPr>
        <w:t>阿克苏地区中等职业技术学校</w:t>
      </w:r>
      <w:r>
        <w:rPr>
          <w:rFonts w:hint="eastAsia" w:ascii="仿宋" w:hAnsi="仿宋" w:eastAsia="仿宋" w:cs="仿宋"/>
          <w:color w:val="000000"/>
          <w:sz w:val="28"/>
          <w:szCs w:val="28"/>
        </w:rPr>
        <w:t>；</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1.3“投标人”系指按招标公告规定获取招标文件并参加投标的供应商；</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1.4</w:t>
      </w:r>
      <w:r>
        <w:rPr>
          <w:rFonts w:hint="eastAsia" w:ascii="仿宋" w:hAnsi="仿宋" w:eastAsia="仿宋" w:cs="仿宋"/>
          <w:color w:val="000000"/>
          <w:sz w:val="28"/>
          <w:szCs w:val="28"/>
        </w:rPr>
        <w:t>“中标人”系指经过评标委员会评审，符合本次招标要求的投标人；</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w:t>
      </w:r>
      <w:r>
        <w:rPr>
          <w:rFonts w:hint="eastAsia" w:ascii="仿宋" w:hAnsi="仿宋" w:eastAsia="仿宋" w:cs="仿宋"/>
          <w:sz w:val="28"/>
          <w:szCs w:val="28"/>
        </w:rPr>
        <w:t>“投标货物”</w:t>
      </w:r>
      <w:r>
        <w:rPr>
          <w:rFonts w:hint="eastAsia" w:ascii="仿宋" w:hAnsi="仿宋" w:eastAsia="仿宋" w:cs="仿宋"/>
          <w:color w:val="000000"/>
          <w:sz w:val="28"/>
          <w:szCs w:val="28"/>
        </w:rPr>
        <w:t>系</w:t>
      </w:r>
      <w:r>
        <w:rPr>
          <w:rFonts w:hint="eastAsia" w:ascii="仿宋" w:hAnsi="仿宋" w:eastAsia="仿宋" w:cs="仿宋"/>
          <w:sz w:val="28"/>
          <w:szCs w:val="28"/>
        </w:rPr>
        <w:t>指各种形态、种类的物品，包括原材料、设</w:t>
      </w:r>
      <w:r>
        <w:rPr>
          <w:rFonts w:hint="eastAsia" w:ascii="仿宋" w:hAnsi="仿宋" w:eastAsia="仿宋" w:cs="仿宋"/>
          <w:color w:val="000000"/>
          <w:sz w:val="28"/>
          <w:szCs w:val="28"/>
        </w:rPr>
        <w:t>备、产品、辅件配件、备品备件、培训服务等标的物。</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1.6“服务承诺”系指为了保障项目顺利实施由投标人承担的货物的提供、运输、安装、调试以及售前、售中、售后服务和投标人承诺的其他类似义务。</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1.7“产品缺陷”系指投标货物的设计、原材料和零部件、制造、装配或说明指示等方面存在的潜在隐患或有碍产品安全和产品使用寿命等情形。</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1.8“欺诈行为”系指为了影响采购过程或合同实施过程虚报、谎报、隐瞒事实，以假充真，以次充好，承诺多兑现少，损害国家公共利益的行为。</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  投标人资格</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2.1符合招标公告有关要求，承认并履行招标文件各项规定的供应商均可参加投标。</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2.2符合投标人资格的投标人应承担投标及履行采购合同中的全部责任与义务。</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3  投标费用</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3.1 无论投标结果如何，投标人应自行承担参加投标相关的全部费用。</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4　招标人的权利</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rPr>
        <w:t>4.1 招标人无论出于任何情况和原因，可停止本次招标，</w:t>
      </w:r>
      <w:r>
        <w:rPr>
          <w:rFonts w:hint="eastAsia" w:ascii="仿宋" w:hAnsi="仿宋" w:eastAsia="仿宋" w:cs="仿宋"/>
          <w:color w:val="000000"/>
          <w:sz w:val="28"/>
          <w:szCs w:val="28"/>
          <w:shd w:val="clear" w:color="auto" w:fill="FFFFFF"/>
        </w:rPr>
        <w:t>无需向受影响的投标人承担任何责任。</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5  书面声明</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5.1 投标人参加项目投标，必须出具参加政府采购活动前3年内</w:t>
      </w:r>
      <w:bookmarkStart w:id="0" w:name="_Toc518923113"/>
      <w:r>
        <w:rPr>
          <w:rFonts w:hint="eastAsia" w:ascii="仿宋" w:hAnsi="仿宋" w:eastAsia="仿宋" w:cs="仿宋"/>
          <w:bCs/>
          <w:color w:val="000000"/>
          <w:sz w:val="28"/>
          <w:szCs w:val="28"/>
        </w:rPr>
        <w:t>在经营活动中没有重大违法记录的书面声明</w:t>
      </w:r>
      <w:bookmarkEnd w:id="0"/>
      <w:r>
        <w:rPr>
          <w:rFonts w:hint="eastAsia" w:ascii="仿宋" w:hAnsi="仿宋" w:eastAsia="仿宋" w:cs="仿宋"/>
          <w:bCs/>
          <w:color w:val="000000"/>
          <w:sz w:val="28"/>
          <w:szCs w:val="28"/>
        </w:rPr>
        <w:t>；</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5.2 投标人应按照相关法规规定如实作出说明。</w:t>
      </w:r>
    </w:p>
    <w:p>
      <w:pPr>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bCs/>
          <w:color w:val="000000"/>
          <w:sz w:val="28"/>
          <w:szCs w:val="28"/>
        </w:rPr>
        <w:t>5.3 按照招标文件的规定加盖本单位章（自然人投标的无需盖章，需要签字、摁手印）。</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(二)招标文件</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　招标文件的构成：</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5.1招标文件包括：</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（1）投标人须知前附表</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（2）招标公告</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（3）采购需求（招标项目说明&lt;概述&gt;及要求、《技术规格、数量及质量要求》）</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（4）采购合同条款</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（5）投标文件编制及装订顺序</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（6）附件—投标文件格式</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6　招标文件的澄清和质疑</w:t>
      </w:r>
      <w:bookmarkStart w:id="1" w:name="_Toc239047318"/>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6.1综合说明</w:t>
      </w:r>
      <w:bookmarkEnd w:id="1"/>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ind w:firstLine="560" w:firstLineChars="200"/>
        <w:rPr>
          <w:rFonts w:hint="eastAsia" w:ascii="仿宋" w:hAnsi="仿宋" w:eastAsia="仿宋" w:cs="仿宋"/>
          <w:bCs/>
          <w:color w:val="000000"/>
          <w:sz w:val="28"/>
          <w:szCs w:val="28"/>
        </w:rPr>
      </w:pPr>
      <w:bookmarkStart w:id="2" w:name="_Toc239047319"/>
      <w:r>
        <w:rPr>
          <w:rFonts w:hint="eastAsia" w:ascii="仿宋" w:hAnsi="仿宋" w:eastAsia="仿宋" w:cs="仿宋"/>
          <w:bCs/>
          <w:color w:val="000000"/>
          <w:sz w:val="28"/>
          <w:szCs w:val="28"/>
        </w:rPr>
        <w:t>6.2对招标文件的澄清和质疑</w:t>
      </w:r>
      <w:bookmarkEnd w:id="2"/>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投标人应尽早领取招标文件，若对招标文件有疑问需要澄清或质疑，须在开标10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定代表人投标授权函和质疑授权函（均为原件）及被授权投标人的身份证复印件。身份证复印件须正反面清晰、有效，并要求由该身份证持有人在复印件正反面非空白位置注明“该复印件用于在          质疑使用”字样，并由身份证持有人签字确认。上述资料均须加盖公章。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招标人在投标截止日3天前根据澄清或质疑函的具体内容相应作出答复或不予答复，答复内容不得涉及商业秘密。作出答复的将以书面形式通知提出澄清或质疑的投标人和其他有关投标人，或在阿克苏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ind w:firstLine="560" w:firstLineChars="200"/>
        <w:rPr>
          <w:rFonts w:hint="eastAsia" w:ascii="仿宋" w:hAnsi="仿宋" w:eastAsia="仿宋" w:cs="仿宋"/>
          <w:bCs/>
          <w:color w:val="000000"/>
          <w:sz w:val="28"/>
          <w:szCs w:val="28"/>
        </w:rPr>
      </w:pPr>
      <w:bookmarkStart w:id="3" w:name="_Toc239047320"/>
      <w:r>
        <w:rPr>
          <w:rFonts w:hint="eastAsia" w:ascii="仿宋" w:hAnsi="仿宋" w:eastAsia="仿宋" w:cs="仿宋"/>
          <w:bCs/>
          <w:color w:val="000000"/>
          <w:sz w:val="28"/>
          <w:szCs w:val="28"/>
        </w:rPr>
        <w:t>6.3对招标过程和拟中标结果的质疑</w:t>
      </w:r>
      <w:bookmarkEnd w:id="3"/>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投标人认为招标过程和拟中标结果使自己的权益受到损害的，可以在投标人于</w:t>
      </w:r>
      <w:r>
        <w:rPr>
          <w:rFonts w:hint="eastAsia" w:ascii="仿宋" w:hAnsi="仿宋" w:eastAsia="仿宋" w:cs="仿宋"/>
          <w:sz w:val="28"/>
          <w:szCs w:val="28"/>
        </w:rPr>
        <w:t>阿克苏政府网、新疆政府采购网</w:t>
      </w:r>
      <w:r>
        <w:rPr>
          <w:rFonts w:hint="eastAsia" w:ascii="仿宋" w:hAnsi="仿宋" w:eastAsia="仿宋" w:cs="仿宋"/>
          <w:bCs/>
          <w:color w:val="000000"/>
          <w:sz w:val="28"/>
          <w:szCs w:val="28"/>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定代表人投标授权函和质疑授权函（均为原件）及被授权投标人的身份证复印件。身份证复印件须正反面清晰、有效，并要求由该身份证持有人在复印件正反面非空白位置注明“该复印件用于在          质疑使用”字样，并由身份证持有人签字确认。上述资料均须加盖公章。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hint="eastAsia" w:ascii="仿宋" w:hAnsi="仿宋" w:eastAsia="仿宋" w:cs="仿宋"/>
          <w:sz w:val="28"/>
          <w:szCs w:val="28"/>
        </w:rPr>
        <w:t>阿克苏政府网、新疆政府采购网</w:t>
      </w:r>
      <w:r>
        <w:rPr>
          <w:rFonts w:hint="eastAsia" w:ascii="仿宋" w:hAnsi="仿宋" w:eastAsia="仿宋" w:cs="仿宋"/>
          <w:bCs/>
          <w:color w:val="000000"/>
          <w:sz w:val="28"/>
          <w:szCs w:val="28"/>
        </w:rPr>
        <w:t>上予以公告。递交质疑的投标人和其他有关投标人在被告知、收到上述公告、通知或答疑书后，应立即向招标人回函确认。未确认情况应当视为对质疑答复的知晓，也将视为对质疑答复内容接受的默认。</w:t>
      </w:r>
      <w:bookmarkStart w:id="4" w:name="_Toc239047321"/>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6.4 澄清或质疑不予受理的情况</w:t>
      </w:r>
      <w:bookmarkEnd w:id="4"/>
      <w:r>
        <w:rPr>
          <w:rFonts w:hint="eastAsia" w:ascii="仿宋" w:hAnsi="仿宋" w:eastAsia="仿宋" w:cs="仿宋"/>
          <w:bCs/>
          <w:color w:val="000000"/>
          <w:sz w:val="28"/>
          <w:szCs w:val="28"/>
        </w:rPr>
        <w:t>，有下列情形之一的，属于无效质疑，被质疑人不予受理，由此产生的影响由投标人自行承担：</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(一)不是参与该政府采购项目活动投标人的;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(二)被质疑人为采购人或政府采购代理机构之外的；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(三)所有质疑事项超过质疑有效期的；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(四)以具有法律效力的文书送达之外方式提出的；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(五) 未按上述规定递交澄清或质疑函的；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(六) 其它不符合受理条件的情形。</w:t>
      </w:r>
      <w:bookmarkStart w:id="5" w:name="_Toc239047322"/>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6.5其他</w:t>
      </w:r>
      <w:bookmarkEnd w:id="5"/>
    </w:p>
    <w:p>
      <w:pPr>
        <w:spacing w:line="360" w:lineRule="auto"/>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澄清或质疑函递交地点：新疆天巨辰工程项目管理有限公司，联系电话：0997-2166788</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7　招标文件的修改</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7.1在投标截止日前的任何时候，无论出于何种原因，招标人可主动地或在解答投标人提出的问题时对招标文件进行修改，据此发出的补遗书将构成招标文件的一部分；</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7.2招标文件的修改将以邮件的形式通知所有获取招标文件的投标人，招标人可以酌情延长投标日期。</w:t>
      </w:r>
    </w:p>
    <w:p>
      <w:pPr>
        <w:spacing w:line="360" w:lineRule="auto"/>
        <w:ind w:firstLine="560" w:firstLineChars="200"/>
        <w:rPr>
          <w:rFonts w:hint="eastAsia" w:ascii="仿宋" w:hAnsi="仿宋" w:eastAsia="仿宋" w:cs="仿宋"/>
          <w:bCs/>
          <w:color w:val="000000"/>
          <w:sz w:val="28"/>
          <w:szCs w:val="28"/>
        </w:rPr>
      </w:pPr>
    </w:p>
    <w:p>
      <w:pPr>
        <w:spacing w:line="360" w:lineRule="auto"/>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(三) 投标文件的编制</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8　投标文件的编写</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8.2投标文件应以中文书写或打印，行间不得插字、涂改和增删。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8.3投标文件必须有完整页码、有封面、封皮、目录、页码，用A4纸打印装订成册（最低标准），具体样式附后。未按最低标准制作投标文件有可能被拒绝，其风险和法律责任由投标人自行承担。</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8.4书写或打印的文字表述不清、前后矛盾，导致非唯一理解的投标文件将被认定为无效标或废标。</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9　投标语言及计量单位</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9.1投标文件以及投标人与招标人就有关投标的所有来往的文字、函电统一使用中文。</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9.2投标文件中所使用的计量单位，除招标文件中有特殊要求外，应采用国家法定计量单位。</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10　投标文件的主要组成</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投标文件的组成：分为商务文件和技术文件两部分，必须分别、分开制作，法定代表人授权委托书原件及资质文件原件要现场查验，必须单独提交，否则视为无效标书。</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10．1投标人所递交的投标书应包括以下文件：（标书按以下顺序制作）</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商务文件：</w:t>
      </w:r>
    </w:p>
    <w:p>
      <w:pPr>
        <w:numPr>
          <w:ilvl w:val="0"/>
          <w:numId w:val="6"/>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投标函；</w:t>
      </w:r>
    </w:p>
    <w:p>
      <w:pPr>
        <w:spacing w:line="360" w:lineRule="auto"/>
        <w:ind w:firstLine="560" w:firstLineChars="200"/>
        <w:rPr>
          <w:rFonts w:hint="eastAsia"/>
        </w:rPr>
      </w:pPr>
      <w:r>
        <w:rPr>
          <w:rFonts w:hint="eastAsia" w:ascii="仿宋" w:hAnsi="仿宋" w:eastAsia="仿宋" w:cs="仿宋"/>
          <w:bCs/>
          <w:sz w:val="28"/>
          <w:szCs w:val="28"/>
        </w:rPr>
        <w:t>2、反商业贿赂承诺书；</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3、法定代表人资格证明文件及授权委托书；</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4、投标人单位基本情况表（内容包括但不限于营业执照、开户许可证、完税证明、社保、信用中国和中国政府采购网查询结果）</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5、投标人近三年有无违法违规记录承诺书；</w:t>
      </w:r>
    </w:p>
    <w:p>
      <w:pPr>
        <w:numPr>
          <w:ilvl w:val="0"/>
          <w:numId w:val="7"/>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投标报价表（须标明供货时间），后附分项报价明细表；</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7、近一年审计报告（成立不足一年的需提供成立至今的财务报表）</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8、中小企业声明函；</w:t>
      </w:r>
    </w:p>
    <w:p>
      <w:pPr>
        <w:pStyle w:val="41"/>
        <w:ind w:firstLine="280"/>
        <w:rPr>
          <w:rFonts w:hint="eastAsia" w:ascii="仿宋" w:hAnsi="仿宋" w:eastAsia="仿宋" w:cs="仿宋"/>
          <w:bCs/>
          <w:sz w:val="28"/>
          <w:szCs w:val="28"/>
        </w:rPr>
      </w:pPr>
      <w:r>
        <w:rPr>
          <w:rFonts w:hint="eastAsia" w:ascii="仿宋" w:hAnsi="仿宋" w:eastAsia="仿宋" w:cs="仿宋"/>
          <w:bCs/>
          <w:sz w:val="28"/>
          <w:szCs w:val="28"/>
        </w:rPr>
        <w:t xml:space="preserve">  9、商务偏离表；</w:t>
      </w:r>
    </w:p>
    <w:p>
      <w:pPr>
        <w:pStyle w:val="41"/>
        <w:ind w:firstLine="560" w:firstLineChars="200"/>
        <w:rPr>
          <w:rFonts w:ascii="仿宋" w:hAnsi="仿宋" w:eastAsia="仿宋" w:cs="仿宋"/>
          <w:bCs/>
          <w:sz w:val="28"/>
          <w:szCs w:val="28"/>
        </w:rPr>
      </w:pPr>
      <w:r>
        <w:rPr>
          <w:rFonts w:hint="eastAsia" w:ascii="仿宋" w:hAnsi="仿宋" w:eastAsia="仿宋" w:cs="仿宋"/>
          <w:bCs/>
          <w:sz w:val="28"/>
          <w:szCs w:val="28"/>
        </w:rPr>
        <w:t>10、投标人认为需补充的其它资料或说明。</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技术文件：</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sz w:val="28"/>
          <w:szCs w:val="28"/>
        </w:rPr>
        <w:t>技术参数响应</w:t>
      </w:r>
      <w:r>
        <w:rPr>
          <w:rFonts w:hint="eastAsia" w:ascii="仿宋" w:hAnsi="仿宋" w:eastAsia="仿宋" w:cs="仿宋"/>
          <w:bCs/>
          <w:sz w:val="28"/>
          <w:szCs w:val="28"/>
        </w:rPr>
        <w:t>；</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bCs/>
          <w:sz w:val="28"/>
          <w:szCs w:val="28"/>
        </w:rPr>
        <w:t>商务资质；</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bCs/>
          <w:sz w:val="28"/>
          <w:szCs w:val="28"/>
        </w:rPr>
        <w:t>技术解决方案；</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bCs/>
          <w:sz w:val="28"/>
          <w:szCs w:val="28"/>
        </w:rPr>
        <w:t>项目实施方案；</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bCs/>
          <w:sz w:val="28"/>
          <w:szCs w:val="28"/>
        </w:rPr>
        <w:t>培训方案；</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bCs/>
          <w:sz w:val="28"/>
          <w:szCs w:val="28"/>
          <w:lang w:val="en-US" w:eastAsia="zh-CN"/>
        </w:rPr>
        <w:t>备品备件服务供应方案；</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bCs/>
          <w:sz w:val="28"/>
          <w:szCs w:val="28"/>
        </w:rPr>
        <w:t>售后服务；</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bCs/>
          <w:sz w:val="28"/>
          <w:szCs w:val="28"/>
        </w:rPr>
        <w:t>投标人认为需补充的其它资料或说明。</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10.2证明投标货物或服务符合招标文件规定的文件：</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（1）提交所有投标货物或服务和相应服务的合格性、符合性证明文件，该文件可以是文字资料、图表和数据等。</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（2）详细描述投标货物或服务的规格、功能、性能、技术参数以及与招标货物或服务的偏离情况等。</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（3）投标人认为需要补充的其它资料文件。</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11　投标报价</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11.3招标文件未列明，而投标人认为必需的费用也需列入报价。</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11.4招标方不接受低于成本的投标报价，也不接受招标项目范围内的捐赠。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11.5固定合同价，投标人所报的单价和总价在合同实施期间应保持不变，并不因劳务、材料等成本的价格变动而做任何调整。</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11.6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12　投标文件的装订顺序及份数</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12.1投标文件按规定的《投标文件编制及装订顺序》，自编目录、页码，装订成册。</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12.2投标文件份数详见《投标人须知前附表》，每份投标文件须清楚的标明“正本”或“副本”字样，如正本与副本不符，以正本为准。</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13　投标文件签署</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13.1投标文件应由法定代表人或法定代表人授权委托人按规定逐一签署或签名，并加盖单位公章，否则由此造成的无效标由投标人负责。 </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13.2投标文件的签署应清楚工整。凡有修改、涂改处将视为无效标处理。</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14　投标有效期</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14.1投标文件从投标截止期结</w:t>
      </w:r>
      <w:r>
        <w:rPr>
          <w:rFonts w:hint="eastAsia" w:ascii="仿宋" w:hAnsi="仿宋" w:eastAsia="仿宋" w:cs="仿宋"/>
          <w:bCs/>
          <w:sz w:val="28"/>
          <w:szCs w:val="28"/>
        </w:rPr>
        <w:t>束后30天</w:t>
      </w:r>
      <w:r>
        <w:rPr>
          <w:rFonts w:hint="eastAsia" w:ascii="仿宋" w:hAnsi="仿宋" w:eastAsia="仿宋" w:cs="仿宋"/>
          <w:bCs/>
          <w:color w:val="000000"/>
          <w:sz w:val="28"/>
          <w:szCs w:val="28"/>
        </w:rPr>
        <w:t>内有效。在特殊情况下，招标人可与投标人协商延长投标文件的有效期。</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14.2中标人的投标文件有效期延至合同终止日。</w:t>
      </w:r>
    </w:p>
    <w:p>
      <w:pPr>
        <w:spacing w:line="360" w:lineRule="auto"/>
        <w:ind w:firstLine="560" w:firstLineChars="200"/>
        <w:rPr>
          <w:rFonts w:hint="eastAsia" w:ascii="仿宋" w:hAnsi="仿宋" w:eastAsia="仿宋" w:cs="仿宋"/>
          <w:bCs/>
          <w:color w:val="000000"/>
          <w:sz w:val="28"/>
          <w:szCs w:val="28"/>
        </w:rPr>
      </w:pP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 投标文件的递交</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16　投标文件的密封和标记</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16.1投标人应标注投标文件（商务、技术）正、副本，并将商务正、副本分别分开分装、密封，技术标正、副本分别分开分装、密封；在密封件的封面上标明投标人名称，并加盖单位公章。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16.2投标人应在所有封袋封口处加贴封条。</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16.3如果未按上述规定进行密封和标记，招标人对投标文件的误投或提前拆封不负责任。</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16.4投标人一经投标，无论是否中标，其投标文件恕不退还。</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17　投标截止时间</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17.1投标时间及投标截止时间: 详见《招标公告》或《变更通知》。</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17.2超过投标截止时间以后送达的投标文件将拒绝受理。</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18　有下列情形之一的，投标无效：</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18.1投标文件逾期送交的；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18.2在购买招标文件所填写的“购买（领取）招标文件投标人签到表”“单位名称”与投标时单位名称不一致的；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18.3未按招标文件规定要求密封、签署、盖章的；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18.4不具备招标文件中规定资格要求的；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18.5不符合法律、法规和招标文件中规定的其他实质性要求的；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18.6不按照招标文件制作和密封投标文件的。</w:t>
      </w:r>
    </w:p>
    <w:p>
      <w:pPr>
        <w:spacing w:line="360" w:lineRule="auto"/>
        <w:ind w:firstLine="560" w:firstLineChars="200"/>
        <w:rPr>
          <w:rFonts w:hint="eastAsia" w:ascii="仿宋" w:hAnsi="仿宋" w:eastAsia="仿宋" w:cs="仿宋"/>
          <w:bCs/>
          <w:color w:val="000000"/>
          <w:sz w:val="28"/>
          <w:szCs w:val="28"/>
        </w:rPr>
      </w:pPr>
    </w:p>
    <w:p>
      <w:pPr>
        <w:spacing w:line="360" w:lineRule="auto"/>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(五)  开标</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19  开标</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19.1招标人在公告或变更通知的规定日期、时间和地点组织开标会。投标人可由法定代表人或其授权人参加，并签名报到以证明出席，如不出席责任由投标人自负。</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19.2投标文件的密封情况由投标人代表或公证人员检查，确定密封无误后开标。</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19.3开标时，招标人当众拆封商务标投标文件并宣读投标人名称、投标价格、投标文件撤消等情况，以及招标人需要宣布的内容。</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19.4招标人将按照上述内容做开标记录，存档备案。</w:t>
      </w:r>
    </w:p>
    <w:p>
      <w:pPr>
        <w:spacing w:line="360" w:lineRule="auto"/>
        <w:ind w:firstLine="560" w:firstLineChars="200"/>
        <w:rPr>
          <w:rFonts w:hint="eastAsia" w:ascii="仿宋" w:hAnsi="仿宋" w:eastAsia="仿宋" w:cs="仿宋"/>
          <w:bCs/>
          <w:color w:val="000000"/>
          <w:sz w:val="28"/>
          <w:szCs w:val="28"/>
        </w:rPr>
      </w:pPr>
    </w:p>
    <w:p>
      <w:pPr>
        <w:spacing w:line="360" w:lineRule="auto"/>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(六)  评标</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20 评标委员会</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20.1 招标人将组建评标委员会，评标委员会由技术、经济等方面的专家组成。</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20.2 评标委员会负责对投标文件进行评审和比较，并向招标人推荐中标候选人。  </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21 评标原则：公平公正、优中选优，投标价格最低的投标报价为评标基准价。</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22 评标办法：采用综合评估法。</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评标采用综合评估法，评标委员会对通过资格及实质响应的各合格投标人，根据以下标准和方法评议打分。评分将按商务部分和技术部分分别进行，计算出各合格投标方的综合得分，综合得分最高者将被推荐为第一中标候选人，其余的递补中标候选人按综合得分从高到低的顺序依次排序。若有相同的最高综合得分，则其中技术部分得分高的投标方将被排序在前；若最高综合得分和技术部分得分仍相同，则其中投标价低的投标方排序在前。</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22.1 报价部分 30分</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22.2 技术部分 70分 </w:t>
      </w:r>
      <w:bookmarkStart w:id="6" w:name="_Toc369699963"/>
      <w:bookmarkStart w:id="7" w:name="_Toc317669035"/>
    </w:p>
    <w:p>
      <w:pPr>
        <w:pStyle w:val="41"/>
        <w:ind w:firstLine="0" w:firstLineChars="0"/>
        <w:rPr>
          <w:rFonts w:hint="eastAsia" w:ascii="仿宋" w:hAnsi="仿宋" w:eastAsia="仿宋" w:cs="仿宋"/>
          <w:b/>
          <w:sz w:val="28"/>
          <w:szCs w:val="28"/>
        </w:rPr>
      </w:pPr>
    </w:p>
    <w:p>
      <w:pPr>
        <w:pStyle w:val="41"/>
        <w:ind w:firstLine="0" w:firstLineChars="0"/>
        <w:rPr>
          <w:rFonts w:hint="eastAsia" w:ascii="仿宋" w:hAnsi="仿宋" w:eastAsia="仿宋" w:cs="仿宋"/>
          <w:b/>
          <w:sz w:val="28"/>
          <w:szCs w:val="28"/>
        </w:rPr>
      </w:pPr>
      <w:r>
        <w:rPr>
          <w:rFonts w:hint="eastAsia" w:ascii="仿宋" w:hAnsi="仿宋" w:eastAsia="仿宋" w:cs="仿宋"/>
          <w:b/>
          <w:sz w:val="28"/>
          <w:szCs w:val="28"/>
        </w:rPr>
        <w:t>评审方法（综合评估法）</w:t>
      </w:r>
    </w:p>
    <w:p>
      <w:pPr>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评分标准</w:t>
      </w:r>
    </w:p>
    <w:tbl>
      <w:tblPr>
        <w:tblStyle w:val="4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171"/>
        <w:gridCol w:w="1504"/>
        <w:gridCol w:w="665"/>
        <w:gridCol w:w="5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jc w:val="center"/>
              <w:rPr>
                <w:rFonts w:ascii="仿宋" w:hAnsi="仿宋" w:eastAsia="仿宋" w:cs="仿宋"/>
                <w:sz w:val="24"/>
              </w:rPr>
            </w:pPr>
            <w:r>
              <w:rPr>
                <w:rFonts w:hint="eastAsia" w:ascii="仿宋" w:hAnsi="仿宋" w:eastAsia="仿宋" w:cs="仿宋"/>
                <w:sz w:val="24"/>
              </w:rPr>
              <w:t>序号</w:t>
            </w:r>
          </w:p>
        </w:tc>
        <w:tc>
          <w:tcPr>
            <w:tcW w:w="1457"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jc w:val="center"/>
              <w:rPr>
                <w:rFonts w:hint="eastAsia" w:ascii="仿宋" w:hAnsi="仿宋" w:eastAsia="仿宋" w:cs="仿宋"/>
                <w:sz w:val="24"/>
              </w:rPr>
            </w:pPr>
            <w:r>
              <w:rPr>
                <w:rFonts w:hint="eastAsia" w:ascii="仿宋" w:hAnsi="仿宋" w:eastAsia="仿宋" w:cs="仿宋"/>
                <w:sz w:val="24"/>
              </w:rPr>
              <w:t>评分因素及权重</w:t>
            </w:r>
          </w:p>
        </w:tc>
        <w:tc>
          <w:tcPr>
            <w:tcW w:w="362"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jc w:val="center"/>
              <w:rPr>
                <w:rFonts w:hint="eastAsia" w:ascii="仿宋" w:hAnsi="仿宋" w:eastAsia="仿宋" w:cs="仿宋"/>
                <w:sz w:val="24"/>
              </w:rPr>
            </w:pPr>
            <w:r>
              <w:rPr>
                <w:rFonts w:hint="eastAsia" w:ascii="仿宋" w:hAnsi="仿宋" w:eastAsia="仿宋" w:cs="仿宋"/>
                <w:sz w:val="24"/>
              </w:rPr>
              <w:t>分值</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jc w:val="center"/>
              <w:rPr>
                <w:rFonts w:hint="eastAsia" w:ascii="仿宋" w:hAnsi="仿宋" w:eastAsia="仿宋" w:cs="仿宋"/>
                <w:sz w:val="24"/>
              </w:rPr>
            </w:pPr>
            <w:r>
              <w:rPr>
                <w:rFonts w:hint="eastAsia" w:ascii="仿宋" w:hAnsi="仿宋" w:eastAsia="仿宋" w:cs="仿宋"/>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5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ascii="仿宋" w:hAnsi="仿宋" w:eastAsia="仿宋" w:cs="仿宋"/>
                <w:sz w:val="24"/>
              </w:rPr>
            </w:pPr>
            <w:r>
              <w:rPr>
                <w:rFonts w:hint="eastAsia" w:ascii="仿宋" w:hAnsi="仿宋" w:eastAsia="仿宋" w:cs="仿宋"/>
                <w:sz w:val="24"/>
              </w:rPr>
              <w:t>1</w:t>
            </w:r>
          </w:p>
        </w:tc>
        <w:tc>
          <w:tcPr>
            <w:tcW w:w="1457"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hint="eastAsia" w:ascii="仿宋" w:hAnsi="仿宋" w:eastAsia="仿宋" w:cs="仿宋"/>
                <w:sz w:val="24"/>
              </w:rPr>
            </w:pPr>
            <w:r>
              <w:rPr>
                <w:rFonts w:hint="eastAsia" w:ascii="仿宋" w:hAnsi="仿宋" w:eastAsia="仿宋" w:cs="仿宋"/>
                <w:sz w:val="24"/>
              </w:rPr>
              <w:t>报价部分</w:t>
            </w:r>
          </w:p>
        </w:tc>
        <w:tc>
          <w:tcPr>
            <w:tcW w:w="362"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rPr>
                <w:rFonts w:hint="eastAsia" w:ascii="仿宋" w:hAnsi="仿宋" w:eastAsia="仿宋" w:cs="仿宋"/>
                <w:sz w:val="24"/>
              </w:rPr>
            </w:pPr>
            <w:r>
              <w:rPr>
                <w:rFonts w:hint="eastAsia" w:ascii="仿宋" w:hAnsi="仿宋" w:eastAsia="仿宋" w:cs="仿宋"/>
                <w:sz w:val="24"/>
              </w:rPr>
              <w:t>30分</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jc w:val="left"/>
              <w:textAlignment w:val="center"/>
              <w:rPr>
                <w:rFonts w:hint="eastAsia" w:ascii="仿宋" w:hAnsi="仿宋" w:eastAsia="仿宋" w:cs="仿宋"/>
                <w:sz w:val="24"/>
              </w:rPr>
            </w:pPr>
            <w:r>
              <w:rPr>
                <w:rFonts w:hint="eastAsia" w:ascii="仿宋" w:hAnsi="仿宋" w:eastAsia="仿宋" w:cs="仿宋"/>
                <w:sz w:val="24"/>
              </w:rPr>
              <w:t>（1）低于或等于最高限价的为有效报价；</w:t>
            </w:r>
          </w:p>
          <w:p>
            <w:pPr>
              <w:widowControl/>
              <w:jc w:val="left"/>
              <w:textAlignment w:val="center"/>
              <w:rPr>
                <w:rFonts w:hint="eastAsia" w:ascii="仿宋" w:hAnsi="仿宋" w:eastAsia="仿宋" w:cs="仿宋"/>
                <w:sz w:val="24"/>
              </w:rPr>
            </w:pPr>
            <w:r>
              <w:rPr>
                <w:rFonts w:hint="eastAsia" w:ascii="仿宋" w:hAnsi="仿宋" w:eastAsia="仿宋" w:cs="仿宋"/>
                <w:sz w:val="24"/>
              </w:rPr>
              <w:t>（2）满足招标文件要求的最低投标报价为评标基准价，价格得分统一按照下列公式计算:</w:t>
            </w:r>
            <w:r>
              <w:rPr>
                <w:rFonts w:ascii="Calibri" w:hAnsi="Calibri" w:eastAsia="仿宋" w:cs="Calibri"/>
                <w:sz w:val="24"/>
              </w:rPr>
              <w:t> </w:t>
            </w:r>
            <w:r>
              <w:rPr>
                <w:rFonts w:hint="eastAsia" w:ascii="仿宋" w:hAnsi="仿宋" w:eastAsia="仿宋" w:cs="仿宋"/>
                <w:sz w:val="24"/>
              </w:rPr>
              <w:t>投标报价得分=(评标基准价/投标报价)×30%×100</w:t>
            </w:r>
          </w:p>
          <w:p>
            <w:pPr>
              <w:widowControl/>
              <w:ind w:firstLine="480" w:firstLineChars="200"/>
              <w:jc w:val="left"/>
              <w:textAlignment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354"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638"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hint="eastAsia" w:ascii="仿宋" w:hAnsi="仿宋" w:eastAsia="仿宋" w:cs="仿宋"/>
                <w:sz w:val="24"/>
              </w:rPr>
            </w:pPr>
            <w:r>
              <w:rPr>
                <w:rFonts w:hint="eastAsia" w:ascii="仿宋" w:hAnsi="仿宋" w:eastAsia="仿宋" w:cs="仿宋"/>
                <w:sz w:val="24"/>
              </w:rPr>
              <w:t>技术部分（70分）</w:t>
            </w:r>
          </w:p>
          <w:p>
            <w:pPr>
              <w:tabs>
                <w:tab w:val="left" w:pos="16"/>
              </w:tabs>
              <w:adjustRightInd w:val="0"/>
              <w:spacing w:line="360" w:lineRule="auto"/>
              <w:jc w:val="center"/>
              <w:rPr>
                <w:rFonts w:hint="eastAsia" w:ascii="仿宋" w:hAnsi="仿宋" w:eastAsia="仿宋" w:cs="仿宋"/>
                <w:sz w:val="24"/>
              </w:rPr>
            </w:pPr>
          </w:p>
        </w:tc>
        <w:tc>
          <w:tcPr>
            <w:tcW w:w="819"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360" w:lineRule="auto"/>
              <w:jc w:val="center"/>
              <w:rPr>
                <w:rFonts w:hint="eastAsia" w:ascii="仿宋" w:hAnsi="仿宋" w:eastAsia="仿宋" w:cs="仿宋"/>
                <w:sz w:val="24"/>
              </w:rPr>
            </w:pPr>
            <w:r>
              <w:rPr>
                <w:rFonts w:hint="eastAsia" w:ascii="仿宋" w:hAnsi="仿宋" w:eastAsia="仿宋" w:cs="仿宋"/>
                <w:sz w:val="24"/>
              </w:rPr>
              <w:t>技术参数响应</w:t>
            </w:r>
          </w:p>
        </w:tc>
        <w:tc>
          <w:tcPr>
            <w:tcW w:w="362"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rPr>
                <w:rFonts w:hint="eastAsia" w:ascii="仿宋" w:hAnsi="仿宋" w:eastAsia="仿宋" w:cs="仿宋"/>
                <w:sz w:val="24"/>
              </w:rPr>
            </w:pPr>
            <w:r>
              <w:rPr>
                <w:rFonts w:hint="eastAsia" w:ascii="仿宋" w:hAnsi="仿宋" w:eastAsia="仿宋" w:cs="仿宋"/>
                <w:sz w:val="24"/>
                <w:lang w:val="en-US" w:eastAsia="zh-CN"/>
              </w:rPr>
              <w:t>20</w:t>
            </w:r>
            <w:r>
              <w:rPr>
                <w:rFonts w:hint="eastAsia" w:ascii="仿宋" w:hAnsi="仿宋" w:eastAsia="仿宋" w:cs="仿宋"/>
                <w:sz w:val="24"/>
              </w:rPr>
              <w:t>分</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jc w:val="left"/>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所投设备技术、性能、质量等满足招标文件要求得10分，标“★”为关键技术指标，每有一项正偏离得1分，最多得10分；不允许出现负偏离，否则视为无效投标，做废标处理；</w:t>
            </w:r>
          </w:p>
          <w:p>
            <w:pPr>
              <w:widowControl/>
              <w:jc w:val="left"/>
              <w:textAlignment w:val="center"/>
              <w:rPr>
                <w:rFonts w:hint="default" w:eastAsia="仿宋"/>
                <w:sz w:val="24"/>
                <w:lang w:val="en-US" w:eastAsia="zh-CN"/>
              </w:rPr>
            </w:pPr>
            <w:r>
              <w:rPr>
                <w:rFonts w:hint="eastAsia" w:ascii="仿宋" w:hAnsi="仿宋" w:eastAsia="仿宋" w:cs="仿宋"/>
                <w:sz w:val="24"/>
                <w:lang w:val="en-US" w:eastAsia="zh-CN"/>
              </w:rPr>
              <w:t>未标“★”项参数为一般技术指标，每项负偏离减1分，最多允许有3个负偏离，否则视为无效投标，做废标处理。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54"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638"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819"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360" w:lineRule="auto"/>
              <w:jc w:val="center"/>
              <w:rPr>
                <w:rFonts w:ascii="仿宋" w:hAnsi="仿宋" w:eastAsia="仿宋" w:cs="仿宋"/>
                <w:sz w:val="24"/>
              </w:rPr>
            </w:pPr>
            <w:r>
              <w:rPr>
                <w:rFonts w:hint="eastAsia" w:ascii="仿宋" w:hAnsi="仿宋" w:eastAsia="仿宋" w:cs="仿宋"/>
                <w:sz w:val="24"/>
              </w:rPr>
              <w:t>商务资质</w:t>
            </w:r>
          </w:p>
        </w:tc>
        <w:tc>
          <w:tcPr>
            <w:tcW w:w="362"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分</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widowControl/>
              <w:jc w:val="left"/>
              <w:textAlignment w:val="center"/>
              <w:rPr>
                <w:rFonts w:hint="eastAsia" w:ascii="仿宋" w:hAnsi="仿宋" w:eastAsia="仿宋" w:cs="仿宋"/>
                <w:sz w:val="24"/>
                <w:lang w:eastAsia="zh-CN"/>
              </w:rPr>
            </w:pPr>
            <w:r>
              <w:rPr>
                <w:rFonts w:hint="eastAsia" w:ascii="仿宋" w:hAnsi="仿宋" w:eastAsia="仿宋" w:cs="仿宋"/>
                <w:sz w:val="24"/>
                <w:lang w:val="en-US" w:eastAsia="zh-CN"/>
              </w:rPr>
              <w:t>投标人所投产品厂商应具有以下资质，每满足一项得1分</w:t>
            </w:r>
            <w:r>
              <w:rPr>
                <w:rFonts w:hint="eastAsia" w:ascii="仿宋" w:hAnsi="仿宋" w:eastAsia="仿宋" w:cs="仿宋"/>
                <w:sz w:val="24"/>
              </w:rPr>
              <w:t>，不提供不得分</w:t>
            </w:r>
            <w:r>
              <w:rPr>
                <w:rFonts w:hint="eastAsia" w:ascii="仿宋" w:hAnsi="仿宋" w:eastAsia="仿宋" w:cs="仿宋"/>
                <w:sz w:val="24"/>
                <w:lang w:eastAsia="zh-CN"/>
              </w:rPr>
              <w:t>：</w:t>
            </w:r>
          </w:p>
          <w:p>
            <w:pPr>
              <w:widowControl/>
              <w:jc w:val="left"/>
              <w:textAlignment w:val="center"/>
              <w:rPr>
                <w:rFonts w:hint="eastAsia" w:ascii="仿宋" w:hAnsi="仿宋" w:eastAsia="仿宋" w:cs="仿宋"/>
                <w:sz w:val="24"/>
              </w:rPr>
            </w:pPr>
            <w:r>
              <w:rPr>
                <w:rFonts w:hint="eastAsia" w:ascii="仿宋" w:hAnsi="仿宋" w:eastAsia="仿宋" w:cs="仿宋"/>
                <w:sz w:val="24"/>
              </w:rPr>
              <w:t>（1）具备中国信息安全认证中心颁发的信息安全集成服务一级证书；</w:t>
            </w:r>
          </w:p>
          <w:p>
            <w:pPr>
              <w:widowControl/>
              <w:jc w:val="left"/>
              <w:textAlignment w:val="center"/>
              <w:rPr>
                <w:rFonts w:hint="eastAsia" w:ascii="仿宋" w:hAnsi="仿宋" w:eastAsia="仿宋" w:cs="仿宋"/>
                <w:sz w:val="24"/>
              </w:rPr>
            </w:pPr>
            <w:r>
              <w:rPr>
                <w:rFonts w:hint="eastAsia" w:ascii="仿宋" w:hAnsi="仿宋" w:eastAsia="仿宋" w:cs="仿宋"/>
                <w:sz w:val="24"/>
              </w:rPr>
              <w:t>（2）具有ISO9001质量管理体系认证证书；</w:t>
            </w:r>
          </w:p>
          <w:p>
            <w:pPr>
              <w:widowControl/>
              <w:jc w:val="left"/>
              <w:textAlignment w:val="center"/>
              <w:rPr>
                <w:rFonts w:hint="eastAsia" w:ascii="仿宋" w:hAnsi="仿宋" w:eastAsia="仿宋" w:cs="仿宋"/>
                <w:sz w:val="24"/>
              </w:rPr>
            </w:pPr>
            <w:r>
              <w:rPr>
                <w:rFonts w:hint="eastAsia" w:ascii="仿宋" w:hAnsi="仿宋" w:eastAsia="仿宋" w:cs="仿宋"/>
                <w:sz w:val="24"/>
              </w:rPr>
              <w:t>（3）具有ISO20000信息技术服务管理体系证书；</w:t>
            </w:r>
          </w:p>
          <w:p>
            <w:pPr>
              <w:widowControl/>
              <w:jc w:val="left"/>
              <w:textAlignment w:val="center"/>
              <w:rPr>
                <w:rFonts w:hint="eastAsia" w:ascii="仿宋" w:hAnsi="仿宋" w:eastAsia="仿宋" w:cs="仿宋"/>
                <w:sz w:val="24"/>
              </w:rPr>
            </w:pPr>
            <w:r>
              <w:rPr>
                <w:rFonts w:hint="eastAsia" w:ascii="仿宋" w:hAnsi="仿宋" w:eastAsia="仿宋" w:cs="仿宋"/>
                <w:sz w:val="24"/>
              </w:rPr>
              <w:t>（4）具备ISO27001信息安全管理体系认证</w:t>
            </w:r>
          </w:p>
          <w:p>
            <w:pPr>
              <w:widowControl/>
              <w:jc w:val="left"/>
              <w:textAlignment w:val="center"/>
              <w:rPr>
                <w:rFonts w:hint="eastAsia" w:ascii="仿宋" w:hAnsi="仿宋" w:eastAsia="仿宋" w:cs="仿宋"/>
                <w:sz w:val="24"/>
              </w:rPr>
            </w:pPr>
            <w:r>
              <w:rPr>
                <w:rFonts w:hint="eastAsia" w:ascii="仿宋" w:hAnsi="仿宋" w:eastAsia="仿宋" w:cs="仿宋"/>
                <w:sz w:val="24"/>
              </w:rPr>
              <w:t>（5）具备中国信息安全认证中心颁发的信息安全应急处理服务资质一级证书；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54"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638"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819"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360" w:lineRule="auto"/>
              <w:jc w:val="center"/>
              <w:rPr>
                <w:rFonts w:ascii="仿宋" w:hAnsi="仿宋" w:eastAsia="仿宋" w:cs="仿宋"/>
                <w:sz w:val="24"/>
              </w:rPr>
            </w:pPr>
            <w:r>
              <w:rPr>
                <w:rFonts w:hint="eastAsia" w:ascii="仿宋" w:hAnsi="仿宋" w:eastAsia="仿宋" w:cs="仿宋"/>
                <w:sz w:val="24"/>
              </w:rPr>
              <w:t>技术解决方案</w:t>
            </w:r>
          </w:p>
        </w:tc>
        <w:tc>
          <w:tcPr>
            <w:tcW w:w="362"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ascii="仿宋" w:hAnsi="仿宋" w:eastAsia="仿宋" w:cs="仿宋"/>
                <w:sz w:val="24"/>
              </w:rPr>
            </w:pPr>
            <w:r>
              <w:rPr>
                <w:rFonts w:hint="eastAsia" w:ascii="仿宋" w:hAnsi="仿宋" w:eastAsia="仿宋" w:cs="仿宋"/>
                <w:sz w:val="24"/>
                <w:lang w:val="en-US" w:eastAsia="zh-CN"/>
              </w:rPr>
              <w:t>15</w:t>
            </w:r>
            <w:r>
              <w:rPr>
                <w:rFonts w:hint="eastAsia" w:ascii="仿宋" w:hAnsi="仿宋" w:eastAsia="仿宋" w:cs="仿宋"/>
                <w:sz w:val="24"/>
              </w:rPr>
              <w:t>分</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widowControl/>
              <w:jc w:val="left"/>
              <w:textAlignment w:val="center"/>
              <w:rPr>
                <w:rFonts w:hint="eastAsia" w:ascii="仿宋" w:hAnsi="仿宋" w:eastAsia="仿宋" w:cs="仿宋"/>
                <w:sz w:val="24"/>
              </w:rPr>
            </w:pPr>
            <w:r>
              <w:rPr>
                <w:rFonts w:hint="eastAsia" w:ascii="仿宋" w:hAnsi="仿宋" w:eastAsia="仿宋" w:cs="仿宋"/>
                <w:sz w:val="24"/>
                <w:lang w:val="en-US" w:eastAsia="zh-CN"/>
              </w:rPr>
              <w:t>技术解决</w:t>
            </w:r>
            <w:r>
              <w:rPr>
                <w:rFonts w:hint="eastAsia" w:ascii="仿宋" w:hAnsi="仿宋" w:eastAsia="仿宋" w:cs="仿宋"/>
                <w:sz w:val="24"/>
              </w:rPr>
              <w:t>方案内容完整，对招标文件的响应程度高，提供建设方案有较强的可操作性，系统架构设计清晰、合理。从系统稳定性、可靠性、数据安全性、平台安全、性能等方面进行评价：</w:t>
            </w:r>
          </w:p>
          <w:p>
            <w:pPr>
              <w:widowControl/>
              <w:jc w:val="left"/>
              <w:textAlignment w:val="center"/>
              <w:rPr>
                <w:rFonts w:hint="eastAsia" w:ascii="仿宋" w:hAnsi="仿宋" w:eastAsia="仿宋" w:cs="仿宋"/>
                <w:sz w:val="24"/>
              </w:rPr>
            </w:pPr>
            <w:r>
              <w:rPr>
                <w:rFonts w:hint="eastAsia" w:ascii="仿宋" w:hAnsi="仿宋" w:eastAsia="仿宋" w:cs="仿宋"/>
                <w:sz w:val="24"/>
              </w:rPr>
              <w:t>（1）系统架构设计稳定可靠，有容错机制得1-</w:t>
            </w:r>
            <w:r>
              <w:rPr>
                <w:rFonts w:hint="eastAsia" w:ascii="仿宋" w:hAnsi="仿宋" w:eastAsia="仿宋" w:cs="仿宋"/>
                <w:sz w:val="24"/>
                <w:lang w:val="en-US" w:eastAsia="zh-CN"/>
              </w:rPr>
              <w:t>5分，不提供不得分</w:t>
            </w:r>
            <w:r>
              <w:rPr>
                <w:rFonts w:hint="eastAsia" w:ascii="仿宋" w:hAnsi="仿宋" w:eastAsia="仿宋" w:cs="仿宋"/>
                <w:sz w:val="24"/>
              </w:rPr>
              <w:t>。</w:t>
            </w:r>
          </w:p>
          <w:p>
            <w:pPr>
              <w:widowControl/>
              <w:jc w:val="left"/>
              <w:textAlignment w:val="center"/>
              <w:rPr>
                <w:rFonts w:hint="eastAsia" w:ascii="仿宋" w:hAnsi="仿宋" w:eastAsia="仿宋" w:cs="仿宋"/>
                <w:sz w:val="24"/>
              </w:rPr>
            </w:pPr>
            <w:r>
              <w:rPr>
                <w:rFonts w:hint="eastAsia" w:ascii="仿宋" w:hAnsi="仿宋" w:eastAsia="仿宋" w:cs="仿宋"/>
                <w:sz w:val="24"/>
              </w:rPr>
              <w:t>（2）系统架构设计充分考虑网络安全和数据安全，对本项目中存在的安全问题提出针对性措施得1-</w:t>
            </w:r>
            <w:r>
              <w:rPr>
                <w:rFonts w:hint="eastAsia" w:ascii="仿宋" w:hAnsi="仿宋" w:eastAsia="仿宋" w:cs="仿宋"/>
                <w:sz w:val="24"/>
                <w:lang w:val="en-US" w:eastAsia="zh-CN"/>
              </w:rPr>
              <w:t>5</w:t>
            </w:r>
            <w:r>
              <w:rPr>
                <w:rFonts w:hint="eastAsia" w:ascii="仿宋" w:hAnsi="仿宋" w:eastAsia="仿宋" w:cs="仿宋"/>
                <w:sz w:val="24"/>
              </w:rPr>
              <w:t>分</w:t>
            </w:r>
            <w:r>
              <w:rPr>
                <w:rFonts w:hint="eastAsia" w:ascii="仿宋" w:hAnsi="仿宋" w:eastAsia="仿宋" w:cs="仿宋"/>
                <w:sz w:val="24"/>
                <w:lang w:val="en-US" w:eastAsia="zh-CN"/>
              </w:rPr>
              <w:t>，不提供不得分</w:t>
            </w:r>
            <w:r>
              <w:rPr>
                <w:rFonts w:hint="eastAsia" w:ascii="仿宋" w:hAnsi="仿宋" w:eastAsia="仿宋" w:cs="仿宋"/>
                <w:sz w:val="24"/>
              </w:rPr>
              <w:t>。</w:t>
            </w:r>
          </w:p>
          <w:p>
            <w:pPr>
              <w:widowControl/>
              <w:jc w:val="left"/>
              <w:textAlignment w:val="center"/>
              <w:rPr>
                <w:rFonts w:ascii="仿宋" w:hAnsi="仿宋" w:eastAsia="仿宋" w:cs="仿宋"/>
                <w:sz w:val="24"/>
                <w:lang w:bidi="ar"/>
              </w:rPr>
            </w:pPr>
            <w:r>
              <w:rPr>
                <w:rFonts w:hint="eastAsia" w:ascii="仿宋" w:hAnsi="仿宋" w:eastAsia="仿宋" w:cs="仿宋"/>
                <w:sz w:val="24"/>
              </w:rPr>
              <w:t>（3）系统架构设计考虑系统性能，能够通过合理技术措施对系统性能进行提升，得1-</w:t>
            </w:r>
            <w:r>
              <w:rPr>
                <w:rFonts w:hint="eastAsia" w:ascii="仿宋" w:hAnsi="仿宋" w:eastAsia="仿宋" w:cs="仿宋"/>
                <w:sz w:val="24"/>
                <w:lang w:val="en-US" w:eastAsia="zh-CN"/>
              </w:rPr>
              <w:t>5</w:t>
            </w:r>
            <w:r>
              <w:rPr>
                <w:rFonts w:hint="eastAsia" w:ascii="仿宋" w:hAnsi="仿宋" w:eastAsia="仿宋" w:cs="仿宋"/>
                <w:sz w:val="24"/>
              </w:rPr>
              <w:t>分</w:t>
            </w:r>
            <w:r>
              <w:rPr>
                <w:rFonts w:hint="eastAsia" w:ascii="仿宋" w:hAnsi="仿宋" w:eastAsia="仿宋" w:cs="仿宋"/>
                <w:sz w:val="24"/>
                <w:lang w:val="en-US" w:eastAsia="zh-CN"/>
              </w:rPr>
              <w:t>，不提供不得分</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54"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638"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819"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adjustRightInd w:val="0"/>
              <w:spacing w:line="360" w:lineRule="auto"/>
              <w:jc w:val="center"/>
              <w:rPr>
                <w:rFonts w:hint="eastAsia" w:ascii="仿宋" w:hAnsi="仿宋" w:eastAsia="仿宋" w:cs="仿宋"/>
                <w:sz w:val="24"/>
              </w:rPr>
            </w:pPr>
            <w:r>
              <w:rPr>
                <w:rFonts w:hint="eastAsia" w:ascii="仿宋" w:hAnsi="仿宋" w:eastAsia="仿宋" w:cs="仿宋"/>
                <w:sz w:val="24"/>
              </w:rPr>
              <w:t>项目实施方案</w:t>
            </w:r>
          </w:p>
        </w:tc>
        <w:tc>
          <w:tcPr>
            <w:tcW w:w="362"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15分</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pStyle w:val="127"/>
              <w:rPr>
                <w:rFonts w:hint="eastAsia" w:ascii="仿宋" w:hAnsi="仿宋" w:eastAsia="仿宋" w:cs="仿宋"/>
                <w:color w:val="auto"/>
                <w:sz w:val="24"/>
                <w:szCs w:val="24"/>
                <w:lang w:val="en-US" w:eastAsia="zh-CN" w:bidi="ar"/>
              </w:rPr>
            </w:pPr>
            <w:r>
              <w:rPr>
                <w:rFonts w:hint="default" w:ascii="仿宋" w:hAnsi="仿宋" w:eastAsia="仿宋" w:cs="仿宋"/>
                <w:color w:val="auto"/>
                <w:sz w:val="24"/>
                <w:szCs w:val="24"/>
                <w:lang w:bidi="ar"/>
              </w:rPr>
              <w:t>根据实施方案的合理性、可行性、是否严密周到等情况进行综合比较，实施方案包含项目实施计划</w:t>
            </w:r>
            <w:r>
              <w:rPr>
                <w:rFonts w:hint="eastAsia" w:ascii="仿宋" w:hAnsi="仿宋" w:eastAsia="仿宋" w:cs="仿宋"/>
                <w:color w:val="auto"/>
                <w:sz w:val="24"/>
                <w:szCs w:val="24"/>
                <w:lang w:eastAsia="zh-CN" w:bidi="ar"/>
              </w:rPr>
              <w:t>、</w:t>
            </w:r>
            <w:r>
              <w:rPr>
                <w:rFonts w:hint="default" w:ascii="仿宋" w:hAnsi="仿宋" w:eastAsia="仿宋" w:cs="仿宋"/>
                <w:color w:val="auto"/>
                <w:sz w:val="24"/>
                <w:szCs w:val="24"/>
                <w:lang w:bidi="ar"/>
              </w:rPr>
              <w:t>运输计划及安装调试</w:t>
            </w:r>
            <w:r>
              <w:rPr>
                <w:rFonts w:hint="eastAsia" w:ascii="仿宋" w:hAnsi="仿宋" w:eastAsia="仿宋" w:cs="仿宋"/>
                <w:color w:val="auto"/>
                <w:sz w:val="24"/>
                <w:szCs w:val="24"/>
                <w:lang w:val="en-US" w:eastAsia="zh-CN" w:bidi="ar"/>
              </w:rPr>
              <w:t>方案</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bidi="ar"/>
              </w:rPr>
              <w:t>验收</w:t>
            </w:r>
            <w:r>
              <w:rPr>
                <w:rFonts w:hint="eastAsia" w:ascii="仿宋" w:hAnsi="仿宋" w:eastAsia="仿宋" w:cs="仿宋"/>
                <w:color w:val="auto"/>
                <w:sz w:val="24"/>
                <w:szCs w:val="24"/>
                <w:lang w:val="en-US" w:eastAsia="zh-CN" w:bidi="ar"/>
              </w:rPr>
              <w:t>方案和措施等。</w:t>
            </w:r>
          </w:p>
          <w:p>
            <w:pPr>
              <w:widowControl/>
              <w:jc w:val="left"/>
              <w:textAlignment w:val="center"/>
              <w:rPr>
                <w:rFonts w:hint="eastAsia" w:ascii="仿宋" w:hAnsi="仿宋" w:eastAsia="仿宋" w:cs="仿宋"/>
                <w:sz w:val="24"/>
              </w:rPr>
            </w:pPr>
            <w:r>
              <w:rPr>
                <w:rFonts w:hint="eastAsia" w:ascii="仿宋" w:hAnsi="仿宋" w:eastAsia="仿宋" w:cs="仿宋"/>
                <w:color w:val="auto"/>
                <w:sz w:val="24"/>
                <w:szCs w:val="24"/>
                <w:lang w:bidi="ar"/>
              </w:rPr>
              <w:t>方案内容完整详尽</w:t>
            </w:r>
            <w:r>
              <w:rPr>
                <w:rFonts w:hint="eastAsia" w:ascii="仿宋" w:hAnsi="仿宋" w:eastAsia="仿宋" w:cs="仿宋"/>
                <w:color w:val="auto"/>
                <w:sz w:val="24"/>
                <w:szCs w:val="24"/>
                <w:lang w:eastAsia="zh-CN" w:bidi="ar"/>
              </w:rPr>
              <w:t>、</w:t>
            </w:r>
            <w:r>
              <w:rPr>
                <w:rFonts w:hint="eastAsia" w:ascii="仿宋" w:hAnsi="仿宋" w:eastAsia="仿宋" w:cs="仿宋"/>
                <w:color w:val="auto"/>
                <w:sz w:val="24"/>
                <w:szCs w:val="24"/>
                <w:lang w:val="en-US" w:eastAsia="zh-CN" w:bidi="ar"/>
              </w:rPr>
              <w:t>严密周到、合理可行</w:t>
            </w:r>
            <w:r>
              <w:rPr>
                <w:rFonts w:hint="eastAsia" w:ascii="仿宋" w:hAnsi="仿宋" w:eastAsia="仿宋" w:cs="仿宋"/>
                <w:color w:val="auto"/>
                <w:sz w:val="24"/>
                <w:szCs w:val="24"/>
                <w:lang w:bidi="ar"/>
              </w:rPr>
              <w:t>，且不限于上述所要求内容的</w:t>
            </w:r>
            <w:r>
              <w:rPr>
                <w:rFonts w:hint="eastAsia" w:ascii="仿宋" w:hAnsi="仿宋" w:eastAsia="仿宋" w:cs="仿宋"/>
                <w:color w:val="auto"/>
                <w:sz w:val="24"/>
                <w:szCs w:val="24"/>
                <w:lang w:val="en-US" w:eastAsia="zh-CN" w:bidi="ar"/>
              </w:rPr>
              <w:t>15</w:t>
            </w:r>
            <w:r>
              <w:rPr>
                <w:rFonts w:hint="eastAsia" w:ascii="仿宋" w:hAnsi="仿宋" w:eastAsia="仿宋" w:cs="仿宋"/>
                <w:color w:val="auto"/>
                <w:sz w:val="24"/>
                <w:szCs w:val="24"/>
                <w:lang w:bidi="ar"/>
              </w:rPr>
              <w:t>分;</w:t>
            </w:r>
            <w:r>
              <w:rPr>
                <w:rFonts w:hint="default" w:ascii="仿宋" w:hAnsi="仿宋" w:eastAsia="仿宋" w:cs="仿宋"/>
                <w:color w:val="auto"/>
                <w:sz w:val="24"/>
                <w:szCs w:val="24"/>
                <w:lang w:bidi="ar"/>
              </w:rPr>
              <w:t>不提供的不得</w:t>
            </w:r>
            <w:r>
              <w:rPr>
                <w:rFonts w:hint="eastAsia" w:ascii="仿宋" w:hAnsi="仿宋" w:eastAsia="仿宋" w:cs="仿宋"/>
                <w:color w:val="auto"/>
                <w:sz w:val="24"/>
                <w:szCs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354"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638"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819"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ascii="仿宋" w:hAnsi="仿宋" w:eastAsia="仿宋" w:cs="仿宋"/>
                <w:sz w:val="24"/>
              </w:rPr>
            </w:pPr>
            <w:r>
              <w:rPr>
                <w:rFonts w:hint="eastAsia" w:ascii="仿宋" w:hAnsi="仿宋" w:eastAsia="仿宋" w:cs="仿宋"/>
                <w:sz w:val="24"/>
              </w:rPr>
              <w:t>培训方案</w:t>
            </w:r>
          </w:p>
        </w:tc>
        <w:tc>
          <w:tcPr>
            <w:tcW w:w="362"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hint="eastAsia" w:ascii="仿宋" w:hAnsi="仿宋" w:eastAsia="仿宋" w:cs="仿宋"/>
                <w:sz w:val="24"/>
              </w:rPr>
            </w:pPr>
            <w:r>
              <w:rPr>
                <w:rFonts w:hint="eastAsia" w:ascii="仿宋" w:hAnsi="仿宋" w:eastAsia="仿宋" w:cs="宋体"/>
                <w:kern w:val="0"/>
                <w:sz w:val="24"/>
                <w:lang w:val="en-US" w:eastAsia="zh-CN"/>
              </w:rPr>
              <w:t>5</w:t>
            </w:r>
            <w:r>
              <w:rPr>
                <w:rFonts w:hint="eastAsia" w:ascii="仿宋" w:hAnsi="仿宋" w:eastAsia="仿宋" w:cs="宋体"/>
                <w:kern w:val="0"/>
                <w:sz w:val="24"/>
              </w:rPr>
              <w:t>分</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jc w:val="left"/>
              <w:textAlignment w:val="center"/>
              <w:rPr>
                <w:rFonts w:hint="eastAsia" w:ascii="仿宋" w:hAnsi="仿宋" w:eastAsia="仿宋" w:cs="仿宋"/>
                <w:sz w:val="24"/>
              </w:rPr>
            </w:pPr>
            <w:r>
              <w:rPr>
                <w:rFonts w:hint="eastAsia" w:ascii="仿宋" w:hAnsi="仿宋" w:eastAsia="仿宋" w:cs="仿宋"/>
                <w:sz w:val="24"/>
              </w:rPr>
              <w:t>投标人针对本项目提供详细的培训方案，方案中需包含培训对象、培训资源配备、培训计划、培训资料及培训方式等内容。</w:t>
            </w:r>
          </w:p>
          <w:p>
            <w:pPr>
              <w:widowControl/>
              <w:jc w:val="left"/>
              <w:textAlignment w:val="center"/>
              <w:rPr>
                <w:rFonts w:hint="eastAsia" w:ascii="仿宋" w:hAnsi="仿宋" w:eastAsia="仿宋" w:cs="仿宋"/>
                <w:sz w:val="24"/>
              </w:rPr>
            </w:pPr>
            <w:r>
              <w:rPr>
                <w:rFonts w:hint="eastAsia" w:ascii="仿宋" w:hAnsi="仿宋" w:eastAsia="仿宋" w:cs="仿宋"/>
                <w:sz w:val="24"/>
              </w:rPr>
              <w:t>培训方案完整详细、培训资源配备充足、培训资料针对性强、培训方式可行的，得</w:t>
            </w:r>
            <w:r>
              <w:rPr>
                <w:rFonts w:hint="eastAsia" w:ascii="仿宋" w:hAnsi="仿宋" w:eastAsia="仿宋" w:cs="仿宋"/>
                <w:sz w:val="24"/>
                <w:lang w:val="en-US" w:eastAsia="zh-CN"/>
              </w:rPr>
              <w:t>5</w:t>
            </w:r>
            <w:r>
              <w:rPr>
                <w:rFonts w:hint="eastAsia" w:ascii="仿宋" w:hAnsi="仿宋" w:eastAsia="仿宋" w:cs="仿宋"/>
                <w:sz w:val="24"/>
              </w:rPr>
              <w:t>分；不提供培训方案不得分。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54"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638" w:type="pct"/>
            <w:vMerge w:val="continue"/>
            <w:tcBorders>
              <w:left w:val="single" w:color="auto" w:sz="4" w:space="0"/>
              <w:right w:val="single" w:color="auto" w:sz="4" w:space="0"/>
            </w:tcBorders>
            <w:noWrap w:val="0"/>
            <w:vAlign w:val="center"/>
          </w:tcPr>
          <w:p>
            <w:pPr>
              <w:widowControl/>
              <w:jc w:val="left"/>
              <w:rPr>
                <w:rFonts w:ascii="仿宋" w:hAnsi="仿宋" w:eastAsia="仿宋" w:cs="仿宋"/>
                <w:sz w:val="24"/>
              </w:rPr>
            </w:pPr>
          </w:p>
        </w:tc>
        <w:tc>
          <w:tcPr>
            <w:tcW w:w="819"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备品备件服务供应方案</w:t>
            </w:r>
          </w:p>
        </w:tc>
        <w:tc>
          <w:tcPr>
            <w:tcW w:w="362"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8分</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jc w:val="left"/>
              <w:textAlignment w:val="center"/>
              <w:rPr>
                <w:rFonts w:hint="default" w:ascii="仿宋" w:hAnsi="仿宋" w:eastAsia="仿宋" w:cs="仿宋"/>
                <w:sz w:val="24"/>
                <w:lang w:val="en-US" w:eastAsia="zh-CN"/>
              </w:rPr>
            </w:pPr>
            <w:r>
              <w:rPr>
                <w:rFonts w:hint="eastAsia" w:ascii="仿宋" w:hAnsi="仿宋" w:eastAsia="仿宋" w:cs="仿宋"/>
                <w:sz w:val="24"/>
              </w:rPr>
              <w:t>针对各投标人提供备品备件的库存充裕且种类齐全，能够及时满足使用单位备品备件更换需求，并提供相关服务及承诺的得</w:t>
            </w:r>
            <w:r>
              <w:rPr>
                <w:rFonts w:hint="eastAsia" w:ascii="仿宋" w:hAnsi="仿宋" w:eastAsia="仿宋" w:cs="仿宋"/>
                <w:sz w:val="24"/>
                <w:lang w:val="en-US" w:eastAsia="zh-CN"/>
              </w:rPr>
              <w:t>4</w:t>
            </w:r>
            <w:r>
              <w:rPr>
                <w:rFonts w:hint="eastAsia" w:ascii="仿宋" w:hAnsi="仿宋" w:eastAsia="仿宋" w:cs="仿宋"/>
                <w:sz w:val="24"/>
              </w:rPr>
              <w:t>分；</w:t>
            </w:r>
            <w:r>
              <w:rPr>
                <w:rFonts w:hint="eastAsia" w:ascii="仿宋" w:hAnsi="仿宋" w:eastAsia="仿宋" w:cs="仿宋"/>
                <w:sz w:val="24"/>
                <w:lang w:val="en-US" w:eastAsia="zh-CN"/>
              </w:rPr>
              <w:t>在质保期内免费更换并安装备品备件得4分；未提供服务承诺得0分</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4" w:type="pct"/>
            <w:vMerge w:val="continue"/>
            <w:tcBorders>
              <w:left w:val="single" w:color="auto" w:sz="4" w:space="0"/>
              <w:bottom w:val="single" w:color="auto" w:sz="4" w:space="0"/>
              <w:right w:val="single" w:color="auto" w:sz="4" w:space="0"/>
            </w:tcBorders>
            <w:noWrap w:val="0"/>
            <w:vAlign w:val="center"/>
          </w:tcPr>
          <w:p>
            <w:pPr>
              <w:widowControl/>
              <w:jc w:val="left"/>
              <w:rPr>
                <w:rFonts w:ascii="仿宋" w:hAnsi="仿宋" w:eastAsia="仿宋" w:cs="仿宋"/>
                <w:sz w:val="24"/>
              </w:rPr>
            </w:pPr>
          </w:p>
        </w:tc>
        <w:tc>
          <w:tcPr>
            <w:tcW w:w="638" w:type="pct"/>
            <w:vMerge w:val="continue"/>
            <w:tcBorders>
              <w:left w:val="single" w:color="auto" w:sz="4" w:space="0"/>
              <w:bottom w:val="single" w:color="auto" w:sz="4" w:space="0"/>
              <w:right w:val="single" w:color="auto" w:sz="4" w:space="0"/>
            </w:tcBorders>
            <w:noWrap w:val="0"/>
            <w:vAlign w:val="center"/>
          </w:tcPr>
          <w:p>
            <w:pPr>
              <w:widowControl/>
              <w:jc w:val="left"/>
              <w:rPr>
                <w:rFonts w:ascii="仿宋" w:hAnsi="仿宋" w:eastAsia="仿宋" w:cs="仿宋"/>
                <w:sz w:val="24"/>
              </w:rPr>
            </w:pPr>
          </w:p>
        </w:tc>
        <w:tc>
          <w:tcPr>
            <w:tcW w:w="819" w:type="pct"/>
            <w:tcBorders>
              <w:left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售后服务</w:t>
            </w:r>
          </w:p>
        </w:tc>
        <w:tc>
          <w:tcPr>
            <w:tcW w:w="362"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tabs>
                <w:tab w:val="left" w:pos="16"/>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2分</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widowControl/>
              <w:jc w:val="left"/>
              <w:textAlignment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1、投标人提供7×24小时电话支持；应急服务2小时内响应，做出相应承诺的得</w:t>
            </w:r>
            <w:r>
              <w:rPr>
                <w:rFonts w:hint="eastAsia" w:ascii="仿宋" w:hAnsi="仿宋" w:eastAsia="仿宋" w:cs="仿宋"/>
                <w:color w:val="auto"/>
                <w:sz w:val="24"/>
                <w:szCs w:val="24"/>
                <w:lang w:val="en-US" w:eastAsia="zh-CN" w:bidi="ar"/>
              </w:rPr>
              <w:t>2</w:t>
            </w:r>
            <w:r>
              <w:rPr>
                <w:rFonts w:hint="eastAsia" w:ascii="仿宋" w:hAnsi="仿宋" w:eastAsia="仿宋" w:cs="仿宋"/>
                <w:color w:val="auto"/>
                <w:sz w:val="24"/>
                <w:szCs w:val="24"/>
                <w:lang w:bidi="ar"/>
              </w:rPr>
              <w:t>分。</w:t>
            </w:r>
          </w:p>
          <w:p>
            <w:pPr>
              <w:widowControl/>
              <w:jc w:val="left"/>
              <w:textAlignment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2、投标人提供电话支持，应急服务不在2小时内响应的，做出相应承诺的得</w:t>
            </w:r>
            <w:r>
              <w:rPr>
                <w:rFonts w:hint="eastAsia" w:ascii="仿宋" w:hAnsi="仿宋" w:eastAsia="仿宋" w:cs="仿宋"/>
                <w:color w:val="auto"/>
                <w:sz w:val="24"/>
                <w:szCs w:val="24"/>
                <w:lang w:val="en-US" w:eastAsia="zh-CN" w:bidi="ar"/>
              </w:rPr>
              <w:t>1</w:t>
            </w:r>
            <w:r>
              <w:rPr>
                <w:rFonts w:hint="eastAsia" w:ascii="仿宋" w:hAnsi="仿宋" w:eastAsia="仿宋" w:cs="仿宋"/>
                <w:color w:val="auto"/>
                <w:sz w:val="24"/>
                <w:szCs w:val="24"/>
                <w:lang w:bidi="ar"/>
              </w:rPr>
              <w:t>分。</w:t>
            </w:r>
          </w:p>
          <w:p>
            <w:pPr>
              <w:widowControl/>
              <w:jc w:val="left"/>
              <w:textAlignment w:val="center"/>
              <w:rPr>
                <w:rFonts w:hint="eastAsia"/>
                <w:kern w:val="2"/>
                <w:sz w:val="21"/>
                <w:szCs w:val="24"/>
                <w:lang w:val="en-US" w:eastAsia="zh-CN" w:bidi="ar-SA"/>
              </w:rPr>
            </w:pPr>
            <w:r>
              <w:rPr>
                <w:rFonts w:hint="eastAsia" w:ascii="仿宋" w:hAnsi="仿宋" w:eastAsia="仿宋" w:cs="仿宋"/>
                <w:color w:val="auto"/>
                <w:sz w:val="24"/>
                <w:szCs w:val="24"/>
                <w:lang w:bidi="ar"/>
              </w:rPr>
              <w:t>3、应急服务不在2小时内响应的，未做出相应承诺的不得分。</w:t>
            </w:r>
          </w:p>
        </w:tc>
      </w:tr>
    </w:tbl>
    <w:p>
      <w:pPr>
        <w:pStyle w:val="41"/>
        <w:ind w:firstLine="210"/>
        <w:rPr>
          <w:rFonts w:hint="eastAsia"/>
        </w:rPr>
      </w:pPr>
    </w:p>
    <w:bookmarkEnd w:id="6"/>
    <w:bookmarkEnd w:id="7"/>
    <w:p>
      <w:pPr>
        <w:pStyle w:val="187"/>
        <w:shd w:val="clear" w:color="auto" w:fill="FFFFFF"/>
        <w:spacing w:line="360" w:lineRule="auto"/>
        <w:jc w:val="both"/>
        <w:textAlignment w:val="baseline"/>
        <w:rPr>
          <w:rFonts w:hint="eastAsia" w:ascii="仿宋" w:hAnsi="仿宋" w:eastAsia="仿宋" w:cs="仿宋"/>
          <w:color w:val="000000"/>
          <w:sz w:val="24"/>
          <w:szCs w:val="24"/>
        </w:rPr>
      </w:pPr>
      <w:r>
        <w:rPr>
          <w:rFonts w:hint="eastAsia" w:ascii="仿宋" w:hAnsi="仿宋" w:eastAsia="仿宋" w:cs="仿宋"/>
          <w:b/>
          <w:bCs/>
          <w:color w:val="000000"/>
          <w:sz w:val="24"/>
          <w:szCs w:val="24"/>
        </w:rPr>
        <w:t>特别提醒：因落实政府采购政策进行价格调整的，以调整后的价格计算基准价和报价。评标委员会</w:t>
      </w:r>
      <w:r>
        <w:rPr>
          <w:rFonts w:hint="eastAsia" w:ascii="仿宋" w:hAnsi="仿宋" w:eastAsia="仿宋" w:cs="仿宋"/>
          <w:color w:val="000000"/>
          <w:sz w:val="24"/>
          <w:szCs w:val="24"/>
        </w:rPr>
        <w:t>将根据政府采购政策支持对最后报价进行价格折扣，折扣的价格将作为评审价格。</w:t>
      </w:r>
      <w:r>
        <w:rPr>
          <w:rFonts w:hint="eastAsia" w:ascii="仿宋" w:hAnsi="仿宋" w:eastAsia="仿宋" w:cs="仿宋"/>
          <w:color w:val="000000"/>
          <w:sz w:val="24"/>
          <w:szCs w:val="24"/>
          <w:lang w:val="zh-CN"/>
        </w:rPr>
        <w:t>制造商、代理商的评审</w:t>
      </w:r>
      <w:r>
        <w:rPr>
          <w:rFonts w:hint="eastAsia" w:ascii="仿宋" w:hAnsi="仿宋" w:eastAsia="仿宋" w:cs="仿宋"/>
          <w:color w:val="000000"/>
          <w:sz w:val="24"/>
          <w:szCs w:val="24"/>
        </w:rPr>
        <w:t>价格由制造商、代理商代表签字确认。</w:t>
      </w:r>
    </w:p>
    <w:p>
      <w:pPr>
        <w:tabs>
          <w:tab w:val="left" w:pos="0"/>
        </w:tabs>
        <w:snapToGrid w:val="0"/>
        <w:spacing w:line="360" w:lineRule="auto"/>
        <w:jc w:val="center"/>
        <w:textAlignment w:val="baseline"/>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价格折扣比例及方法</w:t>
      </w:r>
    </w:p>
    <w:tbl>
      <w:tblPr>
        <w:tblStyle w:val="4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5000" w:type="pct"/>
            <w:tcBorders>
              <w:top w:val="single" w:color="auto" w:sz="4" w:space="0"/>
              <w:bottom w:val="single" w:color="auto" w:sz="4" w:space="0"/>
            </w:tcBorders>
            <w:noWrap w:val="0"/>
            <w:vAlign w:val="center"/>
          </w:tcPr>
          <w:p>
            <w:pPr>
              <w:tabs>
                <w:tab w:val="left" w:pos="0"/>
              </w:tabs>
              <w:snapToGrid w:val="0"/>
              <w:spacing w:line="360" w:lineRule="auto"/>
              <w:textAlignment w:val="baseline"/>
              <w:rPr>
                <w:rFonts w:hint="eastAsia" w:ascii="仿宋" w:hAnsi="仿宋" w:eastAsia="仿宋" w:cs="仿宋"/>
                <w:color w:val="000000"/>
                <w:sz w:val="24"/>
              </w:rPr>
            </w:pPr>
            <w:r>
              <w:rPr>
                <w:rFonts w:hint="eastAsia" w:ascii="仿宋" w:hAnsi="仿宋" w:eastAsia="仿宋" w:cs="仿宋"/>
                <w:b/>
                <w:bCs/>
                <w:color w:val="000000"/>
                <w:kern w:val="0"/>
                <w:sz w:val="28"/>
                <w:szCs w:val="28"/>
              </w:rPr>
              <w:t>一、中小企业价格折扣比例及方法</w:t>
            </w:r>
          </w:p>
          <w:p>
            <w:pPr>
              <w:snapToGrid w:val="0"/>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根据中华人民共和国财政部、中华人民共和国工业和信息化部《政府采购促进中小企业发展管理办法》（财库[2020]46号）文件的规定，</w:t>
            </w:r>
            <w:r>
              <w:rPr>
                <w:rFonts w:hint="eastAsia" w:ascii="仿宋" w:hAnsi="仿宋" w:eastAsia="仿宋" w:cs="仿宋"/>
                <w:bCs/>
                <w:color w:val="000000"/>
                <w:sz w:val="24"/>
              </w:rPr>
              <w:t>属于中小企业</w:t>
            </w:r>
            <w:r>
              <w:rPr>
                <w:rFonts w:hint="eastAsia" w:ascii="仿宋" w:hAnsi="仿宋" w:eastAsia="仿宋" w:cs="仿宋"/>
                <w:color w:val="000000"/>
                <w:sz w:val="24"/>
              </w:rPr>
              <w:t>评审优惠内容及幅度如下：</w:t>
            </w:r>
          </w:p>
          <w:p>
            <w:pPr>
              <w:snapToGrid w:val="0"/>
              <w:spacing w:line="360" w:lineRule="auto"/>
              <w:textAlignment w:val="baseline"/>
              <w:rPr>
                <w:rFonts w:hint="eastAsia" w:ascii="仿宋" w:hAnsi="仿宋" w:eastAsia="仿宋" w:cs="仿宋"/>
                <w:color w:val="000000"/>
                <w:sz w:val="24"/>
              </w:rPr>
            </w:pPr>
            <w:r>
              <w:rPr>
                <w:rFonts w:hint="eastAsia" w:ascii="仿宋" w:hAnsi="仿宋" w:eastAsia="仿宋" w:cs="仿宋"/>
                <w:b/>
                <w:color w:val="000000"/>
                <w:sz w:val="24"/>
              </w:rPr>
              <w:t>（一）</w:t>
            </w:r>
            <w:r>
              <w:rPr>
                <w:rFonts w:hint="eastAsia" w:ascii="仿宋" w:hAnsi="仿宋" w:eastAsia="仿宋" w:cs="仿宋"/>
                <w:color w:val="000000"/>
                <w:sz w:val="24"/>
              </w:rPr>
              <w:t>中小企业（含中型、小型、微型企业）应当</w:t>
            </w:r>
            <w:r>
              <w:rPr>
                <w:rFonts w:hint="eastAsia" w:ascii="仿宋" w:hAnsi="仿宋" w:eastAsia="仿宋" w:cs="仿宋"/>
                <w:b/>
                <w:color w:val="000000"/>
                <w:sz w:val="24"/>
              </w:rPr>
              <w:t>同时符合</w:t>
            </w:r>
            <w:r>
              <w:rPr>
                <w:rFonts w:hint="eastAsia" w:ascii="仿宋" w:hAnsi="仿宋" w:eastAsia="仿宋" w:cs="仿宋"/>
                <w:color w:val="000000"/>
                <w:sz w:val="24"/>
              </w:rPr>
              <w:t>以下条件：</w:t>
            </w:r>
          </w:p>
          <w:p>
            <w:pPr>
              <w:pStyle w:val="188"/>
              <w:spacing w:line="360" w:lineRule="auto"/>
              <w:ind w:firstLine="240" w:firstLineChars="100"/>
              <w:jc w:val="left"/>
              <w:textAlignment w:val="baseline"/>
              <w:rPr>
                <w:rFonts w:hint="eastAsia" w:ascii="仿宋" w:hAnsi="仿宋" w:eastAsia="仿宋" w:cs="仿宋"/>
                <w:color w:val="000000"/>
                <w:sz w:val="24"/>
              </w:rPr>
            </w:pPr>
            <w:r>
              <w:rPr>
                <w:rFonts w:hint="eastAsia" w:ascii="仿宋" w:hAnsi="仿宋" w:eastAsia="仿宋" w:cs="仿宋"/>
                <w:color w:val="000000"/>
                <w:sz w:val="24"/>
              </w:rPr>
              <w:t>①符合中小企业划分标准（按《关于印发中小企业划型标准规定的通知》（工信部联企业〔2011〕300号）执行）；</w:t>
            </w:r>
          </w:p>
          <w:p>
            <w:pPr>
              <w:pStyle w:val="188"/>
              <w:spacing w:line="360" w:lineRule="auto"/>
              <w:ind w:firstLine="240" w:firstLineChars="100"/>
              <w:jc w:val="left"/>
              <w:textAlignment w:val="baseline"/>
              <w:rPr>
                <w:rFonts w:hint="eastAsia" w:ascii="仿宋" w:hAnsi="仿宋" w:eastAsia="仿宋" w:cs="仿宋"/>
                <w:color w:val="000000"/>
                <w:sz w:val="24"/>
              </w:rPr>
            </w:pPr>
            <w:r>
              <w:rPr>
                <w:rFonts w:hint="eastAsia" w:ascii="仿宋" w:hAnsi="仿宋" w:eastAsia="仿宋" w:cs="仿宋"/>
                <w:color w:val="000000"/>
                <w:sz w:val="24"/>
              </w:rPr>
              <w:t>②提供本企业制造的货物、承担的项目或者服务，或者提供其他中小企业制造的货物。本项所称货物不包括使用大型企业注册商标的货物；</w:t>
            </w:r>
          </w:p>
          <w:p>
            <w:pPr>
              <w:pStyle w:val="188"/>
              <w:spacing w:line="360" w:lineRule="auto"/>
              <w:ind w:firstLine="240" w:firstLineChars="100"/>
              <w:jc w:val="left"/>
              <w:textAlignment w:val="baseline"/>
              <w:rPr>
                <w:rFonts w:hint="eastAsia" w:ascii="仿宋" w:hAnsi="仿宋" w:eastAsia="仿宋" w:cs="仿宋"/>
                <w:color w:val="000000"/>
                <w:sz w:val="24"/>
              </w:rPr>
            </w:pPr>
            <w:r>
              <w:rPr>
                <w:rFonts w:hint="eastAsia" w:ascii="仿宋" w:hAnsi="仿宋" w:eastAsia="仿宋" w:cs="仿宋"/>
                <w:color w:val="000000"/>
                <w:sz w:val="24"/>
              </w:rPr>
              <w:t>③小型、微型企业提供中型企业制造的货物的，视同为中型企业。</w:t>
            </w:r>
          </w:p>
          <w:p>
            <w:pPr>
              <w:numPr>
                <w:ilvl w:val="0"/>
                <w:numId w:val="9"/>
              </w:numPr>
              <w:snapToGrid w:val="0"/>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价格扣除办法：</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本项目面向中小企业对符合规定的小微企业报价给与6%的扣除，用扣除后的价格参加评审。</w:t>
            </w:r>
          </w:p>
          <w:p>
            <w:pPr>
              <w:pStyle w:val="90"/>
              <w:spacing w:line="360" w:lineRule="auto"/>
              <w:textAlignment w:val="baseline"/>
              <w:rPr>
                <w:rFonts w:eastAsia="宋体"/>
                <w:color w:val="000000"/>
              </w:rPr>
            </w:pPr>
            <w:r>
              <w:rPr>
                <w:rFonts w:hint="eastAsia" w:ascii="仿宋" w:hAnsi="仿宋" w:eastAsia="仿宋" w:cs="仿宋"/>
                <w:color w:val="000000"/>
                <w:sz w:val="24"/>
                <w:szCs w:val="24"/>
              </w:rPr>
              <w:t xml:space="preserve">监狱企业、残疾人福利性单位提供的产品视同小型、微型企业。 </w:t>
            </w:r>
          </w:p>
          <w:p>
            <w:pPr>
              <w:snapToGrid w:val="0"/>
              <w:spacing w:line="360" w:lineRule="auto"/>
              <w:jc w:val="left"/>
              <w:textAlignment w:val="baseline"/>
              <w:rPr>
                <w:rFonts w:hint="eastAsia" w:ascii="仿宋" w:hAnsi="仿宋" w:eastAsia="仿宋" w:cs="仿宋"/>
                <w:color w:val="000000"/>
                <w:sz w:val="24"/>
              </w:rPr>
            </w:pPr>
            <w:r>
              <w:rPr>
                <w:rFonts w:hint="eastAsia" w:ascii="仿宋" w:hAnsi="仿宋" w:eastAsia="仿宋" w:cs="仿宋"/>
                <w:b/>
                <w:color w:val="000000"/>
                <w:sz w:val="24"/>
              </w:rPr>
              <w:t>（三）</w:t>
            </w:r>
            <w:r>
              <w:rPr>
                <w:rFonts w:hint="eastAsia" w:ascii="仿宋" w:hAnsi="仿宋" w:eastAsia="仿宋" w:cs="仿宋"/>
                <w:color w:val="000000"/>
                <w:sz w:val="24"/>
              </w:rPr>
              <w:t>小型和微型企业适用价格扣除办法时应提供的相关资料：</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制造商、代理商《中小企业声明函》或残疾人福利性单位声明函、监狱企业声明函。</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制造商、代理商应同时提供以上材料，否则将不给予价格扣除。若所供应产品为进口产品的，不适用《政府采购促进中小企业发展暂行办法》。残疾人福利性单位、监狱企业仅需提供声明函，不须要提供其他证明材料。</w:t>
            </w:r>
          </w:p>
          <w:p>
            <w:pPr>
              <w:pStyle w:val="188"/>
              <w:spacing w:line="360" w:lineRule="auto"/>
              <w:jc w:val="left"/>
              <w:textAlignment w:val="baseline"/>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二、节能、环境标志产品评审优惠内容及加分幅度：</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二）“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188"/>
              <w:spacing w:line="360" w:lineRule="auto"/>
              <w:jc w:val="left"/>
              <w:textAlignment w:val="baseline"/>
              <w:rPr>
                <w:rFonts w:hint="eastAsia" w:ascii="仿宋" w:hAnsi="仿宋" w:eastAsia="仿宋" w:cs="仿宋"/>
                <w:b/>
                <w:bCs/>
                <w:color w:val="000000"/>
                <w:sz w:val="24"/>
              </w:rPr>
            </w:pPr>
            <w:r>
              <w:rPr>
                <w:rFonts w:hint="eastAsia" w:ascii="仿宋" w:hAnsi="仿宋" w:eastAsia="仿宋" w:cs="仿宋"/>
                <w:b/>
                <w:bCs/>
                <w:color w:val="000000"/>
                <w:sz w:val="24"/>
              </w:rPr>
              <w:t>价格项加分：</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1、（节能清单部分产品的价格/投标报价）×3%×价格项满分值</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2、（环境清单部分产品的价格/投标报价）×3%×价格项满分值</w:t>
            </w:r>
          </w:p>
          <w:p>
            <w:pPr>
              <w:pStyle w:val="188"/>
              <w:spacing w:line="360" w:lineRule="auto"/>
              <w:jc w:val="left"/>
              <w:textAlignment w:val="baseline"/>
              <w:rPr>
                <w:rFonts w:hint="eastAsia" w:ascii="仿宋" w:hAnsi="仿宋" w:eastAsia="仿宋" w:cs="仿宋"/>
                <w:b/>
                <w:bCs/>
                <w:color w:val="000000"/>
                <w:sz w:val="24"/>
              </w:rPr>
            </w:pPr>
            <w:r>
              <w:rPr>
                <w:rFonts w:hint="eastAsia" w:ascii="仿宋" w:hAnsi="仿宋" w:eastAsia="仿宋" w:cs="仿宋"/>
                <w:b/>
                <w:bCs/>
                <w:color w:val="000000"/>
                <w:sz w:val="24"/>
              </w:rPr>
              <w:t>技术项加分：</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1、（节能清单部分产品的价格/投标报价）×3%×技术项满分值</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2、（环境清单部分产品的价格/投标报价）×3%×技术项满分值</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b/>
                <w:bCs/>
                <w:color w:val="000000"/>
                <w:sz w:val="24"/>
              </w:rPr>
              <w:t>注：</w:t>
            </w:r>
            <w:r>
              <w:rPr>
                <w:rFonts w:hint="eastAsia" w:ascii="仿宋" w:hAnsi="仿宋" w:eastAsia="仿宋" w:cs="仿宋"/>
                <w:color w:val="000000"/>
                <w:sz w:val="24"/>
              </w:rPr>
              <w:t>1、投标人须提供最新期《节能产品政府采购清单》关于投标产品当前页的打印件；</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2、投标人提供最新期《环境标志产品政府采购清单》关于投标产品当前页的打印件；</w:t>
            </w:r>
          </w:p>
          <w:p>
            <w:pPr>
              <w:pStyle w:val="188"/>
              <w:spacing w:line="360" w:lineRule="auto"/>
              <w:jc w:val="left"/>
              <w:textAlignment w:val="baseline"/>
              <w:rPr>
                <w:rFonts w:hint="eastAsia" w:ascii="仿宋" w:hAnsi="仿宋" w:eastAsia="仿宋" w:cs="仿宋"/>
                <w:color w:val="000000"/>
                <w:sz w:val="24"/>
              </w:rPr>
            </w:pPr>
            <w:r>
              <w:rPr>
                <w:rFonts w:hint="eastAsia" w:ascii="仿宋" w:hAnsi="仿宋" w:eastAsia="仿宋" w:cs="仿宋"/>
                <w:color w:val="000000"/>
                <w:sz w:val="24"/>
              </w:rPr>
              <w:t>最低报价不作为评标的唯一依据。采购人不承诺将合同授予报价最低的投标人。</w:t>
            </w:r>
          </w:p>
        </w:tc>
      </w:tr>
    </w:tbl>
    <w:p>
      <w:pPr>
        <w:spacing w:line="360" w:lineRule="auto"/>
        <w:ind w:firstLine="560" w:firstLineChars="200"/>
        <w:rPr>
          <w:rFonts w:hint="eastAsia" w:ascii="仿宋" w:hAnsi="仿宋" w:eastAsia="仿宋" w:cs="仿宋"/>
          <w:bCs/>
          <w:color w:val="000000"/>
          <w:sz w:val="28"/>
          <w:szCs w:val="28"/>
        </w:rPr>
      </w:pPr>
    </w:p>
    <w:p>
      <w:pPr>
        <w:rPr>
          <w:rFonts w:ascii="宋体"/>
          <w:bCs/>
        </w:rPr>
      </w:pPr>
      <w:bookmarkStart w:id="8" w:name="_Toc315955672"/>
      <w:bookmarkStart w:id="9" w:name="_Toc315982467"/>
      <w:r>
        <w:rPr>
          <w:rFonts w:hint="eastAsia" w:ascii="仿宋" w:hAnsi="仿宋" w:eastAsia="仿宋" w:cs="仿宋"/>
          <w:bCs/>
          <w:color w:val="000000"/>
          <w:sz w:val="28"/>
          <w:szCs w:val="28"/>
        </w:rPr>
        <w:br w:type="page"/>
      </w:r>
      <w:bookmarkEnd w:id="8"/>
      <w:bookmarkEnd w:id="9"/>
    </w:p>
    <w:p>
      <w:pPr>
        <w:spacing w:line="360" w:lineRule="auto"/>
        <w:ind w:firstLine="562" w:firstLineChars="200"/>
        <w:rPr>
          <w:rFonts w:hint="eastAsia"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23  投标文件的初审</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23.3评标人员可以对投标文件中不构成重大或实质性偏差的、微小的、非正规的、前后表述不一致或不规则（规范）的地方进行质询、澄清。</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23.4没有实质上响应招标文件要求的投标书将作为废标，投标人不得通过修正或撤销不符合要求的偏离或保留从而使其投标文件成为实质上响应的投标。</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23.5投标文件中如果有计算上或累加上的算术错误，将按以下方法进行修正，投标人应接受并确认这种修正，否则其投标将被拒绝：</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（1）如果单价与数量的乘积和总价不一致时，以单价为准，并修正总价；</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（2）如果用数字表示的数值和用文字表示的数值不一致，应以文字表示的数值为准。</w:t>
      </w:r>
    </w:p>
    <w:p>
      <w:pPr>
        <w:spacing w:line="360" w:lineRule="auto"/>
        <w:ind w:firstLine="562" w:firstLineChars="200"/>
        <w:rPr>
          <w:rFonts w:hint="eastAsia"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24  有下列情形之一的，其投标作为废标处理 </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24.1应有法定代表人或授权代表签署意见的文件、证明等，未经本人签署的；应加盖公章的证照、函件，而未加盖公章的；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24.2不具备招标文件中规定资格要求的；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24.3投标文件的内容不详实或有虚假的； </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24.4招标文件中明确要求的事项，而投标文件中未做出响应或做出错误响应的；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24.5投标人的组织实施方案、技术支持和服务承诺与招标文件要求有较大偏差的；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24.6所供货物功能、技术性能与招标文件所要求的有较大偏差的；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24.7超出招标文件要求的交货(完工)时间的；</w:t>
      </w:r>
    </w:p>
    <w:p>
      <w:pPr>
        <w:spacing w:line="360" w:lineRule="auto"/>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24.8投标单位提供的设备没有保修期的；</w:t>
      </w:r>
    </w:p>
    <w:p>
      <w:pPr>
        <w:spacing w:line="360" w:lineRule="auto"/>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24.9投标文件前后表述相互矛盾的；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24.10投标文件中附有招标人不能接受条件的；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24.11投标价格超过预算采购单位无力支付的； </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24.12投标人有不良记录的；</w:t>
      </w:r>
    </w:p>
    <w:p>
      <w:pPr>
        <w:pStyle w:val="41"/>
        <w:ind w:firstLine="560" w:firstLineChars="200"/>
        <w:rPr>
          <w:rFonts w:eastAsia="仿宋"/>
        </w:rPr>
      </w:pPr>
      <w:r>
        <w:rPr>
          <w:rFonts w:hint="eastAsia" w:ascii="仿宋" w:hAnsi="仿宋" w:eastAsia="仿宋" w:cs="仿宋"/>
          <w:color w:val="000000"/>
          <w:sz w:val="28"/>
          <w:szCs w:val="28"/>
          <w:shd w:val="clear" w:color="auto" w:fill="FFFFFF"/>
        </w:rPr>
        <w:t>24.13为防止恶意竞争，投标报价须满足不低于有效投标报价平均价格的80%，否则视为无效投标；</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24.14不符合法律、法规和招标文件中规定的其他实质性要求的。</w:t>
      </w: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r>
        <w:br w:type="page"/>
      </w:r>
    </w:p>
    <w:tbl>
      <w:tblPr>
        <w:tblStyle w:val="43"/>
        <w:tblW w:w="9321" w:type="dxa"/>
        <w:tblInd w:w="0" w:type="dxa"/>
        <w:tblLayout w:type="fixed"/>
        <w:tblCellMar>
          <w:top w:w="0" w:type="dxa"/>
          <w:left w:w="0" w:type="dxa"/>
          <w:bottom w:w="0" w:type="dxa"/>
          <w:right w:w="0" w:type="dxa"/>
        </w:tblCellMar>
      </w:tblPr>
      <w:tblGrid>
        <w:gridCol w:w="590"/>
        <w:gridCol w:w="5013"/>
        <w:gridCol w:w="1291"/>
        <w:gridCol w:w="1241"/>
        <w:gridCol w:w="1186"/>
      </w:tblGrid>
      <w:tr>
        <w:tblPrEx>
          <w:tblCellMar>
            <w:top w:w="0" w:type="dxa"/>
            <w:left w:w="0" w:type="dxa"/>
            <w:bottom w:w="0" w:type="dxa"/>
            <w:right w:w="0" w:type="dxa"/>
          </w:tblCellMar>
        </w:tblPrEx>
        <w:trPr>
          <w:trHeight w:val="435" w:hRule="atLeast"/>
        </w:trPr>
        <w:tc>
          <w:tcPr>
            <w:tcW w:w="9321" w:type="dxa"/>
            <w:gridSpan w:val="5"/>
            <w:tcBorders>
              <w:top w:val="nil"/>
              <w:left w:val="nil"/>
              <w:bottom w:val="nil"/>
              <w:right w:val="nil"/>
            </w:tcBorders>
            <w:noWrap/>
            <w:tcMar>
              <w:top w:w="15" w:type="dxa"/>
              <w:left w:w="15" w:type="dxa"/>
              <w:right w:w="15" w:type="dxa"/>
            </w:tcMar>
            <w:vAlign w:val="center"/>
          </w:tcPr>
          <w:p>
            <w:pPr>
              <w:widowControl/>
              <w:jc w:val="center"/>
              <w:textAlignment w:val="center"/>
              <w:rPr>
                <w:rFonts w:ascii="黑体" w:hAnsi="宋体" w:eastAsia="黑体" w:cs="黑体"/>
                <w:color w:val="000000"/>
                <w:sz w:val="44"/>
                <w:szCs w:val="44"/>
              </w:rPr>
            </w:pPr>
            <w:r>
              <w:rPr>
                <w:rFonts w:hint="eastAsia" w:ascii="仿宋" w:hAnsi="仿宋" w:eastAsia="仿宋" w:cs="仿宋"/>
                <w:b/>
                <w:bCs/>
                <w:color w:val="000000"/>
                <w:kern w:val="0"/>
                <w:sz w:val="44"/>
                <w:szCs w:val="44"/>
                <w:lang w:bidi="ar"/>
              </w:rPr>
              <w:t>投标文件符合性评审表</w:t>
            </w:r>
          </w:p>
        </w:tc>
      </w:tr>
      <w:tr>
        <w:tblPrEx>
          <w:tblCellMar>
            <w:top w:w="0" w:type="dxa"/>
            <w:left w:w="0" w:type="dxa"/>
            <w:bottom w:w="0" w:type="dxa"/>
            <w:right w:w="0" w:type="dxa"/>
          </w:tblCellMar>
        </w:tblPrEx>
        <w:trPr>
          <w:trHeight w:val="645" w:hRule="atLeast"/>
        </w:trPr>
        <w:tc>
          <w:tcPr>
            <w:tcW w:w="9321" w:type="dxa"/>
            <w:gridSpan w:val="5"/>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32"/>
                <w:szCs w:val="32"/>
              </w:rPr>
            </w:pPr>
            <w:r>
              <w:rPr>
                <w:rFonts w:hint="eastAsia" w:ascii="仿宋" w:hAnsi="仿宋" w:eastAsia="仿宋" w:cs="仿宋"/>
                <w:color w:val="000000"/>
                <w:kern w:val="0"/>
                <w:sz w:val="32"/>
                <w:szCs w:val="32"/>
                <w:lang w:bidi="ar"/>
              </w:rPr>
              <w:t>产教融合实训中心建设项目</w:t>
            </w:r>
          </w:p>
        </w:tc>
      </w:tr>
      <w:tr>
        <w:tblPrEx>
          <w:tblCellMar>
            <w:top w:w="0" w:type="dxa"/>
            <w:left w:w="0" w:type="dxa"/>
            <w:bottom w:w="0" w:type="dxa"/>
            <w:right w:w="0" w:type="dxa"/>
          </w:tblCellMar>
        </w:tblPrEx>
        <w:trPr>
          <w:trHeight w:val="51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5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投标文件符合性审查内容</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105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应有法人代表或授权代表签署意见的文件、证明等，未经本人签署的；应加盖公章的证照、函件，而未加盖公章的；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42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5013" w:type="dxa"/>
            <w:tcBorders>
              <w:top w:val="nil"/>
              <w:left w:val="nil"/>
              <w:bottom w:val="nil"/>
              <w:right w:val="nil"/>
            </w:tcBorders>
            <w:noWrap/>
            <w:tcMar>
              <w:top w:w="15" w:type="dxa"/>
              <w:left w:w="15" w:type="dxa"/>
              <w:right w:w="15" w:type="dxa"/>
            </w:tcMar>
            <w:vAlign w:val="center"/>
          </w:tcPr>
          <w:p>
            <w:pPr>
              <w:widowControl/>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不具备招标文件中规定资格要求的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41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投标文件的内容不详实或有虚假的</w:t>
            </w:r>
          </w:p>
        </w:tc>
        <w:tc>
          <w:tcPr>
            <w:tcW w:w="1291"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73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501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招标文件中明确要求的事项，而投标文件中未做出响应或做出错误响应的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74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投标人的组织实施方案、技术支持和服务承诺与招标文件要求有较大偏差的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所供货物功能、技术性能与招标文件所要求的有较大偏差的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50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超出招标文件要求的交货(完工)时间的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48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投标单位提供的设备没有保修期的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44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9</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投标文件前后表述相互矛盾的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60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投标文件中附有招标人不能接受条件的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54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11</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投标价格超过预算采购单位无力支付的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53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12</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投标人有不良记录的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100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13</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shd w:val="clear" w:color="auto" w:fill="FFFFFF"/>
              </w:rPr>
              <w:t>为防止恶意竞争，投标报价须满足不低于有效投标报价平均价格的80%，否则视为无效投标</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86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14</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不符合法律、法规和招标文件中规定的其他实质性要求的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62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评审结论</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bl>
    <w:p>
      <w:pPr>
        <w:pStyle w:val="42"/>
        <w:ind w:firstLine="560"/>
        <w:rPr>
          <w:rFonts w:hint="eastAsia" w:ascii="仿宋_GB2312" w:hAnsi="仿宋" w:eastAsia="仿宋_GB2312"/>
          <w:color w:val="000000"/>
          <w:sz w:val="28"/>
          <w:szCs w:val="28"/>
          <w:shd w:val="clear" w:color="auto" w:fill="FFFFFF"/>
        </w:rPr>
      </w:pPr>
    </w:p>
    <w:p>
      <w:pPr>
        <w:spacing w:line="360" w:lineRule="auto"/>
        <w:ind w:firstLine="562" w:firstLineChars="200"/>
        <w:rPr>
          <w:rFonts w:hint="eastAsia"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25  投标文件的评价与比较</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25.1评标委员会只对实质上响应招标文件要求的投标文件进行综合评价和比较。</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25.2评标时除价格因素外应考虑下列因素：</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（1）投标设备的整体技术水平、性能、质量和适应性；</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（2）供货能力和交货期时间；</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（3）投标人的技术支持能力和各种服务（含售后服务）能力;</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（4）对招标文件中付款条件的响应性；</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（5）投标人的业绩情况；</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（6）投标人的综合实力和信誉;</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（7）投标人是否能保质、保量、准确、全面完成本项目。</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25.3　评标委员会根据招标文件中规定的评标方法进行评标，并向招标人提交书面评标报告和推荐中标人。</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25.4当出现投标价格相同分值时，按以下顺序排列：</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（1）选定技术质量最好的；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（2）如技术质量也相等时，选定技术支持和服务承诺最好的；</w:t>
      </w:r>
    </w:p>
    <w:p>
      <w:pPr>
        <w:spacing w:line="360" w:lineRule="auto"/>
        <w:ind w:firstLine="562" w:firstLineChars="200"/>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26  评标报告</w:t>
      </w:r>
    </w:p>
    <w:p>
      <w:pPr>
        <w:spacing w:line="360" w:lineRule="auto"/>
        <w:ind w:firstLine="560" w:firstLineChars="200"/>
        <w:rPr>
          <w:rFonts w:hint="eastAsia"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26.1评标委员会应向招标人提交书面评标报告。评标报告应全面反映评标过程和中标物品、中标价格、中标人或中标候选人的情况。</w:t>
      </w:r>
    </w:p>
    <w:p>
      <w:pPr>
        <w:spacing w:line="360" w:lineRule="auto"/>
        <w:ind w:firstLine="562" w:firstLineChars="200"/>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27  评标的有关要求</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bCs/>
          <w:color w:val="000000"/>
          <w:sz w:val="28"/>
          <w:szCs w:val="28"/>
          <w:shd w:val="clear" w:color="auto" w:fill="FFFFFF"/>
        </w:rPr>
        <w:t>27.1评标过程严格保密。</w:t>
      </w:r>
      <w:r>
        <w:rPr>
          <w:rFonts w:hint="eastAsia" w:ascii="仿宋" w:hAnsi="仿宋" w:eastAsia="仿宋" w:cs="仿宋"/>
          <w:bCs/>
          <w:sz w:val="28"/>
        </w:rPr>
        <w:t>评标委员会</w:t>
      </w:r>
      <w:r>
        <w:rPr>
          <w:rFonts w:hint="eastAsia" w:ascii="仿宋" w:hAnsi="仿宋" w:eastAsia="仿宋" w:cs="仿宋"/>
          <w:sz w:val="28"/>
        </w:rPr>
        <w:t>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27.2投标人在评标过程中所进行的试图影响评标结果的一切不符合法律或招标规定的活动，都可能导致其投标被拒绝。</w:t>
      </w:r>
    </w:p>
    <w:p>
      <w:pPr>
        <w:spacing w:line="360" w:lineRule="auto"/>
        <w:ind w:firstLine="560" w:firstLineChars="200"/>
        <w:rPr>
          <w:rFonts w:hint="eastAsia" w:ascii="仿宋" w:hAnsi="仿宋" w:eastAsia="仿宋" w:cs="仿宋"/>
          <w:sz w:val="28"/>
          <w:szCs w:val="28"/>
          <w:shd w:val="clear" w:color="auto" w:fill="FFFFFF"/>
        </w:rPr>
      </w:pPr>
      <w:r>
        <w:rPr>
          <w:rFonts w:hint="eastAsia" w:ascii="仿宋" w:hAnsi="仿宋" w:eastAsia="仿宋" w:cs="仿宋"/>
          <w:color w:val="000000"/>
          <w:sz w:val="28"/>
          <w:szCs w:val="28"/>
          <w:shd w:val="clear" w:color="auto" w:fill="FFFFFF"/>
        </w:rPr>
        <w:t>27.3</w:t>
      </w:r>
      <w:r>
        <w:rPr>
          <w:rFonts w:hint="eastAsia" w:ascii="仿宋" w:hAnsi="仿宋" w:eastAsia="仿宋" w:cs="仿宋"/>
          <w:sz w:val="28"/>
        </w:rPr>
        <w:t>评委会向招标负责单位报告评标情况及结果。根据有关规定，对未中标单位不作任何解释。为此，评委会对未中标单位要求说明理由均不予受理。</w:t>
      </w:r>
    </w:p>
    <w:p>
      <w:pPr>
        <w:spacing w:line="360" w:lineRule="auto"/>
        <w:rPr>
          <w:rFonts w:hint="eastAsia" w:ascii="仿宋_GB2312" w:hAnsi="仿宋" w:eastAsia="仿宋_GB2312"/>
          <w:b/>
          <w:color w:val="000000"/>
          <w:sz w:val="28"/>
          <w:szCs w:val="28"/>
        </w:rPr>
      </w:pP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(七)  授予合同</w:t>
      </w:r>
    </w:p>
    <w:p>
      <w:pPr>
        <w:spacing w:line="360" w:lineRule="auto"/>
        <w:ind w:firstLine="200"/>
        <w:rPr>
          <w:rFonts w:hint="eastAsia" w:ascii="仿宋_GB2312" w:hAnsi="仿宋" w:eastAsia="仿宋_GB2312"/>
          <w:b/>
          <w:color w:val="000000"/>
          <w:sz w:val="28"/>
          <w:szCs w:val="28"/>
        </w:rPr>
      </w:pP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28  中标通知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28.1</w:t>
      </w:r>
      <w:r>
        <w:rPr>
          <w:rFonts w:hint="eastAsia" w:ascii="仿宋" w:hAnsi="仿宋" w:eastAsia="仿宋" w:cs="仿宋"/>
          <w:sz w:val="28"/>
          <w:szCs w:val="28"/>
        </w:rPr>
        <w:t xml:space="preserve"> 评标结束后，评标委员会的组成人员将当众宣布评标总得分及排名次序及中标结果，各投标人应按时参加，未参加者责任自责。</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28.2 招标人在评标结束后3个工作日内，在阿克苏政府网、新疆政府采购网上公布中标人名单，不解释落标原因。</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29  签订合同</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30.1中标人应按规定时间、地点签订合同。签订合同携带物品，详见《投标人须知前附表》。</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30.2如中标人未按规定时间、地点签订合同，则按违约处理。</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rPr>
        <w:t>30.3</w:t>
      </w:r>
      <w:r>
        <w:rPr>
          <w:rFonts w:hint="eastAsia" w:ascii="仿宋" w:hAnsi="仿宋" w:eastAsia="仿宋" w:cs="仿宋"/>
          <w:color w:val="000000"/>
          <w:sz w:val="28"/>
          <w:szCs w:val="28"/>
          <w:shd w:val="clear" w:color="auto" w:fill="FFFFFF"/>
        </w:rPr>
        <w:t>招标文件、中标人的投标文件和投标人答复澄清事项文件作为此次采购合同附件，并具有法律效力。</w:t>
      </w:r>
    </w:p>
    <w:p>
      <w:pPr>
        <w:spacing w:line="360" w:lineRule="auto"/>
        <w:ind w:firstLine="562" w:firstLineChars="200"/>
        <w:rPr>
          <w:rFonts w:hint="eastAsia" w:ascii="仿宋" w:hAnsi="仿宋" w:eastAsia="仿宋" w:cs="仿宋"/>
          <w:b/>
          <w:color w:val="000000"/>
          <w:sz w:val="28"/>
          <w:szCs w:val="28"/>
          <w:shd w:val="clear" w:color="auto" w:fill="FFFFFF"/>
        </w:rPr>
      </w:pPr>
      <w:r>
        <w:rPr>
          <w:rFonts w:hint="eastAsia" w:ascii="仿宋" w:hAnsi="仿宋" w:eastAsia="仿宋" w:cs="仿宋"/>
          <w:b/>
          <w:sz w:val="28"/>
          <w:szCs w:val="28"/>
          <w:shd w:val="clear" w:color="auto" w:fill="FFFFFF"/>
        </w:rPr>
        <w:t xml:space="preserve">30  </w:t>
      </w:r>
      <w:r>
        <w:rPr>
          <w:rFonts w:hint="eastAsia" w:ascii="仿宋" w:hAnsi="仿宋" w:eastAsia="仿宋" w:cs="仿宋"/>
          <w:b/>
          <w:color w:val="000000"/>
          <w:sz w:val="28"/>
          <w:szCs w:val="28"/>
          <w:shd w:val="clear" w:color="auto" w:fill="FFFFFF"/>
        </w:rPr>
        <w:t>对投标人不良行为的处罚</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31.1提供虚假资料谋取中标、成交的;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31.2采取不正当手段诋毁、排挤其他供应商的;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31.3与采购人、其他供应商或集中采购机构恶意串通的;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31.4向采购人、集中采购机构行贿或者提供其他不正当利益的；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31.5在招标采购过程中与采购人进行协商谈判的；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31.6拒绝有关部门监督检查或提供虚假情况的；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投标人有前五项情形之一的，中标成交无效。</w:t>
      </w:r>
    </w:p>
    <w:p>
      <w:pPr>
        <w:spacing w:line="360" w:lineRule="auto"/>
        <w:ind w:firstLine="562" w:firstLineChars="200"/>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31  诚实信用</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31.2招标人有证据表明投标人在诚信中存在严重问题时，将拒绝其投标。</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31.3凡投标人的违法违规和诚实信用缺失行为将在</w:t>
      </w:r>
      <w:r>
        <w:rPr>
          <w:rFonts w:hint="eastAsia" w:ascii="仿宋" w:hAnsi="仿宋" w:eastAsia="仿宋" w:cs="仿宋"/>
          <w:sz w:val="28"/>
          <w:szCs w:val="28"/>
        </w:rPr>
        <w:t>阿克苏政府网、新疆政府采购网</w:t>
      </w:r>
      <w:r>
        <w:rPr>
          <w:rFonts w:hint="eastAsia" w:ascii="仿宋" w:hAnsi="仿宋" w:eastAsia="仿宋" w:cs="仿宋"/>
          <w:color w:val="000000"/>
          <w:sz w:val="28"/>
          <w:szCs w:val="28"/>
          <w:shd w:val="clear" w:color="auto" w:fill="FFFFFF"/>
        </w:rPr>
        <w:t>上进行记录和曝光。</w:t>
      </w:r>
    </w:p>
    <w:p>
      <w:pPr>
        <w:spacing w:line="360" w:lineRule="auto"/>
        <w:ind w:firstLine="562" w:firstLineChars="200"/>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32关于投标人瑕疵滞后发现的处理规则</w:t>
      </w:r>
    </w:p>
    <w:p>
      <w:pPr>
        <w:pStyle w:val="137"/>
        <w:numPr>
          <w:ilvl w:val="0"/>
          <w:numId w:val="0"/>
        </w:numPr>
        <w:snapToGrid w:val="0"/>
        <w:spacing w:line="360" w:lineRule="auto"/>
        <w:ind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32.1</w:t>
      </w:r>
      <w:r>
        <w:rPr>
          <w:rFonts w:hint="eastAsia" w:ascii="仿宋" w:hAnsi="仿宋" w:eastAsia="仿宋" w:cs="仿宋"/>
          <w:color w:val="000000"/>
          <w:sz w:val="28"/>
          <w:szCs w:val="28"/>
          <w:shd w:val="clear" w:color="auto" w:fill="FFFFFF"/>
        </w:rPr>
        <w:t>招标结束后，如发现投标产品瑕疵应作废标处理的未被及时发现，由招标人向财政局提起废标处理意见。监督管理部门批准后采取相应的补救及纠正措施。</w:t>
      </w:r>
    </w:p>
    <w:p>
      <w:pPr>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33  解释权</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33.1本次招标文件的最终解释权属新疆天巨辰工程项目管理有限公司。</w:t>
      </w:r>
    </w:p>
    <w:p>
      <w:pPr>
        <w:pStyle w:val="21"/>
        <w:ind w:left="0" w:leftChars="0"/>
        <w:rPr>
          <w:rFonts w:hint="eastAsia" w:ascii="仿宋_GB2312" w:hAnsi="仿宋" w:eastAsia="仿宋_GB2312"/>
          <w:color w:val="000000"/>
          <w:szCs w:val="28"/>
        </w:rPr>
      </w:pPr>
    </w:p>
    <w:p>
      <w:pPr>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rPr>
          <w:rFonts w:hint="eastAsia" w:ascii="仿宋_GB2312" w:hAnsi="仿宋" w:eastAsia="仿宋_GB2312"/>
          <w:color w:val="000000"/>
          <w:sz w:val="28"/>
          <w:szCs w:val="28"/>
        </w:rPr>
      </w:pPr>
    </w:p>
    <w:p>
      <w:pPr>
        <w:pStyle w:val="42"/>
        <w:rPr>
          <w:rFonts w:hint="eastAsia"/>
        </w:rPr>
      </w:pPr>
      <w:r>
        <w:br w:type="page"/>
      </w:r>
    </w:p>
    <w:p>
      <w:pPr>
        <w:numPr>
          <w:ilvl w:val="0"/>
          <w:numId w:val="10"/>
        </w:numPr>
        <w:adjustRightInd w:val="0"/>
        <w:snapToGrid w:val="0"/>
        <w:spacing w:line="360" w:lineRule="auto"/>
        <w:jc w:val="center"/>
        <w:rPr>
          <w:rFonts w:hint="eastAsia" w:ascii="仿宋" w:hAnsi="仿宋" w:eastAsia="仿宋" w:cs="仿宋"/>
          <w:b/>
          <w:sz w:val="36"/>
          <w:szCs w:val="36"/>
        </w:rPr>
      </w:pPr>
      <w:bookmarkStart w:id="10" w:name="_Toc228245828"/>
      <w:r>
        <w:rPr>
          <w:rFonts w:hint="eastAsia" w:ascii="仿宋" w:hAnsi="仿宋" w:eastAsia="仿宋" w:cs="仿宋"/>
          <w:b/>
          <w:sz w:val="36"/>
          <w:szCs w:val="36"/>
        </w:rPr>
        <w:t xml:space="preserve"> 采购需求</w:t>
      </w:r>
    </w:p>
    <w:tbl>
      <w:tblPr>
        <w:tblStyle w:val="43"/>
        <w:tblW w:w="4999"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78"/>
        <w:gridCol w:w="1570"/>
        <w:gridCol w:w="6582"/>
        <w:gridCol w:w="379"/>
        <w:gridCol w:w="37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bottom w:val="single" w:color="auto" w:sz="4" w:space="0"/>
              <w:right w:val="single" w:color="auto" w:sz="4" w:space="0"/>
            </w:tcBorders>
            <w:shd w:val="clear" w:color="000000" w:fill="BFBFBF"/>
            <w:noWrap w:val="0"/>
            <w:vAlign w:val="center"/>
          </w:tcPr>
          <w:p>
            <w:pPr>
              <w:widowControl/>
              <w:jc w:val="center"/>
              <w:rPr>
                <w:rFonts w:ascii="宋体" w:hAnsi="宋体" w:cs="宋体"/>
                <w:color w:val="000000"/>
                <w:sz w:val="24"/>
              </w:rPr>
            </w:pPr>
            <w:r>
              <w:rPr>
                <w:rFonts w:hint="eastAsia" w:ascii="宋体" w:hAnsi="宋体" w:cs="宋体"/>
                <w:color w:val="000000"/>
                <w:sz w:val="24"/>
              </w:rPr>
              <w:t>序号</w:t>
            </w:r>
          </w:p>
        </w:tc>
        <w:tc>
          <w:tcPr>
            <w:tcW w:w="843" w:type="pct"/>
            <w:tcBorders>
              <w:left w:val="nil"/>
              <w:bottom w:val="single" w:color="auto" w:sz="4" w:space="0"/>
              <w:right w:val="single" w:color="auto" w:sz="4" w:space="0"/>
            </w:tcBorders>
            <w:shd w:val="clear" w:color="000000" w:fill="BFBFBF"/>
            <w:noWrap w:val="0"/>
            <w:vAlign w:val="center"/>
          </w:tcPr>
          <w:p>
            <w:pPr>
              <w:widowControl/>
              <w:jc w:val="center"/>
              <w:rPr>
                <w:rFonts w:ascii="宋体" w:hAnsi="宋体" w:cs="宋体"/>
                <w:color w:val="000000"/>
                <w:sz w:val="24"/>
              </w:rPr>
            </w:pPr>
            <w:r>
              <w:rPr>
                <w:rFonts w:hint="eastAsia" w:ascii="宋体" w:hAnsi="宋体" w:cs="宋体"/>
                <w:color w:val="000000"/>
                <w:sz w:val="24"/>
              </w:rPr>
              <w:t>设备名称</w:t>
            </w:r>
          </w:p>
        </w:tc>
        <w:tc>
          <w:tcPr>
            <w:tcW w:w="3015" w:type="pct"/>
            <w:tcBorders>
              <w:left w:val="nil"/>
              <w:bottom w:val="single" w:color="auto" w:sz="4" w:space="0"/>
              <w:right w:val="single" w:color="auto" w:sz="4" w:space="0"/>
            </w:tcBorders>
            <w:shd w:val="clear" w:color="000000" w:fill="BFBFBF"/>
            <w:noWrap w:val="0"/>
            <w:vAlign w:val="center"/>
          </w:tcPr>
          <w:p>
            <w:pPr>
              <w:widowControl/>
              <w:jc w:val="center"/>
              <w:rPr>
                <w:rFonts w:ascii="宋体" w:hAnsi="宋体" w:cs="宋体"/>
                <w:color w:val="000000"/>
                <w:sz w:val="24"/>
              </w:rPr>
            </w:pPr>
            <w:r>
              <w:rPr>
                <w:rFonts w:hint="eastAsia" w:ascii="宋体" w:hAnsi="宋体" w:cs="宋体"/>
                <w:color w:val="000000"/>
                <w:sz w:val="24"/>
              </w:rPr>
              <w:t>规格参数</w:t>
            </w:r>
          </w:p>
        </w:tc>
        <w:tc>
          <w:tcPr>
            <w:tcW w:w="382" w:type="pct"/>
            <w:tcBorders>
              <w:left w:val="nil"/>
              <w:bottom w:val="single" w:color="auto" w:sz="4" w:space="0"/>
              <w:right w:val="single" w:color="auto" w:sz="4" w:space="0"/>
            </w:tcBorders>
            <w:shd w:val="clear" w:color="000000" w:fill="BFBFBF"/>
            <w:noWrap w:val="0"/>
            <w:vAlign w:val="center"/>
          </w:tcPr>
          <w:p>
            <w:pPr>
              <w:widowControl/>
              <w:jc w:val="center"/>
              <w:rPr>
                <w:rFonts w:ascii="宋体" w:hAnsi="宋体" w:cs="宋体"/>
                <w:color w:val="000000"/>
                <w:sz w:val="24"/>
              </w:rPr>
            </w:pPr>
            <w:r>
              <w:rPr>
                <w:rFonts w:hint="eastAsia" w:ascii="宋体" w:hAnsi="宋体" w:cs="宋体"/>
                <w:color w:val="000000"/>
                <w:sz w:val="24"/>
              </w:rPr>
              <w:t>单位</w:t>
            </w:r>
          </w:p>
        </w:tc>
        <w:tc>
          <w:tcPr>
            <w:tcW w:w="382" w:type="pct"/>
            <w:tcBorders>
              <w:left w:val="nil"/>
              <w:bottom w:val="single" w:color="auto" w:sz="4" w:space="0"/>
            </w:tcBorders>
            <w:shd w:val="clear" w:color="000000" w:fill="BFBFBF"/>
            <w:noWrap w:val="0"/>
            <w:vAlign w:val="center"/>
          </w:tcPr>
          <w:p>
            <w:pPr>
              <w:widowControl/>
              <w:jc w:val="center"/>
              <w:rPr>
                <w:rFonts w:ascii="宋体" w:hAnsi="宋体" w:cs="宋体"/>
                <w:color w:val="000000"/>
                <w:sz w:val="24"/>
              </w:rPr>
            </w:pPr>
            <w:r>
              <w:rPr>
                <w:rFonts w:hint="eastAsia" w:ascii="宋体" w:hAnsi="宋体" w:cs="宋体"/>
                <w:color w:val="000000"/>
                <w:sz w:val="24"/>
              </w:rPr>
              <w:t>数量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1219" w:type="pct"/>
            <w:gridSpan w:val="2"/>
            <w:tcBorders>
              <w:top w:val="single" w:color="auto" w:sz="4" w:space="0"/>
              <w:bottom w:val="single" w:color="auto" w:sz="4" w:space="0"/>
              <w:right w:val="single" w:color="000000"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1.培训设备机柜</w:t>
            </w:r>
          </w:p>
        </w:tc>
        <w:tc>
          <w:tcPr>
            <w:tcW w:w="3015" w:type="pct"/>
            <w:tcBorders>
              <w:top w:val="nil"/>
              <w:left w:val="nil"/>
              <w:bottom w:val="single" w:color="auto" w:sz="4" w:space="0"/>
              <w:right w:val="single" w:color="auto"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培训设备机柜</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sz w:val="20"/>
                <w:szCs w:val="20"/>
              </w:rPr>
            </w:pPr>
            <w:r>
              <w:rPr>
                <w:rFonts w:hint="eastAsia" w:ascii="宋体" w:hAnsi="宋体" w:cs="宋体"/>
                <w:sz w:val="20"/>
                <w:szCs w:val="20"/>
              </w:rPr>
              <w:t>1、机柜支持19英寸标准的服务器、存储及网络设备安装，尺寸：600mm×1200mm×2000mm；</w:t>
            </w:r>
          </w:p>
          <w:p>
            <w:pPr>
              <w:widowControl/>
              <w:rPr>
                <w:rFonts w:hint="eastAsia" w:ascii="宋体" w:hAnsi="宋体" w:cs="宋体"/>
                <w:sz w:val="20"/>
                <w:szCs w:val="20"/>
              </w:rPr>
            </w:pPr>
            <w:r>
              <w:rPr>
                <w:rFonts w:hint="eastAsia" w:ascii="宋体" w:hAnsi="宋体" w:cs="宋体"/>
                <w:sz w:val="20"/>
                <w:szCs w:val="20"/>
              </w:rPr>
              <w:t>★2、机柜采用1.0mm～2.0mm厚高强度A级优质碳素冷轧钢板和镀锌板，机柜静态承载能力需通过不小于2400kg测试，并要求提供第三方测试报告；</w:t>
            </w:r>
          </w:p>
          <w:p>
            <w:pPr>
              <w:widowControl/>
              <w:rPr>
                <w:rFonts w:hint="eastAsia" w:ascii="宋体" w:hAnsi="宋体" w:cs="宋体"/>
                <w:sz w:val="20"/>
                <w:szCs w:val="20"/>
              </w:rPr>
            </w:pPr>
            <w:r>
              <w:rPr>
                <w:rFonts w:hint="eastAsia" w:ascii="宋体" w:hAnsi="宋体" w:cs="宋体"/>
                <w:sz w:val="20"/>
                <w:szCs w:val="20"/>
              </w:rPr>
              <w:t>3、机柜侧板分为上下两块，方便拆卸，以满足便于安装维护要求，机柜一侧配置；</w:t>
            </w:r>
          </w:p>
          <w:p>
            <w:pPr>
              <w:widowControl/>
              <w:rPr>
                <w:rFonts w:hint="eastAsia" w:ascii="宋体" w:hAnsi="宋体" w:cs="宋体"/>
                <w:sz w:val="20"/>
                <w:szCs w:val="20"/>
              </w:rPr>
            </w:pPr>
            <w:r>
              <w:rPr>
                <w:rFonts w:hint="eastAsia" w:ascii="宋体" w:hAnsi="宋体" w:cs="宋体"/>
                <w:sz w:val="20"/>
                <w:szCs w:val="20"/>
              </w:rPr>
              <w:t>★4、机柜前后均为通风网孔门，开孔率≥80%；</w:t>
            </w:r>
          </w:p>
          <w:p>
            <w:pPr>
              <w:widowControl/>
              <w:rPr>
                <w:rFonts w:hint="eastAsia" w:ascii="宋体" w:hAnsi="宋体" w:cs="宋体"/>
                <w:sz w:val="20"/>
                <w:szCs w:val="20"/>
              </w:rPr>
            </w:pPr>
            <w:r>
              <w:rPr>
                <w:rFonts w:hint="eastAsia" w:ascii="宋体" w:hAnsi="宋体" w:cs="宋体"/>
                <w:sz w:val="20"/>
                <w:szCs w:val="20"/>
              </w:rPr>
              <w:t>5、服务器机柜、网络布线柜、配电柜、空调结构架构统一，工程界面统一，方便安装维护；</w:t>
            </w:r>
          </w:p>
          <w:p>
            <w:pPr>
              <w:widowControl/>
              <w:rPr>
                <w:rFonts w:hint="eastAsia" w:ascii="宋体" w:hAnsi="宋体" w:cs="宋体"/>
                <w:sz w:val="20"/>
                <w:szCs w:val="20"/>
              </w:rPr>
            </w:pPr>
            <w:r>
              <w:rPr>
                <w:rFonts w:hint="eastAsia" w:ascii="宋体" w:hAnsi="宋体" w:cs="宋体"/>
                <w:sz w:val="20"/>
                <w:szCs w:val="20"/>
              </w:rPr>
              <w:t>6、机柜便于维护和良好兼容性，与精密空调、配电柜、动环监控系统平台同一品牌；</w:t>
            </w:r>
          </w:p>
          <w:p>
            <w:pPr>
              <w:widowControl/>
              <w:rPr>
                <w:rFonts w:hint="eastAsia" w:ascii="宋体" w:hAnsi="宋体" w:cs="宋体"/>
                <w:sz w:val="20"/>
                <w:szCs w:val="20"/>
              </w:rPr>
            </w:pPr>
            <w:r>
              <w:rPr>
                <w:rFonts w:hint="eastAsia" w:ascii="宋体" w:hAnsi="宋体" w:cs="宋体"/>
                <w:sz w:val="20"/>
                <w:szCs w:val="20"/>
              </w:rPr>
              <w:t>7、机柜无滚轮、含2pcs侧板、典配附件和2pcs 国标 rPDU（32A输入，20*GB 10A+4*GB 16A）；</w:t>
            </w:r>
          </w:p>
          <w:p>
            <w:pPr>
              <w:widowControl/>
              <w:rPr>
                <w:rFonts w:ascii="宋体" w:hAnsi="宋体" w:cs="宋体"/>
                <w:sz w:val="20"/>
                <w:szCs w:val="20"/>
              </w:rPr>
            </w:pPr>
            <w:r>
              <w:rPr>
                <w:rFonts w:hint="eastAsia" w:ascii="宋体" w:hAnsi="宋体" w:cs="宋体"/>
                <w:sz w:val="20"/>
                <w:szCs w:val="20"/>
              </w:rPr>
              <w:t>8、机柜可提供抗震，跌落，振动，冲击防护第三方检测报告；</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侧板</w:t>
            </w:r>
          </w:p>
        </w:tc>
        <w:tc>
          <w:tcPr>
            <w:tcW w:w="3015" w:type="pct"/>
            <w:tcBorders>
              <w:top w:val="nil"/>
              <w:left w:val="nil"/>
              <w:bottom w:val="single" w:color="auto" w:sz="4" w:space="0"/>
              <w:right w:val="single" w:color="auto" w:sz="4" w:space="0"/>
            </w:tcBorders>
            <w:shd w:val="clear" w:color="auto" w:fill="auto"/>
            <w:noWrap/>
            <w:vAlign w:val="top"/>
          </w:tcPr>
          <w:p>
            <w:pPr>
              <w:widowControl/>
              <w:rPr>
                <w:rFonts w:ascii="宋体" w:hAnsi="宋体" w:cs="宋体"/>
                <w:sz w:val="20"/>
                <w:szCs w:val="20"/>
              </w:rPr>
            </w:pPr>
            <w:r>
              <w:rPr>
                <w:rFonts w:hint="eastAsia" w:ascii="宋体" w:hAnsi="宋体" w:cs="宋体"/>
                <w:sz w:val="20"/>
                <w:szCs w:val="20"/>
              </w:rPr>
              <w:t>机柜单侧侧门板-用于1200mm深,2000mm高落地机柜</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密闭冷通道系统</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双排机柜密封通道组件包含控制天窗、玻璃翻转天窗、强弱配电线槽，电磁锁，下封板，顶部挡板、通道照明系统，氛围灯，冷通道双开电动推拉门系统，具体指标如下：</w:t>
            </w:r>
          </w:p>
          <w:p>
            <w:pPr>
              <w:widowControl/>
              <w:rPr>
                <w:rFonts w:hint="eastAsia" w:ascii="宋体" w:hAnsi="宋体" w:cs="宋体"/>
                <w:sz w:val="20"/>
                <w:szCs w:val="20"/>
              </w:rPr>
            </w:pPr>
            <w:r>
              <w:rPr>
                <w:rFonts w:hint="eastAsia" w:ascii="宋体" w:hAnsi="宋体" w:cs="宋体"/>
                <w:sz w:val="20"/>
                <w:szCs w:val="20"/>
              </w:rPr>
              <w:t>★1.天窗应采用钢化玻璃材质，厚度不小于5mm。为保证通道亮度，天窗玻璃面积占比应保证不小于90%，玻璃材质透光率应不小于90%；需提供全景天窗实物照片。所使用的钢化玻璃必须符合GB 15763.2《建筑用安全玻璃》标准。有机玻璃需满足国家标准GB 50222《建筑内部装修设计防火规范》要求，阻燃等级达到B1级；</w:t>
            </w:r>
          </w:p>
          <w:p>
            <w:pPr>
              <w:widowControl/>
              <w:rPr>
                <w:rFonts w:hint="eastAsia" w:ascii="宋体" w:hAnsi="宋体" w:cs="宋体"/>
                <w:sz w:val="20"/>
                <w:szCs w:val="20"/>
              </w:rPr>
            </w:pPr>
            <w:r>
              <w:rPr>
                <w:rFonts w:hint="eastAsia" w:ascii="宋体" w:hAnsi="宋体" w:cs="宋体"/>
                <w:sz w:val="20"/>
                <w:szCs w:val="20"/>
              </w:rPr>
              <w:t>★2.端门框架内部都采用钢化玻璃，钢化玻璃面积不小于98%，厚度≥5mm，透光率≥90％；</w:t>
            </w:r>
          </w:p>
          <w:p>
            <w:pPr>
              <w:widowControl/>
              <w:rPr>
                <w:rFonts w:hint="eastAsia" w:ascii="宋体" w:hAnsi="宋体" w:cs="宋体"/>
                <w:sz w:val="20"/>
                <w:szCs w:val="20"/>
              </w:rPr>
            </w:pPr>
            <w:r>
              <w:rPr>
                <w:rFonts w:hint="eastAsia" w:ascii="宋体" w:hAnsi="宋体" w:cs="宋体"/>
                <w:sz w:val="20"/>
                <w:szCs w:val="20"/>
              </w:rPr>
              <w:t>3.微模块通道端门需采用电动平移门设计，并与门禁联动，门禁识别通过后可开启，通道门应有门禁授权指示装置，门禁授权成功与否应能通过灯光明确指示；</w:t>
            </w:r>
          </w:p>
          <w:p>
            <w:pPr>
              <w:widowControl/>
              <w:rPr>
                <w:rFonts w:hint="eastAsia" w:ascii="宋体" w:hAnsi="宋体" w:cs="宋体"/>
                <w:sz w:val="20"/>
                <w:szCs w:val="20"/>
              </w:rPr>
            </w:pPr>
            <w:r>
              <w:rPr>
                <w:rFonts w:hint="eastAsia" w:ascii="宋体" w:hAnsi="宋体" w:cs="宋体"/>
                <w:sz w:val="20"/>
                <w:szCs w:val="20"/>
              </w:rPr>
              <w:t>4.通道照明应通过红外、门禁、摄像头多重判断，提高准确度，杜绝误操作；</w:t>
            </w:r>
          </w:p>
          <w:p>
            <w:pPr>
              <w:widowControl/>
              <w:rPr>
                <w:rFonts w:hint="eastAsia" w:ascii="宋体" w:hAnsi="宋体" w:cs="宋体"/>
                <w:sz w:val="20"/>
                <w:szCs w:val="20"/>
              </w:rPr>
            </w:pPr>
            <w:r>
              <w:rPr>
                <w:rFonts w:hint="eastAsia" w:ascii="宋体" w:hAnsi="宋体" w:cs="宋体"/>
                <w:sz w:val="20"/>
                <w:szCs w:val="20"/>
              </w:rPr>
              <w:t>5.微模块需具备明确的灯光状态指示，灯光与告警指示联动功能，在微模块产生告警后可与灯光进行联动。需保证至少有4种颜色，能够与紧急告警、重要告警、一般告警、提示告警进行联动，需提供实物照片证明；</w:t>
            </w:r>
          </w:p>
          <w:p>
            <w:pPr>
              <w:widowControl/>
              <w:rPr>
                <w:rFonts w:hint="eastAsia" w:ascii="宋体" w:hAnsi="宋体" w:cs="宋体"/>
                <w:sz w:val="20"/>
                <w:szCs w:val="20"/>
              </w:rPr>
            </w:pPr>
            <w:r>
              <w:rPr>
                <w:rFonts w:hint="eastAsia" w:ascii="宋体" w:hAnsi="宋体" w:cs="宋体"/>
                <w:sz w:val="20"/>
                <w:szCs w:val="20"/>
              </w:rPr>
              <w:t>★6.自2019年起，国家工信部等三部门联合发文要求PUE低于1.4，以便更好的建设绿色节能型数据中心，为了响应政府节能减排号召，需提供TGG绿色网格微模块产品PUE测试证书。</w:t>
            </w:r>
          </w:p>
          <w:p>
            <w:pPr>
              <w:widowControl/>
            </w:pPr>
            <w:r>
              <w:rPr>
                <w:rFonts w:hint="eastAsia" w:ascii="宋体" w:hAnsi="宋体" w:cs="宋体"/>
                <w:sz w:val="20"/>
                <w:szCs w:val="20"/>
              </w:rPr>
              <w:t>★7、为保证一致性和整体交付质量，密封通道件、UPS、精密空调、机柜、管理系统等核心部件要求使用同一品牌出具厂家证明函。</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培训机房空调</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1.尺寸：600*1200*2000，采用高效直流变频压缩机；</w:t>
            </w:r>
          </w:p>
          <w:p>
            <w:pPr>
              <w:widowControl/>
              <w:rPr>
                <w:rFonts w:hint="eastAsia" w:ascii="宋体" w:hAnsi="宋体" w:cs="宋体"/>
                <w:sz w:val="20"/>
                <w:szCs w:val="20"/>
              </w:rPr>
            </w:pPr>
            <w:r>
              <w:rPr>
                <w:rFonts w:hint="eastAsia" w:ascii="宋体" w:hAnsi="宋体" w:cs="宋体"/>
                <w:sz w:val="20"/>
                <w:szCs w:val="20"/>
              </w:rPr>
              <w:t>2.精密空调安装在机柜排当中，采用水平送风方式，支持深度及高度可调节；</w:t>
            </w:r>
          </w:p>
          <w:p>
            <w:pPr>
              <w:widowControl/>
              <w:rPr>
                <w:rFonts w:hint="eastAsia" w:ascii="宋体" w:hAnsi="宋体" w:cs="宋体"/>
                <w:sz w:val="20"/>
                <w:szCs w:val="20"/>
              </w:rPr>
            </w:pPr>
            <w:r>
              <w:rPr>
                <w:rFonts w:hint="eastAsia" w:ascii="宋体" w:hAnsi="宋体" w:cs="宋体"/>
                <w:sz w:val="20"/>
                <w:szCs w:val="20"/>
              </w:rPr>
              <w:t>★3.单台精密空调总冷量≥46kw，显冷量≥46kw，风量≥9000m3/h，加热量≥6kw，加湿量≥3kg/h，并要求提供第三方测试报告；</w:t>
            </w:r>
          </w:p>
          <w:p>
            <w:pPr>
              <w:widowControl/>
              <w:rPr>
                <w:rFonts w:hint="eastAsia" w:ascii="宋体" w:hAnsi="宋体" w:cs="宋体"/>
                <w:sz w:val="20"/>
                <w:szCs w:val="20"/>
              </w:rPr>
            </w:pPr>
            <w:r>
              <w:rPr>
                <w:rFonts w:hint="eastAsia" w:ascii="宋体" w:hAnsi="宋体" w:cs="宋体"/>
                <w:sz w:val="20"/>
                <w:szCs w:val="20"/>
              </w:rPr>
              <w:t>★4.精密空调具备低载除湿功能，10% IT负载下即可实现低载除湿，并要求提供第三方测试报告；</w:t>
            </w:r>
          </w:p>
          <w:p>
            <w:pPr>
              <w:widowControl/>
              <w:rPr>
                <w:rFonts w:hint="eastAsia" w:ascii="宋体" w:hAnsi="宋体" w:cs="宋体"/>
                <w:sz w:val="20"/>
                <w:szCs w:val="20"/>
              </w:rPr>
            </w:pPr>
            <w:r>
              <w:rPr>
                <w:rFonts w:hint="eastAsia" w:ascii="宋体" w:hAnsi="宋体" w:cs="宋体"/>
                <w:sz w:val="20"/>
                <w:szCs w:val="20"/>
              </w:rPr>
              <w:t>★5.精密空调室内机采用高效工业用直流变频涡旋压缩机，可实现10%～100%宽冷量输出，高效制冷；</w:t>
            </w:r>
          </w:p>
          <w:p>
            <w:pPr>
              <w:widowControl/>
              <w:rPr>
                <w:rFonts w:hint="eastAsia" w:ascii="宋体" w:hAnsi="宋体" w:cs="宋体"/>
                <w:sz w:val="20"/>
                <w:szCs w:val="20"/>
              </w:rPr>
            </w:pPr>
            <w:r>
              <w:rPr>
                <w:rFonts w:hint="eastAsia" w:ascii="宋体" w:hAnsi="宋体" w:cs="宋体"/>
                <w:sz w:val="20"/>
                <w:szCs w:val="20"/>
              </w:rPr>
              <w:t>★6.精密空调室外机风机驱动采用变频调速器，可实现10%-100%的调速；换热器采用波纹翅片式；</w:t>
            </w:r>
          </w:p>
          <w:p>
            <w:pPr>
              <w:widowControl/>
              <w:rPr>
                <w:rFonts w:hint="eastAsia" w:ascii="宋体" w:hAnsi="宋体" w:cs="宋体"/>
                <w:sz w:val="20"/>
                <w:szCs w:val="20"/>
              </w:rPr>
            </w:pPr>
            <w:r>
              <w:rPr>
                <w:rFonts w:hint="eastAsia" w:ascii="宋体" w:hAnsi="宋体" w:cs="宋体"/>
                <w:sz w:val="20"/>
                <w:szCs w:val="20"/>
              </w:rPr>
              <w:t>★7.精密空调系统制冷剂管路和水管管路支持下走管场景；系统采用R410A制冷剂，环保高效；采用PTC电加热器，可自适应调节加热量，提高系统可靠性；采用湿膜加湿技术，更节能，精确加湿，适用干燥环境；标配G4等级过滤网；标配防雷器，提高机组可靠性；</w:t>
            </w:r>
          </w:p>
          <w:p>
            <w:pPr>
              <w:widowControl/>
              <w:rPr>
                <w:rFonts w:hint="eastAsia" w:ascii="宋体" w:hAnsi="宋体" w:cs="宋体"/>
                <w:sz w:val="20"/>
                <w:szCs w:val="20"/>
              </w:rPr>
            </w:pPr>
            <w:r>
              <w:rPr>
                <w:rFonts w:hint="eastAsia" w:ascii="宋体" w:hAnsi="宋体" w:cs="宋体"/>
                <w:sz w:val="20"/>
                <w:szCs w:val="20"/>
              </w:rPr>
              <w:t>8.具有≥7英寸的真彩触摸显示屏，可以显示设备的运行模式与状态，并可设定设备参数，实现良好的人机交互；</w:t>
            </w:r>
          </w:p>
          <w:p>
            <w:pPr>
              <w:widowControl/>
              <w:rPr>
                <w:rFonts w:hint="eastAsia" w:ascii="宋体" w:hAnsi="宋体" w:cs="宋体"/>
                <w:sz w:val="20"/>
                <w:szCs w:val="20"/>
              </w:rPr>
            </w:pPr>
            <w:r>
              <w:rPr>
                <w:rFonts w:hint="eastAsia" w:ascii="宋体" w:hAnsi="宋体" w:cs="宋体"/>
                <w:sz w:val="20"/>
                <w:szCs w:val="20"/>
              </w:rPr>
              <w:t>9.精密空调机组具备宽电源制式：380/415V±10%，3PH+N+PE，50/60Hz电源；</w:t>
            </w:r>
          </w:p>
          <w:p>
            <w:pPr>
              <w:widowControl/>
              <w:rPr>
                <w:rFonts w:ascii="宋体" w:hAnsi="宋体" w:cs="宋体"/>
                <w:sz w:val="20"/>
                <w:szCs w:val="20"/>
              </w:rPr>
            </w:pPr>
            <w:r>
              <w:rPr>
                <w:rFonts w:hint="eastAsia" w:ascii="宋体" w:hAnsi="宋体" w:cs="宋体"/>
                <w:sz w:val="20"/>
                <w:szCs w:val="20"/>
              </w:rPr>
              <w:t>★10.需提供节能认证测试报告和证书。</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空调室外机</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行级精密空调-风冷-室外机，EC风机，自动变频调节转速。</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一体化UPS</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sz w:val="20"/>
                <w:szCs w:val="20"/>
              </w:rPr>
            </w:pPr>
            <w:r>
              <w:rPr>
                <w:rFonts w:hint="eastAsia" w:ascii="宋体" w:hAnsi="宋体" w:eastAsia="宋体" w:cs="宋体"/>
                <w:sz w:val="20"/>
                <w:szCs w:val="20"/>
              </w:rPr>
              <w:t>1、模块化UPS主机容量125kVA，单模块功率30kVA，高频在线双变换式UPS，采用IGBT整流逆变，功率变换器和系统元件均由DSP控制。市电单路输入、UPS、UPS输入输出柜、精密配电柜、空调及通道照明配电等，应包含在1个柜位内。</w:t>
            </w:r>
          </w:p>
          <w:p>
            <w:pPr>
              <w:widowControl/>
              <w:rPr>
                <w:rFonts w:hint="eastAsia" w:ascii="宋体" w:hAnsi="宋体" w:eastAsia="宋体" w:cs="宋体"/>
                <w:sz w:val="20"/>
                <w:szCs w:val="20"/>
              </w:rPr>
            </w:pPr>
            <w:r>
              <w:rPr>
                <w:rFonts w:hint="eastAsia" w:ascii="宋体" w:hAnsi="宋体" w:eastAsia="宋体" w:cs="宋体"/>
                <w:sz w:val="20"/>
                <w:szCs w:val="20"/>
              </w:rPr>
              <w:t>2、输入输出制式为三相输入三相输出。输入电压范围应不小于138V-485VAC；输入频率范围不小于：40Hz~70Hz。输入功率因数不小于0.99；输入支持主旁同源和不同源。交流输入端满足5kA防雷和6kV防浪涌。输出功率因数为1，对于超前0.5和滞后0.5的负载不降额。输出电压稳压精度应小于380V±1％。输出频率范围应不超出50±0.5%Hz(电池逆变工作方式)。线性负载输入谐波电流总含量THDi＜3%，输出电压谐波失真度（THDu）≤1%。</w:t>
            </w:r>
          </w:p>
          <w:p>
            <w:pPr>
              <w:widowControl/>
              <w:rPr>
                <w:rFonts w:hint="eastAsia" w:ascii="宋体" w:hAnsi="宋体" w:eastAsia="宋体" w:cs="宋体"/>
                <w:sz w:val="20"/>
                <w:szCs w:val="20"/>
              </w:rPr>
            </w:pPr>
            <w:r>
              <w:rPr>
                <w:rFonts w:hint="eastAsia" w:ascii="宋体" w:hAnsi="宋体" w:eastAsia="宋体" w:cs="宋体"/>
                <w:sz w:val="20"/>
                <w:szCs w:val="20"/>
              </w:rPr>
              <w:t>3、模块热插拔特性：功率模块、旁路模块、控制模块均可带电热插拔。</w:t>
            </w:r>
          </w:p>
          <w:p>
            <w:pPr>
              <w:widowControl/>
              <w:rPr>
                <w:rFonts w:hint="eastAsia" w:ascii="宋体" w:hAnsi="宋体" w:eastAsia="宋体" w:cs="宋体"/>
                <w:sz w:val="20"/>
                <w:szCs w:val="20"/>
              </w:rPr>
            </w:pPr>
            <w:r>
              <w:rPr>
                <w:rFonts w:hint="eastAsia" w:ascii="宋体" w:hAnsi="宋体" w:eastAsia="宋体" w:cs="宋体"/>
                <w:sz w:val="20"/>
                <w:szCs w:val="20"/>
              </w:rPr>
              <w:t>4、功率模块：单个功率模块的高度不大于2U。具备智能循环休眠功能，当负载较轻时，UPS可以使部分模块自动休眠，负载增大时自动唤醒休眠模块。UPS模块并联采用分散控制技术，确保整机可靠性；每个UPS模块均要求内置完整的整流、逆变及控制系统，具有独立工作能力，系统中任何其他组件故障不影响UPS模块的工作；功率模块的风扇支持智能调速并有冗错设计，风扇故障时模块仍应具有一定的输出能力且发出声光告警。</w:t>
            </w:r>
          </w:p>
          <w:p>
            <w:pPr>
              <w:widowControl/>
              <w:rPr>
                <w:rFonts w:hint="eastAsia" w:ascii="宋体" w:hAnsi="宋体" w:eastAsia="宋体" w:cs="宋体"/>
                <w:sz w:val="20"/>
                <w:szCs w:val="20"/>
              </w:rPr>
            </w:pPr>
            <w:r>
              <w:rPr>
                <w:rFonts w:hint="eastAsia" w:ascii="宋体" w:hAnsi="宋体" w:eastAsia="宋体" w:cs="宋体"/>
                <w:sz w:val="20"/>
                <w:szCs w:val="20"/>
              </w:rPr>
              <w:t>5、旁路模块：为保证旁路抗冲击能力及扩容要求，要求采用统一的集中旁路模块，旁路模块应可插拔维护，其故障不影响UPS系统输出；旁路模块的高度不大于3U。</w:t>
            </w:r>
          </w:p>
          <w:p>
            <w:pPr>
              <w:widowControl/>
              <w:rPr>
                <w:rFonts w:hint="eastAsia" w:ascii="宋体" w:hAnsi="宋体" w:eastAsia="宋体" w:cs="宋体"/>
                <w:sz w:val="20"/>
                <w:szCs w:val="20"/>
              </w:rPr>
            </w:pPr>
            <w:r>
              <w:rPr>
                <w:rFonts w:hint="eastAsia" w:ascii="宋体" w:hAnsi="宋体" w:eastAsia="宋体" w:cs="宋体"/>
                <w:sz w:val="20"/>
                <w:szCs w:val="20"/>
              </w:rPr>
              <w:t>6、控制模块：双控制器1+1冗余备份。</w:t>
            </w:r>
          </w:p>
          <w:p>
            <w:pPr>
              <w:widowControl/>
              <w:rPr>
                <w:rFonts w:hint="eastAsia" w:ascii="宋体" w:hAnsi="宋体" w:eastAsia="宋体" w:cs="宋体"/>
                <w:sz w:val="20"/>
                <w:szCs w:val="20"/>
              </w:rPr>
            </w:pPr>
            <w:r>
              <w:rPr>
                <w:rFonts w:hint="eastAsia" w:ascii="宋体" w:hAnsi="宋体" w:eastAsia="宋体" w:cs="宋体"/>
                <w:sz w:val="20"/>
                <w:szCs w:val="20"/>
              </w:rPr>
              <w:t>7、显示与操作功能：采用不小于7寸LCD触摸屏，支持多种语言并自选语言，便于使用者查看数据和进行操作控制。界面显示输出，市电模式，负载容量，电池模式，电池容量，市电，逆变，旁路，故障状态。系统具备密码分级保护功能，可存储不少于1000条历史信息。</w:t>
            </w:r>
          </w:p>
          <w:p>
            <w:pPr>
              <w:widowControl/>
              <w:rPr>
                <w:rFonts w:hint="eastAsia" w:ascii="宋体" w:hAnsi="宋体" w:eastAsia="宋体" w:cs="宋体"/>
                <w:sz w:val="20"/>
                <w:szCs w:val="20"/>
              </w:rPr>
            </w:pPr>
            <w:r>
              <w:rPr>
                <w:rFonts w:hint="eastAsia" w:ascii="宋体" w:hAnsi="宋体" w:eastAsia="宋体" w:cs="宋体"/>
                <w:sz w:val="20"/>
                <w:szCs w:val="20"/>
              </w:rPr>
              <w:t>★8、市电模式下，UPS模块在线模式下效率在50%负载时系统效率应达到96%。ECO模式下，UPS系统效率应达到99%。需提供具备带CMA、CNAS标识的第三方权威机构检验报告。</w:t>
            </w:r>
          </w:p>
          <w:p>
            <w:pPr>
              <w:widowControl/>
              <w:rPr>
                <w:rFonts w:hint="eastAsia" w:ascii="宋体" w:hAnsi="宋体" w:eastAsia="宋体" w:cs="宋体"/>
                <w:sz w:val="20"/>
                <w:szCs w:val="20"/>
              </w:rPr>
            </w:pPr>
            <w:r>
              <w:rPr>
                <w:rFonts w:hint="eastAsia" w:ascii="宋体" w:hAnsi="宋体" w:eastAsia="宋体" w:cs="宋体"/>
                <w:sz w:val="20"/>
                <w:szCs w:val="20"/>
              </w:rPr>
              <w:t>9、过载能力：逆变过载能力，60分钟（110%额度电流），10分钟（125%额度电流），1分钟（150%额定电流）。旁路过载能力，长期（135%额度电流）。</w:t>
            </w:r>
          </w:p>
          <w:p>
            <w:pPr>
              <w:widowControl/>
              <w:rPr>
                <w:rFonts w:hint="eastAsia" w:ascii="宋体" w:hAnsi="宋体" w:eastAsia="宋体" w:cs="宋体"/>
                <w:sz w:val="20"/>
                <w:szCs w:val="20"/>
              </w:rPr>
            </w:pPr>
            <w:r>
              <w:rPr>
                <w:rFonts w:hint="eastAsia" w:ascii="宋体" w:hAnsi="宋体" w:eastAsia="宋体" w:cs="宋体"/>
                <w:sz w:val="20"/>
                <w:szCs w:val="20"/>
              </w:rPr>
              <w:t>10、UPS在市电和电池两种状态间切换的时间应为0ms，静态旁路与逆变状态切换时间应为0ms。</w:t>
            </w:r>
          </w:p>
          <w:p>
            <w:pPr>
              <w:widowControl/>
              <w:rPr>
                <w:rFonts w:hint="eastAsia" w:ascii="宋体" w:hAnsi="宋体" w:eastAsia="宋体" w:cs="宋体"/>
                <w:sz w:val="20"/>
                <w:szCs w:val="20"/>
              </w:rPr>
            </w:pPr>
            <w:r>
              <w:rPr>
                <w:rFonts w:hint="eastAsia" w:ascii="宋体" w:hAnsi="宋体" w:eastAsia="宋体" w:cs="宋体"/>
                <w:sz w:val="20"/>
                <w:szCs w:val="20"/>
              </w:rPr>
              <w:t>11、保护功能：具有输出短路保护、过载保护、输入频率异常保护功能，电池过压告警和过放电保护功能，高温自动切换旁路保护功能。</w:t>
            </w:r>
          </w:p>
          <w:p>
            <w:pPr>
              <w:widowControl/>
              <w:rPr>
                <w:rFonts w:hint="eastAsia" w:ascii="宋体" w:hAnsi="宋体" w:eastAsia="宋体" w:cs="宋体"/>
                <w:sz w:val="20"/>
                <w:szCs w:val="20"/>
              </w:rPr>
            </w:pPr>
            <w:r>
              <w:rPr>
                <w:rFonts w:hint="eastAsia" w:ascii="宋体" w:hAnsi="宋体" w:eastAsia="宋体" w:cs="宋体"/>
                <w:sz w:val="20"/>
                <w:szCs w:val="20"/>
              </w:rPr>
              <w:t>★12、支持风扇故障预警、电容器故障预警，提供相关证明材料并加盖投标专用章。</w:t>
            </w:r>
          </w:p>
          <w:p>
            <w:pPr>
              <w:widowControl/>
              <w:rPr>
                <w:rFonts w:hint="eastAsia" w:ascii="宋体" w:hAnsi="宋体" w:eastAsia="宋体" w:cs="宋体"/>
                <w:sz w:val="20"/>
                <w:szCs w:val="20"/>
              </w:rPr>
            </w:pPr>
            <w:r>
              <w:rPr>
                <w:rFonts w:hint="eastAsia" w:ascii="宋体" w:hAnsi="宋体" w:eastAsia="宋体" w:cs="宋体"/>
                <w:sz w:val="20"/>
                <w:szCs w:val="20"/>
              </w:rPr>
              <w:t>13、支持电池节数30-44节可调，便于旧系统改造时利用原有电池系统，也可在单节电池故障时及时撤除，消除对UPS系统运行的影响。蓄电池智能管理特性：具有电池均充、浮充自动控制功能；具有电池定期自动维护和测试功能。支持系统冷启动。</w:t>
            </w:r>
          </w:p>
          <w:p>
            <w:pPr>
              <w:widowControl/>
            </w:pPr>
            <w:r>
              <w:rPr>
                <w:rFonts w:hint="eastAsia" w:ascii="宋体" w:hAnsi="宋体" w:eastAsia="宋体" w:cs="宋体"/>
                <w:sz w:val="20"/>
                <w:szCs w:val="20"/>
              </w:rPr>
              <w:t>★14、0℃～40℃长期满载正常工作。</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功率模块</w:t>
            </w:r>
          </w:p>
        </w:tc>
        <w:tc>
          <w:tcPr>
            <w:tcW w:w="3015" w:type="pct"/>
            <w:tcBorders>
              <w:top w:val="nil"/>
              <w:left w:val="nil"/>
              <w:bottom w:val="single" w:color="auto" w:sz="4" w:space="0"/>
              <w:right w:val="single" w:color="auto" w:sz="4" w:space="0"/>
            </w:tcBorders>
            <w:shd w:val="clear" w:color="auto" w:fill="auto"/>
            <w:noWrap/>
            <w:vAlign w:val="top"/>
          </w:tcPr>
          <w:p>
            <w:pPr>
              <w:widowControl/>
              <w:rPr>
                <w:rFonts w:ascii="宋体" w:hAnsi="宋体" w:cs="宋体"/>
                <w:sz w:val="20"/>
                <w:szCs w:val="20"/>
              </w:rPr>
            </w:pPr>
            <w:r>
              <w:rPr>
                <w:rFonts w:hint="eastAsia" w:ascii="宋体" w:hAnsi="宋体" w:cs="宋体"/>
                <w:sz w:val="20"/>
                <w:szCs w:val="20"/>
              </w:rPr>
              <w:t>30KVA功率模块，高度2U，支持热插拔</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PAD安装支架</w:t>
            </w:r>
          </w:p>
        </w:tc>
        <w:tc>
          <w:tcPr>
            <w:tcW w:w="3015" w:type="pct"/>
            <w:tcBorders>
              <w:top w:val="nil"/>
              <w:left w:val="nil"/>
              <w:bottom w:val="single" w:color="auto" w:sz="4" w:space="0"/>
              <w:right w:val="single" w:color="auto" w:sz="4" w:space="0"/>
            </w:tcBorders>
            <w:shd w:val="clear" w:color="auto" w:fill="auto"/>
            <w:noWrap/>
            <w:vAlign w:val="top"/>
          </w:tcPr>
          <w:p>
            <w:pPr>
              <w:widowControl/>
              <w:rPr>
                <w:rFonts w:ascii="宋体" w:hAnsi="宋体" w:cs="宋体"/>
                <w:sz w:val="20"/>
                <w:szCs w:val="20"/>
              </w:rPr>
            </w:pPr>
            <w:r>
              <w:rPr>
                <w:rFonts w:hint="eastAsia" w:ascii="宋体" w:hAnsi="宋体" w:cs="宋体"/>
                <w:sz w:val="20"/>
                <w:szCs w:val="20"/>
              </w:rPr>
              <w:t>监控PAD安装支架</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c>
          <w:tcPr>
            <w:tcW w:w="1219" w:type="pct"/>
            <w:gridSpan w:val="2"/>
            <w:tcBorders>
              <w:top w:val="single" w:color="auto" w:sz="4" w:space="0"/>
              <w:bottom w:val="single" w:color="auto" w:sz="4" w:space="0"/>
              <w:right w:val="single" w:color="000000"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2. 通道管理系统</w:t>
            </w:r>
          </w:p>
        </w:tc>
        <w:tc>
          <w:tcPr>
            <w:tcW w:w="3015" w:type="pct"/>
            <w:tcBorders>
              <w:top w:val="nil"/>
              <w:left w:val="nil"/>
              <w:bottom w:val="single" w:color="auto" w:sz="4" w:space="0"/>
              <w:right w:val="single" w:color="auto"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培训设备机房控制器</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1、要求每个微模块提供一个整体的环境和动力监控接口，实现对模块内供配电、空调、温湿度、漏水检测、烟雾、视频等设备的不间断监控，发现部件故障或参数异常，即时采取颜色、E-mail、SMS和声音告警等多种报警方式，记录历史数据和报警事件，所有监控信息提供标准的北向SNMP接口给管理平台集成接入。支持PAD和手机APP实时查看设备信息，移动运维；</w:t>
            </w:r>
          </w:p>
          <w:p>
            <w:pPr>
              <w:widowControl/>
              <w:rPr>
                <w:rFonts w:hint="eastAsia" w:ascii="宋体" w:hAnsi="宋体" w:cs="宋体"/>
                <w:sz w:val="20"/>
                <w:szCs w:val="20"/>
              </w:rPr>
            </w:pPr>
            <w:r>
              <w:rPr>
                <w:rFonts w:hint="eastAsia" w:ascii="宋体" w:hAnsi="宋体" w:cs="宋体"/>
                <w:sz w:val="20"/>
                <w:szCs w:val="20"/>
              </w:rPr>
              <w:t>2、为提升监控系统可靠性，智能节点信号传输和传感器供电全部采用Ethernet环形总线组网，请提供微模块监控系统组网图；</w:t>
            </w:r>
          </w:p>
          <w:p>
            <w:pPr>
              <w:widowControl/>
              <w:rPr>
                <w:rFonts w:hint="eastAsia" w:ascii="宋体" w:hAnsi="宋体" w:cs="宋体"/>
                <w:sz w:val="20"/>
                <w:szCs w:val="20"/>
              </w:rPr>
            </w:pPr>
            <w:r>
              <w:rPr>
                <w:rFonts w:hint="eastAsia" w:ascii="宋体" w:hAnsi="宋体" w:cs="宋体"/>
                <w:sz w:val="20"/>
                <w:szCs w:val="20"/>
              </w:rPr>
              <w:t>3、具备本地存储功能，固态硬盘≥ 2G；</w:t>
            </w:r>
          </w:p>
          <w:p>
            <w:pPr>
              <w:widowControl/>
              <w:rPr>
                <w:rFonts w:hint="eastAsia" w:ascii="宋体" w:hAnsi="宋体" w:cs="宋体"/>
                <w:sz w:val="20"/>
                <w:szCs w:val="20"/>
              </w:rPr>
            </w:pPr>
            <w:r>
              <w:rPr>
                <w:rFonts w:hint="eastAsia" w:ascii="宋体" w:hAnsi="宋体" w:cs="宋体"/>
                <w:sz w:val="20"/>
                <w:szCs w:val="20"/>
              </w:rPr>
              <w:t>4、支持SIM卡短信告警功能；</w:t>
            </w:r>
          </w:p>
          <w:p>
            <w:pPr>
              <w:widowControl/>
              <w:rPr>
                <w:rFonts w:hint="eastAsia" w:ascii="宋体" w:hAnsi="宋体" w:cs="宋体"/>
                <w:sz w:val="20"/>
                <w:szCs w:val="20"/>
              </w:rPr>
            </w:pPr>
            <w:r>
              <w:rPr>
                <w:rFonts w:hint="eastAsia" w:ascii="宋体" w:hAnsi="宋体" w:cs="宋体"/>
                <w:sz w:val="20"/>
                <w:szCs w:val="20"/>
              </w:rPr>
              <w:t>5、支持蜂鸣器现场告警；</w:t>
            </w:r>
          </w:p>
          <w:p>
            <w:pPr>
              <w:widowControl/>
              <w:rPr>
                <w:rFonts w:hint="eastAsia" w:ascii="宋体" w:hAnsi="宋体" w:cs="宋体"/>
                <w:sz w:val="20"/>
                <w:szCs w:val="20"/>
              </w:rPr>
            </w:pPr>
            <w:r>
              <w:rPr>
                <w:rFonts w:hint="eastAsia" w:ascii="宋体" w:hAnsi="宋体" w:cs="宋体"/>
                <w:sz w:val="20"/>
                <w:szCs w:val="20"/>
              </w:rPr>
              <w:t>6、支持配电、精密空调、温湿度等历史数据和告警统计，储存时间不少于15天；</w:t>
            </w:r>
          </w:p>
          <w:p>
            <w:pPr>
              <w:widowControl/>
              <w:rPr>
                <w:rFonts w:hint="eastAsia" w:ascii="宋体" w:hAnsi="宋体" w:cs="宋体"/>
                <w:sz w:val="20"/>
                <w:szCs w:val="20"/>
              </w:rPr>
            </w:pPr>
            <w:r>
              <w:rPr>
                <w:rFonts w:hint="eastAsia" w:ascii="宋体" w:hAnsi="宋体" w:cs="宋体"/>
                <w:sz w:val="20"/>
                <w:szCs w:val="20"/>
              </w:rPr>
              <w:t>7、支持至少2路WAN接入，至少2路LAN接入，RS485接口，AI/DI/DO接口，48V和12V电源输出；</w:t>
            </w:r>
          </w:p>
          <w:p>
            <w:pPr>
              <w:widowControl/>
              <w:rPr>
                <w:rFonts w:ascii="宋体" w:hAnsi="宋体" w:cs="宋体"/>
                <w:sz w:val="20"/>
                <w:szCs w:val="20"/>
              </w:rPr>
            </w:pPr>
            <w:r>
              <w:rPr>
                <w:rFonts w:hint="eastAsia" w:ascii="宋体" w:hAnsi="宋体" w:cs="宋体"/>
                <w:sz w:val="20"/>
                <w:szCs w:val="20"/>
              </w:rPr>
              <w:t>★8、为了保证密闭冷通道控制器设备运行的的安全与稳定性，需具有社会公共安全产品认证证书及相关证明；</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智能插座</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1、输入电压48VDC；</w:t>
            </w:r>
          </w:p>
          <w:p>
            <w:pPr>
              <w:widowControl/>
              <w:rPr>
                <w:rFonts w:ascii="宋体" w:hAnsi="宋体" w:cs="宋体"/>
                <w:sz w:val="20"/>
                <w:szCs w:val="20"/>
              </w:rPr>
            </w:pPr>
            <w:r>
              <w:rPr>
                <w:rFonts w:hint="eastAsia" w:ascii="宋体" w:hAnsi="宋体" w:cs="宋体"/>
                <w:sz w:val="20"/>
                <w:szCs w:val="20"/>
              </w:rPr>
              <w:t>2、输出至少4个POE接口，负责供电及数据传输。</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微模块执行器</w:t>
            </w:r>
          </w:p>
        </w:tc>
        <w:tc>
          <w:tcPr>
            <w:tcW w:w="3015" w:type="pct"/>
            <w:tcBorders>
              <w:top w:val="nil"/>
              <w:left w:val="nil"/>
              <w:bottom w:val="single" w:color="auto" w:sz="4" w:space="0"/>
              <w:right w:val="single" w:color="auto" w:sz="4" w:space="0"/>
            </w:tcBorders>
            <w:shd w:val="clear" w:color="auto" w:fill="auto"/>
            <w:noWrap/>
            <w:vAlign w:val="top"/>
          </w:tcPr>
          <w:p>
            <w:pPr>
              <w:widowControl/>
              <w:rPr>
                <w:rFonts w:ascii="宋体" w:hAnsi="宋体" w:cs="宋体"/>
                <w:sz w:val="20"/>
                <w:szCs w:val="20"/>
              </w:rPr>
            </w:pPr>
            <w:r>
              <w:rPr>
                <w:rFonts w:hint="eastAsia" w:ascii="宋体" w:hAnsi="宋体" w:cs="宋体"/>
                <w:sz w:val="20"/>
                <w:szCs w:val="20"/>
              </w:rPr>
              <w:t>智能微模块执行器</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转换组件</w:t>
            </w:r>
          </w:p>
        </w:tc>
        <w:tc>
          <w:tcPr>
            <w:tcW w:w="3015" w:type="pct"/>
            <w:tcBorders>
              <w:top w:val="nil"/>
              <w:left w:val="nil"/>
              <w:bottom w:val="single" w:color="auto" w:sz="4" w:space="0"/>
              <w:right w:val="single" w:color="auto" w:sz="4" w:space="0"/>
            </w:tcBorders>
            <w:shd w:val="clear" w:color="auto" w:fill="auto"/>
            <w:noWrap/>
            <w:vAlign w:val="top"/>
          </w:tcPr>
          <w:p>
            <w:pPr>
              <w:widowControl/>
              <w:rPr>
                <w:rFonts w:ascii="宋体" w:hAnsi="宋体" w:cs="宋体"/>
                <w:sz w:val="20"/>
                <w:szCs w:val="20"/>
              </w:rPr>
            </w:pPr>
            <w:r>
              <w:rPr>
                <w:rFonts w:hint="eastAsia" w:ascii="宋体" w:hAnsi="宋体" w:cs="宋体"/>
                <w:sz w:val="20"/>
                <w:szCs w:val="20"/>
              </w:rPr>
              <w:t>Wifi信号转换组件</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烟雾传感器</w:t>
            </w:r>
          </w:p>
        </w:tc>
        <w:tc>
          <w:tcPr>
            <w:tcW w:w="3015" w:type="pct"/>
            <w:tcBorders>
              <w:top w:val="nil"/>
              <w:left w:val="nil"/>
              <w:bottom w:val="single" w:color="auto" w:sz="4" w:space="0"/>
              <w:right w:val="single" w:color="auto" w:sz="4" w:space="0"/>
            </w:tcBorders>
            <w:shd w:val="clear" w:color="auto" w:fill="auto"/>
            <w:noWrap/>
            <w:vAlign w:val="top"/>
          </w:tcPr>
          <w:p>
            <w:pPr>
              <w:widowControl/>
              <w:rPr>
                <w:rFonts w:ascii="宋体" w:hAnsi="宋体" w:cs="宋体"/>
                <w:sz w:val="20"/>
                <w:szCs w:val="20"/>
              </w:rPr>
            </w:pPr>
            <w:r>
              <w:rPr>
                <w:rFonts w:hint="eastAsia" w:ascii="宋体" w:hAnsi="宋体" w:cs="宋体"/>
                <w:sz w:val="20"/>
                <w:szCs w:val="20"/>
              </w:rPr>
              <w:t>传感器-烟雾传感器-12VDC-2线制电流型输出</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非定位式水浸传感器</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1、绝缘电阻&gt; 500M</w:t>
            </w:r>
            <w:r>
              <w:rPr>
                <w:rFonts w:ascii="Calibri" w:hAnsi="Calibri" w:cs="Calibri"/>
                <w:sz w:val="20"/>
                <w:szCs w:val="20"/>
              </w:rPr>
              <w:t>Ω</w:t>
            </w:r>
            <w:r>
              <w:rPr>
                <w:rFonts w:hint="eastAsia" w:ascii="宋体" w:hAnsi="宋体" w:cs="宋体"/>
                <w:sz w:val="20"/>
                <w:szCs w:val="20"/>
              </w:rPr>
              <w:t>；</w:t>
            </w:r>
          </w:p>
          <w:p>
            <w:pPr>
              <w:widowControl/>
              <w:rPr>
                <w:rFonts w:ascii="宋体" w:hAnsi="宋体" w:cs="宋体"/>
                <w:sz w:val="20"/>
                <w:szCs w:val="20"/>
              </w:rPr>
            </w:pPr>
            <w:r>
              <w:rPr>
                <w:rFonts w:hint="eastAsia" w:ascii="宋体" w:hAnsi="宋体" w:cs="宋体"/>
                <w:sz w:val="20"/>
                <w:szCs w:val="20"/>
              </w:rPr>
              <w:t>2、支持快接端子连接，支持灵活延长，最长延长至50m，支持声音报警和</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水浸传感器检测绳</w:t>
            </w:r>
          </w:p>
        </w:tc>
        <w:tc>
          <w:tcPr>
            <w:tcW w:w="3015" w:type="pct"/>
            <w:tcBorders>
              <w:top w:val="nil"/>
              <w:left w:val="nil"/>
              <w:bottom w:val="single" w:color="auto" w:sz="4" w:space="0"/>
              <w:right w:val="single" w:color="auto" w:sz="4" w:space="0"/>
            </w:tcBorders>
            <w:shd w:val="clear" w:color="auto" w:fill="auto"/>
            <w:noWrap/>
            <w:vAlign w:val="top"/>
          </w:tcPr>
          <w:p>
            <w:pPr>
              <w:widowControl/>
              <w:rPr>
                <w:rFonts w:ascii="宋体" w:hAnsi="宋体" w:cs="宋体"/>
                <w:sz w:val="20"/>
                <w:szCs w:val="20"/>
              </w:rPr>
            </w:pPr>
            <w:r>
              <w:rPr>
                <w:rFonts w:hint="eastAsia" w:ascii="宋体" w:hAnsi="宋体" w:cs="宋体"/>
                <w:sz w:val="20"/>
                <w:szCs w:val="20"/>
              </w:rPr>
              <w:t>长度5m，定位监测</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条</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温湿度传感器</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1、测温范围–20℃～+70℃；</w:t>
            </w:r>
          </w:p>
          <w:p>
            <w:pPr>
              <w:widowControl/>
              <w:rPr>
                <w:rFonts w:ascii="宋体" w:hAnsi="宋体" w:cs="宋体"/>
                <w:sz w:val="20"/>
                <w:szCs w:val="20"/>
              </w:rPr>
            </w:pPr>
            <w:r>
              <w:rPr>
                <w:rFonts w:hint="eastAsia" w:ascii="宋体" w:hAnsi="宋体" w:cs="宋体"/>
                <w:sz w:val="20"/>
                <w:szCs w:val="20"/>
              </w:rPr>
              <w:t>2、工作电压：10V DC～16V DC</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nil"/>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843" w:type="pc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监控线缆</w:t>
            </w:r>
          </w:p>
        </w:tc>
        <w:tc>
          <w:tcPr>
            <w:tcW w:w="3015" w:type="pct"/>
            <w:tcBorders>
              <w:top w:val="nil"/>
              <w:left w:val="nil"/>
              <w:bottom w:val="single" w:color="auto" w:sz="4" w:space="0"/>
              <w:right w:val="single" w:color="auto" w:sz="4" w:space="0"/>
            </w:tcBorders>
            <w:shd w:val="clear" w:color="auto" w:fill="auto"/>
            <w:noWrap/>
            <w:vAlign w:val="top"/>
          </w:tcPr>
          <w:p>
            <w:pPr>
              <w:widowControl/>
              <w:rPr>
                <w:rFonts w:ascii="宋体" w:hAnsi="宋体" w:cs="宋体"/>
                <w:sz w:val="20"/>
                <w:szCs w:val="20"/>
              </w:rPr>
            </w:pPr>
            <w:r>
              <w:rPr>
                <w:rFonts w:hint="eastAsia" w:ascii="宋体" w:hAnsi="宋体" w:cs="宋体"/>
                <w:sz w:val="20"/>
                <w:szCs w:val="20"/>
              </w:rPr>
              <w:t>动环监控标配线缆</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批</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1219" w:type="pct"/>
            <w:gridSpan w:val="2"/>
            <w:tcBorders>
              <w:top w:val="single" w:color="auto" w:sz="4" w:space="0"/>
              <w:bottom w:val="single" w:color="auto" w:sz="4" w:space="0"/>
              <w:right w:val="single" w:color="000000"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3.备电系统</w:t>
            </w:r>
          </w:p>
        </w:tc>
        <w:tc>
          <w:tcPr>
            <w:tcW w:w="3015" w:type="pct"/>
            <w:tcBorders>
              <w:top w:val="nil"/>
              <w:left w:val="nil"/>
              <w:bottom w:val="single" w:color="auto" w:sz="4" w:space="0"/>
              <w:right w:val="single" w:color="auto"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c>
          <w:tcPr>
            <w:tcW w:w="375" w:type="pct"/>
            <w:tcBorders>
              <w:top w:val="nil"/>
              <w:bottom w:val="single" w:color="auto" w:sz="4" w:space="0"/>
              <w:right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c>
          <w:tcPr>
            <w:tcW w:w="843" w:type="pct"/>
            <w:tcBorders>
              <w:top w:val="nil"/>
              <w:left w:val="nil"/>
              <w:bottom w:val="single" w:color="auto" w:sz="4" w:space="0"/>
              <w:right w:val="single" w:color="auto" w:sz="4" w:space="0"/>
            </w:tcBorders>
            <w:noWrap/>
            <w:vAlign w:val="center"/>
          </w:tcPr>
          <w:p>
            <w:pPr>
              <w:widowControl/>
              <w:rPr>
                <w:rFonts w:ascii="宋体" w:hAnsi="宋体" w:cs="宋体"/>
                <w:sz w:val="20"/>
                <w:szCs w:val="20"/>
              </w:rPr>
            </w:pPr>
            <w:r>
              <w:rPr>
                <w:rFonts w:hint="eastAsia" w:ascii="宋体" w:hAnsi="宋体" w:cs="宋体"/>
                <w:sz w:val="20"/>
                <w:szCs w:val="20"/>
              </w:rPr>
              <w:t>蓄电池</w:t>
            </w:r>
          </w:p>
        </w:tc>
        <w:tc>
          <w:tcPr>
            <w:tcW w:w="3015" w:type="pct"/>
            <w:tcBorders>
              <w:top w:val="nil"/>
              <w:left w:val="nil"/>
              <w:bottom w:val="single" w:color="auto" w:sz="4" w:space="0"/>
              <w:right w:val="single" w:color="auto" w:sz="4" w:space="0"/>
            </w:tcBorders>
            <w:noWrap/>
            <w:vAlign w:val="center"/>
          </w:tcPr>
          <w:p>
            <w:pPr>
              <w:widowControl/>
              <w:rPr>
                <w:rFonts w:ascii="宋体" w:hAnsi="宋体" w:cs="宋体"/>
                <w:sz w:val="20"/>
                <w:szCs w:val="20"/>
              </w:rPr>
            </w:pPr>
            <w:r>
              <w:rPr>
                <w:rFonts w:hint="eastAsia" w:ascii="宋体" w:hAnsi="宋体" w:cs="宋体"/>
                <w:sz w:val="20"/>
                <w:szCs w:val="20"/>
              </w:rPr>
              <w:t>阀控式铅酸蓄电池，12V100AH，含电池连接线</w:t>
            </w:r>
          </w:p>
        </w:tc>
        <w:tc>
          <w:tcPr>
            <w:tcW w:w="382" w:type="pct"/>
            <w:tcBorders>
              <w:top w:val="nil"/>
              <w:left w:val="nil"/>
              <w:bottom w:val="single" w:color="auto" w:sz="4" w:space="0"/>
              <w:right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843" w:type="pct"/>
            <w:tcBorders>
              <w:top w:val="nil"/>
              <w:left w:val="nil"/>
              <w:bottom w:val="single" w:color="auto" w:sz="4" w:space="0"/>
              <w:right w:val="single" w:color="auto" w:sz="4" w:space="0"/>
            </w:tcBorders>
            <w:noWrap/>
            <w:vAlign w:val="center"/>
          </w:tcPr>
          <w:p>
            <w:pPr>
              <w:widowControl/>
              <w:rPr>
                <w:rFonts w:ascii="宋体" w:hAnsi="宋体" w:cs="宋体"/>
                <w:sz w:val="20"/>
                <w:szCs w:val="20"/>
              </w:rPr>
            </w:pPr>
            <w:r>
              <w:rPr>
                <w:rFonts w:hint="eastAsia" w:ascii="宋体" w:hAnsi="宋体" w:cs="宋体"/>
                <w:sz w:val="20"/>
                <w:szCs w:val="20"/>
              </w:rPr>
              <w:t>开关盒</w:t>
            </w:r>
          </w:p>
        </w:tc>
        <w:tc>
          <w:tcPr>
            <w:tcW w:w="3015" w:type="pct"/>
            <w:tcBorders>
              <w:top w:val="nil"/>
              <w:left w:val="nil"/>
              <w:bottom w:val="single" w:color="auto" w:sz="4" w:space="0"/>
              <w:right w:val="single" w:color="auto" w:sz="4" w:space="0"/>
            </w:tcBorders>
            <w:noWrap/>
            <w:vAlign w:val="center"/>
          </w:tcPr>
          <w:p>
            <w:pPr>
              <w:widowControl/>
              <w:rPr>
                <w:rFonts w:ascii="宋体" w:hAnsi="宋体" w:cs="宋体"/>
                <w:sz w:val="20"/>
                <w:szCs w:val="20"/>
              </w:rPr>
            </w:pPr>
            <w:r>
              <w:rPr>
                <w:rFonts w:hint="eastAsia" w:ascii="宋体" w:hAnsi="宋体" w:cs="宋体"/>
                <w:sz w:val="20"/>
                <w:szCs w:val="20"/>
              </w:rPr>
              <w:t>电池开关盒-250A-3P-600Vdc-带中线</w:t>
            </w:r>
          </w:p>
        </w:tc>
        <w:tc>
          <w:tcPr>
            <w:tcW w:w="382" w:type="pct"/>
            <w:tcBorders>
              <w:top w:val="nil"/>
              <w:left w:val="nil"/>
              <w:bottom w:val="single" w:color="auto" w:sz="4" w:space="0"/>
              <w:right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3</w:t>
            </w:r>
          </w:p>
        </w:tc>
        <w:tc>
          <w:tcPr>
            <w:tcW w:w="843" w:type="pct"/>
            <w:tcBorders>
              <w:top w:val="nil"/>
              <w:left w:val="nil"/>
              <w:bottom w:val="single" w:color="auto" w:sz="4" w:space="0"/>
              <w:right w:val="single" w:color="auto" w:sz="4" w:space="0"/>
            </w:tcBorders>
            <w:noWrap/>
            <w:vAlign w:val="center"/>
          </w:tcPr>
          <w:p>
            <w:pPr>
              <w:widowControl/>
              <w:rPr>
                <w:rFonts w:ascii="宋体" w:hAnsi="宋体" w:cs="宋体"/>
                <w:sz w:val="20"/>
                <w:szCs w:val="20"/>
              </w:rPr>
            </w:pPr>
            <w:r>
              <w:rPr>
                <w:rFonts w:hint="eastAsia" w:ascii="宋体" w:hAnsi="宋体" w:cs="宋体"/>
                <w:sz w:val="20"/>
                <w:szCs w:val="20"/>
              </w:rPr>
              <w:t>电池架</w:t>
            </w:r>
          </w:p>
        </w:tc>
        <w:tc>
          <w:tcPr>
            <w:tcW w:w="3015" w:type="pct"/>
            <w:tcBorders>
              <w:top w:val="nil"/>
              <w:left w:val="nil"/>
              <w:bottom w:val="single" w:color="auto" w:sz="4" w:space="0"/>
              <w:right w:val="single" w:color="auto" w:sz="4" w:space="0"/>
            </w:tcBorders>
            <w:noWrap/>
            <w:vAlign w:val="center"/>
          </w:tcPr>
          <w:p>
            <w:pPr>
              <w:widowControl/>
              <w:rPr>
                <w:rFonts w:ascii="宋体" w:hAnsi="宋体" w:cs="宋体"/>
                <w:sz w:val="20"/>
                <w:szCs w:val="20"/>
              </w:rPr>
            </w:pPr>
            <w:r>
              <w:rPr>
                <w:rFonts w:hint="eastAsia" w:ascii="宋体" w:hAnsi="宋体" w:cs="宋体"/>
                <w:sz w:val="20"/>
                <w:szCs w:val="20"/>
              </w:rPr>
              <w:t>电池安装架</w:t>
            </w:r>
          </w:p>
        </w:tc>
        <w:tc>
          <w:tcPr>
            <w:tcW w:w="382" w:type="pct"/>
            <w:tcBorders>
              <w:top w:val="nil"/>
              <w:left w:val="nil"/>
              <w:bottom w:val="single" w:color="auto" w:sz="4" w:space="0"/>
              <w:right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1219" w:type="pct"/>
            <w:gridSpan w:val="2"/>
            <w:tcBorders>
              <w:top w:val="single" w:color="auto" w:sz="4" w:space="0"/>
              <w:bottom w:val="single" w:color="auto" w:sz="4" w:space="0"/>
              <w:right w:val="single" w:color="000000"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4.安装辅材</w:t>
            </w:r>
          </w:p>
        </w:tc>
        <w:tc>
          <w:tcPr>
            <w:tcW w:w="3015" w:type="pct"/>
            <w:tcBorders>
              <w:top w:val="nil"/>
              <w:left w:val="nil"/>
              <w:bottom w:val="single" w:color="auto" w:sz="4" w:space="0"/>
              <w:right w:val="single" w:color="auto"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设备连接电缆</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sz w:val="20"/>
                <w:szCs w:val="20"/>
              </w:rPr>
            </w:pPr>
            <w:r>
              <w:rPr>
                <w:rFonts w:hint="eastAsia" w:ascii="宋体" w:hAnsi="宋体" w:cs="宋体"/>
                <w:sz w:val="20"/>
                <w:szCs w:val="20"/>
              </w:rPr>
              <w:t>PDU电缆-电源线-600V/1000V-ZA-RVV-3x6mm^2-黑(3芯:棕,蓝,黄/绿)-46A-户外电缆-CE</w:t>
            </w:r>
          </w:p>
          <w:p>
            <w:pPr>
              <w:widowControl/>
              <w:rPr>
                <w:rFonts w:hint="eastAsia" w:ascii="宋体" w:hAnsi="宋体" w:cs="宋体"/>
                <w:sz w:val="20"/>
                <w:szCs w:val="20"/>
              </w:rPr>
            </w:pPr>
            <w:r>
              <w:rPr>
                <w:rFonts w:hint="eastAsia" w:ascii="宋体" w:hAnsi="宋体" w:cs="宋体"/>
                <w:sz w:val="20"/>
                <w:szCs w:val="20"/>
              </w:rPr>
              <w:t>空调电源线-电源线-600V/1000V-ZA-RVV-5x10mm^2-黑(5芯:红,黄,绿,蓝,黑)-63A-户外电缆-CE</w:t>
            </w:r>
          </w:p>
          <w:p>
            <w:pPr>
              <w:widowControl/>
              <w:rPr>
                <w:rFonts w:hint="eastAsia" w:ascii="宋体" w:hAnsi="宋体" w:cs="宋体"/>
                <w:sz w:val="20"/>
                <w:szCs w:val="20"/>
              </w:rPr>
            </w:pPr>
            <w:r>
              <w:rPr>
                <w:rFonts w:hint="eastAsia" w:ascii="宋体" w:hAnsi="宋体" w:cs="宋体"/>
                <w:sz w:val="20"/>
                <w:szCs w:val="20"/>
              </w:rPr>
              <w:t>室外机电缆-电源线-600V/1000V-ZA-RVV-5x2.5mm^2-黑(5芯:红,黄,绿,蓝,黑)-27A-户外电缆-CE</w:t>
            </w:r>
          </w:p>
          <w:p>
            <w:pPr>
              <w:widowControl/>
              <w:rPr>
                <w:rFonts w:hint="eastAsia" w:ascii="宋体" w:hAnsi="宋体" w:cs="宋体"/>
                <w:sz w:val="20"/>
                <w:szCs w:val="20"/>
              </w:rPr>
            </w:pPr>
            <w:r>
              <w:rPr>
                <w:rFonts w:hint="eastAsia" w:ascii="宋体" w:hAnsi="宋体" w:cs="宋体"/>
                <w:sz w:val="20"/>
                <w:szCs w:val="20"/>
              </w:rPr>
              <w:t>室外机通信线-电源线-300V-SJTW-3x16AWG-黑(3芯:黑,白,绿)-10A-屏蔽型户外电缆-UL</w:t>
            </w:r>
          </w:p>
          <w:p>
            <w:pPr>
              <w:widowControl/>
              <w:rPr>
                <w:rFonts w:hint="eastAsia" w:ascii="宋体" w:hAnsi="宋体" w:cs="宋体"/>
                <w:sz w:val="20"/>
                <w:szCs w:val="20"/>
              </w:rPr>
            </w:pPr>
            <w:r>
              <w:rPr>
                <w:rFonts w:hint="eastAsia" w:ascii="宋体" w:hAnsi="宋体" w:cs="宋体"/>
                <w:sz w:val="20"/>
                <w:szCs w:val="20"/>
              </w:rPr>
              <w:t>接地线-电源线-450V/750V-60227 IEC 02(RV)-16mm^2-黄/绿-85A-CCC,CE</w:t>
            </w:r>
          </w:p>
          <w:p>
            <w:pPr>
              <w:widowControl/>
              <w:rPr>
                <w:rFonts w:ascii="宋体" w:hAnsi="宋体" w:cs="宋体"/>
                <w:sz w:val="20"/>
                <w:szCs w:val="20"/>
              </w:rPr>
            </w:pPr>
            <w:r>
              <w:rPr>
                <w:rFonts w:hint="eastAsia" w:ascii="宋体" w:hAnsi="宋体" w:cs="宋体"/>
                <w:sz w:val="20"/>
                <w:szCs w:val="20"/>
              </w:rPr>
              <w:t>UPS电源线-电源线-BVR16mm^2</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批</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其它辅材</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空调铜管7/8"(气管)&amp;5/8"(液管)；R410制冷剂等空调安装材料</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批</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底座</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含机柜、一体化UPS、空调内机、空调外机、电池架底座</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安装费</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运输、安装就位及调试</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项</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1219" w:type="pct"/>
            <w:gridSpan w:val="2"/>
            <w:tcBorders>
              <w:top w:val="single" w:color="auto" w:sz="4" w:space="0"/>
              <w:bottom w:val="single" w:color="auto" w:sz="4" w:space="0"/>
              <w:right w:val="single" w:color="000000"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5.校园网络</w:t>
            </w:r>
          </w:p>
        </w:tc>
        <w:tc>
          <w:tcPr>
            <w:tcW w:w="3015" w:type="pct"/>
            <w:tcBorders>
              <w:top w:val="nil"/>
              <w:left w:val="nil"/>
              <w:bottom w:val="single" w:color="auto" w:sz="4" w:space="0"/>
              <w:right w:val="single" w:color="auto"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出口防火墙</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ascii="宋体" w:hAnsi="宋体" w:cs="宋体"/>
                <w:sz w:val="20"/>
                <w:szCs w:val="20"/>
              </w:rPr>
            </w:pPr>
            <w:r>
              <w:rPr>
                <w:rFonts w:hint="eastAsia" w:ascii="宋体" w:hAnsi="宋体" w:cs="宋体"/>
                <w:sz w:val="20"/>
                <w:szCs w:val="20"/>
              </w:rPr>
              <w:t>技术指标：</w:t>
            </w:r>
          </w:p>
          <w:p>
            <w:pPr>
              <w:widowControl/>
              <w:rPr>
                <w:rFonts w:ascii="宋体" w:hAnsi="宋体" w:cs="宋体"/>
                <w:sz w:val="20"/>
                <w:szCs w:val="20"/>
              </w:rPr>
            </w:pPr>
            <w:r>
              <w:rPr>
                <w:rFonts w:hint="eastAsia" w:ascii="宋体" w:hAnsi="宋体" w:cs="宋体"/>
                <w:sz w:val="20"/>
                <w:szCs w:val="20"/>
              </w:rPr>
              <w:t>★1、硬件要求：1U设备，千兆电口≥12，千兆光口≥8，万兆光口≥4，支持USB3.0</w:t>
            </w:r>
          </w:p>
          <w:p>
            <w:pPr>
              <w:widowControl/>
              <w:rPr>
                <w:rFonts w:ascii="宋体" w:hAnsi="宋体" w:cs="宋体"/>
                <w:sz w:val="20"/>
                <w:szCs w:val="20"/>
              </w:rPr>
            </w:pPr>
            <w:r>
              <w:rPr>
                <w:rFonts w:hint="eastAsia" w:ascii="宋体" w:hAnsi="宋体" w:cs="宋体"/>
                <w:sz w:val="20"/>
                <w:szCs w:val="20"/>
              </w:rPr>
              <w:t>★2、吞吐量≥20Gbps，最大并发连接数≥800万，每秒新建连接数≥20万，IPSec吞吐量≥20Gbps，IPS吞吐量≥10Gbps；</w:t>
            </w:r>
          </w:p>
          <w:p>
            <w:pPr>
              <w:widowControl/>
              <w:rPr>
                <w:rFonts w:ascii="宋体" w:hAnsi="宋体" w:cs="宋体"/>
                <w:sz w:val="20"/>
                <w:szCs w:val="20"/>
              </w:rPr>
            </w:pPr>
            <w:r>
              <w:rPr>
                <w:rFonts w:hint="eastAsia" w:ascii="宋体" w:hAnsi="宋体" w:cs="宋体"/>
                <w:sz w:val="20"/>
                <w:szCs w:val="20"/>
              </w:rPr>
              <w:t>3、策略路由支持的匹配条件：源IP/目的IP，服务类型，应用类型，用户(组)，入接口，DSCP优先级</w:t>
            </w:r>
          </w:p>
          <w:p>
            <w:pPr>
              <w:widowControl/>
              <w:rPr>
                <w:rFonts w:ascii="宋体" w:hAnsi="宋体" w:cs="宋体"/>
                <w:sz w:val="20"/>
                <w:szCs w:val="20"/>
              </w:rPr>
            </w:pPr>
            <w:r>
              <w:rPr>
                <w:rFonts w:hint="eastAsia" w:ascii="宋体" w:hAnsi="宋体" w:cs="宋体"/>
                <w:sz w:val="20"/>
                <w:szCs w:val="20"/>
              </w:rPr>
              <w:t>4、可支持基于应用层协议设置流控策略，包括设置最大带宽、保证带宽、协议流量优先级等</w:t>
            </w:r>
          </w:p>
          <w:p>
            <w:pPr>
              <w:widowControl/>
              <w:rPr>
                <w:rFonts w:ascii="宋体" w:hAnsi="宋体" w:cs="宋体"/>
                <w:sz w:val="20"/>
                <w:szCs w:val="20"/>
              </w:rPr>
            </w:pPr>
            <w:r>
              <w:rPr>
                <w:rFonts w:hint="eastAsia" w:ascii="宋体" w:hAnsi="宋体" w:cs="宋体"/>
                <w:sz w:val="20"/>
                <w:szCs w:val="20"/>
              </w:rPr>
              <w:t>5、基于特征检测，支持超过8000种特征的攻击检测和防御</w:t>
            </w:r>
          </w:p>
          <w:p>
            <w:pPr>
              <w:widowControl/>
              <w:rPr>
                <w:rFonts w:ascii="宋体" w:hAnsi="宋体" w:cs="宋体"/>
                <w:sz w:val="20"/>
                <w:szCs w:val="20"/>
              </w:rPr>
            </w:pPr>
            <w:r>
              <w:rPr>
                <w:rFonts w:hint="eastAsia" w:ascii="宋体" w:hAnsi="宋体" w:cs="宋体"/>
                <w:sz w:val="20"/>
                <w:szCs w:val="20"/>
              </w:rPr>
              <w:t>★6、单机配置：千兆电口≥12，千兆光口≥8，万兆光口≥4，配置双电源，提供3年IPS、AV、URL，配置≥200G固态硬盘1块。</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核心交换机</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技术指标：</w:t>
            </w:r>
          </w:p>
          <w:p>
            <w:pPr>
              <w:widowControl/>
              <w:rPr>
                <w:rFonts w:hint="eastAsia" w:ascii="宋体" w:hAnsi="宋体" w:cs="宋体"/>
                <w:sz w:val="20"/>
                <w:szCs w:val="20"/>
              </w:rPr>
            </w:pPr>
            <w:r>
              <w:rPr>
                <w:rFonts w:hint="eastAsia" w:ascii="宋体" w:hAnsi="宋体" w:cs="宋体"/>
                <w:sz w:val="20"/>
                <w:szCs w:val="20"/>
              </w:rPr>
              <w:t>1、★交换容量≥230Tbps，包转发率≥14000Mpps，以官网最小值为准；</w:t>
            </w:r>
          </w:p>
          <w:p>
            <w:pPr>
              <w:widowControl/>
              <w:rPr>
                <w:rFonts w:hint="eastAsia" w:ascii="宋体" w:hAnsi="宋体" w:cs="宋体"/>
                <w:sz w:val="20"/>
                <w:szCs w:val="20"/>
              </w:rPr>
            </w:pPr>
            <w:r>
              <w:rPr>
                <w:rFonts w:hint="eastAsia" w:ascii="宋体" w:hAnsi="宋体" w:cs="宋体"/>
                <w:sz w:val="20"/>
                <w:szCs w:val="20"/>
              </w:rPr>
              <w:t>2、★单台设备主控引擎与交换网板物理分离；主控引擎≥2；独立交换网板≥2；整机业务板槽位数≥4；采用信元交换架构；</w:t>
            </w:r>
          </w:p>
          <w:p>
            <w:pPr>
              <w:widowControl/>
              <w:rPr>
                <w:rFonts w:hint="eastAsia" w:ascii="宋体" w:hAnsi="宋体" w:cs="宋体"/>
                <w:sz w:val="20"/>
                <w:szCs w:val="20"/>
              </w:rPr>
            </w:pPr>
            <w:r>
              <w:rPr>
                <w:rFonts w:hint="eastAsia" w:ascii="宋体" w:hAnsi="宋体" w:cs="宋体"/>
                <w:sz w:val="20"/>
                <w:szCs w:val="20"/>
              </w:rPr>
              <w:t>3、主控槽位与业务线卡槽位宽度相同，为全宽槽位；</w:t>
            </w:r>
          </w:p>
          <w:p>
            <w:pPr>
              <w:widowControl/>
              <w:rPr>
                <w:rFonts w:hint="eastAsia" w:ascii="宋体" w:hAnsi="宋体" w:cs="宋体"/>
                <w:sz w:val="20"/>
                <w:szCs w:val="20"/>
              </w:rPr>
            </w:pPr>
            <w:r>
              <w:rPr>
                <w:rFonts w:hint="eastAsia" w:ascii="宋体" w:hAnsi="宋体" w:cs="宋体"/>
                <w:sz w:val="20"/>
                <w:szCs w:val="20"/>
              </w:rPr>
              <w:t>4、★为保证设备散热效果和可靠性，要求设备支持模块化风扇框，可热插拔，当单个风扇框发生故障时，有其他风扇正常运行，保证设备散热，独立风扇框数≥2 ；</w:t>
            </w:r>
          </w:p>
          <w:p>
            <w:pPr>
              <w:widowControl/>
              <w:rPr>
                <w:rFonts w:hint="eastAsia" w:ascii="宋体" w:hAnsi="宋体" w:cs="宋体"/>
                <w:sz w:val="20"/>
                <w:szCs w:val="20"/>
              </w:rPr>
            </w:pPr>
            <w:r>
              <w:rPr>
                <w:rFonts w:hint="eastAsia" w:ascii="宋体" w:hAnsi="宋体" w:cs="宋体"/>
                <w:sz w:val="20"/>
                <w:szCs w:val="20"/>
              </w:rPr>
              <w:t>5、支持颗粒化电源，支持M+N电源冗余（AC和DC均支持），电源个数≥4；</w:t>
            </w:r>
          </w:p>
          <w:p>
            <w:pPr>
              <w:widowControl/>
              <w:rPr>
                <w:rFonts w:hint="eastAsia" w:ascii="宋体" w:hAnsi="宋体" w:cs="宋体"/>
                <w:sz w:val="20"/>
                <w:szCs w:val="20"/>
              </w:rPr>
            </w:pPr>
            <w:r>
              <w:rPr>
                <w:rFonts w:hint="eastAsia" w:ascii="宋体" w:hAnsi="宋体" w:cs="宋体"/>
                <w:sz w:val="20"/>
                <w:szCs w:val="20"/>
              </w:rPr>
              <w:t>6、支持横向虚拟化技术，将多台设备虚拟为一台，支持长距离集群；</w:t>
            </w:r>
          </w:p>
          <w:p>
            <w:pPr>
              <w:widowControl/>
              <w:rPr>
                <w:rFonts w:hint="eastAsia" w:ascii="宋体" w:hAnsi="宋体" w:cs="宋体"/>
                <w:sz w:val="20"/>
                <w:szCs w:val="20"/>
              </w:rPr>
            </w:pPr>
            <w:r>
              <w:rPr>
                <w:rFonts w:hint="eastAsia" w:ascii="宋体" w:hAnsi="宋体" w:cs="宋体"/>
                <w:sz w:val="20"/>
                <w:szCs w:val="20"/>
              </w:rPr>
              <w:t>7、支持静态路由、RIP、RIPng、OSPF、OSPFv3、BGP、BGP4+、ISIS、ISISv6 ；</w:t>
            </w:r>
          </w:p>
          <w:p>
            <w:pPr>
              <w:widowControl/>
            </w:pPr>
            <w:r>
              <w:rPr>
                <w:rFonts w:hint="eastAsia" w:ascii="宋体" w:hAnsi="宋体" w:cs="宋体"/>
                <w:sz w:val="20"/>
                <w:szCs w:val="20"/>
              </w:rPr>
              <w:t>8、★单台配置：双主控、双交换网板、2400W以上电源2块；万兆光端口≥48,千兆电口≥48；3米万兆堆叠线缆*2；</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汇聚交换机</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技术指标：</w:t>
            </w:r>
          </w:p>
          <w:p>
            <w:pPr>
              <w:widowControl/>
              <w:rPr>
                <w:rFonts w:hint="eastAsia" w:ascii="宋体" w:hAnsi="宋体" w:cs="宋体"/>
                <w:sz w:val="20"/>
                <w:szCs w:val="20"/>
              </w:rPr>
            </w:pPr>
            <w:r>
              <w:rPr>
                <w:rFonts w:hint="eastAsia" w:ascii="宋体" w:hAnsi="宋体" w:cs="宋体"/>
                <w:sz w:val="20"/>
                <w:szCs w:val="20"/>
              </w:rPr>
              <w:t>1、★交换容量≥640Gbps，包转发率≥140Mpps，以官网最小值为准；</w:t>
            </w:r>
          </w:p>
          <w:p>
            <w:pPr>
              <w:widowControl/>
              <w:rPr>
                <w:rFonts w:hint="eastAsia" w:ascii="宋体" w:hAnsi="宋体" w:cs="宋体"/>
                <w:sz w:val="20"/>
                <w:szCs w:val="20"/>
              </w:rPr>
            </w:pPr>
            <w:r>
              <w:rPr>
                <w:rFonts w:hint="eastAsia" w:ascii="宋体" w:hAnsi="宋体" w:cs="宋体"/>
                <w:sz w:val="20"/>
                <w:szCs w:val="20"/>
              </w:rPr>
              <w:t>2、★支持千兆SFP接口≥48个，万兆SFP+接口≥4个；</w:t>
            </w:r>
          </w:p>
          <w:p>
            <w:pPr>
              <w:widowControl/>
              <w:rPr>
                <w:rFonts w:hint="eastAsia" w:ascii="宋体" w:hAnsi="宋体" w:cs="宋体"/>
                <w:sz w:val="20"/>
                <w:szCs w:val="20"/>
              </w:rPr>
            </w:pPr>
            <w:r>
              <w:rPr>
                <w:rFonts w:hint="eastAsia" w:ascii="宋体" w:hAnsi="宋体" w:cs="宋体"/>
                <w:sz w:val="20"/>
                <w:szCs w:val="20"/>
              </w:rPr>
              <w:t>3、★为了提高设备可靠性，支持并配置可插拔的双电源；</w:t>
            </w:r>
          </w:p>
          <w:p>
            <w:pPr>
              <w:widowControl/>
              <w:rPr>
                <w:rFonts w:hint="eastAsia" w:ascii="宋体" w:hAnsi="宋体" w:cs="宋体"/>
                <w:sz w:val="20"/>
                <w:szCs w:val="20"/>
              </w:rPr>
            </w:pPr>
            <w:r>
              <w:rPr>
                <w:rFonts w:hint="eastAsia" w:ascii="宋体" w:hAnsi="宋体" w:cs="宋体"/>
                <w:sz w:val="20"/>
                <w:szCs w:val="20"/>
              </w:rPr>
              <w:t>4、支持MAC地址≥64K，IPv4路由表≥16K，IPv6路由表≥8K；</w:t>
            </w:r>
          </w:p>
          <w:p>
            <w:pPr>
              <w:widowControl/>
              <w:rPr>
                <w:rFonts w:hint="eastAsia" w:ascii="宋体" w:hAnsi="宋体" w:cs="宋体"/>
                <w:sz w:val="20"/>
                <w:szCs w:val="20"/>
              </w:rPr>
            </w:pPr>
            <w:r>
              <w:rPr>
                <w:rFonts w:hint="eastAsia" w:ascii="宋体" w:hAnsi="宋体" w:cs="宋体"/>
                <w:sz w:val="20"/>
                <w:szCs w:val="20"/>
              </w:rPr>
              <w:t>5、 支持4K个VLAN，支持Guest VLAN、Voice VLAN，支持基于MAC/协议/IP子网/策略/端口的VLAN，1:1和N:1 VLAN交换功能；</w:t>
            </w:r>
          </w:p>
          <w:p>
            <w:pPr>
              <w:widowControl/>
              <w:rPr>
                <w:rFonts w:hint="eastAsia" w:ascii="宋体" w:hAnsi="宋体" w:cs="宋体"/>
                <w:sz w:val="20"/>
                <w:szCs w:val="20"/>
              </w:rPr>
            </w:pPr>
            <w:r>
              <w:rPr>
                <w:rFonts w:hint="eastAsia" w:ascii="宋体" w:hAnsi="宋体" w:cs="宋体"/>
                <w:sz w:val="20"/>
                <w:szCs w:val="20"/>
              </w:rPr>
              <w:t>6、 支持静态路由、RIP v1/v2、OSPF、BGP、ISIS、RIPng、OSPFv3、ISISv6、BGP4+；</w:t>
            </w:r>
          </w:p>
          <w:p>
            <w:pPr>
              <w:widowControl/>
              <w:rPr>
                <w:rFonts w:hint="eastAsia" w:ascii="宋体" w:hAnsi="宋体" w:cs="宋体"/>
                <w:sz w:val="20"/>
                <w:szCs w:val="20"/>
              </w:rPr>
            </w:pPr>
            <w:r>
              <w:rPr>
                <w:rFonts w:hint="eastAsia" w:ascii="宋体" w:hAnsi="宋体" w:cs="宋体"/>
                <w:sz w:val="20"/>
                <w:szCs w:val="20"/>
              </w:rPr>
              <w:t>7、 支持策略路由、路由策略、VRRP、BFD for OSPF、BGP、IS-IS、Static Route，支持IPv6、支持IPv4/IPv6双栈、IPv6 over IPv4隧道、IPv4 over IPv6隧道；</w:t>
            </w:r>
          </w:p>
          <w:p>
            <w:pPr>
              <w:widowControl/>
              <w:rPr>
                <w:rFonts w:ascii="宋体" w:hAnsi="宋体" w:cs="宋体"/>
                <w:sz w:val="20"/>
                <w:szCs w:val="20"/>
              </w:rPr>
            </w:pPr>
            <w:r>
              <w:rPr>
                <w:rFonts w:hint="eastAsia" w:ascii="宋体" w:hAnsi="宋体" w:cs="宋体"/>
                <w:sz w:val="20"/>
                <w:szCs w:val="20"/>
                <w:lang w:val="en-US" w:eastAsia="zh-CN"/>
              </w:rPr>
              <w:t>8</w:t>
            </w:r>
            <w:r>
              <w:rPr>
                <w:rFonts w:hint="eastAsia" w:ascii="宋体" w:hAnsi="宋体" w:cs="宋体"/>
                <w:sz w:val="20"/>
                <w:szCs w:val="20"/>
              </w:rPr>
              <w:t>、★单台配置：电源个数≥2，支持千兆SFP接口≥48个，万兆SFP+接口≥4个；</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数据中心接入交换机</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★1、交换容量≥ 4Tbps、包转发率≥2000Mpps；</w:t>
            </w:r>
          </w:p>
          <w:p>
            <w:pPr>
              <w:widowControl/>
              <w:rPr>
                <w:rFonts w:hint="eastAsia" w:ascii="宋体" w:hAnsi="宋体" w:cs="宋体"/>
                <w:sz w:val="20"/>
                <w:szCs w:val="20"/>
              </w:rPr>
            </w:pPr>
            <w:r>
              <w:rPr>
                <w:rFonts w:hint="eastAsia" w:ascii="宋体" w:hAnsi="宋体" w:cs="宋体"/>
                <w:sz w:val="20"/>
                <w:szCs w:val="20"/>
              </w:rPr>
              <w:t>★2、10GE光端口数量≥48个、40GE/100GE端口数量≥6个；</w:t>
            </w:r>
          </w:p>
          <w:p>
            <w:pPr>
              <w:widowControl/>
              <w:rPr>
                <w:rFonts w:hint="eastAsia" w:ascii="宋体" w:hAnsi="宋体" w:cs="宋体"/>
                <w:sz w:val="20"/>
                <w:szCs w:val="20"/>
              </w:rPr>
            </w:pPr>
            <w:r>
              <w:rPr>
                <w:rFonts w:hint="eastAsia" w:ascii="宋体" w:hAnsi="宋体" w:cs="宋体"/>
                <w:sz w:val="20"/>
                <w:szCs w:val="20"/>
              </w:rPr>
              <w:t>3、缓存≥32M；</w:t>
            </w:r>
          </w:p>
          <w:p>
            <w:pPr>
              <w:widowControl/>
              <w:rPr>
                <w:rFonts w:hint="eastAsia" w:ascii="宋体" w:hAnsi="宋体" w:cs="宋体"/>
                <w:sz w:val="20"/>
                <w:szCs w:val="20"/>
              </w:rPr>
            </w:pPr>
            <w:r>
              <w:rPr>
                <w:rFonts w:hint="eastAsia" w:ascii="宋体" w:hAnsi="宋体" w:cs="宋体"/>
                <w:sz w:val="20"/>
                <w:szCs w:val="20"/>
              </w:rPr>
              <w:t>4、电源1+1备份、内置电源开关、风扇3+1备份；</w:t>
            </w:r>
          </w:p>
          <w:p>
            <w:pPr>
              <w:widowControl/>
              <w:rPr>
                <w:rFonts w:hint="eastAsia" w:ascii="宋体" w:hAnsi="宋体" w:cs="宋体"/>
                <w:sz w:val="20"/>
                <w:szCs w:val="20"/>
              </w:rPr>
            </w:pPr>
            <w:r>
              <w:rPr>
                <w:rFonts w:hint="eastAsia" w:ascii="宋体" w:hAnsi="宋体" w:cs="宋体"/>
                <w:sz w:val="20"/>
                <w:szCs w:val="20"/>
              </w:rPr>
              <w:t>5、支持前后、后前风道；</w:t>
            </w:r>
          </w:p>
          <w:p>
            <w:pPr>
              <w:widowControl/>
              <w:rPr>
                <w:rFonts w:hint="eastAsia" w:ascii="宋体" w:hAnsi="宋体" w:cs="宋体"/>
                <w:sz w:val="20"/>
                <w:szCs w:val="20"/>
              </w:rPr>
            </w:pPr>
            <w:r>
              <w:rPr>
                <w:rFonts w:hint="eastAsia" w:ascii="宋体" w:hAnsi="宋体" w:cs="宋体"/>
                <w:sz w:val="20"/>
                <w:szCs w:val="20"/>
              </w:rPr>
              <w:t>★6、支持M-LAG技术（跨框链路聚合、要求配对设备有独立的控制平面、不能用堆叠等多虚一技术实现）；</w:t>
            </w:r>
          </w:p>
          <w:p>
            <w:pPr>
              <w:widowControl/>
              <w:rPr>
                <w:rFonts w:hint="eastAsia" w:ascii="宋体" w:hAnsi="宋体" w:cs="宋体"/>
                <w:sz w:val="20"/>
                <w:szCs w:val="20"/>
              </w:rPr>
            </w:pPr>
            <w:r>
              <w:rPr>
                <w:rFonts w:hint="eastAsia" w:ascii="宋体" w:hAnsi="宋体" w:cs="宋体"/>
                <w:sz w:val="20"/>
                <w:szCs w:val="20"/>
              </w:rPr>
              <w:t>7、支持缓存的微突发检测</w:t>
            </w:r>
          </w:p>
          <w:p>
            <w:pPr>
              <w:widowControl/>
              <w:rPr>
                <w:rFonts w:hint="eastAsia" w:ascii="宋体" w:hAnsi="宋体" w:cs="宋体"/>
                <w:sz w:val="20"/>
                <w:szCs w:val="20"/>
              </w:rPr>
            </w:pPr>
            <w:r>
              <w:rPr>
                <w:rFonts w:hint="eastAsia" w:ascii="宋体" w:hAnsi="宋体" w:cs="宋体"/>
                <w:sz w:val="20"/>
                <w:szCs w:val="20"/>
              </w:rPr>
              <w:t>8、支持硬件BFD（Bidirectional Forwarding Detection）3、3ms检测间隔</w:t>
            </w:r>
          </w:p>
          <w:p>
            <w:pPr>
              <w:widowControl/>
              <w:rPr>
                <w:rFonts w:hint="eastAsia" w:ascii="宋体" w:hAnsi="宋体" w:cs="宋体"/>
                <w:sz w:val="20"/>
                <w:szCs w:val="20"/>
              </w:rPr>
            </w:pPr>
            <w:r>
              <w:rPr>
                <w:rFonts w:hint="eastAsia" w:ascii="宋体" w:hAnsi="宋体" w:cs="宋体"/>
                <w:sz w:val="20"/>
                <w:szCs w:val="20"/>
              </w:rPr>
              <w:t>9、支持组播OVER VXLAN</w:t>
            </w:r>
          </w:p>
          <w:p>
            <w:pPr>
              <w:widowControl/>
              <w:rPr>
                <w:rFonts w:hint="eastAsia" w:ascii="宋体" w:hAnsi="宋体" w:cs="宋体"/>
                <w:sz w:val="20"/>
                <w:szCs w:val="20"/>
              </w:rPr>
            </w:pPr>
            <w:r>
              <w:rPr>
                <w:rFonts w:hint="eastAsia" w:ascii="宋体" w:hAnsi="宋体" w:cs="宋体"/>
                <w:sz w:val="20"/>
                <w:szCs w:val="20"/>
              </w:rPr>
              <w:t>10、支持netstream、sFlow</w:t>
            </w:r>
          </w:p>
          <w:p>
            <w:pPr>
              <w:widowControl/>
              <w:rPr>
                <w:rFonts w:hint="eastAsia" w:ascii="宋体" w:hAnsi="宋体" w:cs="宋体"/>
                <w:sz w:val="20"/>
                <w:szCs w:val="20"/>
              </w:rPr>
            </w:pPr>
            <w:r>
              <w:rPr>
                <w:rFonts w:hint="eastAsia" w:ascii="宋体" w:hAnsi="宋体" w:cs="宋体"/>
                <w:sz w:val="20"/>
                <w:szCs w:val="20"/>
              </w:rPr>
              <w:t>11、支持SNMP V1/V2/V3、Telnet、RMON、SSH</w:t>
            </w:r>
          </w:p>
          <w:p>
            <w:pPr>
              <w:widowControl/>
              <w:rPr>
                <w:rFonts w:hint="eastAsia" w:ascii="宋体" w:hAnsi="宋体" w:cs="宋体"/>
                <w:sz w:val="20"/>
                <w:szCs w:val="20"/>
              </w:rPr>
            </w:pPr>
            <w:r>
              <w:rPr>
                <w:rFonts w:hint="eastAsia" w:ascii="宋体" w:hAnsi="宋体" w:cs="宋体"/>
                <w:sz w:val="20"/>
                <w:szCs w:val="20"/>
              </w:rPr>
              <w:t>12、支持ERPS以太环保护协议（G、8032）</w:t>
            </w:r>
          </w:p>
          <w:p>
            <w:pPr>
              <w:widowControl/>
              <w:rPr>
                <w:rFonts w:hint="eastAsia" w:ascii="宋体" w:hAnsi="宋体" w:cs="宋体"/>
                <w:sz w:val="20"/>
                <w:szCs w:val="20"/>
              </w:rPr>
            </w:pPr>
            <w:r>
              <w:rPr>
                <w:rFonts w:hint="eastAsia" w:ascii="宋体" w:hAnsi="宋体" w:cs="宋体"/>
                <w:sz w:val="20"/>
                <w:szCs w:val="20"/>
              </w:rPr>
              <w:t>13、支持RIP、OSPF、ISIS、BGP等IPv4动态路由协议、BGP4+等IPv6动态路由协议</w:t>
            </w:r>
          </w:p>
          <w:p>
            <w:pPr>
              <w:widowControl/>
              <w:rPr>
                <w:rFonts w:ascii="宋体" w:hAnsi="宋体" w:cs="宋体"/>
                <w:sz w:val="20"/>
                <w:szCs w:val="20"/>
              </w:rPr>
            </w:pPr>
            <w:r>
              <w:rPr>
                <w:rFonts w:hint="eastAsia" w:ascii="宋体" w:hAnsi="宋体" w:cs="宋体"/>
                <w:sz w:val="20"/>
                <w:szCs w:val="20"/>
              </w:rPr>
              <w:t>★实配：双电源；</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边界防火墙</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ascii="宋体" w:hAnsi="宋体" w:cs="宋体"/>
                <w:sz w:val="20"/>
                <w:szCs w:val="20"/>
              </w:rPr>
            </w:pPr>
            <w:r>
              <w:rPr>
                <w:rFonts w:hint="eastAsia" w:ascii="宋体" w:hAnsi="宋体" w:cs="宋体"/>
                <w:sz w:val="20"/>
                <w:szCs w:val="20"/>
              </w:rPr>
              <w:t>★1、硬件要求：1U设备，千兆电口≥12；千兆光口≥8；万兆光口≥4； SSL VPN并发数≥2000；IPSec VPN隧道≥15000；可扩展双电源；</w:t>
            </w:r>
          </w:p>
          <w:p>
            <w:pPr>
              <w:widowControl/>
              <w:rPr>
                <w:rFonts w:ascii="宋体" w:hAnsi="宋体" w:cs="宋体"/>
                <w:sz w:val="20"/>
                <w:szCs w:val="20"/>
              </w:rPr>
            </w:pPr>
            <w:r>
              <w:rPr>
                <w:rFonts w:hint="eastAsia" w:ascii="宋体" w:hAnsi="宋体" w:cs="宋体"/>
                <w:sz w:val="20"/>
                <w:szCs w:val="20"/>
              </w:rPr>
              <w:t>2、支持USB3、0；</w:t>
            </w:r>
          </w:p>
          <w:p>
            <w:pPr>
              <w:widowControl/>
              <w:rPr>
                <w:rFonts w:ascii="宋体" w:hAnsi="宋体" w:cs="宋体"/>
                <w:sz w:val="20"/>
                <w:szCs w:val="20"/>
              </w:rPr>
            </w:pPr>
            <w:r>
              <w:rPr>
                <w:rFonts w:hint="eastAsia" w:ascii="宋体" w:hAnsi="宋体" w:cs="宋体"/>
                <w:sz w:val="20"/>
                <w:szCs w:val="20"/>
              </w:rPr>
              <w:t xml:space="preserve">3、当风扇模块出现故障时、可以在防火墙不断电的情况下、对风扇模块进行更换；为了避免防火墙过热、要求更换风扇模块所用的时间控制在1分钟内 </w:t>
            </w:r>
          </w:p>
          <w:p>
            <w:pPr>
              <w:widowControl/>
              <w:rPr>
                <w:rFonts w:ascii="宋体" w:hAnsi="宋体" w:cs="宋体"/>
                <w:sz w:val="20"/>
                <w:szCs w:val="20"/>
              </w:rPr>
            </w:pPr>
            <w:r>
              <w:rPr>
                <w:rFonts w:hint="eastAsia" w:ascii="宋体" w:hAnsi="宋体" w:cs="宋体"/>
                <w:sz w:val="20"/>
                <w:szCs w:val="20"/>
              </w:rPr>
              <w:t>★4、严格前后风道（提供官网链接、官网产品文档说明、并加盖厂商公章或投标专用章）</w:t>
            </w:r>
          </w:p>
          <w:p>
            <w:pPr>
              <w:widowControl/>
              <w:rPr>
                <w:rFonts w:ascii="宋体" w:hAnsi="宋体" w:cs="宋体"/>
                <w:sz w:val="20"/>
                <w:szCs w:val="20"/>
              </w:rPr>
            </w:pPr>
            <w:r>
              <w:rPr>
                <w:rFonts w:hint="eastAsia" w:ascii="宋体" w:hAnsi="宋体" w:cs="宋体"/>
                <w:sz w:val="20"/>
                <w:szCs w:val="20"/>
              </w:rPr>
              <w:t>★5、防火墙吞吐量≥12Gbps、最大并发连接数≥800万、每秒新建连接数≥20万、IPSec吞吐量≥10Gbps、SSL_VPN吞吐量≥1Gbps</w:t>
            </w:r>
          </w:p>
          <w:p>
            <w:pPr>
              <w:widowControl/>
              <w:rPr>
                <w:rFonts w:ascii="宋体" w:hAnsi="宋体" w:cs="宋体"/>
                <w:sz w:val="20"/>
                <w:szCs w:val="20"/>
              </w:rPr>
            </w:pPr>
            <w:r>
              <w:rPr>
                <w:rFonts w:hint="eastAsia" w:ascii="宋体" w:hAnsi="宋体" w:cs="宋体"/>
                <w:sz w:val="20"/>
                <w:szCs w:val="20"/>
              </w:rPr>
              <w:t>★实配：千兆电口≥12；千兆光口≥8；万兆光口≥4，双电源、提供3年IPS、AV、URL、配置≥200G固态硬盘1块</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ascii="宋体" w:hAnsi="宋体" w:cs="宋体"/>
                <w:color w:val="000000"/>
                <w:sz w:val="20"/>
                <w:szCs w:val="20"/>
              </w:rPr>
              <w:t>6</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多模万兆光模块</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光模块-SFP+-10G-多模模块(850nm,0.3km,LC)</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块</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60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ascii="宋体" w:hAnsi="宋体" w:cs="宋体"/>
                <w:color w:val="000000"/>
                <w:sz w:val="20"/>
                <w:szCs w:val="20"/>
              </w:rPr>
              <w:t>7</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单模万兆光模块</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光模块-SFP+-10G-单模模块(1310nm,10km,LC)</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块</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80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ascii="宋体" w:hAnsi="宋体" w:cs="宋体"/>
                <w:color w:val="000000"/>
                <w:sz w:val="20"/>
                <w:szCs w:val="20"/>
              </w:rPr>
              <w:t>8</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辅材</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网线、光纤跳线等</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批</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ascii="宋体" w:hAnsi="宋体" w:cs="宋体"/>
                <w:color w:val="000000"/>
                <w:sz w:val="20"/>
                <w:szCs w:val="20"/>
              </w:rPr>
              <w:t>9</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技术服务费</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sz w:val="20"/>
                <w:szCs w:val="20"/>
              </w:rPr>
            </w:pPr>
            <w:r>
              <w:rPr>
                <w:rFonts w:hint="eastAsia" w:ascii="宋体" w:hAnsi="宋体" w:cs="宋体"/>
                <w:sz w:val="20"/>
                <w:szCs w:val="20"/>
              </w:rPr>
              <w:t>机房搬迁，至新楼的光缆铺设、熔接，设备安装调试，网络割接等（如有二次搬迁，需包含二次搬迁服务）</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项</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1219" w:type="pct"/>
            <w:gridSpan w:val="2"/>
            <w:tcBorders>
              <w:top w:val="single" w:color="auto" w:sz="4" w:space="0"/>
              <w:bottom w:val="single" w:color="auto" w:sz="4" w:space="0"/>
              <w:right w:val="single" w:color="000000"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6.实训专用设备</w:t>
            </w:r>
          </w:p>
        </w:tc>
        <w:tc>
          <w:tcPr>
            <w:tcW w:w="3015" w:type="pct"/>
            <w:tcBorders>
              <w:top w:val="nil"/>
              <w:left w:val="nil"/>
              <w:bottom w:val="single" w:color="auto" w:sz="4" w:space="0"/>
              <w:right w:val="single" w:color="auto"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nil"/>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843" w:type="pc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实训专用性能计算设备</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color w:val="000000"/>
                <w:sz w:val="20"/>
                <w:szCs w:val="20"/>
              </w:rPr>
            </w:pPr>
            <w:r>
              <w:rPr>
                <w:rFonts w:hint="eastAsia" w:ascii="宋体" w:hAnsi="宋体" w:cs="宋体"/>
                <w:color w:val="000000"/>
                <w:sz w:val="20"/>
                <w:szCs w:val="20"/>
              </w:rPr>
              <w:t>1，单节点硬盘配置数目：配置2颗扩展(≥2.12GHz，≥24-core)处理器，</w:t>
            </w:r>
          </w:p>
          <w:p>
            <w:pPr>
              <w:widowControl/>
              <w:rPr>
                <w:rFonts w:hint="eastAsia" w:ascii="宋体" w:hAnsi="宋体" w:cs="宋体"/>
                <w:color w:val="000000"/>
                <w:sz w:val="20"/>
                <w:szCs w:val="20"/>
              </w:rPr>
            </w:pPr>
            <w:r>
              <w:rPr>
                <w:rFonts w:hint="eastAsia" w:ascii="宋体" w:hAnsi="宋体" w:cs="宋体"/>
                <w:color w:val="000000"/>
                <w:sz w:val="20"/>
                <w:szCs w:val="20"/>
              </w:rPr>
              <w:t>2，内存配置容量：≥512GB DDR4 内存；</w:t>
            </w:r>
          </w:p>
          <w:p>
            <w:pPr>
              <w:widowControl/>
              <w:rPr>
                <w:rFonts w:hint="eastAsia" w:ascii="宋体" w:hAnsi="宋体" w:cs="宋体"/>
                <w:color w:val="000000"/>
                <w:sz w:val="20"/>
                <w:szCs w:val="20"/>
              </w:rPr>
            </w:pPr>
            <w:r>
              <w:rPr>
                <w:rFonts w:hint="eastAsia" w:ascii="宋体" w:hAnsi="宋体" w:cs="宋体"/>
                <w:color w:val="000000"/>
                <w:sz w:val="20"/>
                <w:szCs w:val="20"/>
              </w:rPr>
              <w:t xml:space="preserve">3，配置≥2块2.5寸10K转 SAS盘，单块容量要求≥600GB </w:t>
            </w:r>
          </w:p>
          <w:p>
            <w:pPr>
              <w:widowControl/>
              <w:rPr>
                <w:rFonts w:hint="eastAsia" w:ascii="宋体" w:hAnsi="宋体" w:cs="宋体"/>
                <w:color w:val="000000"/>
                <w:sz w:val="20"/>
                <w:szCs w:val="20"/>
              </w:rPr>
            </w:pPr>
            <w:r>
              <w:rPr>
                <w:rFonts w:hint="eastAsia" w:ascii="宋体" w:hAnsi="宋体" w:cs="宋体"/>
                <w:color w:val="000000"/>
                <w:sz w:val="20"/>
                <w:szCs w:val="20"/>
              </w:rPr>
              <w:t>4，网络：2*GE+4*10GE，含4个万兆多模光模块；1GE 管理接口；</w:t>
            </w:r>
          </w:p>
          <w:p>
            <w:pPr>
              <w:widowControl/>
              <w:rPr>
                <w:rFonts w:hint="eastAsia" w:ascii="宋体" w:hAnsi="宋体" w:cs="宋体"/>
                <w:color w:val="000000"/>
                <w:sz w:val="20"/>
                <w:szCs w:val="20"/>
              </w:rPr>
            </w:pPr>
            <w:r>
              <w:rPr>
                <w:rFonts w:hint="eastAsia" w:ascii="宋体" w:hAnsi="宋体" w:cs="宋体"/>
                <w:color w:val="000000"/>
                <w:sz w:val="20"/>
                <w:szCs w:val="20"/>
              </w:rPr>
              <w:t xml:space="preserve">5，RAID：单节点配置磁盘阵列卡，支持RAID 0/1/10/。 </w:t>
            </w:r>
          </w:p>
          <w:p>
            <w:pPr>
              <w:widowControl/>
              <w:rPr>
                <w:rFonts w:hint="eastAsia" w:ascii="宋体" w:hAnsi="宋体" w:cs="宋体"/>
                <w:color w:val="000000"/>
                <w:sz w:val="20"/>
                <w:szCs w:val="20"/>
              </w:rPr>
            </w:pPr>
            <w:r>
              <w:rPr>
                <w:rFonts w:hint="eastAsia" w:ascii="宋体" w:hAnsi="宋体" w:cs="宋体"/>
                <w:color w:val="000000"/>
                <w:sz w:val="20"/>
                <w:szCs w:val="20"/>
              </w:rPr>
              <w:t>6，1+1冗余电源，</w:t>
            </w:r>
          </w:p>
          <w:p>
            <w:pPr>
              <w:widowControl/>
              <w:rPr>
                <w:rFonts w:ascii="宋体" w:hAnsi="宋体" w:cs="宋体"/>
                <w:color w:val="000000"/>
                <w:sz w:val="20"/>
                <w:szCs w:val="20"/>
              </w:rPr>
            </w:pPr>
            <w:r>
              <w:rPr>
                <w:rFonts w:hint="eastAsia" w:ascii="宋体" w:hAnsi="宋体" w:cs="宋体"/>
                <w:color w:val="000000"/>
                <w:sz w:val="20"/>
                <w:szCs w:val="20"/>
              </w:rPr>
              <w:t>7，提供安装服务，三年维保服务，制造厂商授权函及服务承诺函。</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nil"/>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843" w:type="pc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实训专用软件</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color w:val="000000"/>
                <w:sz w:val="20"/>
                <w:szCs w:val="20"/>
              </w:rPr>
            </w:pPr>
            <w:r>
              <w:rPr>
                <w:rFonts w:hint="eastAsia" w:ascii="宋体" w:hAnsi="宋体" w:cs="宋体"/>
                <w:color w:val="000000"/>
                <w:sz w:val="20"/>
                <w:szCs w:val="20"/>
              </w:rPr>
              <w:t>1、虚拟化平台软件厂商拥有软件自主知识产权，具有自主研发能力。</w:t>
            </w:r>
          </w:p>
          <w:p>
            <w:pPr>
              <w:widowControl/>
              <w:rPr>
                <w:rFonts w:hint="eastAsia" w:ascii="宋体" w:hAnsi="宋体" w:cs="宋体"/>
                <w:color w:val="000000"/>
                <w:sz w:val="20"/>
                <w:szCs w:val="20"/>
              </w:rPr>
            </w:pPr>
            <w:r>
              <w:rPr>
                <w:rFonts w:hint="eastAsia" w:ascii="宋体" w:hAnsi="宋体" w:cs="宋体"/>
                <w:color w:val="000000"/>
                <w:sz w:val="20"/>
                <w:szCs w:val="20"/>
              </w:rPr>
              <w:t>2、虚拟化软件架构须采用裸金属架构；直接安装在服务器硬件设备上，不能采用在服务器上先安装操作系统的方式。</w:t>
            </w:r>
          </w:p>
          <w:p>
            <w:pPr>
              <w:widowControl/>
              <w:rPr>
                <w:rFonts w:hint="eastAsia" w:ascii="宋体" w:hAnsi="宋体" w:cs="宋体"/>
                <w:color w:val="000000"/>
                <w:sz w:val="20"/>
                <w:szCs w:val="20"/>
              </w:rPr>
            </w:pPr>
            <w:r>
              <w:rPr>
                <w:rFonts w:hint="eastAsia" w:ascii="宋体" w:hAnsi="宋体" w:cs="宋体"/>
                <w:color w:val="000000"/>
                <w:sz w:val="20"/>
                <w:szCs w:val="20"/>
              </w:rPr>
              <w:t>3、支持一次性批量部署多台虚拟机。</w:t>
            </w:r>
          </w:p>
          <w:p>
            <w:pPr>
              <w:widowControl/>
              <w:rPr>
                <w:rFonts w:hint="eastAsia" w:ascii="宋体" w:hAnsi="宋体" w:cs="宋体"/>
                <w:color w:val="000000"/>
                <w:sz w:val="20"/>
                <w:szCs w:val="20"/>
              </w:rPr>
            </w:pPr>
            <w:r>
              <w:rPr>
                <w:rFonts w:hint="eastAsia" w:ascii="宋体" w:hAnsi="宋体" w:cs="宋体"/>
                <w:color w:val="000000"/>
                <w:sz w:val="20"/>
                <w:szCs w:val="20"/>
              </w:rPr>
              <w:t>4、支持SAN Boot启动，支持虚拟机的CPU QoS控制，支持虚拟机的内存QoS控制，</w:t>
            </w:r>
          </w:p>
          <w:p>
            <w:pPr>
              <w:widowControl/>
              <w:rPr>
                <w:rFonts w:hint="eastAsia" w:ascii="宋体" w:hAnsi="宋体" w:cs="宋体"/>
                <w:color w:val="000000"/>
                <w:sz w:val="20"/>
                <w:szCs w:val="20"/>
              </w:rPr>
            </w:pPr>
            <w:r>
              <w:rPr>
                <w:rFonts w:hint="eastAsia" w:ascii="宋体" w:hAnsi="宋体" w:cs="宋体"/>
                <w:color w:val="000000"/>
                <w:sz w:val="20"/>
                <w:szCs w:val="20"/>
              </w:rPr>
              <w:t>5、支持同一CPU厂商不同CPU型号服务器组建在同一逻辑集群中,</w:t>
            </w:r>
          </w:p>
          <w:p>
            <w:pPr>
              <w:widowControl/>
              <w:rPr>
                <w:rFonts w:hint="eastAsia" w:ascii="宋体" w:hAnsi="宋体" w:cs="宋体"/>
                <w:color w:val="000000"/>
                <w:sz w:val="20"/>
                <w:szCs w:val="20"/>
              </w:rPr>
            </w:pPr>
            <w:r>
              <w:rPr>
                <w:rFonts w:hint="eastAsia" w:ascii="宋体" w:hAnsi="宋体" w:cs="宋体"/>
                <w:color w:val="000000"/>
                <w:sz w:val="20"/>
                <w:szCs w:val="20"/>
              </w:rPr>
              <w:t>6、支持虚拟机卷的安全删除，提供系统运行记录仪功能，</w:t>
            </w:r>
          </w:p>
          <w:p>
            <w:pPr>
              <w:widowControl/>
              <w:rPr>
                <w:rFonts w:hint="eastAsia" w:ascii="宋体" w:hAnsi="宋体" w:cs="宋体"/>
                <w:color w:val="000000"/>
                <w:sz w:val="20"/>
                <w:szCs w:val="20"/>
              </w:rPr>
            </w:pPr>
            <w:r>
              <w:rPr>
                <w:rFonts w:hint="eastAsia" w:ascii="宋体" w:hAnsi="宋体" w:cs="宋体"/>
                <w:color w:val="000000"/>
                <w:sz w:val="20"/>
                <w:szCs w:val="20"/>
              </w:rPr>
              <w:t>7、支持虚拟机HA。VM故障能够重新生成VM，同时不丢失VM磁盘运行数据。</w:t>
            </w:r>
          </w:p>
          <w:p>
            <w:pPr>
              <w:widowControl/>
              <w:rPr>
                <w:rFonts w:hint="eastAsia" w:ascii="宋体" w:hAnsi="宋体" w:cs="宋体"/>
                <w:color w:val="000000"/>
                <w:sz w:val="20"/>
                <w:szCs w:val="20"/>
              </w:rPr>
            </w:pPr>
            <w:r>
              <w:rPr>
                <w:rFonts w:hint="eastAsia" w:ascii="宋体" w:hAnsi="宋体" w:cs="宋体"/>
                <w:color w:val="000000"/>
                <w:sz w:val="20"/>
                <w:szCs w:val="20"/>
              </w:rPr>
              <w:t>8、支持服务器节点集成虚拟交换机（OVS）功能；</w:t>
            </w:r>
          </w:p>
          <w:p>
            <w:pPr>
              <w:widowControl/>
              <w:rPr>
                <w:rFonts w:hint="eastAsia" w:ascii="宋体" w:hAnsi="宋体" w:cs="宋体"/>
                <w:color w:val="000000"/>
                <w:sz w:val="20"/>
                <w:szCs w:val="20"/>
              </w:rPr>
            </w:pPr>
            <w:r>
              <w:rPr>
                <w:rFonts w:hint="eastAsia" w:ascii="宋体" w:hAnsi="宋体" w:cs="宋体"/>
                <w:color w:val="000000"/>
                <w:sz w:val="20"/>
                <w:szCs w:val="20"/>
              </w:rPr>
              <w:t>9、支持跨多物理服务器的分布式虚拟交换机（DVS）功能；</w:t>
            </w:r>
          </w:p>
          <w:p>
            <w:pPr>
              <w:widowControl/>
              <w:rPr>
                <w:rFonts w:hint="eastAsia" w:ascii="宋体" w:hAnsi="宋体" w:cs="宋体"/>
                <w:color w:val="000000"/>
                <w:sz w:val="20"/>
                <w:szCs w:val="20"/>
              </w:rPr>
            </w:pPr>
            <w:r>
              <w:rPr>
                <w:rFonts w:hint="eastAsia" w:ascii="宋体" w:hAnsi="宋体" w:cs="宋体"/>
                <w:color w:val="000000"/>
                <w:sz w:val="20"/>
                <w:szCs w:val="20"/>
              </w:rPr>
              <w:t>10、支持用户虚拟机IP与MAC绑定，防止IP和MAC地址仿冒，防止用户虚拟机DHCP Server仿冒。</w:t>
            </w:r>
          </w:p>
          <w:p>
            <w:pPr>
              <w:widowControl/>
              <w:rPr>
                <w:rFonts w:hint="eastAsia" w:ascii="宋体" w:hAnsi="宋体" w:cs="宋体"/>
                <w:color w:val="000000"/>
                <w:sz w:val="20"/>
                <w:szCs w:val="20"/>
              </w:rPr>
            </w:pPr>
            <w:r>
              <w:rPr>
                <w:rFonts w:hint="eastAsia" w:ascii="宋体" w:hAnsi="宋体" w:cs="宋体"/>
                <w:color w:val="000000"/>
                <w:sz w:val="20"/>
                <w:szCs w:val="20"/>
              </w:rPr>
              <w:t>11、支持本地存储、IP-SAN、FC-SAN、NAS等不同类型的存储设备。</w:t>
            </w:r>
          </w:p>
          <w:p>
            <w:pPr>
              <w:widowControl/>
              <w:rPr>
                <w:rFonts w:hint="eastAsia" w:ascii="宋体" w:hAnsi="宋体" w:cs="宋体"/>
                <w:color w:val="000000"/>
                <w:sz w:val="20"/>
                <w:szCs w:val="20"/>
              </w:rPr>
            </w:pPr>
            <w:r>
              <w:rPr>
                <w:rFonts w:hint="eastAsia" w:ascii="宋体" w:hAnsi="宋体" w:cs="宋体"/>
                <w:color w:val="000000"/>
                <w:sz w:val="20"/>
                <w:szCs w:val="20"/>
              </w:rPr>
              <w:t>12、支持在存储资源上进行卷操作。</w:t>
            </w:r>
          </w:p>
          <w:p>
            <w:pPr>
              <w:widowControl/>
              <w:rPr>
                <w:rFonts w:hint="eastAsia" w:ascii="宋体" w:hAnsi="宋体" w:cs="宋体"/>
                <w:color w:val="000000"/>
                <w:sz w:val="20"/>
                <w:szCs w:val="20"/>
              </w:rPr>
            </w:pPr>
            <w:r>
              <w:rPr>
                <w:rFonts w:hint="eastAsia" w:ascii="宋体" w:hAnsi="宋体" w:cs="宋体"/>
                <w:color w:val="000000"/>
                <w:sz w:val="20"/>
                <w:szCs w:val="20"/>
              </w:rPr>
              <w:t>★13、虚拟化平台应有很好的存储设备兼容性，支持业界主流的SAN、NAS存储设备，且与存储设备同一品牌。</w:t>
            </w:r>
          </w:p>
          <w:p>
            <w:pPr>
              <w:widowControl/>
              <w:rPr>
                <w:rFonts w:hint="eastAsia" w:ascii="宋体" w:hAnsi="宋体" w:cs="宋体"/>
                <w:color w:val="000000"/>
                <w:sz w:val="20"/>
                <w:szCs w:val="20"/>
              </w:rPr>
            </w:pPr>
            <w:r>
              <w:rPr>
                <w:rFonts w:hint="eastAsia" w:ascii="宋体" w:hAnsi="宋体" w:cs="宋体"/>
                <w:color w:val="000000"/>
                <w:sz w:val="20"/>
                <w:szCs w:val="20"/>
              </w:rPr>
              <w:t>14、支持多台虚拟机共享同一磁盘卷进行读写；</w:t>
            </w:r>
          </w:p>
          <w:p>
            <w:pPr>
              <w:widowControl/>
              <w:rPr>
                <w:rFonts w:hint="eastAsia" w:ascii="宋体" w:hAnsi="宋体" w:cs="宋体"/>
                <w:color w:val="000000"/>
                <w:sz w:val="20"/>
                <w:szCs w:val="20"/>
              </w:rPr>
            </w:pPr>
            <w:r>
              <w:rPr>
                <w:rFonts w:hint="eastAsia" w:ascii="宋体" w:hAnsi="宋体" w:cs="宋体"/>
                <w:color w:val="000000"/>
                <w:sz w:val="20"/>
                <w:szCs w:val="20"/>
              </w:rPr>
              <w:t>15、删除用户磁盘时，支持选择是否彻底清除磁盘数据，</w:t>
            </w:r>
          </w:p>
          <w:p>
            <w:pPr>
              <w:widowControl/>
              <w:rPr>
                <w:rFonts w:hint="eastAsia" w:ascii="宋体" w:hAnsi="宋体" w:cs="宋体"/>
                <w:color w:val="000000"/>
                <w:sz w:val="20"/>
                <w:szCs w:val="20"/>
              </w:rPr>
            </w:pPr>
            <w:r>
              <w:rPr>
                <w:rFonts w:hint="eastAsia" w:ascii="宋体" w:hAnsi="宋体" w:cs="宋体"/>
                <w:color w:val="000000"/>
                <w:sz w:val="20"/>
                <w:szCs w:val="20"/>
              </w:rPr>
              <w:t>16、支持CPU、内存等资源占用阀值检测及告警；</w:t>
            </w:r>
          </w:p>
          <w:p>
            <w:pPr>
              <w:widowControl/>
              <w:rPr>
                <w:rFonts w:hint="eastAsia" w:ascii="宋体" w:hAnsi="宋体" w:cs="宋体"/>
                <w:color w:val="000000"/>
                <w:sz w:val="20"/>
                <w:szCs w:val="20"/>
              </w:rPr>
            </w:pPr>
            <w:r>
              <w:rPr>
                <w:rFonts w:hint="eastAsia" w:ascii="宋体" w:hAnsi="宋体" w:cs="宋体"/>
                <w:color w:val="000000"/>
                <w:sz w:val="20"/>
                <w:szCs w:val="20"/>
              </w:rPr>
              <w:t>17、支持至少一款国产操作系统，</w:t>
            </w:r>
          </w:p>
          <w:p>
            <w:pPr>
              <w:widowControl/>
              <w:rPr>
                <w:rFonts w:hint="eastAsia" w:ascii="宋体" w:hAnsi="宋体" w:cs="宋体"/>
                <w:color w:val="000000"/>
                <w:sz w:val="20"/>
                <w:szCs w:val="20"/>
              </w:rPr>
            </w:pPr>
            <w:r>
              <w:rPr>
                <w:rFonts w:hint="eastAsia" w:ascii="宋体" w:hAnsi="宋体" w:cs="宋体"/>
                <w:color w:val="000000"/>
                <w:sz w:val="20"/>
                <w:szCs w:val="20"/>
              </w:rPr>
              <w:t>18、配置12 颗CPU License授权</w:t>
            </w:r>
          </w:p>
          <w:p>
            <w:pPr>
              <w:widowControl/>
              <w:rPr>
                <w:rFonts w:ascii="宋体" w:hAnsi="宋体" w:cs="宋体"/>
                <w:color w:val="000000"/>
                <w:sz w:val="20"/>
                <w:szCs w:val="20"/>
              </w:rPr>
            </w:pPr>
            <w:r>
              <w:rPr>
                <w:rFonts w:hint="eastAsia" w:ascii="宋体" w:hAnsi="宋体" w:cs="宋体"/>
                <w:color w:val="000000"/>
                <w:sz w:val="20"/>
                <w:szCs w:val="20"/>
              </w:rPr>
              <w:t>19、提供原厂安装服务，3年维保</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nil"/>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843" w:type="pct"/>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实训专用硬件</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1、控制器部件全冗余，支持FC、iSCSI、FCoE、SAS块级数据访问服务，支持FTP、NFS、CIFS等协议文件级访问服务，控制器对称双活，Active-Active模式，支持控制器的横向的扩展；要求新增加的控制器可以与原来的控制器进行联合和合并，提供统一的处理能力；配置双控，可扩展至8控制器。</w:t>
            </w:r>
          </w:p>
          <w:p>
            <w:pPr>
              <w:widowControl/>
              <w:rPr>
                <w:rFonts w:hint="eastAsia" w:ascii="宋体" w:hAnsi="宋体" w:cs="宋体"/>
                <w:sz w:val="20"/>
                <w:szCs w:val="20"/>
              </w:rPr>
            </w:pPr>
            <w:r>
              <w:rPr>
                <w:rFonts w:hint="eastAsia" w:ascii="宋体" w:hAnsi="宋体" w:cs="宋体"/>
                <w:sz w:val="20"/>
                <w:szCs w:val="20"/>
              </w:rPr>
              <w:t>2、配置系统缓存≥128GB（不含任何性能加速模块、FlashCache、PAM卡，SSD Cache等）；</w:t>
            </w:r>
          </w:p>
          <w:p>
            <w:pPr>
              <w:widowControl/>
              <w:rPr>
                <w:rFonts w:hint="eastAsia" w:ascii="宋体" w:hAnsi="宋体" w:cs="宋体"/>
                <w:sz w:val="20"/>
                <w:szCs w:val="20"/>
              </w:rPr>
            </w:pPr>
            <w:r>
              <w:rPr>
                <w:rFonts w:hint="eastAsia" w:ascii="宋体" w:hAnsi="宋体" w:cs="宋体"/>
                <w:sz w:val="20"/>
                <w:szCs w:val="20"/>
              </w:rPr>
              <w:t>3、接口：配置≥</w:t>
            </w:r>
            <w:r>
              <w:rPr>
                <w:rFonts w:ascii="宋体" w:hAnsi="宋体" w:cs="宋体"/>
                <w:sz w:val="20"/>
                <w:szCs w:val="20"/>
              </w:rPr>
              <w:t>4</w:t>
            </w:r>
            <w:r>
              <w:rPr>
                <w:rFonts w:hint="eastAsia" w:ascii="宋体" w:hAnsi="宋体" w:cs="宋体"/>
                <w:sz w:val="20"/>
                <w:szCs w:val="20"/>
              </w:rPr>
              <w:t>个10GE主机接口；配置≥8个1GE接口；为便于未来扩容，配置≥4个SAS 3.0 的Mini SAS HD扩展接口；</w:t>
            </w:r>
          </w:p>
          <w:p>
            <w:pPr>
              <w:widowControl/>
              <w:rPr>
                <w:rFonts w:hint="eastAsia" w:ascii="宋体" w:hAnsi="宋体" w:cs="宋体"/>
                <w:sz w:val="20"/>
                <w:szCs w:val="20"/>
              </w:rPr>
            </w:pPr>
            <w:r>
              <w:rPr>
                <w:rFonts w:hint="eastAsia" w:ascii="宋体" w:hAnsi="宋体" w:cs="宋体"/>
                <w:sz w:val="20"/>
                <w:szCs w:val="20"/>
              </w:rPr>
              <w:t>4、本次配置6块1.9T 2.5寸专用SSD盘；配置1</w:t>
            </w:r>
            <w:r>
              <w:rPr>
                <w:rFonts w:ascii="宋体" w:hAnsi="宋体" w:cs="宋体"/>
                <w:sz w:val="20"/>
                <w:szCs w:val="20"/>
              </w:rPr>
              <w:t>3</w:t>
            </w:r>
            <w:r>
              <w:rPr>
                <w:rFonts w:hint="eastAsia" w:ascii="宋体" w:hAnsi="宋体" w:cs="宋体"/>
                <w:sz w:val="20"/>
                <w:szCs w:val="20"/>
              </w:rPr>
              <w:t>块</w:t>
            </w:r>
            <w:r>
              <w:rPr>
                <w:rFonts w:ascii="宋体" w:hAnsi="宋体" w:cs="宋体"/>
                <w:sz w:val="20"/>
                <w:szCs w:val="20"/>
              </w:rPr>
              <w:t>2</w:t>
            </w:r>
            <w:r>
              <w:rPr>
                <w:rFonts w:hint="eastAsia" w:ascii="宋体" w:hAnsi="宋体" w:cs="宋体"/>
                <w:sz w:val="20"/>
                <w:szCs w:val="20"/>
              </w:rPr>
              <w:t>.</w:t>
            </w:r>
            <w:r>
              <w:rPr>
                <w:rFonts w:ascii="宋体" w:hAnsi="宋体" w:cs="宋体"/>
                <w:sz w:val="20"/>
                <w:szCs w:val="20"/>
              </w:rPr>
              <w:t>4</w:t>
            </w:r>
            <w:r>
              <w:rPr>
                <w:rFonts w:hint="eastAsia" w:ascii="宋体" w:hAnsi="宋体" w:cs="宋体"/>
                <w:sz w:val="20"/>
                <w:szCs w:val="20"/>
              </w:rPr>
              <w:t>T 2.5寸10K rpm专用SAS磁盘，30T可用容量。</w:t>
            </w:r>
          </w:p>
          <w:p>
            <w:pPr>
              <w:widowControl/>
              <w:rPr>
                <w:rFonts w:ascii="宋体" w:hAnsi="宋体" w:cs="宋体"/>
                <w:sz w:val="20"/>
                <w:szCs w:val="20"/>
              </w:rPr>
            </w:pPr>
            <w:r>
              <w:rPr>
                <w:rFonts w:hint="eastAsia" w:ascii="宋体" w:hAnsi="宋体" w:cs="宋体"/>
                <w:sz w:val="20"/>
                <w:szCs w:val="20"/>
              </w:rPr>
              <w:t>5、存储系统开发基于银河麒麟存储系统，获得内核源码授权，可以针对存储需求对操作系统进行深度定制。(提供操作系统厂商源码授权文件，并加盖存储设备厂商公章)。</w:t>
            </w:r>
          </w:p>
          <w:p>
            <w:pPr>
              <w:widowControl/>
              <w:rPr>
                <w:rFonts w:ascii="宋体" w:hAnsi="宋体" w:cs="宋体"/>
                <w:sz w:val="20"/>
                <w:szCs w:val="20"/>
              </w:rPr>
            </w:pPr>
            <w:r>
              <w:rPr>
                <w:rFonts w:hint="eastAsia" w:ascii="宋体" w:hAnsi="宋体" w:cs="宋体"/>
                <w:sz w:val="20"/>
                <w:szCs w:val="20"/>
              </w:rPr>
              <w:t>6、配置基于存储控制器的虚拟化功能，而非任何存储虚拟化网关或基于主机的虚拟化技术，可以统一管理现有存储系统及未来采购的光纤接口存储系统，且无容量限制。实现一个集中化、虚拟化的磁盘存储池，统一存储池内的数据自由流动，同时被管理存储系统可完全继承主存储的已有功能（快照/克隆/精简供应/自动分层等）。</w:t>
            </w:r>
          </w:p>
          <w:p>
            <w:pPr>
              <w:widowControl/>
              <w:rPr>
                <w:rFonts w:hint="eastAsia" w:ascii="宋体" w:hAnsi="宋体" w:cs="宋体"/>
                <w:sz w:val="20"/>
                <w:szCs w:val="20"/>
              </w:rPr>
            </w:pPr>
            <w:r>
              <w:rPr>
                <w:rFonts w:hint="eastAsia" w:ascii="宋体" w:hAnsi="宋体" w:cs="宋体"/>
                <w:sz w:val="20"/>
                <w:szCs w:val="20"/>
              </w:rPr>
              <w:t>7、配置存储双活功能，无需用户人工进行复杂的对端存储关系匹配（配对）；支持集中管理方式；存储双活架构下两套存储系统可集中管理，四控制器同一界面配置管理。</w:t>
            </w:r>
          </w:p>
          <w:p>
            <w:pPr>
              <w:widowControl/>
              <w:rPr>
                <w:rFonts w:hint="eastAsia" w:ascii="宋体" w:hAnsi="宋体" w:cs="宋体"/>
                <w:sz w:val="20"/>
                <w:szCs w:val="20"/>
              </w:rPr>
            </w:pPr>
            <w:r>
              <w:rPr>
                <w:rFonts w:hint="eastAsia" w:ascii="宋体" w:hAnsi="宋体" w:cs="宋体"/>
                <w:sz w:val="20"/>
                <w:szCs w:val="20"/>
              </w:rPr>
              <w:t>8、配置自动化数据分层存储功能，能够自动分析和寻找热点数据，并自动将热点数据迁移到固态盘，且无容量限制；数据优先写入中位性能盘，避免固态盘内数据频繁流动，保证固态盘使用寿命，具备热点数据分析报告功能（提供功能截图并加盖厂商公章）</w:t>
            </w:r>
          </w:p>
          <w:p>
            <w:pPr>
              <w:widowControl/>
              <w:rPr>
                <w:rFonts w:hint="eastAsia" w:ascii="宋体" w:hAnsi="宋体" w:cs="宋体"/>
                <w:sz w:val="20"/>
                <w:szCs w:val="20"/>
              </w:rPr>
            </w:pPr>
            <w:r>
              <w:rPr>
                <w:rFonts w:hint="eastAsia" w:ascii="宋体" w:hAnsi="宋体" w:cs="宋体"/>
                <w:sz w:val="20"/>
                <w:szCs w:val="20"/>
              </w:rPr>
              <w:t>9、配置快照功能，并提供自动化设置策略，(提供功能截图，并加盖厂商公章)</w:t>
            </w:r>
          </w:p>
          <w:p>
            <w:pPr>
              <w:widowControl/>
              <w:rPr>
                <w:rFonts w:hint="eastAsia" w:ascii="宋体" w:hAnsi="宋体" w:cs="宋体"/>
                <w:sz w:val="20"/>
                <w:szCs w:val="20"/>
              </w:rPr>
            </w:pPr>
            <w:r>
              <w:rPr>
                <w:rFonts w:hint="eastAsia" w:ascii="宋体" w:hAnsi="宋体" w:cs="宋体"/>
                <w:sz w:val="20"/>
                <w:szCs w:val="20"/>
              </w:rPr>
              <w:t>10、存储厂商提供专有多路径（非操作系统自带多路径）软件，提供故障切换和负载均衡功能，支持Windows\Linux。（提供软件著作权证明，并加盖厂商公章）</w:t>
            </w:r>
          </w:p>
          <w:p>
            <w:pPr>
              <w:widowControl/>
              <w:rPr>
                <w:rFonts w:hint="eastAsia" w:ascii="宋体" w:hAnsi="宋体" w:cs="宋体"/>
                <w:sz w:val="20"/>
                <w:szCs w:val="20"/>
              </w:rPr>
            </w:pPr>
            <w:r>
              <w:rPr>
                <w:rFonts w:hint="eastAsia" w:ascii="宋体" w:hAnsi="宋体" w:cs="宋体"/>
                <w:sz w:val="20"/>
                <w:szCs w:val="20"/>
              </w:rPr>
              <w:t>11、配置动态逻辑分区功能，要求可以根据应用数据访问特点对前端端口、缓存、磁盘等资源将盘阵划分为不同的逻辑分区，分区之间可以动态调整资源，分区数量大于30个。</w:t>
            </w:r>
          </w:p>
          <w:p>
            <w:pPr>
              <w:widowControl/>
              <w:rPr>
                <w:rFonts w:ascii="宋体" w:hAnsi="宋体" w:cs="宋体"/>
                <w:sz w:val="20"/>
                <w:szCs w:val="20"/>
              </w:rPr>
            </w:pPr>
            <w:r>
              <w:rPr>
                <w:rFonts w:hint="eastAsia" w:ascii="宋体" w:hAnsi="宋体" w:cs="宋体"/>
                <w:sz w:val="20"/>
                <w:szCs w:val="20"/>
              </w:rPr>
              <w:t>12、提供中国软件评测中心或具备CNAS(中国合格评定国家认可委员会)资质的第三方权威评测机构测试报告，含系统功能测试。</w:t>
            </w:r>
          </w:p>
          <w:p>
            <w:pPr>
              <w:widowControl/>
              <w:rPr>
                <w:rFonts w:hint="eastAsia" w:ascii="宋体" w:hAnsi="宋体" w:cs="宋体"/>
                <w:sz w:val="20"/>
                <w:szCs w:val="20"/>
              </w:rPr>
            </w:pPr>
            <w:r>
              <w:rPr>
                <w:rFonts w:hint="eastAsia" w:ascii="宋体" w:hAnsi="宋体" w:cs="宋体"/>
                <w:sz w:val="20"/>
                <w:szCs w:val="20"/>
              </w:rPr>
              <w:t>13、支持操作系统：Windows，Linux，FreeBSD，Unix，AIX 5.x，Solaris，MacOS等国外主流操作系统，麒麟云，中标麒麟，银河麒麟等国产主流操作系统；支持Oracle 、SQL Server等国外主流数据库和达梦、人大金仓和神舟通用等国产数据库系统。</w:t>
            </w:r>
          </w:p>
          <w:p>
            <w:pPr>
              <w:widowControl/>
              <w:rPr>
                <w:rFonts w:ascii="宋体" w:hAnsi="宋体" w:cs="宋体"/>
                <w:sz w:val="20"/>
                <w:szCs w:val="20"/>
              </w:rPr>
            </w:pPr>
            <w:r>
              <w:rPr>
                <w:rFonts w:hint="eastAsia" w:ascii="宋体" w:hAnsi="宋体" w:cs="宋体"/>
                <w:sz w:val="20"/>
                <w:szCs w:val="20"/>
              </w:rPr>
              <w:t>14、提供3年原厂维保服务，提供原厂售后服务承诺函和授权书；设备生产商需在国内设有400技术服务热线；</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0"/>
            <w:vAlign w:val="center"/>
          </w:tcPr>
          <w:p>
            <w:pPr>
              <w:widowControl/>
              <w:jc w:val="center"/>
              <w:rPr>
                <w:rFonts w:ascii="宋体" w:hAnsi="宋体" w:cs="宋体"/>
                <w:color w:val="000000"/>
                <w:sz w:val="22"/>
                <w:szCs w:val="22"/>
              </w:rPr>
            </w:pPr>
            <w:r>
              <w:rPr>
                <w:rFonts w:hint="eastAsia" w:ascii="宋体" w:hAnsi="宋体" w:cs="宋体"/>
                <w:color w:val="000000"/>
                <w:sz w:val="22"/>
                <w:szCs w:val="22"/>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1219" w:type="pct"/>
            <w:gridSpan w:val="2"/>
            <w:tcBorders>
              <w:top w:val="single" w:color="auto" w:sz="4" w:space="0"/>
              <w:bottom w:val="single" w:color="auto" w:sz="4" w:space="0"/>
              <w:right w:val="single" w:color="000000"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7.运维及督教大屏</w:t>
            </w:r>
          </w:p>
        </w:tc>
        <w:tc>
          <w:tcPr>
            <w:tcW w:w="3015" w:type="pct"/>
            <w:tcBorders>
              <w:top w:val="nil"/>
              <w:left w:val="nil"/>
              <w:bottom w:val="single" w:color="auto" w:sz="4" w:space="0"/>
              <w:right w:val="single" w:color="auto"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LCD显示单元</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LCD显示单元为：55“超窄边液晶屏；物理分辨率达到1920×1080，响应时间≤8ms。</w:t>
            </w:r>
          </w:p>
          <w:p>
            <w:pPr>
              <w:widowControl/>
              <w:rPr>
                <w:rFonts w:hint="eastAsia" w:ascii="宋体" w:hAnsi="宋体" w:cs="宋体"/>
                <w:sz w:val="20"/>
                <w:szCs w:val="20"/>
              </w:rPr>
            </w:pPr>
            <w:r>
              <w:rPr>
                <w:rFonts w:hint="eastAsia" w:ascii="宋体" w:hAnsi="宋体" w:cs="宋体"/>
                <w:sz w:val="20"/>
                <w:szCs w:val="20"/>
              </w:rPr>
              <w:t>LCD显示单元物理拼缝≤3.5mm，亮度达到600cd/㎡，对比度达到1200:1，图像显示清晰度≥950TVL，亮度鉴别等级为11级。提供公安部检测报告复印件。</w:t>
            </w:r>
          </w:p>
          <w:p>
            <w:pPr>
              <w:widowControl/>
              <w:rPr>
                <w:rFonts w:hint="eastAsia" w:ascii="宋体" w:hAnsi="宋体" w:cs="宋体"/>
                <w:sz w:val="20"/>
                <w:szCs w:val="20"/>
              </w:rPr>
            </w:pPr>
            <w:r>
              <w:rPr>
                <w:rFonts w:hint="eastAsia" w:ascii="宋体" w:hAnsi="宋体" w:cs="宋体"/>
                <w:sz w:val="20"/>
                <w:szCs w:val="20"/>
              </w:rPr>
              <w:t>LCD显示单元通过CCC、CE、CB、FCC检测认证，并提供CCC、CE、CB、FCC认证证书。</w:t>
            </w:r>
          </w:p>
          <w:p>
            <w:pPr>
              <w:widowControl/>
              <w:rPr>
                <w:rFonts w:hint="eastAsia" w:ascii="宋体" w:hAnsi="宋体" w:cs="宋体"/>
                <w:sz w:val="20"/>
                <w:szCs w:val="20"/>
              </w:rPr>
            </w:pPr>
            <w:r>
              <w:rPr>
                <w:rFonts w:hint="eastAsia" w:ascii="宋体" w:hAnsi="宋体" w:cs="宋体"/>
                <w:sz w:val="20"/>
                <w:szCs w:val="20"/>
              </w:rPr>
              <w:t xml:space="preserve">LCD显示单元具备能效等级为1级的CQC节能认证证书、CEC环境I型认证证书。 </w:t>
            </w:r>
          </w:p>
          <w:p>
            <w:pPr>
              <w:widowControl/>
              <w:rPr>
                <w:rFonts w:hint="eastAsia" w:ascii="宋体" w:hAnsi="宋体" w:cs="宋体"/>
                <w:sz w:val="20"/>
                <w:szCs w:val="20"/>
              </w:rPr>
            </w:pPr>
            <w:r>
              <w:rPr>
                <w:rFonts w:hint="eastAsia" w:ascii="宋体" w:hAnsi="宋体" w:cs="宋体"/>
                <w:sz w:val="20"/>
                <w:szCs w:val="20"/>
              </w:rPr>
              <w:t>液晶显示单元内置图像处理芯片，能够实时分析显示内容资料，实现在影片、汇报和监控三种场景模式下智能切换。（提供封面具有CMA、ilac-MRA、CNAS标志的权威检测机构的检测报告复印件）</w:t>
            </w:r>
          </w:p>
          <w:p>
            <w:pPr>
              <w:widowControl/>
              <w:rPr>
                <w:rFonts w:hint="eastAsia" w:ascii="宋体" w:hAnsi="宋体" w:cs="宋体"/>
                <w:sz w:val="20"/>
                <w:szCs w:val="20"/>
              </w:rPr>
            </w:pPr>
            <w:r>
              <w:rPr>
                <w:rFonts w:hint="eastAsia" w:ascii="宋体" w:hAnsi="宋体" w:cs="宋体"/>
                <w:sz w:val="20"/>
                <w:szCs w:val="20"/>
              </w:rPr>
              <w:t>无需额外配置分配器或矩阵，液晶显示单元本身支持VGA、DVI、HDMI和DP四种信号中任意一种信号输入，均能通过HDMI或者DP环出，且信号环通级数达到35级，最后一级显示无噪点。（提供封面具有CMA、ilac-MRA、CNAS标志的权威检测机构的检测报告复印件）</w:t>
            </w:r>
          </w:p>
          <w:p>
            <w:pPr>
              <w:widowControl/>
              <w:rPr>
                <w:rFonts w:hint="eastAsia" w:ascii="宋体" w:hAnsi="宋体" w:cs="宋体"/>
                <w:sz w:val="20"/>
                <w:szCs w:val="20"/>
              </w:rPr>
            </w:pPr>
            <w:r>
              <w:rPr>
                <w:rFonts w:hint="eastAsia" w:ascii="宋体" w:hAnsi="宋体" w:cs="宋体"/>
                <w:sz w:val="20"/>
                <w:szCs w:val="20"/>
              </w:rPr>
              <w:t>拼接屏具有解析总数据量不超过3840 x 2160的任意分辨率信源的功能。（提供封面具有CMA、ilac-MRA、CNAS标志的权威检测机构的检测报告复印件）</w:t>
            </w:r>
          </w:p>
          <w:p>
            <w:pPr>
              <w:widowControl/>
              <w:rPr>
                <w:rFonts w:ascii="宋体" w:hAnsi="宋体" w:cs="宋体"/>
                <w:sz w:val="20"/>
                <w:szCs w:val="20"/>
              </w:rPr>
            </w:pPr>
            <w:r>
              <w:rPr>
                <w:rFonts w:hint="eastAsia" w:ascii="宋体" w:hAnsi="宋体" w:cs="宋体"/>
                <w:sz w:val="20"/>
                <w:szCs w:val="20"/>
              </w:rPr>
              <w:t>拼接屏具有实时分析当前画面亮度分布比例，自动调整亮度值的功能，具有动态调节画面对比度，可提高暗阶画面亮度，增强暗画面显示细节的功能。（提供封面具有CMA、ilac-MRA、CNAS标志的权威检测机构的检测报告复印件）</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LCD屏框架</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sz w:val="20"/>
                <w:szCs w:val="20"/>
              </w:rPr>
            </w:pPr>
            <w:r>
              <w:rPr>
                <w:rFonts w:hint="eastAsia" w:ascii="宋体" w:hAnsi="宋体" w:cs="宋体"/>
                <w:sz w:val="20"/>
                <w:szCs w:val="20"/>
              </w:rPr>
              <w:t>配合模块化底座使用</w:t>
            </w:r>
          </w:p>
          <w:p>
            <w:pPr>
              <w:widowControl/>
              <w:rPr>
                <w:rFonts w:hint="eastAsia" w:ascii="宋体" w:hAnsi="宋体" w:cs="宋体"/>
                <w:sz w:val="20"/>
                <w:szCs w:val="20"/>
              </w:rPr>
            </w:pPr>
            <w:r>
              <w:rPr>
                <w:rFonts w:hint="eastAsia" w:ascii="宋体" w:hAnsi="宋体" w:cs="宋体"/>
                <w:sz w:val="20"/>
                <w:szCs w:val="20"/>
              </w:rPr>
              <w:t>支架特点：</w:t>
            </w:r>
          </w:p>
          <w:p>
            <w:pPr>
              <w:widowControl/>
              <w:rPr>
                <w:rFonts w:hint="eastAsia" w:ascii="宋体" w:hAnsi="宋体" w:cs="宋体"/>
                <w:sz w:val="20"/>
                <w:szCs w:val="20"/>
              </w:rPr>
            </w:pPr>
            <w:r>
              <w:rPr>
                <w:rFonts w:hint="eastAsia" w:ascii="宋体" w:hAnsi="宋体" w:cs="宋体"/>
                <w:sz w:val="20"/>
                <w:szCs w:val="20"/>
              </w:rPr>
              <w:t>1、美观、地脚隐藏</w:t>
            </w:r>
          </w:p>
          <w:p>
            <w:pPr>
              <w:widowControl/>
              <w:rPr>
                <w:rFonts w:hint="eastAsia" w:ascii="宋体" w:hAnsi="宋体" w:cs="宋体"/>
                <w:sz w:val="20"/>
                <w:szCs w:val="20"/>
              </w:rPr>
            </w:pPr>
            <w:r>
              <w:rPr>
                <w:rFonts w:hint="eastAsia" w:ascii="宋体" w:hAnsi="宋体" w:cs="宋体"/>
                <w:sz w:val="20"/>
                <w:szCs w:val="20"/>
              </w:rPr>
              <w:t>2、性价比高</w:t>
            </w:r>
          </w:p>
          <w:p>
            <w:pPr>
              <w:widowControl/>
              <w:rPr>
                <w:rFonts w:hint="eastAsia" w:ascii="宋体" w:hAnsi="宋体" w:cs="宋体"/>
                <w:sz w:val="20"/>
                <w:szCs w:val="20"/>
              </w:rPr>
            </w:pPr>
            <w:r>
              <w:rPr>
                <w:rFonts w:hint="eastAsia" w:ascii="宋体" w:hAnsi="宋体" w:cs="宋体"/>
                <w:sz w:val="20"/>
                <w:szCs w:val="20"/>
              </w:rPr>
              <w:t>3、四周包边</w:t>
            </w:r>
          </w:p>
          <w:p>
            <w:pPr>
              <w:widowControl/>
              <w:rPr>
                <w:rFonts w:ascii="宋体" w:hAnsi="宋体" w:cs="宋体"/>
                <w:sz w:val="20"/>
                <w:szCs w:val="20"/>
              </w:rPr>
            </w:pPr>
            <w:r>
              <w:rPr>
                <w:rFonts w:hint="eastAsia" w:ascii="宋体" w:hAnsi="宋体" w:cs="宋体"/>
                <w:sz w:val="20"/>
                <w:szCs w:val="20"/>
              </w:rPr>
              <w:t>4、支持扩容</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LCD屏底座</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sz w:val="20"/>
                <w:szCs w:val="20"/>
              </w:rPr>
            </w:pPr>
            <w:r>
              <w:rPr>
                <w:rFonts w:hint="eastAsia" w:ascii="宋体" w:hAnsi="宋体" w:cs="宋体"/>
                <w:sz w:val="20"/>
                <w:szCs w:val="20"/>
              </w:rPr>
              <w:t>配合模块化框架使用</w:t>
            </w:r>
          </w:p>
          <w:p>
            <w:pPr>
              <w:widowControl/>
              <w:rPr>
                <w:rFonts w:hint="eastAsia" w:ascii="宋体" w:hAnsi="宋体" w:cs="宋体"/>
                <w:sz w:val="20"/>
                <w:szCs w:val="20"/>
              </w:rPr>
            </w:pPr>
            <w:r>
              <w:rPr>
                <w:rFonts w:hint="eastAsia" w:ascii="宋体" w:hAnsi="宋体" w:cs="宋体"/>
                <w:sz w:val="20"/>
                <w:szCs w:val="20"/>
              </w:rPr>
              <w:t>支架特点：</w:t>
            </w:r>
          </w:p>
          <w:p>
            <w:pPr>
              <w:widowControl/>
              <w:rPr>
                <w:rFonts w:hint="eastAsia" w:ascii="宋体" w:hAnsi="宋体" w:cs="宋体"/>
                <w:sz w:val="20"/>
                <w:szCs w:val="20"/>
              </w:rPr>
            </w:pPr>
            <w:r>
              <w:rPr>
                <w:rFonts w:hint="eastAsia" w:ascii="宋体" w:hAnsi="宋体" w:cs="宋体"/>
                <w:sz w:val="20"/>
                <w:szCs w:val="20"/>
              </w:rPr>
              <w:t>1、美观、地脚隐藏</w:t>
            </w:r>
          </w:p>
          <w:p>
            <w:pPr>
              <w:widowControl/>
              <w:rPr>
                <w:rFonts w:hint="eastAsia" w:ascii="宋体" w:hAnsi="宋体" w:cs="宋体"/>
                <w:sz w:val="20"/>
                <w:szCs w:val="20"/>
              </w:rPr>
            </w:pPr>
            <w:r>
              <w:rPr>
                <w:rFonts w:hint="eastAsia" w:ascii="宋体" w:hAnsi="宋体" w:cs="宋体"/>
                <w:sz w:val="20"/>
                <w:szCs w:val="20"/>
              </w:rPr>
              <w:t>2、性价比高</w:t>
            </w:r>
          </w:p>
          <w:p>
            <w:pPr>
              <w:widowControl/>
              <w:rPr>
                <w:rFonts w:hint="eastAsia" w:ascii="宋体" w:hAnsi="宋体" w:cs="宋体"/>
                <w:sz w:val="20"/>
                <w:szCs w:val="20"/>
              </w:rPr>
            </w:pPr>
            <w:r>
              <w:rPr>
                <w:rFonts w:hint="eastAsia" w:ascii="宋体" w:hAnsi="宋体" w:cs="宋体"/>
                <w:sz w:val="20"/>
                <w:szCs w:val="20"/>
              </w:rPr>
              <w:t>3、四周包边</w:t>
            </w:r>
          </w:p>
          <w:p>
            <w:pPr>
              <w:widowControl/>
              <w:rPr>
                <w:rFonts w:ascii="宋体" w:hAnsi="宋体" w:cs="宋体"/>
                <w:sz w:val="20"/>
                <w:szCs w:val="20"/>
              </w:rPr>
            </w:pPr>
            <w:r>
              <w:rPr>
                <w:rFonts w:hint="eastAsia" w:ascii="宋体" w:hAnsi="宋体" w:cs="宋体"/>
                <w:sz w:val="20"/>
                <w:szCs w:val="20"/>
              </w:rPr>
              <w:t>4、支持扩容</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解码器</w:t>
            </w:r>
          </w:p>
        </w:tc>
        <w:tc>
          <w:tcPr>
            <w:tcW w:w="3015" w:type="pct"/>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cs="宋体"/>
                <w:sz w:val="20"/>
                <w:szCs w:val="20"/>
              </w:rPr>
            </w:pPr>
            <w:r>
              <w:rPr>
                <w:rFonts w:hint="eastAsia" w:ascii="宋体" w:hAnsi="宋体" w:cs="宋体"/>
                <w:sz w:val="20"/>
                <w:szCs w:val="20"/>
              </w:rPr>
              <w:t>采用嵌入式架构，专用Linux系统，使用DSP解码。为了设备稳定可靠运行，不得采用工控机或者PC机的X86架构。</w:t>
            </w:r>
          </w:p>
          <w:p>
            <w:pPr>
              <w:widowControl/>
              <w:rPr>
                <w:rFonts w:hint="eastAsia" w:ascii="宋体" w:hAnsi="宋体" w:cs="宋体"/>
                <w:sz w:val="20"/>
                <w:szCs w:val="20"/>
              </w:rPr>
            </w:pPr>
            <w:r>
              <w:rPr>
                <w:rFonts w:hint="eastAsia" w:ascii="宋体" w:hAnsi="宋体" w:cs="宋体"/>
                <w:sz w:val="20"/>
                <w:szCs w:val="20"/>
              </w:rPr>
              <w:t>具有12个HDMI输出接口、1个VGA输入接口、1个DVI输入接口、2个USB口、1个语音对讲输入、1个语音对讲输出、12个音频输出、8个报警输入、8个报警输出、1个RS485接口、6个CVBS输出接口（通过转接头实现）、1个RS232接口，2个千兆网口、2个光口。样机采用AC220V电源供电。</w:t>
            </w:r>
          </w:p>
          <w:p>
            <w:pPr>
              <w:widowControl/>
              <w:rPr>
                <w:rFonts w:hint="eastAsia" w:ascii="宋体" w:hAnsi="宋体" w:cs="宋体"/>
                <w:sz w:val="20"/>
                <w:szCs w:val="20"/>
              </w:rPr>
            </w:pPr>
            <w:r>
              <w:rPr>
                <w:rFonts w:hint="eastAsia" w:ascii="宋体" w:hAnsi="宋体" w:cs="宋体"/>
                <w:sz w:val="20"/>
                <w:szCs w:val="20"/>
              </w:rPr>
              <w:t>具有1个电源指示灯、1个VGA信号接入指示灯和1个DVI信号接入指示灯</w:t>
            </w:r>
          </w:p>
          <w:p>
            <w:pPr>
              <w:widowControl/>
              <w:rPr>
                <w:rFonts w:hint="eastAsia" w:ascii="宋体" w:hAnsi="宋体" w:cs="宋体"/>
                <w:sz w:val="20"/>
                <w:szCs w:val="20"/>
              </w:rPr>
            </w:pPr>
            <w:r>
              <w:rPr>
                <w:rFonts w:hint="eastAsia" w:ascii="宋体" w:hAnsi="宋体" w:cs="宋体"/>
                <w:sz w:val="20"/>
                <w:szCs w:val="20"/>
              </w:rPr>
              <w:t>支持对输入的视频画面进行90°、180°、270°旋转显示。（提供封面具有CNAS认证标识的公安部报告证明。）</w:t>
            </w:r>
          </w:p>
          <w:p>
            <w:pPr>
              <w:widowControl/>
              <w:rPr>
                <w:rFonts w:hint="eastAsia" w:ascii="宋体" w:hAnsi="宋体" w:cs="宋体"/>
                <w:sz w:val="20"/>
                <w:szCs w:val="20"/>
              </w:rPr>
            </w:pPr>
            <w:r>
              <w:rPr>
                <w:rFonts w:hint="eastAsia" w:ascii="宋体" w:hAnsi="宋体" w:cs="宋体"/>
                <w:sz w:val="20"/>
                <w:szCs w:val="20"/>
              </w:rPr>
              <w:t>设备接入具有智能行为分析功能的摄像机，可解码显示智能行为分析信息，包括移动侦测、越界入侵、区域入侵、起身离开等，并上传报警信息。（提供封面具有CNAS认证标识的公安部报告证明。）</w:t>
            </w:r>
          </w:p>
          <w:p>
            <w:pPr>
              <w:widowControl/>
              <w:rPr>
                <w:rFonts w:hint="eastAsia" w:ascii="宋体" w:hAnsi="宋体" w:cs="宋体"/>
                <w:sz w:val="20"/>
                <w:szCs w:val="20"/>
              </w:rPr>
            </w:pPr>
            <w:r>
              <w:rPr>
                <w:rFonts w:hint="eastAsia" w:ascii="宋体" w:hAnsi="宋体" w:cs="宋体"/>
                <w:sz w:val="20"/>
                <w:szCs w:val="20"/>
              </w:rPr>
              <w:t>支持前端接入智能摄像机，直连前端人脸检测设备，可实时展示人脸检测结果，包括年龄、性别、是否戴眼镜等人脸属性信息；属性直接叠加画面显示。（提供封面具有CNAS认证标识的公安部报告证明。）</w:t>
            </w:r>
          </w:p>
          <w:p>
            <w:pPr>
              <w:widowControl/>
              <w:rPr>
                <w:rFonts w:hint="eastAsia" w:ascii="宋体" w:hAnsi="宋体" w:cs="宋体"/>
                <w:sz w:val="20"/>
                <w:szCs w:val="20"/>
              </w:rPr>
            </w:pPr>
          </w:p>
          <w:p>
            <w:pPr>
              <w:widowControl/>
              <w:rPr>
                <w:rFonts w:hint="eastAsia" w:ascii="宋体" w:hAnsi="宋体" w:cs="宋体"/>
                <w:sz w:val="20"/>
                <w:szCs w:val="20"/>
              </w:rPr>
            </w:pPr>
            <w:r>
              <w:rPr>
                <w:rFonts w:hint="eastAsia" w:ascii="宋体" w:hAnsi="宋体" w:cs="宋体"/>
                <w:sz w:val="20"/>
                <w:szCs w:val="20"/>
              </w:rPr>
              <w:t>支持1、2、4、6、8、9、10、12、16、25、36画面分割显示；支持平均分割；支持分割线开启/关闭设置，支持底色设置功能。（提供封面具有CNAS认证标识的公安部报告证明）</w:t>
            </w:r>
          </w:p>
          <w:p>
            <w:pPr>
              <w:widowControl/>
              <w:rPr>
                <w:rFonts w:hint="eastAsia" w:ascii="宋体" w:hAnsi="宋体" w:cs="宋体"/>
                <w:sz w:val="20"/>
                <w:szCs w:val="20"/>
              </w:rPr>
            </w:pPr>
            <w:r>
              <w:rPr>
                <w:rFonts w:hint="eastAsia" w:ascii="宋体" w:hAnsi="宋体" w:cs="宋体"/>
                <w:sz w:val="20"/>
                <w:szCs w:val="20"/>
              </w:rPr>
              <w:t>支持通过客户端软件将1路输入视频图像发送至多个输出接口拼接显示，支持1*2、1*3、1*4、1*5、1*6、1*7、1*8、1*9、1*10、1*11、1*12、2*1、2*2、2*3、2*4、2*5、2*6、3*1、3*2、3*3、3*4、4*1、4*2、4*3、5*1、5*2、6*1、6*2、7*1、8*1、9*1、10*1、11*1、12*1的拼接显示（提供封面具有CNAS认证标识的公安部报告证明）</w:t>
            </w:r>
          </w:p>
          <w:p>
            <w:pPr>
              <w:widowControl/>
              <w:rPr>
                <w:rFonts w:ascii="宋体" w:hAnsi="宋体" w:cs="宋体"/>
                <w:sz w:val="20"/>
                <w:szCs w:val="20"/>
              </w:rPr>
            </w:pPr>
            <w:r>
              <w:rPr>
                <w:rFonts w:hint="eastAsia" w:ascii="宋体" w:hAnsi="宋体" w:cs="宋体"/>
                <w:sz w:val="20"/>
                <w:szCs w:val="20"/>
              </w:rPr>
              <w:t>可将样机当前的解码输出模式设置为一个场景，样机可保存多个场景，并可通过客户端软件切换样机场景提供封面具有CNAS认证标识的公安部报告证明。（提供封面具有CNAS认证标识的公安部报告证明。）</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LCD显示单元</w:t>
            </w:r>
          </w:p>
        </w:tc>
        <w:tc>
          <w:tcPr>
            <w:tcW w:w="3015" w:type="pct"/>
            <w:tcBorders>
              <w:top w:val="nil"/>
              <w:left w:val="nil"/>
              <w:bottom w:val="single" w:color="auto" w:sz="4" w:space="0"/>
              <w:right w:val="single" w:color="auto" w:sz="4" w:space="0"/>
            </w:tcBorders>
            <w:shd w:val="clear" w:color="auto" w:fill="auto"/>
            <w:noWrap w:val="0"/>
            <w:vAlign w:val="top"/>
          </w:tcPr>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LCD显示单元为：55“超窄边液晶屏；物理分辨率达到1920×1080，响应时间≤8ms。</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LCD显示单元物理拼缝≤1.8mm，亮度达到600cd/㎡，对比度达到1400:1，图像显示清晰度≥950TVL，亮度鉴别等级为11级。提供公安部检测报告复印件。</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LCD显示单元通过CCC、CE、CB、FCC检测认证，并提供CCC、CE、CB、FCC认证证书</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LCD显示单元具备能效等级为1级的CQC节能认证证书、CEC环境I型认证证书。</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液晶显示单元内置图像处理芯片，能够实时分析显示内容资料，实现在影片、汇报和监控三种场景模式下智能切换。（提供封面具有CMA、ilac-MRA、CNAS标志的权威检测机构的检测报告复印件）</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无需额外配置分配器或矩阵，液晶显示单元本身支持VGA、DVI、HDMI和DP四种信号中任意一种信号输入，均能通过HDMI或者DP环出，且信号环通级数达到35级，最后一级显示无噪点。（提供封面具有CMA、ilac-MRA、CNAS标志的权威检测机构的检测报告复印件）</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拼接屏具有解析总数据量不超过3840 x 2160的任意分辨率信源的功能。（提供封面具有CMA、ilac-MRA、CNAS标志的权威检测机构的检测报告复印件）</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拼接屏具有实时分析当前画面亮度分布比例，自动调整亮度值的功能，具有动态调节画面对比度，可提高暗阶画面亮度，增强暗画面显示细节的功能。（提供封面具有CMA、ilac-MRA、CNAS标志的权威检测机构的检测报告复印件）</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为保护环境要求，液晶拼接屏需满足中国电器电子产品有害物质限制使用的要求，并提供中国质量认证中心产品认证证书。</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 xml:space="preserve">  LCD产品制造商作为起草单位参与国家标准GA/T 1084-2020《大型活动用拼接显示系统通用规范》的起草 </w:t>
            </w:r>
          </w:p>
          <w:p>
            <w:pPr>
              <w:keepNext w:val="0"/>
              <w:keepLines w:val="0"/>
              <w:pageBreakBefore w:val="0"/>
              <w:widowControl/>
              <w:kinsoku/>
              <w:wordWrap/>
              <w:overflowPunct/>
              <w:topLinePunct w:val="0"/>
              <w:autoSpaceDE/>
              <w:autoSpaceDN/>
              <w:bidi w:val="0"/>
              <w:adjustRightInd/>
              <w:snapToGrid/>
              <w:textAlignment w:val="auto"/>
              <w:rPr>
                <w:rFonts w:hint="eastAsia" w:ascii="宋体" w:hAnsi="宋体" w:cs="宋体"/>
                <w:sz w:val="20"/>
                <w:szCs w:val="20"/>
              </w:rPr>
            </w:pPr>
            <w:r>
              <w:rPr>
                <w:rFonts w:hint="eastAsia" w:ascii="宋体" w:hAnsi="宋体" w:cs="宋体"/>
                <w:sz w:val="20"/>
                <w:szCs w:val="20"/>
              </w:rPr>
              <w:t>LCD显示单元具备智能光感护眼功能,液晶单元可自动识别环境光强弱,根据环境光变化调节屏幕亮度，需提供国家知识产权局颁发的大屏拼接墙光线感应装置专利证书。</w:t>
            </w:r>
          </w:p>
          <w:p>
            <w:pPr>
              <w:keepNext w:val="0"/>
              <w:keepLines w:val="0"/>
              <w:pageBreakBefore w:val="0"/>
              <w:widowControl/>
              <w:kinsoku/>
              <w:wordWrap/>
              <w:overflowPunct/>
              <w:topLinePunct w:val="0"/>
              <w:autoSpaceDE/>
              <w:autoSpaceDN/>
              <w:bidi w:val="0"/>
              <w:adjustRightInd/>
              <w:snapToGrid/>
              <w:textAlignment w:val="auto"/>
              <w:rPr>
                <w:rFonts w:ascii="宋体" w:hAnsi="宋体" w:cs="宋体"/>
                <w:sz w:val="20"/>
                <w:szCs w:val="20"/>
              </w:rPr>
            </w:pPr>
            <w:r>
              <w:rPr>
                <w:rFonts w:hint="eastAsia" w:ascii="宋体" w:hAnsi="宋体" w:cs="宋体"/>
                <w:sz w:val="20"/>
                <w:szCs w:val="20"/>
              </w:rPr>
              <w:t>显示单元具备液晶产品色差校正系统软件，需提供相应软件著作权证书。</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LCD屏框架</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sz w:val="20"/>
                <w:szCs w:val="20"/>
              </w:rPr>
            </w:pPr>
            <w:r>
              <w:rPr>
                <w:rFonts w:hint="eastAsia" w:ascii="宋体" w:hAnsi="宋体" w:cs="宋体"/>
                <w:sz w:val="20"/>
                <w:szCs w:val="20"/>
              </w:rPr>
              <w:t>配合模块化底座使用</w:t>
            </w:r>
          </w:p>
          <w:p>
            <w:pPr>
              <w:widowControl/>
              <w:rPr>
                <w:rFonts w:hint="eastAsia" w:ascii="宋体" w:hAnsi="宋体" w:cs="宋体"/>
                <w:sz w:val="20"/>
                <w:szCs w:val="20"/>
              </w:rPr>
            </w:pPr>
            <w:r>
              <w:rPr>
                <w:rFonts w:hint="eastAsia" w:ascii="宋体" w:hAnsi="宋体" w:cs="宋体"/>
                <w:sz w:val="20"/>
                <w:szCs w:val="20"/>
              </w:rPr>
              <w:t>支架特点：</w:t>
            </w:r>
          </w:p>
          <w:p>
            <w:pPr>
              <w:widowControl/>
              <w:rPr>
                <w:rFonts w:hint="eastAsia" w:ascii="宋体" w:hAnsi="宋体" w:cs="宋体"/>
                <w:sz w:val="20"/>
                <w:szCs w:val="20"/>
              </w:rPr>
            </w:pPr>
            <w:r>
              <w:rPr>
                <w:rFonts w:hint="eastAsia" w:ascii="宋体" w:hAnsi="宋体" w:cs="宋体"/>
                <w:sz w:val="20"/>
                <w:szCs w:val="20"/>
              </w:rPr>
              <w:t>1、美观、地脚隐藏</w:t>
            </w:r>
          </w:p>
          <w:p>
            <w:pPr>
              <w:widowControl/>
              <w:rPr>
                <w:rFonts w:hint="eastAsia" w:ascii="宋体" w:hAnsi="宋体" w:cs="宋体"/>
                <w:sz w:val="20"/>
                <w:szCs w:val="20"/>
              </w:rPr>
            </w:pPr>
            <w:r>
              <w:rPr>
                <w:rFonts w:hint="eastAsia" w:ascii="宋体" w:hAnsi="宋体" w:cs="宋体"/>
                <w:sz w:val="20"/>
                <w:szCs w:val="20"/>
              </w:rPr>
              <w:t>2、性价比高</w:t>
            </w:r>
          </w:p>
          <w:p>
            <w:pPr>
              <w:widowControl/>
              <w:rPr>
                <w:rFonts w:hint="eastAsia" w:ascii="宋体" w:hAnsi="宋体" w:cs="宋体"/>
                <w:sz w:val="20"/>
                <w:szCs w:val="20"/>
              </w:rPr>
            </w:pPr>
            <w:r>
              <w:rPr>
                <w:rFonts w:hint="eastAsia" w:ascii="宋体" w:hAnsi="宋体" w:cs="宋体"/>
                <w:sz w:val="20"/>
                <w:szCs w:val="20"/>
              </w:rPr>
              <w:t>3、四周包边</w:t>
            </w:r>
          </w:p>
          <w:p>
            <w:pPr>
              <w:widowControl/>
              <w:rPr>
                <w:rFonts w:ascii="宋体" w:hAnsi="宋体" w:cs="宋体"/>
                <w:sz w:val="20"/>
                <w:szCs w:val="20"/>
              </w:rPr>
            </w:pPr>
            <w:r>
              <w:rPr>
                <w:rFonts w:hint="eastAsia" w:ascii="宋体" w:hAnsi="宋体" w:cs="宋体"/>
                <w:sz w:val="20"/>
                <w:szCs w:val="20"/>
              </w:rPr>
              <w:t>4、支持扩容</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LCD屏底座</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sz w:val="20"/>
                <w:szCs w:val="20"/>
              </w:rPr>
            </w:pPr>
            <w:r>
              <w:rPr>
                <w:rFonts w:hint="eastAsia" w:ascii="宋体" w:hAnsi="宋体" w:cs="宋体"/>
                <w:sz w:val="20"/>
                <w:szCs w:val="20"/>
              </w:rPr>
              <w:t>配合模块化框架使用</w:t>
            </w:r>
          </w:p>
          <w:p>
            <w:pPr>
              <w:widowControl/>
              <w:rPr>
                <w:rFonts w:hint="eastAsia" w:ascii="宋体" w:hAnsi="宋体" w:cs="宋体"/>
                <w:sz w:val="20"/>
                <w:szCs w:val="20"/>
              </w:rPr>
            </w:pPr>
            <w:r>
              <w:rPr>
                <w:rFonts w:hint="eastAsia" w:ascii="宋体" w:hAnsi="宋体" w:cs="宋体"/>
                <w:sz w:val="20"/>
                <w:szCs w:val="20"/>
              </w:rPr>
              <w:t>支架特点：</w:t>
            </w:r>
          </w:p>
          <w:p>
            <w:pPr>
              <w:widowControl/>
              <w:rPr>
                <w:rFonts w:hint="eastAsia" w:ascii="宋体" w:hAnsi="宋体" w:cs="宋体"/>
                <w:sz w:val="20"/>
                <w:szCs w:val="20"/>
              </w:rPr>
            </w:pPr>
            <w:r>
              <w:rPr>
                <w:rFonts w:hint="eastAsia" w:ascii="宋体" w:hAnsi="宋体" w:cs="宋体"/>
                <w:sz w:val="20"/>
                <w:szCs w:val="20"/>
              </w:rPr>
              <w:t>1、美观、地脚隐藏</w:t>
            </w:r>
          </w:p>
          <w:p>
            <w:pPr>
              <w:widowControl/>
              <w:rPr>
                <w:rFonts w:hint="eastAsia" w:ascii="宋体" w:hAnsi="宋体" w:cs="宋体"/>
                <w:sz w:val="20"/>
                <w:szCs w:val="20"/>
              </w:rPr>
            </w:pPr>
            <w:r>
              <w:rPr>
                <w:rFonts w:hint="eastAsia" w:ascii="宋体" w:hAnsi="宋体" w:cs="宋体"/>
                <w:sz w:val="20"/>
                <w:szCs w:val="20"/>
              </w:rPr>
              <w:t>2、性价比高</w:t>
            </w:r>
          </w:p>
          <w:p>
            <w:pPr>
              <w:widowControl/>
              <w:rPr>
                <w:rFonts w:hint="eastAsia" w:ascii="宋体" w:hAnsi="宋体" w:cs="宋体"/>
                <w:sz w:val="20"/>
                <w:szCs w:val="20"/>
              </w:rPr>
            </w:pPr>
            <w:r>
              <w:rPr>
                <w:rFonts w:hint="eastAsia" w:ascii="宋体" w:hAnsi="宋体" w:cs="宋体"/>
                <w:sz w:val="20"/>
                <w:szCs w:val="20"/>
              </w:rPr>
              <w:t>3、四周包边</w:t>
            </w:r>
          </w:p>
          <w:p>
            <w:pPr>
              <w:widowControl/>
              <w:rPr>
                <w:rFonts w:ascii="宋体" w:hAnsi="宋体" w:cs="宋体"/>
                <w:sz w:val="20"/>
                <w:szCs w:val="20"/>
              </w:rPr>
            </w:pPr>
            <w:r>
              <w:rPr>
                <w:rFonts w:hint="eastAsia" w:ascii="宋体" w:hAnsi="宋体" w:cs="宋体"/>
                <w:sz w:val="20"/>
                <w:szCs w:val="20"/>
              </w:rPr>
              <w:t>4、支持扩容</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大屏控制设备</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sz w:val="20"/>
                <w:szCs w:val="20"/>
              </w:rPr>
            </w:pPr>
            <w:r>
              <w:rPr>
                <w:rFonts w:hint="eastAsia" w:ascii="宋体" w:hAnsi="宋体" w:cs="宋体"/>
                <w:sz w:val="20"/>
                <w:szCs w:val="20"/>
              </w:rPr>
              <w:t>投标产品需提供权威机构所出具的CCC、FCC、CE、RoHS等检测报告。</w:t>
            </w:r>
          </w:p>
          <w:p>
            <w:pPr>
              <w:widowControl/>
              <w:rPr>
                <w:rFonts w:hint="eastAsia" w:ascii="宋体" w:hAnsi="宋体" w:cs="宋体"/>
                <w:sz w:val="20"/>
                <w:szCs w:val="20"/>
              </w:rPr>
            </w:pPr>
            <w:r>
              <w:rPr>
                <w:rFonts w:hint="eastAsia" w:ascii="宋体" w:hAnsi="宋体" w:cs="宋体"/>
                <w:sz w:val="20"/>
                <w:szCs w:val="20"/>
              </w:rPr>
              <w:t>投标产品投标产品可提供权威机构出具的平均无故障运行时间（MTBF）达到180000小时检测报告、MTTR小于15分钟且设备整体可用度≥99.99%的检测报告。</w:t>
            </w:r>
          </w:p>
          <w:p>
            <w:pPr>
              <w:widowControl/>
              <w:rPr>
                <w:rFonts w:hint="eastAsia" w:ascii="宋体" w:hAnsi="宋体" w:cs="宋体"/>
                <w:sz w:val="20"/>
                <w:szCs w:val="20"/>
              </w:rPr>
            </w:pPr>
            <w:r>
              <w:rPr>
                <w:rFonts w:hint="eastAsia" w:ascii="宋体" w:hAnsi="宋体" w:cs="宋体"/>
                <w:sz w:val="20"/>
                <w:szCs w:val="20"/>
              </w:rPr>
              <w:t>投标产品支持BNC、YPbPr、SDI、DVI、DisplayPort、HDMI、HDBaseT等输入，输出支持DVI、SDI、HDBaseT输出。支持远距离同轴高清信号传输，传输距离可达500m。提供封面具有CNAS盖章的权威检测报告。</w:t>
            </w:r>
          </w:p>
          <w:p>
            <w:pPr>
              <w:widowControl/>
              <w:rPr>
                <w:rFonts w:hint="eastAsia" w:ascii="宋体" w:hAnsi="宋体" w:cs="宋体"/>
                <w:sz w:val="20"/>
                <w:szCs w:val="20"/>
              </w:rPr>
            </w:pPr>
            <w:r>
              <w:rPr>
                <w:rFonts w:hint="eastAsia" w:ascii="宋体" w:hAnsi="宋体" w:cs="宋体"/>
                <w:sz w:val="20"/>
                <w:szCs w:val="20"/>
              </w:rPr>
              <w:t>投标产品支持预览功能，能同时对矩阵和显示终端进行配置；设备可同时输出不同信号源视频图象，并在同一屏幕上显示；可通过屏幕编号调整分屏显示顺序；可对视频文件进行回放。提供封面具有CNAS盖章的权威检测报告。</w:t>
            </w:r>
          </w:p>
          <w:p>
            <w:pPr>
              <w:widowControl/>
              <w:rPr>
                <w:rFonts w:hint="eastAsia" w:ascii="宋体" w:hAnsi="宋体" w:cs="宋体"/>
                <w:sz w:val="20"/>
                <w:szCs w:val="20"/>
              </w:rPr>
            </w:pPr>
            <w:r>
              <w:rPr>
                <w:rFonts w:hint="eastAsia" w:ascii="宋体" w:hAnsi="宋体" w:cs="宋体"/>
                <w:sz w:val="20"/>
                <w:szCs w:val="20"/>
              </w:rPr>
              <w:t>投标产品支持远程控制功能，可通过客户端软件远程操作接入设备的子客户端，实现全面接管控制、划线标注、图片展示、视频播放、office文件演示功能。提供封面具有CNAS盖章的权威检测报告。</w:t>
            </w:r>
          </w:p>
          <w:p>
            <w:pPr>
              <w:widowControl/>
              <w:rPr>
                <w:rFonts w:hint="eastAsia" w:ascii="宋体" w:hAnsi="宋体" w:cs="宋体"/>
                <w:sz w:val="20"/>
                <w:szCs w:val="20"/>
              </w:rPr>
            </w:pPr>
            <w:r>
              <w:rPr>
                <w:rFonts w:hint="eastAsia" w:ascii="宋体" w:hAnsi="宋体" w:cs="宋体"/>
                <w:sz w:val="20"/>
                <w:szCs w:val="20"/>
              </w:rPr>
              <w:t>投标产品支持视频参数设置功能。具有亮度、对比度、饱和度、锐度设置选项，位置上下、左右可调。提供封面具有CNAS盖章的权威检测报告。</w:t>
            </w:r>
          </w:p>
          <w:p>
            <w:pPr>
              <w:widowControl/>
              <w:rPr>
                <w:rFonts w:hint="eastAsia" w:ascii="宋体" w:hAnsi="宋体" w:cs="宋体"/>
                <w:sz w:val="20"/>
                <w:szCs w:val="20"/>
              </w:rPr>
            </w:pPr>
            <w:r>
              <w:rPr>
                <w:rFonts w:hint="eastAsia" w:ascii="宋体" w:hAnsi="宋体" w:cs="宋体"/>
                <w:sz w:val="20"/>
                <w:szCs w:val="20"/>
              </w:rPr>
              <w:t>投标产品支持同轴高清传输功能，可通过500m同轴电缆接入云台并调用前端菜单。提供封面具有CNAS盖章的权威检测报告。</w:t>
            </w:r>
          </w:p>
          <w:p>
            <w:pPr>
              <w:widowControl/>
              <w:rPr>
                <w:rFonts w:hint="eastAsia" w:ascii="宋体" w:hAnsi="宋体" w:cs="宋体"/>
                <w:sz w:val="20"/>
                <w:szCs w:val="20"/>
              </w:rPr>
            </w:pPr>
            <w:r>
              <w:rPr>
                <w:rFonts w:hint="eastAsia" w:ascii="宋体" w:hAnsi="宋体" w:cs="宋体"/>
                <w:sz w:val="20"/>
                <w:szCs w:val="20"/>
              </w:rPr>
              <w:t>投标产品支持EDID自由设置功能，支持HDTVI反向云台控制功能。提供封面具有CNAS盖章的权威检测报告。</w:t>
            </w:r>
          </w:p>
          <w:p>
            <w:pPr>
              <w:widowControl/>
              <w:rPr>
                <w:rFonts w:hint="eastAsia" w:ascii="宋体" w:hAnsi="宋体" w:cs="宋体"/>
                <w:sz w:val="20"/>
                <w:szCs w:val="20"/>
              </w:rPr>
            </w:pPr>
            <w:r>
              <w:rPr>
                <w:rFonts w:hint="eastAsia" w:ascii="宋体" w:hAnsi="宋体" w:cs="宋体"/>
                <w:sz w:val="20"/>
                <w:szCs w:val="20"/>
              </w:rPr>
              <w:t>投标产品支持将输入视频图像以60帧/秒的帧率显示输出，可将1路输入视频图像发送至多个输出接口拼接显示，提供封面具有CNAS盖章的权威检测报告。</w:t>
            </w:r>
          </w:p>
          <w:p>
            <w:pPr>
              <w:widowControl/>
              <w:rPr>
                <w:rFonts w:hint="eastAsia" w:ascii="宋体" w:hAnsi="宋体" w:cs="宋体"/>
                <w:sz w:val="20"/>
                <w:szCs w:val="20"/>
              </w:rPr>
            </w:pPr>
            <w:r>
              <w:rPr>
                <w:rFonts w:hint="eastAsia" w:ascii="宋体" w:hAnsi="宋体" w:cs="宋体"/>
                <w:sz w:val="20"/>
                <w:szCs w:val="20"/>
              </w:rPr>
              <w:t>投标产品支持输出分辨率自定义功能，可通过客户端软件或浏览器对输出分辨率进行设置，最大分辨率可设为1920*1200。提供封面具有CNAS盖章的权威检测报告。</w:t>
            </w:r>
          </w:p>
          <w:p>
            <w:pPr>
              <w:widowControl/>
              <w:rPr>
                <w:rFonts w:ascii="宋体" w:hAnsi="宋体" w:cs="宋体"/>
                <w:sz w:val="20"/>
                <w:szCs w:val="20"/>
              </w:rPr>
            </w:pPr>
            <w:r>
              <w:rPr>
                <w:rFonts w:hint="eastAsia" w:ascii="宋体" w:hAnsi="宋体" w:cs="宋体"/>
                <w:sz w:val="20"/>
                <w:szCs w:val="20"/>
              </w:rPr>
              <w:t>投标产品在网络直联环境下，只输出单一信号源，视频图像传输至客户端的延时小于等于80ms，提供封面具有CNAS盖章的权威检测报告。</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大屏控制设备</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sz w:val="20"/>
                <w:szCs w:val="20"/>
              </w:rPr>
            </w:pPr>
            <w:r>
              <w:rPr>
                <w:rFonts w:hint="eastAsia" w:ascii="宋体" w:hAnsi="宋体" w:cs="宋体"/>
                <w:sz w:val="20"/>
                <w:szCs w:val="20"/>
              </w:rPr>
              <w:t>HDMI输出板，4路输出，4K@30Hz ,1920*1200</w:t>
            </w:r>
          </w:p>
          <w:p>
            <w:pPr>
              <w:widowControl/>
              <w:rPr>
                <w:rFonts w:hint="eastAsia" w:ascii="宋体" w:hAnsi="宋体" w:cs="宋体"/>
                <w:sz w:val="20"/>
                <w:szCs w:val="20"/>
              </w:rPr>
            </w:pPr>
            <w:r>
              <w:rPr>
                <w:rFonts w:hint="eastAsia" w:ascii="宋体" w:hAnsi="宋体" w:cs="宋体"/>
                <w:sz w:val="20"/>
                <w:szCs w:val="20"/>
              </w:rPr>
              <w:t>1024×768@60Hz,1024×768@75Hz,1360×768@60Hz,1400x1050@60Hz,</w:t>
            </w:r>
          </w:p>
          <w:p>
            <w:pPr>
              <w:widowControl/>
              <w:rPr>
                <w:rFonts w:ascii="宋体" w:hAnsi="宋体" w:cs="宋体"/>
                <w:sz w:val="20"/>
                <w:szCs w:val="20"/>
              </w:rPr>
            </w:pPr>
            <w:r>
              <w:rPr>
                <w:rFonts w:hint="eastAsia" w:ascii="宋体" w:hAnsi="宋体" w:cs="宋体"/>
                <w:sz w:val="20"/>
                <w:szCs w:val="20"/>
              </w:rPr>
              <w:t>1920x1200@60Hz,720P@60Hz,1080P@60Hz</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sz w:val="20"/>
                <w:szCs w:val="20"/>
              </w:rPr>
            </w:pPr>
            <w:r>
              <w:rPr>
                <w:rFonts w:hint="eastAsia" w:ascii="宋体" w:hAnsi="宋体" w:cs="宋体"/>
                <w:color w:val="000000"/>
                <w:sz w:val="20"/>
                <w:szCs w:val="20"/>
              </w:rPr>
              <w:t>大屏控制设备</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sz w:val="20"/>
                <w:szCs w:val="20"/>
              </w:rPr>
            </w:pPr>
            <w:r>
              <w:rPr>
                <w:rFonts w:hint="eastAsia" w:ascii="宋体" w:hAnsi="宋体" w:cs="宋体"/>
                <w:sz w:val="20"/>
                <w:szCs w:val="20"/>
              </w:rPr>
              <w:t>HDMI输入板，4个HDMI接口</w:t>
            </w:r>
          </w:p>
          <w:p>
            <w:pPr>
              <w:widowControl/>
              <w:rPr>
                <w:rFonts w:hint="eastAsia" w:ascii="宋体" w:hAnsi="宋体" w:cs="宋体"/>
                <w:sz w:val="20"/>
                <w:szCs w:val="20"/>
              </w:rPr>
            </w:pPr>
            <w:r>
              <w:rPr>
                <w:rFonts w:hint="eastAsia" w:ascii="宋体" w:hAnsi="宋体" w:cs="宋体"/>
                <w:sz w:val="20"/>
                <w:szCs w:val="20"/>
              </w:rPr>
              <w:t>1024×768@60Hz， 1024×768@75Hz， 1280×720@50Hz， 1280×720@60Hz，</w:t>
            </w:r>
          </w:p>
          <w:p>
            <w:pPr>
              <w:widowControl/>
              <w:rPr>
                <w:rFonts w:hint="eastAsia" w:ascii="宋体" w:hAnsi="宋体" w:cs="宋体"/>
                <w:sz w:val="20"/>
                <w:szCs w:val="20"/>
              </w:rPr>
            </w:pPr>
            <w:r>
              <w:rPr>
                <w:rFonts w:hint="eastAsia" w:ascii="宋体" w:hAnsi="宋体" w:cs="宋体"/>
                <w:sz w:val="20"/>
                <w:szCs w:val="20"/>
              </w:rPr>
              <w:t>1280×1024@60Hz， 1280×1024@75Hz， 1366×768@60Hz， 1400×1050@60Hz，</w:t>
            </w:r>
          </w:p>
          <w:p>
            <w:pPr>
              <w:widowControl/>
              <w:rPr>
                <w:rFonts w:ascii="宋体" w:hAnsi="宋体" w:cs="宋体"/>
                <w:sz w:val="20"/>
                <w:szCs w:val="20"/>
              </w:rPr>
            </w:pPr>
            <w:r>
              <w:rPr>
                <w:rFonts w:hint="eastAsia" w:ascii="宋体" w:hAnsi="宋体" w:cs="宋体"/>
                <w:sz w:val="20"/>
                <w:szCs w:val="20"/>
              </w:rPr>
              <w:t>1600×1200@60Hz， 1920×1080@50Hz， 1920×1080@60Hz， 1920×1200@60Hz</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块</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843" w:type="pct"/>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sz w:val="20"/>
                <w:szCs w:val="20"/>
              </w:rPr>
            </w:pPr>
            <w:r>
              <w:rPr>
                <w:rFonts w:hint="eastAsia" w:ascii="宋体" w:hAnsi="宋体" w:cs="宋体"/>
                <w:color w:val="000000"/>
                <w:sz w:val="20"/>
                <w:szCs w:val="20"/>
              </w:rPr>
              <w:t>音箱</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sz w:val="20"/>
                <w:szCs w:val="20"/>
              </w:rPr>
            </w:pPr>
            <w:r>
              <w:rPr>
                <w:rFonts w:hint="eastAsia" w:ascii="宋体" w:hAnsi="宋体" w:cs="宋体"/>
                <w:color w:val="000000"/>
                <w:sz w:val="20"/>
                <w:szCs w:val="20"/>
              </w:rPr>
              <w:t>规 格: 10吋/2分频</w:t>
            </w:r>
            <w:r>
              <w:rPr>
                <w:rFonts w:hint="eastAsia" w:ascii="宋体" w:hAnsi="宋体" w:cs="宋体"/>
                <w:color w:val="000000"/>
                <w:sz w:val="20"/>
                <w:szCs w:val="20"/>
                <w:lang w:eastAsia="zh-CN"/>
              </w:rPr>
              <w:t>；</w:t>
            </w:r>
            <w:r>
              <w:rPr>
                <w:rFonts w:hint="eastAsia" w:ascii="宋体" w:hAnsi="宋体" w:cs="宋体"/>
                <w:color w:val="000000"/>
                <w:sz w:val="20"/>
                <w:szCs w:val="20"/>
              </w:rPr>
              <w:t>颜 色:黑金砂</w:t>
            </w:r>
            <w:r>
              <w:rPr>
                <w:rFonts w:hint="eastAsia" w:ascii="宋体" w:hAnsi="宋体" w:cs="宋体"/>
                <w:color w:val="000000"/>
                <w:sz w:val="20"/>
                <w:szCs w:val="20"/>
                <w:lang w:eastAsia="zh-CN"/>
              </w:rPr>
              <w:t>；</w:t>
            </w:r>
            <w:r>
              <w:rPr>
                <w:rFonts w:hint="eastAsia" w:ascii="宋体" w:hAnsi="宋体" w:cs="宋体"/>
                <w:color w:val="000000"/>
                <w:sz w:val="20"/>
                <w:szCs w:val="20"/>
              </w:rPr>
              <w:t>材 质: 木质</w:t>
            </w:r>
            <w:r>
              <w:rPr>
                <w:rFonts w:hint="eastAsia" w:ascii="宋体" w:hAnsi="宋体" w:cs="宋体"/>
                <w:color w:val="000000"/>
                <w:sz w:val="20"/>
                <w:szCs w:val="20"/>
                <w:lang w:eastAsia="zh-CN"/>
              </w:rPr>
              <w:t>；</w:t>
            </w:r>
            <w:r>
              <w:rPr>
                <w:rFonts w:hint="eastAsia" w:ascii="宋体" w:hAnsi="宋体" w:cs="宋体"/>
                <w:color w:val="000000"/>
                <w:sz w:val="20"/>
                <w:szCs w:val="20"/>
              </w:rPr>
              <w:t>频率响应: 100Hz-18KHz</w:t>
            </w:r>
            <w:r>
              <w:rPr>
                <w:rFonts w:hint="eastAsia" w:ascii="宋体" w:hAnsi="宋体" w:cs="宋体"/>
                <w:color w:val="000000"/>
                <w:sz w:val="20"/>
                <w:szCs w:val="20"/>
                <w:lang w:eastAsia="zh-CN"/>
              </w:rPr>
              <w:t>；</w:t>
            </w:r>
            <w:r>
              <w:rPr>
                <w:rFonts w:hint="eastAsia" w:ascii="宋体" w:hAnsi="宋体" w:cs="宋体"/>
                <w:color w:val="000000"/>
                <w:sz w:val="20"/>
                <w:szCs w:val="20"/>
              </w:rPr>
              <w:t>阻 抗: 8Ω</w:t>
            </w:r>
            <w:r>
              <w:rPr>
                <w:rFonts w:hint="eastAsia" w:ascii="宋体" w:hAnsi="宋体" w:cs="宋体"/>
                <w:color w:val="000000"/>
                <w:sz w:val="20"/>
                <w:szCs w:val="20"/>
                <w:lang w:eastAsia="zh-CN"/>
              </w:rPr>
              <w:t>；</w:t>
            </w:r>
            <w:r>
              <w:rPr>
                <w:rFonts w:hint="eastAsia" w:ascii="宋体" w:hAnsi="宋体" w:cs="宋体"/>
                <w:color w:val="000000"/>
                <w:sz w:val="20"/>
                <w:szCs w:val="20"/>
              </w:rPr>
              <w:t>额定功率: 100W-150W</w:t>
            </w:r>
            <w:r>
              <w:rPr>
                <w:rFonts w:hint="eastAsia" w:ascii="宋体" w:hAnsi="宋体" w:cs="宋体"/>
                <w:color w:val="000000"/>
                <w:sz w:val="20"/>
                <w:szCs w:val="20"/>
                <w:lang w:eastAsia="zh-CN"/>
              </w:rPr>
              <w:t>；</w:t>
            </w:r>
            <w:r>
              <w:rPr>
                <w:rFonts w:hint="eastAsia" w:ascii="宋体" w:hAnsi="宋体" w:cs="宋体"/>
                <w:color w:val="000000"/>
                <w:sz w:val="20"/>
                <w:szCs w:val="20"/>
              </w:rPr>
              <w:t>最大声压: 120dB SPL,124dB SPL peak</w:t>
            </w:r>
            <w:r>
              <w:rPr>
                <w:rFonts w:hint="eastAsia" w:ascii="宋体" w:hAnsi="宋体" w:cs="宋体"/>
                <w:color w:val="000000"/>
                <w:sz w:val="20"/>
                <w:szCs w:val="20"/>
                <w:lang w:eastAsia="zh-CN"/>
              </w:rPr>
              <w:t>；</w:t>
            </w:r>
            <w:r>
              <w:rPr>
                <w:rFonts w:hint="eastAsia" w:ascii="宋体" w:hAnsi="宋体" w:cs="宋体"/>
                <w:color w:val="000000"/>
                <w:sz w:val="20"/>
                <w:szCs w:val="20"/>
              </w:rPr>
              <w:t>尺寸（高、宽、厚）：470*295*290mmu重 量：11kg</w:t>
            </w:r>
            <w:r>
              <w:rPr>
                <w:rFonts w:hint="eastAsia" w:ascii="宋体" w:hAnsi="宋体" w:cs="宋体"/>
                <w:color w:val="000000"/>
                <w:sz w:val="20"/>
                <w:szCs w:val="20"/>
                <w:lang w:eastAsia="zh-CN"/>
              </w:rPr>
              <w:t>；</w:t>
            </w:r>
            <w:r>
              <w:rPr>
                <w:rFonts w:hint="eastAsia" w:ascii="宋体" w:hAnsi="宋体" w:cs="宋体"/>
                <w:color w:val="000000"/>
                <w:sz w:val="20"/>
                <w:szCs w:val="20"/>
              </w:rPr>
              <w:t>连接方式：音箱卡龙</w:t>
            </w:r>
            <w:r>
              <w:rPr>
                <w:rFonts w:hint="eastAsia" w:ascii="宋体" w:hAnsi="宋体" w:cs="宋体"/>
                <w:color w:val="000000"/>
                <w:sz w:val="20"/>
                <w:szCs w:val="20"/>
                <w:lang w:eastAsia="zh-CN"/>
              </w:rPr>
              <w:t>；</w:t>
            </w:r>
            <w:r>
              <w:rPr>
                <w:rFonts w:hint="eastAsia" w:ascii="宋体" w:hAnsi="宋体" w:cs="宋体"/>
                <w:color w:val="000000"/>
                <w:sz w:val="20"/>
                <w:szCs w:val="20"/>
              </w:rPr>
              <w:t>安装方式：壁挂式、支架式</w:t>
            </w:r>
            <w:r>
              <w:rPr>
                <w:rFonts w:hint="eastAsia" w:ascii="宋体" w:hAnsi="宋体" w:cs="宋体"/>
                <w:color w:val="000000"/>
                <w:sz w:val="20"/>
                <w:szCs w:val="20"/>
                <w:lang w:eastAsia="zh-CN"/>
              </w:rPr>
              <w:t>；</w:t>
            </w:r>
            <w:r>
              <w:rPr>
                <w:rFonts w:hint="eastAsia" w:ascii="宋体" w:hAnsi="宋体" w:cs="宋体"/>
                <w:color w:val="000000"/>
                <w:sz w:val="20"/>
                <w:szCs w:val="20"/>
              </w:rPr>
              <w:t>出厂配置：音箱、吊架、说明书、合格证、保修卡</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843" w:type="pct"/>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sz w:val="20"/>
                <w:szCs w:val="20"/>
              </w:rPr>
            </w:pPr>
            <w:r>
              <w:rPr>
                <w:rFonts w:hint="eastAsia" w:ascii="宋体" w:hAnsi="宋体" w:cs="宋体"/>
                <w:color w:val="000000"/>
                <w:sz w:val="20"/>
                <w:szCs w:val="20"/>
              </w:rPr>
              <w:t>功放</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color w:val="000000"/>
                <w:sz w:val="20"/>
                <w:szCs w:val="20"/>
              </w:rPr>
            </w:pPr>
            <w:r>
              <w:rPr>
                <w:rFonts w:hint="eastAsia" w:ascii="宋体" w:hAnsi="宋体" w:cs="宋体"/>
                <w:color w:val="000000"/>
                <w:sz w:val="20"/>
                <w:szCs w:val="20"/>
              </w:rPr>
              <w:t>高强度结构机箱，与机架对称结构，装配快捷。大能量线性供电，高效率环型变压器独立模块结构，分辨率高，语音清晰细腻。平衡、不平衡输入立体声、单声道、桥接三种输出方式。高灵敏度安全保护电路。电源、保护、信号、削波LED工作状态指示。削峰限幅、电源软启动系统。用继电器延时的电路机的软启动特性，从而保护了扬声器</w:t>
            </w:r>
            <w:r>
              <w:rPr>
                <w:rFonts w:hint="eastAsia" w:ascii="宋体" w:hAnsi="宋体" w:cs="宋体"/>
                <w:color w:val="000000"/>
                <w:sz w:val="20"/>
                <w:szCs w:val="20"/>
                <w:lang w:eastAsia="zh-CN"/>
              </w:rPr>
              <w:t>，</w:t>
            </w:r>
            <w:r>
              <w:rPr>
                <w:rFonts w:hint="eastAsia" w:ascii="宋体" w:hAnsi="宋体" w:cs="宋体"/>
                <w:color w:val="000000"/>
                <w:sz w:val="20"/>
                <w:szCs w:val="20"/>
              </w:rPr>
              <w:t>双Speaker和喇叭接线柱输出</w:t>
            </w:r>
            <w:r>
              <w:rPr>
                <w:rFonts w:hint="eastAsia" w:ascii="宋体" w:hAnsi="宋体" w:cs="宋体"/>
                <w:color w:val="000000"/>
                <w:sz w:val="20"/>
                <w:szCs w:val="20"/>
                <w:lang w:eastAsia="zh-CN"/>
              </w:rPr>
              <w:t>，</w:t>
            </w:r>
            <w:r>
              <w:rPr>
                <w:rFonts w:hint="eastAsia" w:ascii="宋体" w:hAnsi="宋体" w:cs="宋体"/>
                <w:color w:val="000000"/>
                <w:sz w:val="20"/>
                <w:szCs w:val="20"/>
              </w:rPr>
              <w:t>高效率双风扇冷却通道</w:t>
            </w:r>
            <w:r>
              <w:rPr>
                <w:rFonts w:hint="eastAsia" w:ascii="宋体" w:hAnsi="宋体" w:cs="宋体"/>
                <w:color w:val="000000"/>
                <w:sz w:val="20"/>
                <w:szCs w:val="20"/>
                <w:lang w:eastAsia="zh-CN"/>
              </w:rPr>
              <w:t>，</w:t>
            </w:r>
            <w:r>
              <w:rPr>
                <w:rFonts w:hint="eastAsia" w:ascii="宋体" w:hAnsi="宋体" w:cs="宋体"/>
                <w:color w:val="000000"/>
                <w:sz w:val="20"/>
                <w:szCs w:val="20"/>
              </w:rPr>
              <w:t>低噪音设计</w:t>
            </w:r>
            <w:r>
              <w:rPr>
                <w:rFonts w:hint="eastAsia" w:ascii="宋体" w:hAnsi="宋体" w:cs="宋体"/>
                <w:color w:val="000000"/>
                <w:sz w:val="20"/>
                <w:szCs w:val="20"/>
                <w:lang w:eastAsia="zh-CN"/>
              </w:rPr>
              <w:t>，</w:t>
            </w:r>
            <w:r>
              <w:rPr>
                <w:rFonts w:hint="eastAsia" w:ascii="宋体" w:hAnsi="宋体" w:cs="宋体"/>
                <w:color w:val="000000"/>
                <w:sz w:val="20"/>
                <w:szCs w:val="20"/>
              </w:rPr>
              <w:t>输入电压：AC220V/50Hzu额定功率：1050W</w:t>
            </w:r>
            <w:r>
              <w:rPr>
                <w:rFonts w:hint="eastAsia" w:ascii="宋体" w:hAnsi="宋体" w:cs="宋体"/>
                <w:color w:val="000000"/>
                <w:sz w:val="20"/>
                <w:szCs w:val="20"/>
                <w:lang w:eastAsia="zh-CN"/>
              </w:rPr>
              <w:t>，</w:t>
            </w:r>
            <w:r>
              <w:rPr>
                <w:rFonts w:hint="eastAsia" w:ascii="宋体" w:hAnsi="宋体" w:cs="宋体"/>
                <w:color w:val="000000"/>
                <w:sz w:val="20"/>
                <w:szCs w:val="20"/>
              </w:rPr>
              <w:t>输入灵敏度阻抗:500mv/20KΩ</w:t>
            </w:r>
            <w:r>
              <w:rPr>
                <w:rFonts w:hint="eastAsia" w:ascii="宋体" w:hAnsi="宋体" w:cs="宋体"/>
                <w:color w:val="000000"/>
                <w:sz w:val="20"/>
                <w:szCs w:val="20"/>
                <w:lang w:eastAsia="zh-CN"/>
              </w:rPr>
              <w:t>，</w:t>
            </w:r>
            <w:r>
              <w:rPr>
                <w:rFonts w:hint="eastAsia" w:ascii="宋体" w:hAnsi="宋体" w:cs="宋体"/>
                <w:color w:val="000000"/>
                <w:sz w:val="20"/>
                <w:szCs w:val="20"/>
              </w:rPr>
              <w:t>输出功率:8Ω----2x450W4Ω----2x650W桥接8Ω----1050W</w:t>
            </w:r>
          </w:p>
          <w:p>
            <w:pPr>
              <w:widowControl/>
              <w:rPr>
                <w:rFonts w:ascii="宋体" w:hAnsi="宋体" w:cs="宋体"/>
                <w:color w:val="000000"/>
                <w:sz w:val="20"/>
                <w:szCs w:val="20"/>
              </w:rPr>
            </w:pPr>
            <w:r>
              <w:rPr>
                <w:rFonts w:hint="eastAsia" w:ascii="宋体" w:hAnsi="宋体" w:cs="宋体"/>
                <w:color w:val="000000"/>
                <w:sz w:val="20"/>
                <w:szCs w:val="20"/>
              </w:rPr>
              <w:t>频率响应:20Hz-20kHz</w:t>
            </w:r>
            <w:r>
              <w:rPr>
                <w:rFonts w:hint="eastAsia" w:ascii="宋体" w:hAnsi="宋体" w:cs="宋体"/>
                <w:color w:val="000000"/>
                <w:sz w:val="20"/>
                <w:szCs w:val="20"/>
                <w:lang w:eastAsia="zh-CN"/>
              </w:rPr>
              <w:t>，</w:t>
            </w:r>
            <w:r>
              <w:rPr>
                <w:rFonts w:hint="eastAsia" w:ascii="宋体" w:hAnsi="宋体" w:cs="宋体"/>
                <w:color w:val="000000"/>
                <w:sz w:val="20"/>
                <w:szCs w:val="20"/>
              </w:rPr>
              <w:t>输入方式：卡龙母平衡输入，6.35插座输入</w:t>
            </w:r>
            <w:r>
              <w:rPr>
                <w:rFonts w:hint="eastAsia" w:ascii="宋体" w:hAnsi="宋体" w:cs="宋体"/>
                <w:color w:val="000000"/>
                <w:sz w:val="20"/>
                <w:szCs w:val="20"/>
                <w:lang w:eastAsia="zh-CN"/>
              </w:rPr>
              <w:t>，</w:t>
            </w:r>
            <w:r>
              <w:rPr>
                <w:rFonts w:hint="eastAsia" w:ascii="宋体" w:hAnsi="宋体" w:cs="宋体"/>
                <w:color w:val="000000"/>
                <w:sz w:val="20"/>
                <w:szCs w:val="20"/>
              </w:rPr>
              <w:t>输出方式：音箱接线柱，音箱卡龙</w:t>
            </w:r>
            <w:r>
              <w:rPr>
                <w:rFonts w:hint="eastAsia" w:ascii="宋体" w:hAnsi="宋体" w:cs="宋体"/>
                <w:color w:val="000000"/>
                <w:sz w:val="20"/>
                <w:szCs w:val="20"/>
                <w:lang w:eastAsia="zh-CN"/>
              </w:rPr>
              <w:t>，</w:t>
            </w:r>
            <w:r>
              <w:rPr>
                <w:rFonts w:hint="eastAsia" w:ascii="宋体" w:hAnsi="宋体" w:cs="宋体"/>
                <w:color w:val="000000"/>
                <w:sz w:val="20"/>
                <w:szCs w:val="20"/>
              </w:rPr>
              <w:t>功能：适合各种场合的声音放大传输，对扬声器有保护电路，电源软启动，搞保真，声音清晰，人声表现力强</w:t>
            </w:r>
            <w:r>
              <w:rPr>
                <w:rFonts w:hint="eastAsia" w:ascii="宋体" w:hAnsi="宋体" w:cs="宋体"/>
                <w:color w:val="000000"/>
                <w:sz w:val="20"/>
                <w:szCs w:val="20"/>
                <w:lang w:eastAsia="zh-CN"/>
              </w:rPr>
              <w:t>，</w:t>
            </w:r>
            <w:r>
              <w:rPr>
                <w:rFonts w:hint="eastAsia" w:ascii="宋体" w:hAnsi="宋体" w:cs="宋体"/>
                <w:color w:val="000000"/>
                <w:sz w:val="20"/>
                <w:szCs w:val="20"/>
              </w:rPr>
              <w:t>信噪比:&gt;90dB</w:t>
            </w:r>
            <w:r>
              <w:rPr>
                <w:rFonts w:hint="eastAsia" w:ascii="宋体" w:hAnsi="宋体" w:cs="宋体"/>
                <w:color w:val="000000"/>
                <w:sz w:val="20"/>
                <w:szCs w:val="20"/>
                <w:lang w:eastAsia="zh-CN"/>
              </w:rPr>
              <w:t>，</w:t>
            </w:r>
            <w:r>
              <w:rPr>
                <w:rFonts w:hint="eastAsia" w:ascii="宋体" w:hAnsi="宋体" w:cs="宋体"/>
                <w:color w:val="000000"/>
                <w:sz w:val="20"/>
                <w:szCs w:val="20"/>
              </w:rPr>
              <w:t>谐波失真:&lt;0.05%</w:t>
            </w:r>
            <w:r>
              <w:rPr>
                <w:rFonts w:hint="eastAsia" w:ascii="宋体" w:hAnsi="宋体" w:cs="宋体"/>
                <w:color w:val="000000"/>
                <w:sz w:val="20"/>
                <w:szCs w:val="20"/>
                <w:lang w:eastAsia="zh-CN"/>
              </w:rPr>
              <w:t>，</w:t>
            </w:r>
            <w:r>
              <w:rPr>
                <w:rFonts w:hint="eastAsia" w:ascii="宋体" w:hAnsi="宋体" w:cs="宋体"/>
                <w:color w:val="000000"/>
                <w:sz w:val="20"/>
                <w:szCs w:val="20"/>
              </w:rPr>
              <w:t>通道串音:&lt;-70dB</w:t>
            </w:r>
            <w:r>
              <w:rPr>
                <w:rFonts w:hint="eastAsia" w:ascii="宋体" w:hAnsi="宋体" w:cs="宋体"/>
                <w:color w:val="000000"/>
                <w:sz w:val="20"/>
                <w:szCs w:val="20"/>
                <w:lang w:eastAsia="zh-CN"/>
              </w:rPr>
              <w:t>，</w:t>
            </w:r>
            <w:r>
              <w:rPr>
                <w:rFonts w:hint="eastAsia" w:ascii="宋体" w:hAnsi="宋体" w:cs="宋体"/>
                <w:color w:val="000000"/>
                <w:sz w:val="20"/>
                <w:szCs w:val="20"/>
              </w:rPr>
              <w:t>输出阻抗:4-16Ω</w:t>
            </w:r>
            <w:r>
              <w:rPr>
                <w:rFonts w:hint="eastAsia" w:ascii="宋体" w:hAnsi="宋体" w:cs="宋体"/>
                <w:color w:val="000000"/>
                <w:sz w:val="20"/>
                <w:szCs w:val="20"/>
                <w:lang w:eastAsia="zh-CN"/>
              </w:rPr>
              <w:t>，</w:t>
            </w:r>
            <w:r>
              <w:rPr>
                <w:rFonts w:hint="eastAsia" w:ascii="宋体" w:hAnsi="宋体" w:cs="宋体"/>
                <w:color w:val="000000"/>
                <w:sz w:val="20"/>
                <w:szCs w:val="20"/>
              </w:rPr>
              <w:t>机箱规格：2U</w:t>
            </w:r>
            <w:r>
              <w:rPr>
                <w:rFonts w:hint="eastAsia" w:ascii="宋体" w:hAnsi="宋体" w:cs="宋体"/>
                <w:color w:val="000000"/>
                <w:sz w:val="20"/>
                <w:szCs w:val="20"/>
                <w:lang w:eastAsia="zh-CN"/>
              </w:rPr>
              <w:t>，</w:t>
            </w:r>
            <w:r>
              <w:rPr>
                <w:rFonts w:hint="eastAsia" w:ascii="宋体" w:hAnsi="宋体" w:cs="宋体"/>
                <w:color w:val="000000"/>
                <w:sz w:val="20"/>
                <w:szCs w:val="20"/>
              </w:rPr>
              <w:t>开关、指示：船型开关、面板电源，保护信号，谐波各种状态</w:t>
            </w:r>
            <w:r>
              <w:rPr>
                <w:rFonts w:hint="eastAsia" w:ascii="宋体" w:hAnsi="宋体" w:cs="宋体"/>
                <w:color w:val="000000"/>
                <w:sz w:val="20"/>
                <w:szCs w:val="20"/>
                <w:lang w:eastAsia="zh-CN"/>
              </w:rPr>
              <w:t>，</w:t>
            </w:r>
            <w:r>
              <w:rPr>
                <w:rFonts w:hint="eastAsia" w:ascii="宋体" w:hAnsi="宋体" w:cs="宋体"/>
                <w:color w:val="000000"/>
                <w:sz w:val="20"/>
                <w:szCs w:val="20"/>
              </w:rPr>
              <w:t>出厂配置：成品、电源线、说明书、合格证、保修卡</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13</w:t>
            </w:r>
          </w:p>
        </w:tc>
        <w:tc>
          <w:tcPr>
            <w:tcW w:w="843" w:type="pct"/>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sz w:val="20"/>
                <w:szCs w:val="20"/>
              </w:rPr>
            </w:pPr>
            <w:r>
              <w:rPr>
                <w:rFonts w:hint="eastAsia" w:ascii="宋体" w:hAnsi="宋体" w:cs="宋体"/>
                <w:color w:val="000000"/>
                <w:sz w:val="20"/>
                <w:szCs w:val="20"/>
              </w:rPr>
              <w:t>数字音频处理器</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color w:val="000000"/>
                <w:sz w:val="20"/>
                <w:szCs w:val="20"/>
              </w:rPr>
            </w:pPr>
            <w:r>
              <w:rPr>
                <w:rFonts w:hint="eastAsia" w:ascii="宋体" w:hAnsi="宋体" w:cs="宋体"/>
                <w:color w:val="000000"/>
                <w:sz w:val="20"/>
                <w:szCs w:val="20"/>
              </w:rPr>
              <w:t>8路模拟音频输入8路模拟音频输出，支持麦克风输入和线路输入自由切换每路输入带48V幻象电源，可以上位机软件开关控制可带dante网络音频输入输出接口可扩展GPIO外部控制功能每路输入带反馈抑制功能开关，两档调节带自动混音和矩阵混音功能输入31段PEQ可调，输出10段PEQ可调USB免驱自动连接软件，另外支持RS232中控控制8路模拟音频输入8路模拟音频输出，支持麦克风输入和线路输入自由切换</w:t>
            </w:r>
          </w:p>
          <w:p>
            <w:pPr>
              <w:widowControl/>
              <w:rPr>
                <w:rFonts w:hint="eastAsia" w:ascii="宋体" w:hAnsi="宋体" w:cs="宋体"/>
                <w:color w:val="000000"/>
                <w:sz w:val="20"/>
                <w:szCs w:val="20"/>
              </w:rPr>
            </w:pPr>
            <w:r>
              <w:rPr>
                <w:rFonts w:hint="eastAsia" w:ascii="宋体" w:hAnsi="宋体" w:cs="宋体"/>
                <w:color w:val="000000"/>
                <w:sz w:val="20"/>
                <w:szCs w:val="20"/>
              </w:rPr>
              <w:t>每路输入带48V幻象电源，可以上位机软件开关控制</w:t>
            </w:r>
          </w:p>
          <w:p>
            <w:pPr>
              <w:widowControl/>
              <w:rPr>
                <w:rFonts w:hint="eastAsia" w:ascii="宋体" w:hAnsi="宋体" w:cs="宋体"/>
                <w:color w:val="000000"/>
                <w:sz w:val="20"/>
                <w:szCs w:val="20"/>
              </w:rPr>
            </w:pPr>
            <w:r>
              <w:rPr>
                <w:rFonts w:hint="eastAsia" w:ascii="宋体" w:hAnsi="宋体" w:cs="宋体"/>
                <w:color w:val="000000"/>
                <w:sz w:val="20"/>
                <w:szCs w:val="20"/>
              </w:rPr>
              <w:t>可扩展GPIO外部控制功能</w:t>
            </w:r>
          </w:p>
          <w:p>
            <w:pPr>
              <w:widowControl/>
              <w:rPr>
                <w:rFonts w:hint="eastAsia" w:ascii="宋体" w:hAnsi="宋体" w:cs="宋体"/>
                <w:color w:val="000000"/>
                <w:sz w:val="20"/>
                <w:szCs w:val="20"/>
              </w:rPr>
            </w:pPr>
            <w:r>
              <w:rPr>
                <w:rFonts w:hint="eastAsia" w:ascii="宋体" w:hAnsi="宋体" w:cs="宋体"/>
                <w:color w:val="000000"/>
                <w:sz w:val="20"/>
                <w:szCs w:val="20"/>
              </w:rPr>
              <w:t>每路输入带反馈抑制功能开关，两档调节</w:t>
            </w:r>
          </w:p>
          <w:p>
            <w:pPr>
              <w:widowControl/>
              <w:rPr>
                <w:rFonts w:hint="eastAsia" w:ascii="宋体" w:hAnsi="宋体" w:cs="宋体"/>
                <w:color w:val="000000"/>
                <w:sz w:val="20"/>
                <w:szCs w:val="20"/>
              </w:rPr>
            </w:pPr>
            <w:r>
              <w:rPr>
                <w:rFonts w:hint="eastAsia" w:ascii="宋体" w:hAnsi="宋体" w:cs="宋体"/>
                <w:color w:val="000000"/>
                <w:sz w:val="20"/>
                <w:szCs w:val="20"/>
              </w:rPr>
              <w:t>带自动混音和矩阵混音功能</w:t>
            </w:r>
          </w:p>
          <w:p>
            <w:pPr>
              <w:widowControl/>
              <w:rPr>
                <w:rFonts w:hint="eastAsia" w:ascii="宋体" w:hAnsi="宋体" w:cs="宋体"/>
                <w:color w:val="000000"/>
                <w:sz w:val="20"/>
                <w:szCs w:val="20"/>
              </w:rPr>
            </w:pPr>
            <w:r>
              <w:rPr>
                <w:rFonts w:hint="eastAsia" w:ascii="宋体" w:hAnsi="宋体" w:cs="宋体"/>
                <w:color w:val="000000"/>
                <w:sz w:val="20"/>
                <w:szCs w:val="20"/>
              </w:rPr>
              <w:t>输入31段PEQ可调，输出10段PEQ可调</w:t>
            </w:r>
          </w:p>
          <w:p>
            <w:pPr>
              <w:widowControl/>
              <w:rPr>
                <w:rFonts w:ascii="宋体" w:hAnsi="宋体" w:cs="宋体"/>
                <w:color w:val="000000"/>
                <w:sz w:val="20"/>
                <w:szCs w:val="20"/>
              </w:rPr>
            </w:pPr>
            <w:r>
              <w:rPr>
                <w:rFonts w:hint="eastAsia" w:ascii="宋体" w:hAnsi="宋体" w:cs="宋体"/>
                <w:color w:val="000000"/>
                <w:sz w:val="20"/>
                <w:szCs w:val="20"/>
              </w:rPr>
              <w:t>USB免驱自动连接软件，另外支持RS232中控控制</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台</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843" w:type="pct"/>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sz w:val="20"/>
                <w:szCs w:val="20"/>
              </w:rPr>
            </w:pPr>
            <w:r>
              <w:rPr>
                <w:rFonts w:hint="eastAsia" w:ascii="宋体" w:hAnsi="宋体" w:cs="宋体"/>
                <w:color w:val="000000"/>
                <w:sz w:val="20"/>
                <w:szCs w:val="20"/>
              </w:rPr>
              <w:t>触摸屏</w:t>
            </w:r>
          </w:p>
        </w:tc>
        <w:tc>
          <w:tcPr>
            <w:tcW w:w="3015" w:type="pct"/>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sz w:val="20"/>
                <w:szCs w:val="20"/>
              </w:rPr>
            </w:pPr>
            <w:r>
              <w:rPr>
                <w:rFonts w:hint="eastAsia" w:ascii="宋体" w:hAnsi="宋体" w:cs="宋体"/>
                <w:color w:val="000000"/>
                <w:sz w:val="20"/>
                <w:szCs w:val="20"/>
              </w:rPr>
              <w:t>场景切换，音频控制切换</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个</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1219" w:type="pct"/>
            <w:gridSpan w:val="2"/>
            <w:tcBorders>
              <w:top w:val="single" w:color="auto" w:sz="4" w:space="0"/>
              <w:bottom w:val="single" w:color="auto" w:sz="4" w:space="0"/>
              <w:right w:val="single" w:color="000000"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8.数据中心配套设施</w:t>
            </w:r>
          </w:p>
        </w:tc>
        <w:tc>
          <w:tcPr>
            <w:tcW w:w="3015" w:type="pct"/>
            <w:tcBorders>
              <w:top w:val="nil"/>
              <w:left w:val="nil"/>
              <w:bottom w:val="single" w:color="auto" w:sz="4" w:space="0"/>
              <w:right w:val="single" w:color="auto"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文化建设</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各功能区文化建设设计、制作及安装</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项</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配套办公家具</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运维中心、监控中心、督学督教中心、广播站配套办公家具</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批</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843"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辅材</w:t>
            </w:r>
          </w:p>
        </w:tc>
        <w:tc>
          <w:tcPr>
            <w:tcW w:w="3015"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桥架、各功能区强弱电线缆等</w:t>
            </w:r>
          </w:p>
        </w:tc>
        <w:tc>
          <w:tcPr>
            <w:tcW w:w="38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批</w:t>
            </w:r>
          </w:p>
        </w:tc>
        <w:tc>
          <w:tcPr>
            <w:tcW w:w="382" w:type="pct"/>
            <w:tcBorders>
              <w:top w:val="nil"/>
              <w:left w:val="nil"/>
              <w:bottom w:val="single" w:color="auto" w:sz="4" w:space="0"/>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1219" w:type="pct"/>
            <w:gridSpan w:val="2"/>
            <w:tcBorders>
              <w:top w:val="single" w:color="auto" w:sz="4" w:space="0"/>
              <w:bottom w:val="single" w:color="auto" w:sz="4" w:space="0"/>
              <w:right w:val="single" w:color="000000"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9.接地系统</w:t>
            </w:r>
          </w:p>
        </w:tc>
        <w:tc>
          <w:tcPr>
            <w:tcW w:w="3015" w:type="pct"/>
            <w:tcBorders>
              <w:top w:val="nil"/>
              <w:left w:val="nil"/>
              <w:bottom w:val="single" w:color="auto" w:sz="4" w:space="0"/>
              <w:right w:val="single" w:color="auto" w:sz="4" w:space="0"/>
            </w:tcBorders>
            <w:shd w:val="clear" w:color="000000" w:fill="BFBFBF"/>
            <w:noWrap/>
            <w:vAlign w:val="center"/>
          </w:tcPr>
          <w:p>
            <w:pPr>
              <w:widowControl/>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right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c>
          <w:tcPr>
            <w:tcW w:w="382" w:type="pct"/>
            <w:tcBorders>
              <w:top w:val="nil"/>
              <w:left w:val="nil"/>
              <w:bottom w:val="single" w:color="auto" w:sz="4" w:space="0"/>
            </w:tcBorders>
            <w:shd w:val="clear" w:color="000000" w:fill="BFBFBF"/>
            <w:noWrap/>
            <w:vAlign w:val="center"/>
          </w:tcPr>
          <w:p>
            <w:pPr>
              <w:widowControl/>
              <w:jc w:val="center"/>
              <w:rPr>
                <w:rFonts w:ascii="宋体" w:hAnsi="宋体" w:cs="宋体"/>
                <w:b/>
                <w:bCs/>
                <w:sz w:val="20"/>
                <w:szCs w:val="20"/>
              </w:rPr>
            </w:pPr>
            <w:r>
              <w:rPr>
                <w:rFonts w:hint="eastAsia" w:ascii="宋体" w:hAnsi="宋体" w:cs="宋体"/>
                <w:b/>
                <w:bCs/>
                <w:sz w:val="20"/>
                <w:szCs w:val="20"/>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375" w:type="pct"/>
            <w:tcBorders>
              <w:top w:val="nil"/>
              <w:right w:val="single" w:color="auto" w:sz="4" w:space="0"/>
            </w:tcBorders>
            <w:shd w:val="clear" w:color="auto" w:fill="auto"/>
            <w:noWrap/>
            <w:vAlign w:val="center"/>
          </w:tcPr>
          <w:p>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843" w:type="pct"/>
            <w:tcBorders>
              <w:top w:val="nil"/>
              <w:left w:val="nil"/>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接地</w:t>
            </w:r>
          </w:p>
        </w:tc>
        <w:tc>
          <w:tcPr>
            <w:tcW w:w="3015" w:type="pct"/>
            <w:tcBorders>
              <w:top w:val="nil"/>
              <w:left w:val="nil"/>
              <w:right w:val="single" w:color="auto" w:sz="4" w:space="0"/>
            </w:tcBorders>
            <w:shd w:val="clear" w:color="auto" w:fill="auto"/>
            <w:noWrap w:val="0"/>
            <w:vAlign w:val="center"/>
          </w:tcPr>
          <w:p>
            <w:pPr>
              <w:widowControl/>
              <w:rPr>
                <w:rFonts w:ascii="宋体" w:hAnsi="宋体" w:cs="宋体"/>
                <w:sz w:val="20"/>
                <w:szCs w:val="20"/>
              </w:rPr>
            </w:pPr>
            <w:r>
              <w:rPr>
                <w:rFonts w:hint="eastAsia" w:ascii="宋体" w:hAnsi="宋体" w:cs="宋体"/>
                <w:sz w:val="20"/>
                <w:szCs w:val="20"/>
              </w:rPr>
              <w:t>接地电阻小于1欧姆。接地极连接线采用热镀锌材料，降阻材料的使用按照要求操作。连接部分所使用的材料截面符合规范要求，各连接点作防腐措施，水平和垂直接地极埋深70cm，接地极连接成统一电气闭合回路，放入接地极后用降阻剂覆盖然后回填。回填完后将土洒水浇湿、湿透并夯实，使接地极与土壤充分接触以确保接触面积。</w:t>
            </w:r>
          </w:p>
        </w:tc>
        <w:tc>
          <w:tcPr>
            <w:tcW w:w="382" w:type="pct"/>
            <w:tcBorders>
              <w:top w:val="nil"/>
              <w:left w:val="nil"/>
              <w:right w:val="single" w:color="auto" w:sz="4" w:space="0"/>
            </w:tcBorders>
            <w:shd w:val="clear" w:color="000000" w:fill="FFFFFF"/>
            <w:noWrap/>
            <w:vAlign w:val="center"/>
          </w:tcPr>
          <w:p>
            <w:pPr>
              <w:widowControl/>
              <w:jc w:val="center"/>
              <w:rPr>
                <w:rFonts w:ascii="宋体" w:hAnsi="宋体" w:cs="宋体"/>
                <w:sz w:val="20"/>
                <w:szCs w:val="20"/>
              </w:rPr>
            </w:pPr>
            <w:r>
              <w:rPr>
                <w:rFonts w:hint="eastAsia" w:ascii="宋体" w:hAnsi="宋体" w:cs="宋体"/>
                <w:sz w:val="20"/>
                <w:szCs w:val="20"/>
              </w:rPr>
              <w:t>项</w:t>
            </w:r>
          </w:p>
        </w:tc>
        <w:tc>
          <w:tcPr>
            <w:tcW w:w="382" w:type="pct"/>
            <w:tcBorders>
              <w:top w:val="nil"/>
              <w:left w:val="nil"/>
            </w:tcBorders>
            <w:noWrap/>
            <w:vAlign w:val="center"/>
          </w:tcPr>
          <w:p>
            <w:pPr>
              <w:widowControl/>
              <w:jc w:val="center"/>
              <w:rPr>
                <w:rFonts w:ascii="宋体" w:hAnsi="宋体" w:cs="宋体"/>
                <w:sz w:val="20"/>
                <w:szCs w:val="20"/>
              </w:rPr>
            </w:pPr>
            <w:r>
              <w:rPr>
                <w:rFonts w:hint="eastAsia" w:ascii="宋体" w:hAnsi="宋体" w:cs="宋体"/>
                <w:sz w:val="20"/>
                <w:szCs w:val="20"/>
              </w:rPr>
              <w:t>1</w:t>
            </w:r>
          </w:p>
        </w:tc>
      </w:tr>
    </w:tbl>
    <w:p>
      <w:pPr>
        <w:pStyle w:val="39"/>
        <w:spacing w:before="120" w:beforeAutospacing="0"/>
        <w:rPr>
          <w:rFonts w:hint="eastAsia"/>
        </w:rPr>
      </w:pPr>
    </w:p>
    <w:p>
      <w:pPr>
        <w:pStyle w:val="39"/>
        <w:spacing w:before="120" w:beforeAutospacing="0"/>
        <w:rPr>
          <w:rFonts w:hint="eastAsia"/>
        </w:rPr>
      </w:pPr>
    </w:p>
    <w:p>
      <w:pPr>
        <w:pStyle w:val="42"/>
        <w:ind w:left="0" w:leftChars="0" w:firstLine="0" w:firstLineChars="0"/>
        <w:rPr>
          <w:rFonts w:hint="eastAsia"/>
        </w:rPr>
        <w:sectPr>
          <w:headerReference r:id="rId6" w:type="default"/>
          <w:footerReference r:id="rId7" w:type="default"/>
          <w:pgSz w:w="11906" w:h="16838"/>
          <w:pgMar w:top="1134" w:right="1417" w:bottom="720" w:left="1417" w:header="851" w:footer="992" w:gutter="0"/>
          <w:cols w:space="720" w:num="1"/>
          <w:docGrid w:linePitch="312" w:charSpace="0"/>
        </w:sectPr>
      </w:pPr>
    </w:p>
    <w:p>
      <w:pPr>
        <w:pStyle w:val="42"/>
        <w:ind w:left="0" w:leftChars="0" w:firstLine="0" w:firstLineChars="0"/>
        <w:rPr>
          <w:rFonts w:hint="eastAsia"/>
        </w:rPr>
      </w:pPr>
    </w:p>
    <w:p>
      <w:pPr>
        <w:pStyle w:val="22"/>
        <w:tabs>
          <w:tab w:val="left" w:pos="2475"/>
          <w:tab w:val="center" w:pos="4873"/>
        </w:tabs>
        <w:spacing w:line="360" w:lineRule="auto"/>
        <w:jc w:val="center"/>
        <w:outlineLvl w:val="0"/>
        <w:rPr>
          <w:rFonts w:hint="eastAsia" w:ascii="仿宋_GB2312" w:hAnsi="仿宋" w:eastAsia="仿宋_GB2312"/>
          <w:b/>
          <w:sz w:val="36"/>
          <w:szCs w:val="36"/>
        </w:rPr>
      </w:pPr>
      <w:r>
        <w:rPr>
          <w:rFonts w:hint="eastAsia" w:ascii="仿宋" w:hAnsi="仿宋" w:eastAsia="仿宋" w:cs="仿宋"/>
          <w:b/>
          <w:sz w:val="36"/>
          <w:szCs w:val="36"/>
        </w:rPr>
        <w:t>第四部分  采购合同条款</w:t>
      </w:r>
      <w:bookmarkEnd w:id="10"/>
    </w:p>
    <w:p>
      <w:pPr>
        <w:spacing w:line="360" w:lineRule="auto"/>
        <w:ind w:firstLine="560" w:firstLineChars="200"/>
        <w:rPr>
          <w:rFonts w:hint="eastAsia" w:ascii="仿宋_GB2312" w:hAnsi="仿宋" w:eastAsia="仿宋_GB2312"/>
          <w:sz w:val="28"/>
          <w:szCs w:val="28"/>
        </w:rPr>
      </w:pPr>
    </w:p>
    <w:p>
      <w:pPr>
        <w:pStyle w:val="22"/>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（本合同为合同样稿，最终稿由双方协商后确定）</w:t>
      </w:r>
    </w:p>
    <w:p>
      <w:pPr>
        <w:pStyle w:val="22"/>
        <w:snapToGrid w:val="0"/>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编号：   </w:t>
      </w:r>
    </w:p>
    <w:p>
      <w:pPr>
        <w:spacing w:line="520" w:lineRule="exact"/>
        <w:ind w:firstLine="630" w:firstLineChars="224"/>
        <w:rPr>
          <w:rFonts w:hint="eastAsia" w:ascii="仿宋" w:hAnsi="仿宋" w:eastAsia="仿宋" w:cs="仿宋"/>
          <w:sz w:val="28"/>
          <w:szCs w:val="28"/>
        </w:rPr>
      </w:pPr>
      <w:r>
        <w:rPr>
          <w:rFonts w:hint="eastAsia" w:ascii="仿宋" w:hAnsi="仿宋" w:eastAsia="仿宋" w:cs="仿宋"/>
          <w:b/>
          <w:sz w:val="28"/>
          <w:szCs w:val="28"/>
        </w:rPr>
        <w:t>甲方</w:t>
      </w:r>
      <w:r>
        <w:rPr>
          <w:rFonts w:hint="eastAsia" w:ascii="仿宋" w:hAnsi="仿宋" w:eastAsia="仿宋" w:cs="仿宋"/>
          <w:sz w:val="28"/>
          <w:szCs w:val="28"/>
        </w:rPr>
        <w:t xml:space="preserve">（使用单位）： </w:t>
      </w:r>
    </w:p>
    <w:p>
      <w:pPr>
        <w:spacing w:line="520" w:lineRule="exact"/>
        <w:ind w:firstLine="630" w:firstLineChars="224"/>
        <w:rPr>
          <w:rFonts w:hint="eastAsia" w:ascii="仿宋" w:hAnsi="仿宋" w:eastAsia="仿宋" w:cs="仿宋"/>
          <w:sz w:val="28"/>
          <w:szCs w:val="28"/>
        </w:rPr>
      </w:pPr>
      <w:r>
        <w:rPr>
          <w:rFonts w:hint="eastAsia" w:ascii="仿宋" w:hAnsi="仿宋" w:eastAsia="仿宋" w:cs="仿宋"/>
          <w:b/>
          <w:sz w:val="28"/>
          <w:szCs w:val="28"/>
        </w:rPr>
        <w:t>乙方</w:t>
      </w:r>
      <w:r>
        <w:rPr>
          <w:rFonts w:hint="eastAsia" w:ascii="仿宋" w:hAnsi="仿宋" w:eastAsia="仿宋" w:cs="仿宋"/>
          <w:sz w:val="28"/>
          <w:szCs w:val="28"/>
        </w:rPr>
        <w:t xml:space="preserve">（投标人）： </w:t>
      </w:r>
    </w:p>
    <w:p>
      <w:pPr>
        <w:spacing w:line="520" w:lineRule="exact"/>
        <w:ind w:firstLine="627" w:firstLineChars="224"/>
        <w:rPr>
          <w:rFonts w:hint="eastAsia" w:ascii="仿宋" w:hAnsi="仿宋" w:eastAsia="仿宋" w:cs="仿宋"/>
          <w:color w:val="FF0000"/>
          <w:sz w:val="28"/>
          <w:szCs w:val="28"/>
        </w:rPr>
      </w:pPr>
    </w:p>
    <w:p>
      <w:pPr>
        <w:spacing w:line="360" w:lineRule="auto"/>
        <w:ind w:firstLine="627" w:firstLineChars="224"/>
        <w:rPr>
          <w:rFonts w:hint="eastAsia" w:ascii="仿宋" w:hAnsi="仿宋" w:eastAsia="仿宋" w:cs="仿宋"/>
          <w:sz w:val="28"/>
          <w:szCs w:val="28"/>
        </w:rPr>
      </w:pPr>
      <w:r>
        <w:rPr>
          <w:rFonts w:hint="eastAsia" w:ascii="仿宋" w:hAnsi="仿宋" w:eastAsia="仿宋" w:cs="仿宋"/>
          <w:color w:val="000000"/>
          <w:sz w:val="28"/>
          <w:szCs w:val="28"/>
        </w:rPr>
        <w:t xml:space="preserve"> 项目经公开招</w:t>
      </w:r>
      <w:r>
        <w:rPr>
          <w:rFonts w:hint="eastAsia" w:ascii="仿宋" w:hAnsi="仿宋" w:eastAsia="仿宋" w:cs="仿宋"/>
          <w:sz w:val="28"/>
          <w:szCs w:val="28"/>
        </w:rPr>
        <w:t>标，确定         中标单位，经双方协商，达成以下条款。具体如下：</w:t>
      </w:r>
    </w:p>
    <w:p>
      <w:pPr>
        <w:numPr>
          <w:ilvl w:val="0"/>
          <w:numId w:val="11"/>
        </w:numPr>
        <w:tabs>
          <w:tab w:val="left" w:pos="1440"/>
          <w:tab w:val="clear" w:pos="1800"/>
        </w:tabs>
        <w:spacing w:line="360" w:lineRule="auto"/>
        <w:ind w:left="0" w:firstLine="632" w:firstLineChars="225"/>
        <w:rPr>
          <w:rFonts w:hint="eastAsia" w:ascii="仿宋" w:hAnsi="仿宋" w:eastAsia="仿宋" w:cs="仿宋"/>
          <w:b/>
          <w:sz w:val="28"/>
          <w:szCs w:val="28"/>
        </w:rPr>
      </w:pPr>
      <w:r>
        <w:rPr>
          <w:rFonts w:hint="eastAsia" w:ascii="仿宋" w:hAnsi="仿宋" w:eastAsia="仿宋" w:cs="仿宋"/>
          <w:b/>
          <w:sz w:val="28"/>
          <w:szCs w:val="28"/>
        </w:rPr>
        <w:t>采购商品清单及合同价格</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金额单位：元 </w:t>
      </w:r>
    </w:p>
    <w:tbl>
      <w:tblPr>
        <w:tblStyle w:val="4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2700"/>
        <w:gridCol w:w="90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0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使用单位</w:t>
            </w:r>
          </w:p>
        </w:tc>
        <w:tc>
          <w:tcPr>
            <w:tcW w:w="126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商品名称</w:t>
            </w:r>
          </w:p>
        </w:tc>
        <w:tc>
          <w:tcPr>
            <w:tcW w:w="270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配置要求</w:t>
            </w:r>
          </w:p>
        </w:tc>
        <w:tc>
          <w:tcPr>
            <w:tcW w:w="90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108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单价</w:t>
            </w:r>
          </w:p>
        </w:tc>
        <w:tc>
          <w:tcPr>
            <w:tcW w:w="108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00" w:type="dxa"/>
            <w:noWrap w:val="0"/>
            <w:vAlign w:val="center"/>
          </w:tcPr>
          <w:p>
            <w:pPr>
              <w:pStyle w:val="156"/>
              <w:ind w:firstLine="627" w:firstLineChars="224"/>
              <w:jc w:val="both"/>
              <w:rPr>
                <w:rFonts w:hint="eastAsia" w:ascii="仿宋" w:hAnsi="仿宋" w:eastAsia="仿宋" w:cs="仿宋"/>
                <w:snapToGrid/>
                <w:color w:val="auto"/>
                <w:kern w:val="2"/>
                <w:sz w:val="28"/>
                <w:szCs w:val="28"/>
              </w:rPr>
            </w:pPr>
          </w:p>
        </w:tc>
        <w:tc>
          <w:tcPr>
            <w:tcW w:w="1260" w:type="dxa"/>
            <w:noWrap w:val="0"/>
            <w:vAlign w:val="center"/>
          </w:tcPr>
          <w:p>
            <w:pPr>
              <w:spacing w:line="360" w:lineRule="auto"/>
              <w:ind w:firstLine="627" w:firstLineChars="224"/>
              <w:rPr>
                <w:rFonts w:hint="eastAsia" w:ascii="仿宋" w:hAnsi="仿宋" w:eastAsia="仿宋" w:cs="仿宋"/>
                <w:sz w:val="28"/>
                <w:szCs w:val="28"/>
              </w:rPr>
            </w:pPr>
          </w:p>
        </w:tc>
        <w:tc>
          <w:tcPr>
            <w:tcW w:w="2700" w:type="dxa"/>
            <w:noWrap w:val="0"/>
            <w:vAlign w:val="center"/>
          </w:tcPr>
          <w:p>
            <w:pPr>
              <w:spacing w:line="360" w:lineRule="auto"/>
              <w:ind w:firstLine="627" w:firstLineChars="224"/>
              <w:rPr>
                <w:rFonts w:hint="eastAsia" w:ascii="仿宋" w:hAnsi="仿宋" w:eastAsia="仿宋" w:cs="仿宋"/>
                <w:sz w:val="28"/>
                <w:szCs w:val="28"/>
              </w:rPr>
            </w:pPr>
          </w:p>
        </w:tc>
        <w:tc>
          <w:tcPr>
            <w:tcW w:w="900" w:type="dxa"/>
            <w:noWrap w:val="0"/>
            <w:vAlign w:val="center"/>
          </w:tcPr>
          <w:p>
            <w:pPr>
              <w:spacing w:line="360" w:lineRule="auto"/>
              <w:ind w:firstLine="627" w:firstLineChars="224"/>
              <w:rPr>
                <w:rFonts w:hint="eastAsia" w:ascii="仿宋" w:hAnsi="仿宋" w:eastAsia="仿宋" w:cs="仿宋"/>
                <w:sz w:val="28"/>
                <w:szCs w:val="28"/>
              </w:rPr>
            </w:pPr>
          </w:p>
        </w:tc>
        <w:tc>
          <w:tcPr>
            <w:tcW w:w="1080" w:type="dxa"/>
            <w:noWrap w:val="0"/>
            <w:vAlign w:val="center"/>
          </w:tcPr>
          <w:p>
            <w:pPr>
              <w:spacing w:line="360" w:lineRule="auto"/>
              <w:ind w:firstLine="627" w:firstLineChars="224"/>
              <w:rPr>
                <w:rFonts w:hint="eastAsia" w:ascii="仿宋" w:hAnsi="仿宋" w:eastAsia="仿宋" w:cs="仿宋"/>
                <w:sz w:val="28"/>
                <w:szCs w:val="28"/>
              </w:rPr>
            </w:pPr>
          </w:p>
        </w:tc>
        <w:tc>
          <w:tcPr>
            <w:tcW w:w="1080" w:type="dxa"/>
            <w:noWrap w:val="0"/>
            <w:vAlign w:val="center"/>
          </w:tcPr>
          <w:p>
            <w:pPr>
              <w:pStyle w:val="156"/>
              <w:ind w:firstLine="627" w:firstLineChars="224"/>
              <w:jc w:val="both"/>
              <w:rPr>
                <w:rFonts w:hint="eastAsia" w:ascii="仿宋" w:hAnsi="仿宋" w:eastAsia="仿宋" w:cs="仿宋"/>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800" w:type="dxa"/>
            <w:noWrap w:val="0"/>
            <w:vAlign w:val="center"/>
          </w:tcPr>
          <w:p>
            <w:pPr>
              <w:pStyle w:val="156"/>
              <w:ind w:firstLine="627" w:firstLineChars="224"/>
              <w:jc w:val="both"/>
              <w:rPr>
                <w:rFonts w:hint="eastAsia" w:ascii="仿宋" w:hAnsi="仿宋" w:eastAsia="仿宋" w:cs="仿宋"/>
                <w:snapToGrid/>
                <w:color w:val="auto"/>
                <w:kern w:val="2"/>
                <w:sz w:val="28"/>
                <w:szCs w:val="28"/>
              </w:rPr>
            </w:pPr>
          </w:p>
        </w:tc>
        <w:tc>
          <w:tcPr>
            <w:tcW w:w="1260" w:type="dxa"/>
            <w:noWrap w:val="0"/>
            <w:vAlign w:val="center"/>
          </w:tcPr>
          <w:p>
            <w:pPr>
              <w:spacing w:line="360" w:lineRule="auto"/>
              <w:ind w:firstLine="627" w:firstLineChars="224"/>
              <w:rPr>
                <w:rFonts w:hint="eastAsia" w:ascii="仿宋" w:hAnsi="仿宋" w:eastAsia="仿宋" w:cs="仿宋"/>
                <w:sz w:val="28"/>
                <w:szCs w:val="28"/>
              </w:rPr>
            </w:pPr>
          </w:p>
        </w:tc>
        <w:tc>
          <w:tcPr>
            <w:tcW w:w="2700" w:type="dxa"/>
            <w:noWrap w:val="0"/>
            <w:vAlign w:val="center"/>
          </w:tcPr>
          <w:p>
            <w:pPr>
              <w:spacing w:line="360" w:lineRule="auto"/>
              <w:ind w:firstLine="627" w:firstLineChars="224"/>
              <w:rPr>
                <w:rFonts w:hint="eastAsia" w:ascii="仿宋" w:hAnsi="仿宋" w:eastAsia="仿宋" w:cs="仿宋"/>
                <w:sz w:val="28"/>
                <w:szCs w:val="28"/>
              </w:rPr>
            </w:pPr>
          </w:p>
        </w:tc>
        <w:tc>
          <w:tcPr>
            <w:tcW w:w="900" w:type="dxa"/>
            <w:noWrap w:val="0"/>
            <w:vAlign w:val="center"/>
          </w:tcPr>
          <w:p>
            <w:pPr>
              <w:spacing w:line="360" w:lineRule="auto"/>
              <w:ind w:firstLine="627" w:firstLineChars="224"/>
              <w:rPr>
                <w:rFonts w:hint="eastAsia" w:ascii="仿宋" w:hAnsi="仿宋" w:eastAsia="仿宋" w:cs="仿宋"/>
                <w:sz w:val="28"/>
                <w:szCs w:val="28"/>
              </w:rPr>
            </w:pPr>
          </w:p>
        </w:tc>
        <w:tc>
          <w:tcPr>
            <w:tcW w:w="1080" w:type="dxa"/>
            <w:noWrap w:val="0"/>
            <w:vAlign w:val="center"/>
          </w:tcPr>
          <w:p>
            <w:pPr>
              <w:spacing w:line="360" w:lineRule="auto"/>
              <w:ind w:firstLine="627" w:firstLineChars="224"/>
              <w:rPr>
                <w:rFonts w:hint="eastAsia" w:ascii="仿宋" w:hAnsi="仿宋" w:eastAsia="仿宋" w:cs="仿宋"/>
                <w:sz w:val="28"/>
                <w:szCs w:val="28"/>
              </w:rPr>
            </w:pPr>
          </w:p>
        </w:tc>
        <w:tc>
          <w:tcPr>
            <w:tcW w:w="1080" w:type="dxa"/>
            <w:noWrap w:val="0"/>
            <w:vAlign w:val="center"/>
          </w:tcPr>
          <w:p>
            <w:pPr>
              <w:pStyle w:val="156"/>
              <w:ind w:firstLine="627" w:firstLineChars="224"/>
              <w:jc w:val="both"/>
              <w:rPr>
                <w:rFonts w:hint="eastAsia" w:ascii="仿宋" w:hAnsi="仿宋" w:eastAsia="仿宋" w:cs="仿宋"/>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760" w:type="dxa"/>
            <w:gridSpan w:val="3"/>
            <w:noWrap w:val="0"/>
            <w:vAlign w:val="top"/>
          </w:tcPr>
          <w:p>
            <w:pPr>
              <w:pStyle w:val="22"/>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合计</w:t>
            </w:r>
          </w:p>
        </w:tc>
        <w:tc>
          <w:tcPr>
            <w:tcW w:w="900" w:type="dxa"/>
            <w:noWrap w:val="0"/>
            <w:vAlign w:val="top"/>
          </w:tcPr>
          <w:p>
            <w:pPr>
              <w:pStyle w:val="22"/>
              <w:snapToGrid w:val="0"/>
              <w:spacing w:line="360" w:lineRule="auto"/>
              <w:ind w:firstLine="627" w:firstLineChars="224"/>
              <w:rPr>
                <w:rFonts w:hint="eastAsia" w:ascii="仿宋" w:hAnsi="仿宋" w:eastAsia="仿宋" w:cs="仿宋"/>
                <w:sz w:val="28"/>
                <w:szCs w:val="28"/>
              </w:rPr>
            </w:pPr>
          </w:p>
        </w:tc>
        <w:tc>
          <w:tcPr>
            <w:tcW w:w="2160" w:type="dxa"/>
            <w:gridSpan w:val="2"/>
            <w:noWrap w:val="0"/>
            <w:vAlign w:val="top"/>
          </w:tcPr>
          <w:p>
            <w:pPr>
              <w:pStyle w:val="156"/>
              <w:ind w:firstLine="627" w:firstLineChars="224"/>
              <w:jc w:val="both"/>
              <w:rPr>
                <w:rFonts w:hint="eastAsia" w:ascii="仿宋" w:hAnsi="仿宋" w:eastAsia="仿宋" w:cs="仿宋"/>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820" w:type="dxa"/>
            <w:gridSpan w:val="6"/>
            <w:noWrap w:val="0"/>
            <w:vAlign w:val="top"/>
          </w:tcPr>
          <w:p>
            <w:pPr>
              <w:pStyle w:val="22"/>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合同总价：（人民币）                   元整</w:t>
            </w:r>
          </w:p>
        </w:tc>
      </w:tr>
    </w:tbl>
    <w:p>
      <w:pPr>
        <w:pStyle w:val="22"/>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注：1、商品型号、数量、配置要求及使用单位地址等详见附件清单；</w:t>
      </w:r>
    </w:p>
    <w:p>
      <w:pPr>
        <w:numPr>
          <w:ilvl w:val="0"/>
          <w:numId w:val="6"/>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以上合同总价包括运杂费含在总价内，包括生产厂到施工现场所需的装卸、运输（含保险费）、现场保管费、二次倒运费、吊装费等费用等。</w:t>
      </w:r>
    </w:p>
    <w:p>
      <w:pPr>
        <w:pStyle w:val="42"/>
        <w:ind w:left="0" w:leftChars="0" w:firstLine="560"/>
        <w:rPr>
          <w:rFonts w:hint="eastAsia" w:ascii="仿宋" w:hAnsi="仿宋" w:eastAsia="仿宋" w:cs="仿宋"/>
          <w:sz w:val="28"/>
          <w:szCs w:val="28"/>
        </w:rPr>
      </w:pPr>
      <w:r>
        <w:rPr>
          <w:rFonts w:hint="eastAsia" w:ascii="仿宋" w:hAnsi="仿宋" w:eastAsia="仿宋" w:cs="仿宋"/>
          <w:sz w:val="28"/>
          <w:szCs w:val="28"/>
        </w:rPr>
        <w:t>3、结算单位：采购单位结算，在付款前，必须开具全额发票给采购单位</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第二条  质量保证</w:t>
      </w:r>
    </w:p>
    <w:p>
      <w:pPr>
        <w:widowControl/>
        <w:overflowPunct w:val="0"/>
        <w:autoSpaceDE w:val="0"/>
        <w:autoSpaceDN w:val="0"/>
        <w:adjustRightInd w:val="0"/>
        <w:snapToGrid w:val="0"/>
        <w:spacing w:line="360" w:lineRule="auto"/>
        <w:ind w:firstLine="627" w:firstLineChars="224"/>
        <w:textAlignment w:val="baseline"/>
        <w:rPr>
          <w:rFonts w:hint="eastAsia" w:ascii="仿宋" w:hAnsi="仿宋" w:eastAsia="仿宋" w:cs="仿宋"/>
          <w:sz w:val="28"/>
          <w:szCs w:val="28"/>
        </w:rPr>
      </w:pPr>
      <w:r>
        <w:rPr>
          <w:rFonts w:hint="eastAsia" w:ascii="仿宋" w:hAnsi="仿宋" w:eastAsia="仿宋" w:cs="仿宋"/>
          <w:sz w:val="28"/>
          <w:szCs w:val="28"/>
        </w:rPr>
        <w:t>乙方保证本合同中所供应的国产商品是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第三条  开发时间、地点</w:t>
      </w:r>
    </w:p>
    <w:p>
      <w:pPr>
        <w:pStyle w:val="22"/>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1、本次开发时间及进度安排：</w:t>
      </w:r>
    </w:p>
    <w:p>
      <w:pPr>
        <w:spacing w:line="360" w:lineRule="auto"/>
        <w:ind w:firstLine="627" w:firstLineChars="224"/>
        <w:rPr>
          <w:rFonts w:hint="eastAsia" w:ascii="仿宋" w:hAnsi="仿宋" w:eastAsia="仿宋" w:cs="仿宋"/>
          <w:color w:val="FF0000"/>
          <w:sz w:val="28"/>
          <w:szCs w:val="28"/>
        </w:rPr>
      </w:pPr>
      <w:r>
        <w:rPr>
          <w:rFonts w:hint="eastAsia" w:ascii="仿宋" w:hAnsi="仿宋" w:eastAsia="仿宋" w:cs="仿宋"/>
          <w:sz w:val="28"/>
          <w:szCs w:val="28"/>
        </w:rPr>
        <w:t>2、地点：</w:t>
      </w:r>
      <w:r>
        <w:rPr>
          <w:rFonts w:hint="eastAsia" w:ascii="仿宋" w:hAnsi="仿宋" w:eastAsia="仿宋" w:cs="仿宋"/>
          <w:color w:val="000000"/>
          <w:sz w:val="28"/>
          <w:szCs w:val="28"/>
        </w:rPr>
        <w:t>甲方指定地点</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第四条  服务要求</w:t>
      </w:r>
    </w:p>
    <w:p>
      <w:pPr>
        <w:autoSpaceDE w:val="0"/>
        <w:autoSpaceDN w:val="0"/>
        <w:adjustRightInd w:val="0"/>
        <w:spacing w:line="360" w:lineRule="auto"/>
        <w:ind w:firstLine="554" w:firstLineChars="198"/>
        <w:rPr>
          <w:rFonts w:hint="eastAsia" w:ascii="仿宋" w:hAnsi="仿宋" w:eastAsia="仿宋" w:cs="仿宋"/>
          <w:sz w:val="28"/>
          <w:szCs w:val="28"/>
        </w:rPr>
      </w:pPr>
      <w:r>
        <w:rPr>
          <w:rFonts w:hint="eastAsia" w:ascii="仿宋" w:hAnsi="仿宋" w:eastAsia="仿宋" w:cs="仿宋"/>
          <w:sz w:val="28"/>
          <w:szCs w:val="28"/>
        </w:rPr>
        <w:t>具体条款详见合同附件。</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第五条  履约保证金</w:t>
      </w:r>
    </w:p>
    <w:p>
      <w:pPr>
        <w:widowControl/>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签订合同时支付合同价</w:t>
      </w:r>
      <w:r>
        <w:rPr>
          <w:rFonts w:hint="eastAsia" w:ascii="仿宋" w:hAnsi="仿宋" w:eastAsia="仿宋" w:cs="仿宋"/>
          <w:sz w:val="28"/>
          <w:szCs w:val="28"/>
          <w:u w:val="single"/>
        </w:rPr>
        <w:t xml:space="preserve">   </w:t>
      </w:r>
      <w:r>
        <w:rPr>
          <w:rFonts w:hint="eastAsia" w:ascii="仿宋" w:hAnsi="仿宋" w:eastAsia="仿宋" w:cs="仿宋"/>
          <w:sz w:val="28"/>
          <w:szCs w:val="28"/>
        </w:rPr>
        <w:t>%的履约保证金。</w:t>
      </w:r>
    </w:p>
    <w:p>
      <w:pPr>
        <w:widowControl/>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合同履行完毕后无息返还。</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第六条  货款的支付</w:t>
      </w:r>
    </w:p>
    <w:p>
      <w:pPr>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双方自行约定。</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第七条  违约责任</w:t>
      </w:r>
    </w:p>
    <w:p>
      <w:pPr>
        <w:widowControl/>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 1、乙方逾期履行合同的，自逾期之日起，向甲方每日偿付合同总价万分之二的滞纳金；乙方逾期30日不能交货的，应向甲方支付合同总价百分之五的违约金。</w:t>
      </w:r>
    </w:p>
    <w:p>
      <w:pPr>
        <w:widowControl/>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2、甲方逾期支付货款的，应向乙方每日偿付合同总价万分之五的滞纳金。甲方无正当理由拒收货物、拒付货款的，应向乙方偿付合同总价百分之五的违约金。</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第八条  争议的解决</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本合同为政府采购之合同，本合同中所指甲方享有与签证方同等权力，在发生所供商品的质量、售后服务等问题时，甲方有权直接向乙方索赔，签订必要的书面处理协议。如协商不成，任何一方有权在合同签约地选择仲裁或诉讼的途径解决。</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第九条  合同的生效</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1、本合同经甲方、乙方法定代表人或其委托人签字并加盖双方公章后生效。</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2、本合同一式肆份，甲方执贰份，乙方执贰份。</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3、相关招标文件、投标文件与本合同具有同等法律效力。</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甲  方（盖章）：                乙  方（盖章）：</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法定代表人或受委托人           法定代表人或受委托人</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（签字）：                     （签字）：</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地  址：                       地 址： </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邮  编：                       邮  编： </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电  话：                       电  话： </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传  真：                       传  真： </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开户银行：                     开户银行：</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帐  号：                       帐  号：</w:t>
      </w:r>
    </w:p>
    <w:p>
      <w:pPr>
        <w:spacing w:line="360" w:lineRule="auto"/>
        <w:ind w:left="92" w:hanging="92" w:hangingChars="33"/>
        <w:rPr>
          <w:rFonts w:hint="eastAsia" w:ascii="仿宋" w:hAnsi="仿宋" w:eastAsia="仿宋" w:cs="仿宋"/>
          <w:sz w:val="28"/>
          <w:szCs w:val="28"/>
        </w:rPr>
      </w:pPr>
      <w:r>
        <w:rPr>
          <w:rFonts w:hint="eastAsia" w:ascii="仿宋" w:hAnsi="仿宋" w:eastAsia="仿宋" w:cs="仿宋"/>
          <w:sz w:val="28"/>
          <w:szCs w:val="28"/>
        </w:rPr>
        <w:t>签约时间：  年   月   日</w:t>
      </w:r>
    </w:p>
    <w:p>
      <w:pPr>
        <w:spacing w:line="360" w:lineRule="auto"/>
        <w:rPr>
          <w:rFonts w:hint="eastAsia" w:ascii="仿宋" w:hAnsi="仿宋" w:eastAsia="仿宋" w:cs="仿宋"/>
          <w:sz w:val="28"/>
          <w:szCs w:val="28"/>
        </w:rPr>
      </w:pPr>
      <w:r>
        <w:rPr>
          <w:rFonts w:hint="eastAsia" w:ascii="仿宋" w:hAnsi="仿宋" w:eastAsia="仿宋" w:cs="仿宋"/>
          <w:sz w:val="28"/>
          <w:szCs w:val="28"/>
        </w:rPr>
        <w:t>签约地点：</w:t>
      </w: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rPr>
      </w:pPr>
    </w:p>
    <w:p>
      <w:pPr>
        <w:spacing w:line="360" w:lineRule="auto"/>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第五部分　投标文件编制</w:t>
      </w:r>
    </w:p>
    <w:p>
      <w:pPr>
        <w:spacing w:line="360" w:lineRule="auto"/>
        <w:ind w:firstLine="361" w:firstLineChars="200"/>
        <w:rPr>
          <w:rFonts w:hint="eastAsia" w:ascii="仿宋_GB2312" w:hAnsi="仿宋" w:eastAsia="仿宋_GB2312"/>
          <w:b/>
          <w:bCs/>
          <w:color w:val="000000"/>
          <w:sz w:val="18"/>
          <w:szCs w:val="18"/>
        </w:rPr>
      </w:pPr>
    </w:p>
    <w:p>
      <w:pPr>
        <w:pStyle w:val="18"/>
        <w:spacing w:after="0" w:line="360" w:lineRule="auto"/>
        <w:ind w:left="0" w:leftChars="0"/>
        <w:rPr>
          <w:rFonts w:hint="eastAsia" w:ascii="仿宋_GB2312" w:hAnsi="仿宋" w:eastAsia="仿宋_GB2312"/>
          <w:bCs/>
          <w:sz w:val="28"/>
          <w:szCs w:val="28"/>
        </w:rPr>
      </w:pPr>
    </w:p>
    <w:p>
      <w:pPr>
        <w:pStyle w:val="18"/>
        <w:spacing w:after="0" w:line="360" w:lineRule="auto"/>
        <w:ind w:left="0" w:leftChars="0"/>
        <w:rPr>
          <w:rFonts w:hint="eastAsia" w:ascii="仿宋" w:hAnsi="仿宋" w:eastAsia="仿宋" w:cs="仿宋"/>
          <w:bCs/>
          <w:sz w:val="28"/>
          <w:szCs w:val="28"/>
        </w:rPr>
      </w:pPr>
      <w:r>
        <w:rPr>
          <w:rFonts w:hint="eastAsia" w:ascii="仿宋" w:hAnsi="仿宋" w:eastAsia="仿宋" w:cs="仿宋"/>
          <w:bCs/>
          <w:sz w:val="28"/>
          <w:szCs w:val="28"/>
        </w:rPr>
        <w:t>各投标人：</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为了准确投标，希望认真阅读本次招标文件和附件内容，在使用各附件时，应注意下列事项：</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1、实事求是的填写各附件内容;</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2、投标项目涉及到安装、调试所需材料时，应当详细编写《主要（辅助）材料清单》;</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sz w:val="28"/>
          <w:szCs w:val="28"/>
        </w:rPr>
        <w:t>属于招标文件规定应当签署的事项，各投标人应按照规定逐一签署，需要加盖公章的地方，应当逐一加盖</w:t>
      </w:r>
      <w:r>
        <w:rPr>
          <w:rFonts w:hint="eastAsia" w:ascii="仿宋" w:hAnsi="仿宋" w:eastAsia="仿宋" w:cs="仿宋"/>
          <w:bCs/>
          <w:sz w:val="28"/>
          <w:szCs w:val="28"/>
        </w:rPr>
        <w:t>;</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sz w:val="28"/>
          <w:szCs w:val="28"/>
        </w:rPr>
        <w:t>4、</w:t>
      </w:r>
      <w:r>
        <w:rPr>
          <w:rFonts w:hint="eastAsia" w:ascii="仿宋" w:hAnsi="仿宋" w:eastAsia="仿宋" w:cs="仿宋"/>
          <w:bCs/>
          <w:sz w:val="28"/>
          <w:szCs w:val="28"/>
        </w:rPr>
        <w:t>凡投标文件内容</w:t>
      </w:r>
      <w:r>
        <w:rPr>
          <w:rFonts w:hint="eastAsia" w:ascii="仿宋" w:hAnsi="仿宋" w:eastAsia="仿宋" w:cs="仿宋"/>
          <w:sz w:val="28"/>
          <w:szCs w:val="28"/>
        </w:rPr>
        <w:t>填报不清或填报错误，其后果由投标人承担</w:t>
      </w:r>
      <w:r>
        <w:rPr>
          <w:rFonts w:hint="eastAsia" w:ascii="仿宋" w:hAnsi="仿宋" w:eastAsia="仿宋" w:cs="仿宋"/>
          <w:bCs/>
          <w:sz w:val="28"/>
          <w:szCs w:val="28"/>
        </w:rPr>
        <w:t>;</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5、所投货物类产品须注明产品产地及生产厂家。</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6、投标文件须标注页码，有封面和封底，A4纸装订成册。</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7、第六部分附件仅供参考。</w:t>
      </w:r>
    </w:p>
    <w:p>
      <w:pPr>
        <w:pStyle w:val="18"/>
        <w:spacing w:after="0" w:line="360" w:lineRule="auto"/>
        <w:ind w:left="0" w:leftChars="0" w:firstLine="548" w:firstLineChars="196"/>
        <w:rPr>
          <w:rFonts w:hint="eastAsia" w:ascii="仿宋_GB2312" w:hAnsi="仿宋" w:eastAsia="仿宋_GB2312"/>
          <w:bCs/>
          <w:sz w:val="28"/>
          <w:szCs w:val="28"/>
        </w:rPr>
      </w:pPr>
    </w:p>
    <w:p>
      <w:pPr>
        <w:pStyle w:val="18"/>
        <w:spacing w:after="0" w:line="360" w:lineRule="auto"/>
        <w:ind w:left="0" w:leftChars="0" w:firstLine="548" w:firstLineChars="196"/>
        <w:rPr>
          <w:rFonts w:hint="eastAsia" w:ascii="仿宋_GB2312" w:hAnsi="仿宋" w:eastAsia="仿宋_GB2312"/>
          <w:bCs/>
          <w:sz w:val="28"/>
          <w:szCs w:val="28"/>
        </w:rPr>
      </w:pPr>
    </w:p>
    <w:p>
      <w:pPr>
        <w:pStyle w:val="18"/>
        <w:spacing w:after="0" w:line="360" w:lineRule="auto"/>
        <w:ind w:left="0" w:leftChars="0" w:firstLine="548" w:firstLineChars="196"/>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numPr>
          <w:ilvl w:val="0"/>
          <w:numId w:val="12"/>
        </w:numPr>
        <w:spacing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 xml:space="preserve">  </w:t>
      </w:r>
      <w:r>
        <w:rPr>
          <w:rFonts w:hint="eastAsia" w:ascii="仿宋" w:hAnsi="仿宋" w:eastAsia="仿宋" w:cs="仿宋"/>
          <w:b/>
          <w:color w:val="000000"/>
          <w:sz w:val="36"/>
          <w:szCs w:val="36"/>
        </w:rPr>
        <w:t>附  件</w:t>
      </w:r>
    </w:p>
    <w:p>
      <w:pPr>
        <w:spacing w:line="360" w:lineRule="auto"/>
        <w:rPr>
          <w:rFonts w:hint="eastAsia" w:ascii="仿宋" w:hAnsi="仿宋" w:eastAsia="仿宋" w:cs="仿宋"/>
        </w:rPr>
      </w:pPr>
      <w:r>
        <w:rPr>
          <w:rFonts w:hint="eastAsia" w:ascii="黑体" w:hAnsi="黑体" w:eastAsia="黑体" w:cs="黑体"/>
          <w:sz w:val="72"/>
          <w:szCs w:val="72"/>
        </w:rPr>
        <w:t xml:space="preserve"> </w:t>
      </w:r>
      <w:r>
        <w:rPr>
          <w:rFonts w:hint="eastAsia" w:ascii="仿宋" w:hAnsi="仿宋" w:eastAsia="仿宋" w:cs="仿宋"/>
          <w:b/>
          <w:bCs/>
          <w:sz w:val="32"/>
          <w:szCs w:val="32"/>
        </w:rPr>
        <w:t>（商务文件封皮）</w:t>
      </w:r>
    </w:p>
    <w:p>
      <w:pPr>
        <w:spacing w:line="360" w:lineRule="auto"/>
        <w:jc w:val="right"/>
        <w:rPr>
          <w:rFonts w:hint="eastAsia" w:ascii="仿宋" w:hAnsi="仿宋" w:eastAsia="仿宋" w:cs="仿宋"/>
        </w:rPr>
      </w:pPr>
      <w:r>
        <w:rPr>
          <w:rFonts w:hint="eastAsia" w:ascii="仿宋" w:hAnsi="仿宋" w:eastAsia="仿宋" w:cs="仿宋"/>
          <w:b/>
          <w:bCs/>
          <w:kern w:val="1"/>
          <w:sz w:val="36"/>
          <w:szCs w:val="36"/>
        </w:rPr>
        <w:t>正（副）本</w:t>
      </w:r>
    </w:p>
    <w:p>
      <w:pPr>
        <w:spacing w:line="360" w:lineRule="auto"/>
        <w:rPr>
          <w:rFonts w:hint="eastAsia" w:ascii="仿宋" w:hAnsi="仿宋" w:eastAsia="仿宋" w:cs="仿宋"/>
        </w:rPr>
      </w:pPr>
    </w:p>
    <w:p>
      <w:pPr>
        <w:spacing w:line="360" w:lineRule="auto"/>
        <w:jc w:val="center"/>
        <w:rPr>
          <w:rFonts w:hint="eastAsia"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jc w:val="center"/>
        <w:rPr>
          <w:rFonts w:hint="eastAsia" w:ascii="仿宋" w:hAnsi="仿宋" w:eastAsia="仿宋" w:cs="仿宋"/>
          <w:sz w:val="28"/>
          <w:szCs w:val="28"/>
        </w:rPr>
      </w:pPr>
      <w:r>
        <w:rPr>
          <w:rFonts w:hint="eastAsia" w:ascii="仿宋" w:hAnsi="仿宋" w:eastAsia="仿宋" w:cs="仿宋"/>
          <w:b/>
          <w:bCs/>
          <w:sz w:val="72"/>
          <w:szCs w:val="144"/>
        </w:rPr>
        <w:t>商 务 文 件</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投标人地址：</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   月    日</w:t>
      </w:r>
    </w:p>
    <w:p>
      <w:pPr>
        <w:pStyle w:val="90"/>
        <w:rPr>
          <w:rFonts w:hint="eastAsia"/>
        </w:rPr>
      </w:pPr>
    </w:p>
    <w:p>
      <w:pPr>
        <w:pStyle w:val="90"/>
        <w:rPr>
          <w:rFonts w:hint="eastAsia"/>
        </w:rPr>
      </w:pPr>
    </w:p>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1、投 标 函</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致：新疆天巨辰工程项目管理有限公司</w:t>
      </w:r>
    </w:p>
    <w:p>
      <w:pPr>
        <w:tabs>
          <w:tab w:val="left" w:pos="540"/>
          <w:tab w:val="left" w:pos="720"/>
          <w:tab w:val="left" w:pos="900"/>
        </w:tabs>
        <w:spacing w:line="440" w:lineRule="exact"/>
        <w:rPr>
          <w:rFonts w:hint="eastAsia" w:ascii="仿宋" w:hAnsi="仿宋" w:eastAsia="仿宋" w:cs="仿宋"/>
          <w:sz w:val="28"/>
          <w:szCs w:val="28"/>
        </w:rPr>
      </w:pPr>
      <w:r>
        <w:rPr>
          <w:rFonts w:hint="eastAsia" w:ascii="仿宋" w:hAnsi="仿宋" w:eastAsia="仿宋" w:cs="仿宋"/>
          <w:sz w:val="28"/>
          <w:szCs w:val="28"/>
        </w:rPr>
        <w:t xml:space="preserve">    我方对本次招标文件已详细审阅，内容全部清楚。我方自愿对此</w:t>
      </w:r>
      <w:r>
        <w:rPr>
          <w:rFonts w:hint="eastAsia" w:ascii="仿宋" w:hAnsi="仿宋" w:eastAsia="仿宋" w:cs="仿宋"/>
          <w:sz w:val="28"/>
          <w:szCs w:val="28"/>
          <w:u w:val="single"/>
        </w:rPr>
        <w:t xml:space="preserve"> 　　                                                                                                                                                                    </w:t>
      </w:r>
      <w:r>
        <w:rPr>
          <w:rFonts w:hint="eastAsia" w:ascii="仿宋" w:hAnsi="仿宋" w:eastAsia="仿宋" w:cs="仿宋"/>
          <w:sz w:val="28"/>
          <w:szCs w:val="28"/>
        </w:rPr>
        <w:t>次</w:t>
      </w:r>
      <w:r>
        <w:rPr>
          <w:rFonts w:hint="eastAsia" w:ascii="仿宋" w:hAnsi="仿宋" w:eastAsia="仿宋" w:cs="仿宋"/>
          <w:sz w:val="28"/>
          <w:szCs w:val="28"/>
          <w:u w:val="single"/>
        </w:rPr>
        <w:t xml:space="preserve">              </w:t>
      </w:r>
      <w:r>
        <w:rPr>
          <w:rFonts w:hint="eastAsia" w:ascii="仿宋" w:hAnsi="仿宋" w:eastAsia="仿宋" w:cs="仿宋"/>
          <w:sz w:val="28"/>
          <w:szCs w:val="28"/>
        </w:rPr>
        <w:t>采购项目投标，谨郑重声明以下诸点并对之负法律责任：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1、我方同意招标文件的各项规定，赞同你方对招标文件的解释；</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2、我方提供的投标文件及资料、证照真实合法有效；</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3、我方愿向你方提供与本次招标有关的一切真实数据或资料；</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4、我方同意承担由投标文件内容填报不清或填报错误，所造成的无效标、废标、落标等后果;</w:t>
      </w:r>
    </w:p>
    <w:p>
      <w:pPr>
        <w:spacing w:line="44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rPr>
        <w:t>5、我方赞同你方组织的评标委员会（组）所做出的评审和选择，同意</w:t>
      </w:r>
      <w:r>
        <w:rPr>
          <w:rFonts w:hint="eastAsia" w:ascii="仿宋" w:hAnsi="仿宋" w:eastAsia="仿宋" w:cs="仿宋"/>
          <w:sz w:val="28"/>
          <w:szCs w:val="28"/>
          <w:shd w:val="clear" w:color="auto" w:fill="FFFFFF"/>
        </w:rPr>
        <w:t>评标委员会无义务向投标人进行任何有关评标解释的规定</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6、我方保证诚实履行合同，做到所供货物货真价实，绝不以次充好、以假充真，保质保量按期交货（完工）；</w:t>
      </w:r>
    </w:p>
    <w:p>
      <w:pPr>
        <w:spacing w:line="44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7、我方完全理解本次招标不是最低价中标；</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8、我方保证按照服务承诺提供及时有效的售后服务；</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9、我方同意本投标文件的有效期为开标后30天；一旦中标将投标文件转为合同附件；</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10、本次投标总价为（小写）</w:t>
      </w:r>
      <w:r>
        <w:rPr>
          <w:rFonts w:hint="eastAsia" w:ascii="仿宋" w:hAnsi="仿宋" w:eastAsia="仿宋" w:cs="仿宋"/>
          <w:sz w:val="28"/>
          <w:szCs w:val="28"/>
          <w:u w:val="single"/>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11、我方提交的投标文件正本</w:t>
      </w:r>
      <w:r>
        <w:rPr>
          <w:rFonts w:hint="eastAsia" w:ascii="仿宋" w:hAnsi="仿宋" w:eastAsia="仿宋" w:cs="仿宋"/>
          <w:sz w:val="28"/>
          <w:szCs w:val="28"/>
          <w:u w:val="single"/>
        </w:rPr>
        <w:t>一</w:t>
      </w:r>
      <w:r>
        <w:rPr>
          <w:rFonts w:hint="eastAsia" w:ascii="仿宋" w:hAnsi="仿宋" w:eastAsia="仿宋" w:cs="仿宋"/>
          <w:sz w:val="28"/>
          <w:szCs w:val="28"/>
        </w:rPr>
        <w:t>套，副本</w:t>
      </w:r>
      <w:r>
        <w:rPr>
          <w:rFonts w:hint="eastAsia" w:ascii="仿宋" w:hAnsi="仿宋" w:eastAsia="仿宋" w:cs="仿宋"/>
          <w:sz w:val="28"/>
          <w:szCs w:val="28"/>
          <w:u w:val="single"/>
        </w:rPr>
        <w:t>二</w:t>
      </w:r>
      <w:r>
        <w:rPr>
          <w:rFonts w:hint="eastAsia" w:ascii="仿宋" w:hAnsi="仿宋" w:eastAsia="仿宋" w:cs="仿宋"/>
          <w:sz w:val="28"/>
          <w:szCs w:val="28"/>
        </w:rPr>
        <w:t>套；</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12、与本次招标的一切往来，请按下列方式联系：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传真：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sz w:val="28"/>
          <w:szCs w:val="28"/>
        </w:rPr>
        <w:t>法定代表人或授权代表人（签章）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（加盖单位公章）</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jc w:val="center"/>
        <w:rPr>
          <w:rFonts w:hint="eastAsia" w:ascii="仿宋" w:hAnsi="仿宋" w:eastAsia="仿宋" w:cs="仿宋"/>
          <w:b/>
          <w:sz w:val="28"/>
          <w:szCs w:val="28"/>
        </w:rPr>
      </w:pPr>
    </w:p>
    <w:p>
      <w:pPr>
        <w:pStyle w:val="42"/>
        <w:ind w:firstLine="562"/>
        <w:rPr>
          <w:rFonts w:hint="eastAsia" w:ascii="仿宋" w:hAnsi="仿宋" w:eastAsia="仿宋" w:cs="仿宋"/>
          <w:b/>
          <w:sz w:val="28"/>
          <w:szCs w:val="28"/>
        </w:rPr>
      </w:pPr>
    </w:p>
    <w:p>
      <w:pPr>
        <w:pStyle w:val="42"/>
        <w:ind w:firstLine="562"/>
        <w:rPr>
          <w:rFonts w:hint="eastAsia" w:ascii="仿宋" w:hAnsi="仿宋" w:eastAsia="仿宋" w:cs="仿宋"/>
          <w:b/>
          <w:sz w:val="28"/>
          <w:szCs w:val="28"/>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2、反商业贿赂承诺书</w:t>
      </w:r>
    </w:p>
    <w:p>
      <w:pPr>
        <w:spacing w:line="360" w:lineRule="auto"/>
        <w:rPr>
          <w:rFonts w:hint="eastAsia" w:ascii="仿宋_GB2312" w:hAnsi="仿宋" w:eastAsia="仿宋_GB2312"/>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致：新疆天巨辰工程项目管理有限公司</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为了进一步营造公平竞争的市场环境，维护市场秩序，我方在政府采购活动中郑重承诺：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一、依法参与政府采购活动，遵纪守法，诚信经营，公平竞争。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三、坚决做到不提供虚假资质文件和虚假材料谋取中标。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四、不采取不正当手段诋毁、排挤其他投标人，与其他投标人保持公平的竞争关系。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五、不与采购单位、集中采购机构和政府采购评审专家串通，自觉维护政府采购公平竞争的市场秩序。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hint="eastAsia" w:ascii="仿宋" w:hAnsi="仿宋" w:eastAsia="仿宋" w:cs="仿宋"/>
          <w:b/>
          <w:sz w:val="28"/>
          <w:szCs w:val="28"/>
        </w:rPr>
      </w:pPr>
      <w:r>
        <w:rPr>
          <w:rFonts w:hint="eastAsia" w:ascii="仿宋" w:hAnsi="仿宋" w:eastAsia="仿宋" w:cs="仿宋"/>
          <w:sz w:val="28"/>
          <w:szCs w:val="28"/>
        </w:rPr>
        <w:t>签署日期：      年     月     日</w:t>
      </w:r>
    </w:p>
    <w:p>
      <w:pPr>
        <w:rPr>
          <w:rFonts w:hint="eastAsia" w:ascii="仿宋_GB2312" w:hAnsi="仿宋" w:eastAsia="仿宋_GB2312"/>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3、法定代表人资格证明文件</w:t>
      </w:r>
    </w:p>
    <w:p>
      <w:pPr>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我是</w:t>
      </w:r>
      <w:r>
        <w:rPr>
          <w:rFonts w:hint="eastAsia" w:ascii="仿宋" w:hAnsi="仿宋" w:eastAsia="仿宋" w:cs="仿宋"/>
          <w:sz w:val="28"/>
          <w:szCs w:val="28"/>
          <w:u w:val="single"/>
        </w:rPr>
        <w:t xml:space="preserve"> 投标单位全称                </w:t>
      </w:r>
      <w:r>
        <w:rPr>
          <w:rFonts w:hint="eastAsia" w:ascii="仿宋" w:hAnsi="仿宋" w:eastAsia="仿宋" w:cs="仿宋"/>
          <w:sz w:val="28"/>
          <w:szCs w:val="28"/>
        </w:rPr>
        <w:t>的法定代表人。参加新疆天巨辰工程项目管理有限公司组织的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pPr>
        <w:spacing w:line="360" w:lineRule="auto"/>
        <w:ind w:firstLine="560" w:firstLineChars="200"/>
        <w:rPr>
          <w:rFonts w:hint="eastAsia" w:ascii="仿宋" w:hAnsi="仿宋" w:eastAsia="仿宋" w:cs="仿宋"/>
          <w:sz w:val="28"/>
          <w:szCs w:val="28"/>
        </w:rPr>
      </w:pP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3780" w:firstLineChars="1350"/>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注：1、法定代表人参加本次投标的应签署本文件并附本人身份证复印件；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2、如法定代表人不参加本次投标，应签署《授权委托书》。</w:t>
      </w:r>
    </w:p>
    <w:tbl>
      <w:tblPr>
        <w:tblStyle w:val="43"/>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法定代表人身份证</w:t>
            </w: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tc>
      </w:tr>
    </w:tbl>
    <w:p>
      <w:pPr>
        <w:spacing w:line="360" w:lineRule="auto"/>
        <w:rPr>
          <w:rFonts w:hint="eastAsia" w:ascii="仿宋_GB2312" w:hAnsi="仿宋" w:eastAsia="仿宋_GB2312"/>
          <w:b/>
          <w:sz w:val="32"/>
          <w:szCs w:val="32"/>
        </w:rPr>
      </w:pPr>
    </w:p>
    <w:p>
      <w:pPr>
        <w:spacing w:line="360" w:lineRule="auto"/>
        <w:jc w:val="center"/>
        <w:rPr>
          <w:rFonts w:hint="eastAsia" w:ascii="仿宋_GB2312" w:hAnsi="仿宋" w:eastAsia="仿宋_GB2312"/>
          <w:b/>
          <w:sz w:val="32"/>
          <w:szCs w:val="32"/>
        </w:rPr>
      </w:pPr>
    </w:p>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授权委托书</w:t>
      </w:r>
    </w:p>
    <w:p>
      <w:pPr>
        <w:widowControl/>
        <w:autoSpaceDE w:val="0"/>
        <w:autoSpaceDN w:val="0"/>
        <w:spacing w:line="360" w:lineRule="auto"/>
        <w:ind w:firstLine="560" w:firstLineChars="200"/>
        <w:textAlignment w:val="bottom"/>
        <w:rPr>
          <w:rFonts w:hint="eastAsia" w:ascii="仿宋_GB2312" w:hAnsi="仿宋" w:eastAsia="仿宋_GB2312"/>
          <w:sz w:val="28"/>
          <w:szCs w:val="28"/>
        </w:rPr>
      </w:pP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是</w:t>
      </w:r>
      <w:r>
        <w:rPr>
          <w:rFonts w:hint="eastAsia" w:ascii="仿宋" w:hAnsi="仿宋" w:eastAsia="仿宋" w:cs="仿宋"/>
          <w:sz w:val="28"/>
          <w:szCs w:val="28"/>
          <w:u w:val="single"/>
        </w:rPr>
        <w:t xml:space="preserve">        投标单位名称       </w:t>
      </w:r>
      <w:r>
        <w:rPr>
          <w:rFonts w:hint="eastAsia" w:ascii="仿宋" w:hAnsi="仿宋" w:eastAsia="仿宋" w:cs="仿宋"/>
          <w:sz w:val="28"/>
          <w:szCs w:val="28"/>
        </w:rPr>
        <w:t>的法定代表人，现授权</w:t>
      </w:r>
      <w:r>
        <w:rPr>
          <w:rFonts w:hint="eastAsia" w:ascii="仿宋" w:hAnsi="仿宋" w:eastAsia="仿宋" w:cs="仿宋"/>
          <w:sz w:val="28"/>
          <w:szCs w:val="28"/>
          <w:u w:val="single"/>
        </w:rPr>
        <w:t xml:space="preserve">       单位全称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为我公司全权代理人，以我单位名誉参加新疆天巨辰工程项目管理有限公司组织的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hint="eastAsia" w:ascii="仿宋" w:hAnsi="仿宋" w:eastAsia="仿宋" w:cs="仿宋"/>
          <w:sz w:val="28"/>
          <w:szCs w:val="28"/>
        </w:rPr>
      </w:pPr>
      <w:r>
        <w:rPr>
          <w:rFonts w:hint="eastAsia" w:ascii="仿宋" w:hAnsi="仿宋" w:eastAsia="仿宋" w:cs="仿宋"/>
          <w:sz w:val="28"/>
          <w:szCs w:val="28"/>
        </w:rPr>
        <w:t>全权代理人无转委托权。</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特此声明。</w:t>
      </w:r>
    </w:p>
    <w:p>
      <w:pPr>
        <w:spacing w:line="360" w:lineRule="auto"/>
        <w:ind w:firstLine="560" w:firstLineChars="200"/>
        <w:rPr>
          <w:rFonts w:hint="eastAsia" w:ascii="仿宋" w:hAnsi="仿宋" w:eastAsia="仿宋" w:cs="仿宋"/>
          <w:sz w:val="28"/>
          <w:szCs w:val="28"/>
        </w:rPr>
      </w:pPr>
    </w:p>
    <w:p>
      <w:pPr>
        <w:spacing w:line="360" w:lineRule="auto"/>
        <w:ind w:firstLine="280" w:firstLineChars="1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（签章）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说明：应附法定代表人和全权代理人身份证复印件    </w:t>
      </w:r>
    </w:p>
    <w:tbl>
      <w:tblPr>
        <w:tblStyle w:val="4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pPr>
              <w:spacing w:line="36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法定代表人身份证</w:t>
            </w:r>
          </w:p>
          <w:p>
            <w:pPr>
              <w:spacing w:line="360" w:lineRule="exact"/>
              <w:ind w:firstLine="281" w:firstLineChars="100"/>
              <w:rPr>
                <w:rFonts w:hint="eastAsia" w:ascii="仿宋" w:hAnsi="仿宋" w:eastAsia="仿宋" w:cs="仿宋"/>
                <w:b/>
                <w:sz w:val="28"/>
                <w:szCs w:val="28"/>
              </w:rPr>
            </w:pPr>
          </w:p>
        </w:tc>
        <w:tc>
          <w:tcPr>
            <w:tcW w:w="360" w:type="dxa"/>
            <w:tcBorders>
              <w:top w:val="nil"/>
              <w:bottom w:val="nil"/>
            </w:tcBorders>
            <w:noWrap w:val="0"/>
            <w:vAlign w:val="center"/>
          </w:tcPr>
          <w:p>
            <w:pPr>
              <w:widowControl/>
              <w:rPr>
                <w:rFonts w:hint="eastAsia" w:ascii="仿宋" w:hAnsi="仿宋" w:eastAsia="仿宋" w:cs="仿宋"/>
                <w:b/>
                <w:sz w:val="28"/>
                <w:szCs w:val="28"/>
              </w:rPr>
            </w:pPr>
          </w:p>
        </w:tc>
        <w:tc>
          <w:tcPr>
            <w:tcW w:w="4320" w:type="dxa"/>
            <w:noWrap w:val="0"/>
            <w:vAlign w:val="center"/>
          </w:tcPr>
          <w:p>
            <w:pPr>
              <w:widowControl/>
              <w:ind w:firstLine="840" w:firstLineChars="300"/>
              <w:rPr>
                <w:rFonts w:hint="eastAsia" w:ascii="仿宋" w:hAnsi="仿宋" w:eastAsia="仿宋"/>
                <w:sz w:val="28"/>
                <w:szCs w:val="28"/>
              </w:rPr>
            </w:pPr>
          </w:p>
          <w:p>
            <w:pPr>
              <w:widowControl/>
              <w:ind w:firstLine="840" w:firstLineChars="300"/>
              <w:rPr>
                <w:rFonts w:hint="eastAsia" w:ascii="仿宋" w:hAnsi="仿宋" w:eastAsia="仿宋" w:cs="仿宋"/>
                <w:sz w:val="28"/>
                <w:szCs w:val="28"/>
              </w:rPr>
            </w:pPr>
            <w:r>
              <w:rPr>
                <w:rFonts w:hint="eastAsia" w:ascii="仿宋" w:hAnsi="仿宋" w:eastAsia="仿宋"/>
                <w:sz w:val="28"/>
                <w:szCs w:val="28"/>
              </w:rPr>
              <w:t>授权代表人</w:t>
            </w:r>
            <w:r>
              <w:rPr>
                <w:rFonts w:hint="eastAsia" w:ascii="仿宋" w:hAnsi="仿宋" w:eastAsia="仿宋" w:cs="仿宋"/>
                <w:sz w:val="28"/>
                <w:szCs w:val="28"/>
              </w:rPr>
              <w:t>身份证</w:t>
            </w:r>
          </w:p>
          <w:p>
            <w:pPr>
              <w:widowControl/>
              <w:rPr>
                <w:rFonts w:hint="eastAsia" w:ascii="仿宋" w:hAnsi="仿宋" w:eastAsia="仿宋" w:cs="仿宋"/>
                <w:sz w:val="28"/>
                <w:szCs w:val="28"/>
              </w:rPr>
            </w:pPr>
          </w:p>
          <w:p>
            <w:pPr>
              <w:widowControl/>
              <w:rPr>
                <w:rFonts w:hint="eastAsia" w:ascii="仿宋" w:hAnsi="仿宋" w:eastAsia="仿宋" w:cs="仿宋"/>
                <w:b/>
                <w:sz w:val="28"/>
                <w:szCs w:val="28"/>
              </w:rPr>
            </w:pPr>
          </w:p>
        </w:tc>
      </w:tr>
    </w:tbl>
    <w:p>
      <w:pPr>
        <w:widowControl/>
        <w:ind w:firstLine="281" w:firstLineChars="100"/>
        <w:rPr>
          <w:rFonts w:hint="eastAsia" w:ascii="仿宋_GB2312" w:hAnsi="仿宋" w:eastAsia="仿宋_GB2312"/>
          <w:b/>
          <w:sz w:val="28"/>
          <w:szCs w:val="28"/>
        </w:rPr>
      </w:pPr>
    </w:p>
    <w:p>
      <w:pPr>
        <w:widowControl/>
        <w:ind w:firstLine="281" w:firstLineChars="100"/>
        <w:rPr>
          <w:rFonts w:hint="eastAsia" w:ascii="仿宋_GB2312" w:hAnsi="仿宋" w:eastAsia="仿宋_GB2312"/>
          <w:sz w:val="28"/>
          <w:szCs w:val="28"/>
        </w:rPr>
      </w:pPr>
      <w:r>
        <w:rPr>
          <w:rFonts w:hint="eastAsia" w:ascii="仿宋_GB2312" w:hAnsi="仿宋" w:eastAsia="仿宋_GB2312"/>
          <w:b/>
          <w:sz w:val="28"/>
          <w:szCs w:val="28"/>
        </w:rPr>
        <w:t xml:space="preserve">  </w:t>
      </w:r>
    </w:p>
    <w:p>
      <w:pPr>
        <w:jc w:val="center"/>
        <w:rPr>
          <w:rFonts w:hint="eastAsia" w:ascii="仿宋" w:hAnsi="仿宋" w:eastAsia="仿宋" w:cs="仿宋"/>
          <w:b/>
          <w:bCs/>
          <w:sz w:val="32"/>
          <w:szCs w:val="32"/>
        </w:rPr>
      </w:pPr>
      <w:r>
        <w:rPr>
          <w:rFonts w:hint="eastAsia" w:ascii="仿宋" w:hAnsi="仿宋" w:eastAsia="仿宋" w:cs="仿宋"/>
          <w:b/>
          <w:bCs/>
          <w:sz w:val="32"/>
          <w:szCs w:val="32"/>
        </w:rPr>
        <w:t>4、投标人单位基本情况表</w:t>
      </w:r>
    </w:p>
    <w:tbl>
      <w:tblPr>
        <w:tblStyle w:val="4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283"/>
        <w:gridCol w:w="1081"/>
        <w:gridCol w:w="1338"/>
        <w:gridCol w:w="1355"/>
        <w:gridCol w:w="1006"/>
        <w:gridCol w:w="1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投标人名称</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2003" w:type="pct"/>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联系方式</w:t>
            </w: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1308"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电  话</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传  真</w:t>
            </w:r>
          </w:p>
        </w:tc>
        <w:tc>
          <w:tcPr>
            <w:tcW w:w="1308"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网  址</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585"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54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电话</w:t>
            </w:r>
          </w:p>
        </w:tc>
        <w:tc>
          <w:tcPr>
            <w:tcW w:w="807"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成立时间</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营业执照号</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企业人员</w:t>
            </w: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注册资金</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账   号</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经营范围</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备   注</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rPr>
            </w:pPr>
          </w:p>
        </w:tc>
      </w:tr>
    </w:tbl>
    <w:p>
      <w:pPr>
        <w:spacing w:line="400" w:lineRule="exact"/>
        <w:rPr>
          <w:rFonts w:hint="eastAsia" w:ascii="仿宋" w:hAnsi="仿宋" w:eastAsia="仿宋" w:cs="仿宋"/>
          <w:sz w:val="28"/>
          <w:szCs w:val="28"/>
        </w:rPr>
      </w:pPr>
      <w:r>
        <w:rPr>
          <w:rFonts w:hint="eastAsia" w:ascii="仿宋" w:hAnsi="仿宋" w:eastAsia="仿宋" w:cs="仿宋"/>
          <w:sz w:val="28"/>
          <w:szCs w:val="28"/>
        </w:rPr>
        <w:t>说明：</w:t>
      </w:r>
    </w:p>
    <w:p>
      <w:pPr>
        <w:numPr>
          <w:ilvl w:val="0"/>
          <w:numId w:val="13"/>
        </w:num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在按要求填写此表格后，各投标人可以用其它的方式，就公司整体情况作出详细的介绍。</w:t>
      </w:r>
    </w:p>
    <w:p>
      <w:pPr>
        <w:spacing w:line="400" w:lineRule="exact"/>
        <w:ind w:firstLine="560" w:firstLineChars="200"/>
        <w:rPr>
          <w:rFonts w:ascii="仿宋" w:hAnsi="仿宋" w:eastAsia="仿宋" w:cs="仿宋"/>
          <w:sz w:val="28"/>
          <w:szCs w:val="28"/>
        </w:rPr>
      </w:pPr>
      <w:r>
        <w:rPr>
          <w:rFonts w:hint="eastAsia" w:ascii="仿宋" w:hAnsi="仿宋" w:eastAsia="仿宋" w:cs="仿宋"/>
          <w:bCs/>
          <w:sz w:val="28"/>
          <w:szCs w:val="28"/>
        </w:rPr>
        <w:t>2、后附营业执照、开户许可证、完税证明、社保、信用中国和中国政府采购网查询结果等。</w:t>
      </w:r>
    </w:p>
    <w:p>
      <w:pPr>
        <w:spacing w:line="4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投标人（盖章）：</w:t>
      </w:r>
    </w:p>
    <w:p>
      <w:pPr>
        <w:spacing w:line="40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sz w:val="28"/>
          <w:szCs w:val="28"/>
        </w:rPr>
        <w:t>法定代表人或授权代表人（签章）</w:t>
      </w:r>
      <w:r>
        <w:rPr>
          <w:rFonts w:hint="eastAsia" w:ascii="仿宋" w:hAnsi="仿宋" w:eastAsia="仿宋" w:cs="仿宋"/>
          <w:sz w:val="28"/>
          <w:szCs w:val="28"/>
        </w:rPr>
        <w:t xml:space="preserve">： </w:t>
      </w:r>
    </w:p>
    <w:p>
      <w:pPr>
        <w:spacing w:line="40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    期：   年  月  日</w:t>
      </w:r>
    </w:p>
    <w:p>
      <w:pPr>
        <w:jc w:val="center"/>
        <w:rPr>
          <w:rFonts w:hint="eastAsia" w:ascii="仿宋" w:hAnsi="仿宋" w:eastAsia="仿宋" w:cs="仿宋"/>
          <w:sz w:val="28"/>
          <w:szCs w:val="28"/>
        </w:rPr>
      </w:pPr>
      <w:r>
        <w:rPr>
          <w:rFonts w:hint="eastAsia" w:ascii="仿宋" w:hAnsi="仿宋" w:eastAsia="仿宋" w:cs="仿宋"/>
          <w:b/>
          <w:bCs/>
          <w:sz w:val="28"/>
          <w:szCs w:val="28"/>
        </w:rPr>
        <w:t>企业情况简介</w:t>
      </w: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（格式自拟）</w:t>
      </w:r>
    </w:p>
    <w:p>
      <w:pPr>
        <w:spacing w:line="360" w:lineRule="auto"/>
        <w:jc w:val="center"/>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5、</w:t>
      </w:r>
      <w:r>
        <w:rPr>
          <w:rFonts w:hint="eastAsia" w:ascii="仿宋" w:hAnsi="仿宋" w:eastAsia="仿宋" w:cs="仿宋"/>
          <w:b/>
          <w:sz w:val="32"/>
          <w:szCs w:val="32"/>
        </w:rPr>
        <w:t>投标人近三年有无违法、违规记录承诺书</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（投标人自行填写）</w:t>
      </w:r>
    </w:p>
    <w:p>
      <w:pPr>
        <w:spacing w:line="360" w:lineRule="auto"/>
        <w:ind w:left="1792" w:hanging="1792" w:hangingChars="640"/>
        <w:rPr>
          <w:rFonts w:hint="eastAsia" w:ascii="仿宋" w:hAnsi="仿宋" w:eastAsia="仿宋" w:cs="仿宋"/>
          <w:sz w:val="28"/>
          <w:szCs w:val="28"/>
        </w:rPr>
      </w:pPr>
    </w:p>
    <w:p>
      <w:pPr>
        <w:spacing w:line="360" w:lineRule="auto"/>
        <w:ind w:left="1792" w:hanging="1792" w:hangingChars="640"/>
        <w:rPr>
          <w:rFonts w:hint="eastAsia" w:ascii="仿宋" w:hAnsi="仿宋" w:eastAsia="仿宋" w:cs="仿宋"/>
          <w:sz w:val="28"/>
          <w:szCs w:val="28"/>
        </w:rPr>
      </w:pPr>
      <w:r>
        <w:rPr>
          <w:rFonts w:hint="eastAsia" w:ascii="仿宋" w:hAnsi="仿宋" w:eastAsia="仿宋" w:cs="仿宋"/>
          <w:sz w:val="28"/>
          <w:szCs w:val="28"/>
        </w:rPr>
        <w:t>内容应包括：说明现在有无正在诉讼的案件和有无不良记录以及是否依法缴纳税收和社会保障资金。</w:t>
      </w:r>
    </w:p>
    <w:p>
      <w:pPr>
        <w:spacing w:line="360" w:lineRule="auto"/>
        <w:ind w:left="252" w:hanging="252" w:hangingChars="90"/>
        <w:rPr>
          <w:rFonts w:hint="eastAsia" w:ascii="仿宋" w:hAnsi="仿宋" w:eastAsia="仿宋" w:cs="仿宋"/>
          <w:sz w:val="28"/>
          <w:szCs w:val="28"/>
        </w:rPr>
      </w:pPr>
      <w:r>
        <w:rPr>
          <w:rFonts w:hint="eastAsia" w:ascii="仿宋" w:hAnsi="仿宋" w:eastAsia="仿宋" w:cs="仿宋"/>
          <w:sz w:val="28"/>
          <w:szCs w:val="28"/>
        </w:rPr>
        <w:t>（有无必须说明，否则作为废标）</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ind w:firstLine="3360" w:firstLineChars="1200"/>
        <w:rPr>
          <w:rFonts w:hint="eastAsia" w:ascii="仿宋" w:hAnsi="仿宋" w:eastAsia="仿宋" w:cs="仿宋"/>
          <w:sz w:val="28"/>
          <w:szCs w:val="28"/>
        </w:rPr>
      </w:pPr>
      <w:r>
        <w:rPr>
          <w:rFonts w:hint="eastAsia" w:ascii="仿宋" w:hAnsi="仿宋" w:eastAsia="仿宋" w:cs="仿宋"/>
          <w:sz w:val="28"/>
          <w:szCs w:val="28"/>
        </w:rPr>
        <w:t>法定代表人或授权代表人（签章）：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3500" w:firstLineChars="1250"/>
        <w:rPr>
          <w:rFonts w:hint="eastAsia" w:ascii="仿宋" w:hAnsi="仿宋" w:eastAsia="仿宋" w:cs="仿宋"/>
          <w:sz w:val="28"/>
          <w:szCs w:val="28"/>
        </w:rPr>
      </w:pP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签署日期：      年     月     日</w:t>
      </w:r>
    </w:p>
    <w:p>
      <w:pPr>
        <w:rPr>
          <w:rFonts w:hint="eastAsia" w:ascii="仿宋" w:hAnsi="仿宋" w:eastAsia="仿宋" w:cs="仿宋"/>
          <w:sz w:val="28"/>
          <w:szCs w:val="28"/>
        </w:rPr>
        <w:sectPr>
          <w:pgSz w:w="11906" w:h="16838"/>
          <w:pgMar w:top="2098" w:right="1440" w:bottom="1440" w:left="1440" w:header="851" w:footer="992" w:gutter="0"/>
          <w:cols w:space="720" w:num="1"/>
          <w:docGrid w:linePitch="312" w:charSpace="0"/>
        </w:sectPr>
      </w:pPr>
    </w:p>
    <w:p>
      <w:pPr>
        <w:spacing w:line="400" w:lineRule="exact"/>
        <w:jc w:val="center"/>
        <w:rPr>
          <w:rFonts w:hint="eastAsia" w:ascii="仿宋" w:hAnsi="仿宋" w:eastAsia="仿宋" w:cs="仿宋"/>
          <w:sz w:val="32"/>
          <w:szCs w:val="32"/>
        </w:rPr>
      </w:pPr>
      <w:bookmarkStart w:id="11" w:name="投标报价表"/>
      <w:r>
        <w:rPr>
          <w:rFonts w:hint="eastAsia" w:ascii="仿宋" w:hAnsi="仿宋" w:eastAsia="仿宋" w:cs="仿宋"/>
          <w:b/>
          <w:bCs/>
          <w:sz w:val="32"/>
          <w:szCs w:val="32"/>
        </w:rPr>
        <w:t>6、投标报价表</w:t>
      </w:r>
      <w:bookmarkEnd w:id="11"/>
    </w:p>
    <w:p>
      <w:pPr>
        <w:spacing w:line="440" w:lineRule="exact"/>
        <w:rPr>
          <w:rFonts w:hint="eastAsia" w:ascii="仿宋_GB2312" w:hAnsi="仿宋" w:eastAsia="仿宋_GB2312"/>
          <w:szCs w:val="21"/>
        </w:rPr>
      </w:pP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7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项目名称</w:t>
            </w:r>
          </w:p>
        </w:tc>
        <w:tc>
          <w:tcPr>
            <w:tcW w:w="7041" w:type="dxa"/>
            <w:noWrap w:val="0"/>
            <w:vAlign w:val="center"/>
          </w:tcPr>
          <w:p>
            <w:pP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ascii="仿宋" w:hAnsi="仿宋" w:eastAsia="仿宋"/>
                <w:sz w:val="28"/>
                <w:szCs w:val="28"/>
              </w:rPr>
            </w:pPr>
            <w:r>
              <w:rPr>
                <w:rFonts w:hint="eastAsia" w:ascii="仿宋" w:hAnsi="仿宋" w:eastAsia="仿宋"/>
                <w:sz w:val="28"/>
                <w:szCs w:val="28"/>
              </w:rPr>
              <w:t>投标人</w:t>
            </w:r>
          </w:p>
        </w:tc>
        <w:tc>
          <w:tcPr>
            <w:tcW w:w="7041" w:type="dxa"/>
            <w:noWrap w:val="0"/>
            <w:vAlign w:val="center"/>
          </w:tcPr>
          <w:p>
            <w:pP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投标报价   （人民币：元）</w:t>
            </w:r>
          </w:p>
          <w:p>
            <w:pPr>
              <w:jc w:val="center"/>
              <w:rPr>
                <w:rFonts w:hint="eastAsia" w:ascii="仿宋" w:hAnsi="仿宋" w:eastAsia="仿宋"/>
                <w:sz w:val="28"/>
                <w:szCs w:val="28"/>
              </w:rPr>
            </w:pPr>
          </w:p>
        </w:tc>
        <w:tc>
          <w:tcPr>
            <w:tcW w:w="7041" w:type="dxa"/>
            <w:noWrap w:val="0"/>
            <w:vAlign w:val="center"/>
          </w:tcPr>
          <w:p>
            <w:pPr>
              <w:rPr>
                <w:rFonts w:hint="eastAsia" w:ascii="仿宋" w:hAnsi="仿宋" w:eastAsia="仿宋"/>
                <w:sz w:val="28"/>
                <w:szCs w:val="28"/>
              </w:rPr>
            </w:pPr>
            <w:r>
              <w:rPr>
                <w:rFonts w:hint="eastAsia" w:ascii="仿宋" w:hAnsi="仿宋" w:eastAsia="仿宋"/>
                <w:sz w:val="28"/>
                <w:szCs w:val="28"/>
              </w:rPr>
              <w:t xml:space="preserve">（大写）： </w:t>
            </w:r>
          </w:p>
          <w:p>
            <w:pPr>
              <w:rPr>
                <w:rFonts w:hint="eastAsia" w:ascii="仿宋" w:hAnsi="仿宋" w:eastAsia="仿宋"/>
                <w:sz w:val="28"/>
                <w:szCs w:val="28"/>
              </w:rPr>
            </w:pPr>
            <w:r>
              <w:rPr>
                <w:rFonts w:hint="eastAsia" w:ascii="仿宋" w:hAnsi="仿宋" w:eastAsia="仿宋"/>
                <w:sz w:val="28"/>
                <w:szCs w:val="28"/>
              </w:rPr>
              <w:t xml:space="preserve">                            </w:t>
            </w:r>
          </w:p>
          <w:p>
            <w:pPr>
              <w:rPr>
                <w:rFonts w:hint="eastAsia" w:ascii="仿宋" w:hAnsi="仿宋" w:eastAsia="仿宋"/>
                <w:sz w:val="28"/>
                <w:szCs w:val="28"/>
              </w:rPr>
            </w:pPr>
            <w:r>
              <w:rPr>
                <w:rFonts w:hint="eastAsia" w:ascii="仿宋" w:hAnsi="仿宋" w:eastAsia="仿宋"/>
                <w:sz w:val="28"/>
                <w:szCs w:val="28"/>
              </w:rPr>
              <w:t xml:space="preserve">（小写）：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合同履行期限</w:t>
            </w:r>
          </w:p>
        </w:tc>
        <w:tc>
          <w:tcPr>
            <w:tcW w:w="7041" w:type="dxa"/>
            <w:noWrap w:val="0"/>
            <w:vAlign w:val="center"/>
          </w:tcPr>
          <w:p>
            <w:pP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质量要求</w:t>
            </w:r>
          </w:p>
        </w:tc>
        <w:tc>
          <w:tcPr>
            <w:tcW w:w="7041" w:type="dxa"/>
            <w:noWrap w:val="0"/>
            <w:vAlign w:val="center"/>
          </w:tcPr>
          <w:p>
            <w:pP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投标有效期</w:t>
            </w:r>
          </w:p>
        </w:tc>
        <w:tc>
          <w:tcPr>
            <w:tcW w:w="7041" w:type="dxa"/>
            <w:noWrap w:val="0"/>
            <w:vAlign w:val="center"/>
          </w:tcPr>
          <w:p>
            <w:pPr>
              <w:rPr>
                <w:rFonts w:hint="eastAsia" w:ascii="仿宋" w:hAnsi="仿宋" w:eastAsia="仿宋"/>
                <w:sz w:val="28"/>
                <w:szCs w:val="28"/>
              </w:rPr>
            </w:pPr>
            <w:r>
              <w:rPr>
                <w:rFonts w:hint="eastAsia" w:ascii="仿宋" w:hAnsi="仿宋" w:eastAsia="仿宋"/>
                <w:sz w:val="28"/>
                <w:szCs w:val="28"/>
              </w:rPr>
              <w:t>30日历天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备注</w:t>
            </w:r>
          </w:p>
        </w:tc>
        <w:tc>
          <w:tcPr>
            <w:tcW w:w="7041" w:type="dxa"/>
            <w:noWrap w:val="0"/>
            <w:vAlign w:val="center"/>
          </w:tcPr>
          <w:p>
            <w:pPr>
              <w:rPr>
                <w:rFonts w:hint="eastAsia" w:ascii="仿宋" w:hAnsi="仿宋" w:eastAsia="仿宋"/>
                <w:sz w:val="28"/>
                <w:szCs w:val="28"/>
              </w:rPr>
            </w:pPr>
          </w:p>
        </w:tc>
      </w:tr>
    </w:tbl>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说明：此响应函后须附</w:t>
      </w:r>
      <w:r>
        <w:rPr>
          <w:rFonts w:hint="eastAsia" w:ascii="仿宋" w:hAnsi="仿宋" w:eastAsia="仿宋"/>
          <w:sz w:val="28"/>
          <w:szCs w:val="28"/>
          <w:lang w:val="zh-CN"/>
        </w:rPr>
        <w:t>分项报价明细表</w:t>
      </w:r>
    </w:p>
    <w:p>
      <w:pPr>
        <w:spacing w:line="400" w:lineRule="exact"/>
        <w:ind w:firstLine="560" w:firstLineChars="200"/>
        <w:rPr>
          <w:rFonts w:hint="eastAsia" w:ascii="仿宋" w:hAnsi="仿宋" w:eastAsia="仿宋"/>
          <w:sz w:val="28"/>
          <w:szCs w:val="28"/>
        </w:rPr>
      </w:pPr>
    </w:p>
    <w:p>
      <w:pPr>
        <w:tabs>
          <w:tab w:val="left" w:pos="1874"/>
        </w:tabs>
        <w:spacing w:line="400" w:lineRule="exact"/>
        <w:ind w:firstLine="560" w:firstLineChars="200"/>
        <w:rPr>
          <w:rFonts w:hint="eastAsia" w:ascii="仿宋" w:hAnsi="仿宋" w:eastAsia="仿宋"/>
          <w:sz w:val="28"/>
          <w:szCs w:val="28"/>
        </w:rPr>
      </w:pPr>
      <w:r>
        <w:rPr>
          <w:rFonts w:hint="eastAsia" w:ascii="仿宋" w:hAnsi="仿宋" w:eastAsia="仿宋"/>
          <w:sz w:val="28"/>
          <w:szCs w:val="28"/>
        </w:rPr>
        <w:tab/>
      </w:r>
    </w:p>
    <w:p>
      <w:pPr>
        <w:spacing w:line="400" w:lineRule="exact"/>
        <w:ind w:firstLine="560" w:firstLineChars="200"/>
        <w:rPr>
          <w:rFonts w:hint="eastAsia" w:ascii="仿宋" w:hAnsi="仿宋" w:eastAsia="仿宋"/>
          <w:sz w:val="28"/>
          <w:szCs w:val="28"/>
        </w:rPr>
      </w:pPr>
    </w:p>
    <w:p>
      <w:pPr>
        <w:pStyle w:val="90"/>
        <w:rPr>
          <w:rFonts w:hint="eastAsia"/>
        </w:rPr>
      </w:pPr>
    </w:p>
    <w:p>
      <w:pPr>
        <w:spacing w:line="400" w:lineRule="exact"/>
        <w:ind w:firstLine="560" w:firstLineChars="200"/>
        <w:rPr>
          <w:rFonts w:hint="eastAsia" w:ascii="仿宋" w:hAnsi="仿宋" w:eastAsia="仿宋"/>
          <w:sz w:val="28"/>
          <w:szCs w:val="28"/>
        </w:rPr>
      </w:pP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投标人（加盖公章）：</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法定代表人或授权代表人（签章）：</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日    期：   年  月  日</w:t>
      </w:r>
    </w:p>
    <w:p>
      <w:pPr>
        <w:spacing w:line="440" w:lineRule="exact"/>
        <w:rPr>
          <w:rFonts w:hint="eastAsia" w:ascii="仿宋" w:hAnsi="仿宋" w:eastAsia="仿宋" w:cs="仿宋"/>
          <w:b/>
          <w:color w:val="0070C0"/>
          <w:sz w:val="28"/>
          <w:szCs w:val="28"/>
        </w:rPr>
      </w:pPr>
    </w:p>
    <w:p>
      <w:pPr>
        <w:spacing w:line="440" w:lineRule="exact"/>
        <w:rPr>
          <w:rFonts w:hint="eastAsia" w:ascii="仿宋" w:hAnsi="仿宋" w:eastAsia="仿宋" w:cs="仿宋"/>
          <w:b/>
          <w:sz w:val="28"/>
          <w:szCs w:val="28"/>
        </w:rPr>
      </w:pPr>
    </w:p>
    <w:p>
      <w:pPr>
        <w:spacing w:line="440" w:lineRule="exact"/>
        <w:rPr>
          <w:rFonts w:hint="eastAsia" w:ascii="仿宋" w:hAnsi="仿宋" w:eastAsia="仿宋" w:cs="仿宋"/>
          <w:b/>
          <w:sz w:val="28"/>
          <w:szCs w:val="28"/>
        </w:rPr>
      </w:pPr>
    </w:p>
    <w:p>
      <w:pPr>
        <w:spacing w:line="440" w:lineRule="exact"/>
        <w:jc w:val="center"/>
        <w:rPr>
          <w:rFonts w:hint="eastAsia" w:ascii="仿宋" w:hAnsi="仿宋" w:eastAsia="仿宋" w:cs="仿宋"/>
          <w:bCs/>
          <w:sz w:val="28"/>
          <w:szCs w:val="28"/>
        </w:rPr>
      </w:pPr>
      <w:r>
        <w:rPr>
          <w:rFonts w:hint="eastAsia" w:ascii="仿宋" w:hAnsi="仿宋" w:eastAsia="仿宋" w:cs="仿宋"/>
          <w:b/>
          <w:sz w:val="28"/>
          <w:szCs w:val="28"/>
          <w:lang w:val="zh-CN"/>
        </w:rPr>
        <w:t>分项报价明细表</w:t>
      </w:r>
    </w:p>
    <w:p>
      <w:pPr>
        <w:spacing w:line="440" w:lineRule="exact"/>
        <w:jc w:val="center"/>
        <w:rPr>
          <w:rFonts w:hint="eastAsia" w:ascii="仿宋" w:hAnsi="仿宋" w:eastAsia="仿宋" w:cs="仿宋"/>
          <w:bCs/>
          <w:sz w:val="28"/>
          <w:szCs w:val="28"/>
        </w:rPr>
      </w:pPr>
      <w:r>
        <w:rPr>
          <w:rFonts w:hint="eastAsia" w:ascii="仿宋" w:hAnsi="仿宋" w:eastAsia="仿宋" w:cs="仿宋"/>
          <w:bCs/>
          <w:sz w:val="28"/>
          <w:szCs w:val="28"/>
        </w:rPr>
        <w:t>（附已标价项目清单）</w:t>
      </w:r>
    </w:p>
    <w:p>
      <w:pPr>
        <w:spacing w:line="440" w:lineRule="exact"/>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0" w:firstLineChars="0"/>
        <w:rPr>
          <w:rFonts w:hint="eastAsia" w:ascii="仿宋" w:hAnsi="仿宋" w:eastAsia="仿宋" w:cs="仿宋"/>
          <w:b/>
          <w:sz w:val="28"/>
          <w:szCs w:val="28"/>
        </w:rPr>
      </w:pPr>
    </w:p>
    <w:p>
      <w:pPr>
        <w:spacing w:line="360" w:lineRule="auto"/>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 xml:space="preserve">   </w:t>
      </w:r>
    </w:p>
    <w:p>
      <w:pPr>
        <w:spacing w:line="360" w:lineRule="auto"/>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7、财务要求</w:t>
      </w:r>
    </w:p>
    <w:p>
      <w:pPr>
        <w:pStyle w:val="41"/>
        <w:ind w:firstLine="210"/>
      </w:pPr>
    </w:p>
    <w:p>
      <w:pPr>
        <w:spacing w:line="360" w:lineRule="auto"/>
        <w:ind w:firstLine="560" w:firstLineChars="200"/>
        <w:rPr>
          <w:rFonts w:hint="eastAsia" w:ascii="仿宋_GB2312" w:hAnsi="仿宋" w:eastAsia="仿宋_GB2312"/>
          <w:b/>
          <w:color w:val="000000"/>
          <w:sz w:val="32"/>
          <w:szCs w:val="32"/>
        </w:rPr>
      </w:pPr>
      <w:r>
        <w:rPr>
          <w:rFonts w:hint="eastAsia" w:ascii="仿宋" w:hAnsi="仿宋" w:eastAsia="仿宋" w:cs="仿宋"/>
          <w:bCs/>
          <w:color w:val="000000"/>
          <w:sz w:val="28"/>
          <w:szCs w:val="28"/>
        </w:rPr>
        <w:t>近一年审计报告（成立不足一年的需提供成立至今的财务报表）</w:t>
      </w:r>
      <w:r>
        <w:rPr>
          <w:rFonts w:hint="eastAsia" w:ascii="仿宋" w:hAnsi="仿宋" w:eastAsia="仿宋" w:cs="宋体"/>
          <w:kern w:val="0"/>
          <w:sz w:val="28"/>
          <w:szCs w:val="28"/>
        </w:rPr>
        <w:t>。</w:t>
      </w: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napToGrid w:val="0"/>
        <w:rPr>
          <w:rFonts w:hint="eastAsia" w:ascii="仿宋_GB2312" w:hAnsi="仿宋" w:eastAsia="仿宋_GB2312"/>
          <w:b/>
          <w:bCs/>
          <w:sz w:val="30"/>
          <w:szCs w:val="30"/>
        </w:rPr>
      </w:pPr>
    </w:p>
    <w:p>
      <w:pPr>
        <w:snapToGrid w:val="0"/>
        <w:rPr>
          <w:rFonts w:hint="eastAsia" w:ascii="仿宋_GB2312" w:hAnsi="仿宋" w:eastAsia="仿宋_GB2312"/>
          <w:b/>
          <w:bCs/>
          <w:sz w:val="30"/>
          <w:szCs w:val="30"/>
        </w:rPr>
      </w:pPr>
    </w:p>
    <w:p>
      <w:pPr>
        <w:snapToGrid w:val="0"/>
        <w:rPr>
          <w:rFonts w:hint="eastAsia" w:ascii="仿宋_GB2312" w:hAnsi="仿宋" w:eastAsia="仿宋_GB2312"/>
          <w:b/>
          <w:bCs/>
          <w:sz w:val="30"/>
          <w:szCs w:val="30"/>
        </w:rPr>
      </w:pPr>
    </w:p>
    <w:p>
      <w:pPr>
        <w:snapToGrid w:val="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widowControl/>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8、 中小企业声明函</w:t>
      </w:r>
    </w:p>
    <w:p>
      <w:pPr>
        <w:pStyle w:val="191"/>
        <w:rPr>
          <w:rFonts w:hint="eastAsia" w:ascii="仿宋" w:hAnsi="仿宋" w:eastAsia="仿宋" w:cs="仿宋"/>
          <w:color w:val="000000"/>
          <w:sz w:val="28"/>
          <w:szCs w:val="28"/>
        </w:rPr>
      </w:pPr>
    </w:p>
    <w:p>
      <w:pPr>
        <w:pStyle w:val="39"/>
        <w:spacing w:before="0" w:beforeAutospacing="0" w:after="0" w:afterAutospacing="0" w:line="480" w:lineRule="auto"/>
        <w:ind w:firstLine="560" w:firstLineChars="200"/>
        <w:rPr>
          <w:rFonts w:hint="eastAsia" w:ascii="仿宋" w:hAnsi="仿宋" w:eastAsia="仿宋" w:cs="仿宋"/>
          <w:color w:val="000000"/>
          <w:kern w:val="2"/>
          <w:sz w:val="28"/>
          <w:szCs w:val="28"/>
          <w:u w:val="single"/>
        </w:rPr>
      </w:pPr>
      <w:r>
        <w:rPr>
          <w:rFonts w:hint="eastAsia" w:ascii="仿宋" w:hAnsi="仿宋" w:eastAsia="仿宋" w:cs="仿宋"/>
          <w:color w:val="000000"/>
          <w:kern w:val="2"/>
          <w:sz w:val="28"/>
          <w:szCs w:val="28"/>
        </w:rPr>
        <w:t>本公司</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郑重声明，根据《政府采购促进中小企业发展管理办法》（财库﹝2020﹞46 号）的规定，本公司参加</w:t>
      </w:r>
      <w:r>
        <w:rPr>
          <w:rFonts w:hint="eastAsia" w:ascii="仿宋" w:hAnsi="仿宋" w:eastAsia="仿宋" w:cs="仿宋"/>
          <w:color w:val="000000"/>
          <w:kern w:val="2"/>
          <w:sz w:val="28"/>
          <w:szCs w:val="28"/>
          <w:u w:val="single"/>
        </w:rPr>
        <w:t>（单位名称）</w:t>
      </w:r>
      <w:r>
        <w:rPr>
          <w:rFonts w:hint="eastAsia" w:ascii="仿宋" w:hAnsi="仿宋" w:eastAsia="仿宋" w:cs="仿宋"/>
          <w:color w:val="000000"/>
          <w:kern w:val="2"/>
          <w:sz w:val="28"/>
          <w:szCs w:val="28"/>
        </w:rPr>
        <w:t>的</w:t>
      </w:r>
      <w:r>
        <w:rPr>
          <w:rFonts w:hint="eastAsia" w:ascii="仿宋" w:hAnsi="仿宋" w:eastAsia="仿宋" w:cs="仿宋"/>
          <w:color w:val="000000"/>
          <w:kern w:val="2"/>
          <w:sz w:val="28"/>
          <w:szCs w:val="28"/>
          <w:u w:val="single"/>
        </w:rPr>
        <w:t>（项目名称）</w:t>
      </w:r>
      <w:r>
        <w:rPr>
          <w:rFonts w:hint="eastAsia" w:ascii="仿宋" w:hAnsi="仿宋" w:eastAsia="仿宋" w:cs="仿宋"/>
          <w:color w:val="000000"/>
          <w:kern w:val="2"/>
          <w:sz w:val="28"/>
          <w:szCs w:val="28"/>
        </w:rPr>
        <w:t>采购活动，服务全部由符合政策要求的中小企业承接。相关企业（含联合体中的中小</w:t>
      </w:r>
      <w:r>
        <w:rPr>
          <w:rFonts w:hint="eastAsia" w:ascii="仿宋" w:hAnsi="仿宋" w:eastAsia="仿宋" w:cs="仿宋"/>
          <w:color w:val="000000"/>
          <w:kern w:val="2"/>
          <w:sz w:val="28"/>
          <w:szCs w:val="28"/>
          <w:u w:val="single"/>
        </w:rPr>
        <w:t>企业、签订分包意向协议的中小企业）的具体情况如下：</w:t>
      </w:r>
    </w:p>
    <w:p>
      <w:pPr>
        <w:pStyle w:val="39"/>
        <w:spacing w:before="0" w:beforeAutospacing="0" w:after="0" w:afterAutospacing="0" w:line="480" w:lineRule="auto"/>
        <w:ind w:firstLine="840" w:firstLineChars="3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u w:val="single"/>
        </w:rPr>
        <w:t xml:space="preserve">      （标的名称） </w:t>
      </w:r>
      <w:r>
        <w:rPr>
          <w:rFonts w:hint="eastAsia" w:ascii="仿宋" w:hAnsi="仿宋" w:eastAsia="仿宋" w:cs="仿宋"/>
          <w:color w:val="000000"/>
          <w:kern w:val="2"/>
          <w:sz w:val="28"/>
          <w:szCs w:val="28"/>
        </w:rPr>
        <w:t>，属于</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（采购文件中明确的所属行业）；制造商为</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（企业名称），从业人员</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人，营业收入为</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万元，资产总额为</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万元，属于</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 xml:space="preserve">（中型企业、小型企业、微型企业）； </w:t>
      </w:r>
    </w:p>
    <w:p>
      <w:pPr>
        <w:pStyle w:val="39"/>
        <w:spacing w:before="0" w:beforeAutospacing="0" w:after="0" w:afterAutospacing="0" w:line="48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以上企业，不属于大企业的分支机构，不存在控股股东为大企业的情形，也不存在与大企业的负责人为同一人的情形。</w:t>
      </w:r>
    </w:p>
    <w:p>
      <w:pPr>
        <w:pStyle w:val="39"/>
        <w:spacing w:before="0" w:beforeAutospacing="0" w:after="0" w:afterAutospacing="0" w:line="48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 xml:space="preserve">本企业对上述声明内容的真实性负责。如有虚假，将依法承担相应责任。 </w:t>
      </w:r>
    </w:p>
    <w:p>
      <w:pPr>
        <w:tabs>
          <w:tab w:val="left" w:pos="9180"/>
        </w:tabs>
        <w:rPr>
          <w:rFonts w:hint="eastAsia" w:ascii="仿宋_GB2312" w:hAnsi="仿宋" w:eastAsia="仿宋_GB2312"/>
          <w:b/>
          <w:color w:val="000000"/>
          <w:sz w:val="28"/>
          <w:szCs w:val="28"/>
        </w:rPr>
      </w:pPr>
    </w:p>
    <w:p>
      <w:pPr>
        <w:spacing w:line="360" w:lineRule="auto"/>
        <w:rPr>
          <w:rFonts w:hint="eastAsia" w:ascii="仿宋_GB2312" w:hAnsi="仿宋" w:eastAsia="仿宋_GB2312"/>
          <w:b/>
          <w:szCs w:val="21"/>
        </w:rPr>
      </w:pPr>
    </w:p>
    <w:p>
      <w:pPr>
        <w:spacing w:line="360" w:lineRule="auto"/>
        <w:rPr>
          <w:rFonts w:hint="eastAsia" w:ascii="仿宋_GB2312" w:hAnsi="仿宋" w:eastAsia="仿宋_GB2312"/>
          <w:b/>
          <w:szCs w:val="21"/>
        </w:rPr>
      </w:pPr>
    </w:p>
    <w:p>
      <w:pPr>
        <w:spacing w:line="360" w:lineRule="auto"/>
        <w:rPr>
          <w:rFonts w:hint="eastAsia" w:ascii="仿宋_GB2312" w:hAnsi="仿宋" w:eastAsia="仿宋_GB2312"/>
          <w:b/>
          <w:szCs w:val="21"/>
        </w:rPr>
      </w:pPr>
    </w:p>
    <w:p>
      <w:pPr>
        <w:spacing w:line="360" w:lineRule="auto"/>
        <w:ind w:firstLine="5600" w:firstLineChars="2000"/>
        <w:rPr>
          <w:rFonts w:hint="eastAsia" w:ascii="仿宋" w:hAnsi="仿宋" w:eastAsia="仿宋" w:cs="仿宋"/>
          <w:color w:val="000000"/>
          <w:sz w:val="28"/>
          <w:szCs w:val="28"/>
        </w:rPr>
      </w:pPr>
      <w:r>
        <w:rPr>
          <w:rFonts w:hint="eastAsia" w:ascii="仿宋" w:hAnsi="仿宋" w:eastAsia="仿宋" w:cs="仿宋"/>
          <w:color w:val="000000"/>
          <w:sz w:val="28"/>
          <w:szCs w:val="28"/>
        </w:rPr>
        <w:t>企业名称（盖章）：</w:t>
      </w:r>
    </w:p>
    <w:p>
      <w:pPr>
        <w:pStyle w:val="90"/>
        <w:ind w:firstLine="5600" w:firstLineChars="2000"/>
        <w:rPr>
          <w:rFonts w:ascii="仿宋" w:hAnsi="仿宋" w:eastAsia="仿宋" w:cs="仿宋"/>
          <w:color w:val="000000"/>
          <w:sz w:val="28"/>
          <w:szCs w:val="28"/>
        </w:rPr>
      </w:pPr>
      <w:r>
        <w:rPr>
          <w:rFonts w:hint="eastAsia" w:ascii="仿宋" w:hAnsi="仿宋" w:eastAsia="仿宋" w:cs="仿宋"/>
          <w:color w:val="000000"/>
          <w:sz w:val="28"/>
          <w:szCs w:val="28"/>
        </w:rPr>
        <w:t>日期：</w:t>
      </w: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autoSpaceDN w:val="0"/>
        <w:spacing w:line="540" w:lineRule="exact"/>
        <w:ind w:firstLine="600"/>
        <w:textAlignment w:val="center"/>
        <w:rPr>
          <w:rFonts w:hint="eastAsia" w:ascii="仿宋" w:hAnsi="仿宋" w:eastAsia="仿宋" w:cs="仿宋"/>
          <w:b/>
          <w:color w:val="000000"/>
          <w:sz w:val="28"/>
          <w:szCs w:val="28"/>
        </w:rPr>
      </w:pPr>
    </w:p>
    <w:p>
      <w:pPr>
        <w:jc w:val="center"/>
        <w:rPr>
          <w:rFonts w:hint="eastAsia" w:ascii="仿宋" w:hAnsi="仿宋" w:eastAsia="仿宋"/>
          <w:b/>
          <w:bCs/>
          <w:sz w:val="32"/>
          <w:szCs w:val="32"/>
        </w:rPr>
      </w:pPr>
      <w:r>
        <w:rPr>
          <w:rFonts w:hint="eastAsia" w:ascii="仿宋" w:hAnsi="仿宋" w:eastAsia="仿宋"/>
          <w:b/>
          <w:bCs/>
          <w:sz w:val="32"/>
          <w:szCs w:val="32"/>
        </w:rPr>
        <w:t>9、商务</w:t>
      </w:r>
      <w:r>
        <w:rPr>
          <w:rFonts w:ascii="仿宋" w:hAnsi="仿宋" w:eastAsia="仿宋"/>
          <w:b/>
          <w:bCs/>
          <w:sz w:val="32"/>
          <w:szCs w:val="32"/>
        </w:rPr>
        <w:t>偏</w:t>
      </w:r>
      <w:r>
        <w:rPr>
          <w:rFonts w:hint="eastAsia" w:ascii="仿宋" w:hAnsi="仿宋" w:eastAsia="仿宋"/>
          <w:b/>
          <w:bCs/>
          <w:sz w:val="32"/>
          <w:szCs w:val="32"/>
        </w:rPr>
        <w:t>离</w:t>
      </w:r>
      <w:r>
        <w:rPr>
          <w:rFonts w:ascii="仿宋" w:hAnsi="仿宋" w:eastAsia="仿宋"/>
          <w:b/>
          <w:bCs/>
          <w:sz w:val="32"/>
          <w:szCs w:val="32"/>
        </w:rPr>
        <w:t>表</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224"/>
        <w:gridCol w:w="2827"/>
        <w:gridCol w:w="2834"/>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序号</w:t>
            </w:r>
          </w:p>
        </w:tc>
        <w:tc>
          <w:tcPr>
            <w:tcW w:w="1224"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条款号</w:t>
            </w:r>
          </w:p>
        </w:tc>
        <w:tc>
          <w:tcPr>
            <w:tcW w:w="2827"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原条款内容</w:t>
            </w:r>
          </w:p>
        </w:tc>
        <w:tc>
          <w:tcPr>
            <w:tcW w:w="2834"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建议修改后条款内容</w:t>
            </w:r>
          </w:p>
        </w:tc>
        <w:tc>
          <w:tcPr>
            <w:tcW w:w="1271"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备注说明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w:t>
            </w:r>
          </w:p>
        </w:tc>
        <w:tc>
          <w:tcPr>
            <w:tcW w:w="1224"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w:t>
            </w:r>
          </w:p>
        </w:tc>
        <w:tc>
          <w:tcPr>
            <w:tcW w:w="2827"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w:t>
            </w:r>
          </w:p>
        </w:tc>
        <w:tc>
          <w:tcPr>
            <w:tcW w:w="2834"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w:t>
            </w:r>
          </w:p>
        </w:tc>
        <w:tc>
          <w:tcPr>
            <w:tcW w:w="1271" w:type="dxa"/>
            <w:noWrap w:val="0"/>
            <w:vAlign w:val="center"/>
          </w:tcPr>
          <w:p>
            <w:pPr>
              <w:jc w:val="center"/>
              <w:rPr>
                <w:rFonts w:hint="eastAsia" w:ascii="仿宋" w:hAnsi="仿宋" w:eastAsia="仿宋" w:cs="仿宋"/>
                <w:sz w:val="28"/>
                <w:szCs w:val="28"/>
              </w:rPr>
            </w:pPr>
          </w:p>
        </w:tc>
      </w:tr>
    </w:tbl>
    <w:p>
      <w:pPr>
        <w:rPr>
          <w:rFonts w:hint="eastAsia" w:ascii="仿宋" w:hAnsi="仿宋" w:eastAsia="仿宋"/>
          <w:sz w:val="28"/>
          <w:szCs w:val="28"/>
        </w:rPr>
      </w:pPr>
    </w:p>
    <w:p>
      <w:pPr>
        <w:spacing w:line="400" w:lineRule="exact"/>
        <w:rPr>
          <w:rFonts w:hint="eastAsia" w:ascii="仿宋" w:hAnsi="仿宋" w:eastAsia="仿宋"/>
          <w:sz w:val="28"/>
          <w:szCs w:val="28"/>
        </w:rPr>
      </w:pPr>
      <w:r>
        <w:rPr>
          <w:rFonts w:hint="eastAsia" w:ascii="仿宋" w:hAnsi="仿宋" w:eastAsia="仿宋"/>
          <w:sz w:val="28"/>
          <w:szCs w:val="28"/>
        </w:rPr>
        <w:t>编制要求：</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1、供应商应按顺序将建议的非实质修改的内容填入文件响应偏差表中；</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2、供应商对招标文件的不接受或修改将影响其投标的相对竞争能力；</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3、除本偏差表中所列出的偏差外，视为供应商完全响应招标文件的其他内容。</w:t>
      </w:r>
    </w:p>
    <w:p>
      <w:pPr>
        <w:spacing w:line="400" w:lineRule="exact"/>
        <w:ind w:firstLine="560" w:firstLineChars="200"/>
        <w:rPr>
          <w:rFonts w:hint="eastAsia" w:ascii="仿宋" w:hAnsi="仿宋" w:eastAsia="仿宋"/>
          <w:sz w:val="28"/>
          <w:szCs w:val="28"/>
        </w:rPr>
      </w:pPr>
    </w:p>
    <w:p>
      <w:pPr>
        <w:spacing w:line="400" w:lineRule="exact"/>
        <w:ind w:firstLine="560" w:firstLineChars="200"/>
        <w:rPr>
          <w:rFonts w:hint="eastAsia" w:ascii="仿宋" w:hAnsi="仿宋" w:eastAsia="仿宋"/>
          <w:sz w:val="28"/>
          <w:szCs w:val="28"/>
        </w:rPr>
      </w:pPr>
    </w:p>
    <w:p>
      <w:pPr>
        <w:spacing w:line="400" w:lineRule="exact"/>
        <w:ind w:firstLine="560" w:firstLineChars="200"/>
        <w:rPr>
          <w:rFonts w:hint="eastAsia" w:ascii="仿宋" w:hAnsi="仿宋" w:eastAsia="仿宋"/>
          <w:sz w:val="28"/>
          <w:szCs w:val="28"/>
        </w:rPr>
      </w:pPr>
    </w:p>
    <w:p>
      <w:pPr>
        <w:spacing w:line="360" w:lineRule="auto"/>
        <w:ind w:firstLine="4760" w:firstLineChars="1700"/>
        <w:rPr>
          <w:rFonts w:hint="eastAsia" w:ascii="仿宋" w:hAnsi="仿宋" w:eastAsia="仿宋" w:cs="仿宋"/>
          <w:sz w:val="28"/>
          <w:szCs w:val="28"/>
          <w:u w:val="single"/>
        </w:rPr>
      </w:pPr>
      <w:r>
        <w:rPr>
          <w:rFonts w:hint="eastAsia" w:ascii="仿宋" w:hAnsi="仿宋" w:eastAsia="仿宋" w:cs="仿宋"/>
          <w:sz w:val="28"/>
          <w:szCs w:val="28"/>
        </w:rPr>
        <w:t>投标人 （盖章）：</w:t>
      </w:r>
      <w:r>
        <w:rPr>
          <w:rFonts w:hint="eastAsia" w:ascii="仿宋" w:hAnsi="仿宋" w:eastAsia="仿宋" w:cs="仿宋"/>
          <w:sz w:val="28"/>
          <w:szCs w:val="28"/>
          <w:u w:val="single"/>
        </w:rPr>
        <w:t xml:space="preserve">                         </w:t>
      </w:r>
    </w:p>
    <w:p>
      <w:pPr>
        <w:spacing w:line="360" w:lineRule="auto"/>
        <w:ind w:firstLine="2520" w:firstLineChars="900"/>
        <w:rPr>
          <w:rFonts w:hint="eastAsia" w:ascii="仿宋" w:hAnsi="仿宋" w:eastAsia="仿宋" w:cs="仿宋"/>
          <w:sz w:val="28"/>
          <w:szCs w:val="28"/>
        </w:rPr>
      </w:pPr>
      <w:r>
        <w:rPr>
          <w:rFonts w:hint="eastAsia" w:ascii="仿宋" w:hAnsi="仿宋" w:eastAsia="仿宋" w:cs="仿宋"/>
          <w:sz w:val="28"/>
          <w:szCs w:val="28"/>
        </w:rPr>
        <w:t>法定代表人或授权代表人（签章）：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040" w:firstLineChars="1800"/>
        <w:rPr>
          <w:rFonts w:hint="eastAsia" w:ascii="宋体" w:hAnsi="宋体" w:cs="宋体"/>
          <w:sz w:val="24"/>
        </w:rPr>
      </w:pPr>
      <w:r>
        <w:rPr>
          <w:rFonts w:hint="eastAsia" w:ascii="仿宋" w:hAnsi="仿宋" w:eastAsia="仿宋" w:cs="仿宋"/>
          <w:sz w:val="28"/>
          <w:szCs w:val="28"/>
        </w:rPr>
        <w:t xml:space="preserve">年     月     日  </w:t>
      </w: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10、投标人认为需补充的其它资料或说明</w:t>
      </w: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rPr>
      </w:pPr>
      <w:r>
        <w:rPr>
          <w:rFonts w:hint="eastAsia" w:ascii="仿宋" w:hAnsi="仿宋" w:eastAsia="仿宋" w:cs="仿宋"/>
          <w:b/>
          <w:bCs/>
          <w:sz w:val="32"/>
          <w:szCs w:val="32"/>
        </w:rPr>
        <w:t>（技术文件封皮）</w:t>
      </w:r>
    </w:p>
    <w:p>
      <w:pPr>
        <w:spacing w:line="360" w:lineRule="auto"/>
        <w:jc w:val="right"/>
        <w:rPr>
          <w:rFonts w:hint="eastAsia" w:ascii="仿宋" w:hAnsi="仿宋" w:eastAsia="仿宋" w:cs="仿宋"/>
          <w:b/>
          <w:bCs/>
          <w:kern w:val="1"/>
          <w:sz w:val="36"/>
          <w:szCs w:val="36"/>
        </w:rPr>
      </w:pPr>
    </w:p>
    <w:p>
      <w:pPr>
        <w:spacing w:line="360" w:lineRule="auto"/>
        <w:jc w:val="right"/>
        <w:rPr>
          <w:rFonts w:hint="eastAsia" w:ascii="仿宋" w:hAnsi="仿宋" w:eastAsia="仿宋" w:cs="仿宋"/>
        </w:rPr>
      </w:pPr>
      <w:r>
        <w:rPr>
          <w:rFonts w:hint="eastAsia" w:ascii="仿宋" w:hAnsi="仿宋" w:eastAsia="仿宋" w:cs="仿宋"/>
          <w:b/>
          <w:bCs/>
          <w:kern w:val="1"/>
          <w:sz w:val="36"/>
          <w:szCs w:val="36"/>
        </w:rPr>
        <w:t>正（副）本</w:t>
      </w:r>
    </w:p>
    <w:p>
      <w:pPr>
        <w:spacing w:line="360" w:lineRule="auto"/>
        <w:rPr>
          <w:rFonts w:hint="eastAsia" w:ascii="仿宋" w:hAnsi="仿宋" w:eastAsia="仿宋" w:cs="仿宋"/>
        </w:rPr>
      </w:pPr>
    </w:p>
    <w:p>
      <w:pPr>
        <w:spacing w:line="360" w:lineRule="auto"/>
        <w:jc w:val="center"/>
        <w:rPr>
          <w:rFonts w:hint="eastAsia"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jc w:val="center"/>
        <w:rPr>
          <w:rFonts w:hint="eastAsia" w:ascii="仿宋" w:hAnsi="仿宋" w:eastAsia="仿宋" w:cs="仿宋"/>
          <w:sz w:val="28"/>
          <w:szCs w:val="28"/>
        </w:rPr>
      </w:pPr>
      <w:r>
        <w:rPr>
          <w:rFonts w:hint="eastAsia" w:ascii="仿宋" w:hAnsi="仿宋" w:eastAsia="仿宋" w:cs="仿宋"/>
          <w:b/>
          <w:bCs/>
          <w:sz w:val="72"/>
          <w:szCs w:val="144"/>
        </w:rPr>
        <w:t>技 术 文 件</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投标人地址：</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   月    日</w:t>
      </w:r>
    </w:p>
    <w:p>
      <w:pPr>
        <w:snapToGrid w:val="0"/>
        <w:rPr>
          <w:rFonts w:hint="eastAsia" w:ascii="仿宋_GB2312" w:hAnsi="仿宋" w:eastAsia="仿宋_GB2312"/>
          <w:b/>
          <w:bCs/>
          <w:sz w:val="30"/>
          <w:szCs w:val="30"/>
        </w:rPr>
      </w:pPr>
    </w:p>
    <w:p>
      <w:pPr>
        <w:pStyle w:val="2"/>
        <w:rPr>
          <w:rFonts w:hint="eastAsia" w:ascii="仿宋_GB2312" w:hAnsi="仿宋" w:eastAsia="仿宋_GB2312"/>
          <w:b/>
          <w:bCs/>
          <w:sz w:val="30"/>
          <w:szCs w:val="30"/>
        </w:rPr>
      </w:pPr>
    </w:p>
    <w:p>
      <w:pPr>
        <w:rPr>
          <w:rFonts w:hint="eastAsia"/>
        </w:rPr>
      </w:pPr>
    </w:p>
    <w:p>
      <w:pPr>
        <w:spacing w:line="360" w:lineRule="auto"/>
        <w:jc w:val="center"/>
        <w:rPr>
          <w:rFonts w:hint="eastAsia" w:ascii="宋体" w:hAnsi="宋体" w:cs="宋体"/>
          <w:sz w:val="24"/>
        </w:rPr>
      </w:pPr>
      <w:r>
        <w:rPr>
          <w:rFonts w:hint="eastAsia" w:ascii="仿宋" w:hAnsi="仿宋" w:eastAsia="仿宋" w:cs="仿宋"/>
          <w:b/>
          <w:bCs/>
          <w:sz w:val="32"/>
          <w:szCs w:val="32"/>
        </w:rPr>
        <w:t>1、技术参数响应</w:t>
      </w:r>
    </w:p>
    <w:p>
      <w:pPr>
        <w:pStyle w:val="190"/>
        <w:spacing w:line="440" w:lineRule="exact"/>
        <w:ind w:firstLine="1377" w:firstLineChars="656"/>
        <w:rPr>
          <w:rFonts w:hint="eastAsia" w:ascii="宋体" w:hAnsi="宋体" w:eastAsia="宋体" w:cs="宋体"/>
          <w:sz w:val="21"/>
          <w:szCs w:val="21"/>
        </w:rPr>
      </w:pPr>
    </w:p>
    <w:p>
      <w:pPr>
        <w:spacing w:line="360" w:lineRule="auto"/>
        <w:jc w:val="center"/>
        <w:rPr>
          <w:rFonts w:hint="eastAsia" w:ascii="仿宋" w:hAnsi="仿宋" w:eastAsia="仿宋" w:cs="仿宋"/>
          <w:b/>
          <w:bCs/>
          <w:color w:val="0000FF"/>
          <w:sz w:val="28"/>
          <w:szCs w:val="28"/>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ascii="仿宋" w:hAnsi="仿宋" w:eastAsia="仿宋" w:cs="仿宋"/>
          <w:b/>
          <w:bCs/>
          <w:sz w:val="32"/>
          <w:szCs w:val="32"/>
        </w:rPr>
      </w:pPr>
      <w:r>
        <w:rPr>
          <w:rFonts w:hint="eastAsia" w:ascii="仿宋" w:hAnsi="仿宋" w:eastAsia="仿宋" w:cs="仿宋"/>
          <w:b/>
          <w:bCs/>
          <w:sz w:val="32"/>
          <w:szCs w:val="32"/>
        </w:rPr>
        <w:t>2、商务资质</w:t>
      </w:r>
    </w:p>
    <w:p>
      <w:pPr>
        <w:pStyle w:val="41"/>
        <w:ind w:firstLine="281"/>
        <w:rPr>
          <w:rFonts w:hint="eastAsia" w:ascii="仿宋" w:hAnsi="仿宋" w:eastAsia="仿宋" w:cs="仿宋"/>
          <w:b/>
          <w:bCs/>
          <w:color w:val="0000FF"/>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pStyle w:val="41"/>
        <w:ind w:left="560" w:firstLine="0" w:firstLineChars="0"/>
        <w:rPr>
          <w:rFonts w:hint="eastAsia" w:ascii="仿宋" w:hAnsi="仿宋" w:eastAsia="仿宋" w:cs="仿宋"/>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sz w:val="28"/>
          <w:szCs w:val="28"/>
        </w:rPr>
      </w:pPr>
      <w:r>
        <w:rPr>
          <w:rFonts w:hint="eastAsia" w:ascii="仿宋_GB2312" w:hAnsi="仿宋" w:eastAsia="仿宋_GB2312"/>
          <w:b/>
          <w:sz w:val="32"/>
          <w:szCs w:val="32"/>
        </w:rPr>
        <w:t>3、技术解决方案</w:t>
      </w: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pStyle w:val="41"/>
        <w:ind w:firstLine="210"/>
        <w:rPr>
          <w:rFonts w:hint="eastAsia"/>
        </w:rPr>
      </w:pPr>
    </w:p>
    <w:p>
      <w:pPr>
        <w:pStyle w:val="41"/>
        <w:ind w:firstLine="210"/>
        <w:rPr>
          <w:rFonts w:hint="eastAsia"/>
        </w:rPr>
      </w:pPr>
    </w:p>
    <w:p>
      <w:pPr>
        <w:spacing w:line="360" w:lineRule="auto"/>
        <w:jc w:val="center"/>
        <w:rPr>
          <w:rFonts w:hint="eastAsia" w:ascii="仿宋" w:hAnsi="仿宋" w:eastAsia="仿宋" w:cs="仿宋"/>
          <w:b/>
          <w:sz w:val="32"/>
          <w:szCs w:val="32"/>
        </w:rPr>
      </w:pPr>
    </w:p>
    <w:p>
      <w:pPr>
        <w:pStyle w:val="41"/>
        <w:ind w:firstLine="0" w:firstLineChars="0"/>
        <w:jc w:val="center"/>
        <w:rPr>
          <w:rFonts w:hint="eastAsia"/>
        </w:rPr>
      </w:pPr>
      <w:r>
        <w:rPr>
          <w:rFonts w:hint="eastAsia" w:ascii="仿宋" w:hAnsi="仿宋" w:eastAsia="仿宋" w:cs="仿宋"/>
          <w:b/>
          <w:sz w:val="32"/>
          <w:szCs w:val="32"/>
        </w:rPr>
        <w:t>4、项目实施方案</w:t>
      </w: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5、培训方案</w:t>
      </w: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ind w:left="560"/>
        <w:jc w:val="center"/>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6.备品备件服务供应方案</w:t>
      </w: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pStyle w:val="2"/>
        <w:rPr>
          <w:rFonts w:hint="eastAsia"/>
        </w:rPr>
      </w:pPr>
    </w:p>
    <w:p>
      <w:pPr>
        <w:pStyle w:val="41"/>
        <w:ind w:firstLine="0" w:firstLineChars="0"/>
        <w:rPr>
          <w:rFonts w:hint="eastAsia"/>
        </w:rPr>
      </w:pPr>
    </w:p>
    <w:p>
      <w:pPr>
        <w:ind w:left="560"/>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7</w:t>
      </w:r>
      <w:r>
        <w:rPr>
          <w:rFonts w:hint="eastAsia" w:ascii="仿宋" w:hAnsi="仿宋" w:eastAsia="仿宋" w:cs="仿宋"/>
          <w:b/>
          <w:color w:val="000000"/>
          <w:sz w:val="32"/>
          <w:szCs w:val="32"/>
        </w:rPr>
        <w:t>、售后服务</w:t>
      </w: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pStyle w:val="2"/>
        <w:rPr>
          <w:rFonts w:hint="eastAsia" w:ascii="仿宋_GB2312" w:hAnsi="仿宋" w:eastAsia="仿宋_GB2312"/>
          <w:bCs/>
          <w:color w:val="000000"/>
          <w:szCs w:val="21"/>
        </w:rPr>
      </w:pPr>
    </w:p>
    <w:p>
      <w:pPr>
        <w:rPr>
          <w:rFonts w:hint="eastAsia" w:ascii="仿宋_GB2312" w:hAnsi="仿宋" w:eastAsia="仿宋_GB2312"/>
          <w:bCs/>
          <w:color w:val="000000"/>
          <w:szCs w:val="21"/>
        </w:rPr>
      </w:pPr>
    </w:p>
    <w:p>
      <w:pPr>
        <w:pStyle w:val="2"/>
        <w:rPr>
          <w:rFonts w:hint="eastAsia" w:ascii="仿宋_GB2312" w:hAnsi="仿宋" w:eastAsia="仿宋_GB2312"/>
          <w:bCs/>
          <w:color w:val="000000"/>
          <w:szCs w:val="21"/>
        </w:rPr>
      </w:pPr>
    </w:p>
    <w:p>
      <w:pPr>
        <w:rPr>
          <w:rFonts w:hint="eastAsia" w:ascii="仿宋_GB2312" w:hAnsi="仿宋" w:eastAsia="仿宋_GB2312"/>
          <w:bCs/>
          <w:color w:val="000000"/>
          <w:szCs w:val="21"/>
        </w:rPr>
      </w:pPr>
    </w:p>
    <w:p>
      <w:pPr>
        <w:pStyle w:val="2"/>
        <w:rPr>
          <w:rFonts w:hint="eastAsia" w:ascii="仿宋_GB2312" w:hAnsi="仿宋" w:eastAsia="仿宋_GB2312"/>
          <w:bCs/>
          <w:color w:val="000000"/>
          <w:szCs w:val="21"/>
        </w:rPr>
      </w:pPr>
    </w:p>
    <w:p>
      <w:pPr>
        <w:rPr>
          <w:rFonts w:hint="eastAsia" w:ascii="仿宋_GB2312" w:hAnsi="仿宋" w:eastAsia="仿宋_GB2312"/>
          <w:bCs/>
          <w:color w:val="000000"/>
          <w:szCs w:val="21"/>
        </w:rPr>
      </w:pPr>
    </w:p>
    <w:p>
      <w:pPr>
        <w:pStyle w:val="2"/>
        <w:rPr>
          <w:rFonts w:hint="eastAsia" w:ascii="仿宋_GB2312" w:hAnsi="仿宋" w:eastAsia="仿宋_GB2312"/>
          <w:bCs/>
          <w:color w:val="000000"/>
          <w:szCs w:val="21"/>
        </w:rPr>
      </w:pPr>
    </w:p>
    <w:p>
      <w:pPr>
        <w:rPr>
          <w:rFonts w:hint="eastAsia"/>
        </w:rPr>
      </w:pPr>
      <w:bookmarkStart w:id="12" w:name="_GoBack"/>
      <w:bookmarkEnd w:id="12"/>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8</w:t>
      </w:r>
      <w:r>
        <w:rPr>
          <w:rFonts w:hint="eastAsia" w:ascii="仿宋" w:hAnsi="仿宋" w:eastAsia="仿宋" w:cs="仿宋"/>
          <w:b/>
          <w:color w:val="000000"/>
          <w:sz w:val="32"/>
          <w:szCs w:val="32"/>
        </w:rPr>
        <w:t>、投标人认为需补充的其它资料或说明</w:t>
      </w:r>
    </w:p>
    <w:p>
      <w:pPr>
        <w:spacing w:line="360" w:lineRule="auto"/>
        <w:rPr>
          <w:rFonts w:hint="eastAsia" w:ascii="仿宋_GB2312" w:hAnsi="仿宋" w:eastAsia="仿宋_GB2312"/>
          <w:bCs/>
          <w:sz w:val="28"/>
          <w:szCs w:val="28"/>
        </w:rPr>
      </w:pPr>
    </w:p>
    <w:sectPr>
      <w:footerReference r:id="rId8" w:type="default"/>
      <w:footerReference r:id="rId9" w:type="even"/>
      <w:pgSz w:w="11906" w:h="16838"/>
      <w:pgMar w:top="2098"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长城仿宋">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firstLineChars="200"/>
      <w:jc w:val="both"/>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00970"/>
    <w:multiLevelType w:val="singleLevel"/>
    <w:tmpl w:val="87500970"/>
    <w:lvl w:ilvl="0" w:tentative="0">
      <w:start w:val="3"/>
      <w:numFmt w:val="chineseCounting"/>
      <w:suff w:val="space"/>
      <w:lvlText w:val="第%1部分"/>
      <w:lvlJc w:val="left"/>
      <w:rPr>
        <w:rFonts w:hint="eastAsia" w:ascii="仿宋" w:hAnsi="仿宋" w:eastAsia="仿宋" w:cs="仿宋"/>
        <w:sz w:val="36"/>
        <w:szCs w:val="36"/>
      </w:rPr>
    </w:lvl>
  </w:abstractNum>
  <w:abstractNum w:abstractNumId="1">
    <w:nsid w:val="00000010"/>
    <w:multiLevelType w:val="multilevel"/>
    <w:tmpl w:val="00000010"/>
    <w:lvl w:ilvl="0" w:tentative="0">
      <w:start w:val="1"/>
      <w:numFmt w:val="japaneseCounting"/>
      <w:lvlText w:val="第%1条"/>
      <w:lvlJc w:val="left"/>
      <w:pPr>
        <w:tabs>
          <w:tab w:val="left" w:pos="1800"/>
        </w:tabs>
        <w:ind w:left="1800" w:hanging="1200"/>
      </w:pPr>
      <w:rPr>
        <w:rFonts w:hint="eastAsia" w:ascii="仿宋" w:hAnsi="仿宋" w:eastAsia="仿宋" w:cs="仿宋"/>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
    <w:nsid w:val="16C0CF30"/>
    <w:multiLevelType w:val="singleLevel"/>
    <w:tmpl w:val="16C0CF30"/>
    <w:lvl w:ilvl="0" w:tentative="0">
      <w:start w:val="1"/>
      <w:numFmt w:val="decimal"/>
      <w:suff w:val="nothing"/>
      <w:lvlText w:val="%1、"/>
      <w:lvlJc w:val="left"/>
    </w:lvl>
  </w:abstractNum>
  <w:abstractNum w:abstractNumId="3">
    <w:nsid w:val="27E07213"/>
    <w:multiLevelType w:val="multilevel"/>
    <w:tmpl w:val="27E07213"/>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29C2F82A"/>
    <w:multiLevelType w:val="singleLevel"/>
    <w:tmpl w:val="29C2F82A"/>
    <w:lvl w:ilvl="0" w:tentative="0">
      <w:start w:val="1"/>
      <w:numFmt w:val="decimal"/>
      <w:suff w:val="nothing"/>
      <w:lvlText w:val="%1、"/>
      <w:lvlJc w:val="left"/>
      <w:pPr>
        <w:ind w:left="560" w:firstLine="0"/>
      </w:pPr>
    </w:lvl>
  </w:abstractNum>
  <w:abstractNum w:abstractNumId="5">
    <w:nsid w:val="2B4CE246"/>
    <w:multiLevelType w:val="singleLevel"/>
    <w:tmpl w:val="2B4CE246"/>
    <w:lvl w:ilvl="0" w:tentative="0">
      <w:start w:val="1"/>
      <w:numFmt w:val="decimal"/>
      <w:suff w:val="nothing"/>
      <w:lvlText w:val="%1、"/>
      <w:lvlJc w:val="left"/>
    </w:lvl>
  </w:abstractNum>
  <w:abstractNum w:abstractNumId="6">
    <w:nsid w:val="408C0706"/>
    <w:multiLevelType w:val="multilevel"/>
    <w:tmpl w:val="408C0706"/>
    <w:lvl w:ilvl="0" w:tentative="0">
      <w:start w:val="1"/>
      <w:numFmt w:val="bullet"/>
      <w:pStyle w:val="176"/>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20C153B"/>
    <w:multiLevelType w:val="multilevel"/>
    <w:tmpl w:val="420C153B"/>
    <w:lvl w:ilvl="0" w:tentative="0">
      <w:start w:val="1"/>
      <w:numFmt w:val="decimal"/>
      <w:pStyle w:val="13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0435C95"/>
    <w:multiLevelType w:val="singleLevel"/>
    <w:tmpl w:val="50435C95"/>
    <w:lvl w:ilvl="0" w:tentative="0">
      <w:start w:val="1"/>
      <w:numFmt w:val="decimal"/>
      <w:pStyle w:val="177"/>
      <w:lvlText w:val="图%1. "/>
      <w:lvlJc w:val="left"/>
      <w:pPr>
        <w:tabs>
          <w:tab w:val="left" w:pos="777"/>
        </w:tabs>
        <w:ind w:left="777" w:hanging="420"/>
      </w:pPr>
      <w:rPr>
        <w:lang w:val="en-US"/>
      </w:rPr>
    </w:lvl>
  </w:abstractNum>
  <w:abstractNum w:abstractNumId="9">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126"/>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49D3A70"/>
    <w:multiLevelType w:val="singleLevel"/>
    <w:tmpl w:val="649D3A70"/>
    <w:lvl w:ilvl="0" w:tentative="0">
      <w:start w:val="6"/>
      <w:numFmt w:val="chineseCounting"/>
      <w:suff w:val="space"/>
      <w:lvlText w:val="第%1部分"/>
      <w:lvlJc w:val="left"/>
      <w:rPr>
        <w:rFonts w:hint="eastAsia"/>
      </w:rPr>
    </w:lvl>
  </w:abstractNum>
  <w:abstractNum w:abstractNumId="11">
    <w:nsid w:val="762B62B8"/>
    <w:multiLevelType w:val="singleLevel"/>
    <w:tmpl w:val="762B62B8"/>
    <w:lvl w:ilvl="0" w:tentative="0">
      <w:start w:val="6"/>
      <w:numFmt w:val="decimal"/>
      <w:suff w:val="nothing"/>
      <w:lvlText w:val="%1、"/>
      <w:lvlJc w:val="left"/>
    </w:lvl>
  </w:abstractNum>
  <w:abstractNum w:abstractNumId="12">
    <w:nsid w:val="76738217"/>
    <w:multiLevelType w:val="singleLevel"/>
    <w:tmpl w:val="76738217"/>
    <w:lvl w:ilvl="0" w:tentative="0">
      <w:start w:val="2"/>
      <w:numFmt w:val="chineseCounting"/>
      <w:suff w:val="nothing"/>
      <w:lvlText w:val="（%1）"/>
      <w:lvlJc w:val="left"/>
      <w:rPr>
        <w:rFonts w:hint="eastAsia"/>
      </w:rPr>
    </w:lvl>
  </w:abstractNum>
  <w:num w:numId="1">
    <w:abstractNumId w:val="3"/>
  </w:num>
  <w:num w:numId="2">
    <w:abstractNumId w:val="9"/>
  </w:num>
  <w:num w:numId="3">
    <w:abstractNumId w:val="7"/>
  </w:num>
  <w:num w:numId="4">
    <w:abstractNumId w:val="6"/>
  </w:num>
  <w:num w:numId="5">
    <w:abstractNumId w:val="8"/>
  </w:num>
  <w:num w:numId="6">
    <w:abstractNumId w:val="5"/>
  </w:num>
  <w:num w:numId="7">
    <w:abstractNumId w:val="11"/>
  </w:num>
  <w:num w:numId="8">
    <w:abstractNumId w:val="4"/>
  </w:num>
  <w:num w:numId="9">
    <w:abstractNumId w:val="12"/>
  </w:num>
  <w:num w:numId="10">
    <w:abstractNumId w:val="0"/>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M2QyOGVkOGIzOTRlM2Y3NzEwMTRmNjllMDcyYjEifQ=="/>
  </w:docVars>
  <w:rsids>
    <w:rsidRoot w:val="00617726"/>
    <w:rsid w:val="0000090B"/>
    <w:rsid w:val="00002ABC"/>
    <w:rsid w:val="00002C1B"/>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10C5"/>
    <w:rsid w:val="00081CD3"/>
    <w:rsid w:val="000831C5"/>
    <w:rsid w:val="00083548"/>
    <w:rsid w:val="00084035"/>
    <w:rsid w:val="00084891"/>
    <w:rsid w:val="00086611"/>
    <w:rsid w:val="000905E6"/>
    <w:rsid w:val="00091FF3"/>
    <w:rsid w:val="00092670"/>
    <w:rsid w:val="00092B07"/>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406D"/>
    <w:rsid w:val="000C41AD"/>
    <w:rsid w:val="000C46B4"/>
    <w:rsid w:val="000C4A27"/>
    <w:rsid w:val="000C4A9D"/>
    <w:rsid w:val="000C5BCE"/>
    <w:rsid w:val="000C5C6E"/>
    <w:rsid w:val="000C5DA5"/>
    <w:rsid w:val="000C5E6F"/>
    <w:rsid w:val="000C6614"/>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3BF4"/>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EA1"/>
    <w:rsid w:val="001C0042"/>
    <w:rsid w:val="001C0C0D"/>
    <w:rsid w:val="001C142F"/>
    <w:rsid w:val="001C23F9"/>
    <w:rsid w:val="001C24D8"/>
    <w:rsid w:val="001C2A29"/>
    <w:rsid w:val="001C2B75"/>
    <w:rsid w:val="001C2F08"/>
    <w:rsid w:val="001C37F6"/>
    <w:rsid w:val="001C4EF0"/>
    <w:rsid w:val="001C51DA"/>
    <w:rsid w:val="001C5AB8"/>
    <w:rsid w:val="001D040D"/>
    <w:rsid w:val="001D08F0"/>
    <w:rsid w:val="001D1661"/>
    <w:rsid w:val="001D1CCB"/>
    <w:rsid w:val="001D47CD"/>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1B5"/>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2D60"/>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3107"/>
    <w:rsid w:val="00273A42"/>
    <w:rsid w:val="00274F87"/>
    <w:rsid w:val="00274F8F"/>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74A"/>
    <w:rsid w:val="00296B03"/>
    <w:rsid w:val="00296E2E"/>
    <w:rsid w:val="0029741F"/>
    <w:rsid w:val="00297CAD"/>
    <w:rsid w:val="002A04A8"/>
    <w:rsid w:val="002A0A94"/>
    <w:rsid w:val="002A3770"/>
    <w:rsid w:val="002A39D3"/>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2039C"/>
    <w:rsid w:val="00322722"/>
    <w:rsid w:val="00322A50"/>
    <w:rsid w:val="00322A96"/>
    <w:rsid w:val="003234A3"/>
    <w:rsid w:val="00323E7B"/>
    <w:rsid w:val="00324618"/>
    <w:rsid w:val="003248C9"/>
    <w:rsid w:val="00325E5B"/>
    <w:rsid w:val="0032713D"/>
    <w:rsid w:val="003271DC"/>
    <w:rsid w:val="003279D4"/>
    <w:rsid w:val="003303E0"/>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6B12"/>
    <w:rsid w:val="003A7B2C"/>
    <w:rsid w:val="003B0A44"/>
    <w:rsid w:val="003B0BB5"/>
    <w:rsid w:val="003B1204"/>
    <w:rsid w:val="003B14E9"/>
    <w:rsid w:val="003B225B"/>
    <w:rsid w:val="003B36C2"/>
    <w:rsid w:val="003B38DA"/>
    <w:rsid w:val="003B6855"/>
    <w:rsid w:val="003B69C1"/>
    <w:rsid w:val="003B6E33"/>
    <w:rsid w:val="003B74B6"/>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66F"/>
    <w:rsid w:val="004007D7"/>
    <w:rsid w:val="00402E09"/>
    <w:rsid w:val="004031DF"/>
    <w:rsid w:val="004033C5"/>
    <w:rsid w:val="00403D10"/>
    <w:rsid w:val="00403F07"/>
    <w:rsid w:val="00405650"/>
    <w:rsid w:val="00406178"/>
    <w:rsid w:val="00406834"/>
    <w:rsid w:val="00407B24"/>
    <w:rsid w:val="00407E90"/>
    <w:rsid w:val="0041000F"/>
    <w:rsid w:val="00410E4E"/>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6F3D"/>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125D"/>
    <w:rsid w:val="00571B22"/>
    <w:rsid w:val="00571DCB"/>
    <w:rsid w:val="0057209C"/>
    <w:rsid w:val="005728B3"/>
    <w:rsid w:val="005733EE"/>
    <w:rsid w:val="005739DB"/>
    <w:rsid w:val="00573F55"/>
    <w:rsid w:val="0057497B"/>
    <w:rsid w:val="005757BA"/>
    <w:rsid w:val="00576283"/>
    <w:rsid w:val="00577122"/>
    <w:rsid w:val="00577DE1"/>
    <w:rsid w:val="00580D4C"/>
    <w:rsid w:val="00581D0A"/>
    <w:rsid w:val="00581D67"/>
    <w:rsid w:val="00583A3D"/>
    <w:rsid w:val="0058501C"/>
    <w:rsid w:val="005850C3"/>
    <w:rsid w:val="00585108"/>
    <w:rsid w:val="005862CD"/>
    <w:rsid w:val="00586DDB"/>
    <w:rsid w:val="005870D6"/>
    <w:rsid w:val="00587623"/>
    <w:rsid w:val="00590A04"/>
    <w:rsid w:val="0059112A"/>
    <w:rsid w:val="00591588"/>
    <w:rsid w:val="00592732"/>
    <w:rsid w:val="00592E48"/>
    <w:rsid w:val="0059303C"/>
    <w:rsid w:val="0059558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A7A20"/>
    <w:rsid w:val="005B04DA"/>
    <w:rsid w:val="005B09DE"/>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91"/>
    <w:rsid w:val="006042C5"/>
    <w:rsid w:val="00604C8C"/>
    <w:rsid w:val="006060F9"/>
    <w:rsid w:val="00607040"/>
    <w:rsid w:val="00607A98"/>
    <w:rsid w:val="00610C48"/>
    <w:rsid w:val="00610F5B"/>
    <w:rsid w:val="0061144C"/>
    <w:rsid w:val="00611EB0"/>
    <w:rsid w:val="00612457"/>
    <w:rsid w:val="00612586"/>
    <w:rsid w:val="006135F4"/>
    <w:rsid w:val="00614004"/>
    <w:rsid w:val="0061455F"/>
    <w:rsid w:val="00615997"/>
    <w:rsid w:val="006168CC"/>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D56"/>
    <w:rsid w:val="0064289F"/>
    <w:rsid w:val="00642E32"/>
    <w:rsid w:val="00643BE1"/>
    <w:rsid w:val="0064417B"/>
    <w:rsid w:val="00644333"/>
    <w:rsid w:val="00645F60"/>
    <w:rsid w:val="006468D1"/>
    <w:rsid w:val="00647B80"/>
    <w:rsid w:val="006510FD"/>
    <w:rsid w:val="00651145"/>
    <w:rsid w:val="00651A1D"/>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2F0"/>
    <w:rsid w:val="006974C5"/>
    <w:rsid w:val="0069776A"/>
    <w:rsid w:val="00697985"/>
    <w:rsid w:val="006A04D7"/>
    <w:rsid w:val="006A1A22"/>
    <w:rsid w:val="006A2112"/>
    <w:rsid w:val="006A22DE"/>
    <w:rsid w:val="006A249D"/>
    <w:rsid w:val="006A28E3"/>
    <w:rsid w:val="006A39BA"/>
    <w:rsid w:val="006A4663"/>
    <w:rsid w:val="006A4D61"/>
    <w:rsid w:val="006A5575"/>
    <w:rsid w:val="006A568D"/>
    <w:rsid w:val="006A5716"/>
    <w:rsid w:val="006A731A"/>
    <w:rsid w:val="006B02F8"/>
    <w:rsid w:val="006B0658"/>
    <w:rsid w:val="006B07F8"/>
    <w:rsid w:val="006B098E"/>
    <w:rsid w:val="006B0C47"/>
    <w:rsid w:val="006B0D60"/>
    <w:rsid w:val="006B1F38"/>
    <w:rsid w:val="006B25F8"/>
    <w:rsid w:val="006B2B3E"/>
    <w:rsid w:val="006B45B7"/>
    <w:rsid w:val="006B4C4A"/>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D7A34"/>
    <w:rsid w:val="006E03F0"/>
    <w:rsid w:val="006E058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565B"/>
    <w:rsid w:val="007B5C9D"/>
    <w:rsid w:val="007B5CC9"/>
    <w:rsid w:val="007B667E"/>
    <w:rsid w:val="007B7D16"/>
    <w:rsid w:val="007C0400"/>
    <w:rsid w:val="007C13FE"/>
    <w:rsid w:val="007C28D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45B5"/>
    <w:rsid w:val="00894778"/>
    <w:rsid w:val="00895660"/>
    <w:rsid w:val="0089614A"/>
    <w:rsid w:val="00896B9F"/>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5FD0"/>
    <w:rsid w:val="009162BF"/>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DF"/>
    <w:rsid w:val="00930AE6"/>
    <w:rsid w:val="00930C44"/>
    <w:rsid w:val="00932147"/>
    <w:rsid w:val="00932A7E"/>
    <w:rsid w:val="00932C7B"/>
    <w:rsid w:val="009330FE"/>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E5D"/>
    <w:rsid w:val="00967372"/>
    <w:rsid w:val="00970F02"/>
    <w:rsid w:val="00970FC3"/>
    <w:rsid w:val="00971807"/>
    <w:rsid w:val="00971940"/>
    <w:rsid w:val="00971AC6"/>
    <w:rsid w:val="00971DB5"/>
    <w:rsid w:val="009724C8"/>
    <w:rsid w:val="00972642"/>
    <w:rsid w:val="00973A55"/>
    <w:rsid w:val="009755A1"/>
    <w:rsid w:val="009760DC"/>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3448"/>
    <w:rsid w:val="009B3F0B"/>
    <w:rsid w:val="009B43BB"/>
    <w:rsid w:val="009B638F"/>
    <w:rsid w:val="009B7082"/>
    <w:rsid w:val="009B7EBC"/>
    <w:rsid w:val="009C0136"/>
    <w:rsid w:val="009C1296"/>
    <w:rsid w:val="009C2616"/>
    <w:rsid w:val="009C2BA2"/>
    <w:rsid w:val="009C3570"/>
    <w:rsid w:val="009C3E71"/>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2020"/>
    <w:rsid w:val="00A025B0"/>
    <w:rsid w:val="00A02A55"/>
    <w:rsid w:val="00A032AD"/>
    <w:rsid w:val="00A03C73"/>
    <w:rsid w:val="00A044F4"/>
    <w:rsid w:val="00A045A9"/>
    <w:rsid w:val="00A04C8F"/>
    <w:rsid w:val="00A063D5"/>
    <w:rsid w:val="00A06D67"/>
    <w:rsid w:val="00A06DD9"/>
    <w:rsid w:val="00A072C4"/>
    <w:rsid w:val="00A1022B"/>
    <w:rsid w:val="00A115BE"/>
    <w:rsid w:val="00A11DCF"/>
    <w:rsid w:val="00A11E7B"/>
    <w:rsid w:val="00A11F69"/>
    <w:rsid w:val="00A1234A"/>
    <w:rsid w:val="00A12898"/>
    <w:rsid w:val="00A12C36"/>
    <w:rsid w:val="00A131B4"/>
    <w:rsid w:val="00A13908"/>
    <w:rsid w:val="00A1406F"/>
    <w:rsid w:val="00A141AA"/>
    <w:rsid w:val="00A14B10"/>
    <w:rsid w:val="00A14FD3"/>
    <w:rsid w:val="00A2011E"/>
    <w:rsid w:val="00A205FB"/>
    <w:rsid w:val="00A211DE"/>
    <w:rsid w:val="00A22362"/>
    <w:rsid w:val="00A22667"/>
    <w:rsid w:val="00A22900"/>
    <w:rsid w:val="00A25763"/>
    <w:rsid w:val="00A25AE0"/>
    <w:rsid w:val="00A2759E"/>
    <w:rsid w:val="00A27E7C"/>
    <w:rsid w:val="00A303AD"/>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292"/>
    <w:rsid w:val="00A70671"/>
    <w:rsid w:val="00A70D24"/>
    <w:rsid w:val="00A71A98"/>
    <w:rsid w:val="00A71AB6"/>
    <w:rsid w:val="00A71F21"/>
    <w:rsid w:val="00A72796"/>
    <w:rsid w:val="00A72BF1"/>
    <w:rsid w:val="00A73662"/>
    <w:rsid w:val="00A73827"/>
    <w:rsid w:val="00A7408A"/>
    <w:rsid w:val="00A74545"/>
    <w:rsid w:val="00A74D2F"/>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3874"/>
    <w:rsid w:val="00AF4448"/>
    <w:rsid w:val="00AF44EE"/>
    <w:rsid w:val="00AF595E"/>
    <w:rsid w:val="00AF6F3F"/>
    <w:rsid w:val="00B00F6B"/>
    <w:rsid w:val="00B0152A"/>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29"/>
    <w:rsid w:val="00B95644"/>
    <w:rsid w:val="00B95D7F"/>
    <w:rsid w:val="00B95F60"/>
    <w:rsid w:val="00BA0B6C"/>
    <w:rsid w:val="00BA2C48"/>
    <w:rsid w:val="00BA349F"/>
    <w:rsid w:val="00BA3AD8"/>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5E78"/>
    <w:rsid w:val="00BC5EA8"/>
    <w:rsid w:val="00BC79CB"/>
    <w:rsid w:val="00BD17C5"/>
    <w:rsid w:val="00BD184A"/>
    <w:rsid w:val="00BD1B19"/>
    <w:rsid w:val="00BD4164"/>
    <w:rsid w:val="00BD499A"/>
    <w:rsid w:val="00BD4FE2"/>
    <w:rsid w:val="00BD556E"/>
    <w:rsid w:val="00BD5BB8"/>
    <w:rsid w:val="00BD6A26"/>
    <w:rsid w:val="00BD7846"/>
    <w:rsid w:val="00BE078D"/>
    <w:rsid w:val="00BE0AD4"/>
    <w:rsid w:val="00BE0BA9"/>
    <w:rsid w:val="00BE11FC"/>
    <w:rsid w:val="00BE13D6"/>
    <w:rsid w:val="00BE1641"/>
    <w:rsid w:val="00BE1697"/>
    <w:rsid w:val="00BE170E"/>
    <w:rsid w:val="00BE1C49"/>
    <w:rsid w:val="00BE226A"/>
    <w:rsid w:val="00BE2272"/>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5422"/>
    <w:rsid w:val="00C85729"/>
    <w:rsid w:val="00C85BA9"/>
    <w:rsid w:val="00C901A3"/>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45B"/>
    <w:rsid w:val="00D015EA"/>
    <w:rsid w:val="00D01965"/>
    <w:rsid w:val="00D03086"/>
    <w:rsid w:val="00D03280"/>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591E"/>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B7456"/>
    <w:rsid w:val="00DC10A1"/>
    <w:rsid w:val="00DC11CD"/>
    <w:rsid w:val="00DC158C"/>
    <w:rsid w:val="00DC193B"/>
    <w:rsid w:val="00DC1D7A"/>
    <w:rsid w:val="00DC26CF"/>
    <w:rsid w:val="00DC2B17"/>
    <w:rsid w:val="00DC4142"/>
    <w:rsid w:val="00DC4544"/>
    <w:rsid w:val="00DC4DC8"/>
    <w:rsid w:val="00DD0ACE"/>
    <w:rsid w:val="00DD2A57"/>
    <w:rsid w:val="00DD37A9"/>
    <w:rsid w:val="00DD3815"/>
    <w:rsid w:val="00DD522B"/>
    <w:rsid w:val="00DD5740"/>
    <w:rsid w:val="00DD65BC"/>
    <w:rsid w:val="00DD6A70"/>
    <w:rsid w:val="00DD6BDE"/>
    <w:rsid w:val="00DD7FCB"/>
    <w:rsid w:val="00DE0145"/>
    <w:rsid w:val="00DE0880"/>
    <w:rsid w:val="00DE0EF2"/>
    <w:rsid w:val="00DE1B04"/>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62C"/>
    <w:rsid w:val="00DF484B"/>
    <w:rsid w:val="00DF52CD"/>
    <w:rsid w:val="00DF5756"/>
    <w:rsid w:val="00DF5970"/>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90077"/>
    <w:rsid w:val="00E91340"/>
    <w:rsid w:val="00E91CC1"/>
    <w:rsid w:val="00E91FCA"/>
    <w:rsid w:val="00E928D5"/>
    <w:rsid w:val="00E92C49"/>
    <w:rsid w:val="00E92EED"/>
    <w:rsid w:val="00E93139"/>
    <w:rsid w:val="00E938A7"/>
    <w:rsid w:val="00E938E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4E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E2F"/>
    <w:rsid w:val="00F01F0E"/>
    <w:rsid w:val="00F02BAF"/>
    <w:rsid w:val="00F02BCA"/>
    <w:rsid w:val="00F03233"/>
    <w:rsid w:val="00F033F8"/>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331E"/>
    <w:rsid w:val="00F540EE"/>
    <w:rsid w:val="00F54B2A"/>
    <w:rsid w:val="00F55C8E"/>
    <w:rsid w:val="00F56818"/>
    <w:rsid w:val="00F56D71"/>
    <w:rsid w:val="00F57600"/>
    <w:rsid w:val="00F57855"/>
    <w:rsid w:val="00F578CF"/>
    <w:rsid w:val="00F62D8C"/>
    <w:rsid w:val="00F6351C"/>
    <w:rsid w:val="00F63589"/>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58E7"/>
    <w:rsid w:val="00F75B2B"/>
    <w:rsid w:val="00F76090"/>
    <w:rsid w:val="00F772D5"/>
    <w:rsid w:val="00F803AB"/>
    <w:rsid w:val="00F80CD5"/>
    <w:rsid w:val="00F811C6"/>
    <w:rsid w:val="00F81A6D"/>
    <w:rsid w:val="00F82B3B"/>
    <w:rsid w:val="00F84045"/>
    <w:rsid w:val="00F84C45"/>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4E3A"/>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10B4D7A"/>
    <w:rsid w:val="0157489E"/>
    <w:rsid w:val="01732BA0"/>
    <w:rsid w:val="0237150E"/>
    <w:rsid w:val="024E2AC0"/>
    <w:rsid w:val="027C0CF9"/>
    <w:rsid w:val="02840E42"/>
    <w:rsid w:val="028959D1"/>
    <w:rsid w:val="028A6214"/>
    <w:rsid w:val="028E3AA5"/>
    <w:rsid w:val="02FA1C15"/>
    <w:rsid w:val="03050FE4"/>
    <w:rsid w:val="03632B88"/>
    <w:rsid w:val="03692905"/>
    <w:rsid w:val="03D358A4"/>
    <w:rsid w:val="03F34426"/>
    <w:rsid w:val="03F4210A"/>
    <w:rsid w:val="03F4527E"/>
    <w:rsid w:val="03F854FB"/>
    <w:rsid w:val="03FA4C89"/>
    <w:rsid w:val="0414159E"/>
    <w:rsid w:val="04621DFB"/>
    <w:rsid w:val="047E56F8"/>
    <w:rsid w:val="04924983"/>
    <w:rsid w:val="04DA26C6"/>
    <w:rsid w:val="04F55DEF"/>
    <w:rsid w:val="053B1B62"/>
    <w:rsid w:val="0544756D"/>
    <w:rsid w:val="05663482"/>
    <w:rsid w:val="05715EE4"/>
    <w:rsid w:val="05951943"/>
    <w:rsid w:val="05D45135"/>
    <w:rsid w:val="06590698"/>
    <w:rsid w:val="066268C2"/>
    <w:rsid w:val="06A844AE"/>
    <w:rsid w:val="06A95C53"/>
    <w:rsid w:val="06BA5FFE"/>
    <w:rsid w:val="0721683B"/>
    <w:rsid w:val="07222102"/>
    <w:rsid w:val="07431999"/>
    <w:rsid w:val="07EC5E84"/>
    <w:rsid w:val="08396161"/>
    <w:rsid w:val="0850351E"/>
    <w:rsid w:val="0864312D"/>
    <w:rsid w:val="08E03DFA"/>
    <w:rsid w:val="09007664"/>
    <w:rsid w:val="090E215C"/>
    <w:rsid w:val="09353B35"/>
    <w:rsid w:val="0958614D"/>
    <w:rsid w:val="09817E61"/>
    <w:rsid w:val="09852BBA"/>
    <w:rsid w:val="09894C1A"/>
    <w:rsid w:val="09C27BE6"/>
    <w:rsid w:val="09D91DEE"/>
    <w:rsid w:val="09FF25E4"/>
    <w:rsid w:val="0A052739"/>
    <w:rsid w:val="0A2C39C3"/>
    <w:rsid w:val="0A4D6C89"/>
    <w:rsid w:val="0A533D27"/>
    <w:rsid w:val="0A690233"/>
    <w:rsid w:val="0A9E304F"/>
    <w:rsid w:val="0AB17A25"/>
    <w:rsid w:val="0AB80DB3"/>
    <w:rsid w:val="0ABB5F2F"/>
    <w:rsid w:val="0AC0410C"/>
    <w:rsid w:val="0AC807AA"/>
    <w:rsid w:val="0ACD6240"/>
    <w:rsid w:val="0B5A06F0"/>
    <w:rsid w:val="0B861EEC"/>
    <w:rsid w:val="0BA56504"/>
    <w:rsid w:val="0BA80C97"/>
    <w:rsid w:val="0C0B546B"/>
    <w:rsid w:val="0C0D6FEC"/>
    <w:rsid w:val="0C283604"/>
    <w:rsid w:val="0C2F1D66"/>
    <w:rsid w:val="0C3C3BFE"/>
    <w:rsid w:val="0C9C78EB"/>
    <w:rsid w:val="0CB67574"/>
    <w:rsid w:val="0CD86DA8"/>
    <w:rsid w:val="0CDC26D8"/>
    <w:rsid w:val="0CF11250"/>
    <w:rsid w:val="0D1605E6"/>
    <w:rsid w:val="0D73314D"/>
    <w:rsid w:val="0DE95A31"/>
    <w:rsid w:val="0DF54B0F"/>
    <w:rsid w:val="0E13316B"/>
    <w:rsid w:val="0EA22522"/>
    <w:rsid w:val="0ED37449"/>
    <w:rsid w:val="0ED93CBB"/>
    <w:rsid w:val="0EED7151"/>
    <w:rsid w:val="0EFE6877"/>
    <w:rsid w:val="0F741537"/>
    <w:rsid w:val="0F7839A1"/>
    <w:rsid w:val="0FB75ADD"/>
    <w:rsid w:val="0FD774E3"/>
    <w:rsid w:val="10043091"/>
    <w:rsid w:val="100A5818"/>
    <w:rsid w:val="102A7A83"/>
    <w:rsid w:val="10960973"/>
    <w:rsid w:val="10E142FE"/>
    <w:rsid w:val="11023A7D"/>
    <w:rsid w:val="11080C9F"/>
    <w:rsid w:val="11532580"/>
    <w:rsid w:val="117C073E"/>
    <w:rsid w:val="11987E79"/>
    <w:rsid w:val="11C13097"/>
    <w:rsid w:val="11F9159B"/>
    <w:rsid w:val="120D39A1"/>
    <w:rsid w:val="12321A10"/>
    <w:rsid w:val="124B200D"/>
    <w:rsid w:val="126869A2"/>
    <w:rsid w:val="12B52E46"/>
    <w:rsid w:val="12BB0708"/>
    <w:rsid w:val="12DA719A"/>
    <w:rsid w:val="12F77C0F"/>
    <w:rsid w:val="12FC70FF"/>
    <w:rsid w:val="13233B52"/>
    <w:rsid w:val="13445EE6"/>
    <w:rsid w:val="136A7FEA"/>
    <w:rsid w:val="13A26DA1"/>
    <w:rsid w:val="13C02125"/>
    <w:rsid w:val="13E72EF9"/>
    <w:rsid w:val="14004C89"/>
    <w:rsid w:val="14904B4F"/>
    <w:rsid w:val="14EF173C"/>
    <w:rsid w:val="15300FA3"/>
    <w:rsid w:val="15637ACE"/>
    <w:rsid w:val="156400BB"/>
    <w:rsid w:val="15756398"/>
    <w:rsid w:val="157C5C5E"/>
    <w:rsid w:val="159A64A3"/>
    <w:rsid w:val="15B27BBC"/>
    <w:rsid w:val="15B45A67"/>
    <w:rsid w:val="15C2594D"/>
    <w:rsid w:val="15D25CBC"/>
    <w:rsid w:val="161B69A7"/>
    <w:rsid w:val="16CB1AFB"/>
    <w:rsid w:val="17092FE0"/>
    <w:rsid w:val="170E7811"/>
    <w:rsid w:val="17171474"/>
    <w:rsid w:val="171E46C3"/>
    <w:rsid w:val="17406D7A"/>
    <w:rsid w:val="17863D5E"/>
    <w:rsid w:val="17B8799B"/>
    <w:rsid w:val="17C05958"/>
    <w:rsid w:val="17FE61DB"/>
    <w:rsid w:val="18135F16"/>
    <w:rsid w:val="183A5DB3"/>
    <w:rsid w:val="18474FD7"/>
    <w:rsid w:val="187F133B"/>
    <w:rsid w:val="18986258"/>
    <w:rsid w:val="18A250C1"/>
    <w:rsid w:val="18A86EDA"/>
    <w:rsid w:val="18A97F4F"/>
    <w:rsid w:val="18BB3DDD"/>
    <w:rsid w:val="18C65B8C"/>
    <w:rsid w:val="18E76170"/>
    <w:rsid w:val="193E27F2"/>
    <w:rsid w:val="1945324D"/>
    <w:rsid w:val="1954439D"/>
    <w:rsid w:val="196D39EF"/>
    <w:rsid w:val="197E00EE"/>
    <w:rsid w:val="1988460F"/>
    <w:rsid w:val="198B2D4D"/>
    <w:rsid w:val="19A76BC3"/>
    <w:rsid w:val="19B232C5"/>
    <w:rsid w:val="19B440F5"/>
    <w:rsid w:val="19D40266"/>
    <w:rsid w:val="19EA4FE1"/>
    <w:rsid w:val="1A040EAD"/>
    <w:rsid w:val="1A0630E6"/>
    <w:rsid w:val="1A386F3C"/>
    <w:rsid w:val="1A54324E"/>
    <w:rsid w:val="1A953D4A"/>
    <w:rsid w:val="1AAA7DEF"/>
    <w:rsid w:val="1AE11115"/>
    <w:rsid w:val="1AE67684"/>
    <w:rsid w:val="1AF231D8"/>
    <w:rsid w:val="1B077015"/>
    <w:rsid w:val="1B0B2F79"/>
    <w:rsid w:val="1B3015FF"/>
    <w:rsid w:val="1B4B000E"/>
    <w:rsid w:val="1BA36324"/>
    <w:rsid w:val="1BB175D2"/>
    <w:rsid w:val="1C2051FF"/>
    <w:rsid w:val="1C332DB5"/>
    <w:rsid w:val="1C3B53CC"/>
    <w:rsid w:val="1C471A69"/>
    <w:rsid w:val="1C4E0171"/>
    <w:rsid w:val="1C570CAA"/>
    <w:rsid w:val="1C85455E"/>
    <w:rsid w:val="1CA049A0"/>
    <w:rsid w:val="1CCD7FB8"/>
    <w:rsid w:val="1CCE188A"/>
    <w:rsid w:val="1CDE7E6F"/>
    <w:rsid w:val="1D5D0126"/>
    <w:rsid w:val="1D744DD0"/>
    <w:rsid w:val="1DF11832"/>
    <w:rsid w:val="1E2741B0"/>
    <w:rsid w:val="1E2C11E4"/>
    <w:rsid w:val="1E686EA0"/>
    <w:rsid w:val="1EA1356D"/>
    <w:rsid w:val="1EE275FB"/>
    <w:rsid w:val="1EF40E47"/>
    <w:rsid w:val="1F227577"/>
    <w:rsid w:val="1F3F7E19"/>
    <w:rsid w:val="200921C6"/>
    <w:rsid w:val="205B4AE5"/>
    <w:rsid w:val="206A2A57"/>
    <w:rsid w:val="2085112A"/>
    <w:rsid w:val="20876F6A"/>
    <w:rsid w:val="20C71487"/>
    <w:rsid w:val="20D07BB8"/>
    <w:rsid w:val="213F6409"/>
    <w:rsid w:val="215132DA"/>
    <w:rsid w:val="215C5014"/>
    <w:rsid w:val="21732571"/>
    <w:rsid w:val="21C9797F"/>
    <w:rsid w:val="21DC0D1D"/>
    <w:rsid w:val="21F51342"/>
    <w:rsid w:val="22353D11"/>
    <w:rsid w:val="225334F7"/>
    <w:rsid w:val="22B53DA3"/>
    <w:rsid w:val="23504298"/>
    <w:rsid w:val="23545C91"/>
    <w:rsid w:val="237660AC"/>
    <w:rsid w:val="23785160"/>
    <w:rsid w:val="237F15F2"/>
    <w:rsid w:val="23B927A4"/>
    <w:rsid w:val="23CD058D"/>
    <w:rsid w:val="23CD6CC4"/>
    <w:rsid w:val="23E65557"/>
    <w:rsid w:val="23F11190"/>
    <w:rsid w:val="24033E0C"/>
    <w:rsid w:val="243639C0"/>
    <w:rsid w:val="24372F2F"/>
    <w:rsid w:val="24637887"/>
    <w:rsid w:val="24C4000C"/>
    <w:rsid w:val="24EE7DEC"/>
    <w:rsid w:val="24FD3B3B"/>
    <w:rsid w:val="250F54DC"/>
    <w:rsid w:val="25504DD1"/>
    <w:rsid w:val="25E7571A"/>
    <w:rsid w:val="26242E04"/>
    <w:rsid w:val="262B2929"/>
    <w:rsid w:val="267753E5"/>
    <w:rsid w:val="26917FB6"/>
    <w:rsid w:val="26CD5A57"/>
    <w:rsid w:val="26D64603"/>
    <w:rsid w:val="270A1016"/>
    <w:rsid w:val="27192CF8"/>
    <w:rsid w:val="27511D87"/>
    <w:rsid w:val="27A27692"/>
    <w:rsid w:val="27C74F0A"/>
    <w:rsid w:val="27D5009D"/>
    <w:rsid w:val="27D86803"/>
    <w:rsid w:val="27FD2AFD"/>
    <w:rsid w:val="284168EC"/>
    <w:rsid w:val="286108AF"/>
    <w:rsid w:val="28834922"/>
    <w:rsid w:val="28896AE6"/>
    <w:rsid w:val="28A0195A"/>
    <w:rsid w:val="28CC4AF5"/>
    <w:rsid w:val="28FA4341"/>
    <w:rsid w:val="2941642E"/>
    <w:rsid w:val="294A2C7A"/>
    <w:rsid w:val="298D3392"/>
    <w:rsid w:val="29B511FA"/>
    <w:rsid w:val="2A0D404A"/>
    <w:rsid w:val="2A4C4296"/>
    <w:rsid w:val="2A5C0AF5"/>
    <w:rsid w:val="2A79378C"/>
    <w:rsid w:val="2A8D6E04"/>
    <w:rsid w:val="2A8F4659"/>
    <w:rsid w:val="2AA5157D"/>
    <w:rsid w:val="2AB663EE"/>
    <w:rsid w:val="2ACB73F4"/>
    <w:rsid w:val="2ACC5BE3"/>
    <w:rsid w:val="2B001BCA"/>
    <w:rsid w:val="2B0B1DD6"/>
    <w:rsid w:val="2B2E7AA9"/>
    <w:rsid w:val="2B5E5D40"/>
    <w:rsid w:val="2B852131"/>
    <w:rsid w:val="2B98107F"/>
    <w:rsid w:val="2BAB0694"/>
    <w:rsid w:val="2BAC0E70"/>
    <w:rsid w:val="2BF940CC"/>
    <w:rsid w:val="2BFD4AC4"/>
    <w:rsid w:val="2C165334"/>
    <w:rsid w:val="2C4A5F55"/>
    <w:rsid w:val="2C586D59"/>
    <w:rsid w:val="2C9112A3"/>
    <w:rsid w:val="2CA33956"/>
    <w:rsid w:val="2CC62E08"/>
    <w:rsid w:val="2D226C34"/>
    <w:rsid w:val="2D271F3F"/>
    <w:rsid w:val="2D586DE7"/>
    <w:rsid w:val="2D8600B4"/>
    <w:rsid w:val="2D862719"/>
    <w:rsid w:val="2D923467"/>
    <w:rsid w:val="2D9321FB"/>
    <w:rsid w:val="2DBB081B"/>
    <w:rsid w:val="2DC33953"/>
    <w:rsid w:val="2DC86CB0"/>
    <w:rsid w:val="2E14513C"/>
    <w:rsid w:val="2E3D56ED"/>
    <w:rsid w:val="2ED751A1"/>
    <w:rsid w:val="2F1C5885"/>
    <w:rsid w:val="2F1E4563"/>
    <w:rsid w:val="2F281B82"/>
    <w:rsid w:val="2F4A4B41"/>
    <w:rsid w:val="2F531176"/>
    <w:rsid w:val="2F5E7E80"/>
    <w:rsid w:val="2F927575"/>
    <w:rsid w:val="2FA40E1B"/>
    <w:rsid w:val="2FDB7C97"/>
    <w:rsid w:val="2FEA115F"/>
    <w:rsid w:val="301704CC"/>
    <w:rsid w:val="30192AFC"/>
    <w:rsid w:val="30462D31"/>
    <w:rsid w:val="3061120C"/>
    <w:rsid w:val="306F51F7"/>
    <w:rsid w:val="3073718D"/>
    <w:rsid w:val="3097306D"/>
    <w:rsid w:val="30BD0622"/>
    <w:rsid w:val="30D2475E"/>
    <w:rsid w:val="30F5600E"/>
    <w:rsid w:val="31A60C04"/>
    <w:rsid w:val="31D202DD"/>
    <w:rsid w:val="31DB3455"/>
    <w:rsid w:val="32207719"/>
    <w:rsid w:val="32573AEF"/>
    <w:rsid w:val="327B5398"/>
    <w:rsid w:val="329B5E0B"/>
    <w:rsid w:val="32B46EEF"/>
    <w:rsid w:val="32B55A55"/>
    <w:rsid w:val="32B80222"/>
    <w:rsid w:val="33095FC9"/>
    <w:rsid w:val="336E361B"/>
    <w:rsid w:val="33AF5C25"/>
    <w:rsid w:val="33CB7719"/>
    <w:rsid w:val="33F513F6"/>
    <w:rsid w:val="3413782A"/>
    <w:rsid w:val="34A87D58"/>
    <w:rsid w:val="353734ED"/>
    <w:rsid w:val="358E6444"/>
    <w:rsid w:val="359E3C8B"/>
    <w:rsid w:val="35A80E8C"/>
    <w:rsid w:val="35B75CF2"/>
    <w:rsid w:val="35C61E80"/>
    <w:rsid w:val="35E67A4D"/>
    <w:rsid w:val="35F470A6"/>
    <w:rsid w:val="36071B61"/>
    <w:rsid w:val="36392E40"/>
    <w:rsid w:val="367A6CF0"/>
    <w:rsid w:val="36AA72D0"/>
    <w:rsid w:val="36C24CEE"/>
    <w:rsid w:val="36D33ED0"/>
    <w:rsid w:val="36DD7547"/>
    <w:rsid w:val="36EB6C65"/>
    <w:rsid w:val="37054C5A"/>
    <w:rsid w:val="37445505"/>
    <w:rsid w:val="37517AD0"/>
    <w:rsid w:val="375F76FC"/>
    <w:rsid w:val="37C1283D"/>
    <w:rsid w:val="37DB390E"/>
    <w:rsid w:val="382E0620"/>
    <w:rsid w:val="38A81A2A"/>
    <w:rsid w:val="38C332C5"/>
    <w:rsid w:val="38F06A6F"/>
    <w:rsid w:val="39383086"/>
    <w:rsid w:val="39393661"/>
    <w:rsid w:val="3984443A"/>
    <w:rsid w:val="39EA0D3A"/>
    <w:rsid w:val="3A070B0E"/>
    <w:rsid w:val="3A162D52"/>
    <w:rsid w:val="3A23725E"/>
    <w:rsid w:val="3A442ED2"/>
    <w:rsid w:val="3A7D403F"/>
    <w:rsid w:val="3A996822"/>
    <w:rsid w:val="3ABA206D"/>
    <w:rsid w:val="3AC84E16"/>
    <w:rsid w:val="3AE70B4B"/>
    <w:rsid w:val="3AF404A9"/>
    <w:rsid w:val="3B267505"/>
    <w:rsid w:val="3B6D2EDE"/>
    <w:rsid w:val="3BA1458C"/>
    <w:rsid w:val="3BA17525"/>
    <w:rsid w:val="3BBF770F"/>
    <w:rsid w:val="3BE730A4"/>
    <w:rsid w:val="3C195384"/>
    <w:rsid w:val="3C2E4336"/>
    <w:rsid w:val="3C346AF6"/>
    <w:rsid w:val="3C551C04"/>
    <w:rsid w:val="3C717F45"/>
    <w:rsid w:val="3C850B8E"/>
    <w:rsid w:val="3CD7698B"/>
    <w:rsid w:val="3CE0658B"/>
    <w:rsid w:val="3D233CBC"/>
    <w:rsid w:val="3D350098"/>
    <w:rsid w:val="3D5D2D7F"/>
    <w:rsid w:val="3D6727A6"/>
    <w:rsid w:val="3DC76052"/>
    <w:rsid w:val="3DCC13AE"/>
    <w:rsid w:val="3E437F50"/>
    <w:rsid w:val="3E581E22"/>
    <w:rsid w:val="3E5E2395"/>
    <w:rsid w:val="3ECC2E2D"/>
    <w:rsid w:val="3EE01651"/>
    <w:rsid w:val="3EEF16A5"/>
    <w:rsid w:val="3F2502B3"/>
    <w:rsid w:val="3F2603A8"/>
    <w:rsid w:val="3F28669B"/>
    <w:rsid w:val="3F2A2833"/>
    <w:rsid w:val="3F635BC6"/>
    <w:rsid w:val="40090DB2"/>
    <w:rsid w:val="400C5E7C"/>
    <w:rsid w:val="404A07AA"/>
    <w:rsid w:val="404E6ADA"/>
    <w:rsid w:val="40832844"/>
    <w:rsid w:val="40D448BD"/>
    <w:rsid w:val="40EE0F40"/>
    <w:rsid w:val="40FC6052"/>
    <w:rsid w:val="41042709"/>
    <w:rsid w:val="41087697"/>
    <w:rsid w:val="410A01CC"/>
    <w:rsid w:val="410A340F"/>
    <w:rsid w:val="41102B0E"/>
    <w:rsid w:val="4138683F"/>
    <w:rsid w:val="415F50F5"/>
    <w:rsid w:val="41602BFB"/>
    <w:rsid w:val="41710447"/>
    <w:rsid w:val="41A32155"/>
    <w:rsid w:val="420C18C3"/>
    <w:rsid w:val="4215450D"/>
    <w:rsid w:val="426633A6"/>
    <w:rsid w:val="42E70466"/>
    <w:rsid w:val="43036C5F"/>
    <w:rsid w:val="431A17A3"/>
    <w:rsid w:val="4321035F"/>
    <w:rsid w:val="43256074"/>
    <w:rsid w:val="432C72F5"/>
    <w:rsid w:val="43334488"/>
    <w:rsid w:val="434305BC"/>
    <w:rsid w:val="434478F4"/>
    <w:rsid w:val="434620DF"/>
    <w:rsid w:val="439F3F0E"/>
    <w:rsid w:val="43C868AD"/>
    <w:rsid w:val="43EE6019"/>
    <w:rsid w:val="43F252A5"/>
    <w:rsid w:val="440049FC"/>
    <w:rsid w:val="442C2386"/>
    <w:rsid w:val="44471DF1"/>
    <w:rsid w:val="445C34F8"/>
    <w:rsid w:val="447C6450"/>
    <w:rsid w:val="448615EA"/>
    <w:rsid w:val="44A1602A"/>
    <w:rsid w:val="44AD1964"/>
    <w:rsid w:val="44F36549"/>
    <w:rsid w:val="45030330"/>
    <w:rsid w:val="45246A6A"/>
    <w:rsid w:val="4543323B"/>
    <w:rsid w:val="455929BD"/>
    <w:rsid w:val="45C77161"/>
    <w:rsid w:val="45D86DBF"/>
    <w:rsid w:val="463A0270"/>
    <w:rsid w:val="4660774C"/>
    <w:rsid w:val="469E1DAE"/>
    <w:rsid w:val="46B172A2"/>
    <w:rsid w:val="46BE2D30"/>
    <w:rsid w:val="46C47880"/>
    <w:rsid w:val="46D574C7"/>
    <w:rsid w:val="47486E95"/>
    <w:rsid w:val="474B6C0F"/>
    <w:rsid w:val="476A1B9C"/>
    <w:rsid w:val="47767A51"/>
    <w:rsid w:val="47A124AD"/>
    <w:rsid w:val="47B80352"/>
    <w:rsid w:val="48260193"/>
    <w:rsid w:val="482B1B48"/>
    <w:rsid w:val="48370881"/>
    <w:rsid w:val="485F0D03"/>
    <w:rsid w:val="488864B5"/>
    <w:rsid w:val="489F455C"/>
    <w:rsid w:val="48A44723"/>
    <w:rsid w:val="490816CD"/>
    <w:rsid w:val="49456623"/>
    <w:rsid w:val="49470A18"/>
    <w:rsid w:val="49D468C2"/>
    <w:rsid w:val="49DF6270"/>
    <w:rsid w:val="49E53DCF"/>
    <w:rsid w:val="49FB1352"/>
    <w:rsid w:val="4A382DA7"/>
    <w:rsid w:val="4A4D0D76"/>
    <w:rsid w:val="4A71219E"/>
    <w:rsid w:val="4ABD6072"/>
    <w:rsid w:val="4ADC38CF"/>
    <w:rsid w:val="4ADC509D"/>
    <w:rsid w:val="4B022348"/>
    <w:rsid w:val="4B077498"/>
    <w:rsid w:val="4B0A6F22"/>
    <w:rsid w:val="4B0D45DE"/>
    <w:rsid w:val="4B135253"/>
    <w:rsid w:val="4B421F68"/>
    <w:rsid w:val="4B4B67B4"/>
    <w:rsid w:val="4BC36A64"/>
    <w:rsid w:val="4BD513CE"/>
    <w:rsid w:val="4BDB3B37"/>
    <w:rsid w:val="4BEC0CF7"/>
    <w:rsid w:val="4C0224B7"/>
    <w:rsid w:val="4C120DE0"/>
    <w:rsid w:val="4C2C1B75"/>
    <w:rsid w:val="4C5F60F5"/>
    <w:rsid w:val="4C752695"/>
    <w:rsid w:val="4C7622A1"/>
    <w:rsid w:val="4C7B751C"/>
    <w:rsid w:val="4C8C7643"/>
    <w:rsid w:val="4CD602E6"/>
    <w:rsid w:val="4CD741CA"/>
    <w:rsid w:val="4CDA33E7"/>
    <w:rsid w:val="4CE10DB6"/>
    <w:rsid w:val="4CEA08ED"/>
    <w:rsid w:val="4CF533F9"/>
    <w:rsid w:val="4CFF2C1A"/>
    <w:rsid w:val="4D1C39C6"/>
    <w:rsid w:val="4D420ADC"/>
    <w:rsid w:val="4D575483"/>
    <w:rsid w:val="4DCE6743"/>
    <w:rsid w:val="4DD66D11"/>
    <w:rsid w:val="4E143475"/>
    <w:rsid w:val="4E2707A5"/>
    <w:rsid w:val="4E2F2707"/>
    <w:rsid w:val="4E557C94"/>
    <w:rsid w:val="4E741E97"/>
    <w:rsid w:val="4EE2448A"/>
    <w:rsid w:val="4EE76612"/>
    <w:rsid w:val="4F170AC2"/>
    <w:rsid w:val="4F1B66B3"/>
    <w:rsid w:val="4F62750F"/>
    <w:rsid w:val="4F90053A"/>
    <w:rsid w:val="4FC438EF"/>
    <w:rsid w:val="4FED5326"/>
    <w:rsid w:val="50073F60"/>
    <w:rsid w:val="503964AB"/>
    <w:rsid w:val="50577CF3"/>
    <w:rsid w:val="508C6E33"/>
    <w:rsid w:val="508D507E"/>
    <w:rsid w:val="509D6CA1"/>
    <w:rsid w:val="50A4605B"/>
    <w:rsid w:val="50BB543C"/>
    <w:rsid w:val="50CE78B3"/>
    <w:rsid w:val="50FD7729"/>
    <w:rsid w:val="5107009D"/>
    <w:rsid w:val="511046F4"/>
    <w:rsid w:val="5116568F"/>
    <w:rsid w:val="51303979"/>
    <w:rsid w:val="51327F86"/>
    <w:rsid w:val="514942C1"/>
    <w:rsid w:val="51576B9C"/>
    <w:rsid w:val="515B6F22"/>
    <w:rsid w:val="5182643B"/>
    <w:rsid w:val="51954FD8"/>
    <w:rsid w:val="519F3CDA"/>
    <w:rsid w:val="51AA3072"/>
    <w:rsid w:val="51C723D2"/>
    <w:rsid w:val="51F6607F"/>
    <w:rsid w:val="5201085F"/>
    <w:rsid w:val="528C225C"/>
    <w:rsid w:val="529D12DC"/>
    <w:rsid w:val="52C33EB2"/>
    <w:rsid w:val="52CB2A36"/>
    <w:rsid w:val="53352C3D"/>
    <w:rsid w:val="535D3873"/>
    <w:rsid w:val="5369072F"/>
    <w:rsid w:val="539F5821"/>
    <w:rsid w:val="53B45087"/>
    <w:rsid w:val="53BF69BA"/>
    <w:rsid w:val="54300C7D"/>
    <w:rsid w:val="54427863"/>
    <w:rsid w:val="54474DF3"/>
    <w:rsid w:val="54A14300"/>
    <w:rsid w:val="54D22D14"/>
    <w:rsid w:val="55405F77"/>
    <w:rsid w:val="55624065"/>
    <w:rsid w:val="556B2735"/>
    <w:rsid w:val="557E1105"/>
    <w:rsid w:val="558B0244"/>
    <w:rsid w:val="55AB4F78"/>
    <w:rsid w:val="55D514EA"/>
    <w:rsid w:val="55DE2033"/>
    <w:rsid w:val="55F13B00"/>
    <w:rsid w:val="561F774C"/>
    <w:rsid w:val="56665DEC"/>
    <w:rsid w:val="568F7685"/>
    <w:rsid w:val="56B12F1E"/>
    <w:rsid w:val="56B1560A"/>
    <w:rsid w:val="56BD1E4C"/>
    <w:rsid w:val="56FF60EC"/>
    <w:rsid w:val="5750773D"/>
    <w:rsid w:val="575B73CA"/>
    <w:rsid w:val="577469F5"/>
    <w:rsid w:val="578F06BB"/>
    <w:rsid w:val="57BA2D6D"/>
    <w:rsid w:val="57C8128A"/>
    <w:rsid w:val="57DE6F4C"/>
    <w:rsid w:val="582C7463"/>
    <w:rsid w:val="58880BE2"/>
    <w:rsid w:val="58B948F7"/>
    <w:rsid w:val="58D6595A"/>
    <w:rsid w:val="58E95BA9"/>
    <w:rsid w:val="58ED392C"/>
    <w:rsid w:val="5903271B"/>
    <w:rsid w:val="59990CB5"/>
    <w:rsid w:val="59B54F3B"/>
    <w:rsid w:val="59DE6489"/>
    <w:rsid w:val="59FD3539"/>
    <w:rsid w:val="5A3944E4"/>
    <w:rsid w:val="5A616564"/>
    <w:rsid w:val="5A684299"/>
    <w:rsid w:val="5A9164F8"/>
    <w:rsid w:val="5AE35C52"/>
    <w:rsid w:val="5AE7674E"/>
    <w:rsid w:val="5AF865AB"/>
    <w:rsid w:val="5B0B20E5"/>
    <w:rsid w:val="5B3375B2"/>
    <w:rsid w:val="5B620BC2"/>
    <w:rsid w:val="5B634AB6"/>
    <w:rsid w:val="5B706CC7"/>
    <w:rsid w:val="5B7B48AD"/>
    <w:rsid w:val="5BBD3545"/>
    <w:rsid w:val="5BD365F0"/>
    <w:rsid w:val="5BDB2705"/>
    <w:rsid w:val="5BFC3256"/>
    <w:rsid w:val="5C097410"/>
    <w:rsid w:val="5C3D03F4"/>
    <w:rsid w:val="5C6D0124"/>
    <w:rsid w:val="5C6D4D35"/>
    <w:rsid w:val="5C990AF3"/>
    <w:rsid w:val="5D165582"/>
    <w:rsid w:val="5D3A29EA"/>
    <w:rsid w:val="5D527071"/>
    <w:rsid w:val="5D7853CB"/>
    <w:rsid w:val="5D7B4E89"/>
    <w:rsid w:val="5D884CC5"/>
    <w:rsid w:val="5DBF67B3"/>
    <w:rsid w:val="5DE66FBF"/>
    <w:rsid w:val="5E0E0163"/>
    <w:rsid w:val="5E35183A"/>
    <w:rsid w:val="5E4F7F45"/>
    <w:rsid w:val="5E547708"/>
    <w:rsid w:val="5E584BE8"/>
    <w:rsid w:val="5E622CFC"/>
    <w:rsid w:val="5E6A6E57"/>
    <w:rsid w:val="5E6E6041"/>
    <w:rsid w:val="5E7F1105"/>
    <w:rsid w:val="5E8A07CB"/>
    <w:rsid w:val="5E9307A0"/>
    <w:rsid w:val="5EB43C71"/>
    <w:rsid w:val="5F2C05FC"/>
    <w:rsid w:val="5F380EAA"/>
    <w:rsid w:val="5F9704A5"/>
    <w:rsid w:val="5FD24B92"/>
    <w:rsid w:val="5FF05617"/>
    <w:rsid w:val="604771BF"/>
    <w:rsid w:val="604D4185"/>
    <w:rsid w:val="6063799D"/>
    <w:rsid w:val="606E665E"/>
    <w:rsid w:val="607413F1"/>
    <w:rsid w:val="60A01243"/>
    <w:rsid w:val="60C23CD4"/>
    <w:rsid w:val="60E5171C"/>
    <w:rsid w:val="60FD3E33"/>
    <w:rsid w:val="610B55F9"/>
    <w:rsid w:val="61106D3A"/>
    <w:rsid w:val="613C71BD"/>
    <w:rsid w:val="61442829"/>
    <w:rsid w:val="61794F00"/>
    <w:rsid w:val="617B3BC2"/>
    <w:rsid w:val="619A1E89"/>
    <w:rsid w:val="61A914A3"/>
    <w:rsid w:val="61AB3662"/>
    <w:rsid w:val="61C150EE"/>
    <w:rsid w:val="61C53DB8"/>
    <w:rsid w:val="61DA0370"/>
    <w:rsid w:val="62024335"/>
    <w:rsid w:val="621A65C4"/>
    <w:rsid w:val="621C0085"/>
    <w:rsid w:val="62357AED"/>
    <w:rsid w:val="62386A31"/>
    <w:rsid w:val="626464F1"/>
    <w:rsid w:val="626811E2"/>
    <w:rsid w:val="626A1B08"/>
    <w:rsid w:val="629B0C9C"/>
    <w:rsid w:val="62A65B04"/>
    <w:rsid w:val="62F233F5"/>
    <w:rsid w:val="62F8500E"/>
    <w:rsid w:val="630741EA"/>
    <w:rsid w:val="631A1F90"/>
    <w:rsid w:val="637B20D2"/>
    <w:rsid w:val="63F05C67"/>
    <w:rsid w:val="642279FC"/>
    <w:rsid w:val="643423CE"/>
    <w:rsid w:val="648B0362"/>
    <w:rsid w:val="649B38B4"/>
    <w:rsid w:val="64C82317"/>
    <w:rsid w:val="64CB1C38"/>
    <w:rsid w:val="64CD1384"/>
    <w:rsid w:val="64D60A12"/>
    <w:rsid w:val="64E217A9"/>
    <w:rsid w:val="65231F29"/>
    <w:rsid w:val="6528532E"/>
    <w:rsid w:val="653611BB"/>
    <w:rsid w:val="654077A8"/>
    <w:rsid w:val="656F53D3"/>
    <w:rsid w:val="65770E45"/>
    <w:rsid w:val="65892C9A"/>
    <w:rsid w:val="65DA3AF9"/>
    <w:rsid w:val="65E66B37"/>
    <w:rsid w:val="65F814DD"/>
    <w:rsid w:val="66101757"/>
    <w:rsid w:val="662E13A6"/>
    <w:rsid w:val="66471B39"/>
    <w:rsid w:val="664A783B"/>
    <w:rsid w:val="667626BB"/>
    <w:rsid w:val="667C2411"/>
    <w:rsid w:val="66C2586B"/>
    <w:rsid w:val="66E023DE"/>
    <w:rsid w:val="670243F4"/>
    <w:rsid w:val="67514F93"/>
    <w:rsid w:val="67891D0B"/>
    <w:rsid w:val="67A06D34"/>
    <w:rsid w:val="67C10E06"/>
    <w:rsid w:val="67D03D0A"/>
    <w:rsid w:val="67D04385"/>
    <w:rsid w:val="67D760F9"/>
    <w:rsid w:val="687F1C82"/>
    <w:rsid w:val="688365B6"/>
    <w:rsid w:val="69A60E59"/>
    <w:rsid w:val="69C50641"/>
    <w:rsid w:val="69D52B43"/>
    <w:rsid w:val="6A664A30"/>
    <w:rsid w:val="6A6B0B4E"/>
    <w:rsid w:val="6A724434"/>
    <w:rsid w:val="6A8B01AE"/>
    <w:rsid w:val="6AF049F7"/>
    <w:rsid w:val="6B0F2B55"/>
    <w:rsid w:val="6B1C6AEB"/>
    <w:rsid w:val="6B3A6193"/>
    <w:rsid w:val="6B855109"/>
    <w:rsid w:val="6B8E1696"/>
    <w:rsid w:val="6B8E6D9C"/>
    <w:rsid w:val="6B9C32FA"/>
    <w:rsid w:val="6B9C3E0E"/>
    <w:rsid w:val="6BBF2096"/>
    <w:rsid w:val="6BBF53F9"/>
    <w:rsid w:val="6BF76A2A"/>
    <w:rsid w:val="6C7828E8"/>
    <w:rsid w:val="6CF00B51"/>
    <w:rsid w:val="6CF52C58"/>
    <w:rsid w:val="6D6D0BAD"/>
    <w:rsid w:val="6D7D0FE2"/>
    <w:rsid w:val="6D834A47"/>
    <w:rsid w:val="6DDD08E6"/>
    <w:rsid w:val="6DF11EAB"/>
    <w:rsid w:val="6E557B10"/>
    <w:rsid w:val="6EA263D5"/>
    <w:rsid w:val="6EBE5FD6"/>
    <w:rsid w:val="6ED45B3C"/>
    <w:rsid w:val="6ED9195D"/>
    <w:rsid w:val="6EF605C0"/>
    <w:rsid w:val="6F082FCF"/>
    <w:rsid w:val="6F2F5F85"/>
    <w:rsid w:val="6F470928"/>
    <w:rsid w:val="6F4737A4"/>
    <w:rsid w:val="6FBE0689"/>
    <w:rsid w:val="6FC04887"/>
    <w:rsid w:val="701F1E47"/>
    <w:rsid w:val="703A5E93"/>
    <w:rsid w:val="705D32FE"/>
    <w:rsid w:val="70690841"/>
    <w:rsid w:val="707D6EAA"/>
    <w:rsid w:val="709107C4"/>
    <w:rsid w:val="70CD7C8C"/>
    <w:rsid w:val="70EA27F8"/>
    <w:rsid w:val="71117134"/>
    <w:rsid w:val="715D6982"/>
    <w:rsid w:val="716C018E"/>
    <w:rsid w:val="717D194B"/>
    <w:rsid w:val="718757BA"/>
    <w:rsid w:val="71BD51FE"/>
    <w:rsid w:val="71E046F7"/>
    <w:rsid w:val="71E67473"/>
    <w:rsid w:val="71ED4FC7"/>
    <w:rsid w:val="72171E66"/>
    <w:rsid w:val="723E54C3"/>
    <w:rsid w:val="72766A0B"/>
    <w:rsid w:val="729F64CC"/>
    <w:rsid w:val="72D11821"/>
    <w:rsid w:val="72DA4EDB"/>
    <w:rsid w:val="72E04B16"/>
    <w:rsid w:val="72EB1BF3"/>
    <w:rsid w:val="72EE523C"/>
    <w:rsid w:val="72F83B44"/>
    <w:rsid w:val="72FF2BF2"/>
    <w:rsid w:val="7306559D"/>
    <w:rsid w:val="732A10CF"/>
    <w:rsid w:val="73327D70"/>
    <w:rsid w:val="73337438"/>
    <w:rsid w:val="734C10CD"/>
    <w:rsid w:val="735C3041"/>
    <w:rsid w:val="73700965"/>
    <w:rsid w:val="738B0AF2"/>
    <w:rsid w:val="73962ECF"/>
    <w:rsid w:val="739F6EEF"/>
    <w:rsid w:val="73B276D8"/>
    <w:rsid w:val="73DC5EE2"/>
    <w:rsid w:val="73FE0204"/>
    <w:rsid w:val="740B6CD5"/>
    <w:rsid w:val="74162289"/>
    <w:rsid w:val="74431377"/>
    <w:rsid w:val="74482DB4"/>
    <w:rsid w:val="74BD2144"/>
    <w:rsid w:val="74C10577"/>
    <w:rsid w:val="74E75814"/>
    <w:rsid w:val="74EC45FF"/>
    <w:rsid w:val="74F248B8"/>
    <w:rsid w:val="74F550CB"/>
    <w:rsid w:val="74F8694B"/>
    <w:rsid w:val="751322B6"/>
    <w:rsid w:val="7518427D"/>
    <w:rsid w:val="75214050"/>
    <w:rsid w:val="754A5A6E"/>
    <w:rsid w:val="754D7BC3"/>
    <w:rsid w:val="754E2B00"/>
    <w:rsid w:val="755A5D4E"/>
    <w:rsid w:val="75632A41"/>
    <w:rsid w:val="75B22A20"/>
    <w:rsid w:val="75B45D25"/>
    <w:rsid w:val="75BC66C7"/>
    <w:rsid w:val="75CB2872"/>
    <w:rsid w:val="760C0C89"/>
    <w:rsid w:val="767A5276"/>
    <w:rsid w:val="767C5F13"/>
    <w:rsid w:val="76DF61A7"/>
    <w:rsid w:val="76EE1727"/>
    <w:rsid w:val="771A0617"/>
    <w:rsid w:val="77314E06"/>
    <w:rsid w:val="77592CAB"/>
    <w:rsid w:val="776A0978"/>
    <w:rsid w:val="77A1009D"/>
    <w:rsid w:val="77B76D1B"/>
    <w:rsid w:val="77C13BF9"/>
    <w:rsid w:val="77CB4D3D"/>
    <w:rsid w:val="77EE780E"/>
    <w:rsid w:val="7807226A"/>
    <w:rsid w:val="7814630F"/>
    <w:rsid w:val="78264940"/>
    <w:rsid w:val="784A422F"/>
    <w:rsid w:val="78573B35"/>
    <w:rsid w:val="78983D70"/>
    <w:rsid w:val="78A70402"/>
    <w:rsid w:val="78A83C4E"/>
    <w:rsid w:val="78F64F71"/>
    <w:rsid w:val="78F8681C"/>
    <w:rsid w:val="79501CEF"/>
    <w:rsid w:val="796B1EDE"/>
    <w:rsid w:val="79954ACA"/>
    <w:rsid w:val="79BB793E"/>
    <w:rsid w:val="79BD1CDD"/>
    <w:rsid w:val="79E57D27"/>
    <w:rsid w:val="7A306423"/>
    <w:rsid w:val="7A3E0D64"/>
    <w:rsid w:val="7A3E2345"/>
    <w:rsid w:val="7A4F47B4"/>
    <w:rsid w:val="7A8B529A"/>
    <w:rsid w:val="7A93192D"/>
    <w:rsid w:val="7A9A78F2"/>
    <w:rsid w:val="7AA94CFF"/>
    <w:rsid w:val="7AC0288B"/>
    <w:rsid w:val="7AC16702"/>
    <w:rsid w:val="7AE355AC"/>
    <w:rsid w:val="7B0C78AE"/>
    <w:rsid w:val="7B255FAE"/>
    <w:rsid w:val="7B31496C"/>
    <w:rsid w:val="7B4D5A8D"/>
    <w:rsid w:val="7B515E47"/>
    <w:rsid w:val="7B6B58D6"/>
    <w:rsid w:val="7B7178E1"/>
    <w:rsid w:val="7B7C3494"/>
    <w:rsid w:val="7B950C8C"/>
    <w:rsid w:val="7BB96B9C"/>
    <w:rsid w:val="7BCD4A03"/>
    <w:rsid w:val="7BFF1980"/>
    <w:rsid w:val="7C2219A9"/>
    <w:rsid w:val="7C281D8B"/>
    <w:rsid w:val="7C6D7013"/>
    <w:rsid w:val="7C9F7F15"/>
    <w:rsid w:val="7CC45706"/>
    <w:rsid w:val="7CCB23DD"/>
    <w:rsid w:val="7CD32A70"/>
    <w:rsid w:val="7CF9591E"/>
    <w:rsid w:val="7D053AF6"/>
    <w:rsid w:val="7D1B3EE4"/>
    <w:rsid w:val="7D311B89"/>
    <w:rsid w:val="7D506761"/>
    <w:rsid w:val="7D5C4FAD"/>
    <w:rsid w:val="7D682A22"/>
    <w:rsid w:val="7D71590C"/>
    <w:rsid w:val="7DA0365D"/>
    <w:rsid w:val="7DAC6732"/>
    <w:rsid w:val="7DD126D9"/>
    <w:rsid w:val="7DE407D3"/>
    <w:rsid w:val="7DEF5E9B"/>
    <w:rsid w:val="7E1B58AF"/>
    <w:rsid w:val="7E2951E8"/>
    <w:rsid w:val="7E355E05"/>
    <w:rsid w:val="7E483EC6"/>
    <w:rsid w:val="7EA14524"/>
    <w:rsid w:val="7EE61DC6"/>
    <w:rsid w:val="7F09018E"/>
    <w:rsid w:val="7F0D7AEA"/>
    <w:rsid w:val="7F2A32AE"/>
    <w:rsid w:val="7F61306D"/>
    <w:rsid w:val="7F732E24"/>
    <w:rsid w:val="7FBB17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numPr>
        <w:ilvl w:val="0"/>
        <w:numId w:val="1"/>
      </w:numPr>
      <w:jc w:val="center"/>
      <w:outlineLvl w:val="0"/>
    </w:pPr>
    <w:rPr>
      <w:sz w:val="28"/>
      <w:szCs w:val="20"/>
    </w:rPr>
  </w:style>
  <w:style w:type="paragraph" w:styleId="4">
    <w:name w:val="heading 2"/>
    <w:basedOn w:val="1"/>
    <w:next w:val="1"/>
    <w:link w:val="6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3"/>
    <w:qFormat/>
    <w:uiPriority w:val="0"/>
    <w:pPr>
      <w:keepNext/>
      <w:keepLines/>
      <w:spacing w:before="260" w:after="260" w:line="416" w:lineRule="auto"/>
      <w:outlineLvl w:val="2"/>
    </w:pPr>
    <w:rPr>
      <w:b/>
      <w:bCs/>
      <w:sz w:val="32"/>
      <w:szCs w:val="32"/>
    </w:rPr>
  </w:style>
  <w:style w:type="paragraph" w:styleId="6">
    <w:name w:val="heading 4"/>
    <w:basedOn w:val="1"/>
    <w:next w:val="1"/>
    <w:link w:val="64"/>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link w:val="65"/>
    <w:qFormat/>
    <w:uiPriority w:val="0"/>
    <w:pPr>
      <w:keepNext/>
      <w:keepLines/>
      <w:spacing w:before="280" w:after="290" w:line="374" w:lineRule="auto"/>
      <w:ind w:left="1440" w:hanging="1440"/>
      <w:jc w:val="left"/>
      <w:outlineLvl w:val="4"/>
    </w:pPr>
    <w:rPr>
      <w:rFonts w:eastAsia="黑体"/>
      <w:bCs/>
      <w:kern w:val="0"/>
      <w:sz w:val="28"/>
      <w:szCs w:val="28"/>
    </w:rPr>
  </w:style>
  <w:style w:type="paragraph" w:styleId="8">
    <w:name w:val="heading 6"/>
    <w:basedOn w:val="1"/>
    <w:next w:val="1"/>
    <w:link w:val="66"/>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9">
    <w:name w:val="heading 7"/>
    <w:basedOn w:val="1"/>
    <w:next w:val="1"/>
    <w:link w:val="67"/>
    <w:qFormat/>
    <w:uiPriority w:val="0"/>
    <w:pPr>
      <w:keepNext/>
      <w:keepLines/>
      <w:snapToGrid w:val="0"/>
      <w:spacing w:before="240" w:after="64" w:line="320" w:lineRule="auto"/>
      <w:ind w:left="1296" w:hanging="1296"/>
      <w:jc w:val="left"/>
      <w:outlineLvl w:val="6"/>
    </w:pPr>
    <w:rPr>
      <w:b/>
      <w:bCs/>
      <w:kern w:val="0"/>
      <w:sz w:val="24"/>
    </w:rPr>
  </w:style>
  <w:style w:type="paragraph" w:styleId="10">
    <w:name w:val="heading 8"/>
    <w:basedOn w:val="1"/>
    <w:next w:val="1"/>
    <w:link w:val="68"/>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1">
    <w:name w:val="heading 9"/>
    <w:basedOn w:val="1"/>
    <w:next w:val="1"/>
    <w:link w:val="69"/>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5">
    <w:name w:val="Default Paragraph Font"/>
    <w:semiHidden/>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styleId="2">
    <w:name w:val="Body Text"/>
    <w:basedOn w:val="1"/>
    <w:next w:val="1"/>
    <w:link w:val="60"/>
    <w:qFormat/>
    <w:uiPriority w:val="99"/>
    <w:pPr>
      <w:spacing w:after="120"/>
    </w:p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Normal Indent"/>
    <w:basedOn w:val="1"/>
    <w:link w:val="70"/>
    <w:qFormat/>
    <w:uiPriority w:val="0"/>
    <w:pPr>
      <w:adjustRightInd w:val="0"/>
      <w:ind w:firstLine="420"/>
      <w:jc w:val="left"/>
    </w:pPr>
    <w:rPr>
      <w:rFonts w:ascii="楷体_GB2312" w:eastAsia="楷体_GB2312"/>
      <w:sz w:val="24"/>
      <w:szCs w:val="20"/>
    </w:rPr>
  </w:style>
  <w:style w:type="paragraph" w:styleId="14">
    <w:name w:val="Document Map"/>
    <w:basedOn w:val="1"/>
    <w:link w:val="71"/>
    <w:unhideWhenUsed/>
    <w:qFormat/>
    <w:uiPriority w:val="0"/>
    <w:rPr>
      <w:rFonts w:ascii="宋体"/>
      <w:kern w:val="0"/>
      <w:sz w:val="18"/>
      <w:szCs w:val="18"/>
    </w:rPr>
  </w:style>
  <w:style w:type="paragraph" w:styleId="15">
    <w:name w:val="annotation text"/>
    <w:basedOn w:val="1"/>
    <w:link w:val="72"/>
    <w:semiHidden/>
    <w:qFormat/>
    <w:uiPriority w:val="99"/>
    <w:pPr>
      <w:jc w:val="left"/>
    </w:pPr>
    <w:rPr>
      <w:rFonts w:ascii="Times New Roman" w:hAnsi="Times New Roman" w:cs="Times New Roman"/>
      <w:kern w:val="0"/>
      <w:sz w:val="20"/>
      <w:szCs w:val="20"/>
    </w:rPr>
  </w:style>
  <w:style w:type="paragraph" w:styleId="16">
    <w:name w:val="Body Text 3"/>
    <w:basedOn w:val="1"/>
    <w:link w:val="73"/>
    <w:qFormat/>
    <w:uiPriority w:val="0"/>
    <w:pPr>
      <w:spacing w:after="120"/>
    </w:pPr>
    <w:rPr>
      <w:sz w:val="16"/>
      <w:szCs w:val="16"/>
    </w:rPr>
  </w:style>
  <w:style w:type="paragraph" w:styleId="17">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8">
    <w:name w:val="Body Text Indent"/>
    <w:basedOn w:val="1"/>
    <w:next w:val="19"/>
    <w:link w:val="74"/>
    <w:qFormat/>
    <w:uiPriority w:val="0"/>
    <w:pPr>
      <w:spacing w:after="120"/>
      <w:ind w:left="420" w:leftChars="200"/>
    </w:pPr>
  </w:style>
  <w:style w:type="paragraph" w:styleId="19">
    <w:name w:val="envelope return"/>
    <w:basedOn w:val="1"/>
    <w:qFormat/>
    <w:uiPriority w:val="0"/>
    <w:pPr>
      <w:snapToGrid w:val="0"/>
    </w:pPr>
    <w:rPr>
      <w:rFonts w:ascii="Arial" w:hAnsi="Arial"/>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semiHidden/>
    <w:qFormat/>
    <w:uiPriority w:val="0"/>
    <w:pPr>
      <w:tabs>
        <w:tab w:val="right" w:leader="dot" w:pos="8777"/>
      </w:tabs>
      <w:ind w:left="840" w:leftChars="400"/>
    </w:pPr>
    <w:rPr>
      <w:sz w:val="28"/>
    </w:rPr>
  </w:style>
  <w:style w:type="paragraph" w:styleId="22">
    <w:name w:val="Plain Text"/>
    <w:basedOn w:val="1"/>
    <w:link w:val="75"/>
    <w:qFormat/>
    <w:uiPriority w:val="0"/>
    <w:rPr>
      <w:rFonts w:ascii="宋体" w:hAnsi="Courier New"/>
      <w:szCs w:val="20"/>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link w:val="76"/>
    <w:qFormat/>
    <w:uiPriority w:val="0"/>
    <w:rPr>
      <w:szCs w:val="20"/>
    </w:rPr>
  </w:style>
  <w:style w:type="paragraph" w:styleId="25">
    <w:name w:val="Body Text Indent 2"/>
    <w:basedOn w:val="1"/>
    <w:link w:val="77"/>
    <w:qFormat/>
    <w:uiPriority w:val="0"/>
    <w:pPr>
      <w:spacing w:after="120" w:line="480" w:lineRule="auto"/>
      <w:ind w:left="420" w:leftChars="200"/>
    </w:pPr>
  </w:style>
  <w:style w:type="paragraph" w:styleId="26">
    <w:name w:val="Balloon Text"/>
    <w:basedOn w:val="1"/>
    <w:link w:val="78"/>
    <w:unhideWhenUsed/>
    <w:qFormat/>
    <w:uiPriority w:val="0"/>
    <w:rPr>
      <w:kern w:val="0"/>
      <w:sz w:val="18"/>
      <w:szCs w:val="18"/>
    </w:rPr>
  </w:style>
  <w:style w:type="paragraph" w:styleId="27">
    <w:name w:val="footer"/>
    <w:basedOn w:val="1"/>
    <w:link w:val="79"/>
    <w:qFormat/>
    <w:uiPriority w:val="99"/>
    <w:pPr>
      <w:tabs>
        <w:tab w:val="center" w:pos="4153"/>
        <w:tab w:val="right" w:pos="8306"/>
      </w:tabs>
      <w:snapToGrid w:val="0"/>
      <w:jc w:val="left"/>
    </w:pPr>
    <w:rPr>
      <w:sz w:val="18"/>
      <w:szCs w:val="18"/>
    </w:rPr>
  </w:style>
  <w:style w:type="paragraph" w:styleId="28">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left" w:pos="840"/>
        <w:tab w:val="right" w:leader="dot" w:pos="8820"/>
      </w:tabs>
    </w:pPr>
    <w:rPr>
      <w:b/>
      <w:bCs/>
      <w:kern w:val="10"/>
      <w:sz w:val="28"/>
    </w:rPr>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footnote text"/>
    <w:basedOn w:val="1"/>
    <w:link w:val="81"/>
    <w:qFormat/>
    <w:uiPriority w:val="0"/>
    <w:pPr>
      <w:snapToGrid w:val="0"/>
    </w:pPr>
    <w:rPr>
      <w:sz w:val="18"/>
    </w:rPr>
  </w:style>
  <w:style w:type="paragraph" w:styleId="32">
    <w:name w:val="toc 6"/>
    <w:basedOn w:val="1"/>
    <w:next w:val="1"/>
    <w:unhideWhenUsed/>
    <w:qFormat/>
    <w:uiPriority w:val="0"/>
    <w:pPr>
      <w:ind w:left="1050"/>
      <w:jc w:val="left"/>
    </w:pPr>
    <w:rPr>
      <w:rFonts w:ascii="Calibri" w:hAnsi="Calibri"/>
      <w:sz w:val="18"/>
      <w:szCs w:val="18"/>
    </w:rPr>
  </w:style>
  <w:style w:type="paragraph" w:styleId="33">
    <w:name w:val="Body Text Indent 3"/>
    <w:basedOn w:val="1"/>
    <w:link w:val="82"/>
    <w:qFormat/>
    <w:uiPriority w:val="0"/>
    <w:pPr>
      <w:spacing w:after="120"/>
      <w:ind w:left="420" w:leftChars="200"/>
    </w:pPr>
    <w:rPr>
      <w:sz w:val="16"/>
      <w:szCs w:val="16"/>
    </w:rPr>
  </w:style>
  <w:style w:type="paragraph" w:styleId="34">
    <w:name w:val="toc 2"/>
    <w:basedOn w:val="1"/>
    <w:next w:val="1"/>
    <w:semiHidden/>
    <w:qFormat/>
    <w:uiPriority w:val="0"/>
    <w:pPr>
      <w:ind w:left="420" w:leftChars="200"/>
    </w:pPr>
    <w:rPr>
      <w:sz w:val="28"/>
    </w:r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Body Text 2"/>
    <w:basedOn w:val="1"/>
    <w:link w:val="83"/>
    <w:qFormat/>
    <w:uiPriority w:val="0"/>
    <w:pPr>
      <w:spacing w:after="120" w:line="480" w:lineRule="auto"/>
    </w:pPr>
  </w:style>
  <w:style w:type="paragraph" w:styleId="37">
    <w:name w:val="Message Header"/>
    <w:basedOn w:val="1"/>
    <w:link w:val="8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8">
    <w:name w:val="HTML Preformatted"/>
    <w:basedOn w:val="1"/>
    <w:link w:val="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link w:val="86"/>
    <w:qFormat/>
    <w:uiPriority w:val="0"/>
    <w:pPr>
      <w:spacing w:before="240" w:after="60"/>
      <w:jc w:val="center"/>
      <w:outlineLvl w:val="0"/>
    </w:pPr>
    <w:rPr>
      <w:rFonts w:ascii="Cambria" w:hAnsi="Cambria" w:cs="Cambria"/>
      <w:b/>
      <w:bCs/>
      <w:sz w:val="32"/>
      <w:szCs w:val="32"/>
    </w:rPr>
  </w:style>
  <w:style w:type="paragraph" w:styleId="41">
    <w:name w:val="Body Text First Indent"/>
    <w:basedOn w:val="2"/>
    <w:link w:val="87"/>
    <w:qFormat/>
    <w:uiPriority w:val="99"/>
    <w:pPr>
      <w:ind w:firstLine="420" w:firstLineChars="100"/>
    </w:pPr>
    <w:rPr>
      <w:rFonts w:ascii="Arial" w:hAnsi="Arial"/>
    </w:rPr>
  </w:style>
  <w:style w:type="paragraph" w:styleId="42">
    <w:name w:val="Body Text First Indent 2"/>
    <w:basedOn w:val="18"/>
    <w:link w:val="88"/>
    <w:qFormat/>
    <w:uiPriority w:val="99"/>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rPr>
  </w:style>
  <w:style w:type="character" w:styleId="47">
    <w:name w:val="page number"/>
    <w:qFormat/>
    <w:uiPriority w:val="0"/>
    <w:rPr>
      <w:rFonts w:eastAsia="宋体"/>
      <w:sz w:val="24"/>
      <w:szCs w:val="24"/>
      <w:lang w:val="en-US" w:eastAsia="zh-CN" w:bidi="ar-SA"/>
    </w:rPr>
  </w:style>
  <w:style w:type="character" w:styleId="48">
    <w:name w:val="FollowedHyperlink"/>
    <w:qFormat/>
    <w:uiPriority w:val="0"/>
    <w:rPr>
      <w:rFonts w:eastAsia="宋体"/>
      <w:color w:val="800080"/>
      <w:sz w:val="24"/>
      <w:szCs w:val="24"/>
      <w:u w:val="single"/>
      <w:lang w:val="en-US" w:eastAsia="zh-CN" w:bidi="ar-SA"/>
    </w:rPr>
  </w:style>
  <w:style w:type="character" w:styleId="49">
    <w:name w:val="Emphasis"/>
    <w:qFormat/>
    <w:uiPriority w:val="0"/>
    <w:rPr>
      <w:i/>
      <w:iCs/>
    </w:rPr>
  </w:style>
  <w:style w:type="character" w:styleId="50">
    <w:name w:val="HTML Definition"/>
    <w:qFormat/>
    <w:uiPriority w:val="0"/>
  </w:style>
  <w:style w:type="character" w:styleId="51">
    <w:name w:val="HTML Typewriter"/>
    <w:qFormat/>
    <w:uiPriority w:val="0"/>
    <w:rPr>
      <w:rFonts w:hint="default" w:ascii="monospace" w:hAnsi="monospace" w:eastAsia="monospace" w:cs="monospace"/>
      <w:sz w:val="20"/>
    </w:rPr>
  </w:style>
  <w:style w:type="character" w:styleId="52">
    <w:name w:val="HTML Acronym"/>
    <w:qFormat/>
    <w:uiPriority w:val="0"/>
  </w:style>
  <w:style w:type="character" w:styleId="53">
    <w:name w:val="HTML Variable"/>
    <w:qFormat/>
    <w:uiPriority w:val="0"/>
  </w:style>
  <w:style w:type="character" w:styleId="54">
    <w:name w:val="Hyperlink"/>
    <w:qFormat/>
    <w:uiPriority w:val="0"/>
    <w:rPr>
      <w:rFonts w:eastAsia="宋体"/>
      <w:color w:val="0000FF"/>
      <w:sz w:val="24"/>
      <w:szCs w:val="24"/>
      <w:u w:val="single"/>
      <w:lang w:val="en-US" w:eastAsia="zh-CN" w:bidi="ar-SA"/>
    </w:rPr>
  </w:style>
  <w:style w:type="character" w:styleId="55">
    <w:name w:val="HTML Code"/>
    <w:qFormat/>
    <w:uiPriority w:val="0"/>
    <w:rPr>
      <w:rFonts w:ascii="monospace" w:hAnsi="monospace" w:eastAsia="monospace" w:cs="monospace"/>
      <w:sz w:val="20"/>
    </w:rPr>
  </w:style>
  <w:style w:type="character" w:styleId="56">
    <w:name w:val="annotation reference"/>
    <w:semiHidden/>
    <w:qFormat/>
    <w:uiPriority w:val="99"/>
    <w:rPr>
      <w:sz w:val="21"/>
      <w:szCs w:val="21"/>
    </w:rPr>
  </w:style>
  <w:style w:type="character" w:styleId="57">
    <w:name w:val="HTML Cite"/>
    <w:qFormat/>
    <w:uiPriority w:val="0"/>
  </w:style>
  <w:style w:type="character" w:styleId="58">
    <w:name w:val="HTML Keyboard"/>
    <w:qFormat/>
    <w:uiPriority w:val="0"/>
    <w:rPr>
      <w:rFonts w:hint="default" w:ascii="monospace" w:hAnsi="monospace" w:eastAsia="monospace" w:cs="monospace"/>
      <w:sz w:val="20"/>
    </w:rPr>
  </w:style>
  <w:style w:type="character" w:styleId="59">
    <w:name w:val="HTML Sample"/>
    <w:qFormat/>
    <w:uiPriority w:val="0"/>
    <w:rPr>
      <w:rFonts w:hint="default" w:ascii="monospace" w:hAnsi="monospace" w:eastAsia="monospace" w:cs="monospace"/>
    </w:rPr>
  </w:style>
  <w:style w:type="character" w:customStyle="1" w:styleId="60">
    <w:name w:val="正文文本 Char"/>
    <w:link w:val="2"/>
    <w:qFormat/>
    <w:uiPriority w:val="99"/>
    <w:rPr>
      <w:rFonts w:eastAsia="宋体"/>
      <w:kern w:val="2"/>
      <w:sz w:val="21"/>
      <w:szCs w:val="24"/>
      <w:lang w:val="en-US" w:eastAsia="zh-CN" w:bidi="ar-SA"/>
    </w:rPr>
  </w:style>
  <w:style w:type="character" w:customStyle="1" w:styleId="61">
    <w:name w:val="标题 1 Char"/>
    <w:link w:val="3"/>
    <w:qFormat/>
    <w:uiPriority w:val="9"/>
    <w:rPr>
      <w:rFonts w:eastAsia="宋体"/>
      <w:kern w:val="2"/>
      <w:sz w:val="28"/>
      <w:lang w:val="en-US" w:eastAsia="zh-CN" w:bidi="ar-SA"/>
    </w:rPr>
  </w:style>
  <w:style w:type="character" w:customStyle="1" w:styleId="62">
    <w:name w:val="标题 2 Char"/>
    <w:link w:val="4"/>
    <w:qFormat/>
    <w:uiPriority w:val="9"/>
    <w:rPr>
      <w:rFonts w:ascii="Arial" w:hAnsi="Arial" w:eastAsia="黑体"/>
      <w:b/>
      <w:bCs/>
      <w:kern w:val="2"/>
      <w:sz w:val="32"/>
      <w:szCs w:val="32"/>
      <w:lang w:val="en-US" w:eastAsia="zh-CN" w:bidi="ar-SA"/>
    </w:rPr>
  </w:style>
  <w:style w:type="character" w:customStyle="1" w:styleId="63">
    <w:name w:val="标题 3 Char"/>
    <w:link w:val="5"/>
    <w:qFormat/>
    <w:uiPriority w:val="9"/>
    <w:rPr>
      <w:rFonts w:eastAsia="宋体"/>
      <w:b/>
      <w:bCs/>
      <w:kern w:val="2"/>
      <w:sz w:val="32"/>
      <w:szCs w:val="32"/>
      <w:lang w:val="en-US" w:eastAsia="zh-CN" w:bidi="ar-SA"/>
    </w:rPr>
  </w:style>
  <w:style w:type="character" w:customStyle="1" w:styleId="64">
    <w:name w:val="标题 4 Char"/>
    <w:link w:val="6"/>
    <w:qFormat/>
    <w:uiPriority w:val="9"/>
    <w:rPr>
      <w:rFonts w:ascii="Cambria" w:hAnsi="Cambria" w:eastAsia="黑体"/>
      <w:bCs/>
      <w:sz w:val="28"/>
      <w:szCs w:val="28"/>
      <w:lang w:bidi="ar-SA"/>
    </w:rPr>
  </w:style>
  <w:style w:type="character" w:customStyle="1" w:styleId="65">
    <w:name w:val="标题 5 Char"/>
    <w:link w:val="7"/>
    <w:qFormat/>
    <w:uiPriority w:val="9"/>
    <w:rPr>
      <w:rFonts w:eastAsia="黑体"/>
      <w:bCs/>
      <w:sz w:val="28"/>
      <w:szCs w:val="28"/>
      <w:lang w:bidi="ar-SA"/>
    </w:rPr>
  </w:style>
  <w:style w:type="character" w:customStyle="1" w:styleId="66">
    <w:name w:val="标题 6 Char"/>
    <w:link w:val="8"/>
    <w:qFormat/>
    <w:uiPriority w:val="9"/>
    <w:rPr>
      <w:rFonts w:ascii="Cambria" w:hAnsi="Cambria" w:eastAsia="宋体"/>
      <w:b/>
      <w:bCs/>
      <w:sz w:val="24"/>
      <w:szCs w:val="24"/>
      <w:lang w:bidi="ar-SA"/>
    </w:rPr>
  </w:style>
  <w:style w:type="character" w:customStyle="1" w:styleId="67">
    <w:name w:val="标题 7 Char"/>
    <w:link w:val="9"/>
    <w:qFormat/>
    <w:uiPriority w:val="9"/>
    <w:rPr>
      <w:rFonts w:eastAsia="宋体"/>
      <w:b/>
      <w:bCs/>
      <w:sz w:val="24"/>
      <w:szCs w:val="24"/>
      <w:lang w:bidi="ar-SA"/>
    </w:rPr>
  </w:style>
  <w:style w:type="character" w:customStyle="1" w:styleId="68">
    <w:name w:val="标题 8 Char"/>
    <w:link w:val="10"/>
    <w:qFormat/>
    <w:uiPriority w:val="9"/>
    <w:rPr>
      <w:rFonts w:ascii="Cambria" w:hAnsi="Cambria" w:eastAsia="宋体"/>
      <w:sz w:val="24"/>
      <w:szCs w:val="24"/>
      <w:lang w:bidi="ar-SA"/>
    </w:rPr>
  </w:style>
  <w:style w:type="character" w:customStyle="1" w:styleId="69">
    <w:name w:val="标题 9 Char"/>
    <w:link w:val="11"/>
    <w:qFormat/>
    <w:uiPriority w:val="9"/>
    <w:rPr>
      <w:rFonts w:ascii="Cambria" w:hAnsi="Cambria" w:eastAsia="宋体"/>
      <w:szCs w:val="21"/>
      <w:lang w:bidi="ar-SA"/>
    </w:rPr>
  </w:style>
  <w:style w:type="character" w:customStyle="1" w:styleId="70">
    <w:name w:val="正文缩进 Char"/>
    <w:link w:val="13"/>
    <w:qFormat/>
    <w:locked/>
    <w:uiPriority w:val="0"/>
    <w:rPr>
      <w:rFonts w:ascii="楷体_GB2312" w:eastAsia="楷体_GB2312"/>
      <w:kern w:val="2"/>
      <w:sz w:val="24"/>
      <w:lang w:val="en-US" w:eastAsia="zh-CN" w:bidi="ar-SA"/>
    </w:rPr>
  </w:style>
  <w:style w:type="character" w:customStyle="1" w:styleId="71">
    <w:name w:val="文档结构图 Char"/>
    <w:link w:val="14"/>
    <w:qFormat/>
    <w:uiPriority w:val="99"/>
    <w:rPr>
      <w:rFonts w:ascii="宋体" w:eastAsia="宋体"/>
      <w:sz w:val="18"/>
      <w:szCs w:val="18"/>
      <w:lang w:bidi="ar-SA"/>
    </w:rPr>
  </w:style>
  <w:style w:type="character" w:customStyle="1" w:styleId="72">
    <w:name w:val="批注文字 Char"/>
    <w:link w:val="15"/>
    <w:semiHidden/>
    <w:qFormat/>
    <w:uiPriority w:val="99"/>
  </w:style>
  <w:style w:type="character" w:customStyle="1" w:styleId="73">
    <w:name w:val="正文文本 3 Char"/>
    <w:link w:val="16"/>
    <w:qFormat/>
    <w:uiPriority w:val="99"/>
    <w:rPr>
      <w:rFonts w:eastAsia="宋体"/>
      <w:kern w:val="2"/>
      <w:sz w:val="16"/>
      <w:szCs w:val="16"/>
      <w:lang w:val="en-US" w:eastAsia="zh-CN" w:bidi="ar-SA"/>
    </w:rPr>
  </w:style>
  <w:style w:type="character" w:customStyle="1" w:styleId="74">
    <w:name w:val="正文文本缩进 Char"/>
    <w:link w:val="18"/>
    <w:qFormat/>
    <w:uiPriority w:val="99"/>
    <w:rPr>
      <w:kern w:val="2"/>
      <w:sz w:val="21"/>
      <w:szCs w:val="24"/>
    </w:rPr>
  </w:style>
  <w:style w:type="character" w:customStyle="1" w:styleId="75">
    <w:name w:val="纯文本 Char"/>
    <w:link w:val="22"/>
    <w:qFormat/>
    <w:uiPriority w:val="99"/>
    <w:rPr>
      <w:rFonts w:ascii="宋体" w:hAnsi="Courier New" w:eastAsia="宋体"/>
      <w:kern w:val="2"/>
      <w:sz w:val="21"/>
      <w:lang w:val="en-US" w:eastAsia="zh-CN" w:bidi="ar-SA"/>
    </w:rPr>
  </w:style>
  <w:style w:type="character" w:customStyle="1" w:styleId="76">
    <w:name w:val="日期 Char"/>
    <w:link w:val="24"/>
    <w:qFormat/>
    <w:uiPriority w:val="99"/>
    <w:rPr>
      <w:kern w:val="2"/>
      <w:sz w:val="21"/>
    </w:rPr>
  </w:style>
  <w:style w:type="character" w:customStyle="1" w:styleId="77">
    <w:name w:val="正文文本缩进 2 Char"/>
    <w:link w:val="25"/>
    <w:qFormat/>
    <w:uiPriority w:val="99"/>
    <w:rPr>
      <w:kern w:val="2"/>
      <w:sz w:val="21"/>
      <w:szCs w:val="24"/>
    </w:rPr>
  </w:style>
  <w:style w:type="character" w:customStyle="1" w:styleId="78">
    <w:name w:val="批注框文本 Char"/>
    <w:link w:val="26"/>
    <w:qFormat/>
    <w:uiPriority w:val="99"/>
    <w:rPr>
      <w:sz w:val="18"/>
      <w:szCs w:val="18"/>
    </w:rPr>
  </w:style>
  <w:style w:type="character" w:customStyle="1" w:styleId="79">
    <w:name w:val="页脚 Char"/>
    <w:link w:val="27"/>
    <w:qFormat/>
    <w:uiPriority w:val="99"/>
    <w:rPr>
      <w:rFonts w:eastAsia="宋体"/>
      <w:kern w:val="2"/>
      <w:sz w:val="18"/>
      <w:szCs w:val="18"/>
      <w:lang w:val="en-US" w:eastAsia="zh-CN" w:bidi="ar-SA"/>
    </w:rPr>
  </w:style>
  <w:style w:type="character" w:customStyle="1" w:styleId="80">
    <w:name w:val="页眉 Char"/>
    <w:link w:val="28"/>
    <w:qFormat/>
    <w:uiPriority w:val="99"/>
    <w:rPr>
      <w:rFonts w:eastAsia="宋体"/>
      <w:kern w:val="2"/>
      <w:sz w:val="18"/>
      <w:szCs w:val="18"/>
      <w:lang w:val="en-US" w:eastAsia="zh-CN" w:bidi="ar-SA"/>
    </w:rPr>
  </w:style>
  <w:style w:type="character" w:customStyle="1" w:styleId="81">
    <w:name w:val="脚注文本 Char"/>
    <w:link w:val="31"/>
    <w:qFormat/>
    <w:uiPriority w:val="0"/>
    <w:rPr>
      <w:kern w:val="2"/>
      <w:sz w:val="18"/>
      <w:szCs w:val="24"/>
    </w:rPr>
  </w:style>
  <w:style w:type="character" w:customStyle="1" w:styleId="82">
    <w:name w:val="正文文本缩进 3 Char"/>
    <w:link w:val="33"/>
    <w:qFormat/>
    <w:uiPriority w:val="99"/>
    <w:rPr>
      <w:kern w:val="2"/>
      <w:sz w:val="16"/>
      <w:szCs w:val="16"/>
    </w:rPr>
  </w:style>
  <w:style w:type="character" w:customStyle="1" w:styleId="83">
    <w:name w:val="正文文本 2 Char"/>
    <w:link w:val="36"/>
    <w:qFormat/>
    <w:uiPriority w:val="99"/>
    <w:rPr>
      <w:kern w:val="2"/>
      <w:sz w:val="21"/>
      <w:szCs w:val="24"/>
    </w:rPr>
  </w:style>
  <w:style w:type="character" w:customStyle="1" w:styleId="84">
    <w:name w:val="信息标题 Char"/>
    <w:link w:val="37"/>
    <w:qFormat/>
    <w:uiPriority w:val="0"/>
    <w:rPr>
      <w:rFonts w:ascii="Cambria" w:hAnsi="Cambria"/>
      <w:kern w:val="2"/>
      <w:sz w:val="24"/>
      <w:szCs w:val="24"/>
      <w:shd w:val="pct20" w:color="auto" w:fill="auto"/>
    </w:rPr>
  </w:style>
  <w:style w:type="character" w:customStyle="1" w:styleId="85">
    <w:name w:val="HTML 预设格式 Char"/>
    <w:link w:val="38"/>
    <w:qFormat/>
    <w:locked/>
    <w:uiPriority w:val="99"/>
    <w:rPr>
      <w:rFonts w:ascii="宋体" w:hAnsi="宋体" w:eastAsia="宋体"/>
      <w:sz w:val="24"/>
      <w:szCs w:val="24"/>
      <w:lang w:val="en-US" w:eastAsia="zh-CN" w:bidi="ar-SA"/>
    </w:rPr>
  </w:style>
  <w:style w:type="character" w:customStyle="1" w:styleId="86">
    <w:name w:val="标题 Char"/>
    <w:link w:val="40"/>
    <w:qFormat/>
    <w:locked/>
    <w:uiPriority w:val="10"/>
    <w:rPr>
      <w:rFonts w:ascii="Cambria" w:hAnsi="Cambria" w:eastAsia="宋体" w:cs="Cambria"/>
      <w:b/>
      <w:bCs/>
      <w:kern w:val="2"/>
      <w:sz w:val="32"/>
      <w:szCs w:val="32"/>
      <w:lang w:val="en-US" w:eastAsia="zh-CN" w:bidi="ar-SA"/>
    </w:rPr>
  </w:style>
  <w:style w:type="character" w:customStyle="1" w:styleId="87">
    <w:name w:val="正文首行缩进 Char"/>
    <w:link w:val="41"/>
    <w:qFormat/>
    <w:uiPriority w:val="99"/>
    <w:rPr>
      <w:rFonts w:ascii="Arial" w:hAnsi="Arial" w:eastAsia="宋体"/>
      <w:kern w:val="2"/>
      <w:sz w:val="21"/>
      <w:szCs w:val="24"/>
      <w:lang w:val="en-US" w:eastAsia="zh-CN" w:bidi="ar-SA"/>
    </w:rPr>
  </w:style>
  <w:style w:type="character" w:customStyle="1" w:styleId="88">
    <w:name w:val="正文首行缩进 2 Char"/>
    <w:link w:val="42"/>
    <w:qFormat/>
    <w:uiPriority w:val="99"/>
  </w:style>
  <w:style w:type="paragraph" w:customStyle="1" w:styleId="8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0">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91">
    <w:name w:val=" Char Char3"/>
    <w:qFormat/>
    <w:uiPriority w:val="0"/>
    <w:rPr>
      <w:rFonts w:ascii="宋体" w:hAnsi="Courier New" w:eastAsia="宋体"/>
      <w:sz w:val="21"/>
      <w:lang w:val="en-US" w:eastAsia="zh-CN"/>
    </w:rPr>
  </w:style>
  <w:style w:type="character" w:customStyle="1" w:styleId="92">
    <w:name w:val="Heading 2 Char"/>
    <w:qFormat/>
    <w:locked/>
    <w:uiPriority w:val="0"/>
    <w:rPr>
      <w:rFonts w:ascii="Cambria" w:hAnsi="Cambria" w:eastAsia="宋体" w:cs="黑体"/>
      <w:b/>
      <w:bCs/>
      <w:sz w:val="32"/>
      <w:szCs w:val="32"/>
    </w:rPr>
  </w:style>
  <w:style w:type="character" w:customStyle="1" w:styleId="93">
    <w:name w:val="Header Char"/>
    <w:qFormat/>
    <w:locked/>
    <w:uiPriority w:val="0"/>
    <w:rPr>
      <w:rFonts w:cs="Times New Roman"/>
      <w:sz w:val="18"/>
      <w:szCs w:val="18"/>
    </w:rPr>
  </w:style>
  <w:style w:type="character" w:customStyle="1" w:styleId="94">
    <w:name w:val="apple-converted-space"/>
    <w:qFormat/>
    <w:uiPriority w:val="0"/>
  </w:style>
  <w:style w:type="character" w:customStyle="1" w:styleId="95">
    <w:name w:val="mini-outputtext1"/>
    <w:qFormat/>
    <w:uiPriority w:val="0"/>
  </w:style>
  <w:style w:type="character" w:customStyle="1" w:styleId="96">
    <w:name w:val="apple-style-span"/>
    <w:qFormat/>
    <w:uiPriority w:val="0"/>
  </w:style>
  <w:style w:type="character" w:customStyle="1" w:styleId="97">
    <w:name w:val="Heading 1 Char"/>
    <w:qFormat/>
    <w:locked/>
    <w:uiPriority w:val="0"/>
    <w:rPr>
      <w:rFonts w:eastAsia="宋体"/>
      <w:b/>
      <w:bCs/>
      <w:kern w:val="44"/>
      <w:sz w:val="44"/>
      <w:szCs w:val="44"/>
      <w:lang w:val="en-US" w:eastAsia="zh-CN" w:bidi="ar-SA"/>
    </w:rPr>
  </w:style>
  <w:style w:type="character" w:customStyle="1" w:styleId="98">
    <w:name w:val="Heading 4 Char"/>
    <w:qFormat/>
    <w:locked/>
    <w:uiPriority w:val="0"/>
    <w:rPr>
      <w:rFonts w:ascii="Cambria" w:hAnsi="Cambria" w:eastAsia="宋体" w:cs="黑体"/>
      <w:b/>
      <w:bCs/>
      <w:kern w:val="2"/>
      <w:sz w:val="28"/>
      <w:szCs w:val="28"/>
      <w:lang w:val="en-US" w:eastAsia="zh-CN" w:bidi="ar-SA"/>
    </w:rPr>
  </w:style>
  <w:style w:type="character" w:customStyle="1" w:styleId="99">
    <w:name w:val=" Char Char4"/>
    <w:qFormat/>
    <w:uiPriority w:val="0"/>
    <w:rPr>
      <w:sz w:val="18"/>
      <w:szCs w:val="18"/>
    </w:rPr>
  </w:style>
  <w:style w:type="character" w:customStyle="1" w:styleId="100">
    <w:name w:val="列出段落 Char"/>
    <w:link w:val="101"/>
    <w:qFormat/>
    <w:uiPriority w:val="0"/>
    <w:rPr>
      <w:rFonts w:ascii="Calibri" w:hAnsi="Calibri"/>
      <w:kern w:val="2"/>
      <w:sz w:val="24"/>
      <w:szCs w:val="22"/>
    </w:rPr>
  </w:style>
  <w:style w:type="paragraph" w:customStyle="1" w:styleId="101">
    <w:name w:val="列出段落1"/>
    <w:basedOn w:val="1"/>
    <w:link w:val="100"/>
    <w:qFormat/>
    <w:uiPriority w:val="0"/>
    <w:pPr>
      <w:spacing w:line="360" w:lineRule="auto"/>
      <w:ind w:firstLine="420" w:firstLineChars="200"/>
      <w:jc w:val="left"/>
    </w:pPr>
    <w:rPr>
      <w:sz w:val="24"/>
      <w:szCs w:val="22"/>
    </w:rPr>
  </w:style>
  <w:style w:type="character" w:customStyle="1" w:styleId="102">
    <w:name w:val="tpc_content"/>
    <w:qFormat/>
    <w:uiPriority w:val="0"/>
  </w:style>
  <w:style w:type="character" w:customStyle="1" w:styleId="103">
    <w:name w:val=" Char Char Char Char Char Char Char Char"/>
    <w:link w:val="104"/>
    <w:qFormat/>
    <w:uiPriority w:val="0"/>
    <w:rPr>
      <w:rFonts w:eastAsia="宋体"/>
      <w:sz w:val="24"/>
      <w:szCs w:val="24"/>
      <w:lang w:val="en-US" w:eastAsia="zh-CN" w:bidi="ar-SA"/>
    </w:rPr>
  </w:style>
  <w:style w:type="paragraph" w:customStyle="1" w:styleId="104">
    <w:name w:val=" Char Char Char Char Char Char Char"/>
    <w:basedOn w:val="1"/>
    <w:link w:val="103"/>
    <w:qFormat/>
    <w:uiPriority w:val="0"/>
    <w:pPr>
      <w:widowControl/>
      <w:spacing w:after="160" w:line="240" w:lineRule="exact"/>
      <w:jc w:val="left"/>
    </w:pPr>
    <w:rPr>
      <w:kern w:val="0"/>
      <w:sz w:val="24"/>
    </w:rPr>
  </w:style>
  <w:style w:type="character" w:customStyle="1" w:styleId="105">
    <w:name w:val="无间隔 Char"/>
    <w:link w:val="106"/>
    <w:qFormat/>
    <w:locked/>
    <w:uiPriority w:val="0"/>
    <w:rPr>
      <w:sz w:val="22"/>
      <w:lang w:val="en-US" w:eastAsia="zh-CN" w:bidi="ar-SA"/>
    </w:rPr>
  </w:style>
  <w:style w:type="paragraph" w:customStyle="1" w:styleId="106">
    <w:name w:val="No Spacing1"/>
    <w:link w:val="105"/>
    <w:qFormat/>
    <w:uiPriority w:val="0"/>
    <w:rPr>
      <w:rFonts w:ascii="Times New Roman" w:hAnsi="Times New Roman" w:eastAsia="宋体" w:cs="Times New Roman"/>
      <w:sz w:val="22"/>
      <w:lang w:val="en-US" w:eastAsia="zh-CN" w:bidi="ar-SA"/>
    </w:rPr>
  </w:style>
  <w:style w:type="character" w:customStyle="1" w:styleId="107">
    <w:name w:val="Footer Char"/>
    <w:qFormat/>
    <w:locked/>
    <w:uiPriority w:val="0"/>
    <w:rPr>
      <w:rFonts w:cs="Times New Roman"/>
      <w:sz w:val="18"/>
      <w:szCs w:val="18"/>
    </w:rPr>
  </w:style>
  <w:style w:type="character" w:customStyle="1" w:styleId="108">
    <w:name w:val="Heading 5 Char"/>
    <w:qFormat/>
    <w:locked/>
    <w:uiPriority w:val="0"/>
    <w:rPr>
      <w:rFonts w:eastAsia="宋体"/>
      <w:b/>
      <w:bCs/>
      <w:kern w:val="2"/>
      <w:sz w:val="28"/>
      <w:szCs w:val="28"/>
      <w:lang w:val="en-US" w:eastAsia="zh-CN" w:bidi="ar-SA"/>
    </w:rPr>
  </w:style>
  <w:style w:type="character" w:customStyle="1" w:styleId="109">
    <w:name w:val="样式 宋体"/>
    <w:qFormat/>
    <w:uiPriority w:val="0"/>
    <w:rPr>
      <w:rFonts w:ascii="宋体" w:hAnsi="宋体" w:eastAsia="宋体"/>
      <w:kern w:val="0"/>
      <w:sz w:val="32"/>
      <w:lang w:val="en-US" w:eastAsia="zh-CN"/>
    </w:rPr>
  </w:style>
  <w:style w:type="character" w:customStyle="1" w:styleId="110">
    <w:name w:val="样式 标题 3h3H3l3CTheading 3Level 3 Headlevel_3PIM 3sect1.2... Char"/>
    <w:link w:val="111"/>
    <w:qFormat/>
    <w:uiPriority w:val="0"/>
    <w:rPr>
      <w:rFonts w:ascii="Arial" w:hAnsi="Arial" w:eastAsia="黑体"/>
      <w:bCs/>
      <w:sz w:val="24"/>
      <w:szCs w:val="32"/>
      <w:lang w:bidi="ar-SA"/>
    </w:rPr>
  </w:style>
  <w:style w:type="paragraph" w:customStyle="1" w:styleId="111">
    <w:name w:val="样式 标题 3h3H3l3CTheading 3Level 3 Headlevel_3PIM 3sect1.2..."/>
    <w:basedOn w:val="5"/>
    <w:link w:val="110"/>
    <w:qFormat/>
    <w:uiPriority w:val="0"/>
    <w:pPr>
      <w:numPr>
        <w:ilvl w:val="2"/>
        <w:numId w:val="0"/>
      </w:numPr>
      <w:spacing w:beforeLines="50" w:afterLines="50" w:line="360" w:lineRule="auto"/>
      <w:ind w:left="720" w:hanging="720"/>
    </w:pPr>
    <w:rPr>
      <w:rFonts w:ascii="Arial" w:hAnsi="Arial" w:eastAsia="黑体"/>
      <w:b w:val="0"/>
      <w:kern w:val="0"/>
      <w:sz w:val="24"/>
    </w:rPr>
  </w:style>
  <w:style w:type="character" w:customStyle="1" w:styleId="112">
    <w:name w:val="Heading 3 Char"/>
    <w:qFormat/>
    <w:locked/>
    <w:uiPriority w:val="0"/>
    <w:rPr>
      <w:rFonts w:cs="Times New Roman"/>
      <w:b/>
      <w:bCs/>
      <w:sz w:val="32"/>
      <w:szCs w:val="32"/>
    </w:rPr>
  </w:style>
  <w:style w:type="character" w:customStyle="1" w:styleId="113">
    <w:name w:val="f_user_info1"/>
    <w:qFormat/>
    <w:uiPriority w:val="0"/>
    <w:rPr>
      <w:b/>
      <w:bCs/>
      <w:color w:val="FF6600"/>
      <w:sz w:val="21"/>
      <w:szCs w:val="21"/>
    </w:rPr>
  </w:style>
  <w:style w:type="character" w:customStyle="1" w:styleId="114">
    <w:name w:val="style7"/>
    <w:qFormat/>
    <w:uiPriority w:val="0"/>
  </w:style>
  <w:style w:type="character" w:customStyle="1" w:styleId="115">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16">
    <w:name w:val="style8"/>
    <w:qFormat/>
    <w:uiPriority w:val="0"/>
  </w:style>
  <w:style w:type="character" w:customStyle="1" w:styleId="117">
    <w:name w:val="标准小四 Char"/>
    <w:link w:val="118"/>
    <w:qFormat/>
    <w:uiPriority w:val="0"/>
    <w:rPr>
      <w:rFonts w:ascii="Arial" w:hAnsi="Arial" w:eastAsia="宋体"/>
      <w:kern w:val="2"/>
      <w:sz w:val="24"/>
      <w:szCs w:val="24"/>
      <w:lang w:val="en-US" w:eastAsia="zh-CN" w:bidi="ar-SA"/>
    </w:rPr>
  </w:style>
  <w:style w:type="paragraph" w:customStyle="1" w:styleId="118">
    <w:name w:val="标准小四"/>
    <w:basedOn w:val="1"/>
    <w:link w:val="117"/>
    <w:qFormat/>
    <w:uiPriority w:val="0"/>
    <w:pPr>
      <w:spacing w:line="360" w:lineRule="auto"/>
      <w:ind w:firstLine="200" w:firstLineChars="200"/>
    </w:pPr>
    <w:rPr>
      <w:rFonts w:ascii="Arial" w:hAnsi="Arial"/>
      <w:sz w:val="24"/>
    </w:rPr>
  </w:style>
  <w:style w:type="character" w:customStyle="1" w:styleId="119">
    <w:name w:val="font11"/>
    <w:qFormat/>
    <w:uiPriority w:val="0"/>
    <w:rPr>
      <w:rFonts w:ascii="宋体" w:hAnsi="宋体" w:eastAsia="宋体" w:cs="宋体"/>
      <w:color w:val="000000"/>
      <w:sz w:val="18"/>
      <w:szCs w:val="18"/>
      <w:u w:val="none"/>
    </w:rPr>
  </w:style>
  <w:style w:type="character" w:customStyle="1" w:styleId="120">
    <w:name w:val="Plain Text Char"/>
    <w:qFormat/>
    <w:locked/>
    <w:uiPriority w:val="0"/>
    <w:rPr>
      <w:rFonts w:ascii="宋体" w:hAnsi="Courier New" w:eastAsia="宋体"/>
      <w:sz w:val="21"/>
    </w:rPr>
  </w:style>
  <w:style w:type="character" w:customStyle="1" w:styleId="121">
    <w:name w:val="Char Char4"/>
    <w:qFormat/>
    <w:uiPriority w:val="0"/>
    <w:rPr>
      <w:sz w:val="18"/>
      <w:szCs w:val="18"/>
    </w:rPr>
  </w:style>
  <w:style w:type="character" w:customStyle="1" w:styleId="122">
    <w:name w:val="正文（缩进） Char"/>
    <w:link w:val="123"/>
    <w:qFormat/>
    <w:locked/>
    <w:uiPriority w:val="0"/>
    <w:rPr>
      <w:sz w:val="24"/>
      <w:szCs w:val="24"/>
    </w:rPr>
  </w:style>
  <w:style w:type="paragraph" w:customStyle="1" w:styleId="123">
    <w:name w:val="正文（缩进）"/>
    <w:basedOn w:val="1"/>
    <w:link w:val="122"/>
    <w:qFormat/>
    <w:uiPriority w:val="0"/>
    <w:pPr>
      <w:spacing w:beforeLines="50" w:afterLines="50" w:line="360" w:lineRule="auto"/>
      <w:ind w:firstLine="480" w:firstLineChars="200"/>
    </w:pPr>
    <w:rPr>
      <w:kern w:val="0"/>
      <w:sz w:val="24"/>
    </w:rPr>
  </w:style>
  <w:style w:type="character" w:customStyle="1" w:styleId="124">
    <w:name w:val="Heading 6 Char"/>
    <w:qFormat/>
    <w:locked/>
    <w:uiPriority w:val="0"/>
    <w:rPr>
      <w:rFonts w:ascii="Cambria" w:hAnsi="Cambria" w:eastAsia="宋体"/>
      <w:b/>
      <w:bCs/>
      <w:kern w:val="2"/>
      <w:sz w:val="24"/>
      <w:szCs w:val="24"/>
      <w:lang w:val="en-US" w:eastAsia="zh-CN" w:bidi="ar-SA"/>
    </w:rPr>
  </w:style>
  <w:style w:type="character" w:customStyle="1" w:styleId="125">
    <w:name w:val="标题 1 Char Char"/>
    <w:qFormat/>
    <w:uiPriority w:val="0"/>
    <w:rPr>
      <w:rFonts w:eastAsia="宋体"/>
      <w:b/>
      <w:spacing w:val="-2"/>
      <w:sz w:val="24"/>
      <w:lang w:val="en-US" w:eastAsia="zh-CN"/>
    </w:rPr>
  </w:style>
  <w:style w:type="paragraph" w:customStyle="1" w:styleId="126">
    <w:name w:val="DD标题三"/>
    <w:basedOn w:val="5"/>
    <w:qFormat/>
    <w:uiPriority w:val="99"/>
    <w:pPr>
      <w:numPr>
        <w:ilvl w:val="2"/>
        <w:numId w:val="2"/>
      </w:numPr>
      <w:tabs>
        <w:tab w:val="left" w:pos="812"/>
      </w:tabs>
      <w:autoSpaceDE/>
      <w:autoSpaceDN/>
      <w:adjustRightInd/>
      <w:spacing w:before="240" w:after="240" w:line="360" w:lineRule="auto"/>
      <w:ind w:left="218"/>
    </w:pPr>
    <w:rPr>
      <w:rFonts w:ascii="宋体" w:hAnsi="宋体" w:eastAsia="宋体" w:cs="宋体"/>
      <w:sz w:val="28"/>
      <w:szCs w:val="28"/>
    </w:rPr>
  </w:style>
  <w:style w:type="paragraph" w:customStyle="1" w:styleId="1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8">
    <w:name w:val="标题 2（绿盟科技）"/>
    <w:basedOn w:val="4"/>
    <w:next w:val="1"/>
    <w:qFormat/>
    <w:uiPriority w:val="0"/>
    <w:pPr>
      <w:spacing w:line="415" w:lineRule="auto"/>
      <w:jc w:val="left"/>
    </w:pPr>
    <w:rPr>
      <w:bCs w:val="0"/>
    </w:rPr>
  </w:style>
  <w:style w:type="paragraph" w:customStyle="1" w:styleId="129">
    <w:name w:val="Body Text 3"/>
    <w:basedOn w:val="1"/>
    <w:qFormat/>
    <w:uiPriority w:val="0"/>
    <w:pPr>
      <w:spacing w:line="440" w:lineRule="exact"/>
    </w:pPr>
    <w:rPr>
      <w:color w:val="000000"/>
      <w:sz w:val="18"/>
    </w:rPr>
  </w:style>
  <w:style w:type="paragraph" w:customStyle="1" w:styleId="130">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标准文本"/>
    <w:basedOn w:val="1"/>
    <w:qFormat/>
    <w:uiPriority w:val="99"/>
    <w:pPr>
      <w:widowControl/>
      <w:ind w:firstLine="480"/>
      <w:jc w:val="left"/>
    </w:pPr>
    <w:rPr>
      <w:rFonts w:ascii="Times New Roman" w:hAnsi="Times New Roman" w:cs="Times New Roman"/>
      <w:kern w:val="0"/>
      <w:sz w:val="20"/>
      <w:szCs w:val="20"/>
    </w:rPr>
  </w:style>
  <w:style w:type="paragraph" w:customStyle="1" w:styleId="133">
    <w:name w:val="xl25"/>
    <w:basedOn w:val="1"/>
    <w:qFormat/>
    <w:uiPriority w:val="0"/>
    <w:pPr>
      <w:widowControl/>
      <w:spacing w:before="100" w:beforeLines="0" w:beforeAutospacing="1" w:after="100" w:afterLines="0" w:afterAutospacing="1"/>
      <w:textAlignment w:val="center"/>
    </w:pPr>
    <w:rPr>
      <w:rFonts w:ascii="宋体" w:hAnsi="宋体"/>
      <w:kern w:val="0"/>
      <w:sz w:val="18"/>
      <w:szCs w:val="18"/>
    </w:rPr>
  </w:style>
  <w:style w:type="paragraph" w:customStyle="1" w:styleId="134">
    <w:name w:val="无间隔1"/>
    <w:qFormat/>
    <w:uiPriority w:val="0"/>
    <w:pPr>
      <w:widowControl w:val="0"/>
      <w:jc w:val="both"/>
    </w:pPr>
    <w:rPr>
      <w:rFonts w:ascii="Times New Roman" w:hAnsi="Times New Roman" w:eastAsia="宋体" w:cs="Times New Roman"/>
      <w:lang w:val="en-US" w:eastAsia="zh-CN" w:bidi="ar-SA"/>
    </w:rPr>
  </w:style>
  <w:style w:type="paragraph" w:customStyle="1" w:styleId="135">
    <w:name w:val="Table Paragraph"/>
    <w:basedOn w:val="1"/>
    <w:qFormat/>
    <w:uiPriority w:val="1"/>
    <w:rPr>
      <w:rFonts w:ascii="Times New Roman" w:hAnsi="Times New Roman" w:eastAsia="Times New Roman" w:cs="Times New Roman"/>
    </w:rPr>
  </w:style>
  <w:style w:type="paragraph" w:customStyle="1" w:styleId="136">
    <w:name w:val="样式 标题 1 + 四号 居中 段前: 12 磅 段后: 12 磅 行距: 单倍行距"/>
    <w:basedOn w:val="3"/>
    <w:qFormat/>
    <w:uiPriority w:val="0"/>
    <w:pPr>
      <w:keepLines/>
      <w:numPr>
        <w:ilvl w:val="0"/>
        <w:numId w:val="0"/>
      </w:numPr>
      <w:adjustRightInd w:val="0"/>
      <w:spacing w:before="240" w:after="240"/>
      <w:ind w:left="6012" w:firstLine="288"/>
      <w:textAlignment w:val="baseline"/>
    </w:pPr>
    <w:rPr>
      <w:b/>
      <w:bCs/>
      <w:kern w:val="44"/>
    </w:rPr>
  </w:style>
  <w:style w:type="paragraph" w:customStyle="1" w:styleId="137">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38">
    <w:name w:val="段落"/>
    <w:basedOn w:val="1"/>
    <w:qFormat/>
    <w:uiPriority w:val="0"/>
    <w:rPr>
      <w:szCs w:val="24"/>
    </w:rPr>
  </w:style>
  <w:style w:type="paragraph" w:customStyle="1" w:styleId="13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0">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141">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142">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143">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44">
    <w:name w:val="表题"/>
    <w:basedOn w:val="1"/>
    <w:qFormat/>
    <w:uiPriority w:val="0"/>
    <w:pPr>
      <w:spacing w:before="50" w:beforeLines="50" w:line="240" w:lineRule="auto"/>
      <w:ind w:firstLine="0" w:firstLineChars="0"/>
      <w:jc w:val="center"/>
    </w:pPr>
    <w:rPr>
      <w:rFonts w:eastAsia="仿宋_GB2312"/>
      <w:b/>
    </w:rPr>
  </w:style>
  <w:style w:type="paragraph" w:customStyle="1" w:styleId="145">
    <w:name w:val="样式 标题 3 + 左 段前: 13 磅 段后: 13 磅"/>
    <w:basedOn w:val="5"/>
    <w:qFormat/>
    <w:uiPriority w:val="0"/>
    <w:pPr>
      <w:numPr>
        <w:ilvl w:val="2"/>
        <w:numId w:val="0"/>
      </w:numPr>
      <w:snapToGrid w:val="0"/>
      <w:spacing w:line="360" w:lineRule="auto"/>
      <w:ind w:left="720" w:hanging="720"/>
      <w:jc w:val="left"/>
    </w:pPr>
    <w:rPr>
      <w:rFonts w:eastAsia="微软雅黑" w:cs="宋体"/>
      <w:kern w:val="0"/>
      <w:sz w:val="30"/>
      <w:szCs w:val="20"/>
    </w:rPr>
  </w:style>
  <w:style w:type="paragraph" w:customStyle="1" w:styleId="146">
    <w:name w:val="Char Char Char Char1"/>
    <w:basedOn w:val="1"/>
    <w:qFormat/>
    <w:uiPriority w:val="0"/>
    <w:pPr>
      <w:widowControl/>
      <w:spacing w:after="160" w:line="240" w:lineRule="exact"/>
      <w:jc w:val="left"/>
    </w:pPr>
    <w:rPr>
      <w:kern w:val="0"/>
      <w:sz w:val="24"/>
    </w:rPr>
  </w:style>
  <w:style w:type="paragraph" w:customStyle="1" w:styleId="147">
    <w:name w:val="Char Char Char Char"/>
    <w:basedOn w:val="1"/>
    <w:qFormat/>
    <w:uiPriority w:val="0"/>
    <w:pPr>
      <w:widowControl/>
      <w:spacing w:after="160" w:line="240" w:lineRule="exact"/>
      <w:jc w:val="left"/>
    </w:pPr>
    <w:rPr>
      <w:kern w:val="0"/>
      <w:sz w:val="24"/>
    </w:rPr>
  </w:style>
  <w:style w:type="paragraph" w:customStyle="1" w:styleId="148">
    <w:name w:val=" 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149">
    <w:name w:val="Zchn Zchn"/>
    <w:basedOn w:val="1"/>
    <w:qFormat/>
    <w:uiPriority w:val="0"/>
    <w:rPr>
      <w:rFonts w:ascii="Tahoma" w:hAnsi="Tahoma"/>
      <w:sz w:val="24"/>
      <w:szCs w:val="20"/>
    </w:rPr>
  </w:style>
  <w:style w:type="paragraph" w:customStyle="1" w:styleId="150">
    <w:name w:val="正文（仿宋4号）"/>
    <w:basedOn w:val="138"/>
    <w:qFormat/>
    <w:uiPriority w:val="0"/>
    <w:pPr>
      <w:spacing w:line="560" w:lineRule="exact"/>
      <w:ind w:firstLine="560"/>
    </w:pPr>
    <w:rPr>
      <w:rFonts w:eastAsia="仿宋_GB2312"/>
      <w:sz w:val="28"/>
    </w:rPr>
  </w:style>
  <w:style w:type="paragraph" w:customStyle="1" w:styleId="151">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152">
    <w:name w:val=" Zchn Zchn"/>
    <w:basedOn w:val="1"/>
    <w:qFormat/>
    <w:uiPriority w:val="0"/>
    <w:rPr>
      <w:rFonts w:ascii="Tahoma" w:hAnsi="Tahoma"/>
      <w:sz w:val="24"/>
      <w:szCs w:val="20"/>
    </w:rPr>
  </w:style>
  <w:style w:type="paragraph" w:customStyle="1" w:styleId="153">
    <w:name w:val="正文文本5"/>
    <w:basedOn w:val="1"/>
    <w:qFormat/>
    <w:uiPriority w:val="0"/>
    <w:pPr>
      <w:spacing w:line="360" w:lineRule="auto"/>
      <w:jc w:val="left"/>
    </w:pPr>
    <w:rPr>
      <w:rFonts w:eastAsia="仿宋_GB2312"/>
      <w:sz w:val="24"/>
      <w:szCs w:val="21"/>
    </w:rPr>
  </w:style>
  <w:style w:type="paragraph" w:customStyle="1" w:styleId="154">
    <w:name w:val="样式 正文文字缩进 + Times New Roman 小四 首行缩进:  2 字符 行距: 1.5 倍行距"/>
    <w:basedOn w:val="18"/>
    <w:qFormat/>
    <w:uiPriority w:val="0"/>
    <w:pPr>
      <w:spacing w:after="0" w:line="360" w:lineRule="auto"/>
      <w:ind w:left="0" w:leftChars="0" w:firstLine="480" w:firstLineChars="200"/>
    </w:pPr>
    <w:rPr>
      <w:kern w:val="10"/>
      <w:sz w:val="28"/>
      <w:szCs w:val="20"/>
    </w:rPr>
  </w:style>
  <w:style w:type="paragraph" w:customStyle="1" w:styleId="155">
    <w:name w:val="xl47"/>
    <w:basedOn w:val="1"/>
    <w:qFormat/>
    <w:uiPriority w:val="0"/>
    <w:pPr>
      <w:widowControl/>
      <w:spacing w:before="100" w:beforeAutospacing="1" w:after="100" w:afterAutospacing="1"/>
      <w:textAlignment w:val="top"/>
    </w:pPr>
    <w:rPr>
      <w:kern w:val="0"/>
      <w:sz w:val="20"/>
      <w:szCs w:val="20"/>
    </w:rPr>
  </w:style>
  <w:style w:type="paragraph" w:customStyle="1" w:styleId="156">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58">
    <w:name w:val="样式 行距: 1.5 倍行距 首行缩进:  2 字符"/>
    <w:basedOn w:val="1"/>
    <w:qFormat/>
    <w:uiPriority w:val="0"/>
    <w:pPr>
      <w:spacing w:line="360" w:lineRule="auto"/>
      <w:ind w:firstLine="200" w:firstLineChars="200"/>
    </w:pPr>
    <w:rPr>
      <w:kern w:val="10"/>
      <w:sz w:val="28"/>
      <w:szCs w:val="20"/>
    </w:rPr>
  </w:style>
  <w:style w:type="paragraph" w:customStyle="1" w:styleId="159">
    <w:name w:val="_正文段落"/>
    <w:basedOn w:val="1"/>
    <w:qFormat/>
    <w:uiPriority w:val="99"/>
    <w:pPr>
      <w:spacing w:beforeLines="15" w:afterLines="15"/>
    </w:pPr>
    <w:rPr>
      <w:rFonts w:ascii="Times New Roman" w:hAnsi="Times New Roman" w:cs="Times New Roman"/>
      <w:kern w:val="0"/>
      <w:sz w:val="24"/>
      <w:szCs w:val="24"/>
    </w:rPr>
  </w:style>
  <w:style w:type="paragraph" w:customStyle="1" w:styleId="160">
    <w:name w:val=" Char"/>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161">
    <w:name w:val="正文加粗"/>
    <w:basedOn w:val="1"/>
    <w:next w:val="1"/>
    <w:qFormat/>
    <w:uiPriority w:val="0"/>
    <w:pPr>
      <w:spacing w:line="360" w:lineRule="auto"/>
      <w:jc w:val="left"/>
    </w:pPr>
    <w:rPr>
      <w:rFonts w:eastAsia="黑体"/>
      <w:sz w:val="24"/>
      <w:szCs w:val="21"/>
    </w:rPr>
  </w:style>
  <w:style w:type="paragraph" w:customStyle="1" w:styleId="1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3">
    <w:name w:val=" Char Char Char Char"/>
    <w:basedOn w:val="1"/>
    <w:qFormat/>
    <w:uiPriority w:val="0"/>
    <w:pPr>
      <w:widowControl/>
      <w:spacing w:after="160" w:line="240" w:lineRule="exact"/>
      <w:jc w:val="left"/>
    </w:pPr>
    <w:rPr>
      <w:kern w:val="0"/>
      <w:sz w:val="24"/>
    </w:rPr>
  </w:style>
  <w:style w:type="paragraph" w:customStyle="1" w:styleId="164">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165">
    <w:name w:val="Char Char Char Char Char Char Char"/>
    <w:basedOn w:val="1"/>
    <w:link w:val="166"/>
    <w:qFormat/>
    <w:uiPriority w:val="0"/>
    <w:pPr>
      <w:widowControl/>
      <w:spacing w:after="160" w:line="240" w:lineRule="exact"/>
      <w:jc w:val="left"/>
    </w:pPr>
    <w:rPr>
      <w:kern w:val="0"/>
      <w:sz w:val="24"/>
    </w:rPr>
  </w:style>
  <w:style w:type="character" w:customStyle="1" w:styleId="166">
    <w:name w:val="Char Char Char Char Char Char Char Char"/>
    <w:link w:val="165"/>
    <w:qFormat/>
    <w:locked/>
    <w:uiPriority w:val="0"/>
    <w:rPr>
      <w:sz w:val="24"/>
      <w:szCs w:val="24"/>
    </w:rPr>
  </w:style>
  <w:style w:type="paragraph" w:customStyle="1" w:styleId="167">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168">
    <w:name w:val="目录"/>
    <w:basedOn w:val="1"/>
    <w:qFormat/>
    <w:uiPriority w:val="0"/>
    <w:pPr>
      <w:widowControl/>
      <w:jc w:val="center"/>
    </w:pPr>
    <w:rPr>
      <w:rFonts w:ascii="宋体"/>
      <w:b/>
      <w:kern w:val="0"/>
      <w:sz w:val="36"/>
      <w:szCs w:val="20"/>
    </w:rPr>
  </w:style>
  <w:style w:type="paragraph" w:styleId="169">
    <w:name w:val="List Paragraph"/>
    <w:basedOn w:val="1"/>
    <w:qFormat/>
    <w:uiPriority w:val="34"/>
    <w:pPr>
      <w:spacing w:line="360" w:lineRule="auto"/>
      <w:ind w:firstLine="420" w:firstLineChars="200"/>
      <w:jc w:val="left"/>
    </w:pPr>
    <w:rPr>
      <w:rFonts w:ascii="Calibri" w:hAnsi="Calibri"/>
      <w:sz w:val="24"/>
      <w:szCs w:val="22"/>
    </w:rPr>
  </w:style>
  <w:style w:type="paragraph" w:customStyle="1" w:styleId="17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Char1 Char Char Char"/>
    <w:basedOn w:val="1"/>
    <w:qFormat/>
    <w:uiPriority w:val="0"/>
    <w:rPr>
      <w:rFonts w:eastAsia="仿宋_GB2312"/>
      <w:sz w:val="28"/>
    </w:rPr>
  </w:style>
  <w:style w:type="paragraph" w:customStyle="1" w:styleId="172">
    <w:name w:val="List Paragraph1"/>
    <w:basedOn w:val="1"/>
    <w:qFormat/>
    <w:uiPriority w:val="0"/>
    <w:pPr>
      <w:ind w:firstLine="420" w:firstLineChars="200"/>
    </w:pPr>
    <w:rPr>
      <w:szCs w:val="20"/>
    </w:rPr>
  </w:style>
  <w:style w:type="paragraph" w:customStyle="1" w:styleId="173">
    <w:name w:val="正文文本4"/>
    <w:basedOn w:val="1"/>
    <w:qFormat/>
    <w:uiPriority w:val="0"/>
    <w:pPr>
      <w:spacing w:line="360" w:lineRule="auto"/>
      <w:ind w:left="1008" w:hanging="1008"/>
      <w:jc w:val="left"/>
    </w:pPr>
    <w:rPr>
      <w:rFonts w:eastAsia="仿宋_GB2312"/>
      <w:sz w:val="24"/>
      <w:szCs w:val="21"/>
    </w:rPr>
  </w:style>
  <w:style w:type="paragraph" w:customStyle="1" w:styleId="174">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75">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176">
    <w:name w:val="项目编号"/>
    <w:basedOn w:val="1"/>
    <w:next w:val="1"/>
    <w:qFormat/>
    <w:uiPriority w:val="0"/>
    <w:pPr>
      <w:numPr>
        <w:ilvl w:val="0"/>
        <w:numId w:val="4"/>
      </w:numPr>
      <w:spacing w:line="360" w:lineRule="auto"/>
      <w:jc w:val="left"/>
    </w:pPr>
    <w:rPr>
      <w:rFonts w:ascii="Arial" w:hAnsi="Arial"/>
      <w:sz w:val="24"/>
      <w:szCs w:val="21"/>
    </w:rPr>
  </w:style>
  <w:style w:type="paragraph" w:customStyle="1" w:styleId="177">
    <w:name w:val="图1"/>
    <w:basedOn w:val="1"/>
    <w:next w:val="1"/>
    <w:qFormat/>
    <w:uiPriority w:val="0"/>
    <w:pPr>
      <w:numPr>
        <w:ilvl w:val="0"/>
        <w:numId w:val="5"/>
      </w:numPr>
      <w:spacing w:beforeLines="50" w:afterLines="100" w:line="360" w:lineRule="auto"/>
      <w:ind w:left="2210" w:hanging="748"/>
      <w:jc w:val="center"/>
    </w:pPr>
    <w:rPr>
      <w:kern w:val="0"/>
      <w:sz w:val="24"/>
    </w:rPr>
  </w:style>
  <w:style w:type="paragraph" w:customStyle="1" w:styleId="178">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81">
    <w:name w:val="Char1"/>
    <w:basedOn w:val="1"/>
    <w:qFormat/>
    <w:uiPriority w:val="0"/>
    <w:pPr>
      <w:widowControl/>
      <w:jc w:val="left"/>
    </w:pPr>
    <w:rPr>
      <w:kern w:val="0"/>
      <w:sz w:val="24"/>
      <w:lang w:eastAsia="en-US"/>
    </w:rPr>
  </w:style>
  <w:style w:type="paragraph" w:customStyle="1" w:styleId="182">
    <w:name w:val="List Paragraph2"/>
    <w:basedOn w:val="1"/>
    <w:qFormat/>
    <w:uiPriority w:val="0"/>
    <w:pPr>
      <w:ind w:firstLine="420" w:firstLineChars="200"/>
    </w:pPr>
    <w:rPr>
      <w:rFonts w:ascii="Calibri" w:hAnsi="Calibri"/>
      <w:szCs w:val="22"/>
    </w:rPr>
  </w:style>
  <w:style w:type="paragraph" w:customStyle="1" w:styleId="183">
    <w:name w:val="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表格内容"/>
    <w:basedOn w:val="1"/>
    <w:qFormat/>
    <w:uiPriority w:val="99"/>
    <w:pPr>
      <w:ind w:firstLine="0" w:firstLineChars="0"/>
      <w:jc w:val="center"/>
    </w:pPr>
  </w:style>
  <w:style w:type="character" w:customStyle="1" w:styleId="186">
    <w:name w:val="font01"/>
    <w:qFormat/>
    <w:uiPriority w:val="0"/>
    <w:rPr>
      <w:rFonts w:ascii="Wingdings 2" w:hAnsi="Wingdings 2" w:eastAsia="Wingdings 2" w:cs="Wingdings 2"/>
      <w:color w:val="000000"/>
      <w:sz w:val="24"/>
      <w:szCs w:val="24"/>
      <w:u w:val="none"/>
    </w:rPr>
  </w:style>
  <w:style w:type="paragraph" w:customStyle="1" w:styleId="187">
    <w:name w:val="WPS Plain"/>
    <w:qFormat/>
    <w:uiPriority w:val="0"/>
    <w:rPr>
      <w:rFonts w:ascii="Times New Roman" w:hAnsi="Times New Roman" w:eastAsia="宋体" w:cs="Times New Roman"/>
      <w:sz w:val="21"/>
      <w:szCs w:val="22"/>
      <w:lang w:val="en-US" w:eastAsia="zh-CN" w:bidi="ar-SA"/>
    </w:rPr>
  </w:style>
  <w:style w:type="paragraph" w:customStyle="1" w:styleId="18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9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91">
    <w:name w:val="表格文字"/>
    <w:basedOn w:val="1"/>
    <w:qFormat/>
    <w:uiPriority w:val="0"/>
    <w:pPr>
      <w:jc w:val="left"/>
    </w:pPr>
    <w:rPr>
      <w:bCs/>
      <w:spacing w:val="10"/>
      <w:sz w:val="24"/>
    </w:rPr>
  </w:style>
  <w:style w:type="paragraph" w:customStyle="1" w:styleId="192">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193">
    <w:name w:val="No Spacing2"/>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94">
    <w:name w:val="正文文本 字符"/>
    <w:qFormat/>
    <w:uiPriority w:val="0"/>
    <w:rPr>
      <w:rFonts w:hint="eastAsia" w:ascii="宋体" w:hAnsi="宋体" w:eastAsia="宋体"/>
      <w:kern w:val="2"/>
      <w:sz w:val="21"/>
      <w:szCs w:val="24"/>
      <w:lang w:val="en-US" w:eastAsia="zh-CN" w:bidi="ar-SA"/>
    </w:rPr>
  </w:style>
  <w:style w:type="character" w:customStyle="1" w:styleId="195">
    <w:name w:val="标题 1 Char1"/>
    <w:qFormat/>
    <w:locked/>
    <w:uiPriority w:val="0"/>
    <w:rPr>
      <w:kern w:val="2"/>
      <w:sz w:val="28"/>
    </w:rPr>
  </w:style>
  <w:style w:type="character" w:customStyle="1" w:styleId="196">
    <w:name w:val="标题 2 Char1"/>
    <w:semiHidden/>
    <w:qFormat/>
    <w:locked/>
    <w:uiPriority w:val="0"/>
    <w:rPr>
      <w:rFonts w:ascii="Arial" w:hAnsi="Arial" w:eastAsia="黑体"/>
      <w:b/>
      <w:bCs/>
      <w:kern w:val="2"/>
      <w:sz w:val="32"/>
      <w:szCs w:val="32"/>
    </w:rPr>
  </w:style>
  <w:style w:type="character" w:customStyle="1" w:styleId="197">
    <w:name w:val="标题 3 Char1"/>
    <w:semiHidden/>
    <w:qFormat/>
    <w:locked/>
    <w:uiPriority w:val="0"/>
    <w:rPr>
      <w:b/>
      <w:bCs/>
      <w:kern w:val="2"/>
      <w:sz w:val="32"/>
      <w:szCs w:val="32"/>
    </w:rPr>
  </w:style>
  <w:style w:type="character" w:customStyle="1" w:styleId="198">
    <w:name w:val="标题 4 Char1"/>
    <w:semiHidden/>
    <w:qFormat/>
    <w:locked/>
    <w:uiPriority w:val="0"/>
    <w:rPr>
      <w:rFonts w:ascii="Cambria" w:hAnsi="Cambria" w:eastAsia="黑体" w:cs="宋体"/>
      <w:bCs/>
      <w:sz w:val="28"/>
      <w:szCs w:val="28"/>
    </w:rPr>
  </w:style>
  <w:style w:type="character" w:customStyle="1" w:styleId="199">
    <w:name w:val="标题 5 Char1"/>
    <w:semiHidden/>
    <w:qFormat/>
    <w:locked/>
    <w:uiPriority w:val="0"/>
    <w:rPr>
      <w:rFonts w:eastAsia="黑体"/>
      <w:bCs/>
      <w:sz w:val="28"/>
      <w:szCs w:val="28"/>
    </w:rPr>
  </w:style>
  <w:style w:type="character" w:customStyle="1" w:styleId="200">
    <w:name w:val="标题 6 Char1"/>
    <w:semiHidden/>
    <w:qFormat/>
    <w:locked/>
    <w:uiPriority w:val="0"/>
    <w:rPr>
      <w:rFonts w:ascii="Cambria" w:hAnsi="Cambria" w:cs="宋体"/>
      <w:b/>
      <w:bCs/>
      <w:sz w:val="24"/>
      <w:szCs w:val="24"/>
    </w:rPr>
  </w:style>
  <w:style w:type="character" w:customStyle="1" w:styleId="201">
    <w:name w:val="标题 7 Char1"/>
    <w:semiHidden/>
    <w:qFormat/>
    <w:locked/>
    <w:uiPriority w:val="0"/>
    <w:rPr>
      <w:b/>
      <w:bCs/>
      <w:sz w:val="24"/>
      <w:szCs w:val="24"/>
    </w:rPr>
  </w:style>
  <w:style w:type="character" w:customStyle="1" w:styleId="202">
    <w:name w:val="标题 8 Char1"/>
    <w:semiHidden/>
    <w:qFormat/>
    <w:locked/>
    <w:uiPriority w:val="0"/>
    <w:rPr>
      <w:rFonts w:ascii="Cambria" w:hAnsi="Cambria"/>
      <w:sz w:val="24"/>
      <w:szCs w:val="24"/>
    </w:rPr>
  </w:style>
  <w:style w:type="character" w:customStyle="1" w:styleId="203">
    <w:name w:val="标题 9 Char1"/>
    <w:semiHidden/>
    <w:qFormat/>
    <w:locked/>
    <w:uiPriority w:val="0"/>
    <w:rPr>
      <w:rFonts w:ascii="Cambria" w:hAnsi="Cambria"/>
      <w:szCs w:val="21"/>
    </w:rPr>
  </w:style>
  <w:style w:type="character" w:customStyle="1" w:styleId="204">
    <w:name w:val="文档结构图 Char1"/>
    <w:semiHidden/>
    <w:qFormat/>
    <w:locked/>
    <w:uiPriority w:val="0"/>
    <w:rPr>
      <w:rFonts w:ascii="宋体"/>
      <w:sz w:val="18"/>
      <w:szCs w:val="18"/>
    </w:rPr>
  </w:style>
  <w:style w:type="character" w:customStyle="1" w:styleId="205">
    <w:name w:val="正文文本 3 Char1"/>
    <w:semiHidden/>
    <w:qFormat/>
    <w:locked/>
    <w:uiPriority w:val="0"/>
    <w:rPr>
      <w:kern w:val="2"/>
      <w:sz w:val="16"/>
      <w:szCs w:val="16"/>
    </w:rPr>
  </w:style>
  <w:style w:type="character" w:customStyle="1" w:styleId="206">
    <w:name w:val="正文文本缩进 Char1"/>
    <w:semiHidden/>
    <w:qFormat/>
    <w:locked/>
    <w:uiPriority w:val="0"/>
    <w:rPr>
      <w:kern w:val="2"/>
      <w:sz w:val="21"/>
      <w:szCs w:val="24"/>
    </w:rPr>
  </w:style>
  <w:style w:type="character" w:customStyle="1" w:styleId="207">
    <w:name w:val="纯文本 Char1"/>
    <w:semiHidden/>
    <w:qFormat/>
    <w:locked/>
    <w:uiPriority w:val="0"/>
    <w:rPr>
      <w:rFonts w:ascii="宋体" w:hAnsi="Courier New"/>
      <w:kern w:val="2"/>
      <w:sz w:val="21"/>
    </w:rPr>
  </w:style>
  <w:style w:type="character" w:customStyle="1" w:styleId="208">
    <w:name w:val="日期 Char1"/>
    <w:semiHidden/>
    <w:qFormat/>
    <w:locked/>
    <w:uiPriority w:val="0"/>
    <w:rPr>
      <w:kern w:val="2"/>
      <w:sz w:val="21"/>
    </w:rPr>
  </w:style>
  <w:style w:type="character" w:customStyle="1" w:styleId="209">
    <w:name w:val="正文文本缩进 2 Char1"/>
    <w:semiHidden/>
    <w:qFormat/>
    <w:locked/>
    <w:uiPriority w:val="0"/>
    <w:rPr>
      <w:kern w:val="2"/>
      <w:sz w:val="21"/>
      <w:szCs w:val="24"/>
    </w:rPr>
  </w:style>
  <w:style w:type="character" w:customStyle="1" w:styleId="210">
    <w:name w:val="批注框文本 Char1"/>
    <w:semiHidden/>
    <w:qFormat/>
    <w:locked/>
    <w:uiPriority w:val="0"/>
    <w:rPr>
      <w:sz w:val="18"/>
      <w:szCs w:val="18"/>
    </w:rPr>
  </w:style>
  <w:style w:type="character" w:customStyle="1" w:styleId="211">
    <w:name w:val="页脚 Char1"/>
    <w:semiHidden/>
    <w:qFormat/>
    <w:locked/>
    <w:uiPriority w:val="99"/>
    <w:rPr>
      <w:kern w:val="2"/>
      <w:sz w:val="18"/>
      <w:szCs w:val="18"/>
    </w:rPr>
  </w:style>
  <w:style w:type="character" w:customStyle="1" w:styleId="212">
    <w:name w:val="页眉 Char1"/>
    <w:semiHidden/>
    <w:qFormat/>
    <w:locked/>
    <w:uiPriority w:val="99"/>
    <w:rPr>
      <w:kern w:val="2"/>
      <w:sz w:val="18"/>
      <w:szCs w:val="18"/>
    </w:rPr>
  </w:style>
  <w:style w:type="character" w:customStyle="1" w:styleId="213">
    <w:name w:val="正文文本缩进 3 Char1"/>
    <w:semiHidden/>
    <w:qFormat/>
    <w:locked/>
    <w:uiPriority w:val="0"/>
    <w:rPr>
      <w:kern w:val="2"/>
      <w:sz w:val="16"/>
      <w:szCs w:val="16"/>
    </w:rPr>
  </w:style>
  <w:style w:type="character" w:customStyle="1" w:styleId="214">
    <w:name w:val="正文文本 2 Char1"/>
    <w:semiHidden/>
    <w:qFormat/>
    <w:locked/>
    <w:uiPriority w:val="0"/>
    <w:rPr>
      <w:kern w:val="2"/>
      <w:sz w:val="21"/>
      <w:szCs w:val="24"/>
    </w:rPr>
  </w:style>
  <w:style w:type="character" w:customStyle="1" w:styleId="215">
    <w:name w:val="HTML 预设格式 Char1"/>
    <w:semiHidden/>
    <w:qFormat/>
    <w:locked/>
    <w:uiPriority w:val="0"/>
    <w:rPr>
      <w:rFonts w:ascii="宋体" w:hAnsi="宋体"/>
      <w:sz w:val="24"/>
      <w:szCs w:val="24"/>
    </w:rPr>
  </w:style>
  <w:style w:type="character" w:customStyle="1" w:styleId="216">
    <w:name w:val="标题 Char1"/>
    <w:qFormat/>
    <w:locked/>
    <w:uiPriority w:val="0"/>
    <w:rPr>
      <w:rFonts w:ascii="Cambria" w:hAnsi="Cambria" w:cs="Cambria"/>
      <w:b/>
      <w:bCs/>
      <w:kern w:val="2"/>
      <w:sz w:val="32"/>
      <w:szCs w:val="32"/>
    </w:rPr>
  </w:style>
  <w:style w:type="character" w:customStyle="1" w:styleId="217">
    <w:name w:val="正文文本首行缩进 字符"/>
    <w:qFormat/>
    <w:uiPriority w:val="0"/>
    <w:rPr>
      <w:rFonts w:hint="default" w:ascii="Arial" w:hAnsi="Arial" w:eastAsia="宋体" w:cs="Arial"/>
      <w:kern w:val="2"/>
      <w:sz w:val="21"/>
      <w:szCs w:val="24"/>
      <w:lang w:val="en-US" w:eastAsia="zh-CN" w:bidi="ar-SA"/>
    </w:rPr>
  </w:style>
  <w:style w:type="character" w:customStyle="1" w:styleId="218">
    <w:name w:val="正文文本首行缩进 2 字符"/>
    <w:qFormat/>
    <w:locked/>
    <w:uiPriority w:val="0"/>
  </w:style>
  <w:style w:type="character" w:customStyle="1" w:styleId="219">
    <w:name w:val="Char Char3"/>
    <w:qFormat/>
    <w:uiPriority w:val="0"/>
    <w:rPr>
      <w:rFonts w:hint="eastAsia" w:ascii="宋体" w:hAnsi="Courier New" w:eastAsia="宋体"/>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61</Pages>
  <Words>25696</Words>
  <Characters>28683</Characters>
  <Lines>233</Lines>
  <Paragraphs>65</Paragraphs>
  <TotalTime>1</TotalTime>
  <ScaleCrop>false</ScaleCrop>
  <LinksUpToDate>false</LinksUpToDate>
  <CharactersWithSpaces>30537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 BYu</cp:lastModifiedBy>
  <cp:lastPrinted>2022-05-26T02:26:00Z</cp:lastPrinted>
  <dcterms:modified xsi:type="dcterms:W3CDTF">2022-05-26T04:24:20Z</dcterms:modified>
  <dc:title>项 目 编号：AKS-ZFCG（GK）-2012-XX号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6BD523EF660849068CBAD80E6D9AE911</vt:lpwstr>
  </property>
</Properties>
</file>