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Ansi="宋体"/>
        </w:rPr>
      </w:pPr>
      <w:r>
        <w:rPr>
          <w:rFonts w:ascii="宋体" w:hAnsi="宋体"/>
        </w:rPr>
        <w:drawing>
          <wp:inline distT="0" distB="0" distL="0" distR="0">
            <wp:extent cx="1426845" cy="391160"/>
            <wp:effectExtent l="0" t="0" r="19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cstate="print"/>
                    <a:srcRect/>
                    <a:stretch>
                      <a:fillRect/>
                    </a:stretch>
                  </pic:blipFill>
                  <pic:spPr>
                    <a:xfrm>
                      <a:off x="0" y="0"/>
                      <a:ext cx="1430595" cy="392463"/>
                    </a:xfrm>
                    <a:prstGeom prst="rect">
                      <a:avLst/>
                    </a:prstGeom>
                    <a:noFill/>
                    <a:ln w="9525">
                      <a:noFill/>
                      <a:miter lim="800000"/>
                      <a:headEnd/>
                      <a:tailEnd/>
                    </a:ln>
                  </pic:spPr>
                </pic:pic>
              </a:graphicData>
            </a:graphic>
          </wp:inline>
        </w:drawing>
      </w:r>
    </w:p>
    <w:p>
      <w:pPr>
        <w:adjustRightInd w:val="0"/>
        <w:snapToGrid w:val="0"/>
        <w:jc w:val="left"/>
        <w:rPr>
          <w:rFonts w:ascii="宋体" w:hAnsi="宋体"/>
        </w:rPr>
      </w:pPr>
    </w:p>
    <w:p>
      <w:pPr>
        <w:adjustRightInd w:val="0"/>
        <w:snapToGrid w:val="0"/>
        <w:spacing w:line="480" w:lineRule="exact"/>
        <w:jc w:val="center"/>
        <w:rPr>
          <w:rFonts w:ascii="宋体" w:hAnsi="宋体"/>
          <w:bCs/>
          <w:sz w:val="48"/>
          <w:szCs w:val="48"/>
        </w:rPr>
      </w:pPr>
    </w:p>
    <w:p>
      <w:pPr>
        <w:adjustRightInd w:val="0"/>
        <w:snapToGrid w:val="0"/>
        <w:spacing w:line="480" w:lineRule="exact"/>
        <w:jc w:val="center"/>
        <w:rPr>
          <w:rFonts w:ascii="宋体" w:hAnsi="宋体"/>
          <w:bCs/>
          <w:sz w:val="48"/>
          <w:szCs w:val="48"/>
        </w:rPr>
      </w:pPr>
    </w:p>
    <w:p>
      <w:pPr>
        <w:adjustRightInd w:val="0"/>
        <w:snapToGrid w:val="0"/>
        <w:spacing w:line="480" w:lineRule="exact"/>
        <w:jc w:val="center"/>
        <w:rPr>
          <w:rFonts w:ascii="宋体" w:hAnsi="宋体"/>
          <w:b/>
        </w:rPr>
      </w:pPr>
      <w:r>
        <w:rPr>
          <w:rFonts w:hint="eastAsia" w:ascii="宋体" w:hAnsi="宋体"/>
          <w:b/>
          <w:sz w:val="48"/>
          <w:szCs w:val="48"/>
        </w:rPr>
        <w:t>招 标 文 件</w:t>
      </w:r>
    </w:p>
    <w:p>
      <w:pPr>
        <w:ind w:left="1574" w:right="-191" w:rightChars="-91" w:hanging="1574" w:hangingChars="492"/>
        <w:rPr>
          <w:rFonts w:ascii="宋体" w:hAnsi="宋体"/>
          <w:bCs/>
          <w:kern w:val="0"/>
          <w:sz w:val="32"/>
          <w:szCs w:val="32"/>
        </w:rPr>
      </w:pPr>
    </w:p>
    <w:p>
      <w:pPr>
        <w:spacing w:line="600" w:lineRule="auto"/>
        <w:ind w:left="1653" w:leftChars="68" w:hanging="1510" w:hangingChars="470"/>
        <w:rPr>
          <w:rFonts w:hint="eastAsia" w:ascii="宋体" w:hAnsi="宋体" w:cs="宋体" w:eastAsiaTheme="minorEastAsia"/>
          <w:b/>
          <w:sz w:val="32"/>
          <w:szCs w:val="32"/>
          <w:lang w:val="en-US" w:eastAsia="zh-CN"/>
        </w:rPr>
      </w:pPr>
      <w:r>
        <w:rPr>
          <w:rFonts w:hint="eastAsia" w:ascii="宋体" w:hAnsi="宋体" w:cs="宋体"/>
          <w:b/>
          <w:sz w:val="32"/>
          <w:szCs w:val="32"/>
        </w:rPr>
        <w:t>项目名称：</w:t>
      </w:r>
      <w:r>
        <w:rPr>
          <w:rFonts w:hint="eastAsia" w:ascii="宋体" w:hAnsi="宋体" w:cs="宋体"/>
          <w:b/>
          <w:sz w:val="32"/>
          <w:szCs w:val="32"/>
          <w:lang w:eastAsia="zh-CN"/>
        </w:rPr>
        <w:t>乌鲁木齐市机关事务管理局棚改转固资产采购房屋销售服务</w:t>
      </w:r>
      <w:r>
        <w:rPr>
          <w:rFonts w:hint="eastAsia" w:ascii="宋体" w:hAnsi="宋体" w:cs="宋体"/>
          <w:b/>
          <w:sz w:val="32"/>
          <w:szCs w:val="32"/>
          <w:lang w:val="en-US" w:eastAsia="zh-CN"/>
        </w:rPr>
        <w:t>(一标段）</w:t>
      </w:r>
    </w:p>
    <w:p>
      <w:pPr>
        <w:spacing w:line="600" w:lineRule="auto"/>
        <w:ind w:left="1653" w:leftChars="68" w:hanging="1510" w:hangingChars="470"/>
        <w:rPr>
          <w:rFonts w:hint="eastAsia" w:ascii="宋体" w:hAnsi="宋体" w:cs="宋体" w:eastAsiaTheme="minorEastAsia"/>
          <w:b/>
          <w:sz w:val="32"/>
          <w:szCs w:val="32"/>
          <w:lang w:eastAsia="zh-CN"/>
        </w:rPr>
      </w:pPr>
      <w:r>
        <w:rPr>
          <w:rFonts w:hint="eastAsia" w:ascii="宋体" w:hAnsi="宋体" w:cs="宋体"/>
          <w:b/>
          <w:sz w:val="32"/>
          <w:szCs w:val="32"/>
        </w:rPr>
        <w:t>招标人(盖章)：</w:t>
      </w:r>
      <w:r>
        <w:rPr>
          <w:rFonts w:hint="eastAsia"/>
          <w:b/>
          <w:bCs/>
          <w:sz w:val="32"/>
          <w:szCs w:val="32"/>
          <w:u w:val="none"/>
          <w:lang w:val="en-US" w:eastAsia="zh-CN"/>
        </w:rPr>
        <w:t>乌鲁木齐市机关事务管理局</w:t>
      </w:r>
    </w:p>
    <w:p>
      <w:pPr>
        <w:spacing w:line="600" w:lineRule="auto"/>
        <w:ind w:left="1653" w:leftChars="68" w:hanging="1510" w:hangingChars="470"/>
        <w:rPr>
          <w:rFonts w:ascii="宋体" w:hAnsi="宋体" w:cs="宋体"/>
          <w:b/>
          <w:sz w:val="32"/>
          <w:szCs w:val="32"/>
        </w:rPr>
      </w:pPr>
      <w:r>
        <w:rPr>
          <w:rFonts w:hint="eastAsia" w:ascii="宋体" w:hAnsi="宋体" w:cs="宋体"/>
          <w:b/>
          <w:sz w:val="32"/>
          <w:szCs w:val="32"/>
        </w:rPr>
        <w:t>法定代表人(盖章)：</w:t>
      </w:r>
    </w:p>
    <w:p>
      <w:pPr>
        <w:spacing w:line="600" w:lineRule="auto"/>
        <w:ind w:left="1653" w:leftChars="68" w:hanging="1510" w:hangingChars="470"/>
        <w:rPr>
          <w:rFonts w:hint="eastAsia" w:ascii="宋体" w:hAnsi="宋体" w:cs="宋体" w:eastAsiaTheme="minorEastAsia"/>
          <w:b/>
          <w:sz w:val="32"/>
          <w:szCs w:val="32"/>
          <w:lang w:eastAsia="zh-CN"/>
        </w:rPr>
      </w:pPr>
      <w:r>
        <w:rPr>
          <w:rFonts w:hint="eastAsia" w:ascii="宋体" w:hAnsi="宋体" w:cs="宋体"/>
          <w:b/>
          <w:sz w:val="32"/>
          <w:szCs w:val="32"/>
        </w:rPr>
        <w:t xml:space="preserve">联 系 人： </w:t>
      </w:r>
      <w:r>
        <w:rPr>
          <w:rFonts w:hint="eastAsia" w:ascii="宋体" w:hAnsi="宋体" w:cs="宋体"/>
          <w:b/>
          <w:sz w:val="32"/>
          <w:szCs w:val="32"/>
          <w:lang w:val="en-US" w:eastAsia="zh-CN"/>
        </w:rPr>
        <w:t xml:space="preserve"> </w:t>
      </w:r>
    </w:p>
    <w:p>
      <w:pPr>
        <w:spacing w:line="600" w:lineRule="auto"/>
        <w:ind w:left="1653" w:leftChars="68" w:hanging="1510" w:hangingChars="470"/>
        <w:rPr>
          <w:rFonts w:hint="eastAsia" w:ascii="宋体" w:hAnsi="宋体" w:cs="宋体" w:eastAsiaTheme="minorEastAsia"/>
          <w:b/>
          <w:sz w:val="32"/>
          <w:szCs w:val="32"/>
          <w:lang w:eastAsia="zh-CN"/>
        </w:rPr>
      </w:pPr>
      <w:r>
        <w:rPr>
          <w:rFonts w:hint="eastAsia" w:ascii="宋体" w:hAnsi="宋体" w:cs="宋体"/>
          <w:b/>
          <w:sz w:val="32"/>
          <w:szCs w:val="32"/>
        </w:rPr>
        <w:t>电    话：</w:t>
      </w:r>
      <w:r>
        <w:rPr>
          <w:rFonts w:hint="eastAsia" w:ascii="宋体" w:hAnsi="宋体" w:cs="宋体"/>
          <w:b/>
          <w:sz w:val="32"/>
          <w:szCs w:val="32"/>
          <w:lang w:val="en-US" w:eastAsia="zh-CN"/>
        </w:rPr>
        <w:t xml:space="preserve"> </w:t>
      </w:r>
    </w:p>
    <w:p>
      <w:pPr>
        <w:adjustRightInd w:val="0"/>
        <w:snapToGrid w:val="0"/>
        <w:spacing w:line="480" w:lineRule="exact"/>
        <w:rPr>
          <w:rFonts w:ascii="宋体" w:hAnsi="宋体"/>
          <w:bCs/>
          <w:kern w:val="0"/>
          <w:sz w:val="40"/>
          <w:szCs w:val="40"/>
        </w:rPr>
      </w:pPr>
      <w:r>
        <w:rPr>
          <w:rFonts w:hint="eastAsia" w:ascii="宋体" w:hAnsi="宋体"/>
          <w:bCs/>
          <w:kern w:val="0"/>
          <w:sz w:val="40"/>
          <w:szCs w:val="40"/>
        </w:rPr>
        <w:t>———————————————————————</w:t>
      </w:r>
    </w:p>
    <w:p>
      <w:pPr>
        <w:adjustRightInd w:val="0"/>
        <w:snapToGrid w:val="0"/>
        <w:spacing w:line="480" w:lineRule="exact"/>
        <w:jc w:val="center"/>
        <w:rPr>
          <w:rFonts w:ascii="宋体" w:hAnsi="宋体"/>
          <w:bCs/>
          <w:sz w:val="40"/>
          <w:szCs w:val="40"/>
        </w:rPr>
      </w:pPr>
    </w:p>
    <w:p>
      <w:pPr>
        <w:spacing w:line="600" w:lineRule="auto"/>
        <w:ind w:left="1653" w:leftChars="68" w:hanging="1510" w:hangingChars="470"/>
        <w:rPr>
          <w:rFonts w:hint="eastAsia" w:ascii="宋体" w:hAnsi="宋体" w:cs="宋体" w:eastAsiaTheme="minorEastAsia"/>
          <w:b/>
          <w:sz w:val="32"/>
          <w:szCs w:val="32"/>
          <w:lang w:eastAsia="zh-CN"/>
        </w:rPr>
      </w:pPr>
      <w:r>
        <w:rPr>
          <w:rFonts w:hint="eastAsia" w:ascii="宋体" w:hAnsi="宋体" w:cs="宋体"/>
          <w:b/>
          <w:sz w:val="32"/>
          <w:szCs w:val="32"/>
        </w:rPr>
        <w:t>招标代理机构(盖章)：</w:t>
      </w:r>
      <w:r>
        <w:rPr>
          <w:rFonts w:hint="eastAsia" w:ascii="宋体" w:hAnsi="宋体" w:cs="宋体"/>
          <w:b/>
          <w:sz w:val="32"/>
          <w:szCs w:val="32"/>
          <w:lang w:eastAsia="zh-CN"/>
        </w:rPr>
        <w:t>新疆德顺天诚工程管理有限公司</w:t>
      </w:r>
    </w:p>
    <w:p>
      <w:pPr>
        <w:spacing w:line="600" w:lineRule="auto"/>
        <w:ind w:left="1653" w:leftChars="68" w:hanging="1510" w:hangingChars="470"/>
        <w:rPr>
          <w:rFonts w:ascii="宋体" w:hAnsi="宋体" w:cs="宋体"/>
          <w:b/>
          <w:sz w:val="32"/>
          <w:szCs w:val="32"/>
        </w:rPr>
      </w:pPr>
      <w:r>
        <w:rPr>
          <w:rFonts w:hint="eastAsia" w:ascii="宋体" w:hAnsi="宋体" w:cs="宋体"/>
          <w:b/>
          <w:sz w:val="32"/>
          <w:szCs w:val="32"/>
        </w:rPr>
        <w:t xml:space="preserve">法定代表人(盖章)： </w:t>
      </w:r>
    </w:p>
    <w:p>
      <w:pPr>
        <w:spacing w:line="600" w:lineRule="auto"/>
        <w:ind w:left="1653" w:leftChars="68" w:hanging="1510" w:hangingChars="470"/>
        <w:rPr>
          <w:rFonts w:hint="eastAsia" w:ascii="宋体" w:hAnsi="宋体" w:cs="宋体" w:eastAsiaTheme="minorEastAsia"/>
          <w:b/>
          <w:sz w:val="32"/>
          <w:szCs w:val="32"/>
          <w:lang w:eastAsia="zh-CN"/>
        </w:rPr>
      </w:pPr>
      <w:r>
        <w:rPr>
          <w:rFonts w:hint="eastAsia" w:ascii="宋体" w:hAnsi="宋体" w:cs="宋体"/>
          <w:b/>
          <w:sz w:val="32"/>
          <w:szCs w:val="32"/>
        </w:rPr>
        <w:t>联 系 人：</w:t>
      </w:r>
      <w:r>
        <w:rPr>
          <w:rFonts w:hint="eastAsia" w:ascii="宋体" w:hAnsi="宋体" w:cs="宋体"/>
          <w:b/>
          <w:sz w:val="32"/>
          <w:szCs w:val="32"/>
          <w:lang w:val="en-US" w:eastAsia="zh-CN"/>
        </w:rPr>
        <w:t>苏仁娥</w:t>
      </w:r>
    </w:p>
    <w:p>
      <w:pPr>
        <w:spacing w:line="600" w:lineRule="auto"/>
        <w:ind w:left="1653" w:leftChars="68" w:hanging="1510" w:hangingChars="470"/>
        <w:rPr>
          <w:rFonts w:hint="default" w:ascii="宋体" w:hAnsi="宋体" w:cs="宋体" w:eastAsiaTheme="minorEastAsia"/>
          <w:b/>
          <w:sz w:val="32"/>
          <w:szCs w:val="32"/>
          <w:lang w:val="en-US" w:eastAsia="zh-CN"/>
        </w:rPr>
      </w:pPr>
      <w:r>
        <w:rPr>
          <w:rFonts w:hint="eastAsia" w:ascii="宋体" w:hAnsi="宋体" w:cs="宋体"/>
          <w:b/>
          <w:sz w:val="32"/>
          <w:szCs w:val="32"/>
        </w:rPr>
        <w:t>电    话：</w:t>
      </w:r>
      <w:r>
        <w:rPr>
          <w:rFonts w:hint="eastAsia" w:ascii="宋体" w:hAnsi="宋体" w:cs="宋体"/>
          <w:b/>
          <w:sz w:val="32"/>
          <w:szCs w:val="32"/>
          <w:lang w:val="en-US" w:eastAsia="zh-CN"/>
        </w:rPr>
        <w:t>0991-8887163  13565159659</w:t>
      </w:r>
    </w:p>
    <w:p>
      <w:pPr>
        <w:spacing w:line="600" w:lineRule="auto"/>
        <w:ind w:left="1653" w:leftChars="68" w:hanging="1510" w:hangingChars="470"/>
        <w:rPr>
          <w:rFonts w:hint="eastAsia" w:ascii="宋体" w:hAnsi="宋体" w:cs="宋体" w:eastAsiaTheme="minorEastAsia"/>
          <w:b/>
          <w:sz w:val="32"/>
          <w:szCs w:val="32"/>
          <w:lang w:eastAsia="zh-CN"/>
        </w:rPr>
      </w:pPr>
      <w:r>
        <w:rPr>
          <w:rFonts w:hint="eastAsia" w:ascii="宋体" w:hAnsi="宋体" w:cs="宋体"/>
          <w:b/>
          <w:sz w:val="32"/>
          <w:szCs w:val="32"/>
        </w:rPr>
        <w:t xml:space="preserve">详细地址： </w:t>
      </w:r>
      <w:r>
        <w:rPr>
          <w:rFonts w:hint="eastAsia" w:ascii="宋体" w:hAnsi="宋体" w:cs="宋体"/>
          <w:b/>
          <w:sz w:val="32"/>
          <w:szCs w:val="32"/>
          <w:lang w:eastAsia="zh-CN"/>
        </w:rPr>
        <w:t>乌鲁木齐市天山区光明路59号时代广场A座10楼F</w:t>
      </w:r>
    </w:p>
    <w:p>
      <w:pPr>
        <w:widowControl/>
        <w:jc w:val="left"/>
        <w:rPr>
          <w:rFonts w:ascii="宋体" w:cs="宋体"/>
          <w:b/>
          <w:bCs/>
        </w:rPr>
      </w:pPr>
      <w:r>
        <w:rPr>
          <w:rFonts w:ascii="宋体" w:cs="宋体"/>
          <w:b/>
          <w:bCs/>
        </w:rPr>
        <w:br w:type="page"/>
      </w: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Calibri" w:eastAsia="宋体" w:cs="宋体"/>
          <w:b/>
          <w:bCs/>
          <w:sz w:val="24"/>
          <w:szCs w:val="24"/>
        </w:rPr>
      </w:pPr>
      <w:r>
        <w:rPr>
          <w:rFonts w:hint="eastAsia" w:ascii="宋体" w:hAnsi="宋体" w:eastAsia="宋体" w:cs="宋体"/>
          <w:b/>
          <w:bCs/>
          <w:sz w:val="24"/>
          <w:szCs w:val="24"/>
        </w:rPr>
        <w:t>目  录</w:t>
      </w:r>
    </w:p>
    <w:p>
      <w:pPr>
        <w:jc w:val="center"/>
        <w:rPr>
          <w:rFonts w:ascii="宋体" w:hAnsi="Calibri" w:eastAsia="宋体" w:cs="宋体"/>
          <w:b/>
          <w:bCs/>
          <w:sz w:val="24"/>
          <w:szCs w:val="24"/>
        </w:rPr>
      </w:pPr>
    </w:p>
    <w:p>
      <w:pPr>
        <w:pStyle w:val="2"/>
      </w:pPr>
    </w:p>
    <w:p>
      <w:pPr>
        <w:pStyle w:val="18"/>
        <w:tabs>
          <w:tab w:val="right" w:leader="dot" w:pos="9344"/>
        </w:tabs>
        <w:spacing w:line="480" w:lineRule="auto"/>
        <w:rPr>
          <w:rFonts w:asciiTheme="minorHAnsi" w:hAnsiTheme="minorHAnsi" w:eastAsiaTheme="minorEastAsia" w:cstheme="minorBidi"/>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r>
        <w:rPr>
          <w:rStyle w:val="38"/>
          <w:rFonts w:hint="eastAsia" w:ascii="宋体" w:hAnsi="宋体" w:cs="宋体"/>
          <w:b/>
        </w:rPr>
        <w:fldChar w:fldCharType="begin"/>
      </w:r>
      <w:r>
        <w:rPr>
          <w:rStyle w:val="38"/>
          <w:rFonts w:hint="eastAsia" w:ascii="宋体" w:hAnsi="宋体" w:cs="宋体"/>
          <w:b/>
        </w:rPr>
        <w:instrText xml:space="preserve"> HYPERLINK \l "_Toc488827450" </w:instrText>
      </w:r>
      <w:r>
        <w:rPr>
          <w:rStyle w:val="38"/>
          <w:rFonts w:hint="eastAsia" w:ascii="宋体" w:hAnsi="宋体" w:cs="宋体"/>
          <w:b/>
        </w:rPr>
        <w:fldChar w:fldCharType="separate"/>
      </w:r>
      <w:r>
        <w:rPr>
          <w:rStyle w:val="38"/>
          <w:rFonts w:hint="eastAsia" w:ascii="宋体" w:hAnsi="宋体" w:cs="宋体"/>
          <w:b/>
          <w:lang w:eastAsia="zh-CN"/>
        </w:rPr>
        <w:t>第一章招标公告</w:t>
      </w:r>
      <w:r>
        <w:rPr>
          <w:rStyle w:val="38"/>
          <w:rFonts w:hint="eastAsia" w:ascii="宋体" w:hAnsi="宋体" w:cs="宋体"/>
          <w:b w:val="0"/>
          <w:bCs/>
        </w:rPr>
        <w:tab/>
      </w:r>
      <w:r>
        <w:rPr>
          <w:rStyle w:val="38"/>
          <w:rFonts w:hint="eastAsia" w:ascii="宋体" w:hAnsi="宋体" w:cs="宋体"/>
          <w:b/>
        </w:rPr>
        <w:fldChar w:fldCharType="begin"/>
      </w:r>
      <w:r>
        <w:rPr>
          <w:rStyle w:val="38"/>
          <w:rFonts w:hint="eastAsia" w:ascii="宋体" w:hAnsi="宋体" w:cs="宋体"/>
          <w:b/>
        </w:rPr>
        <w:instrText xml:space="preserve"> PAGEREF _Toc488827450 \h </w:instrText>
      </w:r>
      <w:r>
        <w:rPr>
          <w:rStyle w:val="38"/>
          <w:rFonts w:hint="eastAsia" w:ascii="宋体" w:hAnsi="宋体" w:cs="宋体"/>
          <w:b/>
        </w:rPr>
        <w:fldChar w:fldCharType="separate"/>
      </w:r>
      <w:r>
        <w:rPr>
          <w:rStyle w:val="38"/>
          <w:rFonts w:hint="eastAsia" w:ascii="宋体" w:hAnsi="宋体" w:cs="宋体"/>
          <w:b/>
        </w:rPr>
        <w:t>1</w:t>
      </w:r>
      <w:r>
        <w:rPr>
          <w:rStyle w:val="38"/>
          <w:rFonts w:hint="eastAsia" w:ascii="宋体" w:hAnsi="宋体" w:cs="宋体"/>
          <w:b/>
        </w:rPr>
        <w:fldChar w:fldCharType="end"/>
      </w:r>
      <w:r>
        <w:rPr>
          <w:rStyle w:val="38"/>
          <w:rFonts w:hint="eastAsia" w:ascii="宋体" w:hAnsi="宋体" w:cs="宋体"/>
          <w:b/>
        </w:rPr>
        <w:fldChar w:fldCharType="end"/>
      </w:r>
    </w:p>
    <w:p>
      <w:pPr>
        <w:pStyle w:val="18"/>
        <w:tabs>
          <w:tab w:val="right" w:leader="dot" w:pos="9344"/>
        </w:tabs>
        <w:spacing w:line="480" w:lineRule="auto"/>
        <w:rPr>
          <w:rFonts w:asciiTheme="minorHAnsi" w:hAnsiTheme="minorHAnsi" w:eastAsiaTheme="minorEastAsia" w:cstheme="minorBidi"/>
          <w:szCs w:val="22"/>
        </w:rPr>
      </w:pPr>
      <w:r>
        <w:fldChar w:fldCharType="begin"/>
      </w:r>
      <w:r>
        <w:instrText xml:space="preserve"> HYPERLINK \l "_Toc488827451" </w:instrText>
      </w:r>
      <w:r>
        <w:fldChar w:fldCharType="separate"/>
      </w:r>
      <w:r>
        <w:rPr>
          <w:rStyle w:val="38"/>
          <w:rFonts w:hint="eastAsia" w:ascii="宋体" w:hAnsi="宋体" w:cs="宋体"/>
          <w:b/>
        </w:rPr>
        <w:t>第</w:t>
      </w:r>
      <w:r>
        <w:rPr>
          <w:rStyle w:val="38"/>
          <w:rFonts w:hint="eastAsia" w:ascii="宋体" w:hAnsi="宋体" w:cs="宋体"/>
          <w:b/>
          <w:lang w:eastAsia="zh-CN"/>
        </w:rPr>
        <w:t>二</w:t>
      </w:r>
      <w:r>
        <w:rPr>
          <w:rStyle w:val="38"/>
          <w:rFonts w:hint="eastAsia" w:ascii="宋体" w:hAnsi="宋体" w:cs="宋体"/>
          <w:b/>
        </w:rPr>
        <w:t>章投标人须知</w:t>
      </w:r>
      <w:r>
        <w:tab/>
      </w:r>
      <w:r>
        <w:rPr>
          <w:rFonts w:hint="eastAsia"/>
        </w:rPr>
        <w:t>4</w:t>
      </w:r>
      <w:r>
        <w:rPr>
          <w:rFonts w:hint="eastAsia"/>
        </w:rPr>
        <w:fldChar w:fldCharType="end"/>
      </w:r>
    </w:p>
    <w:p>
      <w:pPr>
        <w:pStyle w:val="18"/>
        <w:tabs>
          <w:tab w:val="right" w:leader="dot" w:pos="9344"/>
        </w:tabs>
        <w:spacing w:line="480" w:lineRule="auto"/>
        <w:rPr>
          <w:rFonts w:asciiTheme="minorHAnsi" w:hAnsiTheme="minorHAnsi" w:eastAsiaTheme="minorEastAsia" w:cstheme="minorBidi"/>
          <w:szCs w:val="22"/>
        </w:rPr>
      </w:pPr>
      <w:r>
        <w:fldChar w:fldCharType="begin"/>
      </w:r>
      <w:r>
        <w:instrText xml:space="preserve"> HYPERLINK \l "_Toc488827460" </w:instrText>
      </w:r>
      <w:r>
        <w:fldChar w:fldCharType="separate"/>
      </w:r>
      <w:r>
        <w:rPr>
          <w:rStyle w:val="38"/>
          <w:rFonts w:hint="eastAsia" w:ascii="宋体" w:hAnsi="宋体" w:cs="宋体"/>
          <w:b/>
        </w:rPr>
        <w:t>第</w:t>
      </w:r>
      <w:r>
        <w:rPr>
          <w:rStyle w:val="38"/>
          <w:rFonts w:hint="eastAsia" w:ascii="宋体" w:hAnsi="宋体" w:cs="宋体"/>
          <w:b/>
          <w:lang w:eastAsia="zh-CN"/>
        </w:rPr>
        <w:t>三</w:t>
      </w:r>
      <w:r>
        <w:rPr>
          <w:rStyle w:val="38"/>
          <w:rFonts w:hint="eastAsia" w:ascii="宋体" w:hAnsi="宋体" w:cs="宋体"/>
          <w:b/>
        </w:rPr>
        <w:t>章评标办法（综合评估法）</w:t>
      </w:r>
      <w:r>
        <w:tab/>
      </w:r>
      <w:r>
        <w:fldChar w:fldCharType="begin"/>
      </w:r>
      <w:r>
        <w:instrText xml:space="preserve"> PAGEREF _Toc488827460 \h </w:instrText>
      </w:r>
      <w:r>
        <w:fldChar w:fldCharType="separate"/>
      </w:r>
      <w:r>
        <w:t>15</w:t>
      </w:r>
      <w:r>
        <w:fldChar w:fldCharType="end"/>
      </w:r>
      <w:r>
        <w:fldChar w:fldCharType="end"/>
      </w:r>
    </w:p>
    <w:p>
      <w:pPr>
        <w:pStyle w:val="18"/>
        <w:tabs>
          <w:tab w:val="right" w:leader="dot" w:pos="9344"/>
        </w:tabs>
        <w:spacing w:line="480" w:lineRule="auto"/>
        <w:rPr>
          <w:rFonts w:asciiTheme="minorHAnsi" w:hAnsiTheme="minorHAnsi" w:eastAsiaTheme="minorEastAsia" w:cstheme="minorBidi"/>
          <w:szCs w:val="22"/>
        </w:rPr>
      </w:pPr>
      <w:r>
        <w:fldChar w:fldCharType="begin"/>
      </w:r>
      <w:r>
        <w:instrText xml:space="preserve"> HYPERLINK \l "_Toc488827468" </w:instrText>
      </w:r>
      <w:r>
        <w:fldChar w:fldCharType="separate"/>
      </w:r>
      <w:r>
        <w:rPr>
          <w:rStyle w:val="38"/>
          <w:rFonts w:hint="eastAsia" w:ascii="宋体" w:hAnsi="宋体" w:cs="宋体"/>
          <w:b/>
        </w:rPr>
        <w:t>第</w:t>
      </w:r>
      <w:r>
        <w:rPr>
          <w:rStyle w:val="38"/>
          <w:rFonts w:hint="eastAsia" w:ascii="宋体" w:hAnsi="宋体" w:cs="宋体"/>
          <w:b/>
          <w:lang w:eastAsia="zh-CN"/>
        </w:rPr>
        <w:t>四</w:t>
      </w:r>
      <w:r>
        <w:rPr>
          <w:rStyle w:val="38"/>
          <w:rFonts w:hint="eastAsia" w:ascii="宋体" w:hAnsi="宋体" w:cs="宋体"/>
          <w:b/>
        </w:rPr>
        <w:t>章合同</w:t>
      </w:r>
      <w:r>
        <w:tab/>
      </w:r>
      <w:r>
        <w:fldChar w:fldCharType="begin"/>
      </w:r>
      <w:r>
        <w:instrText xml:space="preserve"> PAGEREF _Toc488827468 \h </w:instrText>
      </w:r>
      <w:r>
        <w:fldChar w:fldCharType="separate"/>
      </w:r>
      <w:r>
        <w:t>24</w:t>
      </w:r>
      <w:r>
        <w:fldChar w:fldCharType="end"/>
      </w:r>
      <w:r>
        <w:fldChar w:fldCharType="end"/>
      </w:r>
    </w:p>
    <w:p>
      <w:pPr>
        <w:pStyle w:val="18"/>
        <w:tabs>
          <w:tab w:val="right" w:leader="dot" w:pos="9344"/>
        </w:tabs>
        <w:spacing w:line="480" w:lineRule="auto"/>
        <w:rPr>
          <w:rFonts w:asciiTheme="minorHAnsi" w:hAnsiTheme="minorHAnsi" w:cstheme="minorBidi"/>
          <w:szCs w:val="22"/>
        </w:rPr>
      </w:pPr>
      <w:r>
        <w:fldChar w:fldCharType="begin"/>
      </w:r>
      <w:r>
        <w:instrText xml:space="preserve"> HYPERLINK \l "_Toc488827472" </w:instrText>
      </w:r>
      <w:r>
        <w:fldChar w:fldCharType="separate"/>
      </w:r>
      <w:r>
        <w:rPr>
          <w:rStyle w:val="38"/>
          <w:rFonts w:hint="eastAsia" w:ascii="宋体" w:hAnsi="宋体" w:cs="宋体"/>
          <w:b/>
        </w:rPr>
        <w:t>第</w:t>
      </w:r>
      <w:r>
        <w:rPr>
          <w:rStyle w:val="38"/>
          <w:rFonts w:hint="eastAsia" w:ascii="宋体" w:hAnsi="宋体" w:cs="宋体"/>
          <w:b/>
          <w:lang w:eastAsia="zh-CN"/>
        </w:rPr>
        <w:t>五</w:t>
      </w:r>
      <w:r>
        <w:rPr>
          <w:rStyle w:val="38"/>
          <w:rFonts w:hint="eastAsia" w:ascii="宋体" w:hAnsi="宋体" w:cs="宋体"/>
          <w:b/>
        </w:rPr>
        <w:t>章服务要求</w:t>
      </w:r>
      <w:r>
        <w:tab/>
      </w:r>
      <w:r>
        <w:rPr>
          <w:rFonts w:hint="eastAsia"/>
        </w:rPr>
        <w:t>2</w:t>
      </w:r>
      <w:r>
        <w:rPr>
          <w:rFonts w:hint="eastAsia"/>
        </w:rPr>
        <w:fldChar w:fldCharType="end"/>
      </w:r>
      <w:r>
        <w:rPr>
          <w:rFonts w:hint="eastAsia"/>
        </w:rPr>
        <w:t>8</w:t>
      </w:r>
    </w:p>
    <w:p>
      <w:pPr>
        <w:pStyle w:val="18"/>
        <w:tabs>
          <w:tab w:val="right" w:leader="dot" w:pos="9344"/>
        </w:tabs>
        <w:spacing w:line="480" w:lineRule="auto"/>
        <w:rPr>
          <w:rFonts w:asciiTheme="minorHAnsi" w:hAnsiTheme="minorHAnsi" w:cstheme="minorBidi"/>
          <w:szCs w:val="22"/>
        </w:rPr>
      </w:pPr>
      <w:r>
        <w:fldChar w:fldCharType="begin"/>
      </w:r>
      <w:r>
        <w:instrText xml:space="preserve"> HYPERLINK \l "_Toc488827473" </w:instrText>
      </w:r>
      <w:r>
        <w:fldChar w:fldCharType="separate"/>
      </w:r>
      <w:r>
        <w:rPr>
          <w:rStyle w:val="38"/>
          <w:rFonts w:hint="eastAsia" w:ascii="宋体" w:hAnsi="宋体" w:cs="宋体"/>
          <w:b/>
        </w:rPr>
        <w:t>第</w:t>
      </w:r>
      <w:r>
        <w:rPr>
          <w:rStyle w:val="38"/>
          <w:rFonts w:hint="eastAsia" w:ascii="宋体" w:hAnsi="宋体" w:cs="宋体"/>
          <w:b/>
          <w:lang w:eastAsia="zh-CN"/>
        </w:rPr>
        <w:t>六</w:t>
      </w:r>
      <w:r>
        <w:rPr>
          <w:rStyle w:val="38"/>
          <w:rFonts w:hint="eastAsia" w:ascii="宋体" w:hAnsi="宋体" w:cs="宋体"/>
          <w:b/>
        </w:rPr>
        <w:t>章投标文件格式</w:t>
      </w:r>
      <w:r>
        <w:tab/>
      </w:r>
      <w:r>
        <w:rPr>
          <w:rFonts w:hint="eastAsia"/>
        </w:rPr>
        <w:t>2</w:t>
      </w:r>
      <w:r>
        <w:rPr>
          <w:rFonts w:hint="eastAsia"/>
        </w:rPr>
        <w:fldChar w:fldCharType="end"/>
      </w:r>
      <w:r>
        <w:rPr>
          <w:rFonts w:hint="eastAsia"/>
        </w:rPr>
        <w:t>9</w:t>
      </w:r>
    </w:p>
    <w:p>
      <w:pPr>
        <w:pStyle w:val="18"/>
        <w:tabs>
          <w:tab w:val="right" w:leader="dot" w:pos="9344"/>
        </w:tabs>
        <w:spacing w:line="480" w:lineRule="auto"/>
        <w:rPr>
          <w:rFonts w:asciiTheme="minorHAnsi" w:hAnsiTheme="minorHAnsi" w:eastAsiaTheme="minorEastAsia" w:cstheme="minorBidi"/>
          <w:szCs w:val="22"/>
        </w:rPr>
      </w:pPr>
      <w:r>
        <w:fldChar w:fldCharType="begin"/>
      </w:r>
      <w:r>
        <w:instrText xml:space="preserve"> HYPERLINK \l "_Toc488827489" </w:instrText>
      </w:r>
      <w:r>
        <w:fldChar w:fldCharType="separate"/>
      </w:r>
      <w:r>
        <w:rPr>
          <w:rStyle w:val="38"/>
          <w:rFonts w:hint="eastAsia" w:ascii="宋体" w:hAnsi="宋体" w:cs="宋体"/>
          <w:b/>
        </w:rPr>
        <w:t>第</w:t>
      </w:r>
      <w:r>
        <w:rPr>
          <w:rStyle w:val="38"/>
          <w:rFonts w:hint="eastAsia" w:ascii="宋体" w:hAnsi="宋体" w:cs="宋体"/>
          <w:b/>
          <w:lang w:eastAsia="zh-CN"/>
        </w:rPr>
        <w:t>七</w:t>
      </w:r>
      <w:r>
        <w:rPr>
          <w:rStyle w:val="38"/>
          <w:rFonts w:hint="eastAsia" w:ascii="宋体" w:hAnsi="宋体" w:cs="宋体"/>
          <w:b/>
        </w:rPr>
        <w:t>章补充条款</w:t>
      </w:r>
      <w:r>
        <w:tab/>
      </w:r>
      <w:r>
        <w:fldChar w:fldCharType="begin"/>
      </w:r>
      <w:r>
        <w:instrText xml:space="preserve"> PAGEREF _Toc488827489 \h </w:instrText>
      </w:r>
      <w:r>
        <w:fldChar w:fldCharType="separate"/>
      </w:r>
      <w:r>
        <w:t>31</w:t>
      </w:r>
      <w:r>
        <w:fldChar w:fldCharType="end"/>
      </w:r>
      <w:r>
        <w:fldChar w:fldCharType="end"/>
      </w:r>
    </w:p>
    <w:p>
      <w:pPr>
        <w:spacing w:line="480" w:lineRule="auto"/>
        <w:rPr>
          <w:rFonts w:ascii="宋体" w:hAnsi="Calibri" w:eastAsia="宋体" w:cs="宋体"/>
          <w:b/>
          <w:bCs/>
        </w:rPr>
        <w:sectPr>
          <w:headerReference r:id="rId3" w:type="default"/>
          <w:footerReference r:id="rId4" w:type="default"/>
          <w:footerReference r:id="rId5" w:type="even"/>
          <w:pgSz w:w="11906" w:h="16838"/>
          <w:pgMar w:top="1418" w:right="1134" w:bottom="1418" w:left="1418" w:header="851" w:footer="992" w:gutter="0"/>
          <w:pgNumType w:start="1"/>
          <w:cols w:space="720" w:num="1"/>
          <w:docGrid w:type="lines" w:linePitch="312" w:charSpace="0"/>
        </w:sectPr>
      </w:pPr>
      <w:r>
        <w:rPr>
          <w:rFonts w:ascii="宋体" w:hAnsi="宋体" w:eastAsia="宋体" w:cs="宋体"/>
          <w:b/>
          <w:bCs/>
          <w:sz w:val="24"/>
        </w:rPr>
        <w:fldChar w:fldCharType="end"/>
      </w:r>
    </w:p>
    <w:p>
      <w:pPr>
        <w:pStyle w:val="5"/>
        <w:numPr>
          <w:ilvl w:val="0"/>
          <w:numId w:val="0"/>
        </w:numPr>
        <w:spacing w:before="44"/>
        <w:ind w:left="2310" w:leftChars="0" w:right="1714" w:rightChars="0"/>
        <w:jc w:val="center"/>
        <w:rPr>
          <w:rFonts w:hint="eastAsia" w:asciiTheme="minorHAnsi" w:hAnsiTheme="minorHAnsi" w:eastAsiaTheme="minorEastAsia" w:cstheme="minorBidi"/>
          <w:b w:val="0"/>
          <w:bCs w:val="0"/>
          <w:color w:val="auto"/>
          <w:kern w:val="2"/>
          <w:sz w:val="24"/>
          <w:szCs w:val="24"/>
          <w:lang w:val="en-US" w:eastAsia="zh-CN" w:bidi="ar-SA"/>
        </w:rPr>
      </w:pPr>
      <w:bookmarkStart w:id="0" w:name="_Toc488827450"/>
      <w:r>
        <w:rPr>
          <w:rFonts w:hint="eastAsia" w:ascii="宋体" w:hAnsi="宋体" w:cs="宋体"/>
          <w:b/>
          <w:bCs w:val="0"/>
          <w:color w:val="auto"/>
          <w:kern w:val="2"/>
          <w:sz w:val="24"/>
          <w:szCs w:val="24"/>
          <w:lang w:val="en-US" w:eastAsia="zh-CN" w:bidi="ar-SA"/>
        </w:rPr>
        <w:t xml:space="preserve">第一章 </w:t>
      </w:r>
      <w:r>
        <w:rPr>
          <w:rFonts w:hint="eastAsia" w:ascii="宋体" w:hAnsi="宋体" w:eastAsia="宋体" w:cs="宋体"/>
          <w:b/>
          <w:bCs w:val="0"/>
          <w:color w:val="auto"/>
          <w:kern w:val="2"/>
          <w:sz w:val="24"/>
          <w:szCs w:val="24"/>
          <w:lang w:val="en-US" w:eastAsia="zh-CN" w:bidi="ar-SA"/>
        </w:rPr>
        <w:t>招标公告</w:t>
      </w:r>
    </w:p>
    <w:p>
      <w:pPr>
        <w:pStyle w:val="5"/>
        <w:numPr>
          <w:ilvl w:val="0"/>
          <w:numId w:val="0"/>
        </w:numPr>
        <w:spacing w:before="44"/>
        <w:ind w:left="3836" w:leftChars="684" w:right="1714" w:rightChars="0" w:hanging="2400" w:hangingChars="10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HAnsi" w:hAnsiTheme="minorHAnsi" w:eastAsiaTheme="minorEastAsia" w:cstheme="minorBidi"/>
          <w:b w:val="0"/>
          <w:bCs w:val="0"/>
          <w:color w:val="auto"/>
          <w:kern w:val="2"/>
          <w:sz w:val="24"/>
          <w:szCs w:val="24"/>
          <w:lang w:val="en-US" w:eastAsia="zh-CN" w:bidi="ar-SA"/>
        </w:rPr>
        <w:t>乌鲁木齐市机关事务管理局棚改转固资产采购房屋销售服务（一标段）</w:t>
      </w:r>
      <w:r>
        <w:rPr>
          <w:rFonts w:asciiTheme="minorHAnsi" w:hAnsiTheme="minorHAnsi" w:eastAsiaTheme="minorEastAsia" w:cstheme="minorBidi"/>
          <w:b w:val="0"/>
          <w:bCs w:val="0"/>
          <w:color w:val="auto"/>
          <w:kern w:val="2"/>
          <w:sz w:val="24"/>
          <w:szCs w:val="24"/>
          <w:lang w:val="en-US" w:eastAsia="zh-CN" w:bidi="ar-SA"/>
        </w:rPr>
        <w:t>招标公告</w:t>
      </w:r>
    </w:p>
    <w:p>
      <w:pPr>
        <w:spacing w:line="360" w:lineRule="auto"/>
        <w:rPr>
          <w:rFonts w:hint="eastAsia" w:eastAsia="宋体"/>
          <w:sz w:val="24"/>
          <w:szCs w:val="24"/>
          <w:lang w:val="en-US" w:eastAsia="zh-CN"/>
        </w:rPr>
      </w:pPr>
      <w:r>
        <w:rPr>
          <w:sz w:val="24"/>
          <w:szCs w:val="24"/>
        </w:rPr>
        <w:t>项目所在地区：新疆维吾尔自治区,乌鲁木齐市</w:t>
      </w:r>
      <w:r>
        <w:rPr>
          <w:rFonts w:hint="eastAsia"/>
          <w:sz w:val="24"/>
          <w:szCs w:val="24"/>
          <w:lang w:val="en-US" w:eastAsia="zh-CN"/>
        </w:rPr>
        <w:t xml:space="preserve"> </w:t>
      </w:r>
    </w:p>
    <w:p>
      <w:pPr>
        <w:spacing w:line="360" w:lineRule="auto"/>
        <w:rPr>
          <w:sz w:val="24"/>
          <w:szCs w:val="24"/>
        </w:rPr>
      </w:pPr>
      <w:r>
        <w:rPr>
          <w:sz w:val="24"/>
          <w:szCs w:val="24"/>
        </w:rPr>
        <w:t>一、招标条件</w:t>
      </w:r>
    </w:p>
    <w:p>
      <w:pPr>
        <w:spacing w:line="360" w:lineRule="auto"/>
        <w:ind w:firstLine="480" w:firstLineChars="200"/>
        <w:rPr>
          <w:sz w:val="24"/>
          <w:szCs w:val="24"/>
        </w:rPr>
      </w:pPr>
      <w:r>
        <w:rPr>
          <w:color w:val="auto"/>
          <w:sz w:val="24"/>
          <w:szCs w:val="24"/>
        </w:rPr>
        <w:t>本</w:t>
      </w:r>
      <w:r>
        <w:rPr>
          <w:rFonts w:hint="eastAsia"/>
          <w:b/>
          <w:bCs/>
          <w:color w:val="auto"/>
          <w:sz w:val="24"/>
          <w:szCs w:val="24"/>
          <w:u w:val="single"/>
          <w:lang w:eastAsia="zh-CN"/>
        </w:rPr>
        <w:t>乌鲁木齐市机关事务管理局棚改转固资产采购房屋销售服务（一标段）</w:t>
      </w:r>
      <w:r>
        <w:rPr>
          <w:color w:val="auto"/>
          <w:sz w:val="24"/>
          <w:szCs w:val="24"/>
        </w:rPr>
        <w:t>已</w:t>
      </w:r>
      <w:r>
        <w:rPr>
          <w:sz w:val="24"/>
          <w:szCs w:val="24"/>
        </w:rPr>
        <w:t>由项目审批/核准/备案机关批准，</w:t>
      </w:r>
      <w:r>
        <w:rPr>
          <w:sz w:val="24"/>
          <w:szCs w:val="24"/>
          <w:highlight w:val="none"/>
        </w:rPr>
        <w:t>项目</w:t>
      </w:r>
      <w:r>
        <w:rPr>
          <w:color w:val="000000" w:themeColor="text1"/>
          <w:sz w:val="24"/>
          <w:szCs w:val="24"/>
          <w:highlight w:val="none"/>
          <w:u w:val="none"/>
          <w14:textFill>
            <w14:solidFill>
              <w14:schemeClr w14:val="tx1"/>
            </w14:solidFill>
          </w14:textFill>
        </w:rPr>
        <w:t>资金来源</w:t>
      </w:r>
      <w:r>
        <w:rPr>
          <w:rFonts w:hint="eastAsia"/>
          <w:color w:val="000000" w:themeColor="text1"/>
          <w:sz w:val="24"/>
          <w:szCs w:val="24"/>
          <w:highlight w:val="none"/>
          <w:u w:val="none"/>
          <w:lang w:val="en-US" w:eastAsia="zh-CN"/>
          <w14:textFill>
            <w14:solidFill>
              <w14:schemeClr w14:val="tx1"/>
            </w14:solidFill>
          </w14:textFill>
        </w:rPr>
        <w:t>为</w:t>
      </w:r>
      <w:r>
        <w:rPr>
          <w:rFonts w:hint="eastAsia"/>
          <w:b/>
          <w:bCs/>
          <w:color w:val="000000" w:themeColor="text1"/>
          <w:sz w:val="24"/>
          <w:szCs w:val="24"/>
          <w:highlight w:val="none"/>
          <w:u w:val="single"/>
          <w:lang w:val="en-US" w:eastAsia="zh-CN"/>
          <w14:textFill>
            <w14:solidFill>
              <w14:schemeClr w14:val="tx1"/>
            </w14:solidFill>
          </w14:textFill>
        </w:rPr>
        <w:t>国有资金</w:t>
      </w:r>
      <w:r>
        <w:rPr>
          <w:rFonts w:hint="eastAsia"/>
          <w:sz w:val="24"/>
          <w:szCs w:val="24"/>
          <w:highlight w:val="none"/>
          <w:lang w:eastAsia="zh-CN"/>
        </w:rPr>
        <w:t>，</w:t>
      </w:r>
      <w:r>
        <w:rPr>
          <w:rFonts w:hint="eastAsia"/>
          <w:sz w:val="24"/>
          <w:szCs w:val="24"/>
          <w:highlight w:val="none"/>
          <w:lang w:val="en-US" w:eastAsia="zh-CN"/>
        </w:rPr>
        <w:t xml:space="preserve">招标控制价为 </w:t>
      </w:r>
      <w:r>
        <w:rPr>
          <w:rFonts w:hint="eastAsia"/>
          <w:sz w:val="24"/>
          <w:szCs w:val="24"/>
          <w:highlight w:val="none"/>
          <w:u w:val="single"/>
          <w:lang w:val="en-US" w:eastAsia="zh-CN"/>
        </w:rPr>
        <w:t>2732</w:t>
      </w:r>
      <w:r>
        <w:rPr>
          <w:rFonts w:hint="eastAsia"/>
          <w:sz w:val="24"/>
          <w:szCs w:val="24"/>
          <w:highlight w:val="none"/>
          <w:lang w:val="en-US" w:eastAsia="zh-CN"/>
        </w:rPr>
        <w:t>万元</w:t>
      </w:r>
      <w:r>
        <w:rPr>
          <w:rFonts w:hint="eastAsia"/>
          <w:sz w:val="24"/>
          <w:szCs w:val="24"/>
          <w:highlight w:val="none"/>
          <w:lang w:eastAsia="zh-CN"/>
        </w:rPr>
        <w:t>。</w:t>
      </w:r>
      <w:r>
        <w:rPr>
          <w:sz w:val="24"/>
          <w:szCs w:val="24"/>
        </w:rPr>
        <w:t>招标人为</w:t>
      </w:r>
      <w:r>
        <w:rPr>
          <w:rFonts w:hint="eastAsia"/>
          <w:b/>
          <w:bCs/>
          <w:sz w:val="24"/>
          <w:szCs w:val="24"/>
          <w:u w:val="single"/>
          <w:lang w:val="en-US" w:eastAsia="zh-CN"/>
        </w:rPr>
        <w:t>乌鲁木齐市机关事务管理局</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本项目已</w:t>
      </w:r>
      <w:r>
        <w:rPr>
          <w:sz w:val="24"/>
          <w:szCs w:val="24"/>
        </w:rPr>
        <w:t>具备招标条件，现招标方式为公开招标。</w:t>
      </w:r>
    </w:p>
    <w:p>
      <w:pPr>
        <w:spacing w:line="360" w:lineRule="auto"/>
        <w:rPr>
          <w:sz w:val="24"/>
          <w:szCs w:val="24"/>
        </w:rPr>
      </w:pPr>
      <w:r>
        <w:rPr>
          <w:sz w:val="24"/>
          <w:szCs w:val="24"/>
        </w:rPr>
        <w:t>二、项目概况和招标范围</w:t>
      </w:r>
    </w:p>
    <w:p>
      <w:pPr>
        <w:spacing w:line="360" w:lineRule="auto"/>
        <w:rPr>
          <w:rFonts w:hint="eastAsia"/>
          <w:color w:val="auto"/>
          <w:sz w:val="24"/>
          <w:szCs w:val="24"/>
          <w:lang w:eastAsia="zh-CN"/>
        </w:rPr>
      </w:pPr>
      <w:r>
        <w:rPr>
          <w:sz w:val="24"/>
          <w:szCs w:val="24"/>
        </w:rPr>
        <w:t>规模</w:t>
      </w:r>
      <w:r>
        <w:rPr>
          <w:color w:val="auto"/>
          <w:sz w:val="24"/>
          <w:szCs w:val="24"/>
        </w:rPr>
        <w:t>：</w:t>
      </w:r>
      <w:r>
        <w:rPr>
          <w:rFonts w:hint="eastAsia"/>
          <w:color w:val="auto"/>
          <w:sz w:val="24"/>
          <w:szCs w:val="24"/>
          <w:lang w:eastAsia="zh-CN"/>
        </w:rPr>
        <w:t>乌鲁木齐市机关事务管理局棚改转固资产采购房屋销售服务（一标段），针对乌鲁木齐市沙依巴克区青峰路东十三巷</w:t>
      </w:r>
      <w:r>
        <w:rPr>
          <w:rFonts w:hint="eastAsia"/>
          <w:color w:val="auto"/>
          <w:sz w:val="24"/>
          <w:szCs w:val="24"/>
          <w:lang w:val="en-US" w:eastAsia="zh-CN"/>
        </w:rPr>
        <w:t>21号、</w:t>
      </w:r>
      <w:r>
        <w:rPr>
          <w:rFonts w:hint="eastAsia"/>
          <w:color w:val="auto"/>
          <w:sz w:val="24"/>
          <w:szCs w:val="24"/>
          <w:lang w:eastAsia="zh-CN"/>
        </w:rPr>
        <w:t>青峰路</w:t>
      </w:r>
      <w:r>
        <w:rPr>
          <w:rFonts w:hint="eastAsia"/>
          <w:color w:val="auto"/>
          <w:sz w:val="24"/>
          <w:szCs w:val="24"/>
          <w:lang w:val="en-US" w:eastAsia="zh-CN"/>
        </w:rPr>
        <w:t>619号、乌鲁木齐市天山区三屯碑路北巷225号的住宅进行销售</w:t>
      </w:r>
      <w:r>
        <w:rPr>
          <w:rFonts w:hint="eastAsia" w:cs="Arial" w:asciiTheme="minorEastAsia" w:hAnsiTheme="minorEastAsia"/>
          <w:color w:val="000000"/>
          <w:kern w:val="0"/>
          <w:sz w:val="24"/>
          <w:szCs w:val="24"/>
          <w:lang w:eastAsia="zh-CN"/>
        </w:rPr>
        <w:t>以及</w:t>
      </w:r>
      <w:r>
        <w:rPr>
          <w:rFonts w:hint="eastAsia" w:cs="Arial" w:asciiTheme="minorEastAsia" w:hAnsiTheme="minorEastAsia"/>
          <w:color w:val="000000"/>
          <w:kern w:val="0"/>
          <w:sz w:val="24"/>
          <w:szCs w:val="24"/>
          <w:lang w:val="en-US" w:eastAsia="zh-CN"/>
        </w:rPr>
        <w:t>房产证办理工作</w:t>
      </w:r>
      <w:r>
        <w:rPr>
          <w:rFonts w:hint="eastAsia"/>
          <w:color w:val="auto"/>
          <w:sz w:val="24"/>
          <w:szCs w:val="24"/>
          <w:lang w:val="en-US" w:eastAsia="zh-CN"/>
        </w:rPr>
        <w:t>。</w:t>
      </w:r>
    </w:p>
    <w:p>
      <w:pPr>
        <w:spacing w:line="360" w:lineRule="auto"/>
        <w:rPr>
          <w:sz w:val="24"/>
          <w:szCs w:val="24"/>
        </w:rPr>
      </w:pPr>
      <w:r>
        <w:rPr>
          <w:sz w:val="24"/>
          <w:szCs w:val="24"/>
        </w:rPr>
        <w:t>范围：本招标项目划分为</w:t>
      </w:r>
      <w:r>
        <w:rPr>
          <w:rFonts w:hint="eastAsia"/>
          <w:sz w:val="24"/>
          <w:szCs w:val="24"/>
          <w:lang w:val="en-US" w:eastAsia="zh-CN"/>
        </w:rPr>
        <w:t>2</w:t>
      </w:r>
      <w:r>
        <w:rPr>
          <w:sz w:val="24"/>
          <w:szCs w:val="24"/>
        </w:rPr>
        <w:t>个标段，本次招标为其中的：</w:t>
      </w:r>
    </w:p>
    <w:p>
      <w:pPr>
        <w:spacing w:line="360" w:lineRule="auto"/>
        <w:rPr>
          <w:sz w:val="24"/>
          <w:szCs w:val="24"/>
        </w:rPr>
      </w:pPr>
      <w:r>
        <w:rPr>
          <w:sz w:val="24"/>
          <w:szCs w:val="24"/>
        </w:rPr>
        <w:t>(00</w:t>
      </w:r>
      <w:r>
        <w:rPr>
          <w:color w:val="auto"/>
          <w:sz w:val="24"/>
          <w:szCs w:val="24"/>
        </w:rPr>
        <w:t>1)</w:t>
      </w:r>
      <w:r>
        <w:rPr>
          <w:rFonts w:hint="eastAsia"/>
          <w:color w:val="auto"/>
          <w:sz w:val="24"/>
          <w:szCs w:val="24"/>
          <w:lang w:eastAsia="zh-CN"/>
        </w:rPr>
        <w:t>乌鲁木齐市机关事务管理局棚改转固资产采购房屋销售服务（一标段）</w:t>
      </w:r>
      <w:r>
        <w:rPr>
          <w:rFonts w:hint="eastAsia"/>
          <w:color w:val="auto"/>
          <w:sz w:val="24"/>
          <w:szCs w:val="24"/>
        </w:rPr>
        <w:t>；</w:t>
      </w:r>
    </w:p>
    <w:p>
      <w:pPr>
        <w:spacing w:line="360" w:lineRule="auto"/>
        <w:rPr>
          <w:sz w:val="24"/>
          <w:szCs w:val="24"/>
        </w:rPr>
      </w:pPr>
      <w:r>
        <w:rPr>
          <w:sz w:val="24"/>
          <w:szCs w:val="24"/>
        </w:rPr>
        <w:t>三、投标人资格要求</w:t>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color w:val="auto"/>
          <w:sz w:val="24"/>
          <w:szCs w:val="24"/>
        </w:rPr>
        <w:t>001</w:t>
      </w:r>
      <w:r>
        <w:rPr>
          <w:rFonts w:hint="eastAsia"/>
          <w:color w:val="auto"/>
          <w:sz w:val="24"/>
          <w:szCs w:val="24"/>
          <w:lang w:eastAsia="zh-CN"/>
        </w:rPr>
        <w:t>乌鲁木齐市机关事务管理局棚改转固资产采购房屋销售服务（一标段）</w:t>
      </w:r>
      <w:r>
        <w:rPr>
          <w:color w:val="000000" w:themeColor="text1"/>
          <w:sz w:val="24"/>
          <w:szCs w:val="24"/>
          <w14:textFill>
            <w14:solidFill>
              <w14:schemeClr w14:val="tx1"/>
            </w14:solidFill>
          </w14:textFill>
        </w:rPr>
        <w:t>的投标人资格能力要求：</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1必须具备《中华人民共和国政府采购法》第二十二条规定的条件： </w:t>
      </w:r>
    </w:p>
    <w:p>
      <w:pPr>
        <w:numPr>
          <w:ilvl w:val="1"/>
          <w:numId w:val="1"/>
        </w:numPr>
        <w:autoSpaceDE w:val="0"/>
        <w:autoSpaceDN w:val="0"/>
        <w:spacing w:line="360" w:lineRule="auto"/>
        <w:rPr>
          <w:rFonts w:hint="eastAsia"/>
          <w:sz w:val="24"/>
          <w:szCs w:val="24"/>
          <w:lang w:val="en-US" w:eastAsia="zh-CN"/>
        </w:rPr>
      </w:pPr>
      <w:r>
        <w:rPr>
          <w:rFonts w:hint="eastAsia"/>
          <w:sz w:val="24"/>
          <w:szCs w:val="24"/>
          <w:lang w:val="en-US" w:eastAsia="zh-CN"/>
        </w:rPr>
        <w:t>具有独立承担民事责任的能力；</w:t>
      </w:r>
    </w:p>
    <w:p>
      <w:pPr>
        <w:numPr>
          <w:ilvl w:val="0"/>
          <w:numId w:val="0"/>
        </w:numPr>
        <w:autoSpaceDE w:val="0"/>
        <w:autoSpaceDN w:val="0"/>
        <w:spacing w:line="360" w:lineRule="auto"/>
        <w:ind w:leftChars="0"/>
        <w:rPr>
          <w:rFonts w:hint="eastAsia"/>
          <w:sz w:val="24"/>
          <w:szCs w:val="24"/>
          <w:lang w:val="en-US" w:eastAsia="zh-CN"/>
        </w:rPr>
      </w:pPr>
      <w:r>
        <w:rPr>
          <w:rFonts w:hint="eastAsia"/>
          <w:sz w:val="24"/>
          <w:szCs w:val="24"/>
          <w:lang w:val="en-US" w:eastAsia="zh-CN"/>
        </w:rPr>
        <w:t>1.2 具有良好的商业信誉和健全的财务会计制度；</w:t>
      </w:r>
      <w:r>
        <w:rPr>
          <w:rFonts w:ascii="宋体" w:hAnsi="宋体" w:eastAsia="宋体" w:cs="宋体"/>
          <w:sz w:val="24"/>
          <w:szCs w:val="24"/>
        </w:rPr>
        <w:t> </w:t>
      </w:r>
      <w:r>
        <w:rPr>
          <w:rFonts w:hint="eastAsia"/>
          <w:sz w:val="24"/>
          <w:szCs w:val="24"/>
          <w:lang w:val="en-US" w:eastAsia="zh-CN"/>
        </w:rPr>
        <w:t xml:space="preserve"> </w:t>
      </w:r>
    </w:p>
    <w:p>
      <w:pPr>
        <w:autoSpaceDE w:val="0"/>
        <w:autoSpaceDN w:val="0"/>
        <w:spacing w:line="360" w:lineRule="auto"/>
        <w:rPr>
          <w:rFonts w:hint="eastAsia"/>
          <w:sz w:val="24"/>
          <w:szCs w:val="24"/>
          <w:lang w:val="en-US" w:eastAsia="zh-CN"/>
        </w:rPr>
      </w:pPr>
      <w:r>
        <w:rPr>
          <w:rFonts w:hint="eastAsia"/>
          <w:sz w:val="24"/>
          <w:szCs w:val="24"/>
          <w:lang w:val="en-US" w:eastAsia="zh-CN"/>
        </w:rPr>
        <w:t>1.3 具有履行合同所必需的设备和专业技术能力；</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1.4 有依法缴纳税收和社会保障资金的良好记录； </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1.5 参加政府采购活动前三年内，在经营活动中没有重大违法记录； </w:t>
      </w:r>
    </w:p>
    <w:p>
      <w:pPr>
        <w:spacing w:line="360" w:lineRule="auto"/>
        <w:rPr>
          <w:rFonts w:hint="eastAsia"/>
          <w:sz w:val="24"/>
          <w:szCs w:val="24"/>
          <w:lang w:val="en-US" w:eastAsia="zh-CN"/>
        </w:rPr>
      </w:pPr>
      <w:r>
        <w:rPr>
          <w:rFonts w:hint="eastAsia"/>
          <w:sz w:val="24"/>
          <w:szCs w:val="24"/>
          <w:lang w:val="en-US" w:eastAsia="zh-CN"/>
        </w:rPr>
        <w:t>1.6 法律、行政法规规定的其他条件。</w:t>
      </w:r>
    </w:p>
    <w:p>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2、未被“信用中国”网站（ www.creditchina.gov.cn） 列入失信被执行人、重大税收违法案件当事人名单；</w:t>
      </w:r>
    </w:p>
    <w:p>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3、未被“中国政府采购网”</w:t>
      </w:r>
      <w:r>
        <w:rPr>
          <w:rFonts w:hint="eastAsia"/>
          <w:color w:val="000000" w:themeColor="text1"/>
          <w:sz w:val="24"/>
          <w:szCs w:val="24"/>
          <w:lang w:val="en-US" w:eastAsia="zh-CN"/>
          <w14:textFill>
            <w14:solidFill>
              <w14:schemeClr w14:val="tx1"/>
            </w14:solidFill>
          </w14:textFill>
        </w:rPr>
        <w:fldChar w:fldCharType="begin"/>
      </w:r>
      <w:r>
        <w:rPr>
          <w:rFonts w:hint="eastAsia"/>
          <w:color w:val="000000" w:themeColor="text1"/>
          <w:sz w:val="24"/>
          <w:szCs w:val="24"/>
          <w:lang w:val="en-US" w:eastAsia="zh-CN"/>
          <w14:textFill>
            <w14:solidFill>
              <w14:schemeClr w14:val="tx1"/>
            </w14:solidFill>
          </w14:textFill>
        </w:rPr>
        <w:instrText xml:space="preserve"> HYPERLINK "http://www.ccgp.gov.cn/" \h </w:instrText>
      </w:r>
      <w:r>
        <w:rPr>
          <w:rFonts w:hint="eastAsia"/>
          <w:color w:val="000000" w:themeColor="text1"/>
          <w:sz w:val="24"/>
          <w:szCs w:val="24"/>
          <w:lang w:val="en-US" w:eastAsia="zh-CN"/>
          <w14:textFill>
            <w14:solidFill>
              <w14:schemeClr w14:val="tx1"/>
            </w14:solidFill>
          </w14:textFill>
        </w:rPr>
        <w:fldChar w:fldCharType="separate"/>
      </w:r>
      <w:r>
        <w:rPr>
          <w:rFonts w:hint="eastAsia"/>
          <w:color w:val="000000" w:themeColor="text1"/>
          <w:sz w:val="24"/>
          <w:szCs w:val="24"/>
          <w:lang w:val="en-US" w:eastAsia="zh-CN"/>
          <w14:textFill>
            <w14:solidFill>
              <w14:schemeClr w14:val="tx1"/>
            </w14:solidFill>
          </w14:textFill>
        </w:rPr>
        <w:t>（www.ccgp.gov.cn</w:t>
      </w:r>
      <w:r>
        <w:rPr>
          <w:rFonts w:hint="eastAsia"/>
          <w:color w:val="000000" w:themeColor="text1"/>
          <w:sz w:val="24"/>
          <w:szCs w:val="24"/>
          <w:lang w:val="en-US" w:eastAsia="zh-CN"/>
          <w14:textFill>
            <w14:solidFill>
              <w14:schemeClr w14:val="tx1"/>
            </w14:solidFill>
          </w14:textFill>
        </w:rPr>
        <w:fldChar w:fldCharType="end"/>
      </w:r>
      <w:r>
        <w:rPr>
          <w:rFonts w:hint="eastAsia"/>
          <w:color w:val="000000" w:themeColor="text1"/>
          <w:sz w:val="24"/>
          <w:szCs w:val="24"/>
          <w:lang w:val="en-US" w:eastAsia="zh-CN"/>
          <w14:textFill>
            <w14:solidFill>
              <w14:schemeClr w14:val="tx1"/>
            </w14:solidFill>
          </w14:textFill>
        </w:rPr>
        <w:t>）列入严重违法失信行为记录名单的（尚在处罚期内的）；</w:t>
      </w:r>
    </w:p>
    <w:p>
      <w:pPr>
        <w:spacing w:line="360" w:lineRule="auto"/>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本项目不允许联合体投标。</w:t>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四、招标文件的获取</w:t>
      </w:r>
    </w:p>
    <w:p>
      <w:pPr>
        <w:spacing w:line="360" w:lineRule="auto"/>
        <w:rPr>
          <w:sz w:val="24"/>
          <w:szCs w:val="24"/>
        </w:rPr>
      </w:pPr>
      <w:r>
        <w:rPr>
          <w:sz w:val="24"/>
          <w:szCs w:val="24"/>
        </w:rPr>
        <w:t>获取时间：</w:t>
      </w:r>
      <w:r>
        <w:rPr>
          <w:color w:val="auto"/>
          <w:sz w:val="24"/>
          <w:szCs w:val="24"/>
        </w:rPr>
        <w:t>从20</w:t>
      </w:r>
      <w:r>
        <w:rPr>
          <w:rFonts w:hint="eastAsia"/>
          <w:color w:val="auto"/>
          <w:sz w:val="24"/>
          <w:szCs w:val="24"/>
          <w:lang w:val="en-US" w:eastAsia="zh-CN"/>
        </w:rPr>
        <w:t>22</w:t>
      </w:r>
      <w:r>
        <w:rPr>
          <w:color w:val="auto"/>
          <w:sz w:val="24"/>
          <w:szCs w:val="24"/>
        </w:rPr>
        <w:t>年</w:t>
      </w:r>
      <w:r>
        <w:rPr>
          <w:rFonts w:hint="eastAsia"/>
          <w:color w:val="auto"/>
          <w:sz w:val="24"/>
          <w:szCs w:val="24"/>
          <w:lang w:val="en-US" w:eastAsia="zh-CN"/>
        </w:rPr>
        <w:t xml:space="preserve"> 05 </w:t>
      </w:r>
      <w:r>
        <w:rPr>
          <w:color w:val="auto"/>
          <w:sz w:val="24"/>
          <w:szCs w:val="24"/>
        </w:rPr>
        <w:t>月</w:t>
      </w:r>
      <w:r>
        <w:rPr>
          <w:rFonts w:hint="eastAsia"/>
          <w:color w:val="auto"/>
          <w:sz w:val="24"/>
          <w:szCs w:val="24"/>
          <w:lang w:val="en-US" w:eastAsia="zh-CN"/>
        </w:rPr>
        <w:t xml:space="preserve">  27 </w:t>
      </w:r>
      <w:r>
        <w:rPr>
          <w:color w:val="auto"/>
          <w:sz w:val="24"/>
          <w:szCs w:val="24"/>
        </w:rPr>
        <w:t>日10时00分到20</w:t>
      </w:r>
      <w:r>
        <w:rPr>
          <w:rFonts w:hint="eastAsia"/>
          <w:color w:val="auto"/>
          <w:sz w:val="24"/>
          <w:szCs w:val="24"/>
          <w:lang w:val="en-US" w:eastAsia="zh-CN"/>
        </w:rPr>
        <w:t>22</w:t>
      </w:r>
      <w:r>
        <w:rPr>
          <w:color w:val="auto"/>
          <w:sz w:val="24"/>
          <w:szCs w:val="24"/>
        </w:rPr>
        <w:t>年</w:t>
      </w:r>
      <w:r>
        <w:rPr>
          <w:rFonts w:hint="eastAsia"/>
          <w:color w:val="auto"/>
          <w:sz w:val="24"/>
          <w:szCs w:val="24"/>
          <w:lang w:val="en-US" w:eastAsia="zh-CN"/>
        </w:rPr>
        <w:t xml:space="preserve"> 06  </w:t>
      </w:r>
      <w:r>
        <w:rPr>
          <w:color w:val="auto"/>
          <w:sz w:val="24"/>
          <w:szCs w:val="24"/>
        </w:rPr>
        <w:t>月</w:t>
      </w:r>
      <w:r>
        <w:rPr>
          <w:rFonts w:hint="eastAsia"/>
          <w:color w:val="auto"/>
          <w:sz w:val="24"/>
          <w:szCs w:val="24"/>
          <w:lang w:val="en-US" w:eastAsia="zh-CN"/>
        </w:rPr>
        <w:t xml:space="preserve">  03 </w:t>
      </w:r>
      <w:r>
        <w:rPr>
          <w:color w:val="auto"/>
          <w:sz w:val="24"/>
          <w:szCs w:val="24"/>
        </w:rPr>
        <w:t>日19时00分</w:t>
      </w:r>
    </w:p>
    <w:p>
      <w:pPr>
        <w:spacing w:line="360" w:lineRule="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获取方式：</w:t>
      </w:r>
      <w:r>
        <w:rPr>
          <w:rFonts w:hint="eastAsia"/>
          <w:sz w:val="24"/>
          <w:szCs w:val="24"/>
        </w:rPr>
        <w:t>须</w:t>
      </w:r>
      <w:r>
        <w:rPr>
          <w:color w:val="000000" w:themeColor="text1"/>
          <w:sz w:val="24"/>
          <w:szCs w:val="24"/>
          <w14:textFill>
            <w14:solidFill>
              <w14:schemeClr w14:val="tx1"/>
            </w14:solidFill>
          </w14:textFill>
        </w:rPr>
        <w:t>携带法人授权委托书和被授权人身份证原件</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营业执照副本</w:t>
      </w:r>
      <w:r>
        <w:rPr>
          <w:rFonts w:hint="eastAsia"/>
          <w:color w:val="000000" w:themeColor="text1"/>
          <w:sz w:val="24"/>
          <w:szCs w:val="24"/>
          <w:lang w:eastAsia="zh-CN"/>
          <w14:textFill>
            <w14:solidFill>
              <w14:schemeClr w14:val="tx1"/>
            </w14:solidFill>
          </w14:textFill>
        </w:rPr>
        <w:t>，信用中国、</w:t>
      </w:r>
      <w:r>
        <w:rPr>
          <w:rFonts w:hint="eastAsia"/>
          <w:color w:val="000000" w:themeColor="text1"/>
          <w:sz w:val="24"/>
          <w:szCs w:val="24"/>
          <w:lang w:val="en-US" w:eastAsia="zh-CN"/>
          <w14:textFill>
            <w14:solidFill>
              <w14:schemeClr w14:val="tx1"/>
            </w14:solidFill>
          </w14:textFill>
        </w:rPr>
        <w:t>中国政府采购网</w:t>
      </w:r>
      <w:r>
        <w:rPr>
          <w:rFonts w:hint="eastAsia"/>
          <w:color w:val="000000" w:themeColor="text1"/>
          <w:sz w:val="24"/>
          <w:szCs w:val="24"/>
          <w:lang w:eastAsia="zh-CN"/>
          <w14:textFill>
            <w14:solidFill>
              <w14:schemeClr w14:val="tx1"/>
            </w14:solidFill>
          </w14:textFill>
        </w:rPr>
        <w:t>网站截图，以上</w:t>
      </w:r>
      <w:r>
        <w:rPr>
          <w:rFonts w:hint="eastAsia"/>
          <w:sz w:val="24"/>
          <w:szCs w:val="24"/>
        </w:rPr>
        <w:t>复印件</w:t>
      </w:r>
      <w:r>
        <w:rPr>
          <w:color w:val="000000" w:themeColor="text1"/>
          <w:sz w:val="24"/>
          <w:szCs w:val="24"/>
          <w14:textFill>
            <w14:solidFill>
              <w14:schemeClr w14:val="tx1"/>
            </w14:solidFill>
          </w14:textFill>
        </w:rPr>
        <w:t>加盖公章一份</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到新疆德顺天诚工程管理有限公司获取（</w:t>
      </w:r>
      <w:r>
        <w:rPr>
          <w:color w:val="000000" w:themeColor="text1"/>
          <w:sz w:val="24"/>
          <w:szCs w:val="24"/>
          <w:lang w:val="en-US"/>
          <w14:textFill>
            <w14:solidFill>
              <w14:schemeClr w14:val="tx1"/>
            </w14:solidFill>
          </w14:textFill>
        </w:rPr>
        <w:t>乌鲁木齐市天山区光明路59号时代广场A座1</w:t>
      </w:r>
      <w:r>
        <w:rPr>
          <w:rFonts w:hint="eastAsia"/>
          <w:color w:val="000000" w:themeColor="text1"/>
          <w:sz w:val="24"/>
          <w:szCs w:val="24"/>
          <w:lang w:val="en-US" w:eastAsia="zh-CN"/>
          <w14:textFill>
            <w14:solidFill>
              <w14:schemeClr w14:val="tx1"/>
            </w14:solidFill>
          </w14:textFill>
        </w:rPr>
        <w:t>0</w:t>
      </w:r>
      <w:r>
        <w:rPr>
          <w:color w:val="000000" w:themeColor="text1"/>
          <w:sz w:val="24"/>
          <w:szCs w:val="24"/>
          <w:lang w:val="en-US"/>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F</w:t>
      </w:r>
      <w:r>
        <w:rPr>
          <w:color w:val="000000" w:themeColor="text1"/>
          <w:sz w:val="24"/>
          <w:szCs w:val="24"/>
          <w14:textFill>
            <w14:solidFill>
              <w14:schemeClr w14:val="tx1"/>
            </w14:solidFill>
          </w14:textFill>
        </w:rPr>
        <w:t>），招标文件费</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val="en-US"/>
          <w14:textFill>
            <w14:solidFill>
              <w14:schemeClr w14:val="tx1"/>
            </w14:solidFill>
          </w14:textFill>
        </w:rPr>
        <w:t>00</w:t>
      </w:r>
      <w:r>
        <w:rPr>
          <w:color w:val="000000" w:themeColor="text1"/>
          <w:sz w:val="24"/>
          <w:szCs w:val="24"/>
          <w14:textFill>
            <w14:solidFill>
              <w14:schemeClr w14:val="tx1"/>
            </w14:solidFill>
          </w14:textFill>
        </w:rPr>
        <w:t>元现金支付，售后不退</w:t>
      </w:r>
      <w:r>
        <w:rPr>
          <w:rFonts w:hint="eastAsia"/>
          <w:color w:val="000000" w:themeColor="text1"/>
          <w:sz w:val="24"/>
          <w:szCs w:val="24"/>
          <w:lang w:eastAsia="zh-CN"/>
          <w14:textFill>
            <w14:solidFill>
              <w14:schemeClr w14:val="tx1"/>
            </w14:solidFill>
          </w14:textFill>
        </w:rPr>
        <w:t>。</w:t>
      </w:r>
    </w:p>
    <w:p>
      <w:pPr>
        <w:spacing w:line="360" w:lineRule="auto"/>
        <w:rPr>
          <w:color w:val="auto"/>
          <w:sz w:val="24"/>
          <w:szCs w:val="24"/>
        </w:rPr>
      </w:pPr>
      <w:r>
        <w:rPr>
          <w:color w:val="auto"/>
          <w:sz w:val="24"/>
          <w:szCs w:val="24"/>
        </w:rPr>
        <w:t>五、投标文件的递交</w:t>
      </w:r>
    </w:p>
    <w:p>
      <w:pPr>
        <w:spacing w:line="360" w:lineRule="auto"/>
        <w:rPr>
          <w:color w:val="auto"/>
          <w:sz w:val="24"/>
          <w:szCs w:val="24"/>
        </w:rPr>
      </w:pPr>
      <w:r>
        <w:rPr>
          <w:color w:val="auto"/>
          <w:sz w:val="24"/>
          <w:szCs w:val="24"/>
        </w:rPr>
        <w:t>递交截止时间：20</w:t>
      </w:r>
      <w:r>
        <w:rPr>
          <w:rFonts w:hint="eastAsia"/>
          <w:color w:val="auto"/>
          <w:sz w:val="24"/>
          <w:szCs w:val="24"/>
          <w:lang w:val="en-US" w:eastAsia="zh-CN"/>
        </w:rPr>
        <w:t>22</w:t>
      </w:r>
      <w:r>
        <w:rPr>
          <w:color w:val="auto"/>
          <w:sz w:val="24"/>
          <w:szCs w:val="24"/>
        </w:rPr>
        <w:t>年</w:t>
      </w:r>
      <w:r>
        <w:rPr>
          <w:rFonts w:hint="eastAsia"/>
          <w:color w:val="auto"/>
          <w:sz w:val="24"/>
          <w:szCs w:val="24"/>
          <w:lang w:val="en-US" w:eastAsia="zh-CN"/>
        </w:rPr>
        <w:t xml:space="preserve"> 06 </w:t>
      </w:r>
      <w:r>
        <w:rPr>
          <w:color w:val="auto"/>
          <w:sz w:val="24"/>
          <w:szCs w:val="24"/>
        </w:rPr>
        <w:t>月</w:t>
      </w:r>
      <w:r>
        <w:rPr>
          <w:rFonts w:hint="eastAsia"/>
          <w:color w:val="auto"/>
          <w:sz w:val="24"/>
          <w:szCs w:val="24"/>
          <w:lang w:val="en-US" w:eastAsia="zh-CN"/>
        </w:rPr>
        <w:t xml:space="preserve"> 16 </w:t>
      </w:r>
      <w:r>
        <w:rPr>
          <w:color w:val="auto"/>
          <w:sz w:val="24"/>
          <w:szCs w:val="24"/>
        </w:rPr>
        <w:t>日</w:t>
      </w:r>
      <w:r>
        <w:rPr>
          <w:rFonts w:hint="eastAsia"/>
          <w:color w:val="auto"/>
          <w:sz w:val="24"/>
          <w:szCs w:val="24"/>
          <w:lang w:val="en-US" w:eastAsia="zh-CN"/>
        </w:rPr>
        <w:t>11</w:t>
      </w:r>
      <w:r>
        <w:rPr>
          <w:color w:val="auto"/>
          <w:sz w:val="24"/>
          <w:szCs w:val="24"/>
        </w:rPr>
        <w:t>时</w:t>
      </w:r>
      <w:r>
        <w:rPr>
          <w:rFonts w:hint="eastAsia"/>
          <w:color w:val="auto"/>
          <w:sz w:val="24"/>
          <w:szCs w:val="24"/>
          <w:lang w:val="en-US" w:eastAsia="zh-CN"/>
        </w:rPr>
        <w:t>00</w:t>
      </w:r>
      <w:r>
        <w:rPr>
          <w:color w:val="auto"/>
          <w:sz w:val="24"/>
          <w:szCs w:val="24"/>
        </w:rPr>
        <w:t>分</w:t>
      </w:r>
    </w:p>
    <w:p>
      <w:pPr>
        <w:spacing w:line="360" w:lineRule="auto"/>
        <w:rPr>
          <w:rFonts w:hint="eastAsia" w:eastAsia="宋体"/>
          <w:color w:val="auto"/>
          <w:sz w:val="24"/>
          <w:szCs w:val="24"/>
          <w:lang w:eastAsia="zh-CN"/>
        </w:rPr>
      </w:pPr>
      <w:r>
        <w:rPr>
          <w:color w:val="auto"/>
          <w:sz w:val="24"/>
          <w:szCs w:val="24"/>
        </w:rPr>
        <w:t>递交方式：新疆德顺天诚工程管理有限公司（</w:t>
      </w:r>
      <w:r>
        <w:rPr>
          <w:color w:val="auto"/>
          <w:sz w:val="24"/>
          <w:szCs w:val="24"/>
          <w:lang w:val="en-US"/>
        </w:rPr>
        <w:t>乌鲁木齐市天山区光明路59号时代广场A座1</w:t>
      </w:r>
      <w:r>
        <w:rPr>
          <w:rFonts w:hint="eastAsia"/>
          <w:color w:val="auto"/>
          <w:sz w:val="24"/>
          <w:szCs w:val="24"/>
          <w:lang w:val="en-US" w:eastAsia="zh-CN"/>
        </w:rPr>
        <w:t>0</w:t>
      </w:r>
      <w:r>
        <w:rPr>
          <w:color w:val="auto"/>
          <w:sz w:val="24"/>
          <w:szCs w:val="24"/>
          <w:lang w:val="en-US"/>
        </w:rPr>
        <w:t>-</w:t>
      </w:r>
      <w:r>
        <w:rPr>
          <w:rFonts w:hint="eastAsia"/>
          <w:color w:val="auto"/>
          <w:sz w:val="24"/>
          <w:szCs w:val="24"/>
          <w:lang w:val="en-US" w:eastAsia="zh-CN"/>
        </w:rPr>
        <w:t>F</w:t>
      </w:r>
      <w:r>
        <w:rPr>
          <w:color w:val="auto"/>
          <w:sz w:val="24"/>
          <w:szCs w:val="24"/>
        </w:rPr>
        <w:t>）纸质文件递交</w:t>
      </w:r>
      <w:r>
        <w:rPr>
          <w:rFonts w:hint="eastAsia"/>
          <w:color w:val="auto"/>
          <w:sz w:val="24"/>
          <w:szCs w:val="24"/>
          <w:lang w:eastAsia="zh-CN"/>
        </w:rPr>
        <w:t>。</w:t>
      </w:r>
    </w:p>
    <w:p>
      <w:pPr>
        <w:spacing w:line="360" w:lineRule="auto"/>
        <w:rPr>
          <w:color w:val="auto"/>
          <w:sz w:val="24"/>
          <w:szCs w:val="24"/>
        </w:rPr>
      </w:pPr>
      <w:r>
        <w:rPr>
          <w:color w:val="auto"/>
          <w:sz w:val="24"/>
          <w:szCs w:val="24"/>
        </w:rPr>
        <w:t>六、开标时间及地点</w:t>
      </w:r>
    </w:p>
    <w:p>
      <w:pPr>
        <w:spacing w:line="360" w:lineRule="auto"/>
        <w:rPr>
          <w:color w:val="auto"/>
          <w:sz w:val="24"/>
          <w:szCs w:val="24"/>
        </w:rPr>
      </w:pPr>
      <w:r>
        <w:rPr>
          <w:color w:val="auto"/>
          <w:sz w:val="24"/>
          <w:szCs w:val="24"/>
        </w:rPr>
        <w:t>开标时间：20</w:t>
      </w:r>
      <w:r>
        <w:rPr>
          <w:rFonts w:hint="eastAsia"/>
          <w:color w:val="auto"/>
          <w:sz w:val="24"/>
          <w:szCs w:val="24"/>
          <w:lang w:val="en-US" w:eastAsia="zh-CN"/>
        </w:rPr>
        <w:t>22</w:t>
      </w:r>
      <w:r>
        <w:rPr>
          <w:color w:val="auto"/>
          <w:sz w:val="24"/>
          <w:szCs w:val="24"/>
        </w:rPr>
        <w:t>年</w:t>
      </w:r>
      <w:r>
        <w:rPr>
          <w:rFonts w:hint="eastAsia"/>
          <w:color w:val="auto"/>
          <w:sz w:val="24"/>
          <w:szCs w:val="24"/>
          <w:lang w:val="en-US" w:eastAsia="zh-CN"/>
        </w:rPr>
        <w:t xml:space="preserve"> 06 </w:t>
      </w:r>
      <w:r>
        <w:rPr>
          <w:color w:val="auto"/>
          <w:sz w:val="24"/>
          <w:szCs w:val="24"/>
        </w:rPr>
        <w:t>月</w:t>
      </w:r>
      <w:r>
        <w:rPr>
          <w:rFonts w:hint="eastAsia"/>
          <w:color w:val="auto"/>
          <w:sz w:val="24"/>
          <w:szCs w:val="24"/>
          <w:lang w:val="en-US" w:eastAsia="zh-CN"/>
        </w:rPr>
        <w:t xml:space="preserve"> 16 </w:t>
      </w:r>
      <w:r>
        <w:rPr>
          <w:color w:val="auto"/>
          <w:sz w:val="24"/>
          <w:szCs w:val="24"/>
        </w:rPr>
        <w:t>日</w:t>
      </w:r>
      <w:r>
        <w:rPr>
          <w:rFonts w:hint="eastAsia"/>
          <w:color w:val="auto"/>
          <w:sz w:val="24"/>
          <w:szCs w:val="24"/>
          <w:lang w:val="en-US" w:eastAsia="zh-CN"/>
        </w:rPr>
        <w:t>11</w:t>
      </w:r>
      <w:r>
        <w:rPr>
          <w:color w:val="auto"/>
          <w:sz w:val="24"/>
          <w:szCs w:val="24"/>
        </w:rPr>
        <w:t>时</w:t>
      </w:r>
      <w:r>
        <w:rPr>
          <w:rFonts w:hint="eastAsia"/>
          <w:color w:val="auto"/>
          <w:sz w:val="24"/>
          <w:szCs w:val="24"/>
          <w:lang w:val="en-US" w:eastAsia="zh-CN"/>
        </w:rPr>
        <w:t>00</w:t>
      </w:r>
      <w:r>
        <w:rPr>
          <w:color w:val="auto"/>
          <w:sz w:val="24"/>
          <w:szCs w:val="24"/>
        </w:rPr>
        <w:t>分</w:t>
      </w:r>
    </w:p>
    <w:p>
      <w:pPr>
        <w:spacing w:line="360" w:lineRule="auto"/>
        <w:rPr>
          <w:sz w:val="24"/>
          <w:szCs w:val="24"/>
        </w:rPr>
      </w:pPr>
      <w:r>
        <w:rPr>
          <w:sz w:val="24"/>
          <w:szCs w:val="24"/>
        </w:rPr>
        <w:t>开标地点：</w:t>
      </w:r>
      <w:r>
        <w:rPr>
          <w:color w:val="000000" w:themeColor="text1"/>
          <w:sz w:val="24"/>
          <w:szCs w:val="24"/>
          <w14:textFill>
            <w14:solidFill>
              <w14:schemeClr w14:val="tx1"/>
            </w14:solidFill>
          </w14:textFill>
        </w:rPr>
        <w:t>新疆德顺天诚工程管理有限公司（</w:t>
      </w:r>
      <w:r>
        <w:rPr>
          <w:color w:val="000000" w:themeColor="text1"/>
          <w:sz w:val="24"/>
          <w:szCs w:val="24"/>
          <w:lang w:val="en-US"/>
          <w14:textFill>
            <w14:solidFill>
              <w14:schemeClr w14:val="tx1"/>
            </w14:solidFill>
          </w14:textFill>
        </w:rPr>
        <w:t>乌鲁木齐市天山区光明路59号时代广场A座1</w:t>
      </w:r>
      <w:r>
        <w:rPr>
          <w:rFonts w:hint="eastAsia"/>
          <w:color w:val="000000" w:themeColor="text1"/>
          <w:sz w:val="24"/>
          <w:szCs w:val="24"/>
          <w:lang w:val="en-US" w:eastAsia="zh-CN"/>
          <w14:textFill>
            <w14:solidFill>
              <w14:schemeClr w14:val="tx1"/>
            </w14:solidFill>
          </w14:textFill>
        </w:rPr>
        <w:t>0</w:t>
      </w:r>
      <w:r>
        <w:rPr>
          <w:color w:val="000000" w:themeColor="text1"/>
          <w:sz w:val="24"/>
          <w:szCs w:val="24"/>
          <w:lang w:val="en-US"/>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F</w:t>
      </w:r>
      <w:r>
        <w:rPr>
          <w:color w:val="000000" w:themeColor="text1"/>
          <w:sz w:val="24"/>
          <w:szCs w:val="24"/>
          <w14:textFill>
            <w14:solidFill>
              <w14:schemeClr w14:val="tx1"/>
            </w14:solidFill>
          </w14:textFill>
        </w:rPr>
        <w:t>）</w:t>
      </w:r>
    </w:p>
    <w:p>
      <w:pPr>
        <w:spacing w:line="360" w:lineRule="auto"/>
        <w:rPr>
          <w:sz w:val="24"/>
          <w:szCs w:val="24"/>
        </w:rPr>
      </w:pPr>
      <w:r>
        <w:rPr>
          <w:sz w:val="24"/>
          <w:szCs w:val="24"/>
        </w:rPr>
        <w:t>七、其他</w:t>
      </w:r>
    </w:p>
    <w:p>
      <w:pPr>
        <w:spacing w:line="360" w:lineRule="auto"/>
        <w:rPr>
          <w:sz w:val="24"/>
          <w:szCs w:val="24"/>
        </w:rPr>
      </w:pPr>
      <w:r>
        <w:rPr>
          <w:rFonts w:hint="eastAsia"/>
          <w:sz w:val="24"/>
          <w:szCs w:val="24"/>
        </w:rPr>
        <w:t>详见招标文件</w:t>
      </w:r>
    </w:p>
    <w:p>
      <w:pPr>
        <w:numPr>
          <w:ilvl w:val="0"/>
          <w:numId w:val="2"/>
        </w:numPr>
        <w:spacing w:line="360" w:lineRule="auto"/>
        <w:rPr>
          <w:sz w:val="24"/>
          <w:szCs w:val="24"/>
        </w:rPr>
      </w:pPr>
      <w:r>
        <w:rPr>
          <w:sz w:val="24"/>
          <w:szCs w:val="24"/>
        </w:rPr>
        <w:t>监督部门</w:t>
      </w:r>
      <w:r>
        <w:rPr>
          <w:rFonts w:hint="eastAsia"/>
          <w:sz w:val="24"/>
          <w:szCs w:val="24"/>
          <w:lang w:val="en-US" w:eastAsia="zh-CN"/>
        </w:rPr>
        <w:t>:/</w:t>
      </w:r>
    </w:p>
    <w:p>
      <w:pPr>
        <w:spacing w:line="360" w:lineRule="auto"/>
        <w:rPr>
          <w:sz w:val="24"/>
          <w:szCs w:val="24"/>
        </w:rPr>
      </w:pPr>
      <w:r>
        <w:rPr>
          <w:sz w:val="24"/>
          <w:szCs w:val="24"/>
        </w:rPr>
        <w:t>九、联系方式</w:t>
      </w:r>
    </w:p>
    <w:p>
      <w:pPr>
        <w:spacing w:line="360" w:lineRule="auto"/>
        <w:rPr>
          <w:rFonts w:hint="eastAsia"/>
          <w:sz w:val="24"/>
          <w:szCs w:val="24"/>
          <w:lang w:val="en-US" w:eastAsia="zh-CN"/>
        </w:rPr>
      </w:pPr>
      <w:r>
        <w:rPr>
          <w:sz w:val="24"/>
          <w:szCs w:val="24"/>
        </w:rPr>
        <w:t>招标人：</w:t>
      </w:r>
      <w:r>
        <w:rPr>
          <w:rFonts w:hint="eastAsia"/>
          <w:sz w:val="24"/>
          <w:szCs w:val="24"/>
          <w:lang w:val="en-US" w:eastAsia="zh-CN"/>
        </w:rPr>
        <w:t>乌鲁木齐市机关事务管理局</w:t>
      </w:r>
    </w:p>
    <w:p>
      <w:pPr>
        <w:spacing w:line="360" w:lineRule="auto"/>
        <w:rPr>
          <w:sz w:val="24"/>
          <w:szCs w:val="24"/>
        </w:rPr>
      </w:pPr>
      <w:r>
        <w:rPr>
          <w:sz w:val="24"/>
          <w:szCs w:val="24"/>
        </w:rPr>
        <w:t>地 址：乌鲁木齐市</w:t>
      </w:r>
    </w:p>
    <w:p>
      <w:pPr>
        <w:spacing w:line="360" w:lineRule="auto"/>
        <w:rPr>
          <w:sz w:val="24"/>
          <w:szCs w:val="24"/>
        </w:rPr>
      </w:pPr>
      <w:r>
        <w:rPr>
          <w:sz w:val="24"/>
          <w:szCs w:val="24"/>
        </w:rPr>
        <w:t xml:space="preserve">联 系 人：/ </w:t>
      </w:r>
    </w:p>
    <w:p>
      <w:pPr>
        <w:spacing w:line="360" w:lineRule="auto"/>
        <w:rPr>
          <w:sz w:val="24"/>
          <w:szCs w:val="24"/>
        </w:rPr>
      </w:pPr>
      <w:r>
        <w:rPr>
          <w:sz w:val="24"/>
          <w:szCs w:val="24"/>
        </w:rPr>
        <w:t xml:space="preserve">电 话 ：/ </w:t>
      </w:r>
    </w:p>
    <w:p>
      <w:pPr>
        <w:spacing w:line="360" w:lineRule="auto"/>
        <w:rPr>
          <w:sz w:val="24"/>
          <w:szCs w:val="24"/>
        </w:rPr>
      </w:pPr>
      <w:r>
        <w:rPr>
          <w:sz w:val="24"/>
          <w:szCs w:val="24"/>
        </w:rPr>
        <w:t>电子邮件：/</w:t>
      </w:r>
    </w:p>
    <w:p>
      <w:pPr>
        <w:spacing w:line="360" w:lineRule="auto"/>
        <w:rPr>
          <w:sz w:val="24"/>
          <w:szCs w:val="24"/>
        </w:rPr>
      </w:pPr>
      <w:r>
        <w:rPr>
          <w:sz w:val="24"/>
          <w:szCs w:val="24"/>
        </w:rPr>
        <w:t>招标代理机构：新疆德顺天诚工程管理有限公司</w:t>
      </w:r>
    </w:p>
    <w:p>
      <w:pPr>
        <w:spacing w:line="360" w:lineRule="auto"/>
        <w:rPr>
          <w:sz w:val="24"/>
          <w:szCs w:val="24"/>
        </w:rPr>
      </w:pPr>
      <w:r>
        <w:rPr>
          <w:sz w:val="24"/>
          <w:szCs w:val="24"/>
        </w:rPr>
        <w:t>地</w:t>
      </w:r>
      <w:r>
        <w:rPr>
          <w:sz w:val="24"/>
          <w:szCs w:val="24"/>
        </w:rPr>
        <w:tab/>
      </w:r>
      <w:r>
        <w:rPr>
          <w:sz w:val="24"/>
          <w:szCs w:val="24"/>
        </w:rPr>
        <w:t>址：</w:t>
      </w:r>
      <w:r>
        <w:rPr>
          <w:rFonts w:hint="eastAsia"/>
          <w:sz w:val="24"/>
          <w:szCs w:val="24"/>
          <w:lang w:val="en-US" w:eastAsia="zh-CN"/>
        </w:rPr>
        <w:t>乌鲁木齐市天山区光明路59号时代广场A座10-F</w:t>
      </w:r>
    </w:p>
    <w:p>
      <w:pPr>
        <w:spacing w:line="360" w:lineRule="auto"/>
        <w:rPr>
          <w:rFonts w:hint="eastAsia" w:eastAsia="宋体"/>
          <w:sz w:val="24"/>
          <w:szCs w:val="24"/>
          <w:lang w:val="en-US" w:eastAsia="zh-CN"/>
        </w:rPr>
      </w:pPr>
      <w:r>
        <w:rPr>
          <w:sz w:val="24"/>
          <w:szCs w:val="24"/>
        </w:rPr>
        <w:t>联 系 人：</w:t>
      </w:r>
      <w:r>
        <w:rPr>
          <w:rFonts w:hint="eastAsia"/>
          <w:sz w:val="24"/>
          <w:szCs w:val="24"/>
          <w:lang w:val="en-US" w:eastAsia="zh-CN"/>
        </w:rPr>
        <w:t xml:space="preserve"> 苏仁娥</w:t>
      </w:r>
    </w:p>
    <w:p>
      <w:pPr>
        <w:spacing w:line="360" w:lineRule="auto"/>
        <w:rPr>
          <w:rFonts w:hint="default" w:eastAsia="宋体"/>
          <w:sz w:val="24"/>
          <w:szCs w:val="24"/>
          <w:lang w:val="en-US" w:eastAsia="zh-CN"/>
        </w:rPr>
      </w:pPr>
      <w:r>
        <w:rPr>
          <w:sz w:val="24"/>
          <w:szCs w:val="24"/>
        </w:rPr>
        <w:t>电</w:t>
      </w:r>
      <w:r>
        <w:rPr>
          <w:sz w:val="24"/>
          <w:szCs w:val="24"/>
        </w:rPr>
        <w:tab/>
      </w:r>
      <w:r>
        <w:rPr>
          <w:sz w:val="24"/>
          <w:szCs w:val="24"/>
        </w:rPr>
        <w:t>话：0991-</w:t>
      </w:r>
      <w:r>
        <w:rPr>
          <w:rFonts w:hint="eastAsia"/>
          <w:sz w:val="24"/>
          <w:szCs w:val="24"/>
          <w:lang w:val="en-US" w:eastAsia="zh-CN"/>
        </w:rPr>
        <w:t>8887163   13565159649</w:t>
      </w:r>
    </w:p>
    <w:p/>
    <w:p>
      <w:pPr>
        <w:spacing w:line="440" w:lineRule="exact"/>
        <w:jc w:val="both"/>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二</w:t>
      </w:r>
      <w:r>
        <w:rPr>
          <w:rFonts w:hint="eastAsia" w:ascii="宋体" w:hAnsi="宋体" w:eastAsia="宋体" w:cs="宋体"/>
          <w:b/>
          <w:sz w:val="24"/>
          <w:szCs w:val="24"/>
        </w:rPr>
        <w:t>章 投标人须知</w:t>
      </w:r>
      <w:bookmarkEnd w:id="0"/>
    </w:p>
    <w:p>
      <w:pPr>
        <w:spacing w:line="440" w:lineRule="exact"/>
        <w:jc w:val="center"/>
        <w:outlineLvl w:val="0"/>
        <w:rPr>
          <w:rFonts w:ascii="宋体" w:hAnsi="宋体" w:eastAsia="宋体" w:cs="宋体"/>
          <w:b/>
          <w:sz w:val="24"/>
          <w:szCs w:val="24"/>
        </w:rPr>
      </w:pPr>
      <w:r>
        <w:rPr>
          <w:rFonts w:hint="eastAsia" w:ascii="宋体" w:hAnsi="宋体" w:eastAsia="宋体" w:cs="宋体"/>
          <w:b/>
          <w:sz w:val="24"/>
          <w:szCs w:val="24"/>
        </w:rPr>
        <w:t>投标人须知前附表</w:t>
      </w:r>
    </w:p>
    <w:p>
      <w:pPr>
        <w:pStyle w:val="2"/>
      </w:pPr>
    </w:p>
    <w:tbl>
      <w:tblPr>
        <w:tblStyle w:val="29"/>
        <w:tblW w:w="92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746"/>
        <w:gridCol w:w="1676"/>
        <w:gridCol w:w="6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60" w:hRule="atLeast"/>
          <w:jc w:val="center"/>
        </w:trPr>
        <w:tc>
          <w:tcPr>
            <w:tcW w:w="746" w:type="dxa"/>
            <w:vAlign w:val="center"/>
          </w:tcPr>
          <w:p>
            <w:pPr>
              <w:jc w:val="center"/>
              <w:rPr>
                <w:rFonts w:cs="Times New Roman" w:asciiTheme="minorEastAsia" w:hAnsiTheme="minorEastAsia"/>
                <w:b/>
                <w:kern w:val="0"/>
                <w:sz w:val="24"/>
                <w:szCs w:val="24"/>
              </w:rPr>
            </w:pPr>
            <w:r>
              <w:rPr>
                <w:rFonts w:hint="eastAsia" w:cs="Times New Roman" w:asciiTheme="minorEastAsia" w:hAnsiTheme="minorEastAsia"/>
                <w:b/>
                <w:kern w:val="0"/>
                <w:sz w:val="24"/>
                <w:szCs w:val="24"/>
              </w:rPr>
              <w:t>项号</w:t>
            </w:r>
          </w:p>
        </w:tc>
        <w:tc>
          <w:tcPr>
            <w:tcW w:w="8483" w:type="dxa"/>
            <w:gridSpan w:val="2"/>
          </w:tcPr>
          <w:p>
            <w:pPr>
              <w:jc w:val="center"/>
              <w:rPr>
                <w:rFonts w:cs="Times New Roman" w:asciiTheme="minorEastAsia" w:hAnsiTheme="minorEastAsia"/>
                <w:b/>
                <w:kern w:val="0"/>
                <w:sz w:val="24"/>
                <w:szCs w:val="24"/>
              </w:rPr>
            </w:pPr>
            <w:r>
              <w:rPr>
                <w:rFonts w:hint="eastAsia" w:cs="Times New Roman" w:asciiTheme="minorEastAsia" w:hAnsiTheme="minorEastAsia"/>
                <w:b/>
                <w:kern w:val="0"/>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restart"/>
            <w:vAlign w:val="center"/>
          </w:tcPr>
          <w:p>
            <w:pPr>
              <w:jc w:val="center"/>
              <w:rPr>
                <w:rFonts w:cs="Times New Roman" w:asciiTheme="minorEastAsia" w:hAnsiTheme="minorEastAsia"/>
                <w:kern w:val="0"/>
                <w:sz w:val="24"/>
                <w:szCs w:val="24"/>
              </w:rPr>
            </w:pPr>
            <w:r>
              <w:rPr>
                <w:rFonts w:cs="Times New Roman" w:asciiTheme="minorEastAsia" w:hAnsiTheme="minorEastAsia"/>
                <w:kern w:val="0"/>
                <w:sz w:val="24"/>
                <w:szCs w:val="24"/>
              </w:rPr>
              <w:t>1</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项目名称</w:t>
            </w:r>
          </w:p>
        </w:tc>
        <w:tc>
          <w:tcPr>
            <w:tcW w:w="6807" w:type="dxa"/>
            <w:vAlign w:val="center"/>
          </w:tcPr>
          <w:p>
            <w:pPr>
              <w:keepNext/>
              <w:widowControl/>
              <w:rPr>
                <w:rFonts w:hint="eastAsia" w:cs="Arial" w:asciiTheme="minorEastAsia" w:hAnsiTheme="minorEastAsia" w:eastAsiaTheme="minorEastAsia"/>
                <w:color w:val="000000"/>
                <w:kern w:val="0"/>
                <w:sz w:val="24"/>
                <w:szCs w:val="24"/>
                <w:lang w:eastAsia="zh-CN"/>
              </w:rPr>
            </w:pPr>
            <w:r>
              <w:rPr>
                <w:rFonts w:hint="eastAsia"/>
                <w:color w:val="auto"/>
                <w:sz w:val="24"/>
                <w:szCs w:val="24"/>
                <w:lang w:eastAsia="zh-CN"/>
              </w:rPr>
              <w:t>乌鲁木齐市机关事务管理局棚改转固资产采购房屋销售服务（一标段）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招标人</w:t>
            </w:r>
          </w:p>
        </w:tc>
        <w:tc>
          <w:tcPr>
            <w:tcW w:w="6807" w:type="dxa"/>
            <w:vAlign w:val="center"/>
          </w:tcPr>
          <w:p>
            <w:pPr>
              <w:keepNext/>
              <w:widowControl/>
              <w:jc w:val="left"/>
              <w:rPr>
                <w:rFonts w:hint="eastAsia" w:cs="Arial" w:asciiTheme="minorEastAsia" w:hAnsiTheme="minorEastAsia" w:eastAsiaTheme="minorEastAsia"/>
                <w:color w:val="000000"/>
                <w:kern w:val="0"/>
                <w:sz w:val="24"/>
                <w:szCs w:val="24"/>
                <w:lang w:eastAsia="zh-CN"/>
              </w:rPr>
            </w:pPr>
            <w:r>
              <w:rPr>
                <w:rFonts w:hint="eastAsia" w:cs="Arial" w:asciiTheme="minorEastAsia" w:hAnsiTheme="minorEastAsia" w:eastAsiaTheme="minorEastAsia"/>
                <w:color w:val="000000"/>
                <w:kern w:val="0"/>
                <w:sz w:val="24"/>
                <w:szCs w:val="24"/>
                <w:lang w:val="en-US" w:eastAsia="zh-CN"/>
              </w:rPr>
              <w:t>乌鲁木齐市机关事务管理局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招标代理机构</w:t>
            </w:r>
          </w:p>
        </w:tc>
        <w:tc>
          <w:tcPr>
            <w:tcW w:w="6807" w:type="dxa"/>
            <w:vAlign w:val="center"/>
          </w:tcPr>
          <w:p>
            <w:pPr>
              <w:keepNext/>
              <w:widowControl/>
              <w:jc w:val="left"/>
              <w:rPr>
                <w:rFonts w:hint="eastAsia" w:cs="Arial" w:asciiTheme="minorEastAsia" w:hAnsiTheme="minorEastAsia" w:eastAsiaTheme="minorEastAsia"/>
                <w:color w:val="000000"/>
                <w:kern w:val="0"/>
                <w:sz w:val="24"/>
                <w:szCs w:val="24"/>
                <w:lang w:eastAsia="zh-CN"/>
              </w:rPr>
            </w:pPr>
            <w:r>
              <w:rPr>
                <w:rFonts w:hint="eastAsia" w:cs="Arial" w:asciiTheme="minorEastAsia" w:hAnsiTheme="minorEastAsia"/>
                <w:color w:val="000000"/>
                <w:kern w:val="0"/>
                <w:sz w:val="24"/>
                <w:szCs w:val="24"/>
                <w:lang w:eastAsia="zh-CN"/>
              </w:rPr>
              <w:t>新疆德顺天诚工程管理有限公司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项目地点</w:t>
            </w:r>
          </w:p>
        </w:tc>
        <w:tc>
          <w:tcPr>
            <w:tcW w:w="6807" w:type="dxa"/>
            <w:vAlign w:val="center"/>
          </w:tcPr>
          <w:p>
            <w:pPr>
              <w:keepNext/>
              <w:widowControl/>
              <w:jc w:val="left"/>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乌鲁木齐市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746" w:type="dxa"/>
            <w:vMerge w:val="continue"/>
            <w:vAlign w:val="center"/>
          </w:tcPr>
          <w:p>
            <w:pPr>
              <w:jc w:val="center"/>
              <w:rPr>
                <w:rFonts w:eastAsia="宋体"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kern w:val="0"/>
                <w:sz w:val="24"/>
                <w:szCs w:val="24"/>
              </w:rPr>
            </w:pPr>
            <w:r>
              <w:rPr>
                <w:rFonts w:hint="eastAsia" w:cs="Arial" w:asciiTheme="minorEastAsia" w:hAnsiTheme="minorEastAsia"/>
                <w:kern w:val="0"/>
                <w:sz w:val="24"/>
                <w:szCs w:val="24"/>
              </w:rPr>
              <w:t>资金来源</w:t>
            </w:r>
          </w:p>
        </w:tc>
        <w:tc>
          <w:tcPr>
            <w:tcW w:w="6807" w:type="dxa"/>
            <w:vAlign w:val="center"/>
          </w:tcPr>
          <w:p>
            <w:pPr>
              <w:keepNext/>
              <w:widowControl/>
              <w:jc w:val="left"/>
              <w:rPr>
                <w:rFonts w:hint="eastAsia" w:cs="Arial" w:asciiTheme="minorEastAsia" w:hAnsiTheme="minorEastAsia" w:eastAsiaTheme="minorEastAsia"/>
                <w:kern w:val="0"/>
                <w:sz w:val="24"/>
                <w:szCs w:val="24"/>
                <w:lang w:eastAsia="zh-CN"/>
              </w:rPr>
            </w:pPr>
            <w:r>
              <w:rPr>
                <w:rFonts w:hint="eastAsia" w:cs="Arial" w:asciiTheme="minorEastAsia" w:hAnsiTheme="minorEastAsia" w:eastAsiaTheme="minorEastAsia"/>
                <w:kern w:val="0"/>
                <w:sz w:val="24"/>
                <w:szCs w:val="24"/>
                <w:lang w:val="en-US" w:eastAsia="zh-CN"/>
              </w:rPr>
              <w:t>国有资金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kern w:val="0"/>
                <w:sz w:val="24"/>
                <w:szCs w:val="24"/>
                <w:highlight w:val="none"/>
              </w:rPr>
            </w:pPr>
            <w:r>
              <w:rPr>
                <w:rFonts w:hint="eastAsia" w:cs="Arial" w:asciiTheme="minorEastAsia" w:hAnsiTheme="minorEastAsia"/>
                <w:kern w:val="0"/>
                <w:sz w:val="24"/>
                <w:szCs w:val="24"/>
                <w:highlight w:val="none"/>
              </w:rPr>
              <w:t>招标控制价</w:t>
            </w:r>
          </w:p>
        </w:tc>
        <w:tc>
          <w:tcPr>
            <w:tcW w:w="6807" w:type="dxa"/>
            <w:vAlign w:val="center"/>
          </w:tcPr>
          <w:p>
            <w:pPr>
              <w:keepNext/>
              <w:widowControl/>
              <w:jc w:val="left"/>
              <w:rPr>
                <w:rFonts w:hint="eastAsia" w:cs="Arial" w:asciiTheme="minorEastAsia" w:hAnsiTheme="minorEastAsia" w:eastAsia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总销售收入4%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kern w:val="0"/>
                <w:sz w:val="24"/>
                <w:szCs w:val="24"/>
              </w:rPr>
            </w:pPr>
            <w:r>
              <w:rPr>
                <w:rFonts w:hint="eastAsia" w:cs="Arial" w:asciiTheme="minorEastAsia" w:hAnsiTheme="minorEastAsia"/>
                <w:kern w:val="0"/>
                <w:sz w:val="24"/>
                <w:szCs w:val="24"/>
              </w:rPr>
              <w:t>招标范围</w:t>
            </w:r>
          </w:p>
        </w:tc>
        <w:tc>
          <w:tcPr>
            <w:tcW w:w="6807" w:type="dxa"/>
            <w:vAlign w:val="center"/>
          </w:tcPr>
          <w:p>
            <w:pPr>
              <w:keepNext/>
              <w:widowControl/>
              <w:spacing w:line="360" w:lineRule="auto"/>
              <w:jc w:val="left"/>
              <w:rPr>
                <w:rFonts w:hint="eastAsia" w:cs="Arial" w:asciiTheme="minorEastAsia" w:hAnsiTheme="minorEastAsia" w:eastAsiaTheme="minorEastAsia"/>
                <w:kern w:val="0"/>
                <w:sz w:val="24"/>
                <w:szCs w:val="24"/>
                <w:lang w:val="en-US" w:eastAsia="zh-CN"/>
              </w:rPr>
            </w:pPr>
            <w:r>
              <w:rPr>
                <w:rFonts w:hint="eastAsia"/>
                <w:color w:val="auto"/>
                <w:sz w:val="24"/>
                <w:szCs w:val="24"/>
                <w:lang w:eastAsia="zh-CN"/>
              </w:rPr>
              <w:t>乌鲁木齐市沙依巴克区青峰路东十三巷</w:t>
            </w:r>
            <w:r>
              <w:rPr>
                <w:rFonts w:hint="eastAsia"/>
                <w:color w:val="auto"/>
                <w:sz w:val="24"/>
                <w:szCs w:val="24"/>
                <w:lang w:val="en-US" w:eastAsia="zh-CN"/>
              </w:rPr>
              <w:t>21号、</w:t>
            </w:r>
            <w:r>
              <w:rPr>
                <w:rFonts w:hint="eastAsia"/>
                <w:color w:val="auto"/>
                <w:sz w:val="24"/>
                <w:szCs w:val="24"/>
                <w:lang w:eastAsia="zh-CN"/>
              </w:rPr>
              <w:t>青峰路</w:t>
            </w:r>
            <w:r>
              <w:rPr>
                <w:rFonts w:hint="eastAsia"/>
                <w:color w:val="auto"/>
                <w:sz w:val="24"/>
                <w:szCs w:val="24"/>
                <w:lang w:val="en-US" w:eastAsia="zh-CN"/>
              </w:rPr>
              <w:t>619号、乌鲁木齐市天山区三屯碑路北巷225号的住宅进行销售</w:t>
            </w:r>
            <w:r>
              <w:rPr>
                <w:rFonts w:hint="eastAsia" w:cs="Arial" w:asciiTheme="minorEastAsia" w:hAnsiTheme="minorEastAsia"/>
                <w:color w:val="000000"/>
                <w:kern w:val="0"/>
                <w:sz w:val="24"/>
                <w:szCs w:val="24"/>
                <w:lang w:eastAsia="zh-CN"/>
              </w:rPr>
              <w:t>以及</w:t>
            </w:r>
            <w:r>
              <w:rPr>
                <w:rFonts w:hint="eastAsia" w:cs="Arial" w:asciiTheme="minorEastAsia" w:hAnsiTheme="minorEastAsia"/>
                <w:color w:val="000000"/>
                <w:kern w:val="0"/>
                <w:sz w:val="24"/>
                <w:szCs w:val="24"/>
                <w:lang w:val="en-US" w:eastAsia="zh-CN"/>
              </w:rPr>
              <w:t>房产证办理工作</w:t>
            </w:r>
            <w:r>
              <w:rPr>
                <w:rFonts w:hint="eastAsia"/>
                <w:color w:val="auto"/>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eastAsia="宋体" w:cs="Times New Roman" w:asciiTheme="minorEastAsia" w:hAnsiTheme="minorEastAsia"/>
                <w:kern w:val="0"/>
                <w:sz w:val="24"/>
                <w:szCs w:val="24"/>
              </w:rPr>
            </w:pPr>
          </w:p>
        </w:tc>
        <w:tc>
          <w:tcPr>
            <w:tcW w:w="1676" w:type="dxa"/>
            <w:vAlign w:val="center"/>
          </w:tcPr>
          <w:p>
            <w:pPr>
              <w:keepNext/>
              <w:widowControl/>
              <w:jc w:val="distribute"/>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服务期</w:t>
            </w:r>
          </w:p>
        </w:tc>
        <w:tc>
          <w:tcPr>
            <w:tcW w:w="6807" w:type="dxa"/>
            <w:vAlign w:val="center"/>
          </w:tcPr>
          <w:p>
            <w:pPr>
              <w:keepNext/>
              <w:widowControl/>
              <w:jc w:val="left"/>
              <w:rPr>
                <w:rFonts w:hint="default" w:eastAsia="宋体" w:cs="Arial" w:asciiTheme="minorEastAsia" w:hAnsiTheme="minorEastAsia"/>
                <w:kern w:val="0"/>
                <w:sz w:val="24"/>
                <w:szCs w:val="24"/>
                <w:highlight w:val="none"/>
                <w:lang w:val="en-US" w:eastAsia="zh-CN"/>
              </w:rPr>
            </w:pPr>
            <w:r>
              <w:rPr>
                <w:rFonts w:hint="eastAsia" w:eastAsia="宋体" w:cs="Arial" w:asciiTheme="minorEastAsia" w:hAnsiTheme="minorEastAsia"/>
                <w:kern w:val="0"/>
                <w:sz w:val="24"/>
                <w:szCs w:val="24"/>
                <w:highlight w:val="none"/>
                <w:lang w:val="en-US" w:eastAsia="zh-CN"/>
              </w:rPr>
              <w:t>按招标人要求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restart"/>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2</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招标方式</w:t>
            </w:r>
          </w:p>
        </w:tc>
        <w:tc>
          <w:tcPr>
            <w:tcW w:w="6807" w:type="dxa"/>
            <w:vAlign w:val="center"/>
          </w:tcPr>
          <w:p>
            <w:pPr>
              <w:keepNext/>
              <w:widowControl/>
              <w:jc w:val="left"/>
              <w:rPr>
                <w:rFonts w:cs="Arial" w:asciiTheme="minorEastAsia" w:hAnsiTheme="minorEastAsia"/>
                <w:color w:val="000000" w:themeColor="text1"/>
                <w:kern w:val="0"/>
                <w:sz w:val="24"/>
                <w:szCs w:val="24"/>
                <w14:textFill>
                  <w14:solidFill>
                    <w14:schemeClr w14:val="tx1"/>
                  </w14:solidFill>
                </w14:textFill>
              </w:rPr>
            </w:pPr>
            <w:r>
              <w:rPr>
                <w:rFonts w:hint="eastAsia" w:cs="Arial" w:asciiTheme="minorEastAsia" w:hAnsiTheme="minorEastAsia"/>
                <w:color w:val="000000" w:themeColor="text1"/>
                <w:kern w:val="0"/>
                <w:sz w:val="24"/>
                <w:szCs w:val="24"/>
                <w14:textFill>
                  <w14:solidFill>
                    <w14:schemeClr w14:val="tx1"/>
                  </w14:solidFill>
                </w14:textFill>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资格审查方式</w:t>
            </w:r>
          </w:p>
        </w:tc>
        <w:tc>
          <w:tcPr>
            <w:tcW w:w="6807" w:type="dxa"/>
            <w:vAlign w:val="center"/>
          </w:tcPr>
          <w:p>
            <w:pPr>
              <w:keepNext/>
              <w:widowControl/>
              <w:jc w:val="left"/>
              <w:rPr>
                <w:rFonts w:cs="Arial" w:asciiTheme="minorEastAsia" w:hAnsiTheme="minorEastAsia"/>
                <w:color w:val="000000" w:themeColor="text1"/>
                <w:kern w:val="0"/>
                <w:sz w:val="24"/>
                <w:szCs w:val="24"/>
                <w14:textFill>
                  <w14:solidFill>
                    <w14:schemeClr w14:val="tx1"/>
                  </w14:solidFill>
                </w14:textFill>
              </w:rPr>
            </w:pPr>
            <w:r>
              <w:rPr>
                <w:rFonts w:hint="eastAsia" w:cs="Arial" w:asciiTheme="minorEastAsia" w:hAnsiTheme="minorEastAsia"/>
                <w:color w:val="000000" w:themeColor="text1"/>
                <w:kern w:val="0"/>
                <w:sz w:val="24"/>
                <w:szCs w:val="24"/>
                <w14:textFill>
                  <w14:solidFill>
                    <w14:schemeClr w14:val="tx1"/>
                  </w14:solidFill>
                </w14:textFill>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restart"/>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3</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评标办法</w:t>
            </w:r>
          </w:p>
        </w:tc>
        <w:tc>
          <w:tcPr>
            <w:tcW w:w="6807" w:type="dxa"/>
            <w:vAlign w:val="center"/>
          </w:tcPr>
          <w:p>
            <w:pPr>
              <w:keepNext/>
              <w:widowControl/>
              <w:jc w:val="left"/>
              <w:rPr>
                <w:rFonts w:cs="Arial" w:asciiTheme="minorEastAsia" w:hAnsiTheme="minorEastAsia"/>
                <w:color w:val="000000" w:themeColor="text1"/>
                <w:kern w:val="0"/>
                <w:sz w:val="24"/>
                <w:szCs w:val="24"/>
                <w14:textFill>
                  <w14:solidFill>
                    <w14:schemeClr w14:val="tx1"/>
                  </w14:solidFill>
                </w14:textFill>
              </w:rPr>
            </w:pPr>
            <w:r>
              <w:rPr>
                <w:rFonts w:hint="eastAsia" w:cs="Arial" w:asciiTheme="minorEastAsia" w:hAnsiTheme="minorEastAsia"/>
                <w:color w:val="000000" w:themeColor="text1"/>
                <w:kern w:val="0"/>
                <w:sz w:val="24"/>
                <w:szCs w:val="24"/>
                <w14:textFill>
                  <w14:solidFill>
                    <w14:schemeClr w14:val="tx1"/>
                  </w14:solidFill>
                </w14:textFill>
              </w:rPr>
              <w:t>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color w:val="000000"/>
                <w:kern w:val="0"/>
                <w:sz w:val="24"/>
                <w:szCs w:val="24"/>
                <w:highlight w:val="none"/>
              </w:rPr>
            </w:pPr>
            <w:r>
              <w:rPr>
                <w:rFonts w:hint="eastAsia" w:cs="Arial" w:asciiTheme="minorEastAsia" w:hAnsiTheme="minorEastAsia"/>
                <w:color w:val="000000"/>
                <w:kern w:val="0"/>
                <w:sz w:val="24"/>
                <w:szCs w:val="24"/>
                <w:highlight w:val="none"/>
              </w:rPr>
              <w:t>定标方法</w:t>
            </w:r>
          </w:p>
        </w:tc>
        <w:tc>
          <w:tcPr>
            <w:tcW w:w="6807" w:type="dxa"/>
            <w:vAlign w:val="center"/>
          </w:tcPr>
          <w:p>
            <w:pPr>
              <w:keepNext/>
              <w:widowControl/>
              <w:jc w:val="left"/>
              <w:rPr>
                <w:rFonts w:hint="eastAsia" w:cs="Arial" w:asciiTheme="minorEastAsia" w:hAnsiTheme="minorEastAsia" w:eastAsiaTheme="minorEastAsia"/>
                <w:color w:val="000000"/>
                <w:kern w:val="0"/>
                <w:sz w:val="24"/>
                <w:szCs w:val="24"/>
                <w:highlight w:val="none"/>
                <w:lang w:eastAsia="zh-CN"/>
              </w:rPr>
            </w:pPr>
            <w:r>
              <w:rPr>
                <w:rFonts w:hint="eastAsia" w:cs="Arial" w:asciiTheme="minorEastAsia" w:hAnsiTheme="minorEastAsia"/>
                <w:color w:val="000000"/>
                <w:kern w:val="0"/>
                <w:sz w:val="24"/>
                <w:szCs w:val="24"/>
                <w:highlight w:val="none"/>
              </w:rPr>
              <w:t>评标委员会直接确定</w:t>
            </w:r>
            <w:r>
              <w:rPr>
                <w:rFonts w:hint="eastAsia" w:cs="Arial" w:asciiTheme="minorEastAsia" w:hAnsiTheme="minorEastAsia"/>
                <w:color w:val="000000"/>
                <w:kern w:val="0"/>
                <w:sz w:val="24"/>
                <w:szCs w:val="24"/>
                <w:highlight w:val="none"/>
                <w:lang w:eastAsia="zh-CN"/>
              </w:rPr>
              <w:t>综合</w:t>
            </w:r>
            <w:r>
              <w:rPr>
                <w:rFonts w:hint="eastAsia" w:cs="Arial" w:asciiTheme="minorEastAsia" w:hAnsiTheme="minorEastAsia"/>
                <w:color w:val="000000"/>
                <w:kern w:val="0"/>
                <w:sz w:val="24"/>
                <w:szCs w:val="24"/>
                <w:highlight w:val="none"/>
              </w:rPr>
              <w:t>得分最高者为中标人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4</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投标人资格条件和能力</w:t>
            </w:r>
          </w:p>
        </w:tc>
        <w:tc>
          <w:tcPr>
            <w:tcW w:w="6807" w:type="dxa"/>
            <w:vAlign w:val="center"/>
          </w:tcPr>
          <w:p>
            <w:pPr>
              <w:autoSpaceDE w:val="0"/>
              <w:autoSpaceDN w:val="0"/>
              <w:spacing w:line="360" w:lineRule="auto"/>
              <w:rPr>
                <w:rFonts w:hint="eastAsia"/>
                <w:sz w:val="24"/>
                <w:szCs w:val="24"/>
                <w:lang w:val="en-US" w:eastAsia="zh-CN"/>
              </w:rPr>
            </w:pPr>
            <w:r>
              <w:rPr>
                <w:rFonts w:hint="eastAsia"/>
                <w:sz w:val="24"/>
                <w:szCs w:val="24"/>
                <w:lang w:val="en-US" w:eastAsia="zh-CN"/>
              </w:rPr>
              <w:t xml:space="preserve">1必须具备《中华人民共和国政府采购法》第二十二条规定的条件： </w:t>
            </w:r>
          </w:p>
          <w:p>
            <w:pPr>
              <w:numPr>
                <w:ilvl w:val="1"/>
                <w:numId w:val="1"/>
              </w:numPr>
              <w:autoSpaceDE w:val="0"/>
              <w:autoSpaceDN w:val="0"/>
              <w:spacing w:line="360" w:lineRule="auto"/>
              <w:rPr>
                <w:rFonts w:hint="eastAsia"/>
                <w:sz w:val="24"/>
                <w:szCs w:val="24"/>
                <w:lang w:val="en-US" w:eastAsia="zh-CN"/>
              </w:rPr>
            </w:pPr>
            <w:r>
              <w:rPr>
                <w:rFonts w:hint="eastAsia"/>
                <w:sz w:val="24"/>
                <w:szCs w:val="24"/>
                <w:lang w:val="en-US" w:eastAsia="zh-CN"/>
              </w:rPr>
              <w:t>具有独立承担民事责任的能力；</w:t>
            </w:r>
          </w:p>
          <w:p>
            <w:pPr>
              <w:numPr>
                <w:ilvl w:val="0"/>
                <w:numId w:val="0"/>
              </w:numPr>
              <w:autoSpaceDE w:val="0"/>
              <w:autoSpaceDN w:val="0"/>
              <w:spacing w:line="360" w:lineRule="auto"/>
              <w:ind w:leftChars="0"/>
              <w:rPr>
                <w:rFonts w:hint="eastAsia"/>
                <w:sz w:val="24"/>
                <w:szCs w:val="24"/>
                <w:lang w:val="en-US" w:eastAsia="zh-CN"/>
              </w:rPr>
            </w:pPr>
            <w:r>
              <w:rPr>
                <w:rFonts w:hint="eastAsia"/>
                <w:sz w:val="24"/>
                <w:szCs w:val="24"/>
                <w:lang w:val="en-US" w:eastAsia="zh-CN"/>
              </w:rPr>
              <w:t>1.2 具有良好的商业信誉和健全的财务会计制度；</w:t>
            </w:r>
            <w:r>
              <w:rPr>
                <w:rFonts w:ascii="宋体" w:hAnsi="宋体" w:eastAsia="宋体" w:cs="宋体"/>
                <w:sz w:val="24"/>
                <w:szCs w:val="24"/>
              </w:rPr>
              <w:t> </w:t>
            </w:r>
            <w:r>
              <w:rPr>
                <w:rFonts w:hint="eastAsia"/>
                <w:sz w:val="24"/>
                <w:szCs w:val="24"/>
                <w:lang w:val="en-US" w:eastAsia="zh-CN"/>
              </w:rPr>
              <w:t xml:space="preserve"> </w:t>
            </w:r>
          </w:p>
          <w:p>
            <w:pPr>
              <w:autoSpaceDE w:val="0"/>
              <w:autoSpaceDN w:val="0"/>
              <w:spacing w:line="360" w:lineRule="auto"/>
              <w:rPr>
                <w:rFonts w:hint="eastAsia"/>
                <w:sz w:val="24"/>
                <w:szCs w:val="24"/>
                <w:lang w:val="en-US" w:eastAsia="zh-CN"/>
              </w:rPr>
            </w:pPr>
            <w:r>
              <w:rPr>
                <w:rFonts w:hint="eastAsia"/>
                <w:sz w:val="24"/>
                <w:szCs w:val="24"/>
                <w:lang w:val="en-US" w:eastAsia="zh-CN"/>
              </w:rPr>
              <w:t>1.3 具有履行合同所必需的设备和专业技术能力；</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1.4 有依法缴纳税收和社会保障资金的良好记录； </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1.5 参加政府采购活动前三年内，在经营活动中没有重大违法记录； </w:t>
            </w:r>
          </w:p>
          <w:p>
            <w:pPr>
              <w:spacing w:line="360" w:lineRule="auto"/>
              <w:rPr>
                <w:rFonts w:hint="eastAsia"/>
                <w:sz w:val="24"/>
                <w:szCs w:val="24"/>
                <w:lang w:val="en-US" w:eastAsia="zh-CN"/>
              </w:rPr>
            </w:pPr>
            <w:r>
              <w:rPr>
                <w:rFonts w:hint="eastAsia"/>
                <w:sz w:val="24"/>
                <w:szCs w:val="24"/>
                <w:lang w:val="en-US" w:eastAsia="zh-CN"/>
              </w:rPr>
              <w:t>1.6 法律、行政法规规定的其他条件。</w:t>
            </w:r>
          </w:p>
          <w:p>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2、未被“信用中国”网站（ www.creditchina.gov.cn） 列入失信被执行人、重大税收违法案件当事人名单；</w:t>
            </w:r>
          </w:p>
          <w:p>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3、未被“中国政府采购网”</w:t>
            </w:r>
            <w:r>
              <w:rPr>
                <w:rFonts w:hint="eastAsia"/>
                <w:color w:val="000000" w:themeColor="text1"/>
                <w:sz w:val="24"/>
                <w:szCs w:val="24"/>
                <w:lang w:val="en-US" w:eastAsia="zh-CN"/>
                <w14:textFill>
                  <w14:solidFill>
                    <w14:schemeClr w14:val="tx1"/>
                  </w14:solidFill>
                </w14:textFill>
              </w:rPr>
              <w:fldChar w:fldCharType="begin"/>
            </w:r>
            <w:r>
              <w:rPr>
                <w:rFonts w:hint="eastAsia"/>
                <w:color w:val="000000" w:themeColor="text1"/>
                <w:sz w:val="24"/>
                <w:szCs w:val="24"/>
                <w:lang w:val="en-US" w:eastAsia="zh-CN"/>
                <w14:textFill>
                  <w14:solidFill>
                    <w14:schemeClr w14:val="tx1"/>
                  </w14:solidFill>
                </w14:textFill>
              </w:rPr>
              <w:instrText xml:space="preserve"> HYPERLINK "http://www.ccgp.gov.cn/" \h </w:instrText>
            </w:r>
            <w:r>
              <w:rPr>
                <w:rFonts w:hint="eastAsia"/>
                <w:color w:val="000000" w:themeColor="text1"/>
                <w:sz w:val="24"/>
                <w:szCs w:val="24"/>
                <w:lang w:val="en-US" w:eastAsia="zh-CN"/>
                <w14:textFill>
                  <w14:solidFill>
                    <w14:schemeClr w14:val="tx1"/>
                  </w14:solidFill>
                </w14:textFill>
              </w:rPr>
              <w:fldChar w:fldCharType="separate"/>
            </w:r>
            <w:r>
              <w:rPr>
                <w:rFonts w:hint="eastAsia"/>
                <w:color w:val="000000" w:themeColor="text1"/>
                <w:sz w:val="24"/>
                <w:szCs w:val="24"/>
                <w:lang w:val="en-US" w:eastAsia="zh-CN"/>
                <w14:textFill>
                  <w14:solidFill>
                    <w14:schemeClr w14:val="tx1"/>
                  </w14:solidFill>
                </w14:textFill>
              </w:rPr>
              <w:t>（www.ccgp.gov.cn</w:t>
            </w:r>
            <w:r>
              <w:rPr>
                <w:rFonts w:hint="eastAsia"/>
                <w:color w:val="000000" w:themeColor="text1"/>
                <w:sz w:val="24"/>
                <w:szCs w:val="24"/>
                <w:lang w:val="en-US" w:eastAsia="zh-CN"/>
                <w14:textFill>
                  <w14:solidFill>
                    <w14:schemeClr w14:val="tx1"/>
                  </w14:solidFill>
                </w14:textFill>
              </w:rPr>
              <w:fldChar w:fldCharType="end"/>
            </w:r>
            <w:r>
              <w:rPr>
                <w:rFonts w:hint="eastAsia"/>
                <w:color w:val="000000" w:themeColor="text1"/>
                <w:sz w:val="24"/>
                <w:szCs w:val="24"/>
                <w:lang w:val="en-US" w:eastAsia="zh-CN"/>
                <w14:textFill>
                  <w14:solidFill>
                    <w14:schemeClr w14:val="tx1"/>
                  </w14:solidFill>
                </w14:textFill>
              </w:rPr>
              <w:t>）列入严重违法失信行为记录名单的（尚在处罚期内的）；</w:t>
            </w:r>
          </w:p>
          <w:p>
            <w:pPr>
              <w:spacing w:line="360" w:lineRule="auto"/>
              <w:rPr>
                <w:rFonts w:ascii="宋体" w:hAnsi="宋体" w:eastAsia="宋体" w:cs="宋体"/>
                <w:color w:val="000000"/>
                <w:kern w:val="0"/>
                <w:sz w:val="24"/>
                <w:szCs w:val="20"/>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本项目不允许联合体投标。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5</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现场踏勘</w:t>
            </w:r>
          </w:p>
        </w:tc>
        <w:tc>
          <w:tcPr>
            <w:tcW w:w="6807" w:type="dxa"/>
            <w:vAlign w:val="center"/>
          </w:tcPr>
          <w:p>
            <w:pPr>
              <w:keepNext/>
              <w:widowControl/>
              <w:jc w:val="left"/>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6</w:t>
            </w:r>
          </w:p>
        </w:tc>
        <w:tc>
          <w:tcPr>
            <w:tcW w:w="1676" w:type="dxa"/>
            <w:vAlign w:val="center"/>
          </w:tcPr>
          <w:p>
            <w:pPr>
              <w:keepNext/>
              <w:widowControl/>
              <w:jc w:val="distribute"/>
              <w:rPr>
                <w:rFonts w:cs="Arial" w:asciiTheme="minorEastAsia" w:hAnsiTheme="minorEastAsia"/>
                <w:color w:val="000000" w:themeColor="text1"/>
                <w:kern w:val="0"/>
                <w:sz w:val="24"/>
                <w:szCs w:val="24"/>
                <w:highlight w:val="none"/>
                <w14:textFill>
                  <w14:solidFill>
                    <w14:schemeClr w14:val="tx1"/>
                  </w14:solidFill>
                </w14:textFill>
              </w:rPr>
            </w:pPr>
            <w:r>
              <w:rPr>
                <w:rFonts w:hint="eastAsia" w:cs="Arial" w:asciiTheme="minorEastAsia" w:hAnsiTheme="minorEastAsia"/>
                <w:color w:val="000000" w:themeColor="text1"/>
                <w:kern w:val="0"/>
                <w:sz w:val="24"/>
                <w:szCs w:val="24"/>
                <w:highlight w:val="none"/>
                <w14:textFill>
                  <w14:solidFill>
                    <w14:schemeClr w14:val="tx1"/>
                  </w14:solidFill>
                </w14:textFill>
              </w:rPr>
              <w:t>招标文件费</w:t>
            </w:r>
          </w:p>
        </w:tc>
        <w:tc>
          <w:tcPr>
            <w:tcW w:w="6807" w:type="dxa"/>
            <w:vAlign w:val="center"/>
          </w:tcPr>
          <w:p>
            <w:pPr>
              <w:keepNext/>
              <w:widowControl/>
              <w:jc w:val="left"/>
              <w:rPr>
                <w:rFonts w:cs="Arial" w:asciiTheme="minorEastAsia" w:hAnsiTheme="minorEastAsia"/>
                <w:color w:val="000000" w:themeColor="text1"/>
                <w:kern w:val="0"/>
                <w:sz w:val="24"/>
                <w:szCs w:val="24"/>
                <w:highlight w:val="none"/>
                <w14:textFill>
                  <w14:solidFill>
                    <w14:schemeClr w14:val="tx1"/>
                  </w14:solidFill>
                </w14:textFill>
              </w:rPr>
            </w:pPr>
            <w:r>
              <w:rPr>
                <w:rFonts w:hint="eastAsia" w:cs="Arial" w:asciiTheme="minorEastAsia" w:hAnsiTheme="minorEastAsia"/>
                <w:color w:val="000000" w:themeColor="text1"/>
                <w:kern w:val="0"/>
                <w:sz w:val="24"/>
                <w:szCs w:val="24"/>
                <w:highlight w:val="none"/>
                <w:lang w:val="en-US" w:eastAsia="zh-CN"/>
                <w14:textFill>
                  <w14:solidFill>
                    <w14:schemeClr w14:val="tx1"/>
                  </w14:solidFill>
                </w14:textFill>
              </w:rPr>
              <w:t>200</w:t>
            </w:r>
            <w:r>
              <w:rPr>
                <w:rFonts w:hint="eastAsia" w:cs="Arial" w:asciiTheme="minorEastAsia" w:hAnsiTheme="minorEastAsia"/>
                <w:color w:val="000000" w:themeColor="text1"/>
                <w:kern w:val="0"/>
                <w:sz w:val="24"/>
                <w:szCs w:val="24"/>
                <w:highlight w:val="none"/>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7</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招标答疑</w:t>
            </w:r>
          </w:p>
        </w:tc>
        <w:tc>
          <w:tcPr>
            <w:tcW w:w="6807" w:type="dxa"/>
            <w:vAlign w:val="center"/>
          </w:tcPr>
          <w:p>
            <w:pPr>
              <w:rPr>
                <w:rFonts w:cs="宋体" w:asciiTheme="minorEastAsia" w:hAnsiTheme="minorEastAsia"/>
                <w:kern w:val="0"/>
                <w:sz w:val="24"/>
                <w:szCs w:val="24"/>
              </w:rPr>
            </w:pPr>
            <w:r>
              <w:rPr>
                <w:rFonts w:hint="eastAsia" w:cs="宋体" w:asciiTheme="minorEastAsia" w:hAnsiTheme="minorEastAsia"/>
                <w:kern w:val="0"/>
                <w:sz w:val="24"/>
                <w:szCs w:val="24"/>
              </w:rPr>
              <w:t>投标人以书面形式加盖公章递交至</w:t>
            </w:r>
            <w:r>
              <w:rPr>
                <w:rFonts w:hint="eastAsia" w:cs="宋体" w:asciiTheme="minorEastAsia" w:hAnsiTheme="minorEastAsia"/>
                <w:kern w:val="0"/>
                <w:sz w:val="24"/>
                <w:szCs w:val="24"/>
                <w:lang w:eastAsia="zh-CN"/>
              </w:rPr>
              <w:t>新疆德顺天诚工程管理有限公司</w:t>
            </w:r>
            <w:r>
              <w:rPr>
                <w:rFonts w:hint="eastAsia" w:cs="宋体" w:asciiTheme="minorEastAsia" w:hAnsiTheme="minorEastAsia"/>
                <w:kern w:val="0"/>
                <w:sz w:val="24"/>
                <w:szCs w:val="24"/>
              </w:rPr>
              <w:t>，否则招标人不作任何解释。</w:t>
            </w:r>
          </w:p>
          <w:p>
            <w:pPr>
              <w:keepNext/>
              <w:widowControl/>
              <w:jc w:val="left"/>
              <w:rPr>
                <w:rFonts w:cs="Arial" w:asciiTheme="minorEastAsia" w:hAnsiTheme="minorEastAsia"/>
                <w:kern w:val="0"/>
                <w:sz w:val="24"/>
                <w:szCs w:val="24"/>
              </w:rPr>
            </w:pPr>
            <w:r>
              <w:rPr>
                <w:rFonts w:hint="eastAsia" w:cs="Times New Roman" w:asciiTheme="minorEastAsia" w:hAnsiTheme="minorEastAsia"/>
                <w:kern w:val="0"/>
                <w:sz w:val="24"/>
                <w:szCs w:val="24"/>
              </w:rPr>
              <w:t>招标人将对投标人的疑问作出统一解答以招标文件补充形式发出。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8</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投标保证金</w:t>
            </w:r>
          </w:p>
        </w:tc>
        <w:tc>
          <w:tcPr>
            <w:tcW w:w="6807" w:type="dxa"/>
            <w:vAlign w:val="center"/>
          </w:tcPr>
          <w:p>
            <w:pPr>
              <w:rPr>
                <w:rFonts w:ascii="宋体" w:hAnsi="宋体" w:cs="宋体"/>
                <w:sz w:val="24"/>
                <w:szCs w:val="24"/>
                <w:highlight w:val="none"/>
              </w:rPr>
            </w:pPr>
            <w:r>
              <w:rPr>
                <w:rFonts w:hint="eastAsia" w:ascii="宋体" w:hAnsi="宋体" w:cs="宋体"/>
                <w:sz w:val="24"/>
                <w:szCs w:val="24"/>
              </w:rPr>
              <w:t>递交保证</w:t>
            </w:r>
            <w:r>
              <w:rPr>
                <w:rFonts w:hint="eastAsia" w:ascii="宋体" w:hAnsi="宋体" w:cs="宋体"/>
                <w:sz w:val="24"/>
                <w:szCs w:val="24"/>
                <w:highlight w:val="none"/>
              </w:rPr>
              <w:t>金金额：</w:t>
            </w:r>
            <w:r>
              <w:rPr>
                <w:rFonts w:hint="eastAsia" w:ascii="宋体" w:hAnsi="宋体" w:cs="宋体"/>
                <w:sz w:val="24"/>
                <w:szCs w:val="24"/>
                <w:highlight w:val="none"/>
                <w:lang w:val="en-US" w:eastAsia="zh-CN"/>
              </w:rPr>
              <w:t xml:space="preserve">20000  </w:t>
            </w:r>
            <w:r>
              <w:rPr>
                <w:rFonts w:hint="eastAsia" w:ascii="宋体" w:hAnsi="宋体" w:cs="宋体"/>
                <w:sz w:val="24"/>
                <w:szCs w:val="24"/>
                <w:highlight w:val="none"/>
              </w:rPr>
              <w:t>元</w:t>
            </w:r>
          </w:p>
          <w:p>
            <w:pPr>
              <w:rPr>
                <w:rFonts w:ascii="宋体" w:hAnsi="宋体" w:cs="宋体"/>
                <w:sz w:val="24"/>
                <w:szCs w:val="24"/>
                <w:highlight w:val="none"/>
              </w:rPr>
            </w:pPr>
            <w:r>
              <w:rPr>
                <w:rFonts w:hint="eastAsia" w:ascii="宋体" w:hAnsi="宋体" w:cs="宋体"/>
                <w:sz w:val="24"/>
                <w:szCs w:val="24"/>
                <w:highlight w:val="none"/>
              </w:rPr>
              <w:t>保证金到账截止时间：</w:t>
            </w:r>
            <w:r>
              <w:rPr>
                <w:rFonts w:hint="eastAsia" w:ascii="宋体" w:hAnsi="宋体" w:cs="宋体"/>
                <w:sz w:val="24"/>
                <w:szCs w:val="24"/>
                <w:highlight w:val="none"/>
                <w:u w:val="single"/>
              </w:rPr>
              <w:t>20</w:t>
            </w:r>
            <w:r>
              <w:rPr>
                <w:rFonts w:hint="eastAsia" w:ascii="宋体" w:hAnsi="宋体" w:cs="宋体"/>
                <w:sz w:val="24"/>
                <w:szCs w:val="24"/>
                <w:highlight w:val="none"/>
                <w:u w:val="single"/>
                <w:lang w:val="en-US" w:eastAsia="zh-CN"/>
              </w:rPr>
              <w:t>22</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 xml:space="preserve"> 06 </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 xml:space="preserve"> 16 </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 xml:space="preserve"> 11 </w:t>
            </w:r>
            <w:r>
              <w:rPr>
                <w:rFonts w:hint="eastAsia" w:ascii="宋体" w:hAnsi="宋体" w:cs="宋体"/>
                <w:kern w:val="0"/>
                <w:sz w:val="24"/>
                <w:szCs w:val="24"/>
                <w:highlight w:val="none"/>
                <w:u w:val="single"/>
              </w:rPr>
              <w:t>分</w:t>
            </w:r>
            <w:r>
              <w:rPr>
                <w:rFonts w:hint="eastAsia" w:ascii="宋体" w:hAnsi="宋体" w:cs="宋体"/>
                <w:sz w:val="24"/>
                <w:szCs w:val="24"/>
                <w:highlight w:val="none"/>
              </w:rPr>
              <w:t>（北京时间）</w:t>
            </w:r>
          </w:p>
          <w:p>
            <w:pPr>
              <w:keepNext/>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保证金缴纳方式：公存账户转账、转账支票</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lang w:val="en-US" w:eastAsia="zh-CN"/>
              </w:rPr>
              <w:t>担保机构出具的保函</w:t>
            </w:r>
          </w:p>
          <w:p>
            <w:pPr>
              <w:keepNext/>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转账支票缴纳地点：</w:t>
            </w:r>
            <w:r>
              <w:rPr>
                <w:rFonts w:hint="eastAsia" w:cs="宋体" w:asciiTheme="minorEastAsia" w:hAnsiTheme="minorEastAsia"/>
                <w:kern w:val="0"/>
                <w:sz w:val="24"/>
                <w:szCs w:val="24"/>
                <w:highlight w:val="none"/>
                <w:lang w:eastAsia="zh-CN"/>
              </w:rPr>
              <w:t>新疆德顺天诚工程管理有限公司</w:t>
            </w:r>
            <w:r>
              <w:rPr>
                <w:rFonts w:hint="eastAsia" w:cs="宋体" w:asciiTheme="minorEastAsia" w:hAnsiTheme="minorEastAsia"/>
                <w:kern w:val="0"/>
                <w:sz w:val="24"/>
                <w:szCs w:val="24"/>
                <w:highlight w:val="none"/>
              </w:rPr>
              <w:t>财务室</w:t>
            </w:r>
          </w:p>
          <w:p>
            <w:pPr>
              <w:keepNext/>
              <w:widowControl/>
              <w:jc w:val="left"/>
              <w:rPr>
                <w:rFonts w:hint="eastAsia" w:cs="宋体" w:asciiTheme="minorEastAsia" w:hAnsiTheme="minorEastAsia" w:eastAsiaTheme="minorEastAsia"/>
                <w:kern w:val="0"/>
                <w:sz w:val="24"/>
                <w:szCs w:val="24"/>
                <w:highlight w:val="none"/>
                <w:lang w:eastAsia="zh-CN"/>
              </w:rPr>
            </w:pPr>
            <w:r>
              <w:rPr>
                <w:rFonts w:hint="eastAsia" w:cs="宋体" w:asciiTheme="minorEastAsia" w:hAnsiTheme="minorEastAsia"/>
                <w:kern w:val="0"/>
                <w:sz w:val="24"/>
                <w:szCs w:val="24"/>
                <w:highlight w:val="none"/>
              </w:rPr>
              <w:t>转账及转账支票收款账户名称：</w:t>
            </w:r>
            <w:r>
              <w:rPr>
                <w:rFonts w:hint="eastAsia" w:cs="宋体" w:asciiTheme="minorEastAsia" w:hAnsiTheme="minorEastAsia"/>
                <w:kern w:val="0"/>
                <w:sz w:val="24"/>
                <w:szCs w:val="24"/>
                <w:highlight w:val="none"/>
                <w:lang w:eastAsia="zh-CN"/>
              </w:rPr>
              <w:t>新疆德顺天诚工程管理有限公司</w:t>
            </w:r>
          </w:p>
          <w:p>
            <w:pPr>
              <w:keepNext/>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highlight w:val="none"/>
              </w:rPr>
              <w:t>账    号: 650501888637000004</w:t>
            </w:r>
            <w:r>
              <w:rPr>
                <w:rFonts w:hint="eastAsia" w:cs="宋体" w:asciiTheme="minorEastAsia" w:hAnsiTheme="minorEastAsia"/>
                <w:kern w:val="0"/>
                <w:sz w:val="24"/>
                <w:szCs w:val="24"/>
              </w:rPr>
              <w:t>88</w:t>
            </w:r>
          </w:p>
          <w:p>
            <w:pPr>
              <w:keepNext/>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开户银行: 建设银行乌鲁木齐市高新区支行</w:t>
            </w:r>
          </w:p>
          <w:p>
            <w:pPr>
              <w:keepNext/>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注：保证金以支票形式递交的，须提前递交，投标人以转账支票形式递交的须承担支票退票等情况带来的一切后果。未按上述要求缴纳投标保证金的，投标文件将被拒绝评审。</w:t>
            </w:r>
          </w:p>
          <w:p>
            <w:pPr>
              <w:keepNext/>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投标保证金有效期：自投标截止之日起90日历天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9</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投标文件份数</w:t>
            </w:r>
          </w:p>
        </w:tc>
        <w:tc>
          <w:tcPr>
            <w:tcW w:w="6807" w:type="dxa"/>
            <w:vAlign w:val="center"/>
          </w:tcPr>
          <w:p>
            <w:pPr>
              <w:jc w:val="left"/>
              <w:rPr>
                <w:rFonts w:cs="宋体" w:asciiTheme="minorEastAsia" w:hAnsiTheme="minorEastAsia"/>
                <w:kern w:val="0"/>
                <w:sz w:val="24"/>
                <w:szCs w:val="24"/>
              </w:rPr>
            </w:pPr>
            <w:r>
              <w:rPr>
                <w:rFonts w:hint="eastAsia" w:cs="宋体" w:asciiTheme="minorEastAsia" w:hAnsiTheme="minorEastAsia"/>
                <w:kern w:val="0"/>
                <w:sz w:val="24"/>
                <w:szCs w:val="24"/>
              </w:rPr>
              <w:t>正本：</w:t>
            </w:r>
            <w:r>
              <w:rPr>
                <w:rFonts w:cs="宋体" w:asciiTheme="minorEastAsia" w:hAnsiTheme="minorEastAsia"/>
                <w:kern w:val="0"/>
                <w:sz w:val="24"/>
                <w:szCs w:val="24"/>
                <w:u w:val="single"/>
              </w:rPr>
              <w:t>1</w:t>
            </w:r>
            <w:r>
              <w:rPr>
                <w:rFonts w:hint="eastAsia" w:cs="宋体" w:asciiTheme="minorEastAsia" w:hAnsiTheme="minorEastAsia"/>
                <w:kern w:val="0"/>
                <w:sz w:val="24"/>
                <w:szCs w:val="24"/>
                <w:u w:val="single"/>
              </w:rPr>
              <w:t>份</w:t>
            </w:r>
            <w:r>
              <w:rPr>
                <w:rFonts w:hint="eastAsia" w:cs="宋体" w:asciiTheme="minorEastAsia" w:hAnsiTheme="minorEastAsia"/>
                <w:kern w:val="0"/>
                <w:sz w:val="24"/>
                <w:szCs w:val="24"/>
              </w:rPr>
              <w:t xml:space="preserve">   副本：</w:t>
            </w:r>
            <w:r>
              <w:rPr>
                <w:rFonts w:hint="eastAsia" w:cs="宋体" w:asciiTheme="minorEastAsia" w:hAnsiTheme="minorEastAsia"/>
                <w:kern w:val="0"/>
                <w:sz w:val="24"/>
                <w:szCs w:val="24"/>
                <w:u w:val="single"/>
                <w:lang w:val="en-US" w:eastAsia="zh-CN"/>
              </w:rPr>
              <w:t>3</w:t>
            </w:r>
            <w:r>
              <w:rPr>
                <w:rFonts w:hint="eastAsia" w:cs="宋体" w:asciiTheme="minorEastAsia" w:hAnsiTheme="minorEastAsia"/>
                <w:kern w:val="0"/>
                <w:sz w:val="24"/>
                <w:szCs w:val="24"/>
                <w:u w:val="single"/>
              </w:rPr>
              <w:t>份</w:t>
            </w:r>
            <w:r>
              <w:rPr>
                <w:rFonts w:hint="eastAsia" w:cs="宋体" w:asciiTheme="minorEastAsia" w:hAnsiTheme="minorEastAsia"/>
                <w:kern w:val="0"/>
                <w:sz w:val="24"/>
                <w:szCs w:val="24"/>
              </w:rPr>
              <w:t xml:space="preserve">  电子版：</w:t>
            </w:r>
            <w:r>
              <w:rPr>
                <w:rFonts w:cs="宋体" w:asciiTheme="minorEastAsia" w:hAnsiTheme="minorEastAsia"/>
                <w:kern w:val="0"/>
                <w:sz w:val="24"/>
                <w:szCs w:val="24"/>
                <w:u w:val="single"/>
              </w:rPr>
              <w:t>1</w:t>
            </w:r>
            <w:r>
              <w:rPr>
                <w:rFonts w:hint="eastAsia" w:cs="宋体" w:asciiTheme="minorEastAsia" w:hAnsiTheme="minorEastAsia"/>
                <w:kern w:val="0"/>
                <w:sz w:val="24"/>
                <w:szCs w:val="24"/>
                <w:u w:val="single"/>
              </w:rPr>
              <w:t>份</w:t>
            </w:r>
          </w:p>
          <w:p>
            <w:pPr>
              <w:rPr>
                <w:rFonts w:ascii="宋体" w:hAnsi="Times New Roman" w:eastAsia="宋体" w:cs="Times New Roman"/>
                <w:kern w:val="0"/>
                <w:sz w:val="24"/>
                <w:szCs w:val="24"/>
              </w:rPr>
            </w:pPr>
            <w:r>
              <w:rPr>
                <w:rFonts w:hint="eastAsia" w:ascii="宋体" w:hAnsi="宋体" w:eastAsia="宋体" w:cs="Times New Roman"/>
                <w:kern w:val="0"/>
                <w:sz w:val="24"/>
                <w:szCs w:val="24"/>
              </w:rPr>
              <w:t>备注：</w:t>
            </w:r>
            <w:r>
              <w:rPr>
                <w:rFonts w:ascii="宋体" w:hAnsi="宋体" w:eastAsia="宋体" w:cs="Times New Roman"/>
                <w:kern w:val="0"/>
                <w:sz w:val="24"/>
                <w:szCs w:val="24"/>
              </w:rPr>
              <w:t>1.</w:t>
            </w:r>
            <w:r>
              <w:rPr>
                <w:rFonts w:hint="eastAsia" w:ascii="宋体" w:hAnsi="宋体" w:eastAsia="宋体" w:cs="宋体"/>
                <w:bCs/>
                <w:kern w:val="0"/>
                <w:sz w:val="24"/>
                <w:szCs w:val="24"/>
              </w:rPr>
              <w:t>以</w:t>
            </w:r>
            <w:r>
              <w:rPr>
                <w:rFonts w:ascii="宋体" w:hAnsi="宋体" w:eastAsia="宋体" w:cs="宋体"/>
                <w:bCs/>
                <w:kern w:val="0"/>
                <w:sz w:val="24"/>
                <w:szCs w:val="24"/>
              </w:rPr>
              <w:t>U</w:t>
            </w:r>
            <w:r>
              <w:rPr>
                <w:rFonts w:hint="eastAsia" w:ascii="宋体" w:hAnsi="宋体" w:eastAsia="宋体" w:cs="宋体"/>
                <w:bCs/>
                <w:kern w:val="0"/>
                <w:sz w:val="24"/>
                <w:szCs w:val="24"/>
              </w:rPr>
              <w:t>盘的形式提供</w:t>
            </w:r>
            <w:r>
              <w:rPr>
                <w:rFonts w:hint="eastAsia" w:ascii="宋体" w:hAnsi="宋体" w:eastAsia="宋体" w:cs="Times New Roman"/>
                <w:kern w:val="0"/>
                <w:sz w:val="24"/>
                <w:szCs w:val="24"/>
              </w:rPr>
              <w:t>全套电子版投标文件密封在投标文件封袋中。</w:t>
            </w:r>
          </w:p>
          <w:p>
            <w:pPr>
              <w:rPr>
                <w:rFonts w:ascii="宋体" w:hAnsi="Times New Roman" w:eastAsia="宋体" w:cs="Times New Roman"/>
                <w:kern w:val="0"/>
                <w:sz w:val="24"/>
                <w:szCs w:val="24"/>
              </w:rPr>
            </w:pPr>
            <w:r>
              <w:rPr>
                <w:rFonts w:ascii="宋体" w:hAnsi="宋体" w:eastAsia="宋体" w:cs="Times New Roman"/>
                <w:kern w:val="0"/>
                <w:sz w:val="24"/>
                <w:szCs w:val="24"/>
              </w:rPr>
              <w:t xml:space="preserve">2. </w:t>
            </w:r>
            <w:r>
              <w:rPr>
                <w:rFonts w:hint="eastAsia" w:ascii="宋体" w:hAnsi="宋体" w:eastAsia="宋体" w:cs="Times New Roman"/>
                <w:kern w:val="0"/>
                <w:sz w:val="24"/>
                <w:szCs w:val="24"/>
              </w:rPr>
              <w:t>电子版格式：经盖章扫描后的</w:t>
            </w:r>
            <w:r>
              <w:rPr>
                <w:rFonts w:ascii="宋体" w:hAnsi="宋体" w:eastAsia="宋体" w:cs="Times New Roman"/>
                <w:kern w:val="0"/>
                <w:sz w:val="24"/>
                <w:szCs w:val="24"/>
              </w:rPr>
              <w:t>PDF</w:t>
            </w:r>
            <w:r>
              <w:rPr>
                <w:rFonts w:hint="eastAsia" w:ascii="宋体" w:hAnsi="宋体" w:eastAsia="宋体" w:cs="Times New Roman"/>
                <w:kern w:val="0"/>
                <w:sz w:val="24"/>
                <w:szCs w:val="24"/>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10</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投标文件递交</w:t>
            </w:r>
          </w:p>
        </w:tc>
        <w:tc>
          <w:tcPr>
            <w:tcW w:w="6807" w:type="dxa"/>
            <w:vAlign w:val="center"/>
          </w:tcPr>
          <w:p>
            <w:pPr>
              <w:rPr>
                <w:rFonts w:cs="宋体" w:asciiTheme="minorEastAsia" w:hAnsiTheme="minorEastAsia"/>
                <w:kern w:val="0"/>
                <w:sz w:val="24"/>
                <w:szCs w:val="24"/>
              </w:rPr>
            </w:pPr>
            <w:r>
              <w:rPr>
                <w:rFonts w:hint="eastAsia" w:cs="宋体" w:asciiTheme="minorEastAsia" w:hAnsiTheme="minorEastAsia"/>
                <w:kern w:val="0"/>
                <w:sz w:val="24"/>
                <w:szCs w:val="24"/>
              </w:rPr>
              <w:t>截止时间：</w:t>
            </w:r>
            <w:r>
              <w:rPr>
                <w:rFonts w:hint="eastAsia" w:ascii="宋体" w:hAnsi="宋体" w:cs="宋体"/>
                <w:sz w:val="24"/>
                <w:szCs w:val="24"/>
                <w:u w:val="single"/>
              </w:rPr>
              <w:t>20</w:t>
            </w:r>
            <w:r>
              <w:rPr>
                <w:rFonts w:hint="eastAsia" w:ascii="宋体" w:hAnsi="宋体" w:cs="宋体"/>
                <w:sz w:val="24"/>
                <w:szCs w:val="24"/>
                <w:u w:val="single"/>
                <w:lang w:val="en-US" w:eastAsia="zh-CN"/>
              </w:rPr>
              <w:t>22</w:t>
            </w:r>
            <w:r>
              <w:rPr>
                <w:rFonts w:hint="eastAsia" w:ascii="宋体" w:hAnsi="宋体" w:cs="宋体"/>
                <w:sz w:val="24"/>
                <w:szCs w:val="24"/>
                <w:u w:val="single"/>
              </w:rPr>
              <w:t>年</w:t>
            </w:r>
            <w:r>
              <w:rPr>
                <w:rFonts w:hint="eastAsia" w:ascii="宋体" w:hAnsi="宋体" w:cs="宋体"/>
                <w:sz w:val="24"/>
                <w:szCs w:val="24"/>
                <w:u w:val="single"/>
                <w:lang w:val="en-US" w:eastAsia="zh-CN"/>
              </w:rPr>
              <w:t xml:space="preserve"> 06 </w:t>
            </w:r>
            <w:r>
              <w:rPr>
                <w:rFonts w:hint="eastAsia" w:ascii="宋体" w:hAnsi="宋体" w:cs="宋体"/>
                <w:sz w:val="24"/>
                <w:szCs w:val="24"/>
                <w:u w:val="single"/>
              </w:rPr>
              <w:t>月</w:t>
            </w:r>
            <w:r>
              <w:rPr>
                <w:rFonts w:hint="eastAsia" w:ascii="宋体" w:hAnsi="宋体" w:cs="宋体"/>
                <w:sz w:val="24"/>
                <w:szCs w:val="24"/>
                <w:u w:val="single"/>
                <w:lang w:val="en-US" w:eastAsia="zh-CN"/>
              </w:rPr>
              <w:t xml:space="preserve"> 16 </w:t>
            </w:r>
            <w:r>
              <w:rPr>
                <w:rFonts w:hint="eastAsia" w:ascii="宋体" w:hAnsi="宋体" w:cs="宋体"/>
                <w:sz w:val="24"/>
                <w:szCs w:val="24"/>
                <w:u w:val="single"/>
              </w:rPr>
              <w:t>日</w:t>
            </w:r>
            <w:r>
              <w:rPr>
                <w:rFonts w:hint="eastAsia" w:ascii="宋体" w:hAnsi="宋体" w:cs="宋体"/>
                <w:sz w:val="24"/>
                <w:szCs w:val="24"/>
                <w:u w:val="single"/>
                <w:lang w:val="en-US" w:eastAsia="zh-CN"/>
              </w:rPr>
              <w:t xml:space="preserve"> 11</w:t>
            </w:r>
            <w:r>
              <w:rPr>
                <w:rFonts w:hint="eastAsia" w:ascii="宋体" w:hAnsi="宋体" w:cs="宋体"/>
                <w:kern w:val="0"/>
                <w:sz w:val="24"/>
                <w:szCs w:val="24"/>
                <w:u w:val="single"/>
              </w:rPr>
              <w:t>：00分</w:t>
            </w:r>
            <w:r>
              <w:rPr>
                <w:rFonts w:hint="eastAsia" w:cs="宋体" w:asciiTheme="minorEastAsia" w:hAnsiTheme="minorEastAsia"/>
                <w:kern w:val="0"/>
                <w:sz w:val="24"/>
                <w:szCs w:val="24"/>
              </w:rPr>
              <w:t>（北京时间）</w:t>
            </w:r>
          </w:p>
          <w:p>
            <w:pPr>
              <w:keepNext/>
              <w:widowControl/>
              <w:jc w:val="left"/>
              <w:rPr>
                <w:rFonts w:cs="Arial" w:asciiTheme="minorEastAsia" w:hAnsiTheme="minorEastAsia"/>
                <w:kern w:val="0"/>
                <w:sz w:val="24"/>
                <w:szCs w:val="24"/>
              </w:rPr>
            </w:pPr>
            <w:r>
              <w:rPr>
                <w:rFonts w:hint="eastAsia" w:cs="宋体" w:asciiTheme="minorEastAsia" w:hAnsiTheme="minorEastAsia"/>
                <w:kern w:val="0"/>
                <w:sz w:val="24"/>
                <w:szCs w:val="24"/>
              </w:rPr>
              <w:t>递交地点：</w:t>
            </w:r>
            <w:r>
              <w:rPr>
                <w:rFonts w:hint="eastAsia" w:cs="宋体" w:asciiTheme="minorEastAsia" w:hAnsiTheme="minorEastAsia"/>
                <w:kern w:val="0"/>
                <w:sz w:val="24"/>
                <w:szCs w:val="24"/>
                <w:lang w:eastAsia="zh-CN"/>
              </w:rPr>
              <w:t>新疆德顺天诚工程管理有限公司</w:t>
            </w:r>
            <w:r>
              <w:rPr>
                <w:rFonts w:hint="eastAsia" w:cs="宋体" w:asciiTheme="minorEastAsia" w:hAnsiTheme="minorEastAsia"/>
                <w:kern w:val="0"/>
                <w:sz w:val="24"/>
                <w:szCs w:val="24"/>
              </w:rPr>
              <w:t>会议室（</w:t>
            </w:r>
            <w:r>
              <w:rPr>
                <w:rFonts w:hint="eastAsia" w:cs="宋体" w:asciiTheme="minorEastAsia" w:hAnsiTheme="minorEastAsia"/>
                <w:kern w:val="0"/>
                <w:sz w:val="24"/>
                <w:szCs w:val="24"/>
                <w:lang w:eastAsia="zh-CN"/>
              </w:rPr>
              <w:t>乌鲁木齐市天山区光明路59号时代广场A座10楼F</w:t>
            </w:r>
            <w:r>
              <w:rPr>
                <w:rFonts w:hint="eastAsia" w:cs="宋体" w:asciiTheme="minorEastAsia" w:hAnsiTheme="minorEastAsia"/>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开标时间及地点</w:t>
            </w:r>
          </w:p>
        </w:tc>
        <w:tc>
          <w:tcPr>
            <w:tcW w:w="6807" w:type="dxa"/>
            <w:vAlign w:val="center"/>
          </w:tcPr>
          <w:p>
            <w:pPr>
              <w:rPr>
                <w:rFonts w:cs="宋体" w:asciiTheme="minorEastAsia" w:hAnsiTheme="minorEastAsia"/>
                <w:kern w:val="0"/>
                <w:sz w:val="24"/>
                <w:szCs w:val="24"/>
              </w:rPr>
            </w:pPr>
            <w:r>
              <w:rPr>
                <w:rFonts w:hint="eastAsia" w:cs="宋体" w:asciiTheme="minorEastAsia" w:hAnsiTheme="minorEastAsia"/>
                <w:kern w:val="0"/>
                <w:sz w:val="24"/>
                <w:szCs w:val="24"/>
              </w:rPr>
              <w:t>时间：</w:t>
            </w:r>
            <w:r>
              <w:rPr>
                <w:rFonts w:hint="eastAsia" w:ascii="宋体" w:hAnsi="宋体" w:cs="宋体"/>
                <w:sz w:val="24"/>
                <w:szCs w:val="24"/>
                <w:u w:val="single"/>
              </w:rPr>
              <w:t>20</w:t>
            </w:r>
            <w:r>
              <w:rPr>
                <w:rFonts w:hint="eastAsia" w:ascii="宋体" w:hAnsi="宋体" w:cs="宋体"/>
                <w:sz w:val="24"/>
                <w:szCs w:val="24"/>
                <w:u w:val="single"/>
                <w:lang w:val="en-US" w:eastAsia="zh-CN"/>
              </w:rPr>
              <w:t>22</w:t>
            </w:r>
            <w:r>
              <w:rPr>
                <w:rFonts w:hint="eastAsia" w:ascii="宋体" w:hAnsi="宋体" w:cs="宋体"/>
                <w:sz w:val="24"/>
                <w:szCs w:val="24"/>
                <w:u w:val="single"/>
              </w:rPr>
              <w:t>年</w:t>
            </w:r>
            <w:r>
              <w:rPr>
                <w:rFonts w:hint="eastAsia" w:ascii="宋体" w:hAnsi="宋体" w:cs="宋体"/>
                <w:sz w:val="24"/>
                <w:szCs w:val="24"/>
                <w:u w:val="single"/>
                <w:lang w:val="en-US" w:eastAsia="zh-CN"/>
              </w:rPr>
              <w:t xml:space="preserve"> 06 </w:t>
            </w:r>
            <w:r>
              <w:rPr>
                <w:rFonts w:hint="eastAsia" w:ascii="宋体" w:hAnsi="宋体" w:cs="宋体"/>
                <w:sz w:val="24"/>
                <w:szCs w:val="24"/>
                <w:u w:val="single"/>
              </w:rPr>
              <w:t>月</w:t>
            </w:r>
            <w:r>
              <w:rPr>
                <w:rFonts w:hint="eastAsia" w:ascii="宋体" w:hAnsi="宋体" w:cs="宋体"/>
                <w:sz w:val="24"/>
                <w:szCs w:val="24"/>
                <w:u w:val="single"/>
                <w:lang w:val="en-US" w:eastAsia="zh-CN"/>
              </w:rPr>
              <w:t xml:space="preserve"> 16 </w:t>
            </w:r>
            <w:r>
              <w:rPr>
                <w:rFonts w:hint="eastAsia" w:ascii="宋体" w:hAnsi="宋体" w:cs="宋体"/>
                <w:sz w:val="24"/>
                <w:szCs w:val="24"/>
                <w:u w:val="single"/>
              </w:rPr>
              <w:t>日</w:t>
            </w:r>
            <w:r>
              <w:rPr>
                <w:rFonts w:hint="eastAsia" w:ascii="宋体" w:hAnsi="宋体" w:cs="宋体"/>
                <w:sz w:val="24"/>
                <w:szCs w:val="24"/>
                <w:u w:val="single"/>
                <w:lang w:val="en-US" w:eastAsia="zh-CN"/>
              </w:rPr>
              <w:t>11</w:t>
            </w:r>
            <w:r>
              <w:rPr>
                <w:rFonts w:hint="eastAsia" w:ascii="宋体" w:hAnsi="宋体" w:cs="宋体"/>
                <w:kern w:val="0"/>
                <w:sz w:val="24"/>
                <w:szCs w:val="24"/>
                <w:u w:val="single"/>
              </w:rPr>
              <w:t>：00分</w:t>
            </w:r>
            <w:r>
              <w:rPr>
                <w:rFonts w:hint="eastAsia" w:cs="宋体" w:asciiTheme="minorEastAsia" w:hAnsiTheme="minorEastAsia"/>
                <w:kern w:val="0"/>
                <w:sz w:val="24"/>
                <w:szCs w:val="24"/>
              </w:rPr>
              <w:t>（北京时间）</w:t>
            </w:r>
          </w:p>
          <w:p>
            <w:pPr>
              <w:keepNext/>
              <w:widowControl/>
              <w:jc w:val="left"/>
              <w:rPr>
                <w:rFonts w:cs="Arial" w:asciiTheme="minorEastAsia" w:hAnsiTheme="minorEastAsia"/>
                <w:kern w:val="0"/>
                <w:sz w:val="24"/>
                <w:szCs w:val="24"/>
              </w:rPr>
            </w:pPr>
            <w:r>
              <w:rPr>
                <w:rFonts w:hint="eastAsia" w:cs="宋体" w:asciiTheme="minorEastAsia" w:hAnsiTheme="minorEastAsia"/>
                <w:kern w:val="0"/>
                <w:sz w:val="24"/>
                <w:szCs w:val="24"/>
              </w:rPr>
              <w:t>地点：</w:t>
            </w:r>
            <w:r>
              <w:rPr>
                <w:rFonts w:hint="eastAsia" w:cs="宋体" w:asciiTheme="minorEastAsia" w:hAnsiTheme="minorEastAsia"/>
                <w:kern w:val="0"/>
                <w:sz w:val="24"/>
                <w:szCs w:val="24"/>
                <w:lang w:eastAsia="zh-CN"/>
              </w:rPr>
              <w:t>新疆德顺天诚工程管理有限公司</w:t>
            </w:r>
            <w:r>
              <w:rPr>
                <w:rFonts w:hint="eastAsia" w:cs="宋体" w:asciiTheme="minorEastAsia" w:hAnsiTheme="minorEastAsia"/>
                <w:kern w:val="0"/>
                <w:sz w:val="24"/>
                <w:szCs w:val="24"/>
              </w:rPr>
              <w:t>会议室（</w:t>
            </w:r>
            <w:r>
              <w:rPr>
                <w:rFonts w:hint="eastAsia" w:cs="宋体" w:asciiTheme="minorEastAsia" w:hAnsiTheme="minorEastAsia"/>
                <w:kern w:val="0"/>
                <w:sz w:val="24"/>
                <w:szCs w:val="24"/>
                <w:lang w:eastAsia="zh-CN"/>
              </w:rPr>
              <w:t>乌鲁木齐市天山区光明路59号时代广场A座10楼F</w:t>
            </w:r>
            <w:r>
              <w:rPr>
                <w:rFonts w:hint="eastAsia" w:cs="宋体" w:asciiTheme="minorEastAsia" w:hAnsiTheme="minorEastAsia"/>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投标有效期</w:t>
            </w:r>
          </w:p>
        </w:tc>
        <w:tc>
          <w:tcPr>
            <w:tcW w:w="6807" w:type="dxa"/>
            <w:vAlign w:val="center"/>
          </w:tcPr>
          <w:p>
            <w:pPr>
              <w:keepNext/>
              <w:widowControl/>
              <w:jc w:val="left"/>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自投标截止之日起90日历日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13</w:t>
            </w:r>
          </w:p>
        </w:tc>
        <w:tc>
          <w:tcPr>
            <w:tcW w:w="1676" w:type="dxa"/>
            <w:vAlign w:val="center"/>
          </w:tcPr>
          <w:p>
            <w:pPr>
              <w:jc w:val="distribute"/>
              <w:rPr>
                <w:rFonts w:cs="宋体" w:asciiTheme="minorEastAsia" w:hAnsiTheme="minorEastAsia"/>
                <w:kern w:val="0"/>
                <w:sz w:val="24"/>
                <w:szCs w:val="24"/>
              </w:rPr>
            </w:pPr>
            <w:r>
              <w:rPr>
                <w:rFonts w:hint="eastAsia" w:cs="宋体" w:asciiTheme="minorEastAsia" w:hAnsiTheme="minorEastAsia"/>
                <w:kern w:val="0"/>
                <w:sz w:val="24"/>
                <w:szCs w:val="24"/>
              </w:rPr>
              <w:t>招标公告发布媒介</w:t>
            </w:r>
          </w:p>
        </w:tc>
        <w:tc>
          <w:tcPr>
            <w:tcW w:w="6807" w:type="dxa"/>
            <w:vAlign w:val="center"/>
          </w:tcPr>
          <w:p>
            <w:pPr>
              <w:rPr>
                <w:rFonts w:cs="宋体" w:asciiTheme="minorEastAsia" w:hAnsiTheme="minorEastAsia"/>
                <w:kern w:val="0"/>
                <w:sz w:val="24"/>
                <w:szCs w:val="24"/>
                <w:u w:val="single"/>
              </w:rPr>
            </w:pPr>
            <w:r>
              <w:rPr>
                <w:rFonts w:hint="eastAsia" w:cs="宋体" w:asciiTheme="minorEastAsia" w:hAnsiTheme="minorEastAsia"/>
                <w:kern w:val="0"/>
                <w:sz w:val="24"/>
                <w:szCs w:val="24"/>
                <w:u w:val="single"/>
              </w:rPr>
              <w:t>新疆政府采购网（http://www.ccgp-xinjiang.gov.cn/）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4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其他</w:t>
            </w:r>
          </w:p>
        </w:tc>
        <w:tc>
          <w:tcPr>
            <w:tcW w:w="6807" w:type="dxa"/>
            <w:vAlign w:val="center"/>
          </w:tcPr>
          <w:p>
            <w:pPr>
              <w:keepNext/>
              <w:widowControl/>
              <w:jc w:val="left"/>
            </w:pPr>
            <w:r>
              <w:rPr>
                <w:rFonts w:hint="eastAsia" w:cs="Arial" w:asciiTheme="minorEastAsia" w:hAnsiTheme="minorEastAsia"/>
                <w:b/>
                <w:bCs/>
                <w:color w:val="000000"/>
                <w:kern w:val="0"/>
                <w:sz w:val="24"/>
                <w:szCs w:val="24"/>
              </w:rPr>
              <w:t>本次招标</w:t>
            </w:r>
            <w:r>
              <w:rPr>
                <w:rFonts w:hint="eastAsia" w:cs="Arial" w:asciiTheme="minorEastAsia" w:hAnsiTheme="minorEastAsia"/>
                <w:b/>
                <w:bCs/>
                <w:color w:val="000000"/>
                <w:kern w:val="0"/>
                <w:sz w:val="24"/>
                <w:szCs w:val="24"/>
                <w:lang w:val="en-US" w:eastAsia="zh-CN"/>
              </w:rPr>
              <w:t>代理费</w:t>
            </w:r>
            <w:r>
              <w:rPr>
                <w:rFonts w:hint="eastAsia" w:cs="Arial" w:asciiTheme="minorEastAsia" w:hAnsiTheme="minorEastAsia"/>
                <w:b/>
                <w:bCs/>
                <w:color w:val="000000"/>
                <w:kern w:val="0"/>
                <w:sz w:val="24"/>
                <w:szCs w:val="24"/>
              </w:rPr>
              <w:t>由中标人支付</w:t>
            </w:r>
            <w:r>
              <w:rPr>
                <w:rFonts w:hint="eastAsia" w:cs="Arial" w:asciiTheme="minorEastAsia" w:hAnsiTheme="minorEastAsia"/>
                <w:b/>
                <w:bCs/>
                <w:color w:val="000000"/>
                <w:kern w:val="0"/>
                <w:sz w:val="24"/>
                <w:szCs w:val="24"/>
                <w:lang w:eastAsia="zh-CN"/>
              </w:rPr>
              <w:t>，</w:t>
            </w:r>
            <w:r>
              <w:rPr>
                <w:rFonts w:hint="eastAsia" w:cs="Arial" w:asciiTheme="minorEastAsia" w:hAnsiTheme="minorEastAsia"/>
                <w:b/>
                <w:bCs/>
                <w:color w:val="000000"/>
                <w:kern w:val="0"/>
                <w:sz w:val="24"/>
                <w:szCs w:val="24"/>
              </w:rPr>
              <w:t>招标人将不另行支付。</w:t>
            </w:r>
          </w:p>
        </w:tc>
      </w:tr>
    </w:tbl>
    <w:p>
      <w:pPr>
        <w:rPr>
          <w:rFonts w:ascii="宋体" w:hAnsi="Calibri" w:eastAsia="宋体" w:cs="Times New Roman"/>
          <w:kern w:val="0"/>
          <w:sz w:val="24"/>
          <w:szCs w:val="24"/>
        </w:rPr>
      </w:pPr>
    </w:p>
    <w:p>
      <w:pPr>
        <w:spacing w:line="440" w:lineRule="exact"/>
        <w:jc w:val="center"/>
        <w:outlineLvl w:val="0"/>
        <w:rPr>
          <w:rFonts w:ascii="宋体" w:hAnsi="宋体" w:eastAsia="宋体" w:cs="宋体"/>
          <w:b/>
          <w:sz w:val="24"/>
          <w:szCs w:val="24"/>
        </w:rPr>
      </w:pPr>
      <w:bookmarkStart w:id="1" w:name="_BookMark_3"/>
      <w:bookmarkEnd w:id="1"/>
      <w:bookmarkStart w:id="2" w:name="_Toc488827451"/>
      <w:r>
        <w:rPr>
          <w:rFonts w:hint="eastAsia" w:ascii="宋体" w:hAnsi="宋体" w:eastAsia="宋体" w:cs="宋体"/>
          <w:b/>
          <w:sz w:val="24"/>
          <w:szCs w:val="24"/>
        </w:rPr>
        <w:t>投标人须知</w:t>
      </w:r>
      <w:bookmarkEnd w:id="2"/>
      <w:bookmarkStart w:id="3" w:name="_BookMark_2"/>
      <w:bookmarkEnd w:id="3"/>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 w:name="_Toc488827452"/>
      <w:r>
        <w:rPr>
          <w:rFonts w:ascii="宋体" w:hAnsi="宋体" w:eastAsia="宋体" w:cs="宋体"/>
          <w:b/>
          <w:sz w:val="24"/>
          <w:szCs w:val="24"/>
        </w:rPr>
        <w:t>1</w:t>
      </w:r>
      <w:r>
        <w:rPr>
          <w:rFonts w:hint="eastAsia" w:ascii="宋体" w:hAnsi="宋体" w:eastAsia="宋体" w:cs="宋体"/>
          <w:b/>
          <w:sz w:val="24"/>
          <w:szCs w:val="24"/>
        </w:rPr>
        <w:t>．总则</w:t>
      </w:r>
      <w:bookmarkEnd w:id="4"/>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 </w:t>
      </w:r>
      <w:r>
        <w:rPr>
          <w:rFonts w:hint="eastAsia" w:ascii="宋体" w:hAnsi="宋体" w:eastAsia="宋体" w:cs="Arial"/>
          <w:color w:val="000000"/>
          <w:kern w:val="0"/>
          <w:sz w:val="24"/>
          <w:szCs w:val="24"/>
        </w:rPr>
        <w:t>招标项目概况</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1.1.1 </w:t>
      </w:r>
      <w:r>
        <w:rPr>
          <w:rFonts w:hint="eastAsia" w:ascii="宋体" w:hAnsi="宋体" w:eastAsia="宋体" w:cs="Arial"/>
          <w:color w:val="000000"/>
          <w:kern w:val="0"/>
          <w:sz w:val="24"/>
          <w:szCs w:val="24"/>
        </w:rPr>
        <w:t>项目名称：见投标人须知前附表。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1.1.2 </w:t>
      </w:r>
      <w:r>
        <w:rPr>
          <w:rFonts w:hint="eastAsia" w:ascii="宋体" w:hAnsi="宋体" w:eastAsia="宋体" w:cs="Arial"/>
          <w:color w:val="000000"/>
          <w:kern w:val="0"/>
          <w:sz w:val="24"/>
          <w:szCs w:val="24"/>
        </w:rPr>
        <w:t>招标人：见投标人须知前附表。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1.1.3 </w:t>
      </w:r>
      <w:r>
        <w:rPr>
          <w:rFonts w:hint="eastAsia" w:ascii="宋体" w:hAnsi="宋体" w:eastAsia="宋体" w:cs="Arial"/>
          <w:color w:val="000000"/>
          <w:kern w:val="0"/>
          <w:sz w:val="24"/>
          <w:szCs w:val="24"/>
        </w:rPr>
        <w:t>招标代理机构：见投标人须知前附表。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1.1.4 </w:t>
      </w:r>
      <w:r>
        <w:rPr>
          <w:rFonts w:hint="eastAsia" w:ascii="宋体" w:hAnsi="宋体" w:eastAsia="宋体" w:cs="Arial"/>
          <w:color w:val="000000"/>
          <w:kern w:val="0"/>
          <w:sz w:val="24"/>
          <w:szCs w:val="24"/>
        </w:rPr>
        <w:t>项目地点：见投标人须知前附表。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1.1.5 </w:t>
      </w:r>
      <w:r>
        <w:rPr>
          <w:rFonts w:hint="eastAsia" w:ascii="宋体" w:hAnsi="宋体" w:eastAsia="宋体" w:cs="Arial"/>
          <w:color w:val="000000"/>
          <w:kern w:val="0"/>
          <w:sz w:val="24"/>
          <w:szCs w:val="24"/>
        </w:rPr>
        <w:t>服务费概算：见投标人须知前附表。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1.1.6 </w:t>
      </w:r>
      <w:r>
        <w:rPr>
          <w:rFonts w:hint="eastAsia" w:ascii="宋体" w:hAnsi="宋体" w:eastAsia="宋体" w:cs="Arial"/>
          <w:color w:val="000000"/>
          <w:kern w:val="0"/>
          <w:sz w:val="24"/>
          <w:szCs w:val="24"/>
        </w:rPr>
        <w:t>资金来源：见投标人须知前附表。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1.1.7 </w:t>
      </w:r>
      <w:r>
        <w:rPr>
          <w:rFonts w:hint="eastAsia" w:ascii="宋体" w:hAnsi="宋体" w:eastAsia="宋体" w:cs="Arial"/>
          <w:color w:val="000000"/>
          <w:kern w:val="0"/>
          <w:sz w:val="24"/>
          <w:szCs w:val="24"/>
        </w:rPr>
        <w:t>招标范围：见投标人须知前附表。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2</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招标方式和资格审查方式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2</w:t>
      </w:r>
      <w:r>
        <w:rPr>
          <w:rFonts w:ascii="宋体" w:hAnsi="宋体" w:eastAsia="宋体" w:cs="Arial"/>
          <w:color w:val="000000"/>
          <w:kern w:val="0"/>
          <w:sz w:val="24"/>
          <w:szCs w:val="24"/>
        </w:rPr>
        <w:t xml:space="preserve">.1 </w:t>
      </w:r>
      <w:r>
        <w:rPr>
          <w:rFonts w:hint="eastAsia" w:ascii="宋体" w:hAnsi="宋体" w:eastAsia="宋体" w:cs="Arial"/>
          <w:color w:val="000000"/>
          <w:kern w:val="0"/>
          <w:sz w:val="24"/>
          <w:szCs w:val="24"/>
        </w:rPr>
        <w:t>招标方式：见投标人须知前附表。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2</w:t>
      </w:r>
      <w:r>
        <w:rPr>
          <w:rFonts w:ascii="宋体" w:hAnsi="宋体" w:eastAsia="宋体" w:cs="Arial"/>
          <w:color w:val="000000"/>
          <w:kern w:val="0"/>
          <w:sz w:val="24"/>
          <w:szCs w:val="24"/>
        </w:rPr>
        <w:t xml:space="preserve">.2 </w:t>
      </w:r>
      <w:r>
        <w:rPr>
          <w:rFonts w:hint="eastAsia" w:ascii="宋体" w:hAnsi="宋体" w:eastAsia="宋体" w:cs="Arial"/>
          <w:color w:val="000000"/>
          <w:kern w:val="0"/>
          <w:sz w:val="24"/>
          <w:szCs w:val="24"/>
        </w:rPr>
        <w:t>资格审查方式：见投标人须知前附表。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3</w:t>
      </w:r>
      <w:r>
        <w:rPr>
          <w:rFonts w:ascii="宋体" w:hAnsi="宋体" w:eastAsia="宋体" w:cs="Arial"/>
          <w:kern w:val="0"/>
          <w:sz w:val="24"/>
          <w:szCs w:val="24"/>
        </w:rPr>
        <w:t xml:space="preserve"> </w:t>
      </w:r>
      <w:r>
        <w:rPr>
          <w:rFonts w:hint="eastAsia" w:ascii="宋体" w:hAnsi="宋体" w:eastAsia="宋体" w:cs="Arial"/>
          <w:kern w:val="0"/>
          <w:sz w:val="24"/>
          <w:szCs w:val="24"/>
        </w:rPr>
        <w:t>评标办法及定标方法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评标办法：见投标人须知前附表。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3</w:t>
      </w:r>
      <w:r>
        <w:rPr>
          <w:rFonts w:ascii="宋体" w:hAnsi="宋体" w:eastAsia="宋体" w:cs="Arial"/>
          <w:kern w:val="0"/>
          <w:sz w:val="24"/>
          <w:szCs w:val="24"/>
        </w:rPr>
        <w:t>.2</w:t>
      </w:r>
      <w:r>
        <w:rPr>
          <w:rFonts w:hint="eastAsia" w:ascii="宋体" w:hAnsi="宋体" w:eastAsia="宋体" w:cs="Arial"/>
          <w:kern w:val="0"/>
          <w:sz w:val="24"/>
          <w:szCs w:val="24"/>
        </w:rPr>
        <w:t xml:space="preserve"> 定标方法：见投标人须知前附表。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4</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投标人资格条件和能力要求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4</w:t>
      </w:r>
      <w:r>
        <w:rPr>
          <w:rFonts w:ascii="宋体" w:hAnsi="宋体" w:eastAsia="宋体" w:cs="Arial"/>
          <w:color w:val="000000"/>
          <w:kern w:val="0"/>
          <w:sz w:val="24"/>
          <w:szCs w:val="24"/>
        </w:rPr>
        <w:t xml:space="preserve">.1 </w:t>
      </w:r>
      <w:r>
        <w:rPr>
          <w:rFonts w:hint="eastAsia" w:ascii="宋体" w:hAnsi="宋体" w:eastAsia="宋体" w:cs="Arial"/>
          <w:color w:val="000000"/>
          <w:kern w:val="0"/>
          <w:sz w:val="24"/>
          <w:szCs w:val="24"/>
        </w:rPr>
        <w:t>投标人应具备承担本招标项目的资格条件和能力，具体要求见投标人须知前附表。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4</w:t>
      </w:r>
      <w:r>
        <w:rPr>
          <w:rFonts w:ascii="宋体" w:hAnsi="宋体" w:eastAsia="宋体" w:cs="Arial"/>
          <w:color w:val="000000"/>
          <w:kern w:val="0"/>
          <w:sz w:val="24"/>
          <w:szCs w:val="24"/>
        </w:rPr>
        <w:t xml:space="preserve">.2 </w:t>
      </w:r>
      <w:r>
        <w:rPr>
          <w:rFonts w:hint="eastAsia" w:ascii="宋体" w:hAnsi="宋体" w:eastAsia="宋体" w:cs="Arial"/>
          <w:color w:val="000000"/>
          <w:kern w:val="0"/>
          <w:sz w:val="24"/>
          <w:szCs w:val="24"/>
        </w:rPr>
        <w:t>投标人须知前附表规定接受联合体投标的，除应符合本章第</w:t>
      </w:r>
      <w:r>
        <w:rPr>
          <w:rFonts w:ascii="宋体" w:hAnsi="宋体" w:eastAsia="宋体" w:cs="Arial"/>
          <w:color w:val="000000"/>
          <w:kern w:val="0"/>
          <w:sz w:val="24"/>
          <w:szCs w:val="24"/>
        </w:rPr>
        <w:t>1.4.1</w:t>
      </w:r>
      <w:r>
        <w:rPr>
          <w:rFonts w:hint="eastAsia" w:ascii="宋体" w:hAnsi="宋体" w:eastAsia="宋体" w:cs="Arial"/>
          <w:color w:val="000000"/>
          <w:kern w:val="0"/>
          <w:sz w:val="24"/>
          <w:szCs w:val="24"/>
        </w:rPr>
        <w:t>项和投标人须知前附表的要求外，还应遵守以下规定：（</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）联合体各方应按招标文件提供的格式签订联合体协议书，明确联合体牵头人和各方权利义务；（</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）联合体各方不得再以自己名义单独或参加其他联合体在本招标项目中投标。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4</w:t>
      </w:r>
      <w:r>
        <w:rPr>
          <w:rFonts w:ascii="宋体" w:hAnsi="宋体" w:eastAsia="宋体" w:cs="Arial"/>
          <w:color w:val="000000"/>
          <w:kern w:val="0"/>
          <w:sz w:val="24"/>
          <w:szCs w:val="24"/>
        </w:rPr>
        <w:t xml:space="preserve">.3 </w:t>
      </w:r>
      <w:r>
        <w:rPr>
          <w:rFonts w:hint="eastAsia" w:ascii="宋体" w:hAnsi="宋体" w:eastAsia="宋体" w:cs="Arial"/>
          <w:color w:val="000000"/>
          <w:kern w:val="0"/>
          <w:sz w:val="24"/>
          <w:szCs w:val="24"/>
        </w:rPr>
        <w:t>投标人不得存在下列情形之一，否则相关投标均应被否决：</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）与招标人存在利害关系可能影响招标公正性的法人、其他组织或者个人的；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）法定代表人为同一个人的两个及两个以上法人，母公司、全资子公司及其控</w:t>
      </w:r>
      <w:r>
        <w:rPr>
          <w:rFonts w:hint="eastAsia" w:ascii="宋体" w:hAnsi="宋体" w:eastAsia="宋体" w:cs="Arial"/>
          <w:color w:val="000000" w:themeColor="text1"/>
          <w:kern w:val="0"/>
          <w:sz w:val="24"/>
          <w:szCs w:val="24"/>
          <w14:textFill>
            <w14:solidFill>
              <w14:schemeClr w14:val="tx1"/>
            </w14:solidFill>
          </w14:textFill>
        </w:rPr>
        <w:t>股公司，参加同一标段投标或者未划分标段的同一招标项目投标的；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（4）被责令停业的；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（5）被暂停或取消投标资格的；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（6）财产被接管或冻结的；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（7）在最近三年内有骗取中标或严重违约或重大质量问题的；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（8）法律规定的其他情形。</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bookmarkStart w:id="5" w:name="_BookMark_5"/>
      <w:bookmarkEnd w:id="5"/>
      <w:r>
        <w:rPr>
          <w:rFonts w:ascii="宋体" w:hAnsi="宋体" w:eastAsia="宋体" w:cs="Arial"/>
          <w:color w:val="000000"/>
          <w:kern w:val="0"/>
          <w:sz w:val="24"/>
          <w:szCs w:val="24"/>
        </w:rPr>
        <w:t>1.</w:t>
      </w:r>
      <w:r>
        <w:rPr>
          <w:rFonts w:hint="eastAsia" w:ascii="宋体" w:hAnsi="宋体" w:eastAsia="宋体" w:cs="Arial"/>
          <w:color w:val="000000"/>
          <w:kern w:val="0"/>
          <w:sz w:val="24"/>
          <w:szCs w:val="24"/>
        </w:rPr>
        <w:t>5</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费用承担</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5.1投标人应承担其编制投标文件与递交投标文件所涉及的一切费用，无论投标结果如何，招标人对上述费用不作任何补偿。招标代理咨询费由中标人支付。</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1.5.2 中标人须按投标人须知前附表第14条规定向招标代理机构交纳代理服务费。</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1.5.2.1代理服务费的交纳方式：</w:t>
      </w:r>
      <w:r>
        <w:rPr>
          <w:rFonts w:hint="eastAsia" w:ascii="宋体" w:hAnsi="宋体" w:eastAsia="宋体" w:cs="Arial"/>
          <w:color w:val="000000"/>
          <w:kern w:val="0"/>
          <w:sz w:val="24"/>
          <w:szCs w:val="24"/>
          <w:lang w:val="en-GB"/>
        </w:rPr>
        <w:t>在领取中标通知书同时按规定的标准一次性向招标代理机构缴清中标服务费</w:t>
      </w:r>
      <w:r>
        <w:rPr>
          <w:rFonts w:hint="eastAsia" w:ascii="宋体" w:hAnsi="宋体" w:eastAsia="宋体" w:cs="Arial"/>
          <w:color w:val="000000"/>
          <w:kern w:val="0"/>
          <w:sz w:val="24"/>
          <w:szCs w:val="24"/>
        </w:rPr>
        <w:t>，可用支票、汇票、电汇、现金等付款方式。</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1.6 保密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参与招标投标活动的各方应当对招标文件和投标文件中的商业和技术等秘密保密，否则应当承担相应的法律责任。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7</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语言文字</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8</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计量单位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9</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踏勘现场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9</w:t>
      </w:r>
      <w:r>
        <w:rPr>
          <w:rFonts w:ascii="宋体" w:hAnsi="宋体" w:eastAsia="宋体" w:cs="Arial"/>
          <w:color w:val="000000"/>
          <w:kern w:val="0"/>
          <w:sz w:val="24"/>
          <w:szCs w:val="24"/>
        </w:rPr>
        <w:t xml:space="preserve">.1 </w:t>
      </w:r>
      <w:r>
        <w:rPr>
          <w:rFonts w:hint="eastAsia" w:ascii="宋体" w:hAnsi="宋体" w:eastAsia="宋体" w:cs="Arial"/>
          <w:color w:val="000000"/>
          <w:kern w:val="0"/>
          <w:sz w:val="24"/>
          <w:szCs w:val="24"/>
        </w:rPr>
        <w:t>投标人须知前附表规定组织踏勘现场的，招标人按投标人须知前附表规定的时间、地点组织投标人踏勘项目现场。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9</w:t>
      </w:r>
      <w:r>
        <w:rPr>
          <w:rFonts w:ascii="宋体" w:hAnsi="宋体" w:eastAsia="宋体" w:cs="Arial"/>
          <w:color w:val="000000"/>
          <w:kern w:val="0"/>
          <w:sz w:val="24"/>
          <w:szCs w:val="24"/>
        </w:rPr>
        <w:t xml:space="preserve">.2 </w:t>
      </w:r>
      <w:r>
        <w:rPr>
          <w:rFonts w:hint="eastAsia" w:ascii="宋体" w:hAnsi="宋体" w:eastAsia="宋体" w:cs="Arial"/>
          <w:color w:val="000000"/>
          <w:kern w:val="0"/>
          <w:sz w:val="24"/>
          <w:szCs w:val="24"/>
        </w:rPr>
        <w:t>投标人踏勘现场发生的费用自理。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9</w:t>
      </w:r>
      <w:r>
        <w:rPr>
          <w:rFonts w:ascii="宋体" w:hAnsi="宋体" w:eastAsia="宋体" w:cs="Arial"/>
          <w:color w:val="000000"/>
          <w:kern w:val="0"/>
          <w:sz w:val="24"/>
          <w:szCs w:val="24"/>
        </w:rPr>
        <w:t xml:space="preserve">.3 </w:t>
      </w:r>
      <w:r>
        <w:rPr>
          <w:rFonts w:hint="eastAsia" w:ascii="宋体" w:hAnsi="宋体" w:eastAsia="宋体" w:cs="Arial"/>
          <w:color w:val="000000"/>
          <w:kern w:val="0"/>
          <w:sz w:val="24"/>
          <w:szCs w:val="24"/>
        </w:rPr>
        <w:t>除招标人的原因外，投标人自行负责在踏勘现场中所发生的人员伤亡和财产损失。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9</w:t>
      </w:r>
      <w:r>
        <w:rPr>
          <w:rFonts w:ascii="宋体" w:hAnsi="宋体" w:eastAsia="宋体" w:cs="Arial"/>
          <w:color w:val="000000"/>
          <w:kern w:val="0"/>
          <w:sz w:val="24"/>
          <w:szCs w:val="24"/>
        </w:rPr>
        <w:t xml:space="preserve">.4 </w:t>
      </w:r>
      <w:r>
        <w:rPr>
          <w:rFonts w:hint="eastAsia" w:ascii="宋体" w:hAnsi="宋体" w:eastAsia="宋体" w:cs="Arial"/>
          <w:color w:val="000000"/>
          <w:kern w:val="0"/>
          <w:sz w:val="24"/>
          <w:szCs w:val="24"/>
        </w:rPr>
        <w:t>招标人在踏勘现场中介绍的工程场地和相关的周边环境情况，供投标人在编制投标文件时参考，招标人不对投标人据此作出的判断和决策负责。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10招标澄清答疑要求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1.1</w:t>
      </w:r>
      <w:r>
        <w:rPr>
          <w:rFonts w:hint="eastAsia" w:ascii="宋体" w:hAnsi="宋体" w:eastAsia="宋体" w:cs="Arial"/>
          <w:color w:val="000000"/>
          <w:kern w:val="0"/>
          <w:sz w:val="24"/>
          <w:szCs w:val="24"/>
        </w:rPr>
        <w:t>0</w:t>
      </w:r>
      <w:r>
        <w:rPr>
          <w:rFonts w:ascii="宋体" w:hAnsi="宋体" w:eastAsia="宋体" w:cs="Arial"/>
          <w:color w:val="000000"/>
          <w:kern w:val="0"/>
          <w:sz w:val="24"/>
          <w:szCs w:val="24"/>
        </w:rPr>
        <w:t xml:space="preserve">.1 </w:t>
      </w:r>
      <w:r>
        <w:rPr>
          <w:rFonts w:hint="eastAsia" w:ascii="宋体" w:hAnsi="宋体" w:eastAsia="宋体" w:cs="Arial"/>
          <w:color w:val="000000"/>
          <w:kern w:val="0"/>
          <w:sz w:val="24"/>
          <w:szCs w:val="24"/>
        </w:rPr>
        <w:t>投标人须知前附表规定招标澄清答疑要求，澄清投标人提出的问题。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1.1</w:t>
      </w:r>
      <w:r>
        <w:rPr>
          <w:rFonts w:hint="eastAsia" w:ascii="宋体" w:hAnsi="宋体" w:eastAsia="宋体" w:cs="Arial"/>
          <w:color w:val="000000"/>
          <w:kern w:val="0"/>
          <w:sz w:val="24"/>
          <w:szCs w:val="24"/>
        </w:rPr>
        <w:t>0</w:t>
      </w:r>
      <w:r>
        <w:rPr>
          <w:rFonts w:ascii="宋体" w:hAnsi="宋体" w:eastAsia="宋体" w:cs="Arial"/>
          <w:color w:val="000000"/>
          <w:kern w:val="0"/>
          <w:sz w:val="24"/>
          <w:szCs w:val="24"/>
        </w:rPr>
        <w:t xml:space="preserve">.2 </w:t>
      </w:r>
      <w:r>
        <w:rPr>
          <w:rFonts w:hint="eastAsia" w:ascii="宋体" w:hAnsi="宋体" w:eastAsia="宋体" w:cs="Arial"/>
          <w:color w:val="000000"/>
          <w:kern w:val="0"/>
          <w:sz w:val="24"/>
          <w:szCs w:val="24"/>
        </w:rPr>
        <w:t>投标人若有疑问，应按投标人须知前附表规定的时间、方式向招标人提出，要求招标人对招标文件予以澄清。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1.1</w:t>
      </w:r>
      <w:r>
        <w:rPr>
          <w:rFonts w:hint="eastAsia" w:ascii="宋体" w:hAnsi="宋体" w:eastAsia="宋体" w:cs="Arial"/>
          <w:color w:val="000000"/>
          <w:kern w:val="0"/>
          <w:sz w:val="24"/>
          <w:szCs w:val="24"/>
        </w:rPr>
        <w:t>0</w:t>
      </w:r>
      <w:r>
        <w:rPr>
          <w:rFonts w:ascii="宋体" w:hAnsi="宋体" w:eastAsia="宋体" w:cs="Arial"/>
          <w:color w:val="000000"/>
          <w:kern w:val="0"/>
          <w:sz w:val="24"/>
          <w:szCs w:val="24"/>
        </w:rPr>
        <w:t xml:space="preserve">.3 </w:t>
      </w:r>
      <w:r>
        <w:rPr>
          <w:rFonts w:hint="eastAsia" w:ascii="宋体" w:hAnsi="宋体" w:eastAsia="宋体" w:cs="Arial"/>
          <w:color w:val="000000"/>
          <w:kern w:val="0"/>
          <w:sz w:val="24"/>
          <w:szCs w:val="24"/>
        </w:rPr>
        <w:t>招标人将按照投标人须知前附表规定的时间方式对投标人的疑问作出统一的解答。</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1.11 偏离</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投标文件与招标文件某些要求产生偏离的，偏离应当符合招标文件规定的偏离范围和幅度。</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6" w:name="_Toc488827453"/>
      <w:r>
        <w:rPr>
          <w:rFonts w:hint="eastAsia" w:ascii="宋体" w:hAnsi="宋体" w:eastAsia="宋体" w:cs="Arial"/>
          <w:b/>
          <w:bCs/>
          <w:color w:val="000000"/>
          <w:kern w:val="0"/>
          <w:sz w:val="24"/>
          <w:szCs w:val="24"/>
        </w:rPr>
        <w:t>2．招标文件</w:t>
      </w:r>
      <w:bookmarkEnd w:id="6"/>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2.1 招标文件的组成</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（1）投标人须知；</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（2）评标办法；</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（3）服务合同；</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（4）服务要求；</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（5）投标文件格式；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）补充条款。</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根据本章第</w:t>
      </w:r>
      <w:r>
        <w:rPr>
          <w:rFonts w:ascii="宋体" w:hAnsi="宋体" w:eastAsia="宋体" w:cs="Arial"/>
          <w:color w:val="000000"/>
          <w:kern w:val="0"/>
          <w:sz w:val="24"/>
          <w:szCs w:val="24"/>
        </w:rPr>
        <w:t>2.4</w:t>
      </w:r>
      <w:r>
        <w:rPr>
          <w:rFonts w:hint="eastAsia" w:ascii="宋体" w:hAnsi="宋体" w:eastAsia="宋体" w:cs="Arial"/>
          <w:color w:val="000000"/>
          <w:kern w:val="0"/>
          <w:sz w:val="24"/>
          <w:szCs w:val="24"/>
        </w:rPr>
        <w:t>款和第</w:t>
      </w:r>
      <w:r>
        <w:rPr>
          <w:rFonts w:ascii="宋体" w:hAnsi="宋体" w:eastAsia="宋体" w:cs="Arial"/>
          <w:color w:val="000000"/>
          <w:kern w:val="0"/>
          <w:sz w:val="24"/>
          <w:szCs w:val="24"/>
        </w:rPr>
        <w:t>2.5</w:t>
      </w:r>
      <w:r>
        <w:rPr>
          <w:rFonts w:hint="eastAsia" w:ascii="宋体" w:hAnsi="宋体" w:eastAsia="宋体" w:cs="Arial"/>
          <w:color w:val="000000"/>
          <w:kern w:val="0"/>
          <w:sz w:val="24"/>
          <w:szCs w:val="24"/>
        </w:rPr>
        <w:t>款对招标文件所作的澄清、修改，构成招标文件的组成部分。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2.2 </w:t>
      </w:r>
      <w:r>
        <w:rPr>
          <w:rFonts w:hint="eastAsia" w:ascii="宋体" w:hAnsi="宋体" w:eastAsia="宋体" w:cs="Arial"/>
          <w:color w:val="000000"/>
          <w:kern w:val="0"/>
          <w:sz w:val="24"/>
          <w:szCs w:val="24"/>
        </w:rPr>
        <w:t>招标文件费用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2.3 </w:t>
      </w:r>
      <w:r>
        <w:rPr>
          <w:rFonts w:hint="eastAsia" w:ascii="宋体" w:hAnsi="宋体" w:eastAsia="宋体" w:cs="Arial"/>
          <w:color w:val="000000"/>
          <w:kern w:val="0"/>
          <w:sz w:val="24"/>
          <w:szCs w:val="24"/>
        </w:rPr>
        <w:t>招标文件的获取</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凡有意参加并符合投标人须知前附表“投标人资格条件和能力”的投标人，均可在招标代理机构获取招标文件。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2.4 </w:t>
      </w:r>
      <w:r>
        <w:rPr>
          <w:rFonts w:hint="eastAsia" w:ascii="宋体" w:hAnsi="宋体" w:eastAsia="宋体" w:cs="Arial"/>
          <w:color w:val="000000"/>
          <w:kern w:val="0"/>
          <w:sz w:val="24"/>
          <w:szCs w:val="24"/>
        </w:rPr>
        <w:t>招标文件的澄清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2.4.1 </w:t>
      </w:r>
      <w:r>
        <w:rPr>
          <w:rFonts w:hint="eastAsia" w:ascii="宋体" w:hAnsi="宋体" w:eastAsia="宋体" w:cs="Arial"/>
          <w:color w:val="000000"/>
          <w:kern w:val="0"/>
          <w:sz w:val="24"/>
          <w:szCs w:val="24"/>
        </w:rPr>
        <w:t>投标人应当仔细阅读和检查招标文件的全部内容。如发现缺页或附件不全，应当及时向招标人提出，以便补齐。如有疑问，应当在投标人须知前附表规定的时间、方式向招标人提出，要求招标人对招标文件予以澄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2.4.2 </w:t>
      </w:r>
      <w:r>
        <w:rPr>
          <w:rFonts w:hint="eastAsia" w:ascii="宋体" w:hAnsi="宋体" w:eastAsia="宋体" w:cs="Arial"/>
          <w:color w:val="000000"/>
          <w:kern w:val="0"/>
          <w:sz w:val="24"/>
          <w:szCs w:val="24"/>
        </w:rPr>
        <w:t>招标文件的澄清将按照投标人须知前附表规定的时间、方式发布，但不指明澄清问题的来源。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2.5</w:t>
      </w:r>
      <w:r>
        <w:rPr>
          <w:rFonts w:hint="eastAsia" w:ascii="宋体" w:hAnsi="宋体" w:eastAsia="宋体" w:cs="Arial"/>
          <w:color w:val="000000"/>
          <w:kern w:val="0"/>
          <w:sz w:val="24"/>
          <w:szCs w:val="24"/>
        </w:rPr>
        <w:t>招标文件的修改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2.5.1 </w:t>
      </w:r>
      <w:r>
        <w:rPr>
          <w:rFonts w:hint="eastAsia" w:ascii="宋体" w:hAnsi="宋体" w:eastAsia="宋体" w:cs="Arial"/>
          <w:color w:val="000000"/>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2.5.2 </w:t>
      </w:r>
      <w:r>
        <w:rPr>
          <w:rFonts w:hint="eastAsia" w:ascii="宋体" w:hAnsi="宋体" w:eastAsia="宋体" w:cs="Arial"/>
          <w:color w:val="000000"/>
          <w:kern w:val="0"/>
          <w:sz w:val="24"/>
          <w:szCs w:val="24"/>
        </w:rPr>
        <w:t>在投标人须知前附表规定的截止时间前，无论出于何种原因，招标代理机构和招标人可主动地或在解答潜在投标人提出的澄清问题时对招标文件进行修改。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2.5.3 </w:t>
      </w:r>
      <w:r>
        <w:rPr>
          <w:rFonts w:hint="eastAsia" w:ascii="宋体" w:hAnsi="宋体" w:eastAsia="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2.5.4 </w:t>
      </w:r>
      <w:r>
        <w:rPr>
          <w:rFonts w:hint="eastAsia" w:ascii="宋体" w:hAnsi="宋体" w:eastAsia="宋体" w:cs="Arial"/>
          <w:color w:val="000000"/>
          <w:kern w:val="0"/>
          <w:sz w:val="24"/>
          <w:szCs w:val="24"/>
        </w:rPr>
        <w:t>为使投标人准备投标时有充分时间对招标文件的修改部分进行研究，招标人可适当推迟投标截止期。</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2.5.5 </w:t>
      </w:r>
      <w:r>
        <w:rPr>
          <w:rFonts w:hint="eastAsia" w:ascii="宋体" w:hAnsi="宋体" w:eastAsia="宋体" w:cs="Arial"/>
          <w:color w:val="000000"/>
          <w:kern w:val="0"/>
          <w:sz w:val="24"/>
          <w:szCs w:val="24"/>
        </w:rPr>
        <w:t>当招标人发放的招标文件及招标文件的答疑文件、修改文件、补充文件前后不一致，发生矛盾情况时，以最后发出的为准。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2.5.6 </w:t>
      </w:r>
      <w:r>
        <w:rPr>
          <w:rFonts w:hint="eastAsia" w:ascii="宋体" w:hAnsi="宋体" w:eastAsia="宋体" w:cs="Arial"/>
          <w:color w:val="000000"/>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招标人依据合同有关条款而做出的书面澄清。</w:t>
      </w:r>
    </w:p>
    <w:p>
      <w:pPr>
        <w:adjustRightInd w:val="0"/>
        <w:snapToGrid w:val="0"/>
        <w:spacing w:line="360" w:lineRule="auto"/>
        <w:ind w:firstLine="241" w:firstLineChars="100"/>
        <w:rPr>
          <w:rFonts w:ascii="宋体" w:hAnsi="宋体" w:eastAsia="宋体" w:cs="Arial"/>
          <w:b/>
          <w:bCs/>
          <w:color w:val="000000"/>
          <w:kern w:val="0"/>
          <w:sz w:val="24"/>
          <w:szCs w:val="24"/>
        </w:rPr>
      </w:pPr>
      <w:bookmarkStart w:id="7" w:name="_BookMark_6"/>
      <w:bookmarkEnd w:id="7"/>
      <w:bookmarkStart w:id="8" w:name="_Toc488827454"/>
      <w:r>
        <w:rPr>
          <w:rFonts w:hint="eastAsia" w:ascii="宋体" w:hAnsi="宋体" w:eastAsia="宋体" w:cs="Arial"/>
          <w:b/>
          <w:bCs/>
          <w:color w:val="000000"/>
          <w:kern w:val="0"/>
          <w:sz w:val="24"/>
          <w:szCs w:val="24"/>
        </w:rPr>
        <w:t>3．投标文件</w:t>
      </w:r>
      <w:bookmarkEnd w:id="8"/>
    </w:p>
    <w:p>
      <w:pPr>
        <w:adjustRightInd w:val="0"/>
        <w:snapToGrid w:val="0"/>
        <w:spacing w:line="360" w:lineRule="auto"/>
        <w:ind w:firstLine="240" w:firstLineChars="100"/>
        <w:rPr>
          <w:rFonts w:ascii="宋体" w:hAnsi="宋体" w:eastAsia="宋体" w:cs="Arial"/>
          <w:color w:val="000000"/>
          <w:kern w:val="0"/>
          <w:sz w:val="24"/>
          <w:szCs w:val="24"/>
        </w:rPr>
      </w:pPr>
      <w:r>
        <w:rPr>
          <w:rFonts w:hint="eastAsia" w:ascii="宋体" w:hAnsi="宋体" w:eastAsia="宋体" w:cs="Arial"/>
          <w:color w:val="000000"/>
          <w:kern w:val="0"/>
          <w:sz w:val="24"/>
          <w:szCs w:val="24"/>
        </w:rPr>
        <w:t>3.1 投标文件的组成</w:t>
      </w:r>
    </w:p>
    <w:p>
      <w:pPr>
        <w:adjustRightInd w:val="0"/>
        <w:snapToGrid w:val="0"/>
        <w:spacing w:line="360" w:lineRule="auto"/>
        <w:ind w:firstLine="240" w:firstLineChars="100"/>
        <w:rPr>
          <w:rFonts w:ascii="宋体" w:hAnsi="宋体" w:eastAsia="宋体" w:cs="Arial"/>
          <w:color w:val="000000"/>
          <w:kern w:val="0"/>
          <w:sz w:val="24"/>
          <w:szCs w:val="24"/>
        </w:rPr>
      </w:pPr>
      <w:r>
        <w:rPr>
          <w:rFonts w:hint="eastAsia" w:ascii="宋体" w:hAnsi="宋体" w:eastAsia="宋体" w:cs="Arial"/>
          <w:color w:val="000000"/>
          <w:kern w:val="0"/>
          <w:sz w:val="24"/>
          <w:szCs w:val="24"/>
        </w:rPr>
        <w:t>3.1.1投标文件应包括下列内容：</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（1）投标承诺书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（2）报价一览表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（3）法定代表人身份证明书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（4）法定代表人授权委托书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（5）投标人概况</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6</w:t>
      </w:r>
      <w:r>
        <w:rPr>
          <w:rFonts w:hint="eastAsia" w:ascii="宋体" w:hAnsi="宋体" w:eastAsia="宋体" w:cs="Arial"/>
          <w:color w:val="000000"/>
          <w:kern w:val="0"/>
          <w:sz w:val="24"/>
          <w:szCs w:val="24"/>
        </w:rPr>
        <w:t>）承诺投入的项目人员表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7</w:t>
      </w:r>
      <w:r>
        <w:rPr>
          <w:rFonts w:hint="eastAsia" w:ascii="宋体" w:hAnsi="宋体" w:eastAsia="宋体" w:cs="Arial"/>
          <w:color w:val="000000"/>
          <w:kern w:val="0"/>
          <w:sz w:val="24"/>
          <w:szCs w:val="24"/>
        </w:rPr>
        <w:t>）服务方案</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8</w:t>
      </w:r>
      <w:r>
        <w:rPr>
          <w:rFonts w:hint="eastAsia" w:ascii="宋体" w:hAnsi="宋体" w:eastAsia="宋体" w:cs="Arial"/>
          <w:color w:val="000000"/>
          <w:kern w:val="0"/>
          <w:sz w:val="24"/>
          <w:szCs w:val="24"/>
        </w:rPr>
        <w:t>）服务承诺</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9</w:t>
      </w:r>
      <w:r>
        <w:rPr>
          <w:rFonts w:hint="eastAsia" w:ascii="宋体" w:hAnsi="宋体" w:eastAsia="宋体" w:cs="Arial"/>
          <w:color w:val="000000"/>
          <w:kern w:val="0"/>
          <w:sz w:val="24"/>
          <w:szCs w:val="24"/>
        </w:rPr>
        <w:t>）招标文件要求及投标人认为有必要提供的其他相关资料等</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 xml:space="preserve">3.2 </w:t>
      </w:r>
      <w:r>
        <w:rPr>
          <w:rFonts w:hint="eastAsia" w:ascii="宋体" w:hAnsi="宋体" w:eastAsia="宋体" w:cs="Arial"/>
          <w:color w:val="000000" w:themeColor="text1"/>
          <w:kern w:val="0"/>
          <w:sz w:val="24"/>
          <w:szCs w:val="24"/>
          <w14:textFill>
            <w14:solidFill>
              <w14:schemeClr w14:val="tx1"/>
            </w14:solidFill>
          </w14:textFill>
        </w:rPr>
        <w:t>投标报价</w:t>
      </w:r>
    </w:p>
    <w:p>
      <w:pPr>
        <w:autoSpaceDE w:val="0"/>
        <w:autoSpaceDN w:val="0"/>
        <w:adjustRightInd w:val="0"/>
        <w:snapToGrid w:val="0"/>
        <w:spacing w:line="360" w:lineRule="auto"/>
        <w:ind w:firstLine="480" w:firstLineChars="200"/>
        <w:jc w:val="left"/>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 xml:space="preserve">3.2.1 </w:t>
      </w:r>
      <w:r>
        <w:rPr>
          <w:rFonts w:hint="eastAsia" w:ascii="宋体" w:hAnsi="宋体" w:eastAsia="宋体" w:cs="Arial"/>
          <w:color w:val="000000" w:themeColor="text1"/>
          <w:kern w:val="0"/>
          <w:sz w:val="24"/>
          <w:szCs w:val="24"/>
          <w14:textFill>
            <w14:solidFill>
              <w14:schemeClr w14:val="tx1"/>
            </w14:solidFill>
          </w14:textFill>
        </w:rPr>
        <w:t>投标人应当按第五章投标文件中投标承诺书（一）内容进行投标报价。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3.2.2 </w:t>
      </w:r>
      <w:r>
        <w:rPr>
          <w:rFonts w:hint="eastAsia" w:ascii="宋体" w:hAnsi="宋体" w:eastAsia="宋体" w:cs="Arial"/>
          <w:color w:val="000000"/>
          <w:kern w:val="0"/>
          <w:sz w:val="24"/>
          <w:szCs w:val="24"/>
        </w:rPr>
        <w:t>投标人的投标报价不能超出本项目招标控制价。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3.2.3</w:t>
      </w:r>
      <w:r>
        <w:rPr>
          <w:rFonts w:hint="eastAsia" w:ascii="宋体" w:hAnsi="宋体" w:eastAsia="宋体" w:cs="Arial"/>
          <w:color w:val="000000"/>
          <w:kern w:val="0"/>
          <w:sz w:val="24"/>
          <w:szCs w:val="24"/>
        </w:rPr>
        <w:t>每个标段投标人只允许有一个报价，招标人不接受有任何选择的报价。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3.2.4 </w:t>
      </w:r>
      <w:r>
        <w:rPr>
          <w:rFonts w:hint="eastAsia" w:ascii="宋体" w:hAnsi="宋体" w:eastAsia="宋体" w:cs="Arial"/>
          <w:color w:val="000000"/>
          <w:kern w:val="0"/>
          <w:sz w:val="24"/>
          <w:szCs w:val="24"/>
        </w:rPr>
        <w:t>投标人在投标截止时间前修改投标总价的，此修改须符合本章第</w:t>
      </w:r>
      <w:r>
        <w:rPr>
          <w:rFonts w:ascii="宋体" w:hAnsi="宋体" w:eastAsia="宋体" w:cs="Arial"/>
          <w:color w:val="000000"/>
          <w:kern w:val="0"/>
          <w:sz w:val="24"/>
          <w:szCs w:val="24"/>
        </w:rPr>
        <w:t>4.3</w:t>
      </w:r>
      <w:r>
        <w:rPr>
          <w:rFonts w:hint="eastAsia" w:ascii="宋体" w:hAnsi="宋体" w:eastAsia="宋体" w:cs="Arial"/>
          <w:color w:val="000000"/>
          <w:kern w:val="0"/>
          <w:sz w:val="24"/>
          <w:szCs w:val="24"/>
        </w:rPr>
        <w:t>款的有关要求。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3.2.5</w:t>
      </w:r>
      <w:r>
        <w:rPr>
          <w:rFonts w:hint="eastAsia" w:ascii="宋体" w:hAnsi="宋体" w:eastAsia="宋体" w:cs="Arial"/>
          <w:color w:val="000000"/>
          <w:kern w:val="0"/>
          <w:sz w:val="24"/>
          <w:szCs w:val="24"/>
        </w:rPr>
        <w:t>投标人提供的服务一律用人民币报价。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 </w:t>
      </w:r>
      <w:r>
        <w:rPr>
          <w:rFonts w:hint="eastAsia" w:ascii="宋体" w:hAnsi="宋体" w:eastAsia="宋体" w:cs="Arial"/>
          <w:color w:val="000000"/>
          <w:kern w:val="0"/>
          <w:sz w:val="24"/>
          <w:szCs w:val="24"/>
        </w:rPr>
        <w:t>投标有效期</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3.3.1 </w:t>
      </w:r>
      <w:r>
        <w:rPr>
          <w:rFonts w:hint="eastAsia" w:ascii="宋体" w:hAnsi="宋体" w:eastAsia="宋体" w:cs="Arial"/>
          <w:color w:val="000000"/>
          <w:kern w:val="0"/>
          <w:sz w:val="24"/>
          <w:szCs w:val="24"/>
        </w:rPr>
        <w:t>在投标人须知前附表规定的投标有效期内，投标人不得要求撤销或修改其投标文件。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3.3.2 </w:t>
      </w:r>
      <w:r>
        <w:rPr>
          <w:rFonts w:hint="eastAsia" w:ascii="宋体" w:hAnsi="宋体" w:eastAsia="宋体" w:cs="Arial"/>
          <w:color w:val="000000"/>
          <w:kern w:val="0"/>
          <w:sz w:val="24"/>
          <w:szCs w:val="24"/>
        </w:rPr>
        <w:t>出现特殊情况需要延长投标有效期的，招标人将通知所有投标人延长投标有效期。投标人同意延长的，应当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3.3.3 </w:t>
      </w:r>
      <w:r>
        <w:rPr>
          <w:rFonts w:hint="eastAsia" w:ascii="宋体" w:hAnsi="宋体" w:eastAsia="宋体" w:cs="Arial"/>
          <w:color w:val="000000"/>
          <w:kern w:val="0"/>
          <w:sz w:val="24"/>
          <w:szCs w:val="24"/>
        </w:rPr>
        <w:t>投标保证金的有效期与投标有效期一致。</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 </w:t>
      </w:r>
      <w:r>
        <w:rPr>
          <w:rFonts w:hint="eastAsia" w:ascii="宋体" w:hAnsi="宋体" w:eastAsia="宋体" w:cs="Arial"/>
          <w:color w:val="000000"/>
          <w:kern w:val="0"/>
          <w:sz w:val="24"/>
          <w:szCs w:val="24"/>
        </w:rPr>
        <w:t>投标保证金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3.4.1 </w:t>
      </w:r>
      <w:r>
        <w:rPr>
          <w:rFonts w:hint="eastAsia" w:ascii="宋体" w:hAnsi="宋体" w:eastAsia="宋体" w:cs="Arial"/>
          <w:color w:val="000000"/>
          <w:kern w:val="0"/>
          <w:sz w:val="24"/>
          <w:szCs w:val="24"/>
        </w:rPr>
        <w:t>投标人应于投标截止时间前按投标人须知前附表规定数额和要求提交投标保证金，并作为其投标文件的组成部分。</w:t>
      </w:r>
      <w:r>
        <w:rPr>
          <w:rFonts w:hint="eastAsia" w:ascii="宋体" w:hAnsi="宋体" w:eastAsia="宋体" w:cs="Arial"/>
          <w:kern w:val="0"/>
          <w:sz w:val="24"/>
          <w:szCs w:val="24"/>
        </w:rPr>
        <w:t>未</w:t>
      </w:r>
      <w:r>
        <w:rPr>
          <w:rFonts w:hint="eastAsia" w:ascii="宋体" w:hAnsi="宋体" w:eastAsia="宋体" w:cs="Arial"/>
          <w:color w:val="000000"/>
          <w:kern w:val="0"/>
          <w:sz w:val="24"/>
          <w:szCs w:val="24"/>
        </w:rPr>
        <w:t>提交投标保证金的，将被视为非响应性投标而予以拒绝。联合体投标的，其投标保证金由牵头人递交，并应符合投标人须知前附表的规定。</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3.4.2 </w:t>
      </w:r>
      <w:r>
        <w:rPr>
          <w:rFonts w:hint="eastAsia" w:ascii="宋体" w:hAnsi="宋体" w:eastAsia="宋体" w:cs="Arial"/>
          <w:color w:val="000000"/>
          <w:kern w:val="0"/>
          <w:sz w:val="24"/>
          <w:szCs w:val="24"/>
        </w:rPr>
        <w:t>投标保证金是为了保护招标人免遭因投标人的行为而蒙受损失。招标人在因投标人的行为受到损害时可根据相关法律规定没收投标人的投标保证金。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3.4.3 </w:t>
      </w:r>
      <w:r>
        <w:rPr>
          <w:rFonts w:hint="eastAsia" w:ascii="宋体" w:hAnsi="宋体" w:eastAsia="宋体" w:cs="Arial"/>
          <w:color w:val="000000"/>
          <w:kern w:val="0"/>
          <w:sz w:val="24"/>
          <w:szCs w:val="24"/>
        </w:rPr>
        <w:t>未中标的投标人的保证金将在公示期满后</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个工作日内按相关规定退还给投标人。中标人的投标保证金将在合同签订后</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日内按相关规定退还。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3.4.4 </w:t>
      </w:r>
      <w:r>
        <w:rPr>
          <w:rFonts w:hint="eastAsia" w:ascii="宋体" w:hAnsi="宋体" w:eastAsia="宋体" w:cs="Arial"/>
          <w:color w:val="000000"/>
          <w:kern w:val="0"/>
          <w:sz w:val="24"/>
          <w:szCs w:val="24"/>
        </w:rPr>
        <w:t>投标保证金有效期与投标有效期一致。</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3.4.5 </w:t>
      </w:r>
      <w:r>
        <w:rPr>
          <w:rFonts w:hint="eastAsia" w:ascii="宋体" w:hAnsi="宋体" w:eastAsia="宋体" w:cs="Arial"/>
          <w:color w:val="000000"/>
          <w:kern w:val="0"/>
          <w:sz w:val="24"/>
          <w:szCs w:val="24"/>
        </w:rPr>
        <w:t>有下列情形之一的，投标保证金不予退还：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）投标人在规定的投标有效期内撤销或修改其投标文件的；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）未按招标文件规定提交履约保证金的。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 </w:t>
      </w:r>
      <w:r>
        <w:rPr>
          <w:rFonts w:hint="eastAsia" w:ascii="宋体" w:hAnsi="宋体" w:eastAsia="宋体" w:cs="Arial"/>
          <w:color w:val="000000"/>
          <w:kern w:val="0"/>
          <w:sz w:val="24"/>
          <w:szCs w:val="24"/>
        </w:rPr>
        <w:t>投标文件的编制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3.5.1</w:t>
      </w:r>
      <w:r>
        <w:rPr>
          <w:rFonts w:hint="eastAsia" w:ascii="宋体" w:hAnsi="宋体" w:eastAsia="宋体" w:cs="Arial"/>
          <w:color w:val="000000"/>
          <w:kern w:val="0"/>
          <w:sz w:val="24"/>
          <w:szCs w:val="24"/>
        </w:rPr>
        <w:t>投标文件应按第五章“投标文件格式”进行编写，如有必要，可以增加附页，作为投标文件的组成部分。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color w:val="000000"/>
          <w:kern w:val="0"/>
          <w:sz w:val="24"/>
          <w:szCs w:val="24"/>
        </w:rPr>
        <w:t>3.5.2</w:t>
      </w:r>
      <w:r>
        <w:rPr>
          <w:rFonts w:hint="eastAsia" w:ascii="宋体" w:hAnsi="宋体" w:eastAsia="宋体" w:cs="Arial"/>
          <w:kern w:val="0"/>
          <w:sz w:val="24"/>
          <w:szCs w:val="24"/>
        </w:rPr>
        <w:t>投标文件应当对招标文件有关招标范围、技术与服务要求等实质性内容做出响应。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3.5.3 </w:t>
      </w:r>
      <w:r>
        <w:rPr>
          <w:rFonts w:hint="eastAsia" w:ascii="宋体" w:hAnsi="宋体" w:eastAsia="宋体" w:cs="Arial"/>
          <w:kern w:val="0"/>
          <w:sz w:val="24"/>
          <w:szCs w:val="24"/>
        </w:rPr>
        <w:t>投标文件要求盖章处均应加盖。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3.5.4 </w:t>
      </w:r>
      <w:r>
        <w:rPr>
          <w:rFonts w:hint="eastAsia" w:ascii="宋体" w:hAnsi="宋体" w:eastAsia="宋体" w:cs="Arial"/>
          <w:kern w:val="0"/>
          <w:sz w:val="24"/>
          <w:szCs w:val="24"/>
        </w:rPr>
        <w:t>投标文件采用</w:t>
      </w:r>
      <w:r>
        <w:rPr>
          <w:rFonts w:ascii="宋体" w:hAnsi="宋体" w:eastAsia="宋体" w:cs="Arial"/>
          <w:kern w:val="0"/>
          <w:sz w:val="24"/>
          <w:szCs w:val="24"/>
        </w:rPr>
        <w:t>A4</w:t>
      </w:r>
      <w:r>
        <w:rPr>
          <w:rFonts w:hint="eastAsia" w:ascii="宋体" w:hAnsi="宋体" w:eastAsia="宋体" w:cs="Arial"/>
          <w:kern w:val="0"/>
          <w:sz w:val="24"/>
          <w:szCs w:val="24"/>
        </w:rPr>
        <w:t>打印纸。</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3.5.5 </w:t>
      </w:r>
      <w:r>
        <w:rPr>
          <w:rFonts w:hint="eastAsia" w:ascii="宋体" w:hAnsi="宋体" w:eastAsia="宋体" w:cs="Arial"/>
          <w:kern w:val="0"/>
          <w:sz w:val="24"/>
          <w:szCs w:val="24"/>
        </w:rPr>
        <w:t>投标文件可以用蓝黑墨水笔或炭素笔书写</w:t>
      </w:r>
      <w:r>
        <w:rPr>
          <w:rFonts w:ascii="宋体" w:hAnsi="Calibri" w:eastAsia="宋体" w:cs="Arial"/>
          <w:kern w:val="0"/>
          <w:sz w:val="24"/>
          <w:szCs w:val="24"/>
        </w:rPr>
        <w:t>,</w:t>
      </w:r>
      <w:r>
        <w:rPr>
          <w:rFonts w:hint="eastAsia" w:ascii="宋体" w:hAnsi="宋体" w:eastAsia="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3.5.6 投标人应按投标人须知前附表规定，编制投标文件“正本”和“副本”份数。封面必须注明“正本”或“副本”字样。</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3.5.7 投标文件正本和副本如有不一致之处，以正本为准。</w:t>
      </w:r>
    </w:p>
    <w:p>
      <w:pPr>
        <w:widowControl/>
        <w:shd w:val="clear" w:color="auto" w:fill="FFFFFF"/>
        <w:snapToGrid w:val="0"/>
        <w:spacing w:line="360" w:lineRule="auto"/>
        <w:ind w:firstLine="482" w:firstLineChars="200"/>
        <w:rPr>
          <w:rFonts w:ascii="宋体" w:hAnsi="宋体" w:eastAsia="宋体" w:cs="Arial"/>
          <w:b/>
          <w:bCs/>
          <w:kern w:val="0"/>
          <w:sz w:val="24"/>
          <w:szCs w:val="24"/>
        </w:rPr>
      </w:pPr>
      <w:bookmarkStart w:id="9" w:name="_BookMark_7"/>
      <w:bookmarkEnd w:id="9"/>
      <w:bookmarkStart w:id="10" w:name="_Toc488827455"/>
      <w:r>
        <w:rPr>
          <w:rFonts w:hint="eastAsia" w:ascii="宋体" w:hAnsi="宋体" w:eastAsia="宋体" w:cs="Arial"/>
          <w:b/>
          <w:bCs/>
          <w:kern w:val="0"/>
          <w:sz w:val="24"/>
          <w:szCs w:val="24"/>
        </w:rPr>
        <w:t>4．投标</w:t>
      </w:r>
      <w:bookmarkEnd w:id="10"/>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4.1 投标文件的密封和标识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4.1.1</w:t>
      </w:r>
      <w:r>
        <w:rPr>
          <w:rFonts w:hint="eastAsia" w:ascii="宋体" w:hAnsi="宋体" w:eastAsia="宋体" w:cs="Arial"/>
          <w:kern w:val="0"/>
          <w:sz w:val="24"/>
          <w:szCs w:val="24"/>
        </w:rPr>
        <w:t>投标人必须将投标文件密封装袋，并在封套正面注明：“投标文件”字样，投标文件封袋上应写明招标人名称、投标人名称和项目名称，否则整个投标文件将被视为不响应招标文件，而予以拒绝评审。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4.1.2</w:t>
      </w:r>
      <w:r>
        <w:rPr>
          <w:rFonts w:hint="eastAsia" w:ascii="宋体" w:hAnsi="宋体" w:eastAsia="宋体" w:cs="Arial"/>
          <w:kern w:val="0"/>
          <w:sz w:val="24"/>
          <w:szCs w:val="24"/>
        </w:rPr>
        <w:t>投标文件封袋必须在开启处密封，并加盖投标人章、法定代表人章。否则整个投标文件将被视为不响应招标文件，而予以拒绝评审。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4.2 </w:t>
      </w:r>
      <w:r>
        <w:rPr>
          <w:rFonts w:hint="eastAsia" w:ascii="宋体" w:hAnsi="宋体" w:eastAsia="宋体" w:cs="Arial"/>
          <w:color w:val="000000"/>
          <w:kern w:val="0"/>
          <w:sz w:val="24"/>
          <w:szCs w:val="24"/>
        </w:rPr>
        <w:t>投标文件的递交</w:t>
      </w:r>
    </w:p>
    <w:p>
      <w:pPr>
        <w:widowControl/>
        <w:shd w:val="clear" w:color="auto" w:fill="FFFFFF"/>
        <w:snapToGrid w:val="0"/>
        <w:spacing w:line="360" w:lineRule="auto"/>
        <w:ind w:firstLine="480" w:firstLineChars="200"/>
        <w:rPr>
          <w:rFonts w:ascii="宋体" w:hAnsi="Calibri" w:eastAsia="宋体" w:cs="Arial"/>
          <w:kern w:val="0"/>
          <w:sz w:val="24"/>
          <w:szCs w:val="24"/>
        </w:rPr>
      </w:pPr>
      <w:bookmarkStart w:id="11" w:name="_Hlk57105548"/>
      <w:bookmarkStart w:id="12" w:name="_Hlk18820305"/>
      <w:bookmarkStart w:id="13" w:name="_Hlk22461105"/>
      <w:bookmarkStart w:id="14" w:name="_Hlk22461104"/>
      <w:bookmarkStart w:id="15" w:name="_Hlk18820306"/>
      <w:bookmarkStart w:id="16" w:name="_Hlk23746209"/>
      <w:bookmarkStart w:id="17" w:name="_Hlk22461103"/>
      <w:bookmarkStart w:id="18" w:name="_Hlk23651230"/>
      <w:bookmarkStart w:id="19" w:name="_Hlk23746208"/>
      <w:bookmarkStart w:id="20" w:name="_Hlk23651229"/>
      <w:bookmarkStart w:id="21" w:name="_Hlk18820304"/>
      <w:bookmarkStart w:id="22" w:name="_Hlk57105547"/>
      <w:bookmarkStart w:id="23" w:name="_Hlk23651228"/>
      <w:bookmarkStart w:id="24" w:name="_Hlk57105549"/>
      <w:bookmarkStart w:id="25" w:name="_Hlk23746210"/>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宋体" w:hAnsi="宋体" w:eastAsia="宋体" w:cs="Arial"/>
          <w:kern w:val="0"/>
          <w:sz w:val="24"/>
          <w:szCs w:val="24"/>
        </w:rPr>
        <w:t>投标人必须按投标人须知前附表规定，将投标文件在截止时间前送至递交地点。违反的将视为整个投标文件不响应招标文件</w:t>
      </w:r>
      <w:r>
        <w:rPr>
          <w:rFonts w:ascii="宋体" w:hAnsi="Calibri" w:eastAsia="宋体" w:cs="Arial"/>
          <w:kern w:val="0"/>
          <w:sz w:val="24"/>
          <w:szCs w:val="24"/>
        </w:rPr>
        <w:t>,</w:t>
      </w:r>
      <w:r>
        <w:rPr>
          <w:rFonts w:hint="eastAsia" w:ascii="宋体" w:hAnsi="宋体" w:eastAsia="宋体" w:cs="Arial"/>
          <w:kern w:val="0"/>
          <w:sz w:val="24"/>
          <w:szCs w:val="24"/>
        </w:rPr>
        <w:t>而予以拒绝评审。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2.2</w:t>
      </w:r>
      <w:r>
        <w:rPr>
          <w:rFonts w:hint="eastAsia" w:ascii="宋体" w:hAnsi="宋体" w:eastAsia="宋体" w:cs="Arial"/>
          <w:kern w:val="0"/>
          <w:sz w:val="24"/>
          <w:szCs w:val="24"/>
        </w:rPr>
        <w:t>招标人事先约定延长投标截止时间的，招标人与投标人以前的投标截止期方面的全部权利、责任和义务，将适用延长至新的投标截止期。</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4.2.</w:t>
      </w:r>
      <w:r>
        <w:rPr>
          <w:rFonts w:hint="eastAsia" w:ascii="宋体" w:hAnsi="宋体" w:eastAsia="宋体" w:cs="Arial"/>
          <w:color w:val="000000"/>
          <w:kern w:val="0"/>
          <w:sz w:val="24"/>
          <w:szCs w:val="24"/>
        </w:rPr>
        <w:t>3投标人或其投标文件存在下列情形之一的，招标人对其投标文件不予受理：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）逾期送达的投标文件；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）未按本章第</w:t>
      </w:r>
      <w:r>
        <w:rPr>
          <w:rFonts w:ascii="宋体" w:hAnsi="宋体" w:eastAsia="宋体" w:cs="Arial"/>
          <w:color w:val="000000"/>
          <w:kern w:val="0"/>
          <w:sz w:val="24"/>
          <w:szCs w:val="24"/>
        </w:rPr>
        <w:t>4.1</w:t>
      </w:r>
      <w:r>
        <w:rPr>
          <w:rFonts w:hint="eastAsia" w:ascii="宋体" w:hAnsi="宋体" w:eastAsia="宋体" w:cs="Arial"/>
          <w:color w:val="000000"/>
          <w:kern w:val="0"/>
          <w:sz w:val="24"/>
          <w:szCs w:val="24"/>
        </w:rPr>
        <w:t>款要求密封的投标文件。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4.3 </w:t>
      </w:r>
      <w:r>
        <w:rPr>
          <w:rFonts w:hint="eastAsia" w:ascii="宋体" w:hAnsi="宋体" w:eastAsia="宋体" w:cs="Arial"/>
          <w:color w:val="000000"/>
          <w:kern w:val="0"/>
          <w:sz w:val="24"/>
          <w:szCs w:val="24"/>
        </w:rPr>
        <w:t>投标文件的修改与撤回</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4.3.1 </w:t>
      </w:r>
      <w:r>
        <w:rPr>
          <w:rFonts w:hint="eastAsia" w:ascii="宋体" w:hAnsi="宋体" w:eastAsia="宋体" w:cs="Arial"/>
          <w:color w:val="000000"/>
          <w:kern w:val="0"/>
          <w:sz w:val="24"/>
          <w:szCs w:val="24"/>
        </w:rPr>
        <w:t>投标人递交投标文件后，在规定投标截止时间前，可以书面形式向招标人递交修改或撤回其投标文件的通知。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4.3.2 </w:t>
      </w:r>
      <w:r>
        <w:rPr>
          <w:rFonts w:hint="eastAsia" w:ascii="宋体" w:hAnsi="宋体" w:eastAsia="宋体" w:cs="Arial"/>
          <w:color w:val="000000"/>
          <w:kern w:val="0"/>
          <w:sz w:val="24"/>
          <w:szCs w:val="24"/>
        </w:rPr>
        <w:t>修改的内容为投标文件的组成部分。修改的投标文件应按照本招标文件的规定进行编制、密封、标记和递交，并标明“修改”字样。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4.4</w:t>
      </w:r>
      <w:r>
        <w:rPr>
          <w:rFonts w:hint="eastAsia" w:ascii="宋体" w:hAnsi="宋体" w:eastAsia="宋体" w:cs="Arial"/>
          <w:color w:val="000000"/>
          <w:kern w:val="0"/>
          <w:sz w:val="24"/>
          <w:szCs w:val="24"/>
        </w:rPr>
        <w:t>投标文件格式</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4.4.1 投标文件格式见第五章。</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4.4.2 投标人应使用本招标文件后面提供的投标文件格式填写，如不够用时，投标人可按同样格式自行编制和填补，如果本招标文件未提供格式的，投标人可自行编制。</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26" w:name="_BookMark_8"/>
      <w:bookmarkEnd w:id="26"/>
      <w:bookmarkStart w:id="27" w:name="_Toc488827456"/>
      <w:r>
        <w:rPr>
          <w:rFonts w:hint="eastAsia" w:ascii="宋体" w:hAnsi="宋体" w:eastAsia="宋体" w:cs="Arial"/>
          <w:b/>
          <w:bCs/>
          <w:color w:val="000000"/>
          <w:kern w:val="0"/>
          <w:sz w:val="24"/>
          <w:szCs w:val="24"/>
        </w:rPr>
        <w:t>5．开标</w:t>
      </w:r>
      <w:bookmarkEnd w:id="27"/>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5.1 开标时间和地点</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招标人在投标人须知前附表规定的时间、地点公开开标，并邀请所有投标人的法定代表人或其授权委托人准时参加。</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5.2 开标注意事项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5.2.1 </w:t>
      </w:r>
      <w:r>
        <w:rPr>
          <w:rFonts w:hint="eastAsia" w:ascii="宋体" w:hAnsi="宋体" w:eastAsia="宋体" w:cs="Arial"/>
          <w:b/>
          <w:bCs/>
          <w:color w:val="000000"/>
          <w:kern w:val="0"/>
          <w:sz w:val="24"/>
          <w:szCs w:val="24"/>
        </w:rPr>
        <w:t>投标人法人授权委托人应按时参加开标会并携带一份法定代表人授权委托书及有效身份证明。</w:t>
      </w:r>
      <w:r>
        <w:rPr>
          <w:rFonts w:hint="eastAsia" w:ascii="宋体" w:hAnsi="宋体" w:eastAsia="宋体" w:cs="Arial"/>
          <w:color w:val="000000"/>
          <w:kern w:val="0"/>
          <w:sz w:val="24"/>
          <w:szCs w:val="24"/>
        </w:rPr>
        <w:t>若是法定代表人参加开标会应携带法定代表人身份证明书及有效身份证明。</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5.3 </w:t>
      </w:r>
      <w:r>
        <w:rPr>
          <w:rFonts w:hint="eastAsia" w:ascii="宋体" w:hAnsi="宋体" w:eastAsia="宋体" w:cs="Arial"/>
          <w:color w:val="000000"/>
          <w:kern w:val="0"/>
          <w:sz w:val="24"/>
          <w:szCs w:val="24"/>
        </w:rPr>
        <w:t>开标程序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按下列程序进行开标：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）宣布开标纪律；</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）开标会主持人介绍参加会议的人员；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）公布在投标截止时间前递交投标文件的投标人名称，并点名确认投标人是否派人到场，由招标人或监督人查验投标人法定代表人身份证明书或法定代表人授权委托书及其有效身份证明；</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）由投标人代表检查投标文件的密封情况；</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（5）按照规定启封投标文件，公布投标人名称、投标报价等其他实质性内容，并作记录；</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（6）相关人员在开标记录表上签字；</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（7）开标结束。</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28" w:name="_BookMark_9"/>
      <w:bookmarkEnd w:id="28"/>
      <w:bookmarkStart w:id="29" w:name="_Toc488827457"/>
      <w:r>
        <w:rPr>
          <w:rFonts w:hint="eastAsia" w:ascii="宋体" w:hAnsi="宋体" w:eastAsia="宋体" w:cs="Arial"/>
          <w:b/>
          <w:bCs/>
          <w:color w:val="000000"/>
          <w:kern w:val="0"/>
          <w:sz w:val="24"/>
          <w:szCs w:val="24"/>
        </w:rPr>
        <w:t>6．评标</w:t>
      </w:r>
      <w:bookmarkEnd w:id="29"/>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6.1 评标委员会</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6.1.1 评标由招标人依法组建的评标委员会负责。评标委员会由</w:t>
      </w:r>
      <w:r>
        <w:rPr>
          <w:rFonts w:hint="eastAsia" w:ascii="宋体" w:hAnsi="宋体" w:eastAsia="宋体" w:cs="Arial"/>
          <w:color w:val="000000"/>
          <w:kern w:val="0"/>
          <w:sz w:val="24"/>
          <w:szCs w:val="24"/>
          <w:lang w:eastAsia="zh-CN"/>
        </w:rPr>
        <w:t>专家库</w:t>
      </w:r>
      <w:r>
        <w:rPr>
          <w:rFonts w:hint="eastAsia" w:ascii="宋体" w:hAnsi="宋体" w:eastAsia="宋体" w:cs="Arial"/>
          <w:color w:val="000000"/>
          <w:kern w:val="0"/>
          <w:sz w:val="24"/>
          <w:szCs w:val="24"/>
        </w:rPr>
        <w:t>专家组成。</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评标委员会负责评标工作，并向招标人提交书面评标报告。</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6.1.2 评标委员会成员有下列情形之一的，应当回避：</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（1）招标人或投标人的主要负责人的近亲属；</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（2）项目主管部门或者行政监督部门的人员；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）与投标人有经济利益关系，可能影响投标公正评审的；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6.2 </w:t>
      </w:r>
      <w:r>
        <w:rPr>
          <w:rFonts w:hint="eastAsia" w:ascii="宋体" w:hAnsi="宋体" w:eastAsia="宋体" w:cs="Arial"/>
          <w:color w:val="000000"/>
          <w:kern w:val="0"/>
          <w:sz w:val="24"/>
          <w:szCs w:val="24"/>
        </w:rPr>
        <w:t>评标原则</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评标活动遵循公平、公正、科学和择优的原则。</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6.3 评标</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评标委员会按照第二章“评标办法”规定的方法、评审因素、标准和程序对投标文件进行评审。</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30" w:name="_BookMark_10"/>
      <w:bookmarkEnd w:id="30"/>
      <w:bookmarkStart w:id="31" w:name="_Toc488827458"/>
      <w:r>
        <w:rPr>
          <w:rFonts w:hint="eastAsia" w:ascii="宋体" w:hAnsi="宋体" w:eastAsia="宋体" w:cs="Arial"/>
          <w:b/>
          <w:bCs/>
          <w:color w:val="000000"/>
          <w:kern w:val="0"/>
          <w:sz w:val="24"/>
          <w:szCs w:val="24"/>
        </w:rPr>
        <w:t>7．定标及合同授予</w:t>
      </w:r>
      <w:bookmarkEnd w:id="31"/>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rPr>
        <w:t>7.1 定标方法</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7.1.1 定标方法：评标活动遵循公平、公正、科学和择优的原则。招标人授权评标委员会直接确定得分最高者为中标人。</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7.1.2</w:t>
      </w:r>
      <w:r>
        <w:rPr>
          <w:rFonts w:hint="eastAsia" w:ascii="宋体" w:hAnsi="宋体" w:eastAsia="宋体" w:cs="Arial"/>
          <w:kern w:val="0"/>
          <w:sz w:val="24"/>
          <w:szCs w:val="24"/>
          <w:highlight w:val="none"/>
        </w:rPr>
        <w:t>评标委员会对进入详细评审的投标人进行综合评分并按分数高低作出排序，如果有两个投标人得分相同时，以投标报价低者排名靠前。</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7.1.3 </w:t>
      </w:r>
      <w:r>
        <w:rPr>
          <w:rFonts w:hint="eastAsia" w:ascii="宋体" w:hAnsi="宋体" w:eastAsia="宋体" w:cs="Arial"/>
          <w:kern w:val="0"/>
          <w:sz w:val="24"/>
          <w:szCs w:val="24"/>
          <w:highlight w:val="none"/>
        </w:rPr>
        <w:t>评标委员会确定中标人，综合得分最高的投标人将被确定为中标人。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7.2 </w:t>
      </w:r>
      <w:r>
        <w:rPr>
          <w:rFonts w:hint="eastAsia" w:ascii="宋体" w:hAnsi="宋体" w:eastAsia="宋体" w:cs="Arial"/>
          <w:kern w:val="0"/>
          <w:sz w:val="24"/>
          <w:szCs w:val="24"/>
        </w:rPr>
        <w:t>中标人公示</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在中标通知书发出前，中标人的情况将在招标公告发布的媒体上公示，中标公告期限为3日。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7.3 </w:t>
      </w:r>
      <w:r>
        <w:rPr>
          <w:rFonts w:hint="eastAsia" w:ascii="宋体" w:hAnsi="宋体" w:eastAsia="宋体" w:cs="Arial"/>
          <w:color w:val="000000"/>
          <w:kern w:val="0"/>
          <w:sz w:val="24"/>
          <w:szCs w:val="24"/>
        </w:rPr>
        <w:t>中标通知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公示期满后，招标人以书面形式向中标人发出中标通知书。</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7.4 </w:t>
      </w:r>
      <w:r>
        <w:rPr>
          <w:rFonts w:hint="eastAsia" w:ascii="宋体" w:hAnsi="宋体" w:eastAsia="宋体" w:cs="Arial"/>
          <w:color w:val="000000"/>
          <w:kern w:val="0"/>
          <w:sz w:val="24"/>
          <w:szCs w:val="24"/>
        </w:rPr>
        <w:t>履约保证金</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ascii="宋体" w:hAnsi="宋体" w:eastAsia="宋体" w:cs="Arial"/>
          <w:color w:val="000000"/>
          <w:kern w:val="0"/>
          <w:sz w:val="24"/>
          <w:szCs w:val="24"/>
        </w:rPr>
        <w:t xml:space="preserve">7.4.1 </w:t>
      </w:r>
      <w:r>
        <w:rPr>
          <w:rFonts w:hint="eastAsia" w:ascii="宋体" w:hAnsi="宋体" w:eastAsia="宋体" w:cs="Arial"/>
          <w:color w:val="000000"/>
          <w:kern w:val="0"/>
          <w:sz w:val="24"/>
          <w:szCs w:val="24"/>
        </w:rPr>
        <w:t>在签订合同前，中标人应按投标人须知前附表规定的金额、形式向招标人提交履约保证金。联合体中标的，其履约保证金由牵头人提交，并应符合投标人须知前附表的规定。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7.4.2 </w:t>
      </w:r>
      <w:r>
        <w:rPr>
          <w:rFonts w:hint="eastAsia" w:ascii="宋体" w:hAnsi="宋体" w:eastAsia="宋体" w:cs="Arial"/>
          <w:color w:val="000000"/>
          <w:kern w:val="0"/>
          <w:sz w:val="24"/>
          <w:szCs w:val="24"/>
        </w:rPr>
        <w:t>中标人不能按本章第</w:t>
      </w:r>
      <w:r>
        <w:rPr>
          <w:rFonts w:ascii="宋体" w:hAnsi="宋体" w:eastAsia="宋体" w:cs="Arial"/>
          <w:color w:val="000000"/>
          <w:kern w:val="0"/>
          <w:sz w:val="24"/>
          <w:szCs w:val="24"/>
        </w:rPr>
        <w:t>7.4.1</w:t>
      </w:r>
      <w:r>
        <w:rPr>
          <w:rFonts w:hint="eastAsia" w:ascii="宋体" w:hAnsi="宋体" w:eastAsia="宋体" w:cs="Arial"/>
          <w:color w:val="000000"/>
          <w:kern w:val="0"/>
          <w:sz w:val="24"/>
          <w:szCs w:val="24"/>
        </w:rPr>
        <w:t>项要求提交履约保证金的，视为放弃中标，其投标保证金不予退还；给招标人造成的损失超过投标保证金数额的，中标人还应当对超过部分予以赔偿。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7.5 </w:t>
      </w:r>
      <w:r>
        <w:rPr>
          <w:rFonts w:hint="eastAsia" w:ascii="宋体" w:hAnsi="宋体" w:eastAsia="宋体" w:cs="Arial"/>
          <w:color w:val="000000"/>
          <w:kern w:val="0"/>
          <w:sz w:val="24"/>
          <w:szCs w:val="24"/>
        </w:rPr>
        <w:t>签订合同</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ascii="宋体" w:hAnsi="宋体" w:eastAsia="宋体" w:cs="Arial"/>
          <w:color w:val="000000"/>
          <w:kern w:val="0"/>
          <w:sz w:val="24"/>
          <w:szCs w:val="24"/>
        </w:rPr>
        <w:t>7.5.1</w:t>
      </w:r>
      <w:r>
        <w:rPr>
          <w:rFonts w:hint="eastAsia" w:ascii="宋体" w:hAnsi="宋体" w:eastAsia="宋体" w:cs="Arial"/>
          <w:color w:val="000000"/>
          <w:kern w:val="0"/>
          <w:sz w:val="24"/>
          <w:szCs w:val="24"/>
        </w:rPr>
        <w:t>招标人和中标人应当自中标通知书发出之日起</w:t>
      </w:r>
      <w:r>
        <w:rPr>
          <w:rFonts w:ascii="宋体" w:hAnsi="宋体" w:eastAsia="宋体" w:cs="Arial"/>
          <w:color w:val="000000"/>
          <w:kern w:val="0"/>
          <w:sz w:val="24"/>
          <w:szCs w:val="24"/>
        </w:rPr>
        <w:t>30</w:t>
      </w:r>
      <w:r>
        <w:rPr>
          <w:rFonts w:hint="eastAsia" w:ascii="宋体" w:hAnsi="宋体" w:eastAsia="宋体" w:cs="Arial"/>
          <w:color w:val="000000"/>
          <w:kern w:val="0"/>
          <w:sz w:val="24"/>
          <w:szCs w:val="24"/>
        </w:rPr>
        <w:t>天内，根据招标文件和中标人的投标文件订立书面合同。招标人和中标人不得再行订立背离合同实质性内容的其他协议。中标人无正当理由拒签合同的，招标人取消其中标资格，其投标保证金不予退还；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7.5.2 发出中标通知书后，招标人无正当理由拒签合同的，给中标人造成损失的，还应当赔偿中标人损失。</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32" w:name="_BookMark_11"/>
      <w:bookmarkEnd w:id="32"/>
      <w:bookmarkStart w:id="33" w:name="_Toc488827459"/>
      <w:r>
        <w:rPr>
          <w:rFonts w:hint="eastAsia" w:ascii="宋体" w:hAnsi="宋体" w:eastAsia="宋体" w:cs="Arial"/>
          <w:b/>
          <w:bCs/>
          <w:color w:val="000000"/>
          <w:kern w:val="0"/>
          <w:sz w:val="24"/>
          <w:szCs w:val="24"/>
        </w:rPr>
        <w:t>8．纪律和监督</w:t>
      </w:r>
      <w:bookmarkEnd w:id="33"/>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8.1 对招标人的纪律要求</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招标人不得泄漏招标投标活动中应当保密的情况和资料，不得与投标人串通损害国家利益、社会公共利益或者他人合法权益。</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8.2 对投标人的纪律要求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8.3 </w:t>
      </w:r>
      <w:r>
        <w:rPr>
          <w:rFonts w:hint="eastAsia" w:ascii="宋体" w:hAnsi="宋体" w:eastAsia="宋体" w:cs="Arial"/>
          <w:color w:val="000000"/>
          <w:kern w:val="0"/>
          <w:sz w:val="24"/>
          <w:szCs w:val="24"/>
        </w:rPr>
        <w:t>对评标委员会成员的纪律要求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二章“评标办法”没有规定的评审因素和标准进行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8.4 </w:t>
      </w:r>
      <w:r>
        <w:rPr>
          <w:rFonts w:hint="eastAsia" w:ascii="宋体" w:hAnsi="宋体" w:eastAsia="宋体" w:cs="Arial"/>
          <w:color w:val="000000"/>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8.5 </w:t>
      </w:r>
      <w:r>
        <w:rPr>
          <w:rFonts w:hint="eastAsia" w:ascii="宋体" w:hAnsi="宋体" w:eastAsia="宋体" w:cs="Arial"/>
          <w:color w:val="000000"/>
          <w:kern w:val="0"/>
          <w:sz w:val="24"/>
          <w:szCs w:val="24"/>
        </w:rPr>
        <w:t>监督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本项目的招标投标活动及其相关当事人应当接受有管辖权的监督部门依法实施的监督。</w:t>
      </w:r>
      <w:bookmarkStart w:id="34" w:name="_BookMark_12"/>
      <w:bookmarkEnd w:id="34"/>
    </w:p>
    <w:p>
      <w:pPr>
        <w:spacing w:line="440" w:lineRule="exact"/>
        <w:jc w:val="center"/>
        <w:outlineLvl w:val="0"/>
        <w:rPr>
          <w:rFonts w:ascii="宋体" w:hAnsi="宋体" w:eastAsia="宋体" w:cs="宋体"/>
          <w:b/>
          <w:sz w:val="24"/>
          <w:szCs w:val="24"/>
        </w:rPr>
      </w:pPr>
      <w:r>
        <w:rPr>
          <w:rFonts w:ascii="宋体" w:hAnsi="Calibri" w:eastAsia="宋体" w:cs="Arial"/>
          <w:bCs/>
          <w:color w:val="000000"/>
          <w:kern w:val="0"/>
          <w:sz w:val="24"/>
          <w:szCs w:val="24"/>
        </w:rPr>
        <w:br w:type="page"/>
      </w:r>
      <w:bookmarkStart w:id="35" w:name="_Toc488827460"/>
      <w:r>
        <w:rPr>
          <w:rFonts w:hint="eastAsia" w:ascii="宋体" w:hAnsi="宋体" w:eastAsia="宋体" w:cs="宋体"/>
          <w:b/>
          <w:sz w:val="24"/>
          <w:szCs w:val="24"/>
        </w:rPr>
        <w:t>第</w:t>
      </w:r>
      <w:r>
        <w:rPr>
          <w:rFonts w:hint="eastAsia" w:ascii="宋体" w:hAnsi="宋体" w:eastAsia="宋体" w:cs="宋体"/>
          <w:b/>
          <w:sz w:val="24"/>
          <w:szCs w:val="24"/>
          <w:lang w:eastAsia="zh-CN"/>
        </w:rPr>
        <w:t>三</w:t>
      </w:r>
      <w:r>
        <w:rPr>
          <w:rFonts w:hint="eastAsia" w:ascii="宋体" w:hAnsi="宋体" w:eastAsia="宋体" w:cs="宋体"/>
          <w:b/>
          <w:sz w:val="24"/>
          <w:szCs w:val="24"/>
        </w:rPr>
        <w:t>章 评标办法（综合评估法）</w:t>
      </w:r>
      <w:bookmarkEnd w:id="35"/>
    </w:p>
    <w:p>
      <w:pPr>
        <w:tabs>
          <w:tab w:val="center" w:pos="4832"/>
          <w:tab w:val="left" w:pos="7140"/>
        </w:tabs>
        <w:spacing w:line="360" w:lineRule="auto"/>
        <w:jc w:val="center"/>
        <w:outlineLvl w:val="1"/>
        <w:rPr>
          <w:rFonts w:ascii="宋体" w:hAnsi="宋体" w:eastAsia="宋体" w:cs="宋体"/>
          <w:b/>
          <w:sz w:val="24"/>
          <w:szCs w:val="24"/>
        </w:rPr>
      </w:pPr>
      <w:bookmarkStart w:id="36" w:name="_BookMark_1"/>
      <w:bookmarkEnd w:id="36"/>
      <w:bookmarkStart w:id="37" w:name="_Toc488827461"/>
      <w:r>
        <w:rPr>
          <w:rFonts w:hint="eastAsia" w:ascii="宋体" w:hAnsi="宋体" w:eastAsia="宋体" w:cs="宋体"/>
          <w:b/>
          <w:sz w:val="24"/>
          <w:szCs w:val="24"/>
        </w:rPr>
        <w:t>评标办法前附表</w:t>
      </w:r>
      <w:bookmarkEnd w:id="37"/>
    </w:p>
    <w:tbl>
      <w:tblPr>
        <w:tblStyle w:val="28"/>
        <w:tblW w:w="9160" w:type="dxa"/>
        <w:jc w:val="center"/>
        <w:tblLayout w:type="fixed"/>
        <w:tblCellMar>
          <w:top w:w="0" w:type="dxa"/>
          <w:left w:w="0" w:type="dxa"/>
          <w:bottom w:w="0" w:type="dxa"/>
          <w:right w:w="0" w:type="dxa"/>
        </w:tblCellMar>
      </w:tblPr>
      <w:tblGrid>
        <w:gridCol w:w="612"/>
        <w:gridCol w:w="2500"/>
        <w:gridCol w:w="6048"/>
      </w:tblGrid>
      <w:tr>
        <w:tblPrEx>
          <w:tblCellMar>
            <w:top w:w="0" w:type="dxa"/>
            <w:left w:w="0" w:type="dxa"/>
            <w:bottom w:w="0" w:type="dxa"/>
            <w:right w:w="0" w:type="dxa"/>
          </w:tblCellMar>
        </w:tblPrEx>
        <w:trPr>
          <w:cantSplit/>
          <w:trHeight w:val="41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序号</w:t>
            </w:r>
          </w:p>
        </w:tc>
        <w:tc>
          <w:tcPr>
            <w:tcW w:w="250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条款内容</w:t>
            </w:r>
          </w:p>
        </w:tc>
        <w:tc>
          <w:tcPr>
            <w:tcW w:w="604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编列内容</w:t>
            </w:r>
          </w:p>
        </w:tc>
      </w:tr>
      <w:tr>
        <w:tblPrEx>
          <w:tblCellMar>
            <w:top w:w="0" w:type="dxa"/>
            <w:left w:w="0" w:type="dxa"/>
            <w:bottom w:w="0" w:type="dxa"/>
            <w:right w:w="0" w:type="dxa"/>
          </w:tblCellMar>
        </w:tblPrEx>
        <w:trPr>
          <w:cantSplit/>
          <w:trHeight w:val="752"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1</w:t>
            </w:r>
          </w:p>
        </w:tc>
        <w:tc>
          <w:tcPr>
            <w:tcW w:w="250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分值构成及权重</w:t>
            </w:r>
          </w:p>
          <w:p>
            <w:pPr>
              <w:jc w:val="center"/>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总分</w:t>
            </w:r>
            <w:r>
              <w:rPr>
                <w:rFonts w:ascii="宋体" w:hAnsi="宋体" w:eastAsia="宋体" w:cs="Times New Roman"/>
                <w:sz w:val="24"/>
                <w:szCs w:val="24"/>
              </w:rPr>
              <w:t>100</w:t>
            </w:r>
            <w:r>
              <w:rPr>
                <w:rFonts w:hint="eastAsia" w:ascii="宋体" w:hAnsi="宋体" w:eastAsia="宋体" w:cs="Times New Roman"/>
                <w:sz w:val="24"/>
                <w:szCs w:val="24"/>
              </w:rPr>
              <w:t>分</w:t>
            </w:r>
            <w:r>
              <w:rPr>
                <w:rFonts w:ascii="宋体" w:hAnsi="宋体" w:eastAsia="宋体" w:cs="Times New Roman"/>
                <w:sz w:val="24"/>
                <w:szCs w:val="24"/>
              </w:rPr>
              <w:t>)</w:t>
            </w:r>
          </w:p>
        </w:tc>
        <w:tc>
          <w:tcPr>
            <w:tcW w:w="604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详细评审部分权重</w:t>
            </w:r>
            <w:r>
              <w:rPr>
                <w:rFonts w:ascii="宋体" w:hAnsi="宋体" w:eastAsia="宋体" w:cs="Times New Roman"/>
                <w:sz w:val="24"/>
                <w:szCs w:val="24"/>
              </w:rPr>
              <w:t>Q1=</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0</w:t>
            </w:r>
            <w:r>
              <w:rPr>
                <w:rFonts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投标报价权重</w:t>
            </w:r>
            <w:r>
              <w:rPr>
                <w:rFonts w:ascii="宋体" w:hAnsi="宋体" w:eastAsia="宋体" w:cs="Times New Roman"/>
                <w:sz w:val="24"/>
                <w:szCs w:val="24"/>
              </w:rPr>
              <w:t>Q2=</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0</w:t>
            </w:r>
            <w:r>
              <w:rPr>
                <w:rFonts w:ascii="宋体" w:hAnsi="宋体" w:eastAsia="宋体" w:cs="Times New Roman"/>
                <w:sz w:val="24"/>
                <w:szCs w:val="24"/>
              </w:rPr>
              <w:t>%</w:t>
            </w:r>
          </w:p>
        </w:tc>
      </w:tr>
      <w:tr>
        <w:tblPrEx>
          <w:tblCellMar>
            <w:top w:w="0" w:type="dxa"/>
            <w:left w:w="0" w:type="dxa"/>
            <w:bottom w:w="0" w:type="dxa"/>
            <w:right w:w="0" w:type="dxa"/>
          </w:tblCellMar>
        </w:tblPrEx>
        <w:trPr>
          <w:cantSplit/>
          <w:trHeight w:val="45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2</w:t>
            </w:r>
          </w:p>
        </w:tc>
        <w:tc>
          <w:tcPr>
            <w:tcW w:w="250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资格审查</w:t>
            </w:r>
          </w:p>
        </w:tc>
        <w:tc>
          <w:tcPr>
            <w:tcW w:w="604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详见资格审查评审标准</w:t>
            </w:r>
          </w:p>
        </w:tc>
      </w:tr>
      <w:tr>
        <w:tblPrEx>
          <w:tblCellMar>
            <w:top w:w="0" w:type="dxa"/>
            <w:left w:w="0" w:type="dxa"/>
            <w:bottom w:w="0" w:type="dxa"/>
            <w:right w:w="0" w:type="dxa"/>
          </w:tblCellMar>
        </w:tblPrEx>
        <w:trPr>
          <w:cantSplit/>
          <w:trHeight w:val="443"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3</w:t>
            </w:r>
          </w:p>
        </w:tc>
        <w:tc>
          <w:tcPr>
            <w:tcW w:w="250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初步评审</w:t>
            </w:r>
          </w:p>
        </w:tc>
        <w:tc>
          <w:tcPr>
            <w:tcW w:w="604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详见初步评审标准</w:t>
            </w:r>
          </w:p>
        </w:tc>
      </w:tr>
      <w:tr>
        <w:tblPrEx>
          <w:tblCellMar>
            <w:top w:w="0" w:type="dxa"/>
            <w:left w:w="0" w:type="dxa"/>
            <w:bottom w:w="0" w:type="dxa"/>
            <w:right w:w="0" w:type="dxa"/>
          </w:tblCellMar>
        </w:tblPrEx>
        <w:trPr>
          <w:cantSplit/>
          <w:trHeight w:val="4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4</w:t>
            </w:r>
          </w:p>
        </w:tc>
        <w:tc>
          <w:tcPr>
            <w:tcW w:w="250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详细评审</w:t>
            </w:r>
          </w:p>
        </w:tc>
        <w:tc>
          <w:tcPr>
            <w:tcW w:w="604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详见详细评审标准</w:t>
            </w:r>
          </w:p>
        </w:tc>
      </w:tr>
      <w:tr>
        <w:tblPrEx>
          <w:tblCellMar>
            <w:top w:w="0" w:type="dxa"/>
            <w:left w:w="0" w:type="dxa"/>
            <w:bottom w:w="0" w:type="dxa"/>
            <w:right w:w="0" w:type="dxa"/>
          </w:tblCellMar>
        </w:tblPrEx>
        <w:trPr>
          <w:cantSplit/>
          <w:trHeight w:val="58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250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得分汇总</w:t>
            </w:r>
          </w:p>
        </w:tc>
        <w:tc>
          <w:tcPr>
            <w:tcW w:w="604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cs="宋体"/>
                <w:bCs/>
                <w:color w:val="000000"/>
                <w:sz w:val="24"/>
                <w:szCs w:val="24"/>
              </w:rPr>
            </w:pPr>
            <w:r>
              <w:rPr>
                <w:rFonts w:hint="eastAsia" w:ascii="宋体" w:hAnsi="宋体" w:cs="宋体"/>
                <w:bCs/>
                <w:color w:val="000000"/>
                <w:sz w:val="24"/>
                <w:szCs w:val="24"/>
              </w:rPr>
              <w:t>投标人最终得分等于详细评审得分+投标报价得分 。</w:t>
            </w:r>
          </w:p>
        </w:tc>
      </w:tr>
    </w:tbl>
    <w:p>
      <w:pPr>
        <w:tabs>
          <w:tab w:val="center" w:pos="4832"/>
          <w:tab w:val="left" w:pos="7140"/>
        </w:tabs>
        <w:spacing w:line="360" w:lineRule="auto"/>
        <w:jc w:val="center"/>
        <w:outlineLvl w:val="1"/>
        <w:rPr>
          <w:rFonts w:ascii="宋体" w:hAnsi="宋体" w:eastAsia="宋体" w:cs="宋体"/>
          <w:b/>
          <w:sz w:val="24"/>
          <w:szCs w:val="24"/>
        </w:rPr>
      </w:pPr>
      <w:bookmarkStart w:id="38" w:name="_Toc488827462"/>
    </w:p>
    <w:p>
      <w:pPr>
        <w:tabs>
          <w:tab w:val="center" w:pos="4832"/>
          <w:tab w:val="left" w:pos="7140"/>
        </w:tabs>
        <w:spacing w:line="360" w:lineRule="auto"/>
        <w:jc w:val="center"/>
        <w:outlineLvl w:val="1"/>
        <w:rPr>
          <w:rFonts w:ascii="宋体" w:hAnsi="宋体" w:eastAsia="宋体" w:cs="宋体"/>
          <w:b/>
          <w:sz w:val="24"/>
          <w:szCs w:val="24"/>
        </w:rPr>
      </w:pPr>
      <w:r>
        <w:rPr>
          <w:rFonts w:hint="eastAsia" w:ascii="宋体" w:hAnsi="宋体" w:eastAsia="宋体" w:cs="宋体"/>
          <w:b/>
          <w:sz w:val="24"/>
          <w:szCs w:val="24"/>
        </w:rPr>
        <w:t>资格审查标准</w:t>
      </w:r>
      <w:bookmarkEnd w:id="38"/>
    </w:p>
    <w:tbl>
      <w:tblPr>
        <w:tblStyle w:val="28"/>
        <w:tblW w:w="9190" w:type="dxa"/>
        <w:jc w:val="center"/>
        <w:tblLayout w:type="fixed"/>
        <w:tblCellMar>
          <w:top w:w="0" w:type="dxa"/>
          <w:left w:w="0" w:type="dxa"/>
          <w:bottom w:w="0" w:type="dxa"/>
          <w:right w:w="0" w:type="dxa"/>
        </w:tblCellMar>
      </w:tblPr>
      <w:tblGrid>
        <w:gridCol w:w="630"/>
        <w:gridCol w:w="8560"/>
      </w:tblGrid>
      <w:tr>
        <w:tblPrEx>
          <w:tblCellMar>
            <w:top w:w="0" w:type="dxa"/>
            <w:left w:w="0" w:type="dxa"/>
            <w:bottom w:w="0" w:type="dxa"/>
            <w:right w:w="0" w:type="dxa"/>
          </w:tblCellMar>
        </w:tblPrEx>
        <w:trPr>
          <w:cantSplit/>
          <w:trHeight w:val="368" w:hRule="atLeast"/>
          <w:jc w:val="center"/>
        </w:trPr>
        <w:tc>
          <w:tcPr>
            <w:tcW w:w="630"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序号</w:t>
            </w:r>
          </w:p>
        </w:tc>
        <w:tc>
          <w:tcPr>
            <w:tcW w:w="8560"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评审标准</w:t>
            </w:r>
          </w:p>
        </w:tc>
      </w:tr>
      <w:tr>
        <w:tblPrEx>
          <w:tblCellMar>
            <w:top w:w="0" w:type="dxa"/>
            <w:left w:w="0" w:type="dxa"/>
            <w:bottom w:w="0" w:type="dxa"/>
            <w:right w:w="0" w:type="dxa"/>
          </w:tblCellMar>
        </w:tblPrEx>
        <w:trPr>
          <w:cantSplit/>
          <w:trHeight w:val="609" w:hRule="atLeast"/>
          <w:jc w:val="center"/>
        </w:trPr>
        <w:tc>
          <w:tcPr>
            <w:tcW w:w="630" w:type="dxa"/>
            <w:tcBorders>
              <w:top w:val="single" w:color="auto" w:sz="8" w:space="0"/>
              <w:left w:val="single" w:color="auto" w:sz="8" w:space="0"/>
              <w:bottom w:val="single" w:color="auto" w:sz="8" w:space="0"/>
              <w:right w:val="single" w:color="auto" w:sz="8" w:space="0"/>
            </w:tcBorders>
            <w:vAlign w:val="center"/>
          </w:tcPr>
          <w:p>
            <w:pPr>
              <w:autoSpaceDE w:val="0"/>
              <w:autoSpaceDN w:val="0"/>
              <w:ind w:firstLine="240" w:firstLineChars="100"/>
              <w:rPr>
                <w:rFonts w:ascii="宋体" w:hAnsi="宋体" w:cs="宋体"/>
                <w:color w:val="000000"/>
                <w:kern w:val="0"/>
                <w:sz w:val="24"/>
              </w:rPr>
            </w:pPr>
            <w:r>
              <w:rPr>
                <w:rFonts w:hint="eastAsia" w:ascii="宋体" w:hAnsi="宋体" w:cs="宋体"/>
                <w:color w:val="000000"/>
                <w:kern w:val="0"/>
                <w:sz w:val="24"/>
              </w:rPr>
              <w:t>1</w:t>
            </w:r>
          </w:p>
        </w:tc>
        <w:tc>
          <w:tcPr>
            <w:tcW w:w="8560"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rPr>
                <w:rFonts w:hint="eastAsia"/>
                <w:sz w:val="24"/>
                <w:szCs w:val="24"/>
                <w:lang w:val="en-US" w:eastAsia="zh-CN"/>
              </w:rPr>
            </w:pPr>
            <w:r>
              <w:rPr>
                <w:rFonts w:hint="eastAsia"/>
                <w:sz w:val="24"/>
                <w:szCs w:val="24"/>
                <w:lang w:val="en-US" w:eastAsia="zh-CN"/>
              </w:rPr>
              <w:t xml:space="preserve">1必须具备《中华人民共和国政府采购法》第二十二条规定的条件： </w:t>
            </w:r>
          </w:p>
          <w:p>
            <w:pPr>
              <w:autoSpaceDE w:val="0"/>
              <w:autoSpaceDN w:val="0"/>
              <w:spacing w:line="360" w:lineRule="auto"/>
              <w:rPr>
                <w:rFonts w:hint="eastAsia"/>
                <w:sz w:val="24"/>
                <w:szCs w:val="24"/>
                <w:lang w:val="en-US" w:eastAsia="zh-CN"/>
              </w:rPr>
            </w:pPr>
            <w:r>
              <w:rPr>
                <w:rFonts w:hint="eastAsia"/>
                <w:sz w:val="24"/>
                <w:szCs w:val="24"/>
                <w:lang w:val="en-US" w:eastAsia="zh-CN"/>
              </w:rPr>
              <w:t>1.1 具有独立承担民事责任的能力；</w:t>
            </w:r>
          </w:p>
          <w:p>
            <w:pPr>
              <w:autoSpaceDE w:val="0"/>
              <w:autoSpaceDN w:val="0"/>
              <w:spacing w:line="360" w:lineRule="auto"/>
              <w:rPr>
                <w:rFonts w:hint="eastAsia"/>
                <w:sz w:val="24"/>
                <w:szCs w:val="24"/>
                <w:lang w:val="en-US" w:eastAsia="zh-CN"/>
              </w:rPr>
            </w:pPr>
            <w:r>
              <w:rPr>
                <w:rFonts w:hint="eastAsia"/>
                <w:sz w:val="24"/>
                <w:szCs w:val="24"/>
                <w:lang w:val="en-US" w:eastAsia="zh-CN"/>
              </w:rPr>
              <w:t>1.2 具有良好的商业信誉和健全的财务会计制度；</w:t>
            </w:r>
            <w:r>
              <w:rPr>
                <w:rFonts w:ascii="宋体" w:hAnsi="宋体" w:eastAsia="宋体" w:cs="宋体"/>
                <w:sz w:val="24"/>
                <w:szCs w:val="24"/>
              </w:rPr>
              <w:t> </w:t>
            </w:r>
            <w:r>
              <w:rPr>
                <w:rFonts w:hint="eastAsia"/>
                <w:sz w:val="24"/>
                <w:szCs w:val="24"/>
                <w:lang w:val="en-US" w:eastAsia="zh-CN"/>
              </w:rPr>
              <w:t xml:space="preserve"> </w:t>
            </w:r>
          </w:p>
          <w:p>
            <w:pPr>
              <w:autoSpaceDE w:val="0"/>
              <w:autoSpaceDN w:val="0"/>
              <w:spacing w:line="360" w:lineRule="auto"/>
              <w:rPr>
                <w:rFonts w:hint="eastAsia"/>
                <w:sz w:val="24"/>
                <w:szCs w:val="24"/>
                <w:lang w:val="en-US" w:eastAsia="zh-CN"/>
              </w:rPr>
            </w:pPr>
            <w:r>
              <w:rPr>
                <w:rFonts w:hint="eastAsia"/>
                <w:sz w:val="24"/>
                <w:szCs w:val="24"/>
                <w:lang w:val="en-US" w:eastAsia="zh-CN"/>
              </w:rPr>
              <w:t>1.3 具有履行合同所必需的设备和专业技术能力；</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1.4 有依法缴纳税收和社会保障资金的良好记录； </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1.5 参加政府采购活动前三年内，在经营活动中没有重大违法记录； </w:t>
            </w:r>
          </w:p>
          <w:p>
            <w:pPr>
              <w:autoSpaceDE w:val="0"/>
              <w:autoSpaceDN w:val="0"/>
              <w:spacing w:line="360" w:lineRule="auto"/>
            </w:pPr>
            <w:r>
              <w:rPr>
                <w:rFonts w:hint="eastAsia"/>
                <w:sz w:val="24"/>
                <w:szCs w:val="24"/>
                <w:lang w:val="en-US" w:eastAsia="zh-CN"/>
              </w:rPr>
              <w:t xml:space="preserve">1.6 法律、行政法规规定的其他条件。 </w:t>
            </w:r>
          </w:p>
        </w:tc>
      </w:tr>
      <w:tr>
        <w:tblPrEx>
          <w:tblCellMar>
            <w:top w:w="0" w:type="dxa"/>
            <w:left w:w="0" w:type="dxa"/>
            <w:bottom w:w="0" w:type="dxa"/>
            <w:right w:w="0" w:type="dxa"/>
          </w:tblCellMar>
        </w:tblPrEx>
        <w:trPr>
          <w:cantSplit/>
          <w:trHeight w:val="609" w:hRule="atLeast"/>
          <w:jc w:val="center"/>
        </w:trPr>
        <w:tc>
          <w:tcPr>
            <w:tcW w:w="63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2</w:t>
            </w:r>
          </w:p>
        </w:tc>
        <w:tc>
          <w:tcPr>
            <w:tcW w:w="8560"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E w:val="0"/>
              <w:autoSpaceDN w:val="0"/>
              <w:rPr>
                <w:sz w:val="24"/>
                <w:szCs w:val="24"/>
              </w:rPr>
            </w:pPr>
            <w:r>
              <w:rPr>
                <w:rFonts w:hint="eastAsia"/>
                <w:sz w:val="24"/>
                <w:szCs w:val="24"/>
                <w:lang w:val="en-US" w:eastAsia="zh-CN"/>
              </w:rPr>
              <w:t xml:space="preserve">未被“信用中国”网站（ </w:t>
            </w:r>
            <w:r>
              <w:rPr>
                <w:rFonts w:hint="eastAsia"/>
                <w:sz w:val="24"/>
                <w:szCs w:val="24"/>
                <w:lang w:val="en-US" w:eastAsia="zh-CN"/>
              </w:rPr>
              <w:fldChar w:fldCharType="begin"/>
            </w:r>
            <w:r>
              <w:rPr>
                <w:rFonts w:hint="eastAsia"/>
                <w:sz w:val="24"/>
                <w:szCs w:val="24"/>
                <w:lang w:val="en-US" w:eastAsia="zh-CN"/>
              </w:rPr>
              <w:instrText xml:space="preserve"> HYPERLINK "http://www.creditchina.gov.cn/" \h </w:instrText>
            </w:r>
            <w:r>
              <w:rPr>
                <w:rFonts w:hint="eastAsia"/>
                <w:sz w:val="24"/>
                <w:szCs w:val="24"/>
                <w:lang w:val="en-US" w:eastAsia="zh-CN"/>
              </w:rPr>
              <w:fldChar w:fldCharType="separate"/>
            </w:r>
            <w:r>
              <w:rPr>
                <w:rFonts w:hint="eastAsia"/>
                <w:sz w:val="24"/>
                <w:szCs w:val="24"/>
                <w:lang w:val="en-US" w:eastAsia="zh-CN"/>
              </w:rPr>
              <w:t>www.creditchina.gov.cn</w:t>
            </w:r>
            <w:r>
              <w:rPr>
                <w:rFonts w:hint="eastAsia"/>
                <w:sz w:val="24"/>
                <w:szCs w:val="24"/>
                <w:lang w:val="en-US" w:eastAsia="zh-CN"/>
              </w:rPr>
              <w:fldChar w:fldCharType="end"/>
            </w:r>
            <w:r>
              <w:rPr>
                <w:rFonts w:hint="eastAsia"/>
                <w:sz w:val="24"/>
                <w:szCs w:val="24"/>
                <w:lang w:val="en-US" w:eastAsia="zh-CN"/>
              </w:rPr>
              <w:t>） 列入失信被执行人、重大税收违法案件当事人名单；</w:t>
            </w:r>
            <w:r>
              <w:rPr>
                <w:rFonts w:hint="eastAsia" w:ascii="宋体" w:hAnsi="宋体" w:eastAsia="宋体" w:cs="宋体"/>
                <w:color w:val="000000"/>
                <w:kern w:val="0"/>
                <w:sz w:val="24"/>
                <w:szCs w:val="20"/>
              </w:rPr>
              <w:t xml:space="preserve">  </w:t>
            </w:r>
          </w:p>
        </w:tc>
      </w:tr>
      <w:tr>
        <w:tblPrEx>
          <w:tblCellMar>
            <w:top w:w="0" w:type="dxa"/>
            <w:left w:w="0" w:type="dxa"/>
            <w:bottom w:w="0" w:type="dxa"/>
            <w:right w:w="0" w:type="dxa"/>
          </w:tblCellMar>
        </w:tblPrEx>
        <w:trPr>
          <w:cantSplit/>
          <w:trHeight w:val="618" w:hRule="atLeast"/>
          <w:jc w:val="center"/>
        </w:trPr>
        <w:tc>
          <w:tcPr>
            <w:tcW w:w="63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8560"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E w:val="0"/>
              <w:autoSpaceDN w:val="0"/>
              <w:rPr>
                <w:rFonts w:ascii="宋体" w:hAnsi="宋体" w:eastAsia="宋体" w:cs="宋体"/>
                <w:sz w:val="24"/>
                <w:szCs w:val="24"/>
              </w:rPr>
            </w:pPr>
            <w:r>
              <w:rPr>
                <w:rFonts w:hint="eastAsia"/>
                <w:sz w:val="24"/>
                <w:szCs w:val="24"/>
                <w:lang w:val="en-US" w:eastAsia="zh-CN"/>
              </w:rPr>
              <w:t>未被“中国政府采购网”</w:t>
            </w:r>
            <w:r>
              <w:rPr>
                <w:rFonts w:hint="eastAsia"/>
                <w:sz w:val="24"/>
                <w:szCs w:val="24"/>
                <w:lang w:val="en-US" w:eastAsia="zh-CN"/>
              </w:rPr>
              <w:fldChar w:fldCharType="begin"/>
            </w:r>
            <w:r>
              <w:rPr>
                <w:rFonts w:hint="eastAsia"/>
                <w:sz w:val="24"/>
                <w:szCs w:val="24"/>
                <w:lang w:val="en-US" w:eastAsia="zh-CN"/>
              </w:rPr>
              <w:instrText xml:space="preserve"> HYPERLINK "http://www.ccgp.gov.cn/" \h </w:instrText>
            </w:r>
            <w:r>
              <w:rPr>
                <w:rFonts w:hint="eastAsia"/>
                <w:sz w:val="24"/>
                <w:szCs w:val="24"/>
                <w:lang w:val="en-US" w:eastAsia="zh-CN"/>
              </w:rPr>
              <w:fldChar w:fldCharType="separate"/>
            </w:r>
            <w:r>
              <w:rPr>
                <w:rFonts w:hint="eastAsia"/>
                <w:sz w:val="24"/>
                <w:szCs w:val="24"/>
                <w:lang w:val="en-US" w:eastAsia="zh-CN"/>
              </w:rPr>
              <w:t>（www.ccgp.gov.cn</w:t>
            </w:r>
            <w:r>
              <w:rPr>
                <w:rFonts w:hint="eastAsia"/>
                <w:sz w:val="24"/>
                <w:szCs w:val="24"/>
                <w:lang w:val="en-US" w:eastAsia="zh-CN"/>
              </w:rPr>
              <w:fldChar w:fldCharType="end"/>
            </w:r>
            <w:r>
              <w:rPr>
                <w:rFonts w:hint="eastAsia"/>
                <w:sz w:val="24"/>
                <w:szCs w:val="24"/>
                <w:lang w:val="en-US" w:eastAsia="zh-CN"/>
              </w:rPr>
              <w:t>）列入严重违法失信行为记录名单的（尚在处罚期内的）；</w:t>
            </w:r>
          </w:p>
        </w:tc>
      </w:tr>
      <w:tr>
        <w:tblPrEx>
          <w:tblCellMar>
            <w:top w:w="0" w:type="dxa"/>
            <w:left w:w="0" w:type="dxa"/>
            <w:bottom w:w="0" w:type="dxa"/>
            <w:right w:w="0" w:type="dxa"/>
          </w:tblCellMar>
        </w:tblPrEx>
        <w:trPr>
          <w:cantSplit/>
          <w:trHeight w:val="696" w:hRule="atLeast"/>
          <w:jc w:val="center"/>
        </w:trPr>
        <w:tc>
          <w:tcPr>
            <w:tcW w:w="63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cs="宋体" w:eastAsiaTheme="minorEastAsia"/>
                <w:color w:val="000000"/>
                <w:kern w:val="0"/>
                <w:sz w:val="24"/>
                <w:lang w:eastAsia="zh-CN"/>
              </w:rPr>
            </w:pPr>
            <w:r>
              <w:rPr>
                <w:rFonts w:hint="eastAsia" w:ascii="宋体" w:hAnsi="宋体" w:cs="宋体"/>
                <w:color w:val="000000"/>
                <w:kern w:val="0"/>
                <w:sz w:val="24"/>
                <w:lang w:val="en-US" w:eastAsia="zh-CN"/>
              </w:rPr>
              <w:t>4</w:t>
            </w:r>
          </w:p>
        </w:tc>
        <w:tc>
          <w:tcPr>
            <w:tcW w:w="8560" w:type="dxa"/>
            <w:tcBorders>
              <w:top w:val="nil"/>
              <w:left w:val="nil"/>
              <w:bottom w:val="single" w:color="auto" w:sz="8" w:space="0"/>
              <w:right w:val="single" w:color="auto" w:sz="8" w:space="0"/>
            </w:tcBorders>
            <w:tcMar>
              <w:top w:w="0" w:type="dxa"/>
              <w:left w:w="28" w:type="dxa"/>
              <w:bottom w:w="0" w:type="dxa"/>
              <w:right w:w="28" w:type="dxa"/>
            </w:tcMar>
            <w:vAlign w:val="center"/>
          </w:tcPr>
          <w:p>
            <w:pPr>
              <w:spacing w:line="360" w:lineRule="auto"/>
              <w:rPr>
                <w:rFonts w:ascii="宋体" w:hAnsi="宋体" w:cs="宋体"/>
                <w:color w:val="000000"/>
                <w:kern w:val="0"/>
                <w:sz w:val="24"/>
              </w:rPr>
            </w:pPr>
            <w:r>
              <w:rPr>
                <w:color w:val="000000" w:themeColor="text1"/>
                <w:sz w:val="24"/>
                <w:szCs w:val="24"/>
                <w14:textFill>
                  <w14:solidFill>
                    <w14:schemeClr w14:val="tx1"/>
                  </w14:solidFill>
                </w14:textFill>
              </w:rPr>
              <w:t>本项目不允许联合体投标。</w:t>
            </w:r>
          </w:p>
        </w:tc>
      </w:tr>
      <w:tr>
        <w:tblPrEx>
          <w:tblCellMar>
            <w:top w:w="0" w:type="dxa"/>
            <w:left w:w="0" w:type="dxa"/>
            <w:bottom w:w="0" w:type="dxa"/>
            <w:right w:w="0" w:type="dxa"/>
          </w:tblCellMar>
        </w:tblPrEx>
        <w:trPr>
          <w:cantSplit/>
          <w:trHeight w:val="696" w:hRule="atLeast"/>
          <w:jc w:val="center"/>
        </w:trPr>
        <w:tc>
          <w:tcPr>
            <w:tcW w:w="63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5</w:t>
            </w:r>
          </w:p>
        </w:tc>
        <w:tc>
          <w:tcPr>
            <w:tcW w:w="8560" w:type="dxa"/>
            <w:tcBorders>
              <w:top w:val="nil"/>
              <w:left w:val="nil"/>
              <w:bottom w:val="single" w:color="auto" w:sz="8" w:space="0"/>
              <w:right w:val="single" w:color="auto" w:sz="8" w:space="0"/>
            </w:tcBorders>
            <w:tcMar>
              <w:top w:w="0" w:type="dxa"/>
              <w:left w:w="28" w:type="dxa"/>
              <w:bottom w:w="0" w:type="dxa"/>
              <w:right w:w="28" w:type="dxa"/>
            </w:tcMar>
            <w:vAlign w:val="center"/>
          </w:tcPr>
          <w:p>
            <w:pPr>
              <w:spacing w:line="360" w:lineRule="auto"/>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投标人未按招标文件提交投标保证金的。</w:t>
            </w:r>
          </w:p>
        </w:tc>
      </w:tr>
      <w:tr>
        <w:tblPrEx>
          <w:tblCellMar>
            <w:top w:w="0" w:type="dxa"/>
            <w:left w:w="0" w:type="dxa"/>
            <w:bottom w:w="0" w:type="dxa"/>
            <w:right w:w="0" w:type="dxa"/>
          </w:tblCellMar>
        </w:tblPrEx>
        <w:trPr>
          <w:cantSplit/>
          <w:trHeight w:val="1112" w:hRule="atLeast"/>
          <w:jc w:val="center"/>
        </w:trPr>
        <w:tc>
          <w:tcPr>
            <w:tcW w:w="919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color w:val="000000"/>
                <w:kern w:val="0"/>
                <w:sz w:val="24"/>
              </w:rPr>
            </w:pPr>
            <w:r>
              <w:rPr>
                <w:rFonts w:hint="eastAsia" w:ascii="宋体" w:hAnsi="宋体" w:cs="宋体"/>
                <w:color w:val="000000"/>
                <w:kern w:val="0"/>
                <w:sz w:val="24"/>
              </w:rPr>
              <w:t>备注：</w:t>
            </w:r>
            <w:r>
              <w:rPr>
                <w:rFonts w:ascii="宋体" w:hAnsi="宋体" w:cs="宋体"/>
                <w:color w:val="000000"/>
                <w:kern w:val="0"/>
                <w:sz w:val="24"/>
              </w:rPr>
              <w:t>1</w:t>
            </w:r>
            <w:r>
              <w:rPr>
                <w:rFonts w:hint="eastAsia" w:ascii="宋体" w:hAnsi="宋体" w:cs="宋体"/>
                <w:color w:val="000000"/>
                <w:kern w:val="0"/>
                <w:sz w:val="24"/>
              </w:rPr>
              <w:t>、以上审查项目中，凡要求提交原件审查的，资格审查时以原件为准。</w:t>
            </w:r>
          </w:p>
          <w:p>
            <w:pPr>
              <w:widowControl/>
              <w:shd w:val="clear" w:color="auto" w:fill="FFFFFF"/>
              <w:snapToGrid w:val="0"/>
              <w:ind w:firstLine="480" w:firstLineChars="200"/>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2</w:t>
            </w:r>
            <w:r>
              <w:rPr>
                <w:rFonts w:hint="eastAsia" w:ascii="宋体" w:hAnsi="宋体" w:cs="宋体"/>
                <w:color w:val="000000"/>
                <w:kern w:val="0"/>
                <w:sz w:val="24"/>
              </w:rPr>
              <w:t>、如果资格评审中有一项不满足审查标准的，评标委员会将认定该投标人不通过资格审查，不得进入下一阶段评审。并且不允许投标人通过修改或撤销其不符合要求的差异或保留，使之成为具有响应性的投标。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tabs>
          <w:tab w:val="center" w:pos="4832"/>
          <w:tab w:val="left" w:pos="7140"/>
        </w:tabs>
        <w:spacing w:line="360" w:lineRule="auto"/>
        <w:jc w:val="center"/>
        <w:outlineLvl w:val="1"/>
        <w:rPr>
          <w:rFonts w:hint="eastAsia" w:ascii="宋体" w:hAnsi="宋体" w:eastAsia="宋体" w:cs="宋体"/>
          <w:b/>
          <w:sz w:val="24"/>
          <w:szCs w:val="24"/>
        </w:rPr>
      </w:pPr>
      <w:bookmarkStart w:id="39" w:name="_Toc488827463"/>
    </w:p>
    <w:p>
      <w:pPr>
        <w:tabs>
          <w:tab w:val="center" w:pos="4832"/>
          <w:tab w:val="left" w:pos="7140"/>
        </w:tabs>
        <w:spacing w:line="360" w:lineRule="auto"/>
        <w:jc w:val="center"/>
        <w:outlineLvl w:val="1"/>
        <w:rPr>
          <w:rFonts w:hint="eastAsia" w:ascii="宋体" w:hAnsi="宋体" w:eastAsia="宋体" w:cs="宋体"/>
          <w:b/>
          <w:sz w:val="24"/>
          <w:szCs w:val="24"/>
        </w:rPr>
      </w:pPr>
    </w:p>
    <w:p>
      <w:pPr>
        <w:tabs>
          <w:tab w:val="center" w:pos="4832"/>
          <w:tab w:val="left" w:pos="7140"/>
        </w:tabs>
        <w:spacing w:line="360" w:lineRule="auto"/>
        <w:jc w:val="center"/>
        <w:outlineLvl w:val="1"/>
        <w:rPr>
          <w:rFonts w:hint="eastAsia" w:ascii="宋体" w:hAnsi="宋体" w:eastAsia="宋体" w:cs="宋体"/>
          <w:b/>
          <w:sz w:val="24"/>
          <w:szCs w:val="24"/>
        </w:rPr>
      </w:pPr>
    </w:p>
    <w:p>
      <w:pPr>
        <w:tabs>
          <w:tab w:val="center" w:pos="4832"/>
          <w:tab w:val="left" w:pos="7140"/>
        </w:tabs>
        <w:spacing w:line="360" w:lineRule="auto"/>
        <w:jc w:val="center"/>
        <w:outlineLvl w:val="1"/>
        <w:rPr>
          <w:rFonts w:ascii="宋体" w:hAnsi="宋体" w:eastAsia="宋体" w:cs="宋体"/>
          <w:b/>
          <w:sz w:val="24"/>
          <w:szCs w:val="24"/>
        </w:rPr>
      </w:pPr>
      <w:r>
        <w:rPr>
          <w:rFonts w:hint="eastAsia" w:ascii="宋体" w:hAnsi="宋体" w:eastAsia="宋体" w:cs="宋体"/>
          <w:b/>
          <w:sz w:val="24"/>
          <w:szCs w:val="24"/>
        </w:rPr>
        <w:t>初步评审标准</w:t>
      </w:r>
      <w:bookmarkEnd w:id="39"/>
    </w:p>
    <w:tbl>
      <w:tblPr>
        <w:tblStyle w:val="28"/>
        <w:tblW w:w="9222" w:type="dxa"/>
        <w:jc w:val="center"/>
        <w:tblLayout w:type="fixed"/>
        <w:tblCellMar>
          <w:top w:w="0" w:type="dxa"/>
          <w:left w:w="0" w:type="dxa"/>
          <w:bottom w:w="0" w:type="dxa"/>
          <w:right w:w="0" w:type="dxa"/>
        </w:tblCellMar>
      </w:tblPr>
      <w:tblGrid>
        <w:gridCol w:w="624"/>
        <w:gridCol w:w="8598"/>
      </w:tblGrid>
      <w:tr>
        <w:tblPrEx>
          <w:tblCellMar>
            <w:top w:w="0" w:type="dxa"/>
            <w:left w:w="0" w:type="dxa"/>
            <w:bottom w:w="0" w:type="dxa"/>
            <w:right w:w="0" w:type="dxa"/>
          </w:tblCellMar>
        </w:tblPrEx>
        <w:trPr>
          <w:cantSplit/>
          <w:trHeight w:val="544" w:hRule="atLeast"/>
          <w:jc w:val="center"/>
        </w:trPr>
        <w:tc>
          <w:tcPr>
            <w:tcW w:w="624"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序号</w:t>
            </w:r>
          </w:p>
        </w:tc>
        <w:tc>
          <w:tcPr>
            <w:tcW w:w="859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评审标准</w:t>
            </w:r>
          </w:p>
        </w:tc>
      </w:tr>
      <w:tr>
        <w:tblPrEx>
          <w:tblCellMar>
            <w:top w:w="0" w:type="dxa"/>
            <w:left w:w="0" w:type="dxa"/>
            <w:bottom w:w="0" w:type="dxa"/>
            <w:right w:w="0" w:type="dxa"/>
          </w:tblCellMar>
        </w:tblPrEx>
        <w:trPr>
          <w:cantSplit/>
          <w:trHeight w:val="514"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1</w:t>
            </w:r>
          </w:p>
        </w:tc>
        <w:tc>
          <w:tcPr>
            <w:tcW w:w="859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投标文件要求加盖投标人章、法定代表人章处未加盖的；</w:t>
            </w:r>
          </w:p>
        </w:tc>
      </w:tr>
      <w:tr>
        <w:tblPrEx>
          <w:tblCellMar>
            <w:top w:w="0" w:type="dxa"/>
            <w:left w:w="0" w:type="dxa"/>
            <w:bottom w:w="0" w:type="dxa"/>
            <w:right w:w="0" w:type="dxa"/>
          </w:tblCellMar>
        </w:tblPrEx>
        <w:trPr>
          <w:cantSplit/>
          <w:trHeight w:val="535"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2</w:t>
            </w:r>
          </w:p>
        </w:tc>
        <w:tc>
          <w:tcPr>
            <w:tcW w:w="859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投标文件未按招标文件要求编制，内容不全或字迹模糊、辨认不清的；</w:t>
            </w:r>
          </w:p>
        </w:tc>
      </w:tr>
      <w:tr>
        <w:tblPrEx>
          <w:tblCellMar>
            <w:top w:w="0" w:type="dxa"/>
            <w:left w:w="0" w:type="dxa"/>
            <w:bottom w:w="0" w:type="dxa"/>
            <w:right w:w="0" w:type="dxa"/>
          </w:tblCellMar>
        </w:tblPrEx>
        <w:trPr>
          <w:cantSplit/>
          <w:trHeight w:val="557"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3</w:t>
            </w:r>
          </w:p>
        </w:tc>
        <w:tc>
          <w:tcPr>
            <w:tcW w:w="859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服务要求不满足招标文件要求的；</w:t>
            </w:r>
          </w:p>
        </w:tc>
      </w:tr>
      <w:tr>
        <w:tblPrEx>
          <w:tblCellMar>
            <w:top w:w="0" w:type="dxa"/>
            <w:left w:w="0" w:type="dxa"/>
            <w:bottom w:w="0" w:type="dxa"/>
            <w:right w:w="0" w:type="dxa"/>
          </w:tblCellMar>
        </w:tblPrEx>
        <w:trPr>
          <w:cantSplit/>
          <w:trHeight w:val="551"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4</w:t>
            </w:r>
          </w:p>
        </w:tc>
        <w:tc>
          <w:tcPr>
            <w:tcW w:w="859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投标报价不得超过</w:t>
            </w:r>
            <w:r>
              <w:rPr>
                <w:rFonts w:hint="eastAsia" w:eastAsia="宋体" w:cs="Arial" w:asciiTheme="minorEastAsia" w:hAnsiTheme="minorEastAsia"/>
                <w:color w:val="000000"/>
                <w:sz w:val="24"/>
                <w:szCs w:val="24"/>
              </w:rPr>
              <w:t>招标控制价的</w:t>
            </w:r>
            <w:r>
              <w:rPr>
                <w:rFonts w:hint="eastAsia" w:ascii="宋体" w:hAnsi="宋体" w:eastAsia="宋体" w:cs="Arial"/>
                <w:color w:val="000000" w:themeColor="text1"/>
                <w:kern w:val="0"/>
                <w:sz w:val="24"/>
                <w:szCs w:val="24"/>
                <w14:textFill>
                  <w14:solidFill>
                    <w14:schemeClr w14:val="tx1"/>
                  </w14:solidFill>
                </w14:textFill>
              </w:rPr>
              <w:t>；</w:t>
            </w:r>
          </w:p>
        </w:tc>
      </w:tr>
      <w:tr>
        <w:tblPrEx>
          <w:tblCellMar>
            <w:top w:w="0" w:type="dxa"/>
            <w:left w:w="0" w:type="dxa"/>
            <w:bottom w:w="0" w:type="dxa"/>
            <w:right w:w="0" w:type="dxa"/>
          </w:tblCellMar>
        </w:tblPrEx>
        <w:trPr>
          <w:cantSplit/>
          <w:trHeight w:val="545"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5</w:t>
            </w:r>
          </w:p>
        </w:tc>
        <w:tc>
          <w:tcPr>
            <w:tcW w:w="859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投标文件不符合招标文件实质性要求的；</w:t>
            </w:r>
          </w:p>
        </w:tc>
      </w:tr>
      <w:tr>
        <w:tblPrEx>
          <w:tblCellMar>
            <w:top w:w="0" w:type="dxa"/>
            <w:left w:w="0" w:type="dxa"/>
            <w:bottom w:w="0" w:type="dxa"/>
            <w:right w:w="0" w:type="dxa"/>
          </w:tblCellMar>
        </w:tblPrEx>
        <w:trPr>
          <w:cantSplit/>
          <w:trHeight w:val="1106" w:hRule="atLeast"/>
          <w:jc w:val="center"/>
        </w:trPr>
        <w:tc>
          <w:tcPr>
            <w:tcW w:w="9222"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备注：初步评审中有一项不满足评审标准的，评标委员会将认定该投标人不通过初步评审，不得进入下一阶段评审。并且不允许投标人通过修改或撤销其不符合要求的差异或保留，使之成为具有响应性的投标。</w:t>
            </w:r>
          </w:p>
        </w:tc>
      </w:tr>
    </w:tbl>
    <w:p>
      <w:pPr>
        <w:tabs>
          <w:tab w:val="center" w:pos="4832"/>
          <w:tab w:val="left" w:pos="7140"/>
        </w:tabs>
        <w:spacing w:line="360" w:lineRule="auto"/>
        <w:jc w:val="center"/>
        <w:outlineLvl w:val="1"/>
        <w:rPr>
          <w:rFonts w:ascii="宋体" w:hAnsi="宋体" w:eastAsia="宋体" w:cs="宋体"/>
          <w:b/>
          <w:sz w:val="24"/>
          <w:szCs w:val="24"/>
        </w:rPr>
      </w:pPr>
      <w:bookmarkStart w:id="40" w:name="_Toc488827464"/>
      <w:r>
        <w:rPr>
          <w:rFonts w:hint="eastAsia" w:ascii="宋体" w:hAnsi="宋体" w:eastAsia="宋体" w:cs="宋体"/>
          <w:b/>
          <w:sz w:val="24"/>
          <w:szCs w:val="24"/>
        </w:rPr>
        <w:t>详细评审标准</w:t>
      </w:r>
    </w:p>
    <w:p>
      <w:pPr>
        <w:pStyle w:val="45"/>
        <w:rPr>
          <w:rFonts w:hAnsi="宋体"/>
          <w:b/>
        </w:rPr>
      </w:pPr>
    </w:p>
    <w:p>
      <w:pPr>
        <w:pStyle w:val="45"/>
        <w:jc w:val="center"/>
        <w:rPr>
          <w:rFonts w:hAnsi="宋体"/>
          <w:b/>
          <w:bCs/>
        </w:rPr>
      </w:pPr>
      <w:r>
        <w:rPr>
          <w:rFonts w:hint="eastAsia" w:hAnsi="宋体"/>
          <w:b/>
          <w:bCs/>
        </w:rPr>
        <w:t>经济部分（</w:t>
      </w:r>
      <w:r>
        <w:rPr>
          <w:rFonts w:hint="eastAsia" w:hAnsi="宋体"/>
          <w:b/>
          <w:bCs/>
          <w:lang w:val="en-US" w:eastAsia="zh-CN"/>
        </w:rPr>
        <w:t>2</w:t>
      </w:r>
      <w:r>
        <w:rPr>
          <w:rFonts w:hint="eastAsia" w:hAnsi="宋体"/>
          <w:b/>
          <w:bCs/>
        </w:rPr>
        <w:t>0分）</w:t>
      </w:r>
    </w:p>
    <w:p>
      <w:pPr>
        <w:pStyle w:val="45"/>
        <w:jc w:val="center"/>
        <w:rPr>
          <w:rFonts w:hAnsi="宋体"/>
          <w:b/>
          <w:bCs/>
        </w:rPr>
      </w:pPr>
    </w:p>
    <w:tbl>
      <w:tblPr>
        <w:tblStyle w:val="28"/>
        <w:tblW w:w="104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1"/>
        <w:gridCol w:w="1560"/>
        <w:gridCol w:w="851"/>
        <w:gridCol w:w="75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评审项目</w:t>
            </w: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分值</w:t>
            </w:r>
          </w:p>
        </w:tc>
        <w:tc>
          <w:tcPr>
            <w:tcW w:w="75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1</w:t>
            </w:r>
          </w:p>
        </w:tc>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10" w:firstLineChars="100"/>
              <w:jc w:val="left"/>
              <w:rPr>
                <w:rFonts w:ascii="宋体" w:hAnsi="宋体"/>
                <w:szCs w:val="21"/>
              </w:rPr>
            </w:pPr>
            <w:r>
              <w:rPr>
                <w:rFonts w:hint="eastAsia" w:ascii="宋体" w:hAnsi="宋体"/>
                <w:szCs w:val="21"/>
              </w:rPr>
              <w:t>报价得分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szCs w:val="21"/>
              </w:rPr>
            </w:pPr>
            <w:r>
              <w:rPr>
                <w:rFonts w:hint="eastAsia" w:ascii="宋体" w:hAnsi="宋体"/>
                <w:szCs w:val="21"/>
                <w:lang w:val="en-US" w:eastAsia="zh-CN"/>
              </w:rPr>
              <w:t>20</w:t>
            </w:r>
            <w:r>
              <w:rPr>
                <w:rFonts w:hint="eastAsia" w:ascii="宋体" w:hAnsi="宋体"/>
                <w:szCs w:val="21"/>
              </w:rPr>
              <w:t>分</w:t>
            </w:r>
          </w:p>
        </w:tc>
        <w:tc>
          <w:tcPr>
            <w:tcW w:w="7596" w:type="dxa"/>
            <w:tcBorders>
              <w:top w:val="single" w:color="auto" w:sz="4" w:space="0"/>
              <w:left w:val="single" w:color="auto" w:sz="4" w:space="0"/>
              <w:bottom w:val="single" w:color="auto" w:sz="4" w:space="0"/>
              <w:right w:val="single" w:color="auto" w:sz="4" w:space="0"/>
            </w:tcBorders>
            <w:vAlign w:val="center"/>
          </w:tcPr>
          <w:p>
            <w:pPr>
              <w:spacing w:line="440" w:lineRule="exact"/>
            </w:pPr>
            <w:r>
              <w:rPr>
                <w:rFonts w:hint="eastAsia"/>
              </w:rPr>
              <w:t>1、评标基准价的计算</w:t>
            </w:r>
          </w:p>
          <w:p>
            <w:pPr>
              <w:spacing w:line="360" w:lineRule="auto"/>
              <w:rPr>
                <w:rFonts w:hint="default" w:eastAsiaTheme="minorEastAsia"/>
                <w:lang w:val="en-US" w:eastAsia="zh-CN"/>
              </w:rPr>
            </w:pPr>
            <w:r>
              <w:rPr>
                <w:rFonts w:hint="eastAsia"/>
              </w:rPr>
              <w:t>评标基准价=经过评审的所有有效投标报价</w:t>
            </w:r>
            <w:r>
              <w:rPr>
                <w:rFonts w:hint="eastAsia"/>
                <w:lang w:val="en-US" w:eastAsia="zh-CN"/>
              </w:rPr>
              <w:t>的最低报价。</w:t>
            </w:r>
          </w:p>
          <w:p>
            <w:pPr>
              <w:pStyle w:val="43"/>
              <w:spacing w:line="360" w:lineRule="auto"/>
              <w:rPr>
                <w:rFonts w:hint="eastAsia"/>
                <w:lang w:eastAsia="zh-CN"/>
              </w:rPr>
            </w:pPr>
            <w:r>
              <w:rPr>
                <w:rFonts w:hint="eastAsia"/>
              </w:rPr>
              <w:t>有效投标报价等于基准值的得满分</w:t>
            </w:r>
            <w:r>
              <w:rPr>
                <w:rFonts w:hint="eastAsia"/>
                <w:lang w:eastAsia="zh-CN"/>
              </w:rPr>
              <w:t>；</w:t>
            </w:r>
          </w:p>
          <w:p>
            <w:pPr>
              <w:pStyle w:val="43"/>
              <w:spacing w:line="360" w:lineRule="auto"/>
            </w:pPr>
            <w:r>
              <w:rPr>
                <w:rFonts w:hint="eastAsia"/>
              </w:rPr>
              <w:t>投标报价得分=（评标基准价/投标报价）×价格权重×100。</w:t>
            </w:r>
          </w:p>
        </w:tc>
      </w:tr>
      <w:bookmarkEnd w:id="40"/>
    </w:tbl>
    <w:p>
      <w:pPr>
        <w:jc w:val="both"/>
        <w:rPr>
          <w:rFonts w:ascii="宋体" w:hAnsi="宋体" w:cs="仿宋"/>
          <w:b/>
          <w:sz w:val="28"/>
          <w:szCs w:val="28"/>
        </w:rPr>
      </w:pPr>
      <w:r>
        <w:rPr>
          <w:rFonts w:hint="eastAsia" w:ascii="宋体" w:hAnsi="宋体" w:cs="仿宋"/>
          <w:b/>
          <w:sz w:val="28"/>
          <w:szCs w:val="28"/>
        </w:rPr>
        <w:t xml:space="preserve"> </w:t>
      </w:r>
    </w:p>
    <w:p>
      <w:pPr>
        <w:pStyle w:val="45"/>
      </w:pPr>
    </w:p>
    <w:p>
      <w:pPr>
        <w:pStyle w:val="45"/>
        <w:ind w:firstLine="3373" w:firstLineChars="1400"/>
        <w:rPr>
          <w:rFonts w:hAnsi="宋体"/>
          <w:b/>
        </w:rPr>
      </w:pPr>
      <w:r>
        <w:rPr>
          <w:rFonts w:hint="eastAsia" w:hAnsi="宋体"/>
          <w:b/>
        </w:rPr>
        <w:t>商务、技术部分（</w:t>
      </w:r>
      <w:r>
        <w:rPr>
          <w:rFonts w:hint="eastAsia" w:hAnsi="宋体"/>
          <w:b/>
          <w:lang w:val="en-US" w:eastAsia="zh-CN"/>
        </w:rPr>
        <w:t>8</w:t>
      </w:r>
      <w:r>
        <w:rPr>
          <w:rFonts w:hint="eastAsia" w:hAnsi="宋体"/>
          <w:b/>
        </w:rPr>
        <w:t>0分）</w:t>
      </w:r>
    </w:p>
    <w:tbl>
      <w:tblPr>
        <w:tblStyle w:val="28"/>
        <w:tblpPr w:leftFromText="180" w:rightFromText="180" w:vertAnchor="text" w:horzAnchor="page" w:tblpX="708" w:tblpY="916"/>
        <w:tblOverlap w:val="never"/>
        <w:tblW w:w="10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84"/>
        <w:gridCol w:w="1701"/>
        <w:gridCol w:w="643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5" w:type="dxa"/>
            <w:vAlign w:val="center"/>
          </w:tcPr>
          <w:p>
            <w:pPr>
              <w:jc w:val="center"/>
              <w:rPr>
                <w:rFonts w:ascii="宋体" w:hAnsi="宋体" w:cs="仿宋"/>
                <w:bCs/>
                <w:szCs w:val="21"/>
              </w:rPr>
            </w:pPr>
            <w:bookmarkStart w:id="41" w:name="_Toc488827465"/>
            <w:r>
              <w:rPr>
                <w:rFonts w:hint="eastAsia" w:ascii="宋体" w:hAnsi="宋体" w:cs="仿宋"/>
                <w:bCs/>
                <w:szCs w:val="21"/>
              </w:rPr>
              <w:t>序号</w:t>
            </w:r>
          </w:p>
        </w:tc>
        <w:tc>
          <w:tcPr>
            <w:tcW w:w="2885" w:type="dxa"/>
            <w:gridSpan w:val="2"/>
            <w:vAlign w:val="center"/>
          </w:tcPr>
          <w:p>
            <w:pPr>
              <w:widowControl/>
              <w:jc w:val="center"/>
              <w:rPr>
                <w:rFonts w:ascii="宋体" w:hAnsi="宋体" w:cs="仿宋"/>
                <w:bCs/>
                <w:szCs w:val="21"/>
              </w:rPr>
            </w:pPr>
            <w:r>
              <w:rPr>
                <w:rFonts w:hint="eastAsia" w:ascii="宋体" w:hAnsi="宋体" w:cs="仿宋"/>
                <w:bCs/>
                <w:szCs w:val="21"/>
              </w:rPr>
              <w:t>评分内容</w:t>
            </w:r>
          </w:p>
        </w:tc>
        <w:tc>
          <w:tcPr>
            <w:tcW w:w="6437" w:type="dxa"/>
            <w:vAlign w:val="center"/>
          </w:tcPr>
          <w:p>
            <w:pPr>
              <w:widowControl/>
              <w:jc w:val="center"/>
              <w:rPr>
                <w:rFonts w:ascii="宋体" w:hAnsi="宋体" w:cs="仿宋"/>
                <w:bCs/>
                <w:szCs w:val="21"/>
              </w:rPr>
            </w:pPr>
            <w:r>
              <w:rPr>
                <w:rFonts w:hint="eastAsia" w:ascii="宋体" w:hAnsi="宋体" w:cs="仿宋"/>
                <w:bCs/>
                <w:szCs w:val="21"/>
              </w:rPr>
              <w:t>评分标准</w:t>
            </w:r>
          </w:p>
        </w:tc>
        <w:tc>
          <w:tcPr>
            <w:tcW w:w="934" w:type="dxa"/>
            <w:vAlign w:val="center"/>
          </w:tcPr>
          <w:p>
            <w:pPr>
              <w:widowControl/>
              <w:jc w:val="center"/>
              <w:rPr>
                <w:rFonts w:ascii="宋体" w:hAnsi="宋体" w:cs="仿宋"/>
                <w:bCs/>
                <w:szCs w:val="21"/>
              </w:rPr>
            </w:pPr>
            <w:r>
              <w:rPr>
                <w:rFonts w:hint="eastAsia" w:ascii="宋体" w:hAnsi="宋体" w:cs="仿宋"/>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25" w:type="dxa"/>
            <w:vAlign w:val="center"/>
          </w:tcPr>
          <w:p>
            <w:pPr>
              <w:spacing w:line="440" w:lineRule="exact"/>
              <w:jc w:val="center"/>
              <w:rPr>
                <w:rFonts w:hint="eastAsia" w:ascii="宋体" w:hAnsi="宋体" w:cs="仿宋" w:eastAsiaTheme="minorEastAsia"/>
                <w:bCs/>
                <w:szCs w:val="21"/>
                <w:lang w:val="en-US" w:eastAsia="zh-CN"/>
              </w:rPr>
            </w:pPr>
            <w:r>
              <w:rPr>
                <w:rFonts w:hint="eastAsia" w:ascii="宋体" w:hAnsi="宋体" w:cs="仿宋"/>
                <w:bCs/>
                <w:szCs w:val="21"/>
                <w:lang w:val="en-US" w:eastAsia="zh-CN"/>
              </w:rPr>
              <w:t>1</w:t>
            </w:r>
          </w:p>
        </w:tc>
        <w:tc>
          <w:tcPr>
            <w:tcW w:w="2885" w:type="dxa"/>
            <w:gridSpan w:val="2"/>
            <w:vAlign w:val="center"/>
          </w:tcPr>
          <w:p>
            <w:pPr>
              <w:spacing w:line="400" w:lineRule="exact"/>
              <w:jc w:val="center"/>
              <w:rPr>
                <w:rFonts w:hint="eastAsia" w:asciiTheme="minorHAnsi" w:hAnsiTheme="minorHAnsi" w:eastAsiaTheme="minorEastAsia" w:cstheme="minorBidi"/>
                <w:color w:val="auto"/>
                <w:kern w:val="2"/>
                <w:sz w:val="21"/>
                <w:szCs w:val="22"/>
                <w:lang w:eastAsia="zh-CN"/>
              </w:rPr>
            </w:pPr>
            <w:r>
              <w:rPr>
                <w:rFonts w:hint="eastAsia" w:ascii="宋体" w:hAnsi="宋体"/>
                <w:color w:val="000000"/>
                <w:highlight w:val="white"/>
              </w:rPr>
              <w:t>企业的基本概况</w:t>
            </w:r>
            <w:r>
              <w:rPr>
                <w:rFonts w:hint="eastAsia" w:ascii="宋体" w:hAnsi="宋体"/>
                <w:color w:val="000000"/>
                <w:highlight w:val="white"/>
                <w:lang w:eastAsia="zh-CN"/>
              </w:rPr>
              <w:t>（</w:t>
            </w:r>
            <w:r>
              <w:rPr>
                <w:rFonts w:hint="eastAsia" w:ascii="宋体" w:hAnsi="宋体"/>
                <w:color w:val="000000"/>
                <w:highlight w:val="white"/>
                <w:lang w:val="en-US" w:eastAsia="zh-CN"/>
              </w:rPr>
              <w:t>20分</w:t>
            </w:r>
            <w:r>
              <w:rPr>
                <w:rFonts w:hint="eastAsia" w:ascii="宋体" w:hAnsi="宋体"/>
                <w:color w:val="000000"/>
                <w:highlight w:val="white"/>
                <w:lang w:eastAsia="zh-CN"/>
              </w:rPr>
              <w:t>）</w:t>
            </w:r>
          </w:p>
        </w:tc>
        <w:tc>
          <w:tcPr>
            <w:tcW w:w="6437" w:type="dxa"/>
            <w:vAlign w:val="center"/>
          </w:tcPr>
          <w:p>
            <w:pPr>
              <w:spacing w:line="400" w:lineRule="exact"/>
              <w:rPr>
                <w:rFonts w:hint="eastAsia" w:ascii="宋体" w:hAnsi="宋体" w:cs="仿宋"/>
                <w:bCs/>
                <w:szCs w:val="21"/>
              </w:rPr>
            </w:pPr>
            <w:r>
              <w:rPr>
                <w:rFonts w:hint="eastAsia" w:ascii="宋体" w:hAnsi="宋体"/>
                <w:color w:val="000000"/>
                <w:highlight w:val="white"/>
              </w:rPr>
              <w:t>企业</w:t>
            </w:r>
            <w:r>
              <w:rPr>
                <w:rFonts w:hint="eastAsia" w:ascii="宋体" w:hAnsi="宋体"/>
                <w:color w:val="000000"/>
                <w:highlight w:val="white"/>
                <w:lang w:val="en-US" w:eastAsia="zh-CN"/>
              </w:rPr>
              <w:t>简介、</w:t>
            </w:r>
            <w:r>
              <w:rPr>
                <w:rFonts w:hint="eastAsia" w:ascii="宋体" w:hAnsi="宋体"/>
                <w:color w:val="000000"/>
                <w:highlight w:val="white"/>
              </w:rPr>
              <w:t>销售力量、</w:t>
            </w:r>
            <w:r>
              <w:rPr>
                <w:rFonts w:hint="eastAsia" w:ascii="宋体" w:hAnsi="宋体"/>
                <w:color w:val="000000"/>
                <w:highlight w:val="white"/>
                <w:lang w:val="en-US" w:eastAsia="zh-CN"/>
              </w:rPr>
              <w:t>基本框架、运作模式、</w:t>
            </w:r>
            <w:r>
              <w:rPr>
                <w:rFonts w:hint="eastAsia" w:ascii="宋体" w:hAnsi="宋体"/>
                <w:color w:val="000000"/>
                <w:highlight w:val="white"/>
              </w:rPr>
              <w:t>社会信誉、</w:t>
            </w:r>
            <w:r>
              <w:rPr>
                <w:rFonts w:hint="eastAsia" w:ascii="宋体" w:hAnsi="宋体"/>
                <w:color w:val="000000"/>
                <w:highlight w:val="white"/>
                <w:lang w:val="en-US" w:eastAsia="zh-CN"/>
              </w:rPr>
              <w:t>社会责任的承担等</w:t>
            </w:r>
            <w:r>
              <w:rPr>
                <w:rFonts w:hint="eastAsia" w:ascii="宋体" w:hAnsi="宋体"/>
                <w:color w:val="000000"/>
                <w:highlight w:val="white"/>
              </w:rPr>
              <w:t>；优得[</w:t>
            </w:r>
            <w:r>
              <w:rPr>
                <w:rFonts w:hint="eastAsia" w:ascii="宋体" w:hAnsi="宋体"/>
                <w:color w:val="000000"/>
                <w:highlight w:val="white"/>
                <w:lang w:val="en-US" w:eastAsia="zh-CN"/>
              </w:rPr>
              <w:t>13</w:t>
            </w:r>
            <w:r>
              <w:rPr>
                <w:rFonts w:hint="eastAsia" w:ascii="宋体" w:hAnsi="宋体"/>
                <w:color w:val="000000"/>
                <w:highlight w:val="white"/>
              </w:rPr>
              <w:t>-</w:t>
            </w:r>
            <w:r>
              <w:rPr>
                <w:rFonts w:hint="eastAsia" w:ascii="宋体" w:hAnsi="宋体"/>
                <w:color w:val="000000"/>
                <w:highlight w:val="white"/>
                <w:lang w:val="en-US" w:eastAsia="zh-CN"/>
              </w:rPr>
              <w:t>20</w:t>
            </w:r>
            <w:r>
              <w:rPr>
                <w:rFonts w:hint="eastAsia" w:ascii="宋体" w:hAnsi="宋体"/>
                <w:color w:val="000000"/>
                <w:highlight w:val="white"/>
              </w:rPr>
              <w:t xml:space="preserve">]分 </w:t>
            </w:r>
            <w:r>
              <w:rPr>
                <w:rFonts w:hint="eastAsia" w:ascii="宋体" w:hAnsi="宋体"/>
                <w:color w:val="000000"/>
                <w:highlight w:val="white"/>
                <w:lang w:eastAsia="zh-CN"/>
              </w:rPr>
              <w:t>、</w:t>
            </w:r>
            <w:r>
              <w:rPr>
                <w:rFonts w:hint="eastAsia" w:ascii="宋体" w:hAnsi="宋体"/>
                <w:color w:val="000000"/>
                <w:highlight w:val="white"/>
              </w:rPr>
              <w:t>一般</w:t>
            </w:r>
            <w:r>
              <w:rPr>
                <w:rFonts w:hint="eastAsia" w:ascii="宋体" w:hAnsi="宋体"/>
                <w:color w:val="000000"/>
                <w:highlight w:val="white"/>
                <w:lang w:val="en-US" w:eastAsia="zh-CN"/>
              </w:rPr>
              <w:t>得</w:t>
            </w:r>
            <w:r>
              <w:rPr>
                <w:rFonts w:hint="eastAsia" w:ascii="宋体" w:hAnsi="宋体"/>
                <w:color w:val="000000"/>
                <w:highlight w:val="white"/>
              </w:rPr>
              <w:t>[</w:t>
            </w:r>
            <w:r>
              <w:rPr>
                <w:rFonts w:hint="eastAsia" w:ascii="宋体" w:hAnsi="宋体"/>
                <w:color w:val="000000"/>
                <w:highlight w:val="white"/>
                <w:lang w:val="en-US" w:eastAsia="zh-CN"/>
              </w:rPr>
              <w:t>6</w:t>
            </w:r>
            <w:r>
              <w:rPr>
                <w:rFonts w:hint="eastAsia" w:ascii="宋体" w:hAnsi="宋体"/>
                <w:color w:val="000000"/>
                <w:highlight w:val="white"/>
              </w:rPr>
              <w:t>-</w:t>
            </w:r>
            <w:r>
              <w:rPr>
                <w:rFonts w:hint="eastAsia" w:ascii="宋体" w:hAnsi="宋体"/>
                <w:color w:val="000000"/>
                <w:highlight w:val="white"/>
                <w:lang w:val="en-US" w:eastAsia="zh-CN"/>
              </w:rPr>
              <w:t>13</w:t>
            </w:r>
            <w:r>
              <w:rPr>
                <w:rFonts w:hint="eastAsia" w:ascii="宋体" w:hAnsi="宋体"/>
                <w:color w:val="000000"/>
                <w:highlight w:val="white"/>
              </w:rPr>
              <w:t>）</w:t>
            </w:r>
            <w:r>
              <w:rPr>
                <w:rFonts w:hint="eastAsia" w:ascii="宋体" w:hAnsi="宋体"/>
                <w:color w:val="000000"/>
                <w:highlight w:val="white"/>
                <w:lang w:val="en-US" w:eastAsia="zh-CN"/>
              </w:rPr>
              <w:t>分</w:t>
            </w:r>
            <w:r>
              <w:rPr>
                <w:rFonts w:hint="eastAsia" w:ascii="宋体" w:hAnsi="宋体"/>
                <w:color w:val="000000"/>
                <w:highlight w:val="white"/>
              </w:rPr>
              <w:t>、较差得[0-</w:t>
            </w:r>
            <w:r>
              <w:rPr>
                <w:rFonts w:hint="eastAsia" w:ascii="宋体" w:hAnsi="宋体"/>
                <w:color w:val="000000"/>
                <w:highlight w:val="white"/>
                <w:lang w:val="en-US" w:eastAsia="zh-CN"/>
              </w:rPr>
              <w:t>6</w:t>
            </w:r>
            <w:r>
              <w:rPr>
                <w:rFonts w:hint="eastAsia" w:ascii="宋体" w:hAnsi="宋体"/>
                <w:color w:val="000000"/>
                <w:highlight w:val="white"/>
              </w:rPr>
              <w:t>）分。</w:t>
            </w:r>
          </w:p>
        </w:tc>
        <w:tc>
          <w:tcPr>
            <w:tcW w:w="934" w:type="dxa"/>
            <w:vAlign w:val="center"/>
          </w:tcPr>
          <w:p>
            <w:pPr>
              <w:widowControl/>
              <w:spacing w:line="440" w:lineRule="exact"/>
              <w:jc w:val="center"/>
              <w:rPr>
                <w:rFonts w:hint="default" w:ascii="宋体" w:hAnsi="宋体" w:cs="仿宋"/>
                <w:bCs/>
                <w:szCs w:val="21"/>
                <w:lang w:val="en-US" w:eastAsia="zh-CN"/>
              </w:rPr>
            </w:pPr>
            <w:r>
              <w:rPr>
                <w:rFonts w:hint="eastAsia" w:ascii="宋体" w:hAnsi="宋体" w:cs="仿宋"/>
                <w:bCs/>
                <w:szCs w:val="21"/>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25" w:type="dxa"/>
            <w:vAlign w:val="center"/>
          </w:tcPr>
          <w:p>
            <w:pPr>
              <w:spacing w:line="440" w:lineRule="exact"/>
              <w:jc w:val="center"/>
              <w:rPr>
                <w:rFonts w:hint="eastAsia" w:ascii="宋体" w:hAnsi="宋体" w:cs="仿宋" w:eastAsiaTheme="minorEastAsia"/>
                <w:bCs/>
                <w:szCs w:val="21"/>
                <w:lang w:eastAsia="zh-CN"/>
              </w:rPr>
            </w:pPr>
            <w:r>
              <w:rPr>
                <w:rFonts w:hint="eastAsia" w:ascii="宋体" w:hAnsi="宋体" w:cs="仿宋"/>
                <w:bCs/>
                <w:szCs w:val="21"/>
                <w:lang w:val="en-US" w:eastAsia="zh-CN"/>
              </w:rPr>
              <w:t>3</w:t>
            </w:r>
          </w:p>
        </w:tc>
        <w:tc>
          <w:tcPr>
            <w:tcW w:w="2885" w:type="dxa"/>
            <w:gridSpan w:val="2"/>
            <w:vAlign w:val="center"/>
          </w:tcPr>
          <w:p>
            <w:pPr>
              <w:widowControl/>
              <w:spacing w:line="440" w:lineRule="exact"/>
              <w:jc w:val="center"/>
            </w:pPr>
            <w:r>
              <w:rPr>
                <w:rFonts w:hint="eastAsia"/>
              </w:rPr>
              <w:t>拟投入项目人员</w:t>
            </w:r>
          </w:p>
          <w:p>
            <w:pPr>
              <w:pStyle w:val="45"/>
              <w:jc w:val="center"/>
            </w:pPr>
            <w:r>
              <w:rPr>
                <w:rFonts w:hint="eastAsia" w:hAnsi="宋体" w:cs="仿宋"/>
                <w:bCs/>
                <w:sz w:val="21"/>
                <w:szCs w:val="21"/>
              </w:rPr>
              <w:t>（</w:t>
            </w:r>
            <w:r>
              <w:rPr>
                <w:rFonts w:hint="eastAsia" w:hAnsi="宋体" w:cs="仿宋"/>
                <w:bCs/>
                <w:sz w:val="21"/>
                <w:szCs w:val="21"/>
                <w:lang w:val="en-US" w:eastAsia="zh-CN"/>
              </w:rPr>
              <w:t>15</w:t>
            </w:r>
            <w:r>
              <w:rPr>
                <w:rFonts w:hint="eastAsia" w:hAnsi="宋体" w:cs="仿宋"/>
                <w:bCs/>
                <w:sz w:val="21"/>
                <w:szCs w:val="21"/>
              </w:rPr>
              <w:t>分）</w:t>
            </w:r>
          </w:p>
        </w:tc>
        <w:tc>
          <w:tcPr>
            <w:tcW w:w="6437" w:type="dxa"/>
            <w:vAlign w:val="center"/>
          </w:tcPr>
          <w:p>
            <w:pPr>
              <w:widowControl/>
              <w:spacing w:line="440" w:lineRule="exact"/>
              <w:rPr>
                <w:rFonts w:ascii="宋体" w:hAnsi="宋体" w:cs="宋体"/>
                <w:kern w:val="0"/>
                <w:szCs w:val="21"/>
              </w:rPr>
            </w:pPr>
            <w:r>
              <w:rPr>
                <w:rFonts w:hint="eastAsia" w:ascii="宋体" w:hAnsi="宋体" w:cs="宋体"/>
                <w:kern w:val="0"/>
                <w:szCs w:val="21"/>
                <w:lang w:eastAsia="zh-CN"/>
              </w:rPr>
              <w:t>人员专业配置、机构岗位分工及职责划分；</w:t>
            </w:r>
            <w:r>
              <w:rPr>
                <w:rFonts w:hint="eastAsia" w:ascii="宋体" w:hAnsi="宋体"/>
                <w:color w:val="000000"/>
                <w:highlight w:val="white"/>
              </w:rPr>
              <w:t>优得[</w:t>
            </w:r>
            <w:r>
              <w:rPr>
                <w:rFonts w:hint="eastAsia" w:ascii="宋体" w:hAnsi="宋体"/>
                <w:color w:val="000000"/>
                <w:highlight w:val="white"/>
                <w:lang w:val="en-US" w:eastAsia="zh-CN"/>
              </w:rPr>
              <w:t>10</w:t>
            </w:r>
            <w:r>
              <w:rPr>
                <w:rFonts w:hint="eastAsia" w:ascii="宋体" w:hAnsi="宋体"/>
                <w:color w:val="000000"/>
                <w:highlight w:val="white"/>
              </w:rPr>
              <w:t>-</w:t>
            </w:r>
            <w:r>
              <w:rPr>
                <w:rFonts w:hint="eastAsia" w:ascii="宋体" w:hAnsi="宋体"/>
                <w:color w:val="000000"/>
                <w:highlight w:val="white"/>
                <w:lang w:val="en-US" w:eastAsia="zh-CN"/>
              </w:rPr>
              <w:t>15</w:t>
            </w:r>
            <w:r>
              <w:rPr>
                <w:rFonts w:hint="eastAsia" w:ascii="宋体" w:hAnsi="宋体"/>
                <w:color w:val="000000"/>
                <w:highlight w:val="white"/>
              </w:rPr>
              <w:t xml:space="preserve">]分 </w:t>
            </w:r>
            <w:r>
              <w:rPr>
                <w:rFonts w:hint="eastAsia" w:ascii="宋体" w:hAnsi="宋体"/>
                <w:color w:val="000000"/>
                <w:highlight w:val="white"/>
                <w:lang w:eastAsia="zh-CN"/>
              </w:rPr>
              <w:t>、</w:t>
            </w:r>
            <w:r>
              <w:rPr>
                <w:rFonts w:hint="eastAsia" w:ascii="宋体" w:hAnsi="宋体"/>
                <w:color w:val="000000"/>
                <w:highlight w:val="white"/>
              </w:rPr>
              <w:t>一般</w:t>
            </w:r>
            <w:r>
              <w:rPr>
                <w:rFonts w:hint="eastAsia" w:ascii="宋体" w:hAnsi="宋体"/>
                <w:color w:val="000000"/>
                <w:highlight w:val="white"/>
                <w:lang w:val="en-US" w:eastAsia="zh-CN"/>
              </w:rPr>
              <w:t>得</w:t>
            </w:r>
            <w:r>
              <w:rPr>
                <w:rFonts w:hint="eastAsia" w:ascii="宋体" w:hAnsi="宋体"/>
                <w:color w:val="000000"/>
                <w:highlight w:val="white"/>
              </w:rPr>
              <w:t>[</w:t>
            </w:r>
            <w:r>
              <w:rPr>
                <w:rFonts w:hint="eastAsia" w:ascii="宋体" w:hAnsi="宋体"/>
                <w:color w:val="000000"/>
                <w:highlight w:val="white"/>
                <w:lang w:val="en-US" w:eastAsia="zh-CN"/>
              </w:rPr>
              <w:t>5</w:t>
            </w:r>
            <w:r>
              <w:rPr>
                <w:rFonts w:hint="eastAsia" w:ascii="宋体" w:hAnsi="宋体"/>
                <w:color w:val="000000"/>
                <w:highlight w:val="white"/>
              </w:rPr>
              <w:t>-</w:t>
            </w:r>
            <w:r>
              <w:rPr>
                <w:rFonts w:hint="eastAsia" w:ascii="宋体" w:hAnsi="宋体"/>
                <w:color w:val="000000"/>
                <w:highlight w:val="white"/>
                <w:lang w:val="en-US" w:eastAsia="zh-CN"/>
              </w:rPr>
              <w:t>10</w:t>
            </w:r>
            <w:r>
              <w:rPr>
                <w:rFonts w:hint="eastAsia" w:ascii="宋体" w:hAnsi="宋体"/>
                <w:color w:val="000000"/>
                <w:highlight w:val="white"/>
              </w:rPr>
              <w:t>）</w:t>
            </w:r>
            <w:r>
              <w:rPr>
                <w:rFonts w:hint="eastAsia" w:ascii="宋体" w:hAnsi="宋体"/>
                <w:color w:val="000000"/>
                <w:highlight w:val="white"/>
                <w:lang w:val="en-US" w:eastAsia="zh-CN"/>
              </w:rPr>
              <w:t>分</w:t>
            </w:r>
            <w:r>
              <w:rPr>
                <w:rFonts w:hint="eastAsia" w:ascii="宋体" w:hAnsi="宋体"/>
                <w:color w:val="000000"/>
                <w:highlight w:val="white"/>
              </w:rPr>
              <w:t>、较差得[0-</w:t>
            </w:r>
            <w:r>
              <w:rPr>
                <w:rFonts w:hint="eastAsia" w:ascii="宋体" w:hAnsi="宋体"/>
                <w:color w:val="000000"/>
                <w:highlight w:val="white"/>
                <w:lang w:val="en-US" w:eastAsia="zh-CN"/>
              </w:rPr>
              <w:t>5</w:t>
            </w:r>
            <w:r>
              <w:rPr>
                <w:rFonts w:hint="eastAsia" w:ascii="宋体" w:hAnsi="宋体"/>
                <w:color w:val="000000"/>
                <w:highlight w:val="white"/>
              </w:rPr>
              <w:t>）分。</w:t>
            </w:r>
          </w:p>
        </w:tc>
        <w:tc>
          <w:tcPr>
            <w:tcW w:w="934" w:type="dxa"/>
          </w:tcPr>
          <w:p>
            <w:pPr>
              <w:spacing w:line="440" w:lineRule="exact"/>
              <w:ind w:firstLine="210" w:firstLineChars="100"/>
              <w:rPr>
                <w:rFonts w:asciiTheme="minorHAnsi" w:hAnsiTheme="minorHAnsi" w:eastAsiaTheme="minorEastAsia" w:cstheme="minorBidi"/>
                <w:kern w:val="2"/>
                <w:sz w:val="21"/>
                <w:szCs w:val="22"/>
                <w:lang w:val="en-US" w:eastAsia="zh-CN" w:bidi="ar-SA"/>
              </w:rPr>
            </w:pPr>
            <w:r>
              <w:rPr>
                <w:rFonts w:hint="eastAsia" w:ascii="宋体" w:hAnsi="宋体" w:cs="仿宋"/>
                <w:bCs/>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25" w:type="dxa"/>
            <w:vMerge w:val="restart"/>
            <w:vAlign w:val="center"/>
          </w:tcPr>
          <w:p>
            <w:pPr>
              <w:spacing w:line="440" w:lineRule="exact"/>
              <w:jc w:val="center"/>
              <w:rPr>
                <w:rFonts w:ascii="宋体" w:hAnsi="宋体" w:cs="仿宋"/>
                <w:bCs/>
                <w:szCs w:val="21"/>
              </w:rPr>
            </w:pPr>
          </w:p>
        </w:tc>
        <w:tc>
          <w:tcPr>
            <w:tcW w:w="1184" w:type="dxa"/>
            <w:vMerge w:val="restart"/>
            <w:vAlign w:val="center"/>
          </w:tcPr>
          <w:p>
            <w:pPr>
              <w:widowControl/>
              <w:spacing w:line="440" w:lineRule="exact"/>
              <w:jc w:val="center"/>
              <w:rPr>
                <w:rFonts w:hint="default" w:ascii="宋体" w:hAnsi="宋体" w:cs="仿宋" w:eastAsiaTheme="minorEastAsia"/>
                <w:bCs/>
                <w:szCs w:val="21"/>
                <w:lang w:val="en-US" w:eastAsia="zh-CN"/>
              </w:rPr>
            </w:pPr>
            <w:r>
              <w:rPr>
                <w:rFonts w:hint="eastAsia" w:ascii="宋体" w:hAnsi="宋体" w:cs="仿宋"/>
                <w:bCs/>
                <w:szCs w:val="21"/>
                <w:lang w:val="en-US" w:eastAsia="zh-CN"/>
              </w:rPr>
              <w:t>技术方案(35分)</w:t>
            </w:r>
          </w:p>
        </w:tc>
        <w:tc>
          <w:tcPr>
            <w:tcW w:w="1701" w:type="dxa"/>
            <w:vAlign w:val="center"/>
          </w:tcPr>
          <w:p>
            <w:pPr>
              <w:widowControl/>
              <w:spacing w:line="440" w:lineRule="exact"/>
              <w:jc w:val="center"/>
              <w:rPr>
                <w:rFonts w:ascii="宋体" w:hAnsi="宋体" w:cs="仿宋"/>
                <w:bCs/>
                <w:szCs w:val="21"/>
              </w:rPr>
            </w:pPr>
            <w:r>
              <w:rPr>
                <w:rFonts w:hint="eastAsia" w:ascii="宋体" w:hAnsi="宋体" w:cs="仿宋"/>
                <w:bCs/>
                <w:szCs w:val="21"/>
              </w:rPr>
              <w:t>整体</w:t>
            </w:r>
            <w:r>
              <w:rPr>
                <w:rFonts w:hint="eastAsia" w:ascii="宋体" w:hAnsi="宋体" w:cs="仿宋"/>
                <w:bCs/>
                <w:szCs w:val="21"/>
                <w:lang w:val="en-US" w:eastAsia="zh-CN"/>
              </w:rPr>
              <w:t>销售</w:t>
            </w:r>
            <w:r>
              <w:rPr>
                <w:rFonts w:hint="eastAsia" w:ascii="宋体" w:hAnsi="宋体" w:cs="仿宋"/>
                <w:bCs/>
                <w:szCs w:val="21"/>
              </w:rPr>
              <w:t>方案</w:t>
            </w:r>
          </w:p>
        </w:tc>
        <w:tc>
          <w:tcPr>
            <w:tcW w:w="6437" w:type="dxa"/>
            <w:vAlign w:val="center"/>
          </w:tcPr>
          <w:p>
            <w:pPr>
              <w:spacing w:line="440" w:lineRule="exact"/>
              <w:rPr>
                <w:rFonts w:hint="eastAsia" w:ascii="宋体" w:hAnsi="宋体" w:cs="仿宋"/>
                <w:bCs/>
                <w:szCs w:val="21"/>
              </w:rPr>
            </w:pPr>
            <w:r>
              <w:rPr>
                <w:rFonts w:hint="eastAsia" w:ascii="宋体" w:hAnsi="宋体" w:cs="仿宋"/>
                <w:bCs/>
                <w:szCs w:val="21"/>
                <w:lang w:eastAsia="zh-CN"/>
              </w:rPr>
              <w:t>销售</w:t>
            </w:r>
            <w:r>
              <w:rPr>
                <w:rFonts w:hint="eastAsia" w:ascii="宋体" w:hAnsi="宋体" w:cs="仿宋"/>
                <w:bCs/>
                <w:szCs w:val="21"/>
              </w:rPr>
              <w:t>服务实施方案表述清晰、详细、合理、针对性强；</w:t>
            </w:r>
          </w:p>
          <w:p>
            <w:pPr>
              <w:spacing w:line="440" w:lineRule="exact"/>
              <w:rPr>
                <w:rFonts w:hint="eastAsia" w:ascii="宋体" w:hAnsi="宋体" w:cs="仿宋"/>
                <w:bCs/>
                <w:szCs w:val="21"/>
                <w:lang w:val="en-US" w:eastAsia="zh-CN"/>
              </w:rPr>
            </w:pPr>
            <w:r>
              <w:rPr>
                <w:rFonts w:hint="eastAsia" w:ascii="宋体" w:hAnsi="宋体" w:cs="仿宋"/>
                <w:bCs/>
                <w:szCs w:val="21"/>
                <w:lang w:val="en-US" w:eastAsia="zh-CN"/>
              </w:rPr>
              <w:t>方案包括但不限于以下内容；</w:t>
            </w:r>
          </w:p>
          <w:p>
            <w:pPr>
              <w:spacing w:line="440" w:lineRule="exact"/>
              <w:rPr>
                <w:rFonts w:hint="eastAsia" w:ascii="宋体" w:hAnsi="宋体" w:cs="仿宋"/>
                <w:bCs/>
                <w:szCs w:val="21"/>
                <w:lang w:val="en-US" w:eastAsia="zh-CN"/>
              </w:rPr>
            </w:pPr>
            <w:r>
              <w:rPr>
                <w:rFonts w:hint="eastAsia" w:ascii="宋体" w:hAnsi="宋体" w:cs="仿宋"/>
                <w:bCs/>
                <w:szCs w:val="21"/>
                <w:lang w:val="en-US" w:eastAsia="zh-CN"/>
              </w:rPr>
              <w:t>1、项目市场定位，消费人群分析，潜在客户市场调查分析；</w:t>
            </w:r>
          </w:p>
          <w:p>
            <w:pPr>
              <w:numPr>
                <w:ilvl w:val="0"/>
                <w:numId w:val="3"/>
              </w:numPr>
              <w:spacing w:line="440" w:lineRule="exact"/>
              <w:rPr>
                <w:rFonts w:hint="eastAsia" w:ascii="宋体" w:hAnsi="宋体" w:cs="仿宋"/>
                <w:bCs/>
                <w:szCs w:val="21"/>
                <w:lang w:val="en-US" w:eastAsia="zh-CN"/>
              </w:rPr>
            </w:pPr>
            <w:r>
              <w:rPr>
                <w:rFonts w:hint="eastAsia" w:ascii="宋体" w:hAnsi="宋体" w:cs="仿宋"/>
                <w:bCs/>
                <w:szCs w:val="21"/>
                <w:lang w:val="en-US" w:eastAsia="zh-CN"/>
              </w:rPr>
              <w:t>项目及周边路段、住宅、环境状况分析；</w:t>
            </w:r>
          </w:p>
          <w:p>
            <w:pPr>
              <w:numPr>
                <w:ilvl w:val="0"/>
                <w:numId w:val="3"/>
              </w:numPr>
              <w:spacing w:line="440" w:lineRule="exact"/>
              <w:ind w:left="0" w:leftChars="0" w:firstLine="0" w:firstLineChars="0"/>
              <w:rPr>
                <w:rFonts w:hint="eastAsia" w:ascii="宋体" w:hAnsi="宋体" w:cs="仿宋"/>
                <w:bCs/>
                <w:szCs w:val="21"/>
                <w:lang w:val="en-US" w:eastAsia="zh-CN"/>
              </w:rPr>
            </w:pPr>
            <w:r>
              <w:rPr>
                <w:rFonts w:hint="eastAsia" w:ascii="宋体" w:hAnsi="宋体" w:cs="仿宋"/>
                <w:bCs/>
                <w:szCs w:val="21"/>
                <w:lang w:val="en-US" w:eastAsia="zh-CN"/>
              </w:rPr>
              <w:t>项目销售总体策略、阶段性销售计划；</w:t>
            </w:r>
          </w:p>
          <w:p>
            <w:pPr>
              <w:numPr>
                <w:ilvl w:val="0"/>
                <w:numId w:val="0"/>
              </w:numPr>
              <w:spacing w:line="440" w:lineRule="exact"/>
              <w:ind w:leftChars="0"/>
              <w:rPr>
                <w:rFonts w:hint="default" w:ascii="宋体" w:hAnsi="宋体" w:cs="仿宋" w:eastAsiaTheme="minorEastAsia"/>
                <w:bCs/>
                <w:szCs w:val="21"/>
                <w:lang w:val="en-US" w:eastAsia="zh-CN"/>
              </w:rPr>
            </w:pPr>
            <w:r>
              <w:rPr>
                <w:rFonts w:hint="eastAsia" w:ascii="宋体" w:hAnsi="宋体" w:cs="仿宋"/>
                <w:bCs/>
                <w:szCs w:val="21"/>
                <w:lang w:val="en-US" w:eastAsia="zh-CN"/>
              </w:rPr>
              <w:t>4、项目销售推广渠道、广告宣传方案等。</w:t>
            </w:r>
          </w:p>
        </w:tc>
        <w:tc>
          <w:tcPr>
            <w:tcW w:w="934" w:type="dxa"/>
            <w:vAlign w:val="center"/>
          </w:tcPr>
          <w:p>
            <w:pPr>
              <w:spacing w:line="440" w:lineRule="exact"/>
              <w:jc w:val="center"/>
              <w:rPr>
                <w:rFonts w:ascii="宋体" w:hAnsi="宋体" w:cs="仿宋"/>
                <w:bCs/>
                <w:szCs w:val="21"/>
              </w:rPr>
            </w:pPr>
            <w:r>
              <w:rPr>
                <w:rFonts w:hint="eastAsia" w:ascii="宋体" w:hAnsi="宋体" w:cs="仿宋"/>
                <w:bCs/>
                <w:szCs w:val="21"/>
                <w:lang w:val="en-US" w:eastAsia="zh-CN"/>
              </w:rPr>
              <w:t>20</w:t>
            </w:r>
            <w:r>
              <w:rPr>
                <w:rFonts w:hint="eastAsia" w:ascii="宋体" w:hAnsi="宋体" w:cs="仿宋"/>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5" w:type="dxa"/>
            <w:vMerge w:val="continue"/>
            <w:vAlign w:val="center"/>
          </w:tcPr>
          <w:p>
            <w:pPr>
              <w:spacing w:line="440" w:lineRule="exact"/>
              <w:jc w:val="center"/>
              <w:rPr>
                <w:rFonts w:ascii="宋体" w:hAnsi="宋体" w:cs="仿宋"/>
                <w:bCs/>
                <w:szCs w:val="21"/>
              </w:rPr>
            </w:pPr>
          </w:p>
        </w:tc>
        <w:tc>
          <w:tcPr>
            <w:tcW w:w="1184" w:type="dxa"/>
            <w:vMerge w:val="continue"/>
            <w:vAlign w:val="center"/>
          </w:tcPr>
          <w:p>
            <w:pPr>
              <w:widowControl/>
              <w:spacing w:line="440" w:lineRule="exact"/>
              <w:jc w:val="center"/>
              <w:rPr>
                <w:rFonts w:ascii="宋体" w:hAnsi="宋体" w:cs="仿宋"/>
                <w:bCs/>
                <w:szCs w:val="21"/>
              </w:rPr>
            </w:pPr>
          </w:p>
        </w:tc>
        <w:tc>
          <w:tcPr>
            <w:tcW w:w="1701" w:type="dxa"/>
            <w:vAlign w:val="center"/>
          </w:tcPr>
          <w:p>
            <w:pPr>
              <w:widowControl/>
              <w:spacing w:line="440" w:lineRule="exact"/>
              <w:jc w:val="center"/>
              <w:rPr>
                <w:rFonts w:ascii="宋体" w:hAnsi="宋体" w:cs="仿宋"/>
                <w:bCs/>
                <w:szCs w:val="21"/>
              </w:rPr>
            </w:pPr>
            <w:r>
              <w:rPr>
                <w:rFonts w:hint="eastAsia" w:ascii="宋体" w:hAnsi="宋体" w:cs="仿宋"/>
                <w:bCs/>
                <w:szCs w:val="21"/>
              </w:rPr>
              <w:t>服务方式</w:t>
            </w:r>
          </w:p>
        </w:tc>
        <w:tc>
          <w:tcPr>
            <w:tcW w:w="6437" w:type="dxa"/>
            <w:vAlign w:val="center"/>
          </w:tcPr>
          <w:p>
            <w:pPr>
              <w:spacing w:line="440" w:lineRule="exact"/>
              <w:rPr>
                <w:rFonts w:ascii="宋体" w:hAnsi="宋体" w:cs="仿宋"/>
                <w:bCs/>
                <w:szCs w:val="21"/>
              </w:rPr>
            </w:pPr>
            <w:r>
              <w:rPr>
                <w:rFonts w:hint="eastAsia" w:ascii="宋体" w:hAnsi="宋体" w:cs="仿宋"/>
                <w:bCs/>
                <w:szCs w:val="21"/>
              </w:rPr>
              <w:t>服务方式是否对招标人有针对性、专业性（如能保证第一时间应对招标人发生的突发事件等），满意</w:t>
            </w:r>
            <w:r>
              <w:rPr>
                <w:rFonts w:hint="eastAsia" w:ascii="宋体" w:hAnsi="宋体" w:cs="仿宋"/>
                <w:bCs/>
                <w:szCs w:val="21"/>
                <w:lang w:val="en-US" w:eastAsia="zh-CN"/>
              </w:rPr>
              <w:t>7</w:t>
            </w:r>
            <w:r>
              <w:rPr>
                <w:rFonts w:hint="eastAsia" w:ascii="宋体" w:hAnsi="宋体" w:cs="仿宋"/>
                <w:bCs/>
                <w:szCs w:val="21"/>
              </w:rPr>
              <w:t>分；基本满意</w:t>
            </w:r>
            <w:r>
              <w:rPr>
                <w:rFonts w:hint="eastAsia" w:ascii="宋体" w:hAnsi="宋体" w:cs="仿宋"/>
                <w:bCs/>
                <w:szCs w:val="21"/>
                <w:lang w:val="en-US" w:eastAsia="zh-CN"/>
              </w:rPr>
              <w:t>4</w:t>
            </w:r>
            <w:r>
              <w:rPr>
                <w:rFonts w:hint="eastAsia" w:ascii="宋体" w:hAnsi="宋体" w:cs="仿宋"/>
                <w:bCs/>
                <w:szCs w:val="21"/>
              </w:rPr>
              <w:t>分；不满意0分；</w:t>
            </w:r>
          </w:p>
        </w:tc>
        <w:tc>
          <w:tcPr>
            <w:tcW w:w="934" w:type="dxa"/>
            <w:vAlign w:val="center"/>
          </w:tcPr>
          <w:p>
            <w:pPr>
              <w:spacing w:line="440" w:lineRule="exact"/>
              <w:jc w:val="center"/>
              <w:rPr>
                <w:rFonts w:ascii="宋体" w:hAnsi="宋体" w:cs="仿宋"/>
                <w:bCs/>
                <w:szCs w:val="21"/>
              </w:rPr>
            </w:pPr>
            <w:r>
              <w:rPr>
                <w:rFonts w:hint="eastAsia" w:ascii="宋体" w:hAnsi="宋体" w:cs="仿宋"/>
                <w:bCs/>
                <w:szCs w:val="21"/>
                <w:lang w:val="en-US" w:eastAsia="zh-CN"/>
              </w:rPr>
              <w:t>7</w:t>
            </w:r>
            <w:r>
              <w:rPr>
                <w:rFonts w:hint="eastAsia" w:ascii="宋体" w:hAnsi="宋体" w:cs="仿宋"/>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25" w:type="dxa"/>
            <w:vMerge w:val="continue"/>
            <w:vAlign w:val="center"/>
          </w:tcPr>
          <w:p>
            <w:pPr>
              <w:spacing w:line="440" w:lineRule="exact"/>
              <w:jc w:val="center"/>
              <w:rPr>
                <w:rFonts w:ascii="宋体" w:hAnsi="宋体" w:cs="仿宋"/>
                <w:bCs/>
                <w:szCs w:val="21"/>
              </w:rPr>
            </w:pPr>
          </w:p>
        </w:tc>
        <w:tc>
          <w:tcPr>
            <w:tcW w:w="1184" w:type="dxa"/>
            <w:vMerge w:val="continue"/>
            <w:vAlign w:val="center"/>
          </w:tcPr>
          <w:p>
            <w:pPr>
              <w:widowControl/>
              <w:spacing w:line="440" w:lineRule="exact"/>
              <w:jc w:val="center"/>
              <w:rPr>
                <w:rFonts w:ascii="宋体" w:hAnsi="宋体" w:cs="仿宋"/>
                <w:bCs/>
                <w:szCs w:val="21"/>
              </w:rPr>
            </w:pPr>
          </w:p>
        </w:tc>
        <w:tc>
          <w:tcPr>
            <w:tcW w:w="1701" w:type="dxa"/>
            <w:vAlign w:val="center"/>
          </w:tcPr>
          <w:p>
            <w:pPr>
              <w:widowControl/>
              <w:spacing w:line="440" w:lineRule="exact"/>
              <w:jc w:val="center"/>
              <w:rPr>
                <w:rFonts w:ascii="宋体" w:hAnsi="宋体" w:cs="仿宋"/>
                <w:bCs/>
                <w:szCs w:val="21"/>
              </w:rPr>
            </w:pPr>
            <w:r>
              <w:rPr>
                <w:rFonts w:hint="eastAsia" w:ascii="宋体" w:hAnsi="宋体" w:cs="仿宋"/>
                <w:bCs/>
                <w:szCs w:val="21"/>
              </w:rPr>
              <w:t>其他内容</w:t>
            </w:r>
          </w:p>
        </w:tc>
        <w:tc>
          <w:tcPr>
            <w:tcW w:w="6437" w:type="dxa"/>
            <w:vAlign w:val="center"/>
          </w:tcPr>
          <w:p>
            <w:pPr>
              <w:widowControl/>
              <w:jc w:val="left"/>
              <w:rPr>
                <w:rFonts w:ascii="宋体" w:hAnsi="宋体" w:cs="仿宋"/>
                <w:bCs/>
                <w:szCs w:val="21"/>
              </w:rPr>
            </w:pPr>
            <w:r>
              <w:rPr>
                <w:rFonts w:hint="eastAsia" w:ascii="宋体" w:hAnsi="宋体" w:cs="仿宋"/>
                <w:bCs/>
                <w:szCs w:val="21"/>
              </w:rPr>
              <w:t>1、针对项目设计出最佳规避及减少风险的能力；</w:t>
            </w:r>
            <w:r>
              <w:rPr>
                <w:rFonts w:hint="eastAsia" w:ascii="宋体" w:hAnsi="宋体" w:cs="仿宋"/>
                <w:bCs/>
                <w:szCs w:val="21"/>
              </w:rPr>
              <w:br w:type="textWrapping"/>
            </w:r>
            <w:r>
              <w:rPr>
                <w:rFonts w:hint="eastAsia" w:ascii="宋体" w:hAnsi="宋体" w:cs="仿宋"/>
                <w:bCs/>
                <w:szCs w:val="21"/>
              </w:rPr>
              <w:t>2、出现问题能及时提出解决方案；</w:t>
            </w:r>
            <w:r>
              <w:rPr>
                <w:rFonts w:hint="eastAsia" w:ascii="宋体" w:hAnsi="宋体" w:cs="仿宋"/>
                <w:bCs/>
                <w:szCs w:val="21"/>
              </w:rPr>
              <w:br w:type="textWrapping"/>
            </w:r>
            <w:r>
              <w:rPr>
                <w:rFonts w:hint="eastAsia" w:ascii="宋体" w:hAnsi="宋体" w:cs="仿宋"/>
                <w:bCs/>
                <w:szCs w:val="21"/>
              </w:rPr>
              <w:t>3、通过专业服务，降低风险及项目建设的成本；                                          4、其他。</w:t>
            </w:r>
          </w:p>
        </w:tc>
        <w:tc>
          <w:tcPr>
            <w:tcW w:w="934" w:type="dxa"/>
            <w:vAlign w:val="center"/>
          </w:tcPr>
          <w:p>
            <w:pPr>
              <w:spacing w:line="440" w:lineRule="exact"/>
              <w:jc w:val="center"/>
              <w:rPr>
                <w:rFonts w:ascii="宋体" w:hAnsi="宋体" w:cs="仿宋"/>
                <w:bCs/>
                <w:szCs w:val="21"/>
              </w:rPr>
            </w:pPr>
            <w:r>
              <w:rPr>
                <w:rFonts w:hint="eastAsia" w:ascii="宋体" w:hAnsi="宋体" w:cs="仿宋"/>
                <w:bCs/>
                <w:szCs w:val="21"/>
                <w:lang w:val="en-US" w:eastAsia="zh-CN"/>
              </w:rPr>
              <w:t>8</w:t>
            </w:r>
            <w:r>
              <w:rPr>
                <w:rFonts w:hint="eastAsia" w:ascii="宋体" w:hAnsi="宋体" w:cs="仿宋"/>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25" w:type="dxa"/>
            <w:vAlign w:val="center"/>
          </w:tcPr>
          <w:p>
            <w:pPr>
              <w:spacing w:line="440" w:lineRule="exact"/>
              <w:jc w:val="center"/>
              <w:rPr>
                <w:rFonts w:ascii="宋体" w:hAnsi="宋体" w:cs="仿宋"/>
                <w:bCs/>
                <w:szCs w:val="21"/>
              </w:rPr>
            </w:pPr>
            <w:r>
              <w:rPr>
                <w:rFonts w:ascii="宋体" w:hAnsi="宋体" w:cs="仿宋"/>
                <w:bCs/>
                <w:szCs w:val="21"/>
              </w:rPr>
              <w:t>5</w:t>
            </w:r>
          </w:p>
        </w:tc>
        <w:tc>
          <w:tcPr>
            <w:tcW w:w="2885" w:type="dxa"/>
            <w:gridSpan w:val="2"/>
            <w:vAlign w:val="center"/>
          </w:tcPr>
          <w:p>
            <w:pPr>
              <w:widowControl/>
              <w:spacing w:line="440" w:lineRule="exact"/>
              <w:jc w:val="center"/>
              <w:rPr>
                <w:szCs w:val="21"/>
              </w:rPr>
            </w:pPr>
            <w:r>
              <w:rPr>
                <w:rFonts w:hint="eastAsia"/>
                <w:szCs w:val="21"/>
              </w:rPr>
              <w:t>服务承诺</w:t>
            </w:r>
          </w:p>
          <w:p>
            <w:pPr>
              <w:pStyle w:val="45"/>
              <w:jc w:val="center"/>
              <w:rPr>
                <w:sz w:val="21"/>
                <w:szCs w:val="21"/>
              </w:rPr>
            </w:pPr>
            <w:r>
              <w:rPr>
                <w:rFonts w:hint="eastAsia" w:hAnsi="宋体" w:cs="仿宋"/>
                <w:bCs/>
                <w:sz w:val="21"/>
                <w:szCs w:val="21"/>
              </w:rPr>
              <w:t>（</w:t>
            </w:r>
            <w:r>
              <w:rPr>
                <w:rFonts w:hint="eastAsia" w:hAnsi="宋体" w:cs="仿宋"/>
                <w:bCs/>
                <w:sz w:val="21"/>
                <w:szCs w:val="21"/>
                <w:lang w:val="en-US" w:eastAsia="zh-CN"/>
              </w:rPr>
              <w:t>8</w:t>
            </w:r>
            <w:r>
              <w:rPr>
                <w:rFonts w:hint="eastAsia" w:hAnsi="宋体" w:cs="仿宋"/>
                <w:bCs/>
                <w:sz w:val="21"/>
                <w:szCs w:val="21"/>
              </w:rPr>
              <w:t>分）</w:t>
            </w:r>
          </w:p>
        </w:tc>
        <w:tc>
          <w:tcPr>
            <w:tcW w:w="6437" w:type="dxa"/>
            <w:vAlign w:val="center"/>
          </w:tcPr>
          <w:p>
            <w:pPr>
              <w:spacing w:line="440" w:lineRule="exact"/>
              <w:rPr>
                <w:rFonts w:ascii="宋体" w:hAnsi="宋体" w:cs="仿宋"/>
                <w:bCs/>
                <w:szCs w:val="21"/>
              </w:rPr>
            </w:pPr>
            <w:r>
              <w:rPr>
                <w:rFonts w:hint="eastAsia" w:ascii="宋体" w:hAnsi="宋体" w:cs="仿宋"/>
                <w:bCs/>
                <w:szCs w:val="21"/>
              </w:rPr>
              <w:t>具有具体充实的服务承诺；有具体的工作部署和安排，根据工作需求提供主场工作人员等服务承诺的，</w:t>
            </w:r>
            <w:r>
              <w:rPr>
                <w:rFonts w:hint="eastAsia" w:ascii="宋体" w:hAnsi="宋体"/>
                <w:szCs w:val="21"/>
              </w:rPr>
              <w:t>根据所提供内容分以下四档打分：优(</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8</w:t>
            </w:r>
            <w:r>
              <w:rPr>
                <w:rFonts w:hint="eastAsia" w:ascii="宋体" w:hAnsi="宋体"/>
                <w:szCs w:val="21"/>
              </w:rPr>
              <w:t>分)；良(</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5</w:t>
            </w:r>
            <w:r>
              <w:rPr>
                <w:rFonts w:hint="eastAsia" w:ascii="宋体" w:hAnsi="宋体"/>
                <w:szCs w:val="21"/>
              </w:rPr>
              <w:t>分)；中(</w:t>
            </w:r>
            <w:r>
              <w:rPr>
                <w:rFonts w:hint="eastAsia" w:ascii="宋体" w:hAnsi="宋体"/>
                <w:szCs w:val="21"/>
                <w:lang w:val="en-US" w:eastAsia="zh-CN"/>
              </w:rPr>
              <w:t>2</w:t>
            </w:r>
            <w:r>
              <w:rPr>
                <w:rFonts w:hint="eastAsia" w:ascii="宋体" w:hAnsi="宋体"/>
                <w:szCs w:val="21"/>
              </w:rPr>
              <w:t>分)；差(0分)（得差0分值为无此项说明）。</w:t>
            </w:r>
          </w:p>
        </w:tc>
        <w:tc>
          <w:tcPr>
            <w:tcW w:w="934" w:type="dxa"/>
            <w:vAlign w:val="center"/>
          </w:tcPr>
          <w:p>
            <w:pPr>
              <w:spacing w:line="440" w:lineRule="exact"/>
              <w:jc w:val="center"/>
              <w:rPr>
                <w:rFonts w:ascii="宋体" w:hAnsi="宋体" w:cs="仿宋"/>
                <w:bCs/>
                <w:szCs w:val="21"/>
              </w:rPr>
            </w:pPr>
            <w:r>
              <w:rPr>
                <w:rFonts w:hint="eastAsia" w:ascii="宋体" w:hAnsi="宋体" w:cs="仿宋"/>
                <w:bCs/>
                <w:szCs w:val="21"/>
                <w:lang w:val="en-US" w:eastAsia="zh-CN"/>
              </w:rPr>
              <w:t>8</w:t>
            </w:r>
            <w:r>
              <w:rPr>
                <w:rFonts w:hint="eastAsia" w:ascii="宋体" w:hAnsi="宋体" w:cs="仿宋"/>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25" w:type="dxa"/>
            <w:vAlign w:val="center"/>
          </w:tcPr>
          <w:p>
            <w:pPr>
              <w:spacing w:line="440" w:lineRule="exact"/>
              <w:jc w:val="center"/>
              <w:rPr>
                <w:rFonts w:ascii="宋体" w:hAnsi="宋体" w:cs="仿宋"/>
                <w:bCs/>
                <w:szCs w:val="21"/>
              </w:rPr>
            </w:pPr>
            <w:r>
              <w:rPr>
                <w:rFonts w:ascii="宋体" w:hAnsi="宋体" w:cs="仿宋"/>
                <w:bCs/>
                <w:szCs w:val="21"/>
              </w:rPr>
              <w:t>6</w:t>
            </w:r>
          </w:p>
        </w:tc>
        <w:tc>
          <w:tcPr>
            <w:tcW w:w="2885" w:type="dxa"/>
            <w:gridSpan w:val="2"/>
            <w:vAlign w:val="center"/>
          </w:tcPr>
          <w:p>
            <w:pPr>
              <w:widowControl/>
              <w:spacing w:line="440" w:lineRule="exact"/>
              <w:jc w:val="center"/>
              <w:rPr>
                <w:szCs w:val="21"/>
              </w:rPr>
            </w:pPr>
            <w:r>
              <w:rPr>
                <w:rFonts w:hint="eastAsia"/>
                <w:szCs w:val="21"/>
              </w:rPr>
              <w:t>标函质量</w:t>
            </w:r>
          </w:p>
          <w:p>
            <w:pPr>
              <w:pStyle w:val="45"/>
              <w:jc w:val="center"/>
              <w:rPr>
                <w:sz w:val="21"/>
                <w:szCs w:val="21"/>
              </w:rPr>
            </w:pPr>
            <w:r>
              <w:rPr>
                <w:rFonts w:hint="eastAsia" w:hAnsi="宋体" w:cs="仿宋"/>
                <w:bCs/>
                <w:sz w:val="21"/>
                <w:szCs w:val="21"/>
              </w:rPr>
              <w:t>（2分）</w:t>
            </w:r>
          </w:p>
        </w:tc>
        <w:tc>
          <w:tcPr>
            <w:tcW w:w="6437" w:type="dxa"/>
            <w:vAlign w:val="center"/>
          </w:tcPr>
          <w:p>
            <w:pPr>
              <w:spacing w:line="440" w:lineRule="exact"/>
              <w:rPr>
                <w:rFonts w:ascii="宋体" w:hAnsi="宋体" w:cs="仿宋"/>
                <w:bCs/>
                <w:szCs w:val="21"/>
              </w:rPr>
            </w:pPr>
            <w:r>
              <w:rPr>
                <w:rFonts w:hint="eastAsia" w:ascii="宋体" w:hAnsi="宋体" w:cs="仿宋"/>
                <w:bCs/>
                <w:szCs w:val="21"/>
              </w:rPr>
              <w:t>标函编制内容完整、</w:t>
            </w:r>
            <w:r>
              <w:rPr>
                <w:rFonts w:ascii="宋体" w:hAnsi="宋体" w:cs="仿宋"/>
                <w:bCs/>
                <w:szCs w:val="21"/>
              </w:rPr>
              <w:t>齐全</w:t>
            </w:r>
            <w:r>
              <w:rPr>
                <w:rFonts w:hint="eastAsia" w:ascii="宋体" w:hAnsi="宋体" w:cs="仿宋"/>
                <w:bCs/>
                <w:szCs w:val="21"/>
              </w:rPr>
              <w:t>、</w:t>
            </w:r>
            <w:r>
              <w:rPr>
                <w:rFonts w:ascii="宋体" w:hAnsi="宋体" w:cs="仿宋"/>
                <w:bCs/>
                <w:szCs w:val="21"/>
              </w:rPr>
              <w:t>叙述</w:t>
            </w:r>
            <w:r>
              <w:rPr>
                <w:rFonts w:hint="eastAsia" w:ascii="宋体" w:hAnsi="宋体" w:cs="仿宋"/>
                <w:bCs/>
                <w:szCs w:val="21"/>
              </w:rPr>
              <w:t>严谨、</w:t>
            </w:r>
            <w:r>
              <w:rPr>
                <w:rFonts w:ascii="宋体" w:hAnsi="宋体" w:cs="仿宋"/>
                <w:bCs/>
                <w:szCs w:val="21"/>
              </w:rPr>
              <w:t>标书</w:t>
            </w:r>
            <w:r>
              <w:rPr>
                <w:rFonts w:hint="eastAsia" w:ascii="宋体" w:hAnsi="宋体" w:cs="仿宋"/>
                <w:bCs/>
                <w:szCs w:val="21"/>
              </w:rPr>
              <w:t>无涂改、错页、</w:t>
            </w:r>
            <w:r>
              <w:rPr>
                <w:rFonts w:ascii="宋体" w:hAnsi="宋体" w:cs="仿宋"/>
                <w:bCs/>
                <w:szCs w:val="21"/>
              </w:rPr>
              <w:t>漏</w:t>
            </w:r>
            <w:r>
              <w:rPr>
                <w:rFonts w:hint="eastAsia" w:ascii="宋体" w:hAnsi="宋体" w:cs="仿宋"/>
                <w:bCs/>
                <w:szCs w:val="21"/>
              </w:rPr>
              <w:t>页现象优秀的得2分，</w:t>
            </w:r>
            <w:r>
              <w:rPr>
                <w:rFonts w:ascii="宋体" w:hAnsi="宋体" w:cs="仿宋"/>
                <w:bCs/>
                <w:szCs w:val="21"/>
              </w:rPr>
              <w:t>一般</w:t>
            </w:r>
            <w:r>
              <w:rPr>
                <w:rFonts w:hint="eastAsia" w:ascii="宋体" w:hAnsi="宋体" w:cs="仿宋"/>
                <w:bCs/>
                <w:szCs w:val="21"/>
              </w:rPr>
              <w:t>的得1分，</w:t>
            </w:r>
            <w:r>
              <w:rPr>
                <w:rFonts w:ascii="宋体" w:hAnsi="宋体" w:cs="仿宋"/>
                <w:bCs/>
                <w:szCs w:val="21"/>
              </w:rPr>
              <w:t>较差</w:t>
            </w:r>
            <w:r>
              <w:rPr>
                <w:rFonts w:hint="eastAsia" w:ascii="宋体" w:hAnsi="宋体" w:cs="仿宋"/>
                <w:bCs/>
                <w:szCs w:val="21"/>
              </w:rPr>
              <w:t>不得分。</w:t>
            </w:r>
          </w:p>
        </w:tc>
        <w:tc>
          <w:tcPr>
            <w:tcW w:w="934" w:type="dxa"/>
            <w:vAlign w:val="center"/>
          </w:tcPr>
          <w:p>
            <w:pPr>
              <w:spacing w:line="440" w:lineRule="exact"/>
              <w:jc w:val="center"/>
              <w:rPr>
                <w:rFonts w:ascii="宋体" w:hAnsi="宋体" w:cs="仿宋"/>
                <w:bCs/>
                <w:szCs w:val="21"/>
              </w:rPr>
            </w:pPr>
            <w:r>
              <w:rPr>
                <w:rFonts w:hint="eastAsia" w:ascii="宋体" w:hAnsi="宋体" w:cs="仿宋"/>
                <w:bCs/>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681" w:type="dxa"/>
            <w:gridSpan w:val="5"/>
            <w:vAlign w:val="center"/>
          </w:tcPr>
          <w:p>
            <w:pPr>
              <w:spacing w:line="440" w:lineRule="exact"/>
              <w:jc w:val="center"/>
              <w:rPr>
                <w:rFonts w:hint="default" w:ascii="宋体" w:hAnsi="宋体" w:cs="仿宋" w:eastAsiaTheme="minorEastAsia"/>
                <w:bCs/>
                <w:szCs w:val="21"/>
                <w:lang w:val="en-US" w:eastAsia="zh-CN"/>
              </w:rPr>
            </w:pPr>
            <w:r>
              <w:rPr>
                <w:rFonts w:hint="eastAsia" w:ascii="宋体" w:hAnsi="宋体" w:cs="Arial"/>
                <w:kern w:val="0"/>
                <w:sz w:val="24"/>
              </w:rPr>
              <w:t>合计：</w:t>
            </w:r>
            <w:r>
              <w:rPr>
                <w:rFonts w:hint="eastAsia" w:ascii="宋体" w:hAnsi="宋体" w:cs="Arial"/>
                <w:kern w:val="0"/>
                <w:sz w:val="24"/>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681" w:type="dxa"/>
            <w:gridSpan w:val="5"/>
            <w:tcBorders>
              <w:top w:val="single" w:color="auto" w:sz="4" w:space="0"/>
              <w:left w:val="single" w:color="auto" w:sz="4" w:space="0"/>
              <w:bottom w:val="single" w:color="auto" w:sz="4" w:space="0"/>
              <w:right w:val="single" w:color="auto" w:sz="4" w:space="0"/>
            </w:tcBorders>
            <w:vAlign w:val="center"/>
          </w:tcPr>
          <w:p>
            <w:pPr>
              <w:numPr>
                <w:ilvl w:val="0"/>
                <w:numId w:val="4"/>
              </w:numPr>
              <w:spacing w:line="440" w:lineRule="exact"/>
              <w:rPr>
                <w:rFonts w:ascii="宋体" w:hAnsi="宋体" w:cs="仿宋"/>
                <w:bCs/>
                <w:szCs w:val="21"/>
              </w:rPr>
            </w:pPr>
            <w:r>
              <w:rPr>
                <w:rFonts w:hint="eastAsia" w:ascii="宋体" w:hAnsi="宋体" w:cs="仿宋"/>
                <w:bCs/>
                <w:szCs w:val="21"/>
              </w:rPr>
              <w:t>评委应在认真理解本招标文件和项目有关情况后，按上述内容对投标人进行评审。</w:t>
            </w:r>
          </w:p>
        </w:tc>
      </w:tr>
    </w:tbl>
    <w:p>
      <w:pPr>
        <w:tabs>
          <w:tab w:val="center" w:pos="4832"/>
          <w:tab w:val="left" w:pos="7140"/>
        </w:tabs>
        <w:spacing w:line="360" w:lineRule="auto"/>
        <w:ind w:firstLine="472" w:firstLineChars="196"/>
        <w:jc w:val="left"/>
        <w:outlineLvl w:val="1"/>
        <w:rPr>
          <w:rFonts w:ascii="宋体" w:hAnsi="宋体" w:eastAsia="宋体" w:cs="宋体"/>
          <w:b/>
          <w:sz w:val="24"/>
          <w:szCs w:val="24"/>
        </w:rPr>
      </w:pP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p>
    <w:p>
      <w:pPr>
        <w:pStyle w:val="43"/>
        <w:rPr>
          <w:rFonts w:ascii="宋体" w:hAnsi="宋体" w:eastAsia="宋体" w:cs="Arial"/>
          <w:b/>
          <w:bCs/>
          <w:color w:val="000000"/>
          <w:kern w:val="0"/>
          <w:sz w:val="24"/>
          <w:szCs w:val="24"/>
        </w:rPr>
      </w:pPr>
    </w:p>
    <w:p>
      <w:pPr>
        <w:pStyle w:val="43"/>
        <w:rPr>
          <w:rFonts w:ascii="宋体" w:hAnsi="宋体" w:eastAsia="宋体" w:cs="Arial"/>
          <w:b/>
          <w:bCs/>
          <w:color w:val="000000"/>
          <w:kern w:val="0"/>
          <w:sz w:val="24"/>
          <w:szCs w:val="24"/>
        </w:rPr>
      </w:pP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1. 评标方法</w:t>
      </w:r>
      <w:bookmarkEnd w:id="41"/>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本次评标采用综合评估法。评标委员会对满足招标文件实质性要求的投标文件，按照本章规定的评审标准进行评审，并按得分由高到低顺序推荐中标候选人。评标中各评委若发生意见分歧，以少数服从多数原则确定。</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42" w:name="_Toc488827466"/>
      <w:r>
        <w:rPr>
          <w:rFonts w:hint="eastAsia" w:ascii="宋体" w:hAnsi="宋体" w:eastAsia="宋体" w:cs="Arial"/>
          <w:b/>
          <w:bCs/>
          <w:color w:val="000000"/>
          <w:kern w:val="0"/>
          <w:sz w:val="24"/>
          <w:szCs w:val="24"/>
        </w:rPr>
        <w:t>2. 评审标准</w:t>
      </w:r>
      <w:bookmarkEnd w:id="42"/>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2.1 资格审查标准：评审因素和评审标准见《资格审查标准》。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2.2 </w:t>
      </w:r>
      <w:r>
        <w:rPr>
          <w:rFonts w:hint="eastAsia" w:ascii="宋体" w:hAnsi="宋体" w:eastAsia="宋体" w:cs="Arial"/>
          <w:color w:val="000000"/>
          <w:kern w:val="0"/>
          <w:sz w:val="24"/>
          <w:szCs w:val="24"/>
        </w:rPr>
        <w:t>初步评审标准：评审因素和评审标准见《初步评审标准》。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2.3 </w:t>
      </w:r>
      <w:r>
        <w:rPr>
          <w:rFonts w:hint="eastAsia" w:ascii="宋体" w:hAnsi="宋体" w:eastAsia="宋体" w:cs="Arial"/>
          <w:color w:val="000000"/>
          <w:kern w:val="0"/>
          <w:sz w:val="24"/>
          <w:szCs w:val="24"/>
        </w:rPr>
        <w:t>详细评审标准：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2.3.1</w:t>
      </w:r>
      <w:r>
        <w:rPr>
          <w:rFonts w:hint="eastAsia" w:ascii="宋体" w:hAnsi="宋体" w:eastAsia="宋体" w:cs="Arial"/>
          <w:color w:val="000000"/>
          <w:kern w:val="0"/>
          <w:sz w:val="24"/>
          <w:szCs w:val="24"/>
        </w:rPr>
        <w:t>详细评审标准：评审因素和评审标准见《详细评审标准》。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2.3.2 </w:t>
      </w:r>
      <w:r>
        <w:rPr>
          <w:rFonts w:hint="eastAsia" w:ascii="宋体" w:hAnsi="宋体" w:eastAsia="宋体" w:cs="Arial"/>
          <w:color w:val="000000"/>
          <w:kern w:val="0"/>
          <w:sz w:val="24"/>
          <w:szCs w:val="24"/>
        </w:rPr>
        <w:t>投标报价评分标准：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）分值构成及权重：见评标办法前附表。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）评标基准价计算：见评标办法前附表。</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（3）投标报价的偏差率计算：见评标办法前附表。</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（4）投标报价得分的计算：见评标办法前附表。</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43" w:name="_Toc488827467"/>
      <w:r>
        <w:rPr>
          <w:rFonts w:hint="eastAsia" w:ascii="宋体" w:hAnsi="宋体" w:eastAsia="宋体" w:cs="Arial"/>
          <w:b/>
          <w:bCs/>
          <w:color w:val="000000"/>
          <w:kern w:val="0"/>
          <w:sz w:val="24"/>
          <w:szCs w:val="24"/>
        </w:rPr>
        <w:t>3. 评标程序</w:t>
      </w:r>
      <w:bookmarkEnd w:id="43"/>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3.1 基本程序</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评标活动将按以下步骤进行：</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（1）评标准备</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（2）资格审查</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（3）初步评审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）详细评审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）澄清、说明或补正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）推荐中标候选人及提交评标报告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 </w:t>
      </w:r>
      <w:r>
        <w:rPr>
          <w:rFonts w:hint="eastAsia" w:ascii="宋体" w:hAnsi="宋体" w:eastAsia="宋体" w:cs="Arial"/>
          <w:color w:val="000000"/>
          <w:kern w:val="0"/>
          <w:sz w:val="24"/>
          <w:szCs w:val="24"/>
        </w:rPr>
        <w:t>评标准备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3.2.1</w:t>
      </w:r>
      <w:r>
        <w:rPr>
          <w:rFonts w:hint="eastAsia" w:ascii="宋体" w:hAnsi="宋体" w:eastAsia="宋体" w:cs="Arial"/>
          <w:color w:val="000000"/>
          <w:kern w:val="0"/>
          <w:sz w:val="24"/>
          <w:szCs w:val="24"/>
        </w:rPr>
        <w:t>评标委员会成员签到</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3.2.2 </w:t>
      </w:r>
      <w:r>
        <w:rPr>
          <w:rFonts w:hint="eastAsia" w:ascii="宋体" w:hAnsi="宋体" w:eastAsia="宋体" w:cs="Arial"/>
          <w:color w:val="000000"/>
          <w:kern w:val="0"/>
          <w:sz w:val="24"/>
          <w:szCs w:val="24"/>
        </w:rPr>
        <w:t>评标委员会的分工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3.2.2.1</w:t>
      </w:r>
      <w:r>
        <w:rPr>
          <w:rFonts w:hint="eastAsia" w:ascii="宋体" w:hAnsi="宋体" w:eastAsia="宋体" w:cs="Arial"/>
          <w:color w:val="000000"/>
          <w:kern w:val="0"/>
          <w:sz w:val="24"/>
          <w:szCs w:val="24"/>
        </w:rPr>
        <w:t>评标委员会首先推选一名评标委员会主任。评标委员会主任负责评标活动的组织领导工作。评标委员会主任与评标委员会其他成员具有同等的评标权力。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3.2.2.2 </w:t>
      </w:r>
      <w:r>
        <w:rPr>
          <w:rFonts w:hint="eastAsia" w:ascii="宋体" w:hAnsi="宋体" w:eastAsia="宋体" w:cs="Arial"/>
          <w:color w:val="000000"/>
          <w:kern w:val="0"/>
          <w:sz w:val="24"/>
          <w:szCs w:val="24"/>
        </w:rPr>
        <w:t>评标委员会主任除履行自己作为评标委员会成员独立评标的职责外，主要负责以下工作：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）组织评标委员会成员学习招标文件；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）汇总各评标委员会成员认为需要投标人澄清、说明或者补正的问题；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）组织评标委员会对投标人质询并对投标人的答复进行评审；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）对出现较大争议的事项进行书面记录；</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）组织对评标结论进行复核确认；</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7</w:t>
      </w:r>
      <w:r>
        <w:rPr>
          <w:rFonts w:hint="eastAsia" w:ascii="宋体" w:hAnsi="宋体" w:eastAsia="宋体" w:cs="Arial"/>
          <w:color w:val="000000"/>
          <w:kern w:val="0"/>
          <w:sz w:val="24"/>
          <w:szCs w:val="24"/>
        </w:rPr>
        <w:t>）组织编写评标报告。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3.2.3 </w:t>
      </w:r>
      <w:r>
        <w:rPr>
          <w:rFonts w:hint="eastAsia" w:ascii="宋体" w:hAnsi="宋体" w:eastAsia="宋体" w:cs="Arial"/>
          <w:color w:val="000000"/>
          <w:kern w:val="0"/>
          <w:sz w:val="24"/>
          <w:szCs w:val="24"/>
        </w:rPr>
        <w:t>熟悉文件资料</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3.2.3.1 </w:t>
      </w:r>
      <w:r>
        <w:rPr>
          <w:rFonts w:hint="eastAsia" w:ascii="宋体" w:hAnsi="宋体" w:eastAsia="宋体" w:cs="Arial"/>
          <w:color w:val="000000"/>
          <w:kern w:val="0"/>
          <w:sz w:val="24"/>
          <w:szCs w:val="24"/>
        </w:rPr>
        <w:t>评标委员会主任应当组织评标委员会成员认真研究招标文件，了解和熟悉招标目的、招标范围、主要条件、技术标准、质量标准和要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3.2.3.2 </w:t>
      </w:r>
      <w:r>
        <w:rPr>
          <w:rFonts w:hint="eastAsia" w:ascii="宋体" w:hAnsi="宋体" w:eastAsia="宋体" w:cs="Arial"/>
          <w:color w:val="000000"/>
          <w:kern w:val="0"/>
          <w:sz w:val="24"/>
          <w:szCs w:val="24"/>
        </w:rPr>
        <w:t>招标人或招标代理机构应当向评标委员会提供评标所需的信息和数据，包括：</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）招标文件及其澄清修改等招标文件补充；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）未在开标会上当场拒绝的各投标文件；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）开标会记录；</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）评标表格；</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）其他信息和数据。</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 </w:t>
      </w:r>
      <w:r>
        <w:rPr>
          <w:rFonts w:hint="eastAsia" w:ascii="宋体" w:hAnsi="宋体" w:eastAsia="宋体" w:cs="Arial"/>
          <w:color w:val="000000"/>
          <w:kern w:val="0"/>
          <w:sz w:val="24"/>
          <w:szCs w:val="24"/>
        </w:rPr>
        <w:t>资格审查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依据本章规定的评审因素和评审标准，对投标人的资格审查资料进行资格评审。资格审查有一项未通过审查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 </w:t>
      </w:r>
      <w:r>
        <w:rPr>
          <w:rFonts w:hint="eastAsia" w:ascii="宋体" w:hAnsi="宋体" w:eastAsia="宋体" w:cs="Arial"/>
          <w:color w:val="000000"/>
          <w:kern w:val="0"/>
          <w:sz w:val="24"/>
          <w:szCs w:val="24"/>
        </w:rPr>
        <w:t>初步评审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3.4.1 </w:t>
      </w:r>
      <w:r>
        <w:rPr>
          <w:rFonts w:hint="eastAsia" w:ascii="宋体" w:hAnsi="宋体" w:eastAsia="宋体" w:cs="Arial"/>
          <w:color w:val="000000"/>
          <w:kern w:val="0"/>
          <w:sz w:val="24"/>
          <w:szCs w:val="24"/>
        </w:rPr>
        <w:t>评标委员会依据本章规定的评审因素和评审标准，对投标人的投标文件进行符合性审查。初步评审有一项未通过审查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3.4.2 </w:t>
      </w:r>
      <w:r>
        <w:rPr>
          <w:rFonts w:hint="eastAsia" w:ascii="宋体" w:hAnsi="宋体" w:eastAsia="宋体" w:cs="Arial"/>
          <w:color w:val="000000"/>
          <w:kern w:val="0"/>
          <w:sz w:val="24"/>
          <w:szCs w:val="24"/>
        </w:rPr>
        <w:t>初步评审条款是指对本招标项目产生了重大影响的重大偏差，而且纠正此类偏差将会对响应本次招标的其他投标人的竞争地位产生不公正的影响。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3.4.3</w:t>
      </w:r>
      <w:r>
        <w:rPr>
          <w:rFonts w:hint="eastAsia" w:ascii="宋体" w:hAnsi="宋体" w:eastAsia="宋体" w:cs="Arial"/>
          <w:color w:val="000000"/>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 </w:t>
      </w:r>
      <w:r>
        <w:rPr>
          <w:rFonts w:hint="eastAsia" w:ascii="宋体" w:hAnsi="宋体" w:eastAsia="宋体" w:cs="Arial"/>
          <w:color w:val="000000"/>
          <w:kern w:val="0"/>
          <w:sz w:val="24"/>
          <w:szCs w:val="24"/>
        </w:rPr>
        <w:t>详细评审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3.5.1.</w:t>
      </w:r>
      <w:r>
        <w:rPr>
          <w:rFonts w:hint="eastAsia" w:ascii="宋体" w:hAnsi="宋体" w:eastAsia="宋体" w:cs="Arial"/>
          <w:color w:val="000000"/>
          <w:kern w:val="0"/>
          <w:sz w:val="24"/>
          <w:szCs w:val="24"/>
        </w:rPr>
        <w:t>只有通过了资格审查、初步评审的投标方可进入详细评审。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3.5.2 </w:t>
      </w:r>
      <w:r>
        <w:rPr>
          <w:rFonts w:hint="eastAsia" w:ascii="宋体" w:hAnsi="宋体" w:eastAsia="宋体" w:cs="Arial"/>
          <w:color w:val="000000"/>
          <w:kern w:val="0"/>
          <w:sz w:val="24"/>
          <w:szCs w:val="24"/>
        </w:rPr>
        <w:t>澄清答疑：在不改变投标人投标文件实质性内容的前提下，评标委员会应当对投标文件进行基础性数据分析和整理，从而发现并提取其中可能存在的对招标范围理解的偏差、技术响应偏离、投标报价的算术性错误、错漏项、投标报价构成不合理、不平衡报价等存在明显异常的问题。评标委员会针对需要投标人进行书面澄清、说明或补正的，可向投标人发出书面澄清通知。澄清通知不得向投标人提出带有暗示性或诱导性问题，或向其明确投标文件中的遗漏和错误。投标人接到评标委员会发出的书面澄清通知后，应按评标委员会的要求提供书面澄清资料，并在规定的时间递交到指定地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3.5.3</w:t>
      </w:r>
      <w:r>
        <w:rPr>
          <w:rFonts w:hint="eastAsia" w:ascii="宋体" w:hAnsi="宋体" w:eastAsia="宋体" w:cs="Arial"/>
          <w:color w:val="000000"/>
          <w:kern w:val="0"/>
          <w:sz w:val="24"/>
          <w:szCs w:val="24"/>
        </w:rPr>
        <w:t>详细评审：见附表《详细评审标准》。投标人详细评审得分等于评委评分算术平均值。</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3.5.4 </w:t>
      </w:r>
      <w:r>
        <w:rPr>
          <w:rFonts w:hint="eastAsia" w:ascii="宋体" w:hAnsi="宋体" w:eastAsia="宋体" w:cs="Arial"/>
          <w:color w:val="000000"/>
          <w:kern w:val="0"/>
          <w:sz w:val="24"/>
          <w:szCs w:val="24"/>
        </w:rPr>
        <w:t>算术错误修正：投标报价有算术错误的，评标委员会按以下原则对投标报价进行修正，修正的价格经投标人书面确认后具有约束力。投标人不接受修正价格的，其投标将被否决。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3.5.4.1投标文件中的大写金额与小写金额不一致的，以大写金额为准；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3.5.5 </w:t>
      </w:r>
      <w:r>
        <w:rPr>
          <w:rFonts w:hint="eastAsia" w:ascii="宋体" w:hAnsi="宋体" w:eastAsia="宋体" w:cs="Arial"/>
          <w:color w:val="000000"/>
          <w:kern w:val="0"/>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3.5.6 </w:t>
      </w:r>
      <w:r>
        <w:rPr>
          <w:rFonts w:hint="eastAsia" w:ascii="宋体" w:hAnsi="宋体" w:eastAsia="宋体" w:cs="Arial"/>
          <w:color w:val="000000"/>
          <w:kern w:val="0"/>
          <w:sz w:val="24"/>
          <w:szCs w:val="24"/>
        </w:rPr>
        <w:t>投标报价评分：对经过上述评审的有效投标报价进行投标报价得分计算，计算方法详见评标办法前附表。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3.5.7 </w:t>
      </w:r>
      <w:r>
        <w:rPr>
          <w:rFonts w:hint="eastAsia" w:ascii="宋体" w:hAnsi="宋体" w:eastAsia="宋体" w:cs="Arial"/>
          <w:color w:val="000000"/>
          <w:kern w:val="0"/>
          <w:sz w:val="24"/>
          <w:szCs w:val="24"/>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3.5.8 </w:t>
      </w:r>
      <w:r>
        <w:rPr>
          <w:rFonts w:hint="eastAsia" w:ascii="宋体" w:hAnsi="宋体" w:eastAsia="宋体" w:cs="Arial"/>
          <w:color w:val="000000"/>
          <w:kern w:val="0"/>
          <w:sz w:val="24"/>
          <w:szCs w:val="24"/>
        </w:rPr>
        <w:t>详细评审工作全部结束后，按照详细评审+报价得分之和最终得分由高到低的次序对投标人进行排序。如果出现最终得分相同的情况时，以投标报价低者优先。</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3.6 </w:t>
      </w:r>
      <w:r>
        <w:rPr>
          <w:rFonts w:hint="eastAsia" w:ascii="宋体" w:hAnsi="宋体" w:eastAsia="宋体" w:cs="Arial"/>
          <w:color w:val="000000"/>
          <w:kern w:val="0"/>
          <w:sz w:val="24"/>
          <w:szCs w:val="24"/>
        </w:rPr>
        <w:t>澄清、说明或补正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3.6.1</w:t>
      </w:r>
      <w:r>
        <w:rPr>
          <w:rFonts w:hint="eastAsia" w:ascii="宋体" w:hAnsi="宋体" w:eastAsia="宋体" w:cs="Arial"/>
          <w:color w:val="000000"/>
          <w:kern w:val="0"/>
          <w:sz w:val="24"/>
          <w:szCs w:val="24"/>
        </w:rPr>
        <w:t>在评标过程中，评标委员会可以书面形式要求投标人对所提交投标文件中不明确的内容进行书面澄清或说明，或者对细微偏差进行补正。评标委员会不接受投标人主动提出的澄清、说明或补正。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3.6.2 </w:t>
      </w:r>
      <w:r>
        <w:rPr>
          <w:rFonts w:hint="eastAsia" w:ascii="宋体" w:hAnsi="宋体" w:eastAsia="宋体" w:cs="Arial"/>
          <w:color w:val="000000"/>
          <w:kern w:val="0"/>
          <w:sz w:val="24"/>
          <w:szCs w:val="24"/>
        </w:rPr>
        <w:t>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3.6.3 </w:t>
      </w:r>
      <w:r>
        <w:rPr>
          <w:rFonts w:hint="eastAsia" w:ascii="宋体" w:hAnsi="宋体" w:eastAsia="宋体" w:cs="Arial"/>
          <w:color w:val="000000"/>
          <w:kern w:val="0"/>
          <w:sz w:val="24"/>
          <w:szCs w:val="24"/>
        </w:rPr>
        <w:t>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3.7 </w:t>
      </w:r>
      <w:r>
        <w:rPr>
          <w:rFonts w:hint="eastAsia" w:ascii="宋体" w:hAnsi="宋体" w:eastAsia="宋体" w:cs="Arial"/>
          <w:color w:val="000000"/>
          <w:kern w:val="0"/>
          <w:sz w:val="24"/>
          <w:szCs w:val="24"/>
        </w:rPr>
        <w:t>推荐中标候选人及提交评标报告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3.7.1</w:t>
      </w:r>
      <w:r>
        <w:rPr>
          <w:rFonts w:hint="eastAsia" w:ascii="宋体" w:hAnsi="宋体" w:eastAsia="宋体" w:cs="Arial"/>
          <w:kern w:val="0"/>
          <w:sz w:val="24"/>
          <w:szCs w:val="24"/>
        </w:rPr>
        <w:t>评标委员会按照最终得分确定得分最高者为中标人。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3.7.2 </w:t>
      </w:r>
      <w:r>
        <w:rPr>
          <w:rFonts w:hint="eastAsia" w:ascii="宋体" w:hAnsi="宋体" w:eastAsia="宋体" w:cs="Arial"/>
          <w:color w:val="000000"/>
          <w:kern w:val="0"/>
          <w:sz w:val="24"/>
          <w:szCs w:val="24"/>
        </w:rPr>
        <w:t>有效投标人数量少于三个或者所有投标被否决的，招标人应当依法重新招标。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3.7.3 </w:t>
      </w:r>
      <w:r>
        <w:rPr>
          <w:rFonts w:hint="eastAsia" w:ascii="宋体" w:hAnsi="宋体" w:eastAsia="宋体" w:cs="Arial"/>
          <w:color w:val="000000"/>
          <w:kern w:val="0"/>
          <w:sz w:val="24"/>
          <w:szCs w:val="24"/>
        </w:rPr>
        <w:t>评标委员会完成评标后，应当向招标人提交书面评标报告。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 </w:t>
      </w:r>
      <w:r>
        <w:rPr>
          <w:rFonts w:hint="eastAsia" w:ascii="宋体" w:hAnsi="宋体" w:eastAsia="宋体" w:cs="Arial"/>
          <w:color w:val="000000"/>
          <w:kern w:val="0"/>
          <w:sz w:val="24"/>
          <w:szCs w:val="24"/>
        </w:rPr>
        <w:t>特殊情况的处置程序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3.8.1 </w:t>
      </w:r>
      <w:r>
        <w:rPr>
          <w:rFonts w:hint="eastAsia" w:ascii="宋体" w:hAnsi="宋体" w:eastAsia="宋体" w:cs="Arial"/>
          <w:color w:val="000000"/>
          <w:kern w:val="0"/>
          <w:sz w:val="24"/>
          <w:szCs w:val="24"/>
        </w:rPr>
        <w:t>关于评标活动暂停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3.8.2</w:t>
      </w:r>
      <w:r>
        <w:rPr>
          <w:rFonts w:hint="eastAsia" w:ascii="宋体" w:hAnsi="宋体" w:eastAsia="宋体" w:cs="Arial"/>
          <w:color w:val="000000"/>
          <w:kern w:val="0"/>
          <w:sz w:val="24"/>
          <w:szCs w:val="24"/>
        </w:rPr>
        <w:t>关于评标中途更换评委</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3.8.2.1 </w:t>
      </w:r>
      <w:r>
        <w:rPr>
          <w:rFonts w:hint="eastAsia" w:ascii="宋体" w:hAnsi="宋体" w:eastAsia="宋体" w:cs="Arial"/>
          <w:color w:val="000000"/>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）根据法律法规规定，某个或某几个评标委员会成员需要回避。</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3.8.2.2 </w:t>
      </w:r>
      <w:r>
        <w:rPr>
          <w:rFonts w:hint="eastAsia" w:ascii="宋体" w:hAnsi="宋体" w:eastAsia="宋体" w:cs="Arial"/>
          <w:color w:val="000000"/>
          <w:kern w:val="0"/>
          <w:sz w:val="24"/>
          <w:szCs w:val="24"/>
        </w:rPr>
        <w:t>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3.8.3 </w:t>
      </w:r>
      <w:r>
        <w:rPr>
          <w:rFonts w:hint="eastAsia" w:ascii="宋体" w:hAnsi="宋体" w:eastAsia="宋体" w:cs="Arial"/>
          <w:color w:val="000000"/>
          <w:kern w:val="0"/>
          <w:sz w:val="24"/>
          <w:szCs w:val="24"/>
        </w:rPr>
        <w:t>在评标环节中，需评标委员会就某项定性的评审结论做出表决的，由评标委员会全体成员按照少数服从多数的原则确定。</w:t>
      </w:r>
    </w:p>
    <w:p>
      <w:pPr>
        <w:widowControl/>
        <w:shd w:val="clear" w:color="auto" w:fill="FFFFFF"/>
        <w:snapToGrid w:val="0"/>
        <w:spacing w:line="360" w:lineRule="auto"/>
        <w:jc w:val="center"/>
        <w:rPr>
          <w:rFonts w:ascii="宋体" w:hAnsi="Calibri" w:eastAsia="宋体" w:cs="Times New Roman"/>
          <w:b/>
          <w:sz w:val="24"/>
          <w:szCs w:val="24"/>
        </w:rPr>
      </w:pPr>
      <w:r>
        <w:rPr>
          <w:rFonts w:ascii="宋体" w:hAnsi="Calibri" w:eastAsia="宋体" w:cs="Arial"/>
          <w:color w:val="000000"/>
          <w:kern w:val="0"/>
          <w:sz w:val="24"/>
          <w:szCs w:val="24"/>
        </w:rPr>
        <w:br w:type="page"/>
      </w:r>
      <w:bookmarkStart w:id="44" w:name="_Toc485312286"/>
      <w:r>
        <w:rPr>
          <w:rFonts w:hint="eastAsia" w:ascii="宋体" w:hAnsi="宋体" w:eastAsia="宋体" w:cs="Times New Roman"/>
          <w:b/>
          <w:sz w:val="24"/>
          <w:szCs w:val="24"/>
        </w:rPr>
        <w:t>问题澄清通知</w:t>
      </w:r>
    </w:p>
    <w:p>
      <w:pPr>
        <w:rPr>
          <w:rFonts w:ascii="宋体" w:hAnsi="Calibri" w:eastAsia="宋体" w:cs="Times New Roman"/>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（投标人名称）：</w:t>
      </w:r>
    </w:p>
    <w:p>
      <w:pPr>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（招标项目名称）招标的评标委员会，对你方的投标文件进行了仔细的审查，现需你方对本通知所附质疑问卷中的问题以书面形式予以澄清、说明或者补正。</w:t>
      </w: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质疑问题：</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评标委员会员（签字）：</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jc w:val="center"/>
        <w:rPr>
          <w:rFonts w:ascii="宋体" w:hAnsi="Calibri" w:eastAsia="宋体" w:cs="Times New Roman"/>
          <w:b/>
          <w:sz w:val="24"/>
          <w:szCs w:val="24"/>
        </w:rPr>
      </w:pPr>
      <w:r>
        <w:rPr>
          <w:rFonts w:ascii="宋体" w:hAnsi="Calibri" w:eastAsia="宋体" w:cs="Arial"/>
          <w:color w:val="000000"/>
          <w:kern w:val="0"/>
          <w:sz w:val="24"/>
          <w:szCs w:val="24"/>
        </w:rPr>
        <w:br w:type="page"/>
      </w:r>
      <w:r>
        <w:rPr>
          <w:rFonts w:hint="eastAsia" w:ascii="宋体" w:hAnsi="宋体" w:eastAsia="宋体" w:cs="Times New Roman"/>
          <w:b/>
          <w:sz w:val="24"/>
          <w:szCs w:val="24"/>
        </w:rPr>
        <w:t>问题的澄清、说明或补正</w:t>
      </w:r>
    </w:p>
    <w:p>
      <w:pPr>
        <w:rPr>
          <w:rFonts w:ascii="宋体" w:hAnsi="宋体"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w:t>
      </w:r>
    </w:p>
    <w:p>
      <w:pPr>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（招标项目名称）的问题澄清通知已收悉，现澄清、说明或者补正如下：</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法定代表人或其授权委托人（签字）：</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spacing w:line="440" w:lineRule="exact"/>
        <w:jc w:val="center"/>
        <w:outlineLvl w:val="0"/>
        <w:rPr>
          <w:rFonts w:ascii="宋体" w:hAnsi="宋体" w:eastAsia="宋体" w:cs="宋体"/>
          <w:b/>
          <w:sz w:val="24"/>
          <w:szCs w:val="24"/>
          <w:highlight w:val="none"/>
        </w:rPr>
      </w:pPr>
      <w:r>
        <w:rPr>
          <w:rFonts w:ascii="宋体" w:hAnsi="Calibri" w:eastAsia="宋体" w:cs="Arial"/>
          <w:color w:val="000000"/>
          <w:kern w:val="0"/>
          <w:sz w:val="24"/>
          <w:szCs w:val="24"/>
        </w:rPr>
        <w:br w:type="page"/>
      </w:r>
      <w:bookmarkStart w:id="45" w:name="_Toc488827468"/>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eastAsia="zh-CN"/>
        </w:rPr>
        <w:t>四</w:t>
      </w:r>
      <w:r>
        <w:rPr>
          <w:rFonts w:hint="eastAsia" w:ascii="宋体" w:hAnsi="宋体" w:eastAsia="宋体" w:cs="宋体"/>
          <w:b/>
          <w:sz w:val="24"/>
          <w:szCs w:val="24"/>
          <w:highlight w:val="none"/>
        </w:rPr>
        <w:t>章 服务合同</w:t>
      </w:r>
      <w:bookmarkEnd w:id="44"/>
      <w:bookmarkEnd w:id="45"/>
    </w:p>
    <w:p>
      <w:pPr>
        <w:jc w:val="center"/>
        <w:rPr>
          <w:rFonts w:ascii="宋体" w:hAnsi="宋体" w:eastAsia="宋体" w:cs="宋体"/>
          <w:sz w:val="44"/>
          <w:szCs w:val="44"/>
          <w:highlight w:val="none"/>
        </w:rPr>
      </w:pPr>
      <w:bookmarkStart w:id="46" w:name="_Toc488827472"/>
      <w:r>
        <w:rPr>
          <w:rFonts w:hint="eastAsia" w:ascii="宋体" w:hAnsi="宋体" w:eastAsia="宋体" w:cs="宋体"/>
          <w:sz w:val="44"/>
          <w:szCs w:val="44"/>
          <w:highlight w:val="none"/>
        </w:rPr>
        <w:t>（     项目）委托销售合同</w:t>
      </w:r>
    </w:p>
    <w:p>
      <w:pPr>
        <w:spacing w:line="360" w:lineRule="auto"/>
        <w:rPr>
          <w:rFonts w:ascii="宋体" w:hAnsi="宋体" w:eastAsia="宋体" w:cs="宋体"/>
          <w:sz w:val="24"/>
          <w:szCs w:val="24"/>
        </w:rPr>
      </w:pPr>
      <w:r>
        <w:rPr>
          <w:rFonts w:hint="eastAsia" w:ascii="宋体" w:hAnsi="宋体" w:eastAsia="宋体" w:cs="宋体"/>
          <w:sz w:val="24"/>
          <w:szCs w:val="24"/>
        </w:rPr>
        <w:t>委托方：                     （以下简称甲方）</w:t>
      </w:r>
    </w:p>
    <w:p>
      <w:pPr>
        <w:spacing w:line="360" w:lineRule="auto"/>
        <w:rPr>
          <w:rFonts w:ascii="宋体" w:hAnsi="宋体" w:eastAsia="宋体" w:cs="宋体"/>
          <w:sz w:val="24"/>
          <w:szCs w:val="24"/>
        </w:rPr>
      </w:pPr>
      <w:r>
        <w:rPr>
          <w:rFonts w:hint="eastAsia" w:ascii="宋体" w:hAnsi="宋体" w:eastAsia="宋体" w:cs="宋体"/>
          <w:sz w:val="24"/>
          <w:szCs w:val="24"/>
        </w:rPr>
        <w:t>受托方：                       （以下简称乙方）</w:t>
      </w:r>
    </w:p>
    <w:p>
      <w:pPr>
        <w:spacing w:line="360" w:lineRule="auto"/>
        <w:jc w:val="left"/>
        <w:rPr>
          <w:rFonts w:ascii="宋体" w:hAnsi="宋体" w:eastAsia="宋体" w:cs="宋体"/>
          <w:sz w:val="24"/>
          <w:szCs w:val="24"/>
        </w:rPr>
      </w:pPr>
      <w:r>
        <w:rPr>
          <w:rFonts w:hint="eastAsia" w:ascii="宋体" w:hAnsi="宋体" w:eastAsia="宋体" w:cs="宋体"/>
          <w:sz w:val="24"/>
          <w:szCs w:val="24"/>
        </w:rPr>
        <w:t>    依据《中华人民共和国民法典》及相关法规，甲方双方本着平等互利友好协商的原则，经过双方协商一致，就甲方委托乙方就</w:t>
      </w:r>
      <w:r>
        <w:rPr>
          <w:rFonts w:hint="eastAsia" w:ascii="宋体" w:hAnsi="宋体" w:eastAsia="宋体" w:cs="宋体"/>
          <w:sz w:val="24"/>
          <w:szCs w:val="24"/>
          <w:u w:val="single"/>
        </w:rPr>
        <w:t xml:space="preserve">               </w:t>
      </w:r>
      <w:r>
        <w:rPr>
          <w:rFonts w:hint="eastAsia" w:ascii="宋体" w:hAnsi="宋体" w:eastAsia="宋体" w:cs="宋体"/>
          <w:sz w:val="24"/>
          <w:szCs w:val="24"/>
        </w:rPr>
        <w:t>项目（以下简称本项目）进行全程营销、策划和销售代理事宜签订本合同。</w:t>
      </w:r>
      <w:bookmarkStart w:id="71" w:name="_GoBack"/>
      <w:bookmarkEnd w:id="71"/>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一、项目概况：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2、地理位置：</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3、销售任务以甲方盖章部分商业、住宅、车位分批次的房源为准。（最终以不动产权证书建筑面积为准）</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二、委托服务内容</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甲方委托乙方负责本项目确认的商业、住宅、地下车位全程营销、策划、销售、收集办理不动产权证资料以及房产证办理工作等事宜，包括以下内容：</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1、项目营销、策划服务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商业、住宅、地下车位的营销策划服务。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2、项目销售代理服务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（1）甲方委托乙方销售代理甲方提供的本项目房源。具体销售代理房源、销售价格以甲方确认的附件为准。未经甲方书面同意提供的房源，乙方一律不得进行任何销售处理。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（2）乙方代为销售房源的建筑面积最终以不动产权证书登记建筑面积为准。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（3）提供《商品房买卖合同》，办理合同备案。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（4）乙方指派专人负责收集并整理客户办理不动产权证书资料，整理完毕符合办理条件后由乙方负责办理不动产权证书。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三、合同期限</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1、合同期限（即代理期限）自</w:t>
      </w:r>
      <w:r>
        <w:rPr>
          <w:rFonts w:hint="eastAsia" w:ascii="宋体" w:hAnsi="宋体" w:eastAsia="宋体" w:cs="宋体"/>
          <w:sz w:val="24"/>
          <w:szCs w:val="24"/>
          <w:u w:val="single"/>
        </w:rPr>
        <w:t>   年 月 日</w:t>
      </w:r>
      <w:r>
        <w:rPr>
          <w:rFonts w:hint="eastAsia" w:ascii="宋体" w:hAnsi="宋体" w:eastAsia="宋体" w:cs="宋体"/>
          <w:sz w:val="24"/>
          <w:szCs w:val="24"/>
        </w:rPr>
        <w:t>起至</w:t>
      </w:r>
      <w:r>
        <w:rPr>
          <w:rFonts w:hint="eastAsia" w:ascii="宋体" w:hAnsi="宋体" w:eastAsia="宋体" w:cs="宋体"/>
          <w:sz w:val="24"/>
          <w:szCs w:val="24"/>
          <w:u w:val="single"/>
        </w:rPr>
        <w:t>  年 月 日止</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2、合同期满如双方愿意继续合作，由甲乙双方另行签订《项目委托销售代理合同》。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四、销售目标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乙方在销售项目合同期内，最低完成甲方委托代理销售面积须达到销售任务的60%以上（包括60%）。</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五、履约保证金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1、本销售代理合同签订之日起七日内，乙方需向甲方缴纳 </w:t>
      </w:r>
      <w:r>
        <w:rPr>
          <w:rFonts w:hint="eastAsia" w:ascii="宋体" w:hAnsi="宋体" w:eastAsia="宋体" w:cs="宋体"/>
          <w:sz w:val="24"/>
          <w:szCs w:val="24"/>
          <w:u w:val="single"/>
        </w:rPr>
        <w:t>20万元</w:t>
      </w:r>
      <w:r>
        <w:rPr>
          <w:rFonts w:hint="eastAsia" w:ascii="宋体" w:hAnsi="宋体" w:eastAsia="宋体" w:cs="宋体"/>
          <w:sz w:val="24"/>
          <w:szCs w:val="24"/>
        </w:rPr>
        <w:t>保证金，作为该项目的履约保证金，保证金缴纳完毕后，本合同生效。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2、乙方未按规定时间交付履约保证金的，视为乙方放弃本《项目委托销售代理合同》，本合同自动终止，且由乙方承担全部法律和经济责任。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3、履约保证金返还：在拟销售项目完成本合同约定的销售内容后，经甲、乙双方书面确认无争议后履行审批手续进行返还。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在履行本合同过程中不得损害甲方各项利益、也不得损害客户或第三方利益，因乙方及乙方的工作人员有不当或违法行为造成任何损失的，甲方有权从乙方交纳的履约保证金直接扣除支付，不足部分由乙方继续承担。甲方有权对乙方所造成的损失追究法律责任和经济责任的权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5、乙方在未完成本合同第四条销售目标，或未得到甲方的同意，擅自退出销售的，履约保证金不予退还。由此所造成的一切法律和经济责任由乙方自行承担。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六、甲、乙双方的责任和义务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1、甲方的责任和义务：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（1）甲方保证项目整体开发及销售的合法性。在本合同签订后根据乙方销售进度的需要，分批向乙方提供真实、合法的建设手续及有关批准文件（均为复印件）。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（2）项目工程房屋质量达到国家、自治区、乌鲁木齐市工程验收合格标准。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（3）销售项目商品房预售许可证由甲方负责办理，符合现房销售的按现房手续销售。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（4）甲方按照合同约定的计算方法和支付方式向乙方支付佣金。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乙方的责任和义务：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保证按合同履行合同责任和义务。乙方不得将甲方委托的销售项目进行转包、分包等方式及任何形式与其它销售代理公司进行销售。如有此行为则立即停止乙方销售行为，并终止本合同，造成违法和经济损失的将追究乙方的法律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（2）乙方保证按照市、区、管辖社区相关规定进行房屋销售，不得将房屋销售给不符合条件人员。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在营销、策划、销售过程中，乙方不得进行任何误导性、虚假性陈述，不得从事欺诈活动。凡涉及交房标准、交房时间、项目配套、项目指标等房屋基本信息，乙方均应按照甲方提供的各种文件资料为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（4）遵守国家法律、行政法规及地方行政管理部门的管理规定，合法、合规地进行广告宣传、策划等营销、策划、销售活动。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（5）乙方负责委派现场销售人员，全面负责组织和执行项目的销售工作，并由其承担销售人员的全部费用及安全。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（6）根据约定的时间向甲方提交宣传推广方案、推广计划、销售时间表（包括市场定位、销售对象、销售计划、广告宣传等）。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（7）根据营销、策划、销售活动，乙方安排客户实地看房、介绍项目环境及项目情况。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（8）采用各种合法形式开展多种渠道的营销、策划、销售活动，保证按时完成合同目标。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对乙方代销的项目，由乙方负责按照甲方审核确认的合同模板签订《商品房买卖合同》并办理合同备案的相关手续，负责协助客户将房款交至甲方指定账户，负责协调客户缴纳应交的各项费用，协助甲方及客户办理房屋不动产权证书等的相关事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（10）做好客户的信息反馈工作，定期总结并根据市场动态调整销售策略；在每批佣金领取之前，乙方应将所有完成销售客户的资料整理归档并全部移交甲方存档后办理佣金结算。</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（11）乙方承担销售过程中产生的所有费用，与甲方无关。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（12）乙方不得以甲方的名义从事本合同规定的委托代为销售房屋以外的其他任何活动。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 乙方保证信守知悉的甲方商业秘密，非经甲方书面同意，不得将获取的甲方以及甲方项目资料等擅自进行公开或者买卖，不得关联交易，不得损害甲方利益。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（14）对乙方代销的房源：乙方必须保护客户的所有信息，不得擅自公开或者作为其他目的使用，不得损害购房客户利益。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乙方代销的房源在销售期间，要保证其销售房屋的安全，保管好代销房屋的钥匙，由专人带领去查看房屋，及时对门窗及相关照明设施进行关闭，以免因天气及其他原因对拟销售的房源造成损坏。如因乙方工作过失造成的相关损失由乙方负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（16）乙方所代销的项目，所推出的销售优惠方案（依法合规）必须经得甲方书面同意方可执行。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（17）乙方做好客户售后工作及相关解答，不予推脱于甲方。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七、关于宣传推广的约定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（1）乙方为本项目做全程的宣传推广，全部宣传推广费用由乙方承担, 乙方按照甲方批准的宣传推广计划及方案投放。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（2）乙方应提交宣传推广计划由甲方审定，详细宣传方案中凡涉及对交房标准、交房时间、 建筑面积、小区项目配套、物业等涉及到房屋基本信息描述均应以甲方签字的书面函件或批复为准，乙方如实陈述。宣传方案中其他内容根据乙方营销需要由乙方自行确定。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八、销售价格、销售任务及销售考核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（1）在代销期限内，由乙方提供宣传推广销售方案，双方可根据市场情况分次分批推出不同销售价格的房源，由甲方书面批准决定推出每次每批销售房源及销售价格。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（2）在代销期限内，对客户收取的购房订金，如若发生符合要求退房行为的，订金退还给客户，如客户违约的，购房订金归甲方所有。退回的房源经甲方同意由乙方继续销售。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（3）在代理期限内，乙方负责将收取的客户订金、房款存入甲方指定的专款账户。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项目正式销售的条件：甲方已经审定销售政策及执行文本，按甲方要求执行。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（5）每期最低销售任务指标及销售进度考核：根据市场销售情况，经乙方书面申请，甲方批准为准。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九、代理佣金的计算方法：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（1）本项目委托房源的销售提成由甲方按乙方在代理期内实现销售的实际销售到账金额的</w:t>
      </w:r>
      <w:r>
        <w:rPr>
          <w:rFonts w:hint="eastAsia" w:ascii="宋体" w:hAnsi="宋体" w:eastAsia="宋体" w:cs="宋体"/>
          <w:sz w:val="24"/>
          <w:szCs w:val="24"/>
          <w:u w:val="single"/>
        </w:rPr>
        <w:t xml:space="preserve">   ％</w:t>
      </w:r>
      <w:r>
        <w:rPr>
          <w:rFonts w:hint="eastAsia" w:ascii="宋体" w:hAnsi="宋体" w:eastAsia="宋体" w:cs="宋体"/>
          <w:sz w:val="24"/>
          <w:szCs w:val="24"/>
        </w:rPr>
        <w:t>计提,即销售提成=实际到账销售金额×</w:t>
      </w:r>
      <w:r>
        <w:rPr>
          <w:rFonts w:hint="eastAsia" w:ascii="宋体" w:hAnsi="宋体" w:eastAsia="宋体" w:cs="宋体"/>
          <w:sz w:val="24"/>
          <w:szCs w:val="24"/>
          <w:u w:val="single"/>
        </w:rPr>
        <w:t xml:space="preserve">   ％</w:t>
      </w:r>
      <w:r>
        <w:rPr>
          <w:rFonts w:hint="eastAsia" w:ascii="宋体" w:hAnsi="宋体" w:eastAsia="宋体" w:cs="宋体"/>
          <w:sz w:val="24"/>
          <w:szCs w:val="24"/>
        </w:rPr>
        <w:t>，因此涉及的税费，按照国家税法规定双方各自承担。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（2）乙方收取甲方佣金费用时，乙方需向甲方提供相应税务发票后，并将已售房屋客户办理不动产权证书资料移交后，甲方方可协调支付佣金。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十、代理佣金的支付方式：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按销售房屋签订合同且实际到帐金额计提佣金，销售房屋签订合同实际到帐金额每1000万元按照80％计提佣金，甲方按相关批复的文件进行执行。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十一、违约责任：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销售代理公司在合同约定的销售周期内未能完成60%既定销售任务的，乙方按照各项目应付佣金的20%承担相应的违约金。在规定的销售周期未完成销售目标的，经双方协商，可续签下一个销售周期的《委托销售代理合同》，仍未按时完成销售目标的情况下，甲方有权单方面解除销售代理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2、乙方如若未完成销售任务视为违约，应承担违约责任。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3、因本合同而引发诉讼的，由违约方承担守约方为此产生的包括但不限于诉讼费、保全费、交通费、律师代理费等全部费用。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十二、合同的终止：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1、因政策调整导致合同无法继续履行的，合同终止，双方互不追究违约责任。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2、乙方在未完成销售目标的，经甲方批准可延期，乙方继续履行本合同，未获批准，则终止本合同。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十三、本合同未尽事宜由双方另行协商解决并签订书面的变更、补充协议书。 在履行过程中如发生争议，双方友好协商解决不成的，任何一方均可向甲方所在地人民法院提起诉讼。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十四、本合同一式四份，甲、乙双方各执两份，双方签字盖章立即生效，均具同等法律效力。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十五、本合同销售方案、销售计划作为附件是不可分割的组成部分，具有法律效力。合同附件为：分批次房源表。</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委托方（甲方）：               代理方（乙方）：</w:t>
      </w:r>
    </w:p>
    <w:p>
      <w:pPr>
        <w:spacing w:line="360" w:lineRule="auto"/>
        <w:rPr>
          <w:rFonts w:ascii="宋体" w:hAnsi="宋体" w:eastAsia="宋体" w:cs="宋体"/>
          <w:sz w:val="24"/>
          <w:szCs w:val="24"/>
        </w:rPr>
      </w:pPr>
      <w:r>
        <w:rPr>
          <w:rFonts w:hint="eastAsia" w:ascii="宋体" w:hAnsi="宋体" w:eastAsia="宋体" w:cs="宋体"/>
          <w:sz w:val="24"/>
          <w:szCs w:val="24"/>
        </w:rPr>
        <w:t>法定代表人：                    法定代表人：      </w:t>
      </w:r>
    </w:p>
    <w:p>
      <w:pPr>
        <w:spacing w:line="360" w:lineRule="auto"/>
        <w:rPr>
          <w:rFonts w:ascii="宋体" w:hAnsi="宋体" w:eastAsia="宋体" w:cs="宋体"/>
          <w:sz w:val="24"/>
          <w:szCs w:val="24"/>
        </w:rPr>
      </w:pPr>
      <w:r>
        <w:rPr>
          <w:rFonts w:hint="eastAsia" w:ascii="宋体" w:hAnsi="宋体" w:eastAsia="宋体" w:cs="宋体"/>
          <w:sz w:val="24"/>
          <w:szCs w:val="24"/>
        </w:rPr>
        <w:t>单位地址：                   单位地址  ：</w:t>
      </w:r>
    </w:p>
    <w:p>
      <w:pPr>
        <w:spacing w:line="360" w:lineRule="auto"/>
        <w:rPr>
          <w:rFonts w:ascii="宋体" w:hAnsi="宋体" w:eastAsia="宋体" w:cs="宋体"/>
          <w:sz w:val="24"/>
          <w:szCs w:val="24"/>
        </w:rPr>
      </w:pPr>
      <w:r>
        <w:rPr>
          <w:rFonts w:hint="eastAsia" w:ascii="宋体" w:hAnsi="宋体" w:eastAsia="宋体" w:cs="宋体"/>
          <w:sz w:val="24"/>
          <w:szCs w:val="24"/>
        </w:rPr>
        <w:t>联系电话：                   联系电话：</w:t>
      </w:r>
    </w:p>
    <w:p>
      <w:pPr>
        <w:spacing w:line="360" w:lineRule="auto"/>
        <w:rPr>
          <w:rFonts w:ascii="宋体" w:hAnsi="宋体" w:eastAsia="宋体" w:cs="宋体"/>
          <w:sz w:val="24"/>
          <w:szCs w:val="24"/>
        </w:rPr>
      </w:pPr>
      <w:r>
        <w:rPr>
          <w:rFonts w:hint="eastAsia" w:ascii="宋体" w:hAnsi="宋体" w:eastAsia="宋体" w:cs="宋体"/>
          <w:sz w:val="24"/>
          <w:szCs w:val="24"/>
        </w:rPr>
        <w:t xml:space="preserve">签订日期：                   签订日期：   </w:t>
      </w:r>
    </w:p>
    <w:p>
      <w:pPr>
        <w:spacing w:line="360" w:lineRule="auto"/>
        <w:rPr>
          <w:rFonts w:ascii="宋体" w:hAnsi="宋体" w:eastAsia="宋体" w:cs="宋体"/>
          <w:sz w:val="24"/>
          <w:szCs w:val="24"/>
        </w:rPr>
      </w:pPr>
      <w:r>
        <w:rPr>
          <w:rFonts w:hint="eastAsia" w:ascii="宋体" w:hAnsi="宋体" w:eastAsia="宋体" w:cs="宋体"/>
          <w:sz w:val="24"/>
          <w:szCs w:val="24"/>
        </w:rPr>
        <w:t>签约地址：乌鲁木齐市水磨沟区会展大道599号</w:t>
      </w:r>
    </w:p>
    <w:p>
      <w:pPr>
        <w:spacing w:line="360" w:lineRule="auto"/>
        <w:ind w:firstLine="480" w:firstLineChars="200"/>
        <w:jc w:val="left"/>
        <w:rPr>
          <w:rFonts w:ascii="宋体" w:hAnsi="宋体" w:eastAsia="宋体" w:cs="宋体"/>
          <w:sz w:val="24"/>
          <w:szCs w:val="24"/>
        </w:rPr>
      </w:pPr>
    </w:p>
    <w:p>
      <w:pPr>
        <w:pStyle w:val="44"/>
        <w:rPr>
          <w:rFonts w:ascii="宋体" w:hAnsi="宋体" w:eastAsia="宋体" w:cs="宋体"/>
          <w:sz w:val="24"/>
        </w:rPr>
      </w:pPr>
    </w:p>
    <w:p>
      <w:pPr>
        <w:spacing w:line="360" w:lineRule="auto"/>
        <w:ind w:firstLine="480" w:firstLineChars="200"/>
        <w:jc w:val="left"/>
        <w:rPr>
          <w:rFonts w:hint="eastAsia" w:ascii="宋体" w:hAnsi="宋体" w:eastAsia="宋体" w:cs="宋体"/>
          <w:sz w:val="24"/>
          <w:szCs w:val="24"/>
        </w:rPr>
      </w:pPr>
    </w:p>
    <w:p>
      <w:pPr>
        <w:spacing w:line="440" w:lineRule="exact"/>
        <w:jc w:val="center"/>
        <w:outlineLvl w:val="0"/>
        <w:rPr>
          <w:rFonts w:ascii="宋体" w:hAnsi="宋体" w:eastAsia="宋体" w:cs="宋体"/>
          <w:b/>
          <w:sz w:val="24"/>
          <w:szCs w:val="24"/>
          <w:highlight w:val="none"/>
        </w:rPr>
      </w:pPr>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eastAsia="zh-CN"/>
        </w:rPr>
        <w:t>五</w:t>
      </w:r>
      <w:r>
        <w:rPr>
          <w:rFonts w:hint="eastAsia" w:ascii="宋体" w:hAnsi="宋体" w:eastAsia="宋体" w:cs="宋体"/>
          <w:b/>
          <w:sz w:val="24"/>
          <w:szCs w:val="24"/>
          <w:highlight w:val="none"/>
        </w:rPr>
        <w:t xml:space="preserve">章 </w:t>
      </w:r>
      <w:bookmarkEnd w:id="46"/>
      <w:bookmarkStart w:id="47" w:name="_Toc138638719"/>
      <w:bookmarkEnd w:id="47"/>
      <w:bookmarkStart w:id="48" w:name="_Toc138639145"/>
      <w:bookmarkEnd w:id="48"/>
      <w:bookmarkStart w:id="49" w:name="_Toc138638538"/>
      <w:bookmarkEnd w:id="49"/>
      <w:bookmarkStart w:id="50" w:name="_Toc138639074"/>
      <w:bookmarkEnd w:id="50"/>
      <w:bookmarkStart w:id="51" w:name="_Toc138638718"/>
      <w:bookmarkEnd w:id="51"/>
      <w:bookmarkStart w:id="52" w:name="_Toc138638702"/>
      <w:bookmarkEnd w:id="52"/>
      <w:bookmarkStart w:id="53" w:name="_Toc138638510"/>
      <w:bookmarkEnd w:id="53"/>
      <w:bookmarkStart w:id="54" w:name="_Toc138639091"/>
      <w:bookmarkEnd w:id="54"/>
      <w:bookmarkStart w:id="55" w:name="_Toc138638906"/>
      <w:bookmarkEnd w:id="55"/>
      <w:bookmarkStart w:id="56" w:name="_Toc138638910"/>
      <w:bookmarkEnd w:id="56"/>
      <w:bookmarkStart w:id="57" w:name="_Toc138638907"/>
      <w:bookmarkEnd w:id="57"/>
      <w:bookmarkStart w:id="58" w:name="_合同文件的组成及解释顺序"/>
      <w:bookmarkEnd w:id="58"/>
      <w:bookmarkStart w:id="59" w:name="_Toc138638534"/>
      <w:bookmarkEnd w:id="59"/>
      <w:bookmarkStart w:id="60" w:name="_Toc138638773"/>
      <w:bookmarkEnd w:id="60"/>
      <w:bookmarkStart w:id="61" w:name="_Toc138639090"/>
      <w:bookmarkEnd w:id="61"/>
      <w:bookmarkStart w:id="62" w:name="_Toc138638535"/>
      <w:bookmarkEnd w:id="62"/>
      <w:bookmarkStart w:id="63" w:name="_Toc138638884"/>
      <w:bookmarkEnd w:id="63"/>
      <w:bookmarkStart w:id="64" w:name="_Toc138638883"/>
      <w:bookmarkEnd w:id="64"/>
      <w:bookmarkStart w:id="65" w:name="_Toc138638509"/>
      <w:bookmarkEnd w:id="65"/>
      <w:r>
        <w:rPr>
          <w:rFonts w:hint="eastAsia" w:ascii="宋体" w:hAnsi="宋体" w:eastAsia="宋体" w:cs="宋体"/>
          <w:b/>
          <w:sz w:val="24"/>
          <w:szCs w:val="24"/>
          <w:highlight w:val="none"/>
        </w:rPr>
        <w:t>服务要求</w:t>
      </w:r>
      <w:bookmarkStart w:id="66" w:name="_Toc488827473"/>
    </w:p>
    <w:p>
      <w:pPr>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1、项目营销、策划服务</w:t>
      </w:r>
    </w:p>
    <w:p>
      <w:pPr>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商业、住宅、地下车位</w:t>
      </w:r>
      <w:r>
        <w:rPr>
          <w:rFonts w:hint="eastAsia" w:ascii="宋体" w:hAnsi="宋体" w:eastAsia="宋体" w:cs="宋体"/>
          <w:sz w:val="24"/>
          <w:szCs w:val="24"/>
          <w:highlight w:val="none"/>
        </w:rPr>
        <w:t>的营销策划工作服务。</w:t>
      </w:r>
    </w:p>
    <w:p>
      <w:pPr>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2、项目销售服务</w:t>
      </w:r>
    </w:p>
    <w:p>
      <w:pPr>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（1）甲方委托乙方销售代理甲方提供的本项目房源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具体销售代理房源</w:t>
      </w:r>
      <w:r>
        <w:rPr>
          <w:rFonts w:hint="eastAsia" w:ascii="宋体" w:hAnsi="宋体" w:eastAsia="宋体" w:cs="宋体"/>
          <w:sz w:val="24"/>
          <w:szCs w:val="24"/>
          <w:highlight w:val="none"/>
          <w:lang w:eastAsia="zh-CN"/>
        </w:rPr>
        <w:t>、销售价格</w:t>
      </w:r>
      <w:r>
        <w:rPr>
          <w:rFonts w:hint="eastAsia" w:ascii="宋体" w:hAnsi="宋体" w:eastAsia="宋体" w:cs="宋体"/>
          <w:sz w:val="24"/>
          <w:szCs w:val="24"/>
          <w:highlight w:val="none"/>
        </w:rPr>
        <w:t>以</w:t>
      </w:r>
      <w:r>
        <w:rPr>
          <w:rFonts w:hint="eastAsia" w:ascii="宋体" w:hAnsi="宋体" w:eastAsia="宋体" w:cs="宋体"/>
          <w:sz w:val="24"/>
          <w:szCs w:val="24"/>
          <w:highlight w:val="none"/>
          <w:lang w:eastAsia="zh-CN"/>
        </w:rPr>
        <w:t>甲</w:t>
      </w:r>
      <w:r>
        <w:rPr>
          <w:rFonts w:hint="eastAsia" w:ascii="宋体" w:hAnsi="宋体" w:eastAsia="宋体" w:cs="宋体"/>
          <w:sz w:val="24"/>
          <w:szCs w:val="24"/>
          <w:highlight w:val="none"/>
        </w:rPr>
        <w:t>方确认的附件</w:t>
      </w:r>
      <w:r>
        <w:rPr>
          <w:rFonts w:hint="eastAsia" w:ascii="宋体" w:hAnsi="宋体" w:eastAsia="宋体" w:cs="宋体"/>
          <w:sz w:val="24"/>
          <w:szCs w:val="24"/>
          <w:highlight w:val="none"/>
          <w:lang w:eastAsia="zh-CN"/>
        </w:rPr>
        <w:t>为准</w:t>
      </w:r>
      <w:r>
        <w:rPr>
          <w:rFonts w:hint="eastAsia" w:ascii="宋体" w:hAnsi="宋体" w:eastAsia="宋体" w:cs="宋体"/>
          <w:sz w:val="24"/>
          <w:szCs w:val="24"/>
          <w:highlight w:val="none"/>
        </w:rPr>
        <w:t>。未经甲方书面同意提供的房源，乙方一律不得进行任何销售处理。</w:t>
      </w:r>
    </w:p>
    <w:p>
      <w:pPr>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（2）乙方代为销售房源的建筑面积最终以</w:t>
      </w:r>
      <w:r>
        <w:rPr>
          <w:rFonts w:hint="eastAsia" w:ascii="宋体" w:hAnsi="宋体" w:eastAsia="宋体" w:cs="宋体"/>
          <w:sz w:val="24"/>
          <w:szCs w:val="24"/>
          <w:highlight w:val="none"/>
          <w:lang w:val="en-US" w:eastAsia="zh-CN"/>
        </w:rPr>
        <w:t>不动产权证书登记建筑</w:t>
      </w:r>
      <w:r>
        <w:rPr>
          <w:rFonts w:hint="eastAsia" w:ascii="宋体" w:hAnsi="宋体" w:eastAsia="宋体" w:cs="宋体"/>
          <w:sz w:val="24"/>
          <w:szCs w:val="24"/>
          <w:highlight w:val="none"/>
        </w:rPr>
        <w:t>面积为准。</w:t>
      </w:r>
    </w:p>
    <w:p>
      <w:pPr>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乙方负责收集并整理客户办理不动产权证书资料，整理完毕移交甲方，同时办理不动产权证书。</w:t>
      </w: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spacing w:line="440" w:lineRule="exact"/>
        <w:jc w:val="center"/>
        <w:outlineLvl w:val="0"/>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六</w:t>
      </w:r>
      <w:r>
        <w:rPr>
          <w:rFonts w:hint="eastAsia" w:ascii="宋体" w:hAnsi="宋体" w:eastAsia="宋体" w:cs="宋体"/>
          <w:b/>
          <w:sz w:val="24"/>
          <w:szCs w:val="24"/>
        </w:rPr>
        <w:t>章  投标文件格式</w:t>
      </w:r>
      <w:bookmarkEnd w:id="66"/>
    </w:p>
    <w:p>
      <w:pPr>
        <w:rPr>
          <w:rFonts w:ascii="宋体" w:hAnsi="Calibri" w:eastAsia="宋体" w:cs="宋体"/>
          <w:b/>
          <w:sz w:val="24"/>
          <w:szCs w:val="24"/>
        </w:rPr>
      </w:pPr>
    </w:p>
    <w:p>
      <w:pPr>
        <w:rPr>
          <w:rFonts w:ascii="宋体" w:hAnsi="Calibri" w:eastAsia="宋体" w:cs="宋体"/>
          <w:b/>
          <w:sz w:val="24"/>
          <w:szCs w:val="24"/>
        </w:rPr>
      </w:pPr>
    </w:p>
    <w:p>
      <w:pPr>
        <w:rPr>
          <w:rFonts w:ascii="宋体" w:hAnsi="Calibri" w:eastAsia="宋体" w:cs="宋体"/>
          <w:color w:val="000000"/>
          <w:sz w:val="24"/>
          <w:szCs w:val="24"/>
          <w:u w:val="single"/>
        </w:rPr>
      </w:pPr>
      <w:r>
        <w:rPr>
          <w:rFonts w:hint="eastAsia" w:ascii="宋体" w:hAnsi="宋体" w:eastAsia="宋体" w:cs="宋体"/>
          <w:color w:val="000000"/>
          <w:sz w:val="24"/>
          <w:szCs w:val="24"/>
          <w:u w:val="single"/>
        </w:rPr>
        <w:t>投标文件封面示例</w:t>
      </w:r>
    </w:p>
    <w:p>
      <w:pPr>
        <w:spacing w:line="720" w:lineRule="auto"/>
        <w:ind w:right="315"/>
        <w:jc w:val="right"/>
        <w:rPr>
          <w:rFonts w:ascii="宋体" w:hAnsi="Calibri" w:eastAsia="宋体" w:cs="宋体"/>
          <w:b/>
          <w:sz w:val="24"/>
          <w:szCs w:val="24"/>
          <w:bdr w:val="single" w:color="auto" w:sz="4" w:space="0"/>
        </w:rPr>
      </w:pPr>
      <w:r>
        <w:rPr>
          <w:rFonts w:hint="eastAsia" w:ascii="宋体" w:hAnsi="宋体" w:eastAsia="宋体" w:cs="宋体"/>
          <w:b/>
          <w:sz w:val="24"/>
          <w:szCs w:val="24"/>
          <w:bdr w:val="single" w:color="auto" w:sz="4" w:space="0"/>
        </w:rPr>
        <w:t>正本</w:t>
      </w:r>
    </w:p>
    <w:p>
      <w:pPr>
        <w:spacing w:line="720" w:lineRule="auto"/>
        <w:jc w:val="center"/>
        <w:rPr>
          <w:rFonts w:ascii="宋体" w:hAnsi="Calibri" w:eastAsia="宋体" w:cs="宋体"/>
          <w:b/>
          <w:bCs/>
          <w:sz w:val="24"/>
          <w:szCs w:val="24"/>
          <w:u w:val="single"/>
        </w:rPr>
      </w:pPr>
      <w:r>
        <w:rPr>
          <w:rFonts w:hint="eastAsia" w:ascii="宋体" w:hAnsi="宋体" w:eastAsia="宋体" w:cs="宋体"/>
          <w:b/>
          <w:bCs/>
          <w:sz w:val="24"/>
          <w:szCs w:val="24"/>
          <w:u w:val="single"/>
        </w:rPr>
        <w:t>（项目名称）</w:t>
      </w:r>
    </w:p>
    <w:p>
      <w:pPr>
        <w:spacing w:line="300" w:lineRule="exact"/>
        <w:jc w:val="center"/>
        <w:rPr>
          <w:rFonts w:ascii="宋体" w:hAnsi="Calibri" w:eastAsia="宋体" w:cs="宋体"/>
          <w:b/>
          <w:bCs/>
          <w:color w:val="000000"/>
          <w:sz w:val="24"/>
          <w:szCs w:val="24"/>
        </w:rPr>
      </w:pPr>
      <w:r>
        <w:rPr>
          <w:rFonts w:hint="eastAsia" w:ascii="宋体" w:hAnsi="宋体" w:eastAsia="宋体" w:cs="宋体"/>
          <w:b/>
          <w:bCs/>
          <w:color w:val="000000"/>
          <w:sz w:val="24"/>
          <w:szCs w:val="24"/>
        </w:rPr>
        <w:t>投标文件</w:t>
      </w:r>
    </w:p>
    <w:p>
      <w:pPr>
        <w:spacing w:line="720" w:lineRule="auto"/>
        <w:rPr>
          <w:rFonts w:ascii="宋体" w:hAnsi="Calibri" w:eastAsia="宋体" w:cs="宋体"/>
          <w:sz w:val="24"/>
          <w:szCs w:val="24"/>
        </w:rPr>
      </w:pPr>
    </w:p>
    <w:p>
      <w:pPr>
        <w:spacing w:line="720" w:lineRule="auto"/>
        <w:rPr>
          <w:rFonts w:ascii="宋体" w:hAnsi="宋体" w:eastAsia="宋体" w:cs="宋体"/>
          <w:sz w:val="24"/>
          <w:szCs w:val="24"/>
        </w:rPr>
      </w:pPr>
    </w:p>
    <w:p>
      <w:pPr>
        <w:spacing w:line="720" w:lineRule="auto"/>
        <w:rPr>
          <w:rFonts w:ascii="宋体" w:hAnsi="Calibri" w:eastAsia="宋体" w:cs="宋体"/>
          <w:sz w:val="24"/>
          <w:szCs w:val="24"/>
        </w:rPr>
      </w:pPr>
      <w:r>
        <w:rPr>
          <w:rFonts w:hint="eastAsia" w:ascii="宋体" w:hAnsi="宋体" w:eastAsia="宋体" w:cs="宋体"/>
          <w:sz w:val="24"/>
          <w:szCs w:val="24"/>
        </w:rPr>
        <w:t>投标人：（盖章）</w:t>
      </w:r>
    </w:p>
    <w:p>
      <w:pPr>
        <w:spacing w:line="720" w:lineRule="auto"/>
        <w:rPr>
          <w:rFonts w:ascii="宋体" w:hAnsi="Calibri" w:eastAsia="宋体" w:cs="宋体"/>
          <w:sz w:val="24"/>
          <w:szCs w:val="24"/>
        </w:rPr>
      </w:pPr>
      <w:r>
        <w:rPr>
          <w:rFonts w:hint="eastAsia" w:ascii="宋体" w:hAnsi="宋体" w:eastAsia="宋体" w:cs="宋体"/>
          <w:sz w:val="24"/>
          <w:szCs w:val="24"/>
        </w:rPr>
        <w:t>法定代表人：（盖章）</w:t>
      </w:r>
    </w:p>
    <w:p>
      <w:pPr>
        <w:spacing w:line="720" w:lineRule="auto"/>
        <w:rPr>
          <w:rFonts w:ascii="宋体" w:hAnsi="Calibri" w:eastAsia="宋体" w:cs="宋体"/>
          <w:sz w:val="24"/>
          <w:szCs w:val="24"/>
        </w:rPr>
      </w:pPr>
      <w:r>
        <w:rPr>
          <w:rFonts w:hint="eastAsia" w:ascii="宋体" w:hAnsi="宋体" w:eastAsia="宋体" w:cs="宋体"/>
          <w:sz w:val="24"/>
          <w:szCs w:val="24"/>
        </w:rPr>
        <w:t>单位地址：</w:t>
      </w:r>
    </w:p>
    <w:p>
      <w:pPr>
        <w:spacing w:line="720" w:lineRule="auto"/>
        <w:rPr>
          <w:rFonts w:ascii="宋体" w:hAnsi="Calibri" w:eastAsia="宋体" w:cs="宋体"/>
          <w:sz w:val="24"/>
          <w:szCs w:val="24"/>
        </w:rPr>
      </w:pPr>
      <w:r>
        <w:rPr>
          <w:rFonts w:hint="eastAsia" w:ascii="宋体" w:hAnsi="宋体" w:eastAsia="宋体" w:cs="宋体"/>
          <w:sz w:val="24"/>
          <w:szCs w:val="24"/>
        </w:rPr>
        <w:t>联系人：</w:t>
      </w:r>
    </w:p>
    <w:p>
      <w:pPr>
        <w:spacing w:line="720" w:lineRule="auto"/>
        <w:rPr>
          <w:rFonts w:ascii="宋体" w:hAnsi="Calibri" w:eastAsia="宋体" w:cs="宋体"/>
          <w:sz w:val="24"/>
          <w:szCs w:val="24"/>
        </w:rPr>
      </w:pPr>
      <w:r>
        <w:rPr>
          <w:rFonts w:hint="eastAsia" w:ascii="宋体" w:hAnsi="宋体" w:eastAsia="宋体" w:cs="宋体"/>
          <w:sz w:val="24"/>
          <w:szCs w:val="24"/>
        </w:rPr>
        <w:t>联系电话：</w:t>
      </w:r>
    </w:p>
    <w:p>
      <w:pPr>
        <w:spacing w:line="720" w:lineRule="auto"/>
        <w:rPr>
          <w:rFonts w:ascii="宋体" w:hAnsi="Calibri" w:eastAsia="宋体" w:cs="宋体"/>
          <w:sz w:val="24"/>
          <w:szCs w:val="24"/>
        </w:rPr>
      </w:pPr>
    </w:p>
    <w:p>
      <w:pPr>
        <w:spacing w:line="720" w:lineRule="auto"/>
        <w:ind w:firstLine="2" w:firstLineChars="1"/>
        <w:jc w:val="center"/>
        <w:rPr>
          <w:rFonts w:ascii="宋体" w:hAnsi="Calibri" w:eastAsia="宋体" w:cs="宋体"/>
          <w:sz w:val="24"/>
          <w:szCs w:val="24"/>
        </w:rPr>
      </w:pPr>
      <w:r>
        <w:rPr>
          <w:rFonts w:hint="eastAsia" w:ascii="宋体" w:hAnsi="宋体" w:eastAsia="宋体" w:cs="宋体"/>
          <w:sz w:val="24"/>
          <w:szCs w:val="24"/>
        </w:rPr>
        <w:t>年  月  日</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67" w:name="_Toc488827474"/>
      <w:r>
        <w:rPr>
          <w:rFonts w:hint="eastAsia" w:ascii="宋体" w:hAnsi="宋体" w:eastAsia="宋体" w:cs="宋体"/>
          <w:b/>
          <w:sz w:val="24"/>
          <w:szCs w:val="24"/>
        </w:rPr>
        <w:t>目   录</w:t>
      </w:r>
      <w:bookmarkEnd w:id="67"/>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bookmarkStart w:id="68" w:name="_Toc488827489"/>
    </w:p>
    <w:p>
      <w:pPr>
        <w:tabs>
          <w:tab w:val="center" w:pos="4832"/>
          <w:tab w:val="left" w:pos="7140"/>
        </w:tabs>
        <w:jc w:val="center"/>
        <w:outlineLvl w:val="1"/>
        <w:rPr>
          <w:rFonts w:ascii="宋体" w:hAnsi="宋体" w:eastAsia="宋体" w:cs="宋体"/>
          <w:b/>
          <w:sz w:val="24"/>
          <w:szCs w:val="24"/>
        </w:rPr>
      </w:pP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（1）投标承诺书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（2）报价一览表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（3）法定代表人身份证明书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（4）法定代表人授权委托书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（5）投标人概况</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6</w:t>
      </w:r>
      <w:r>
        <w:rPr>
          <w:rFonts w:hint="eastAsia" w:ascii="宋体" w:hAnsi="宋体" w:eastAsia="宋体" w:cs="Arial"/>
          <w:color w:val="000000"/>
          <w:kern w:val="0"/>
          <w:sz w:val="24"/>
          <w:szCs w:val="24"/>
        </w:rPr>
        <w:t>）承诺投入的项目人员表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7</w:t>
      </w:r>
      <w:r>
        <w:rPr>
          <w:rFonts w:hint="eastAsia" w:ascii="宋体" w:hAnsi="宋体" w:eastAsia="宋体" w:cs="Arial"/>
          <w:color w:val="000000"/>
          <w:kern w:val="0"/>
          <w:sz w:val="24"/>
          <w:szCs w:val="24"/>
        </w:rPr>
        <w:t>）服务方案</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8</w:t>
      </w:r>
      <w:r>
        <w:rPr>
          <w:rFonts w:hint="eastAsia" w:ascii="宋体" w:hAnsi="宋体" w:eastAsia="宋体" w:cs="Arial"/>
          <w:color w:val="000000"/>
          <w:kern w:val="0"/>
          <w:sz w:val="24"/>
          <w:szCs w:val="24"/>
        </w:rPr>
        <w:t>）服务承诺</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9</w:t>
      </w:r>
      <w:r>
        <w:rPr>
          <w:rFonts w:hint="eastAsia" w:ascii="宋体" w:hAnsi="宋体" w:eastAsia="宋体" w:cs="Arial"/>
          <w:color w:val="000000"/>
          <w:kern w:val="0"/>
          <w:sz w:val="24"/>
          <w:szCs w:val="24"/>
        </w:rPr>
        <w:t>）招标文件要求及投标人认为有必要提供的其他相关资料等</w:t>
      </w:r>
    </w:p>
    <w:p>
      <w:pPr>
        <w:spacing w:line="280" w:lineRule="exact"/>
        <w:rPr>
          <w:rFonts w:ascii="宋体" w:hAnsi="Calibri" w:eastAsia="宋体" w:cs="Times New Roman"/>
          <w:bCs/>
          <w:color w:val="000000" w:themeColor="text1"/>
          <w:sz w:val="24"/>
          <w:szCs w:val="24"/>
          <w14:textFill>
            <w14:solidFill>
              <w14:schemeClr w14:val="tx1"/>
            </w14:solidFill>
          </w14:textFill>
        </w:rPr>
      </w:pPr>
    </w:p>
    <w:p>
      <w:pPr>
        <w:spacing w:line="280" w:lineRule="exact"/>
        <w:rPr>
          <w:rFonts w:ascii="宋体" w:hAnsi="Calibri"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注：为了便于查找，请按上述顺序编制投标文件内容，并在目录中标明每项内容的起始页码。</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color w:val="000000" w:themeColor="text1"/>
          <w:sz w:val="24"/>
          <w:szCs w:val="24"/>
          <w14:textFill>
            <w14:solidFill>
              <w14:schemeClr w14:val="tx1"/>
            </w14:solidFill>
          </w14:textFill>
        </w:rPr>
        <w:br w:type="page"/>
      </w:r>
      <w:r>
        <w:rPr>
          <w:rFonts w:hint="eastAsia" w:ascii="宋体" w:hAnsi="宋体" w:eastAsia="宋体"/>
          <w:b/>
          <w:bCs/>
          <w:snapToGrid w:val="0"/>
          <w:kern w:val="0"/>
          <w:sz w:val="24"/>
          <w:szCs w:val="24"/>
        </w:rPr>
        <w:t>投标承诺书</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致：（招标人名称）</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根据已收到</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的项目的招标文件，遵照招标投标及相关法律法规的规定，经考察现场和充分研究贵方的招标文件的全部内容后，我方郑重承诺如下：</w:t>
      </w:r>
    </w:p>
    <w:p>
      <w:pPr>
        <w:widowControl/>
        <w:numPr>
          <w:ilvl w:val="0"/>
          <w:numId w:val="5"/>
        </w:numPr>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我方投标报价为：</w:t>
      </w:r>
      <w:r>
        <w:rPr>
          <w:rFonts w:hint="eastAsia" w:ascii="宋体" w:hAnsi="宋体" w:eastAsia="宋体"/>
          <w:snapToGrid w:val="0"/>
          <w:kern w:val="0"/>
          <w:sz w:val="24"/>
          <w:szCs w:val="24"/>
          <w:u w:val="single"/>
          <w:lang w:val="en-US" w:eastAsia="zh-CN"/>
        </w:rPr>
        <w:t xml:space="preserve"> 总销售收入    %</w:t>
      </w:r>
      <w:r>
        <w:rPr>
          <w:rFonts w:hint="eastAsia" w:ascii="宋体" w:hAnsi="宋体" w:eastAsia="宋体"/>
          <w:snapToGrid w:val="0"/>
          <w:kern w:val="0"/>
          <w:sz w:val="24"/>
          <w:szCs w:val="24"/>
          <w:u w:val="single"/>
        </w:rPr>
        <w:t>；</w:t>
      </w:r>
      <w:r>
        <w:rPr>
          <w:rFonts w:hint="eastAsia" w:ascii="宋体" w:hAnsi="宋体" w:eastAsia="宋体" w:cs="Arial"/>
          <w:color w:val="000000"/>
          <w:kern w:val="0"/>
          <w:sz w:val="24"/>
          <w:szCs w:val="24"/>
        </w:rPr>
        <w:t>服务期为</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如果我方中标，我方将按规定履行合同责任义务。保证在合同约定的服务期内完成并确保我方相关服务满足招标文件的要求。</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3</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4</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我方已详细审查全部招标文件并完全理解并同意放弃对这方面有不明及误解的权力。</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5</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6</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我方派法定代表人或其授权委托人作为我方代表，负责按时参加开标会并签署与投标有关的相关文件等。</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投标人：（盖章）</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法定代表人：（盖章或签字）</w:t>
      </w:r>
    </w:p>
    <w:p>
      <w:pPr>
        <w:widowControl/>
        <w:shd w:val="clear" w:color="auto" w:fill="FFFFFF"/>
        <w:wordWrap w:val="0"/>
        <w:snapToGrid w:val="0"/>
        <w:spacing w:line="384" w:lineRule="auto"/>
        <w:ind w:firstLine="420"/>
        <w:jc w:val="right"/>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Arial"/>
          <w:color w:val="000000"/>
          <w:kern w:val="0"/>
          <w:sz w:val="24"/>
          <w:szCs w:val="24"/>
        </w:rPr>
        <w:br w:type="page"/>
      </w:r>
      <w:bookmarkStart w:id="69" w:name="_Toc488827476"/>
      <w:r>
        <w:rPr>
          <w:rFonts w:hint="eastAsia" w:ascii="宋体" w:hAnsi="宋体" w:eastAsia="宋体" w:cs="宋体"/>
          <w:b/>
          <w:sz w:val="24"/>
          <w:szCs w:val="24"/>
        </w:rPr>
        <w:t>报价</w:t>
      </w:r>
      <w:bookmarkEnd w:id="69"/>
      <w:r>
        <w:rPr>
          <w:rFonts w:hint="eastAsia" w:ascii="宋体" w:hAnsi="宋体" w:eastAsia="宋体" w:cs="宋体"/>
          <w:b/>
          <w:sz w:val="24"/>
          <w:szCs w:val="24"/>
        </w:rPr>
        <w:t>一览表</w:t>
      </w:r>
    </w:p>
    <w:p>
      <w:pPr>
        <w:tabs>
          <w:tab w:val="center" w:pos="4832"/>
          <w:tab w:val="left" w:pos="7140"/>
        </w:tabs>
        <w:jc w:val="center"/>
        <w:outlineLvl w:val="1"/>
        <w:rPr>
          <w:rFonts w:ascii="宋体" w:hAnsi="宋体" w:eastAsia="宋体" w:cs="宋体"/>
          <w:b/>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货币单位：人民币元</w:t>
      </w:r>
    </w:p>
    <w:p>
      <w:pPr>
        <w:spacing w:line="360" w:lineRule="auto"/>
        <w:rPr>
          <w:rFonts w:ascii="宋体" w:hAnsi="宋体" w:cs="宋体"/>
          <w:kern w:val="1"/>
          <w:sz w:val="24"/>
          <w:szCs w:val="24"/>
        </w:rPr>
      </w:pPr>
      <w:r>
        <w:rPr>
          <w:rFonts w:hint="eastAsia" w:ascii="宋体" w:hAnsi="宋体" w:cs="宋体"/>
          <w:kern w:val="1"/>
          <w:sz w:val="24"/>
          <w:szCs w:val="24"/>
          <w:shd w:val="clear" w:color="auto" w:fill="FFFFFF"/>
          <w:lang w:eastAsia="zh-CN"/>
        </w:rPr>
        <w:t>投标人</w:t>
      </w:r>
      <w:r>
        <w:rPr>
          <w:rFonts w:ascii="宋体" w:hAnsi="宋体" w:cs="宋体"/>
          <w:kern w:val="1"/>
          <w:sz w:val="24"/>
          <w:szCs w:val="24"/>
          <w:shd w:val="clear" w:color="auto" w:fill="FFFFFF"/>
        </w:rPr>
        <w:t xml:space="preserve">名称：                          </w:t>
      </w:r>
      <w:r>
        <w:rPr>
          <w:rFonts w:hint="eastAsia" w:ascii="宋体" w:hAnsi="宋体" w:cs="宋体"/>
          <w:kern w:val="1"/>
          <w:sz w:val="24"/>
          <w:szCs w:val="24"/>
          <w:shd w:val="clear" w:color="auto" w:fill="FFFFFF"/>
        </w:rPr>
        <w:t xml:space="preserve">        </w:t>
      </w:r>
      <w:r>
        <w:rPr>
          <w:rFonts w:ascii="宋体" w:hAnsi="宋体" w:cs="宋体"/>
          <w:kern w:val="1"/>
          <w:sz w:val="24"/>
          <w:szCs w:val="24"/>
          <w:shd w:val="clear" w:color="auto" w:fill="FFFFFF"/>
        </w:rPr>
        <w:t xml:space="preserve">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货币单位：人民币元</w:t>
      </w:r>
    </w:p>
    <w:p>
      <w:pPr>
        <w:spacing w:line="360" w:lineRule="auto"/>
        <w:jc w:val="left"/>
        <w:rPr>
          <w:rFonts w:ascii="宋体" w:hAnsi="Calibri" w:eastAsia="宋体" w:cs="Times New Roman"/>
          <w:sz w:val="24"/>
          <w:szCs w:val="24"/>
        </w:rPr>
      </w:pPr>
    </w:p>
    <w:tbl>
      <w:tblPr>
        <w:tblStyle w:val="28"/>
        <w:tblW w:w="9152" w:type="dxa"/>
        <w:jc w:val="center"/>
        <w:tblLayout w:type="fixed"/>
        <w:tblCellMar>
          <w:top w:w="0" w:type="dxa"/>
          <w:left w:w="108" w:type="dxa"/>
          <w:bottom w:w="0" w:type="dxa"/>
          <w:right w:w="108" w:type="dxa"/>
        </w:tblCellMar>
      </w:tblPr>
      <w:tblGrid>
        <w:gridCol w:w="2694"/>
        <w:gridCol w:w="6458"/>
      </w:tblGrid>
      <w:tr>
        <w:tblPrEx>
          <w:tblCellMar>
            <w:top w:w="0" w:type="dxa"/>
            <w:left w:w="108" w:type="dxa"/>
            <w:bottom w:w="0" w:type="dxa"/>
            <w:right w:w="108" w:type="dxa"/>
          </w:tblCellMar>
        </w:tblPrEx>
        <w:trPr>
          <w:trHeight w:val="765" w:hRule="atLeast"/>
          <w:jc w:val="center"/>
        </w:trPr>
        <w:tc>
          <w:tcPr>
            <w:tcW w:w="9152"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项目名称：</w:t>
            </w:r>
          </w:p>
        </w:tc>
      </w:tr>
      <w:tr>
        <w:tblPrEx>
          <w:tblCellMar>
            <w:top w:w="0" w:type="dxa"/>
            <w:left w:w="108" w:type="dxa"/>
            <w:bottom w:w="0" w:type="dxa"/>
            <w:right w:w="108" w:type="dxa"/>
          </w:tblCellMar>
        </w:tblPrEx>
        <w:trPr>
          <w:trHeight w:val="1440" w:hRule="atLeast"/>
          <w:jc w:val="center"/>
        </w:trPr>
        <w:tc>
          <w:tcPr>
            <w:tcW w:w="2694" w:type="dxa"/>
            <w:tcBorders>
              <w:top w:val="nil"/>
              <w:left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kern w:val="0"/>
                <w:sz w:val="24"/>
                <w:szCs w:val="24"/>
                <w:lang w:eastAsia="zh-CN"/>
              </w:rPr>
            </w:pPr>
            <w:r>
              <w:rPr>
                <w:rFonts w:hint="eastAsia" w:ascii="宋体" w:hAnsi="宋体" w:cs="宋体"/>
                <w:kern w:val="0"/>
                <w:sz w:val="24"/>
                <w:szCs w:val="24"/>
                <w:lang w:eastAsia="zh-CN"/>
              </w:rPr>
              <w:t>投标报价</w:t>
            </w:r>
          </w:p>
        </w:tc>
        <w:tc>
          <w:tcPr>
            <w:tcW w:w="6458"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4"/>
                <w:szCs w:val="24"/>
              </w:rPr>
            </w:pPr>
            <w:r>
              <w:rPr>
                <w:rFonts w:hint="eastAsia" w:ascii="宋体" w:hAnsi="宋体" w:cs="宋体"/>
                <w:kern w:val="0"/>
                <w:sz w:val="24"/>
                <w:szCs w:val="24"/>
                <w:lang w:val="en-US" w:eastAsia="zh-CN"/>
              </w:rPr>
              <w:t>总销售收入</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val="en-US" w:eastAsia="zh-CN"/>
              </w:rPr>
              <w:t>%</w:t>
            </w:r>
          </w:p>
        </w:tc>
      </w:tr>
      <w:tr>
        <w:tblPrEx>
          <w:tblCellMar>
            <w:top w:w="0" w:type="dxa"/>
            <w:left w:w="108" w:type="dxa"/>
            <w:bottom w:w="0" w:type="dxa"/>
            <w:right w:w="108" w:type="dxa"/>
          </w:tblCellMar>
        </w:tblPrEx>
        <w:trPr>
          <w:trHeight w:val="1249" w:hRule="atLeast"/>
          <w:jc w:val="center"/>
        </w:trPr>
        <w:tc>
          <w:tcPr>
            <w:tcW w:w="915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备注：</w:t>
            </w:r>
          </w:p>
          <w:p>
            <w:pPr>
              <w:widowControl/>
              <w:jc w:val="center"/>
              <w:rPr>
                <w:rFonts w:ascii="宋体" w:hAnsi="宋体" w:cs="宋体"/>
                <w:kern w:val="0"/>
                <w:sz w:val="24"/>
                <w:szCs w:val="24"/>
              </w:rPr>
            </w:pPr>
          </w:p>
        </w:tc>
      </w:tr>
    </w:tbl>
    <w:p>
      <w:pPr>
        <w:pStyle w:val="13"/>
        <w:adjustRightInd w:val="0"/>
        <w:snapToGrid w:val="0"/>
        <w:spacing w:line="276" w:lineRule="auto"/>
        <w:jc w:val="center"/>
        <w:rPr>
          <w:rFonts w:hAnsi="宋体"/>
          <w:b/>
          <w:bCs/>
          <w:sz w:val="24"/>
          <w:szCs w:val="24"/>
        </w:rPr>
      </w:pPr>
    </w:p>
    <w:p>
      <w:pPr>
        <w:pStyle w:val="13"/>
        <w:adjustRightInd w:val="0"/>
        <w:snapToGrid w:val="0"/>
        <w:spacing w:line="276" w:lineRule="auto"/>
        <w:jc w:val="center"/>
        <w:rPr>
          <w:rFonts w:hAnsi="宋体"/>
          <w:b/>
          <w:bCs/>
          <w:sz w:val="24"/>
          <w:szCs w:val="24"/>
        </w:rPr>
      </w:pPr>
    </w:p>
    <w:p>
      <w:pPr>
        <w:pStyle w:val="13"/>
        <w:adjustRightInd w:val="0"/>
        <w:snapToGrid w:val="0"/>
        <w:spacing w:line="276" w:lineRule="auto"/>
        <w:jc w:val="center"/>
        <w:rPr>
          <w:rFonts w:hAnsi="宋体"/>
          <w:b/>
          <w:bCs/>
          <w:sz w:val="24"/>
          <w:szCs w:val="24"/>
        </w:rPr>
      </w:pPr>
    </w:p>
    <w:p>
      <w:pPr>
        <w:pStyle w:val="13"/>
        <w:adjustRightInd w:val="0"/>
        <w:snapToGrid w:val="0"/>
        <w:spacing w:line="276" w:lineRule="auto"/>
        <w:jc w:val="center"/>
        <w:rPr>
          <w:rFonts w:hAnsi="宋体"/>
          <w:b/>
          <w:bCs/>
          <w:sz w:val="24"/>
          <w:szCs w:val="24"/>
        </w:rPr>
      </w:pPr>
    </w:p>
    <w:p>
      <w:pPr>
        <w:pStyle w:val="13"/>
        <w:adjustRightInd w:val="0"/>
        <w:snapToGrid w:val="0"/>
        <w:spacing w:line="276" w:lineRule="auto"/>
        <w:jc w:val="center"/>
        <w:rPr>
          <w:rFonts w:hAnsi="宋体"/>
          <w:b/>
          <w:bCs/>
          <w:sz w:val="24"/>
          <w:szCs w:val="24"/>
        </w:rPr>
      </w:pPr>
    </w:p>
    <w:p>
      <w:pPr>
        <w:pStyle w:val="13"/>
        <w:adjustRightInd w:val="0"/>
        <w:snapToGrid w:val="0"/>
        <w:spacing w:line="276" w:lineRule="auto"/>
        <w:jc w:val="center"/>
        <w:rPr>
          <w:rFonts w:hAnsi="宋体"/>
          <w:b/>
          <w:bCs/>
          <w:sz w:val="24"/>
          <w:szCs w:val="24"/>
        </w:rPr>
      </w:pPr>
    </w:p>
    <w:p>
      <w:pPr>
        <w:spacing w:line="360" w:lineRule="auto"/>
        <w:jc w:val="left"/>
        <w:rPr>
          <w:rFonts w:ascii="宋体" w:hAnsi="Calibri" w:eastAsia="宋体" w:cs="Times New Roman"/>
          <w:sz w:val="24"/>
          <w:szCs w:val="24"/>
        </w:rPr>
      </w:pPr>
    </w:p>
    <w:p>
      <w:pPr>
        <w:spacing w:line="360" w:lineRule="auto"/>
        <w:jc w:val="left"/>
        <w:rPr>
          <w:rFonts w:ascii="宋体" w:hAnsi="Calibri" w:eastAsia="宋体" w:cs="Times New Roman"/>
          <w:b/>
          <w:bCs/>
          <w:sz w:val="24"/>
          <w:szCs w:val="24"/>
        </w:rPr>
      </w:pPr>
      <w:r>
        <w:rPr>
          <w:rFonts w:hint="eastAsia" w:ascii="宋体" w:hAnsi="Calibri" w:eastAsia="宋体" w:cs="Times New Roman"/>
          <w:sz w:val="24"/>
          <w:szCs w:val="24"/>
        </w:rPr>
        <w:t xml:space="preserve"> </w:t>
      </w:r>
      <w:r>
        <w:rPr>
          <w:rFonts w:hint="eastAsia" w:ascii="宋体" w:hAnsi="Calibri" w:eastAsia="宋体" w:cs="Times New Roman"/>
          <w:b/>
          <w:bCs/>
          <w:sz w:val="24"/>
          <w:szCs w:val="24"/>
        </w:rPr>
        <w:t>备注：所有报价均被视为已包含合同所发生的一切费用和税金，是全部工作的价格体现，招标人不再承担任何费用。</w:t>
      </w:r>
    </w:p>
    <w:p>
      <w:pPr>
        <w:spacing w:line="360" w:lineRule="auto"/>
        <w:jc w:val="left"/>
        <w:rPr>
          <w:rFonts w:ascii="宋体" w:hAnsi="Calibri" w:eastAsia="宋体" w:cs="Times New Roman"/>
          <w:sz w:val="24"/>
          <w:szCs w:val="24"/>
        </w:rPr>
      </w:pPr>
    </w:p>
    <w:p>
      <w:pPr>
        <w:spacing w:line="360" w:lineRule="auto"/>
        <w:jc w:val="left"/>
        <w:rPr>
          <w:rFonts w:ascii="宋体" w:hAnsi="Calibri" w:eastAsia="宋体" w:cs="Times New Roman"/>
          <w:sz w:val="24"/>
          <w:szCs w:val="24"/>
        </w:rPr>
      </w:pPr>
      <w:r>
        <w:rPr>
          <w:rFonts w:hint="eastAsia" w:ascii="宋体" w:hAnsi="Calibri" w:eastAsia="宋体" w:cs="Times New Roman"/>
          <w:sz w:val="24"/>
          <w:szCs w:val="24"/>
        </w:rPr>
        <w:t>投标单位（公章）：</w:t>
      </w:r>
    </w:p>
    <w:p>
      <w:pPr>
        <w:spacing w:line="360" w:lineRule="auto"/>
        <w:jc w:val="left"/>
        <w:rPr>
          <w:rFonts w:ascii="宋体" w:hAnsi="Calibri" w:eastAsia="宋体" w:cs="Times New Roman"/>
          <w:sz w:val="24"/>
          <w:szCs w:val="24"/>
        </w:rPr>
      </w:pPr>
      <w:r>
        <w:rPr>
          <w:rFonts w:hint="eastAsia" w:ascii="宋体" w:hAnsi="Calibri" w:eastAsia="宋体" w:cs="Times New Roman"/>
          <w:sz w:val="24"/>
          <w:szCs w:val="24"/>
        </w:rPr>
        <w:t>投标单位法人或授权代表签字：</w:t>
      </w:r>
    </w:p>
    <w:p>
      <w:pPr>
        <w:spacing w:line="360" w:lineRule="auto"/>
        <w:jc w:val="left"/>
        <w:rPr>
          <w:rFonts w:ascii="宋体" w:hAnsi="Calibri" w:eastAsia="宋体" w:cs="Times New Roman"/>
          <w:sz w:val="24"/>
          <w:szCs w:val="24"/>
        </w:rPr>
      </w:pPr>
      <w:r>
        <w:rPr>
          <w:rFonts w:hint="eastAsia" w:ascii="宋体" w:hAnsi="Calibri" w:eastAsia="宋体" w:cs="Times New Roman"/>
          <w:sz w:val="24"/>
          <w:szCs w:val="24"/>
        </w:rPr>
        <w:t xml:space="preserve">        年   月   日</w:t>
      </w:r>
    </w:p>
    <w:p>
      <w:pPr>
        <w:tabs>
          <w:tab w:val="center" w:pos="4832"/>
          <w:tab w:val="left" w:pos="7140"/>
        </w:tabs>
        <w:jc w:val="center"/>
        <w:outlineLvl w:val="1"/>
        <w:rPr>
          <w:rFonts w:ascii="宋体" w:hAnsi="宋体" w:eastAsia="宋体"/>
          <w:b/>
          <w:bCs/>
          <w:snapToGrid w:val="0"/>
          <w:kern w:val="0"/>
          <w:sz w:val="24"/>
          <w:szCs w:val="24"/>
        </w:rPr>
      </w:pPr>
      <w:r>
        <w:rPr>
          <w:rFonts w:ascii="宋体" w:hAnsi="Calibri" w:eastAsia="宋体" w:cs="Arial"/>
          <w:b/>
          <w:bCs/>
          <w:color w:val="020000"/>
          <w:kern w:val="36"/>
          <w:sz w:val="24"/>
          <w:szCs w:val="24"/>
        </w:rPr>
        <w:br w:type="page"/>
      </w:r>
      <w:bookmarkStart w:id="70" w:name="_Toc488827477"/>
      <w:r>
        <w:rPr>
          <w:rFonts w:ascii="宋体" w:hAnsi="宋体" w:eastAsia="宋体"/>
          <w:b/>
          <w:bCs/>
          <w:snapToGrid w:val="0"/>
          <w:kern w:val="0"/>
          <w:sz w:val="24"/>
          <w:szCs w:val="24"/>
        </w:rPr>
        <w:t xml:space="preserve"> </w:t>
      </w:r>
      <w:r>
        <w:rPr>
          <w:rFonts w:hint="eastAsia" w:ascii="宋体" w:hAnsi="宋体" w:eastAsia="宋体"/>
          <w:b/>
          <w:bCs/>
          <w:snapToGrid w:val="0"/>
          <w:kern w:val="0"/>
          <w:sz w:val="24"/>
          <w:szCs w:val="24"/>
        </w:rPr>
        <w:t>法定代表人身份证明书</w:t>
      </w:r>
    </w:p>
    <w:p>
      <w:pPr>
        <w:adjustRightInd w:val="0"/>
        <w:snapToGrid w:val="0"/>
        <w:spacing w:line="360" w:lineRule="auto"/>
        <w:jc w:val="center"/>
        <w:rPr>
          <w:rFonts w:ascii="宋体" w:hAnsi="宋体" w:eastAsia="宋体"/>
          <w:b/>
          <w:bCs/>
          <w:snapToGrid w:val="0"/>
          <w:kern w:val="0"/>
          <w:sz w:val="24"/>
          <w:szCs w:val="24"/>
        </w:rPr>
      </w:pPr>
    </w:p>
    <w:p>
      <w:pPr>
        <w:spacing w:line="360" w:lineRule="auto"/>
        <w:jc w:val="center"/>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单位名称：</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企业类型：</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地    址：</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营业期限：</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成立时间：</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u w:val="single"/>
        </w:rPr>
      </w:pPr>
      <w:r>
        <w:rPr>
          <w:rFonts w:hint="eastAsia" w:ascii="宋体" w:hAnsi="宋体" w:eastAsia="宋体"/>
          <w:snapToGrid w:val="0"/>
          <w:kern w:val="0"/>
          <w:sz w:val="24"/>
          <w:szCs w:val="24"/>
        </w:rPr>
        <w:t>姓名：</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性别</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年龄：</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职务：</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系</w:t>
      </w:r>
      <w:r>
        <w:rPr>
          <w:rFonts w:hint="eastAsia" w:ascii="宋体" w:hAnsi="宋体" w:eastAsia="宋体"/>
          <w:snapToGrid w:val="0"/>
          <w:kern w:val="0"/>
          <w:sz w:val="24"/>
          <w:szCs w:val="24"/>
          <w:u w:val="single"/>
        </w:rPr>
        <w:t xml:space="preserve">       （投标人名称）        </w:t>
      </w:r>
      <w:r>
        <w:rPr>
          <w:rFonts w:hint="eastAsia" w:ascii="宋体" w:hAnsi="宋体" w:eastAsia="宋体"/>
          <w:snapToGrid w:val="0"/>
          <w:kern w:val="0"/>
          <w:sz w:val="24"/>
          <w:szCs w:val="24"/>
        </w:rPr>
        <w:t>的法定代表人。</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特此证明。</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pStyle w:val="10"/>
        <w:snapToGrid w:val="0"/>
        <w:ind w:firstLine="3840" w:firstLineChars="1600"/>
        <w:jc w:val="right"/>
        <w:rPr>
          <w:rFonts w:hAnsi="宋体"/>
          <w:snapToGrid w:val="0"/>
        </w:rPr>
      </w:pPr>
      <w:r>
        <w:rPr>
          <w:rFonts w:hint="eastAsia" w:hAnsi="宋体"/>
          <w:snapToGrid w:val="0"/>
        </w:rPr>
        <w:t>投标单位（公章）：</w:t>
      </w:r>
    </w:p>
    <w:p>
      <w:pPr>
        <w:adjustRightInd w:val="0"/>
        <w:snapToGrid w:val="0"/>
        <w:spacing w:line="360" w:lineRule="auto"/>
        <w:ind w:firstLine="4560" w:firstLineChars="1900"/>
        <w:jc w:val="right"/>
        <w:rPr>
          <w:rFonts w:ascii="宋体" w:hAnsi="宋体" w:eastAsia="宋体"/>
          <w:snapToGrid w:val="0"/>
          <w:kern w:val="0"/>
          <w:sz w:val="24"/>
          <w:szCs w:val="24"/>
        </w:rPr>
      </w:pPr>
      <w:r>
        <w:rPr>
          <w:rFonts w:hint="eastAsia" w:ascii="宋体" w:hAnsi="宋体" w:eastAsia="宋体"/>
          <w:snapToGrid w:val="0"/>
          <w:kern w:val="0"/>
          <w:sz w:val="24"/>
          <w:szCs w:val="24"/>
        </w:rPr>
        <w:t>年    月    日</w:t>
      </w:r>
    </w:p>
    <w:p>
      <w:pPr>
        <w:spacing w:line="360" w:lineRule="auto"/>
        <w:jc w:val="right"/>
        <w:rPr>
          <w:rFonts w:ascii="宋体" w:hAnsi="宋体" w:eastAsia="宋体"/>
          <w:snapToGrid w:val="0"/>
          <w:kern w:val="0"/>
          <w:szCs w:val="21"/>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adjustRightInd w:val="0"/>
        <w:snapToGrid w:val="0"/>
        <w:spacing w:line="360" w:lineRule="auto"/>
        <w:jc w:val="center"/>
        <w:rPr>
          <w:rFonts w:ascii="宋体" w:hAnsi="宋体" w:eastAsia="宋体"/>
          <w:b/>
          <w:bCs/>
          <w:snapToGrid w:val="0"/>
          <w:kern w:val="0"/>
          <w:szCs w:val="21"/>
        </w:rPr>
      </w:pPr>
    </w:p>
    <w:p>
      <w:pPr>
        <w:adjustRightInd w:val="0"/>
        <w:snapToGrid w:val="0"/>
        <w:spacing w:line="360" w:lineRule="auto"/>
        <w:jc w:val="center"/>
        <w:rPr>
          <w:rFonts w:ascii="宋体" w:hAnsi="宋体" w:eastAsia="宋体"/>
          <w:b/>
          <w:bCs/>
          <w:snapToGrid w:val="0"/>
          <w:kern w:val="0"/>
          <w:sz w:val="24"/>
          <w:szCs w:val="24"/>
        </w:rPr>
      </w:pPr>
      <w:r>
        <w:rPr>
          <w:rFonts w:hint="eastAsia" w:ascii="宋体" w:hAnsi="宋体" w:eastAsia="宋体"/>
          <w:b/>
          <w:bCs/>
          <w:snapToGrid w:val="0"/>
          <w:kern w:val="0"/>
          <w:sz w:val="24"/>
          <w:szCs w:val="24"/>
        </w:rPr>
        <w:t>法定代表人授权委托书</w:t>
      </w:r>
    </w:p>
    <w:p>
      <w:pPr>
        <w:spacing w:line="360" w:lineRule="auto"/>
        <w:rPr>
          <w:rFonts w:ascii="宋体" w:hAnsi="宋体" w:eastAsia="宋体"/>
          <w:snapToGrid w:val="0"/>
          <w:kern w:val="0"/>
          <w:sz w:val="24"/>
          <w:szCs w:val="24"/>
        </w:rPr>
      </w:pPr>
    </w:p>
    <w:p>
      <w:pPr>
        <w:spacing w:line="360" w:lineRule="auto"/>
        <w:ind w:firstLine="629"/>
        <w:rPr>
          <w:rFonts w:ascii="宋体" w:hAnsi="宋体" w:eastAsia="宋体"/>
          <w:snapToGrid w:val="0"/>
          <w:kern w:val="0"/>
          <w:sz w:val="24"/>
          <w:szCs w:val="24"/>
        </w:rPr>
      </w:pPr>
      <w:r>
        <w:rPr>
          <w:rFonts w:hint="eastAsia" w:ascii="宋体" w:hAnsi="宋体" w:eastAsia="宋体"/>
          <w:snapToGrid w:val="0"/>
          <w:kern w:val="0"/>
          <w:sz w:val="24"/>
          <w:szCs w:val="24"/>
        </w:rPr>
        <w:t>本授权委托书声明：我</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（姓名）系</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（投标人名称）的法定代表人，现授权委托</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（投标人名称）的</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（姓名）为我公司代理人，以本公司的名义参加</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（招标人）的</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项目的招标活动。代理人在参加整个项目招标活动、合同谈判过程中所签署的一切文件和处理与之有关的一切事物，我均予以承认。</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代理人：</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性别：</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年龄：</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单  位：</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部门：</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职务：</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w:t>
      </w:r>
    </w:p>
    <w:tbl>
      <w:tblPr>
        <w:tblStyle w:val="28"/>
        <w:tblpPr w:leftFromText="180" w:rightFromText="180" w:vertAnchor="text" w:horzAnchor="margin" w:tblpXSpec="center" w:tblpY="321"/>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7"/>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4387" w:type="dxa"/>
            <w:vAlign w:val="center"/>
          </w:tcPr>
          <w:p>
            <w:pPr>
              <w:spacing w:line="360" w:lineRule="auto"/>
              <w:jc w:val="center"/>
              <w:rPr>
                <w:rFonts w:ascii="宋体" w:hAnsi="宋体" w:eastAsia="宋体"/>
                <w:snapToGrid w:val="0"/>
                <w:kern w:val="0"/>
                <w:sz w:val="24"/>
                <w:szCs w:val="24"/>
              </w:rPr>
            </w:pPr>
            <w:r>
              <w:rPr>
                <w:rFonts w:hint="eastAsia" w:ascii="宋体" w:hAnsi="宋体" w:eastAsia="宋体"/>
                <w:snapToGrid w:val="0"/>
                <w:kern w:val="0"/>
                <w:sz w:val="24"/>
                <w:szCs w:val="24"/>
              </w:rPr>
              <w:t>身份证正面复印件</w:t>
            </w:r>
          </w:p>
        </w:tc>
        <w:tc>
          <w:tcPr>
            <w:tcW w:w="4387" w:type="dxa"/>
            <w:vAlign w:val="center"/>
          </w:tcPr>
          <w:p>
            <w:pPr>
              <w:spacing w:line="360" w:lineRule="auto"/>
              <w:jc w:val="center"/>
              <w:rPr>
                <w:rFonts w:ascii="宋体" w:hAnsi="宋体" w:eastAsia="宋体"/>
                <w:snapToGrid w:val="0"/>
                <w:kern w:val="0"/>
                <w:sz w:val="24"/>
                <w:szCs w:val="24"/>
              </w:rPr>
            </w:pPr>
            <w:r>
              <w:rPr>
                <w:rFonts w:hint="eastAsia" w:ascii="宋体" w:hAnsi="宋体" w:eastAsia="宋体"/>
                <w:snapToGrid w:val="0"/>
                <w:kern w:val="0"/>
                <w:sz w:val="24"/>
                <w:szCs w:val="24"/>
              </w:rPr>
              <w:t>身份证反面复印件</w:t>
            </w:r>
          </w:p>
        </w:tc>
      </w:tr>
    </w:tbl>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 xml:space="preserve">代理人无转委权。特此委托。   </w:t>
      </w:r>
    </w:p>
    <w:p>
      <w:pPr>
        <w:spacing w:line="360" w:lineRule="auto"/>
        <w:rPr>
          <w:rFonts w:ascii="宋体" w:hAnsi="宋体" w:eastAsia="宋体"/>
          <w:snapToGrid w:val="0"/>
          <w:kern w:val="0"/>
          <w:sz w:val="24"/>
          <w:szCs w:val="24"/>
        </w:rPr>
      </w:pPr>
    </w:p>
    <w:p>
      <w:pPr>
        <w:adjustRightInd w:val="0"/>
        <w:snapToGrid w:val="0"/>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投标单位（公章）：</w:t>
      </w:r>
    </w:p>
    <w:p>
      <w:pPr>
        <w:pStyle w:val="10"/>
        <w:snapToGrid w:val="0"/>
        <w:rPr>
          <w:rFonts w:hAnsi="宋体"/>
          <w:snapToGrid w:val="0"/>
        </w:rPr>
      </w:pPr>
    </w:p>
    <w:p>
      <w:pPr>
        <w:adjustRightInd w:val="0"/>
        <w:snapToGrid w:val="0"/>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法定代表人</w:t>
      </w:r>
      <w:r>
        <w:rPr>
          <w:rFonts w:hint="eastAsia" w:ascii="宋体" w:hAnsi="宋体" w:eastAsia="宋体" w:cs="Arial"/>
          <w:color w:val="000000"/>
          <w:kern w:val="0"/>
          <w:sz w:val="24"/>
          <w:szCs w:val="24"/>
        </w:rPr>
        <w:t>（盖章或签字）</w:t>
      </w:r>
      <w:r>
        <w:rPr>
          <w:rFonts w:hint="eastAsia" w:ascii="宋体" w:hAnsi="宋体" w:eastAsia="宋体"/>
          <w:snapToGrid w:val="0"/>
          <w:kern w:val="0"/>
          <w:sz w:val="24"/>
          <w:szCs w:val="24"/>
        </w:rPr>
        <w:t>：</w:t>
      </w:r>
    </w:p>
    <w:p>
      <w:pPr>
        <w:pStyle w:val="10"/>
        <w:snapToGrid w:val="0"/>
        <w:rPr>
          <w:rFonts w:hAnsi="宋体"/>
          <w:snapToGrid w:val="0"/>
        </w:rPr>
      </w:pPr>
    </w:p>
    <w:p>
      <w:pPr>
        <w:adjustRightInd w:val="0"/>
        <w:snapToGrid w:val="0"/>
        <w:spacing w:line="360" w:lineRule="auto"/>
        <w:ind w:firstLine="4560" w:firstLineChars="1900"/>
        <w:rPr>
          <w:rFonts w:ascii="宋体" w:hAnsi="宋体" w:eastAsia="宋体"/>
          <w:snapToGrid w:val="0"/>
          <w:kern w:val="0"/>
          <w:sz w:val="24"/>
          <w:szCs w:val="24"/>
        </w:rPr>
      </w:pPr>
      <w:r>
        <w:rPr>
          <w:rFonts w:hint="eastAsia" w:ascii="宋体" w:hAnsi="宋体" w:eastAsia="宋体"/>
          <w:snapToGrid w:val="0"/>
          <w:kern w:val="0"/>
          <w:sz w:val="24"/>
          <w:szCs w:val="24"/>
        </w:rPr>
        <w:t>年    月    日</w:t>
      </w: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投标人概况</w:t>
      </w:r>
    </w:p>
    <w:p>
      <w:pPr>
        <w:tabs>
          <w:tab w:val="left" w:pos="1660"/>
          <w:tab w:val="left" w:pos="9453"/>
        </w:tabs>
        <w:spacing w:line="360" w:lineRule="auto"/>
        <w:jc w:val="left"/>
        <w:rPr>
          <w:rFonts w:ascii="宋体" w:hAnsi="宋体" w:eastAsia="宋体"/>
          <w:bCs/>
          <w:snapToGrid w:val="0"/>
          <w:kern w:val="0"/>
          <w:szCs w:val="21"/>
        </w:rPr>
      </w:pP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1</w:t>
      </w:r>
      <w:r>
        <w:rPr>
          <w:rFonts w:hint="eastAsia" w:ascii="宋体" w:hAnsi="宋体" w:eastAsia="宋体" w:cs="Times New Roman"/>
          <w:bCs/>
          <w:snapToGrid w:val="0"/>
          <w:kern w:val="0"/>
          <w:sz w:val="24"/>
          <w:szCs w:val="24"/>
        </w:rPr>
        <w:t>、投标人名称</w:t>
      </w:r>
      <w:r>
        <w:rPr>
          <w:rFonts w:ascii="宋体" w:hAnsi="宋体" w:eastAsia="宋体" w:cs="Times New Roman"/>
          <w:bCs/>
          <w:snapToGrid w:val="0"/>
          <w:kern w:val="0"/>
          <w:sz w:val="24"/>
          <w:szCs w:val="24"/>
        </w:rPr>
        <w:tab/>
      </w: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2</w:t>
      </w:r>
      <w:r>
        <w:rPr>
          <w:rFonts w:hint="eastAsia" w:ascii="宋体" w:hAnsi="宋体" w:eastAsia="宋体" w:cs="Times New Roman"/>
          <w:bCs/>
          <w:snapToGrid w:val="0"/>
          <w:kern w:val="0"/>
          <w:sz w:val="24"/>
          <w:szCs w:val="24"/>
        </w:rPr>
        <w:t>、投标人地址</w:t>
      </w: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3</w:t>
      </w:r>
      <w:r>
        <w:rPr>
          <w:rFonts w:hint="eastAsia" w:ascii="宋体" w:hAnsi="宋体" w:eastAsia="宋体" w:cs="Times New Roman"/>
          <w:bCs/>
          <w:snapToGrid w:val="0"/>
          <w:kern w:val="0"/>
          <w:sz w:val="24"/>
          <w:szCs w:val="24"/>
        </w:rPr>
        <w:t>、经营范围</w:t>
      </w:r>
      <w:r>
        <w:rPr>
          <w:rFonts w:ascii="宋体" w:hAnsi="宋体" w:eastAsia="宋体" w:cs="Times New Roman"/>
          <w:bCs/>
          <w:snapToGrid w:val="0"/>
          <w:kern w:val="0"/>
          <w:sz w:val="24"/>
          <w:szCs w:val="24"/>
        </w:rPr>
        <w:tab/>
      </w:r>
    </w:p>
    <w:p>
      <w:pPr>
        <w:tabs>
          <w:tab w:val="left" w:pos="1660"/>
          <w:tab w:val="left" w:pos="9453"/>
        </w:tabs>
        <w:spacing w:line="360" w:lineRule="auto"/>
        <w:jc w:val="left"/>
        <w:rPr>
          <w:rFonts w:ascii="宋体" w:hAnsi="宋体" w:eastAsia="宋体" w:cs="Times New Roman"/>
          <w:sz w:val="24"/>
          <w:szCs w:val="24"/>
        </w:rPr>
      </w:pPr>
      <w:r>
        <w:rPr>
          <w:rFonts w:ascii="宋体" w:hAnsi="宋体" w:eastAsia="宋体" w:cs="Times New Roman"/>
          <w:bCs/>
          <w:snapToGrid w:val="0"/>
          <w:kern w:val="0"/>
          <w:sz w:val="24"/>
          <w:szCs w:val="24"/>
        </w:rPr>
        <w:t>4</w:t>
      </w:r>
      <w:r>
        <w:rPr>
          <w:rFonts w:hint="eastAsia" w:ascii="宋体" w:hAnsi="宋体" w:eastAsia="宋体" w:cs="Times New Roman"/>
          <w:sz w:val="24"/>
          <w:szCs w:val="24"/>
        </w:rPr>
        <w:t>、营业场所</w:t>
      </w: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5</w:t>
      </w:r>
      <w:r>
        <w:rPr>
          <w:rFonts w:hint="eastAsia" w:ascii="宋体" w:hAnsi="宋体" w:eastAsia="宋体" w:cs="Times New Roman"/>
          <w:bCs/>
          <w:snapToGrid w:val="0"/>
          <w:kern w:val="0"/>
          <w:sz w:val="24"/>
          <w:szCs w:val="24"/>
        </w:rPr>
        <w:t>、投标人自我介绍：</w:t>
      </w:r>
    </w:p>
    <w:p>
      <w:pPr>
        <w:tabs>
          <w:tab w:val="left" w:pos="1660"/>
          <w:tab w:val="left" w:pos="9453"/>
        </w:tabs>
        <w:spacing w:line="360" w:lineRule="auto"/>
        <w:jc w:val="left"/>
        <w:rPr>
          <w:rFonts w:ascii="宋体" w:hAnsi="宋体" w:eastAsia="宋体" w:cs="Times New Roman"/>
          <w:bCs/>
          <w:snapToGrid w:val="0"/>
          <w:kern w:val="0"/>
          <w:sz w:val="24"/>
          <w:szCs w:val="24"/>
        </w:rPr>
      </w:pPr>
      <w:r>
        <w:rPr>
          <w:rFonts w:hint="eastAsia" w:ascii="宋体" w:hAnsi="宋体" w:eastAsia="宋体" w:cs="Times New Roman"/>
          <w:bCs/>
          <w:snapToGrid w:val="0"/>
          <w:kern w:val="0"/>
          <w:sz w:val="24"/>
          <w:szCs w:val="24"/>
        </w:rPr>
        <w:t>6、投标应附营业执照副本复印件、在“信用中国”（www.creditchina.gov.vn ）、</w:t>
      </w:r>
      <w:r>
        <w:rPr>
          <w:rFonts w:hint="default" w:ascii="宋体" w:hAnsi="宋体" w:eastAsia="宋体" w:cs="Times New Roman"/>
          <w:bCs/>
          <w:snapToGrid w:val="0"/>
          <w:kern w:val="0"/>
          <w:sz w:val="24"/>
          <w:szCs w:val="24"/>
          <w:lang w:val="en-US" w:eastAsia="zh-CN"/>
        </w:rPr>
        <w:t>”</w:t>
      </w:r>
      <w:r>
        <w:rPr>
          <w:rFonts w:hint="eastAsia" w:ascii="宋体" w:hAnsi="宋体" w:eastAsia="宋体" w:cs="Times New Roman"/>
          <w:bCs/>
          <w:snapToGrid w:val="0"/>
          <w:kern w:val="0"/>
          <w:sz w:val="24"/>
          <w:szCs w:val="24"/>
          <w:lang w:val="en-US" w:eastAsia="zh-CN"/>
        </w:rPr>
        <w:t>“</w:t>
      </w:r>
      <w:r>
        <w:rPr>
          <w:rFonts w:hint="eastAsia"/>
          <w:sz w:val="24"/>
          <w:szCs w:val="24"/>
          <w:lang w:val="en-US" w:eastAsia="zh-CN"/>
        </w:rPr>
        <w:t>中国</w:t>
      </w:r>
      <w:r>
        <w:rPr>
          <w:rFonts w:hint="eastAsia"/>
          <w:sz w:val="24"/>
          <w:szCs w:val="24"/>
          <w:lang w:val="en-US" w:eastAsia="zh-CN"/>
        </w:rPr>
        <w:fldChar w:fldCharType="begin"/>
      </w:r>
      <w:r>
        <w:rPr>
          <w:rFonts w:hint="eastAsia"/>
          <w:sz w:val="24"/>
          <w:szCs w:val="24"/>
          <w:lang w:val="en-US" w:eastAsia="zh-CN"/>
        </w:rPr>
        <w:instrText xml:space="preserve"> HYPERLINK "http://www.caigou2003.com/" </w:instrText>
      </w:r>
      <w:r>
        <w:rPr>
          <w:rFonts w:hint="eastAsia"/>
          <w:sz w:val="24"/>
          <w:szCs w:val="24"/>
          <w:lang w:val="en-US" w:eastAsia="zh-CN"/>
        </w:rPr>
        <w:fldChar w:fldCharType="separate"/>
      </w:r>
      <w:r>
        <w:rPr>
          <w:rFonts w:hint="eastAsia"/>
          <w:sz w:val="24"/>
          <w:szCs w:val="24"/>
          <w:lang w:val="en-US" w:eastAsia="zh-CN"/>
        </w:rPr>
        <w:t>政府采购网</w:t>
      </w:r>
      <w:r>
        <w:rPr>
          <w:rFonts w:hint="eastAsia"/>
          <w:sz w:val="24"/>
          <w:szCs w:val="24"/>
          <w:lang w:val="en-US" w:eastAsia="zh-CN"/>
        </w:rPr>
        <w:fldChar w:fldCharType="end"/>
      </w:r>
      <w:r>
        <w:rPr>
          <w:rFonts w:hint="eastAsia"/>
          <w:sz w:val="24"/>
          <w:szCs w:val="24"/>
          <w:lang w:val="en-US" w:eastAsia="zh-CN"/>
        </w:rPr>
        <w:t>”</w:t>
      </w:r>
      <w:r>
        <w:rPr>
          <w:rFonts w:ascii="宋体" w:hAnsi="宋体" w:eastAsia="宋体" w:cs="宋体"/>
          <w:color w:val="auto"/>
          <w:sz w:val="24"/>
          <w:szCs w:val="24"/>
          <w:u w:val="none"/>
        </w:rPr>
        <w:fldChar w:fldCharType="begin"/>
      </w:r>
      <w:r>
        <w:rPr>
          <w:rFonts w:ascii="宋体" w:hAnsi="宋体" w:eastAsia="宋体" w:cs="宋体"/>
          <w:color w:val="auto"/>
          <w:sz w:val="24"/>
          <w:szCs w:val="24"/>
          <w:u w:val="none"/>
        </w:rPr>
        <w:instrText xml:space="preserve"> HYPERLINK "http://www.ccgp.gov.cn/" </w:instrText>
      </w:r>
      <w:r>
        <w:rPr>
          <w:rFonts w:ascii="宋体" w:hAnsi="宋体" w:eastAsia="宋体" w:cs="宋体"/>
          <w:color w:val="auto"/>
          <w:sz w:val="24"/>
          <w:szCs w:val="24"/>
          <w:u w:val="none"/>
        </w:rPr>
        <w:fldChar w:fldCharType="separate"/>
      </w:r>
      <w:r>
        <w:rPr>
          <w:rStyle w:val="38"/>
          <w:rFonts w:ascii="宋体" w:hAnsi="宋体" w:eastAsia="宋体" w:cs="宋体"/>
          <w:color w:val="auto"/>
          <w:sz w:val="24"/>
          <w:szCs w:val="24"/>
          <w:u w:val="none"/>
        </w:rPr>
        <w:t>(</w:t>
      </w:r>
      <w:r>
        <w:rPr>
          <w:rFonts w:hint="eastAsia"/>
          <w:color w:val="auto"/>
          <w:sz w:val="24"/>
          <w:szCs w:val="24"/>
          <w:u w:val="none"/>
          <w:lang w:val="en-US" w:eastAsia="zh-CN"/>
        </w:rPr>
        <w:t>www.</w:t>
      </w:r>
      <w:r>
        <w:rPr>
          <w:rStyle w:val="38"/>
          <w:rFonts w:ascii="宋体" w:hAnsi="宋体" w:eastAsia="宋体" w:cs="宋体"/>
          <w:color w:val="auto"/>
          <w:sz w:val="24"/>
          <w:szCs w:val="24"/>
          <w:u w:val="none"/>
        </w:rPr>
        <w:t>ccgp.gov.cn)</w:t>
      </w:r>
      <w:r>
        <w:rPr>
          <w:rFonts w:ascii="宋体" w:hAnsi="宋体" w:eastAsia="宋体" w:cs="宋体"/>
          <w:color w:val="auto"/>
          <w:sz w:val="24"/>
          <w:szCs w:val="24"/>
          <w:u w:val="none"/>
        </w:rPr>
        <w:fldChar w:fldCharType="end"/>
      </w:r>
      <w:r>
        <w:rPr>
          <w:rFonts w:hint="eastAsia" w:ascii="宋体" w:hAnsi="宋体" w:eastAsia="宋体" w:cs="Times New Roman"/>
          <w:bCs/>
          <w:snapToGrid w:val="0"/>
          <w:kern w:val="0"/>
          <w:sz w:val="24"/>
          <w:szCs w:val="24"/>
        </w:rPr>
        <w:t>网站查询截图。</w:t>
      </w:r>
    </w:p>
    <w:p>
      <w:pPr>
        <w:pStyle w:val="45"/>
      </w:pPr>
      <w:r>
        <w:rPr>
          <w:rFonts w:hint="eastAsia" w:hAnsi="宋体" w:cs="Times New Roman"/>
          <w:bCs/>
          <w:snapToGrid w:val="0"/>
        </w:rPr>
        <w:t>7、其他招标文件要求提供资料。</w:t>
      </w:r>
    </w:p>
    <w:p>
      <w:pPr>
        <w:tabs>
          <w:tab w:val="left" w:pos="1660"/>
          <w:tab w:val="left" w:pos="9453"/>
        </w:tabs>
        <w:spacing w:line="360" w:lineRule="auto"/>
        <w:jc w:val="left"/>
        <w:rPr>
          <w:rFonts w:ascii="宋体" w:hAnsi="宋体" w:eastAsia="宋体" w:cs="Times New Roman"/>
          <w:bCs/>
          <w:snapToGrid w:val="0"/>
          <w:kern w:val="0"/>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bookmarkEnd w:id="70"/>
    <w:p>
      <w:pPr>
        <w:snapToGrid w:val="0"/>
        <w:spacing w:line="360" w:lineRule="auto"/>
        <w:jc w:val="center"/>
        <w:rPr>
          <w:rFonts w:ascii="宋体" w:hAnsi="宋体" w:eastAsia="宋体" w:cs="宋体"/>
          <w:b/>
          <w:bCs/>
          <w:sz w:val="24"/>
          <w:szCs w:val="24"/>
        </w:rPr>
      </w:pPr>
      <w:r>
        <w:rPr>
          <w:rFonts w:ascii="宋体" w:hAnsi="Calibri" w:eastAsia="宋体" w:cs="Arial"/>
          <w:b/>
          <w:bCs/>
          <w:color w:val="020000"/>
          <w:kern w:val="36"/>
          <w:sz w:val="24"/>
          <w:szCs w:val="24"/>
        </w:rPr>
        <w:br w:type="page"/>
      </w:r>
      <w:r>
        <w:rPr>
          <w:rFonts w:hint="eastAsia" w:ascii="宋体" w:hAnsi="宋体" w:eastAsia="宋体" w:cs="宋体"/>
          <w:b/>
          <w:bCs/>
          <w:sz w:val="24"/>
          <w:szCs w:val="24"/>
        </w:rPr>
        <w:t>承诺投入的项目人员表</w:t>
      </w:r>
    </w:p>
    <w:tbl>
      <w:tblPr>
        <w:tblStyle w:val="28"/>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126"/>
        <w:gridCol w:w="690"/>
        <w:gridCol w:w="690"/>
        <w:gridCol w:w="750"/>
        <w:gridCol w:w="810"/>
        <w:gridCol w:w="870"/>
        <w:gridCol w:w="1304"/>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91" w:type="dxa"/>
            <w:tcBorders>
              <w:top w:val="single" w:color="auto" w:sz="12" w:space="0"/>
              <w:left w:val="single" w:color="auto" w:sz="12" w:space="0"/>
              <w:bottom w:val="single" w:color="auto" w:sz="12" w:space="0"/>
            </w:tcBorders>
            <w:vAlign w:val="center"/>
          </w:tcPr>
          <w:p>
            <w:pPr>
              <w:jc w:val="center"/>
              <w:rPr>
                <w:bCs/>
                <w:sz w:val="22"/>
              </w:rPr>
            </w:pPr>
            <w:r>
              <w:rPr>
                <w:rFonts w:hint="eastAsia"/>
                <w:bCs/>
                <w:sz w:val="22"/>
              </w:rPr>
              <w:t>姓名</w:t>
            </w:r>
          </w:p>
        </w:tc>
        <w:tc>
          <w:tcPr>
            <w:tcW w:w="1126" w:type="dxa"/>
            <w:tcBorders>
              <w:top w:val="single" w:color="auto" w:sz="12" w:space="0"/>
              <w:bottom w:val="single" w:color="auto" w:sz="12" w:space="0"/>
            </w:tcBorders>
            <w:vAlign w:val="center"/>
          </w:tcPr>
          <w:p>
            <w:pPr>
              <w:jc w:val="center"/>
              <w:rPr>
                <w:bCs/>
                <w:sz w:val="22"/>
              </w:rPr>
            </w:pPr>
            <w:r>
              <w:rPr>
                <w:rFonts w:hint="eastAsia"/>
                <w:bCs/>
                <w:sz w:val="22"/>
              </w:rPr>
              <w:t>学历</w:t>
            </w:r>
          </w:p>
        </w:tc>
        <w:tc>
          <w:tcPr>
            <w:tcW w:w="690" w:type="dxa"/>
            <w:tcBorders>
              <w:top w:val="single" w:color="auto" w:sz="12" w:space="0"/>
              <w:bottom w:val="single" w:color="auto" w:sz="12" w:space="0"/>
            </w:tcBorders>
            <w:vAlign w:val="center"/>
          </w:tcPr>
          <w:p>
            <w:pPr>
              <w:jc w:val="center"/>
              <w:rPr>
                <w:bCs/>
                <w:sz w:val="22"/>
              </w:rPr>
            </w:pPr>
            <w:r>
              <w:rPr>
                <w:rFonts w:hint="eastAsia"/>
                <w:bCs/>
                <w:sz w:val="22"/>
              </w:rPr>
              <w:t>年龄</w:t>
            </w:r>
          </w:p>
        </w:tc>
        <w:tc>
          <w:tcPr>
            <w:tcW w:w="690" w:type="dxa"/>
            <w:tcBorders>
              <w:top w:val="single" w:color="auto" w:sz="12" w:space="0"/>
              <w:bottom w:val="single" w:color="auto" w:sz="12" w:space="0"/>
            </w:tcBorders>
            <w:vAlign w:val="center"/>
          </w:tcPr>
          <w:p>
            <w:pPr>
              <w:jc w:val="center"/>
              <w:rPr>
                <w:bCs/>
                <w:sz w:val="22"/>
              </w:rPr>
            </w:pPr>
            <w:r>
              <w:rPr>
                <w:rFonts w:hint="eastAsia"/>
                <w:bCs/>
                <w:sz w:val="22"/>
              </w:rPr>
              <w:t>性别</w:t>
            </w:r>
          </w:p>
        </w:tc>
        <w:tc>
          <w:tcPr>
            <w:tcW w:w="750" w:type="dxa"/>
            <w:tcBorders>
              <w:top w:val="single" w:color="auto" w:sz="12" w:space="0"/>
              <w:bottom w:val="single" w:color="auto" w:sz="12" w:space="0"/>
              <w:right w:val="single" w:color="auto" w:sz="4" w:space="0"/>
            </w:tcBorders>
            <w:vAlign w:val="center"/>
          </w:tcPr>
          <w:p>
            <w:pPr>
              <w:jc w:val="center"/>
              <w:rPr>
                <w:bCs/>
                <w:sz w:val="22"/>
              </w:rPr>
            </w:pPr>
            <w:r>
              <w:rPr>
                <w:rFonts w:hint="eastAsia"/>
                <w:bCs/>
                <w:sz w:val="22"/>
              </w:rPr>
              <w:t>相关证书</w:t>
            </w:r>
          </w:p>
        </w:tc>
        <w:tc>
          <w:tcPr>
            <w:tcW w:w="810" w:type="dxa"/>
            <w:tcBorders>
              <w:top w:val="single" w:color="auto" w:sz="12" w:space="0"/>
              <w:left w:val="single" w:color="auto" w:sz="4" w:space="0"/>
              <w:bottom w:val="single" w:color="auto" w:sz="12" w:space="0"/>
            </w:tcBorders>
            <w:vAlign w:val="center"/>
          </w:tcPr>
          <w:p>
            <w:pPr>
              <w:jc w:val="center"/>
              <w:rPr>
                <w:bCs/>
                <w:sz w:val="22"/>
              </w:rPr>
            </w:pPr>
            <w:r>
              <w:rPr>
                <w:rFonts w:hint="eastAsia"/>
                <w:bCs/>
                <w:sz w:val="22"/>
              </w:rPr>
              <w:t>专业/</w:t>
            </w:r>
          </w:p>
          <w:p>
            <w:pPr>
              <w:jc w:val="center"/>
              <w:rPr>
                <w:bCs/>
                <w:sz w:val="22"/>
              </w:rPr>
            </w:pPr>
            <w:r>
              <w:rPr>
                <w:rFonts w:hint="eastAsia"/>
                <w:bCs/>
                <w:sz w:val="22"/>
              </w:rPr>
              <w:t>年限</w:t>
            </w:r>
          </w:p>
        </w:tc>
        <w:tc>
          <w:tcPr>
            <w:tcW w:w="870" w:type="dxa"/>
            <w:tcBorders>
              <w:top w:val="single" w:color="auto" w:sz="12" w:space="0"/>
              <w:bottom w:val="single" w:color="auto" w:sz="12" w:space="0"/>
            </w:tcBorders>
            <w:vAlign w:val="center"/>
          </w:tcPr>
          <w:p>
            <w:pPr>
              <w:jc w:val="center"/>
              <w:rPr>
                <w:bCs/>
                <w:sz w:val="22"/>
              </w:rPr>
            </w:pPr>
            <w:r>
              <w:rPr>
                <w:rFonts w:hint="eastAsia" w:ascii="宋体" w:hAnsi="宋体"/>
                <w:szCs w:val="21"/>
              </w:rPr>
              <w:t>从事该岗位时间</w:t>
            </w:r>
          </w:p>
        </w:tc>
        <w:tc>
          <w:tcPr>
            <w:tcW w:w="1304" w:type="dxa"/>
            <w:tcBorders>
              <w:top w:val="single" w:color="auto" w:sz="12" w:space="0"/>
              <w:bottom w:val="single" w:color="auto" w:sz="12" w:space="0"/>
            </w:tcBorders>
            <w:vAlign w:val="center"/>
          </w:tcPr>
          <w:p>
            <w:pPr>
              <w:jc w:val="center"/>
              <w:rPr>
                <w:bCs/>
                <w:sz w:val="22"/>
              </w:rPr>
            </w:pPr>
            <w:r>
              <w:rPr>
                <w:rFonts w:hint="eastAsia" w:ascii="宋体" w:hAnsi="宋体"/>
                <w:szCs w:val="21"/>
              </w:rPr>
              <w:t>拟担任岗位或承担工作内容</w:t>
            </w:r>
          </w:p>
        </w:tc>
        <w:tc>
          <w:tcPr>
            <w:tcW w:w="1834" w:type="dxa"/>
            <w:tcBorders>
              <w:top w:val="single" w:color="auto" w:sz="12" w:space="0"/>
              <w:bottom w:val="single" w:color="auto" w:sz="12" w:space="0"/>
              <w:right w:val="single" w:color="auto" w:sz="12" w:space="0"/>
            </w:tcBorders>
            <w:vAlign w:val="center"/>
          </w:tcPr>
          <w:p>
            <w:pPr>
              <w:jc w:val="center"/>
              <w:rPr>
                <w:bCs/>
                <w:sz w:val="22"/>
              </w:rPr>
            </w:pPr>
            <w:r>
              <w:rPr>
                <w:rFonts w:hint="eastAsia"/>
                <w:bCs/>
                <w:sz w:val="22"/>
              </w:rPr>
              <w:t>类似服务的经历、业绩介绍（或另附简历）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tcBorders>
              <w:right w:val="single" w:color="auto" w:sz="4" w:space="0"/>
            </w:tcBorders>
            <w:vAlign w:val="center"/>
          </w:tcPr>
          <w:p>
            <w:pPr>
              <w:rPr>
                <w:sz w:val="22"/>
              </w:rPr>
            </w:pPr>
          </w:p>
        </w:tc>
        <w:tc>
          <w:tcPr>
            <w:tcW w:w="810" w:type="dxa"/>
            <w:tcBorders>
              <w:left w:val="single" w:color="auto" w:sz="4" w:space="0"/>
            </w:tcBorders>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91" w:type="dxa"/>
            <w:tcBorders>
              <w:left w:val="single" w:color="auto" w:sz="12" w:space="0"/>
            </w:tcBorders>
            <w:vAlign w:val="center"/>
          </w:tcPr>
          <w:p>
            <w:pPr>
              <w:spacing w:line="180" w:lineRule="exact"/>
              <w:rPr>
                <w:sz w:val="22"/>
              </w:rPr>
            </w:pPr>
          </w:p>
        </w:tc>
        <w:tc>
          <w:tcPr>
            <w:tcW w:w="1126" w:type="dxa"/>
            <w:vAlign w:val="center"/>
          </w:tcPr>
          <w:p>
            <w:pPr>
              <w:spacing w:line="180" w:lineRule="exact"/>
              <w:rPr>
                <w:sz w:val="22"/>
              </w:rPr>
            </w:pPr>
          </w:p>
        </w:tc>
        <w:tc>
          <w:tcPr>
            <w:tcW w:w="690" w:type="dxa"/>
            <w:vAlign w:val="center"/>
          </w:tcPr>
          <w:p>
            <w:pPr>
              <w:spacing w:line="180" w:lineRule="exact"/>
              <w:rPr>
                <w:sz w:val="22"/>
              </w:rPr>
            </w:pPr>
          </w:p>
        </w:tc>
        <w:tc>
          <w:tcPr>
            <w:tcW w:w="690" w:type="dxa"/>
            <w:vAlign w:val="center"/>
          </w:tcPr>
          <w:p>
            <w:pPr>
              <w:spacing w:line="180" w:lineRule="exact"/>
              <w:rPr>
                <w:sz w:val="22"/>
              </w:rPr>
            </w:pPr>
          </w:p>
        </w:tc>
        <w:tc>
          <w:tcPr>
            <w:tcW w:w="750" w:type="dxa"/>
            <w:tcBorders>
              <w:right w:val="single" w:color="auto" w:sz="4" w:space="0"/>
            </w:tcBorders>
            <w:vAlign w:val="center"/>
          </w:tcPr>
          <w:p>
            <w:pPr>
              <w:spacing w:line="180" w:lineRule="exact"/>
              <w:rPr>
                <w:sz w:val="22"/>
              </w:rPr>
            </w:pPr>
          </w:p>
          <w:p>
            <w:pPr>
              <w:spacing w:line="180" w:lineRule="exact"/>
              <w:rPr>
                <w:sz w:val="22"/>
              </w:rPr>
            </w:pPr>
          </w:p>
          <w:p>
            <w:pPr>
              <w:spacing w:line="180" w:lineRule="exact"/>
              <w:rPr>
                <w:sz w:val="22"/>
              </w:rPr>
            </w:pPr>
          </w:p>
        </w:tc>
        <w:tc>
          <w:tcPr>
            <w:tcW w:w="810" w:type="dxa"/>
            <w:tcBorders>
              <w:left w:val="single" w:color="auto" w:sz="4" w:space="0"/>
            </w:tcBorders>
            <w:vAlign w:val="center"/>
          </w:tcPr>
          <w:p>
            <w:pPr>
              <w:spacing w:line="180" w:lineRule="exact"/>
              <w:rPr>
                <w:sz w:val="22"/>
              </w:rPr>
            </w:pPr>
          </w:p>
        </w:tc>
        <w:tc>
          <w:tcPr>
            <w:tcW w:w="870" w:type="dxa"/>
            <w:vAlign w:val="center"/>
          </w:tcPr>
          <w:p>
            <w:pPr>
              <w:spacing w:line="180" w:lineRule="exact"/>
              <w:rPr>
                <w:sz w:val="22"/>
              </w:rPr>
            </w:pPr>
          </w:p>
        </w:tc>
        <w:tc>
          <w:tcPr>
            <w:tcW w:w="1304" w:type="dxa"/>
            <w:vAlign w:val="center"/>
          </w:tcPr>
          <w:p>
            <w:pPr>
              <w:spacing w:line="180" w:lineRule="exact"/>
              <w:rPr>
                <w:sz w:val="22"/>
              </w:rPr>
            </w:pPr>
          </w:p>
        </w:tc>
        <w:tc>
          <w:tcPr>
            <w:tcW w:w="1834" w:type="dxa"/>
            <w:tcBorders>
              <w:right w:val="single" w:color="auto" w:sz="12" w:space="0"/>
            </w:tcBorders>
            <w:vAlign w:val="center"/>
          </w:tcPr>
          <w:p>
            <w:pPr>
              <w:spacing w:line="18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tcBorders>
              <w:right w:val="single" w:color="auto" w:sz="4" w:space="0"/>
            </w:tcBorders>
            <w:vAlign w:val="center"/>
          </w:tcPr>
          <w:p>
            <w:pPr>
              <w:rPr>
                <w:sz w:val="22"/>
              </w:rPr>
            </w:pPr>
          </w:p>
        </w:tc>
        <w:tc>
          <w:tcPr>
            <w:tcW w:w="810" w:type="dxa"/>
            <w:tcBorders>
              <w:left w:val="single" w:color="auto" w:sz="4" w:space="0"/>
            </w:tcBorders>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tcBorders>
              <w:right w:val="single" w:color="auto" w:sz="4" w:space="0"/>
            </w:tcBorders>
            <w:vAlign w:val="center"/>
          </w:tcPr>
          <w:p>
            <w:pPr>
              <w:rPr>
                <w:sz w:val="22"/>
              </w:rPr>
            </w:pPr>
          </w:p>
        </w:tc>
        <w:tc>
          <w:tcPr>
            <w:tcW w:w="810" w:type="dxa"/>
            <w:tcBorders>
              <w:left w:val="single" w:color="auto" w:sz="4" w:space="0"/>
            </w:tcBorders>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vAlign w:val="center"/>
          </w:tcPr>
          <w:p>
            <w:pPr>
              <w:spacing w:line="360" w:lineRule="auto"/>
              <w:rPr>
                <w:sz w:val="22"/>
              </w:rPr>
            </w:pPr>
          </w:p>
        </w:tc>
        <w:tc>
          <w:tcPr>
            <w:tcW w:w="810" w:type="dxa"/>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0065" w:type="dxa"/>
            <w:gridSpan w:val="9"/>
            <w:tcBorders>
              <w:left w:val="single" w:color="auto" w:sz="12" w:space="0"/>
              <w:bottom w:val="single" w:color="auto" w:sz="12" w:space="0"/>
              <w:right w:val="single" w:color="auto" w:sz="12" w:space="0"/>
            </w:tcBorders>
            <w:vAlign w:val="center"/>
          </w:tcPr>
          <w:p>
            <w:pPr>
              <w:rPr>
                <w:sz w:val="22"/>
              </w:rPr>
            </w:pPr>
            <w:r>
              <w:rPr>
                <w:rFonts w:hint="eastAsia"/>
                <w:sz w:val="22"/>
              </w:rPr>
              <w:t>备注：应附相关证明资料。</w:t>
            </w:r>
          </w:p>
        </w:tc>
      </w:tr>
    </w:tbl>
    <w:p>
      <w:pPr>
        <w:tabs>
          <w:tab w:val="center" w:pos="4832"/>
          <w:tab w:val="left" w:pos="7140"/>
        </w:tabs>
        <w:jc w:val="center"/>
        <w:outlineLvl w:val="1"/>
        <w:rPr>
          <w:rFonts w:ascii="宋体" w:hAnsi="宋体" w:eastAsia="宋体" w:cs="宋体"/>
          <w:b/>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投标人：（盖章）</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法定代表人：（盖章或签字）</w:t>
      </w:r>
    </w:p>
    <w:p>
      <w:pPr>
        <w:widowControl/>
        <w:shd w:val="clear" w:color="auto" w:fill="FFFFFF"/>
        <w:wordWrap w:val="0"/>
        <w:snapToGrid w:val="0"/>
        <w:spacing w:line="384" w:lineRule="auto"/>
        <w:ind w:firstLine="420"/>
        <w:jc w:val="right"/>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tabs>
          <w:tab w:val="center" w:pos="4832"/>
          <w:tab w:val="left" w:pos="7140"/>
        </w:tabs>
        <w:jc w:val="center"/>
        <w:outlineLvl w:val="1"/>
        <w:rPr>
          <w:rFonts w:ascii="宋体" w:hAnsi="宋体" w:eastAsia="宋体" w:cs="宋体"/>
          <w:b/>
          <w:sz w:val="24"/>
          <w:szCs w:val="24"/>
        </w:rPr>
      </w:pPr>
    </w:p>
    <w:p>
      <w:pPr>
        <w:pStyle w:val="9"/>
        <w:rPr>
          <w:rFonts w:ascii="宋体" w:hAnsi="宋体" w:cs="宋体"/>
          <w:b/>
          <w:szCs w:val="24"/>
        </w:rPr>
      </w:pPr>
    </w:p>
    <w:p>
      <w:pPr>
        <w:rPr>
          <w:rFonts w:ascii="宋体" w:hAnsi="宋体" w:cs="宋体"/>
          <w:b/>
          <w:szCs w:val="24"/>
        </w:rPr>
      </w:pPr>
    </w:p>
    <w:p>
      <w:pPr>
        <w:pStyle w:val="45"/>
        <w:rPr>
          <w:rFonts w:hAnsi="宋体"/>
          <w:b/>
        </w:rPr>
      </w:pPr>
    </w:p>
    <w:p>
      <w:pPr>
        <w:pStyle w:val="45"/>
        <w:rPr>
          <w:rFonts w:hAnsi="宋体"/>
          <w:b/>
        </w:rPr>
      </w:pPr>
    </w:p>
    <w:p>
      <w:pPr>
        <w:pStyle w:val="45"/>
        <w:rPr>
          <w:rFonts w:hAnsi="宋体"/>
          <w:b/>
        </w:rPr>
      </w:pPr>
    </w:p>
    <w:p>
      <w:pPr>
        <w:rPr>
          <w:rFonts w:ascii="宋体" w:hAnsi="宋体" w:eastAsia="宋体" w:cs="宋体"/>
          <w:b/>
          <w:sz w:val="24"/>
          <w:szCs w:val="24"/>
        </w:rPr>
      </w:pPr>
    </w:p>
    <w:p>
      <w:pPr>
        <w:pStyle w:val="9"/>
      </w:pP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服务方案</w:t>
      </w:r>
    </w:p>
    <w:p>
      <w:pPr>
        <w:shd w:val="clear" w:color="auto" w:fill="FFFFFF"/>
        <w:snapToGrid w:val="0"/>
        <w:spacing w:line="384" w:lineRule="auto"/>
        <w:jc w:val="left"/>
        <w:rPr>
          <w:rFonts w:ascii="宋体" w:hAnsi="宋体" w:eastAsia="宋体"/>
          <w:b/>
          <w:snapToGrid w:val="0"/>
          <w:kern w:val="0"/>
          <w:sz w:val="24"/>
          <w:szCs w:val="24"/>
        </w:rPr>
      </w:pPr>
    </w:p>
    <w:p>
      <w:pPr>
        <w:shd w:val="clear" w:color="auto" w:fill="FFFFFF"/>
        <w:snapToGrid w:val="0"/>
        <w:spacing w:line="384" w:lineRule="auto"/>
        <w:jc w:val="left"/>
        <w:rPr>
          <w:rFonts w:ascii="宋体" w:hAnsi="Calibri" w:eastAsia="宋体" w:cs="Times New Roman"/>
          <w:color w:val="000000"/>
          <w:sz w:val="24"/>
          <w:szCs w:val="24"/>
        </w:rPr>
      </w:pPr>
      <w:r>
        <w:rPr>
          <w:rFonts w:hint="eastAsia" w:ascii="宋体" w:hAnsi="宋体" w:eastAsia="宋体"/>
          <w:b/>
          <w:snapToGrid w:val="0"/>
          <w:kern w:val="0"/>
          <w:sz w:val="24"/>
          <w:szCs w:val="24"/>
        </w:rPr>
        <w:t>格式投标人自行编制</w:t>
      </w:r>
    </w:p>
    <w:p>
      <w:pPr>
        <w:pStyle w:val="45"/>
      </w:pPr>
    </w:p>
    <w:p>
      <w:pPr>
        <w:pStyle w:val="45"/>
        <w:rPr>
          <w:rFonts w:hAnsi="宋体"/>
          <w:b/>
        </w:rPr>
      </w:pPr>
    </w:p>
    <w:p>
      <w:pPr>
        <w:pStyle w:val="45"/>
        <w:rPr>
          <w:rFonts w:hAnsi="宋体"/>
          <w:b/>
        </w:rPr>
      </w:pPr>
    </w:p>
    <w:p>
      <w:pPr>
        <w:pStyle w:val="45"/>
        <w:jc w:val="center"/>
        <w:rPr>
          <w:rFonts w:hAnsi="宋体"/>
          <w:b/>
          <w:highlight w:val="green"/>
        </w:rPr>
      </w:pPr>
    </w:p>
    <w:p>
      <w:pPr>
        <w:pStyle w:val="45"/>
        <w:jc w:val="center"/>
        <w:rPr>
          <w:rFonts w:hAnsi="宋体"/>
          <w:b/>
        </w:rPr>
      </w:pPr>
      <w:r>
        <w:rPr>
          <w:rFonts w:hint="eastAsia" w:hAnsi="宋体"/>
          <w:b/>
        </w:rPr>
        <w:t>服务承诺</w:t>
      </w:r>
    </w:p>
    <w:p>
      <w:pPr>
        <w:shd w:val="clear" w:color="auto" w:fill="FFFFFF"/>
        <w:snapToGrid w:val="0"/>
        <w:spacing w:line="384" w:lineRule="auto"/>
        <w:jc w:val="left"/>
        <w:rPr>
          <w:rFonts w:ascii="宋体" w:hAnsi="宋体" w:eastAsia="宋体"/>
          <w:b/>
          <w:snapToGrid w:val="0"/>
          <w:kern w:val="0"/>
          <w:sz w:val="24"/>
          <w:szCs w:val="24"/>
        </w:rPr>
      </w:pPr>
    </w:p>
    <w:p>
      <w:pPr>
        <w:shd w:val="clear" w:color="auto" w:fill="FFFFFF"/>
        <w:snapToGrid w:val="0"/>
        <w:spacing w:line="384" w:lineRule="auto"/>
        <w:jc w:val="left"/>
        <w:rPr>
          <w:rFonts w:ascii="宋体" w:hAnsi="Calibri" w:eastAsia="宋体" w:cs="Times New Roman"/>
          <w:color w:val="000000"/>
          <w:sz w:val="24"/>
          <w:szCs w:val="24"/>
        </w:rPr>
      </w:pPr>
      <w:r>
        <w:rPr>
          <w:rFonts w:hint="eastAsia" w:ascii="宋体" w:hAnsi="宋体" w:eastAsia="宋体"/>
          <w:b/>
          <w:snapToGrid w:val="0"/>
          <w:kern w:val="0"/>
          <w:sz w:val="24"/>
          <w:szCs w:val="24"/>
        </w:rPr>
        <w:t>格式投标人自行编制</w:t>
      </w:r>
    </w:p>
    <w:p>
      <w:pPr>
        <w:pStyle w:val="45"/>
        <w:rPr>
          <w:rFonts w:hAnsi="宋体"/>
          <w:b/>
        </w:rPr>
      </w:pPr>
    </w:p>
    <w:p>
      <w:pPr>
        <w:pStyle w:val="45"/>
        <w:rPr>
          <w:rFonts w:hAnsi="宋体"/>
          <w:b/>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招标文件要求及投标人认为有必要提供的其他相关资料等</w:t>
      </w: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shd w:val="clear" w:color="auto" w:fill="FFFFFF"/>
        <w:snapToGrid w:val="0"/>
        <w:spacing w:line="384" w:lineRule="auto"/>
        <w:jc w:val="left"/>
        <w:rPr>
          <w:rFonts w:ascii="宋体" w:hAnsi="宋体" w:eastAsia="宋体" w:cs="宋体"/>
          <w:b/>
          <w:sz w:val="24"/>
          <w:szCs w:val="24"/>
        </w:rPr>
      </w:pPr>
      <w:r>
        <w:rPr>
          <w:rFonts w:hint="eastAsia" w:ascii="宋体" w:hAnsi="宋体" w:eastAsia="宋体"/>
          <w:b/>
          <w:snapToGrid w:val="0"/>
          <w:kern w:val="0"/>
          <w:sz w:val="24"/>
          <w:szCs w:val="24"/>
        </w:rPr>
        <w:t>格式投标人自行编制</w:t>
      </w: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pStyle w:val="9"/>
        <w:rPr>
          <w:rFonts w:ascii="宋体" w:hAnsi="宋体" w:cs="宋体"/>
          <w:b/>
          <w:szCs w:val="24"/>
        </w:rPr>
      </w:pPr>
    </w:p>
    <w:p>
      <w:pPr>
        <w:rPr>
          <w:rFonts w:ascii="宋体" w:hAnsi="宋体" w:eastAsia="宋体" w:cs="宋体"/>
          <w:b/>
          <w:sz w:val="24"/>
          <w:szCs w:val="24"/>
        </w:rPr>
      </w:pPr>
    </w:p>
    <w:p>
      <w:pPr>
        <w:pStyle w:val="9"/>
        <w:rPr>
          <w:rFonts w:ascii="宋体" w:hAnsi="宋体" w:cs="宋体"/>
          <w:b/>
          <w:szCs w:val="24"/>
        </w:rPr>
      </w:pPr>
    </w:p>
    <w:p>
      <w:pPr>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七</w:t>
      </w:r>
      <w:r>
        <w:rPr>
          <w:rFonts w:hint="eastAsia" w:ascii="宋体" w:hAnsi="宋体" w:eastAsia="宋体" w:cs="宋体"/>
          <w:b/>
          <w:sz w:val="24"/>
          <w:szCs w:val="24"/>
        </w:rPr>
        <w:t>章  补充条款</w:t>
      </w:r>
      <w:bookmarkEnd w:id="68"/>
    </w:p>
    <w:p/>
    <w:sectPr>
      <w:headerReference r:id="rId6" w:type="default"/>
      <w:footerReference r:id="rId7" w:type="default"/>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Trebuchet MS">
    <w:panose1 w:val="020B0603020202020204"/>
    <w:charset w:val="00"/>
    <w:family w:val="swiss"/>
    <w:pitch w:val="default"/>
    <w:sig w:usb0="000002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90"/>
      <w:jc w:val="right"/>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68</w:t>
    </w:r>
    <w:r>
      <w:rPr>
        <w:rStyle w:val="32"/>
      </w:rP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190"/>
      </w:tabs>
      <w:rPr>
        <w:rFonts w:asciiTheme="minorEastAsia" w:hAnsiTheme="minorEastAsia" w:eastAsiaTheme="minor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367532114"/>
                          </w:sdtPr>
                          <w:sdtEndPr>
                            <w:rPr>
                              <w:rFonts w:asciiTheme="minorEastAsia" w:hAnsiTheme="minorEastAsia" w:eastAsiaTheme="minorEastAsia"/>
                              <w:sz w:val="30"/>
                              <w:szCs w:val="30"/>
                            </w:rPr>
                          </w:sdtEndPr>
                          <w:sdtContent>
                            <w:p>
                              <w:pPr>
                                <w:pStyle w:val="17"/>
                                <w:jc w:val="right"/>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44</w:t>
                              </w:r>
                              <w:r>
                                <w:rPr>
                                  <w:rFonts w:asciiTheme="minorEastAsia" w:hAnsiTheme="minorEastAsia" w:eastAsiaTheme="minorEastAsia"/>
                                  <w:sz w:val="30"/>
                                  <w:szCs w:val="30"/>
                                </w:rPr>
                                <w:fldChar w:fldCharType="end"/>
                              </w:r>
                            </w:p>
                          </w:sdtContent>
                        </w:sdt>
                        <w:p>
                          <w:pPr>
                            <w:rPr>
                              <w:rFonts w:asciiTheme="minorEastAsia" w:hAnsiTheme="minorEastAsia"/>
                              <w:sz w:val="30"/>
                              <w:szCs w:val="30"/>
                            </w:rPr>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sdt>
                    <w:sdtPr>
                      <w:id w:val="-367532114"/>
                    </w:sdtPr>
                    <w:sdtEndPr>
                      <w:rPr>
                        <w:rFonts w:asciiTheme="minorEastAsia" w:hAnsiTheme="minorEastAsia" w:eastAsiaTheme="minorEastAsia"/>
                        <w:sz w:val="30"/>
                        <w:szCs w:val="30"/>
                      </w:rPr>
                    </w:sdtEndPr>
                    <w:sdtContent>
                      <w:p>
                        <w:pPr>
                          <w:pStyle w:val="17"/>
                          <w:jc w:val="right"/>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44</w:t>
                        </w:r>
                        <w:r>
                          <w:rPr>
                            <w:rFonts w:asciiTheme="minorEastAsia" w:hAnsiTheme="minorEastAsia" w:eastAsiaTheme="minorEastAsia"/>
                            <w:sz w:val="30"/>
                            <w:szCs w:val="30"/>
                          </w:rPr>
                          <w:fldChar w:fldCharType="end"/>
                        </w:r>
                      </w:p>
                    </w:sdtContent>
                  </w:sdt>
                  <w:p>
                    <w:pPr>
                      <w:rPr>
                        <w:rFonts w:asciiTheme="minorEastAsia" w:hAnsiTheme="minorEastAsia"/>
                        <w:sz w:val="30"/>
                        <w:szCs w:val="30"/>
                      </w:rPr>
                    </w:pPr>
                  </w:p>
                </w:txbxContent>
              </v:textbox>
            </v:shape>
          </w:pict>
        </mc:Fallback>
      </mc:AlternateContent>
    </w:r>
    <w:r>
      <w:rPr>
        <w:rFonts w:hint="eastAsia" w:asciiTheme="minorEastAsia" w:hAnsiTheme="minorEastAsia" w:eastAsiaTheme="minorEastAsia"/>
        <w:sz w:val="30"/>
        <w:szCs w:val="30"/>
      </w:rPr>
      <w:tab/>
    </w:r>
    <w:r>
      <w:rPr>
        <w:rFonts w:hint="eastAsia" w:asciiTheme="minorEastAsia" w:hAnsiTheme="minorEastAsia" w:eastAsiaTheme="minorEastAsia"/>
        <w:sz w:val="22"/>
        <w:szCs w:val="22"/>
      </w:rPr>
      <w:tab/>
    </w:r>
    <w:r>
      <w:rPr>
        <w:rFonts w:hint="eastAsia" w:asciiTheme="minorEastAsia" w:hAnsiTheme="minorEastAsia" w:eastAsiaTheme="minorEastAsia"/>
        <w:sz w:val="30"/>
        <w:szCs w:val="30"/>
      </w:rPr>
      <w:tab/>
    </w:r>
    <w:r>
      <w:rPr>
        <w:rFonts w:hint="eastAsia" w:asciiTheme="minorEastAsia" w:hAnsiTheme="minorEastAsia" w:eastAsiaTheme="minorEastAsia"/>
        <w:sz w:val="30"/>
        <w:szCs w:val="30"/>
      </w:rPr>
      <w:tab/>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A84E7"/>
    <w:multiLevelType w:val="singleLevel"/>
    <w:tmpl w:val="9B3A84E7"/>
    <w:lvl w:ilvl="0" w:tentative="0">
      <w:start w:val="1"/>
      <w:numFmt w:val="decimal"/>
      <w:lvlText w:val="%1."/>
      <w:lvlJc w:val="left"/>
      <w:pPr>
        <w:tabs>
          <w:tab w:val="left" w:pos="312"/>
        </w:tabs>
      </w:pPr>
    </w:lvl>
  </w:abstractNum>
  <w:abstractNum w:abstractNumId="1">
    <w:nsid w:val="A4B3F9AA"/>
    <w:multiLevelType w:val="singleLevel"/>
    <w:tmpl w:val="A4B3F9AA"/>
    <w:lvl w:ilvl="0" w:tentative="0">
      <w:start w:val="8"/>
      <w:numFmt w:val="chineseCounting"/>
      <w:suff w:val="nothing"/>
      <w:lvlText w:val="%1、"/>
      <w:lvlJc w:val="left"/>
      <w:rPr>
        <w:rFonts w:hint="eastAsia"/>
      </w:rPr>
    </w:lvl>
  </w:abstractNum>
  <w:abstractNum w:abstractNumId="2">
    <w:nsid w:val="D48DDCF1"/>
    <w:multiLevelType w:val="singleLevel"/>
    <w:tmpl w:val="D48DDCF1"/>
    <w:lvl w:ilvl="0" w:tentative="0">
      <w:start w:val="2"/>
      <w:numFmt w:val="decimal"/>
      <w:suff w:val="nothing"/>
      <w:lvlText w:val="%1、"/>
      <w:lvlJc w:val="left"/>
    </w:lvl>
  </w:abstractNum>
  <w:abstractNum w:abstractNumId="3">
    <w:nsid w:val="00000011"/>
    <w:multiLevelType w:val="multilevel"/>
    <w:tmpl w:val="00000011"/>
    <w:lvl w:ilvl="0" w:tentative="0">
      <w:start w:val="1"/>
      <w:numFmt w:val="decimal"/>
      <w:lvlText w:val="注%1、"/>
      <w:lvlJc w:val="left"/>
      <w:pPr>
        <w:tabs>
          <w:tab w:val="left" w:pos="720"/>
        </w:tabs>
        <w:ind w:left="720" w:hanging="720"/>
      </w:pPr>
      <w:rPr>
        <w:rFonts w:hint="default"/>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DD62920"/>
    <w:multiLevelType w:val="multilevel"/>
    <w:tmpl w:val="5DD6292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N2MwYzUxOGRlZTAxOTM1MmFjZTliZjk3NjI3ZDQifQ=="/>
  </w:docVars>
  <w:rsids>
    <w:rsidRoot w:val="00101AA4"/>
    <w:rsid w:val="00001340"/>
    <w:rsid w:val="00002898"/>
    <w:rsid w:val="00003AB5"/>
    <w:rsid w:val="000231A6"/>
    <w:rsid w:val="00023D97"/>
    <w:rsid w:val="00040CC6"/>
    <w:rsid w:val="000420E7"/>
    <w:rsid w:val="0005748E"/>
    <w:rsid w:val="000611F6"/>
    <w:rsid w:val="00062E67"/>
    <w:rsid w:val="00090014"/>
    <w:rsid w:val="00092127"/>
    <w:rsid w:val="00095EEC"/>
    <w:rsid w:val="000A55F7"/>
    <w:rsid w:val="000A7385"/>
    <w:rsid w:val="000B23CF"/>
    <w:rsid w:val="000B318B"/>
    <w:rsid w:val="000B331B"/>
    <w:rsid w:val="000D171A"/>
    <w:rsid w:val="000D5F4E"/>
    <w:rsid w:val="000E5B9C"/>
    <w:rsid w:val="00101AA4"/>
    <w:rsid w:val="00134E5F"/>
    <w:rsid w:val="00151681"/>
    <w:rsid w:val="00173E7E"/>
    <w:rsid w:val="001A6831"/>
    <w:rsid w:val="001B4C4A"/>
    <w:rsid w:val="001D2ECD"/>
    <w:rsid w:val="001E0C89"/>
    <w:rsid w:val="00200BA8"/>
    <w:rsid w:val="00201D9C"/>
    <w:rsid w:val="00205B9C"/>
    <w:rsid w:val="00211C47"/>
    <w:rsid w:val="00233418"/>
    <w:rsid w:val="002338F0"/>
    <w:rsid w:val="00242F8C"/>
    <w:rsid w:val="00250EB5"/>
    <w:rsid w:val="00266F04"/>
    <w:rsid w:val="002804CC"/>
    <w:rsid w:val="002967DA"/>
    <w:rsid w:val="002B6E51"/>
    <w:rsid w:val="002D21A2"/>
    <w:rsid w:val="002E6F60"/>
    <w:rsid w:val="00313779"/>
    <w:rsid w:val="00315623"/>
    <w:rsid w:val="0032769C"/>
    <w:rsid w:val="00330CA6"/>
    <w:rsid w:val="00344901"/>
    <w:rsid w:val="00362A28"/>
    <w:rsid w:val="00365479"/>
    <w:rsid w:val="0037268E"/>
    <w:rsid w:val="00373627"/>
    <w:rsid w:val="00382075"/>
    <w:rsid w:val="003A352C"/>
    <w:rsid w:val="003A5B50"/>
    <w:rsid w:val="003B027C"/>
    <w:rsid w:val="003B0F1B"/>
    <w:rsid w:val="003D1D2C"/>
    <w:rsid w:val="003D4211"/>
    <w:rsid w:val="003D6E2C"/>
    <w:rsid w:val="0040310D"/>
    <w:rsid w:val="00405F2E"/>
    <w:rsid w:val="00430210"/>
    <w:rsid w:val="00431CEE"/>
    <w:rsid w:val="0043530C"/>
    <w:rsid w:val="00447FD4"/>
    <w:rsid w:val="0045091A"/>
    <w:rsid w:val="00465B1D"/>
    <w:rsid w:val="004712FA"/>
    <w:rsid w:val="00474DF9"/>
    <w:rsid w:val="00492547"/>
    <w:rsid w:val="00492ACB"/>
    <w:rsid w:val="004A68AF"/>
    <w:rsid w:val="004A6F37"/>
    <w:rsid w:val="004B0E47"/>
    <w:rsid w:val="004B313F"/>
    <w:rsid w:val="004B4D72"/>
    <w:rsid w:val="004D646E"/>
    <w:rsid w:val="004E6619"/>
    <w:rsid w:val="00520814"/>
    <w:rsid w:val="00520C75"/>
    <w:rsid w:val="00520FE8"/>
    <w:rsid w:val="00551378"/>
    <w:rsid w:val="00551694"/>
    <w:rsid w:val="0055608C"/>
    <w:rsid w:val="005573F6"/>
    <w:rsid w:val="00560036"/>
    <w:rsid w:val="00566D09"/>
    <w:rsid w:val="00570A3C"/>
    <w:rsid w:val="005741F9"/>
    <w:rsid w:val="005745F5"/>
    <w:rsid w:val="00577A93"/>
    <w:rsid w:val="005802DC"/>
    <w:rsid w:val="00594050"/>
    <w:rsid w:val="00597619"/>
    <w:rsid w:val="00597829"/>
    <w:rsid w:val="005A08CB"/>
    <w:rsid w:val="005A2F4F"/>
    <w:rsid w:val="005A7434"/>
    <w:rsid w:val="005B4D56"/>
    <w:rsid w:val="005D3867"/>
    <w:rsid w:val="005D3D28"/>
    <w:rsid w:val="005F07FB"/>
    <w:rsid w:val="00611F66"/>
    <w:rsid w:val="0061355F"/>
    <w:rsid w:val="00614136"/>
    <w:rsid w:val="006153E8"/>
    <w:rsid w:val="00616D23"/>
    <w:rsid w:val="006249E9"/>
    <w:rsid w:val="00624D74"/>
    <w:rsid w:val="00630DFB"/>
    <w:rsid w:val="0063573F"/>
    <w:rsid w:val="0063610A"/>
    <w:rsid w:val="006377A5"/>
    <w:rsid w:val="00644D1B"/>
    <w:rsid w:val="00647934"/>
    <w:rsid w:val="00653083"/>
    <w:rsid w:val="0067537F"/>
    <w:rsid w:val="006778AB"/>
    <w:rsid w:val="006835FB"/>
    <w:rsid w:val="006A24D2"/>
    <w:rsid w:val="006A5701"/>
    <w:rsid w:val="006B3F2F"/>
    <w:rsid w:val="006B6739"/>
    <w:rsid w:val="006C7175"/>
    <w:rsid w:val="006E344D"/>
    <w:rsid w:val="00704AEC"/>
    <w:rsid w:val="00707CCD"/>
    <w:rsid w:val="00713B73"/>
    <w:rsid w:val="00726B45"/>
    <w:rsid w:val="00730483"/>
    <w:rsid w:val="00732F0C"/>
    <w:rsid w:val="00742C6D"/>
    <w:rsid w:val="00750160"/>
    <w:rsid w:val="0075373F"/>
    <w:rsid w:val="00754AAE"/>
    <w:rsid w:val="0076520F"/>
    <w:rsid w:val="00776B96"/>
    <w:rsid w:val="007867E4"/>
    <w:rsid w:val="00787569"/>
    <w:rsid w:val="00793E46"/>
    <w:rsid w:val="00795D07"/>
    <w:rsid w:val="007A1A90"/>
    <w:rsid w:val="007A256C"/>
    <w:rsid w:val="007B78AB"/>
    <w:rsid w:val="007C0707"/>
    <w:rsid w:val="007C212C"/>
    <w:rsid w:val="007C66D2"/>
    <w:rsid w:val="007D165D"/>
    <w:rsid w:val="007D7D73"/>
    <w:rsid w:val="007F48A7"/>
    <w:rsid w:val="007F563E"/>
    <w:rsid w:val="008033FF"/>
    <w:rsid w:val="00812F81"/>
    <w:rsid w:val="00816708"/>
    <w:rsid w:val="00820B8E"/>
    <w:rsid w:val="00844996"/>
    <w:rsid w:val="00851EEE"/>
    <w:rsid w:val="00867FC3"/>
    <w:rsid w:val="008B141B"/>
    <w:rsid w:val="008B5573"/>
    <w:rsid w:val="008B747B"/>
    <w:rsid w:val="008F3320"/>
    <w:rsid w:val="008F4852"/>
    <w:rsid w:val="008F58F8"/>
    <w:rsid w:val="00900F12"/>
    <w:rsid w:val="00904E27"/>
    <w:rsid w:val="00915383"/>
    <w:rsid w:val="009230C0"/>
    <w:rsid w:val="00930A99"/>
    <w:rsid w:val="00962622"/>
    <w:rsid w:val="009650F0"/>
    <w:rsid w:val="00965552"/>
    <w:rsid w:val="0096574A"/>
    <w:rsid w:val="00976E05"/>
    <w:rsid w:val="0099511A"/>
    <w:rsid w:val="009D6977"/>
    <w:rsid w:val="009F15EF"/>
    <w:rsid w:val="009F1B92"/>
    <w:rsid w:val="009F545E"/>
    <w:rsid w:val="00A0191C"/>
    <w:rsid w:val="00A13E5C"/>
    <w:rsid w:val="00A14C39"/>
    <w:rsid w:val="00A265FB"/>
    <w:rsid w:val="00A27E5A"/>
    <w:rsid w:val="00A320D2"/>
    <w:rsid w:val="00A46BC3"/>
    <w:rsid w:val="00A52C25"/>
    <w:rsid w:val="00A61773"/>
    <w:rsid w:val="00A63500"/>
    <w:rsid w:val="00A6625E"/>
    <w:rsid w:val="00A722F4"/>
    <w:rsid w:val="00A7552E"/>
    <w:rsid w:val="00A82140"/>
    <w:rsid w:val="00AB7A92"/>
    <w:rsid w:val="00AB7D40"/>
    <w:rsid w:val="00AC098E"/>
    <w:rsid w:val="00AC23D0"/>
    <w:rsid w:val="00AC3682"/>
    <w:rsid w:val="00AC4E4B"/>
    <w:rsid w:val="00AD159E"/>
    <w:rsid w:val="00AD3FA3"/>
    <w:rsid w:val="00AE1B73"/>
    <w:rsid w:val="00AF2B54"/>
    <w:rsid w:val="00AF2D1D"/>
    <w:rsid w:val="00B23CA9"/>
    <w:rsid w:val="00B24C3D"/>
    <w:rsid w:val="00B2732E"/>
    <w:rsid w:val="00B319AC"/>
    <w:rsid w:val="00B34743"/>
    <w:rsid w:val="00B3485C"/>
    <w:rsid w:val="00B3551C"/>
    <w:rsid w:val="00B36ADC"/>
    <w:rsid w:val="00B43D3B"/>
    <w:rsid w:val="00B44492"/>
    <w:rsid w:val="00B47B4E"/>
    <w:rsid w:val="00B54AD1"/>
    <w:rsid w:val="00B61061"/>
    <w:rsid w:val="00B6263E"/>
    <w:rsid w:val="00B7096C"/>
    <w:rsid w:val="00B77B78"/>
    <w:rsid w:val="00B801B2"/>
    <w:rsid w:val="00B82315"/>
    <w:rsid w:val="00B93234"/>
    <w:rsid w:val="00B94079"/>
    <w:rsid w:val="00BA2E0E"/>
    <w:rsid w:val="00BA3240"/>
    <w:rsid w:val="00BB1A71"/>
    <w:rsid w:val="00BB5C5F"/>
    <w:rsid w:val="00BC354F"/>
    <w:rsid w:val="00BC380F"/>
    <w:rsid w:val="00BD1FA5"/>
    <w:rsid w:val="00BE4FCA"/>
    <w:rsid w:val="00BE5A28"/>
    <w:rsid w:val="00BE6C67"/>
    <w:rsid w:val="00BE76E0"/>
    <w:rsid w:val="00BF2CFD"/>
    <w:rsid w:val="00C00062"/>
    <w:rsid w:val="00C13F57"/>
    <w:rsid w:val="00C146D5"/>
    <w:rsid w:val="00C20CCE"/>
    <w:rsid w:val="00C21B16"/>
    <w:rsid w:val="00C35DAD"/>
    <w:rsid w:val="00C36162"/>
    <w:rsid w:val="00C55233"/>
    <w:rsid w:val="00C677CD"/>
    <w:rsid w:val="00C701E6"/>
    <w:rsid w:val="00C7181D"/>
    <w:rsid w:val="00C739DB"/>
    <w:rsid w:val="00C748BB"/>
    <w:rsid w:val="00C75179"/>
    <w:rsid w:val="00C871ED"/>
    <w:rsid w:val="00CA54EB"/>
    <w:rsid w:val="00CB0B19"/>
    <w:rsid w:val="00CB5820"/>
    <w:rsid w:val="00CB7F70"/>
    <w:rsid w:val="00CC0350"/>
    <w:rsid w:val="00CC098D"/>
    <w:rsid w:val="00CD5E71"/>
    <w:rsid w:val="00CE5EC5"/>
    <w:rsid w:val="00CE77D1"/>
    <w:rsid w:val="00D15B9A"/>
    <w:rsid w:val="00D17743"/>
    <w:rsid w:val="00D230CF"/>
    <w:rsid w:val="00D27953"/>
    <w:rsid w:val="00D35579"/>
    <w:rsid w:val="00D50B59"/>
    <w:rsid w:val="00D57740"/>
    <w:rsid w:val="00D73311"/>
    <w:rsid w:val="00D767B8"/>
    <w:rsid w:val="00D87B7E"/>
    <w:rsid w:val="00D90FC1"/>
    <w:rsid w:val="00D94508"/>
    <w:rsid w:val="00DA380B"/>
    <w:rsid w:val="00DB1354"/>
    <w:rsid w:val="00DD17FC"/>
    <w:rsid w:val="00DE145A"/>
    <w:rsid w:val="00DE1D02"/>
    <w:rsid w:val="00E05CD7"/>
    <w:rsid w:val="00E1319B"/>
    <w:rsid w:val="00E13751"/>
    <w:rsid w:val="00E32541"/>
    <w:rsid w:val="00E33F13"/>
    <w:rsid w:val="00E34FF9"/>
    <w:rsid w:val="00E43FFE"/>
    <w:rsid w:val="00E5566F"/>
    <w:rsid w:val="00E67644"/>
    <w:rsid w:val="00E87821"/>
    <w:rsid w:val="00E9078D"/>
    <w:rsid w:val="00E971AC"/>
    <w:rsid w:val="00EA0D13"/>
    <w:rsid w:val="00EA2998"/>
    <w:rsid w:val="00EA3EA1"/>
    <w:rsid w:val="00EC4DDD"/>
    <w:rsid w:val="00ED6CEE"/>
    <w:rsid w:val="00EE4C0B"/>
    <w:rsid w:val="00F141A0"/>
    <w:rsid w:val="00F34D3A"/>
    <w:rsid w:val="00F41097"/>
    <w:rsid w:val="00F4347B"/>
    <w:rsid w:val="00F5283D"/>
    <w:rsid w:val="00F70950"/>
    <w:rsid w:val="00F81070"/>
    <w:rsid w:val="00F8193D"/>
    <w:rsid w:val="00F94083"/>
    <w:rsid w:val="00FC0EF5"/>
    <w:rsid w:val="00FD1156"/>
    <w:rsid w:val="00FD2E02"/>
    <w:rsid w:val="00FD71F7"/>
    <w:rsid w:val="00FE4896"/>
    <w:rsid w:val="00FF4C85"/>
    <w:rsid w:val="00FF5D68"/>
    <w:rsid w:val="00FF6C92"/>
    <w:rsid w:val="011E493B"/>
    <w:rsid w:val="015676BF"/>
    <w:rsid w:val="016241D5"/>
    <w:rsid w:val="01A9606C"/>
    <w:rsid w:val="01EC0363"/>
    <w:rsid w:val="02231D31"/>
    <w:rsid w:val="03123C0F"/>
    <w:rsid w:val="03EE5E7A"/>
    <w:rsid w:val="04077506"/>
    <w:rsid w:val="04146292"/>
    <w:rsid w:val="04BE4807"/>
    <w:rsid w:val="053E62CA"/>
    <w:rsid w:val="05BF6316"/>
    <w:rsid w:val="05C3315A"/>
    <w:rsid w:val="05CB4612"/>
    <w:rsid w:val="0646484F"/>
    <w:rsid w:val="067F673C"/>
    <w:rsid w:val="06A41628"/>
    <w:rsid w:val="06D70A6F"/>
    <w:rsid w:val="07691ADF"/>
    <w:rsid w:val="07985989"/>
    <w:rsid w:val="07D11CBB"/>
    <w:rsid w:val="080A1733"/>
    <w:rsid w:val="08D85116"/>
    <w:rsid w:val="09901E9A"/>
    <w:rsid w:val="0A2411B5"/>
    <w:rsid w:val="0A590531"/>
    <w:rsid w:val="0B90623B"/>
    <w:rsid w:val="0BBB50B4"/>
    <w:rsid w:val="0C746FA9"/>
    <w:rsid w:val="0C98759F"/>
    <w:rsid w:val="0C9B3AAC"/>
    <w:rsid w:val="0CAE0E93"/>
    <w:rsid w:val="0CB54A6F"/>
    <w:rsid w:val="0CBD61A6"/>
    <w:rsid w:val="0CD5393E"/>
    <w:rsid w:val="0D9773A6"/>
    <w:rsid w:val="0D9B1235"/>
    <w:rsid w:val="0E06277D"/>
    <w:rsid w:val="0E635637"/>
    <w:rsid w:val="0E852DCF"/>
    <w:rsid w:val="0E9609EF"/>
    <w:rsid w:val="0F771B16"/>
    <w:rsid w:val="11943BFC"/>
    <w:rsid w:val="119C75C8"/>
    <w:rsid w:val="11C646FD"/>
    <w:rsid w:val="124D3E1C"/>
    <w:rsid w:val="127C7B78"/>
    <w:rsid w:val="12B7564A"/>
    <w:rsid w:val="12C60BEB"/>
    <w:rsid w:val="14D04A8C"/>
    <w:rsid w:val="16BB69C0"/>
    <w:rsid w:val="16F455B8"/>
    <w:rsid w:val="17E71EC6"/>
    <w:rsid w:val="17E846CB"/>
    <w:rsid w:val="17FD153E"/>
    <w:rsid w:val="180551F3"/>
    <w:rsid w:val="18E9349F"/>
    <w:rsid w:val="1917023C"/>
    <w:rsid w:val="198502DF"/>
    <w:rsid w:val="19923902"/>
    <w:rsid w:val="1A423B81"/>
    <w:rsid w:val="1AAF308C"/>
    <w:rsid w:val="1AD72EA8"/>
    <w:rsid w:val="1AFC41A2"/>
    <w:rsid w:val="1B546DE6"/>
    <w:rsid w:val="1B6E739A"/>
    <w:rsid w:val="1B9D1C51"/>
    <w:rsid w:val="1C4E2499"/>
    <w:rsid w:val="1C4F4A80"/>
    <w:rsid w:val="1CAD0994"/>
    <w:rsid w:val="1CCF0851"/>
    <w:rsid w:val="1D682E05"/>
    <w:rsid w:val="1F335D1E"/>
    <w:rsid w:val="1F9E59BD"/>
    <w:rsid w:val="1FEC019C"/>
    <w:rsid w:val="20004F29"/>
    <w:rsid w:val="2027102B"/>
    <w:rsid w:val="210E5FF5"/>
    <w:rsid w:val="213F4128"/>
    <w:rsid w:val="218E4255"/>
    <w:rsid w:val="21D63452"/>
    <w:rsid w:val="222E12A8"/>
    <w:rsid w:val="228B5E6F"/>
    <w:rsid w:val="22DE117B"/>
    <w:rsid w:val="22E66CA2"/>
    <w:rsid w:val="23271017"/>
    <w:rsid w:val="23635F18"/>
    <w:rsid w:val="23950C20"/>
    <w:rsid w:val="241D2B7A"/>
    <w:rsid w:val="242623B9"/>
    <w:rsid w:val="24291C04"/>
    <w:rsid w:val="24451E31"/>
    <w:rsid w:val="244C6010"/>
    <w:rsid w:val="245060A9"/>
    <w:rsid w:val="2474247A"/>
    <w:rsid w:val="25170511"/>
    <w:rsid w:val="25575B4C"/>
    <w:rsid w:val="25717946"/>
    <w:rsid w:val="25B57799"/>
    <w:rsid w:val="25F81088"/>
    <w:rsid w:val="263F3C2C"/>
    <w:rsid w:val="26493CEA"/>
    <w:rsid w:val="268169ED"/>
    <w:rsid w:val="26A85A2B"/>
    <w:rsid w:val="26B4482F"/>
    <w:rsid w:val="26CF7759"/>
    <w:rsid w:val="28886BA6"/>
    <w:rsid w:val="292A08E4"/>
    <w:rsid w:val="292A7327"/>
    <w:rsid w:val="29481B50"/>
    <w:rsid w:val="2C32694A"/>
    <w:rsid w:val="2C6B208A"/>
    <w:rsid w:val="2C6D06C2"/>
    <w:rsid w:val="2CE24438"/>
    <w:rsid w:val="2D015D4A"/>
    <w:rsid w:val="2DF83D61"/>
    <w:rsid w:val="2E1819E5"/>
    <w:rsid w:val="2E631DB3"/>
    <w:rsid w:val="2EE91C77"/>
    <w:rsid w:val="2EFA4BAE"/>
    <w:rsid w:val="2F3C3031"/>
    <w:rsid w:val="2FFE70E2"/>
    <w:rsid w:val="30182092"/>
    <w:rsid w:val="31EA0843"/>
    <w:rsid w:val="32DE6010"/>
    <w:rsid w:val="3301194E"/>
    <w:rsid w:val="3309532C"/>
    <w:rsid w:val="33743B62"/>
    <w:rsid w:val="357D1E94"/>
    <w:rsid w:val="35896407"/>
    <w:rsid w:val="35EF058A"/>
    <w:rsid w:val="36762940"/>
    <w:rsid w:val="36C53076"/>
    <w:rsid w:val="36FD0C89"/>
    <w:rsid w:val="36FD4D0A"/>
    <w:rsid w:val="37103F24"/>
    <w:rsid w:val="373D5CAD"/>
    <w:rsid w:val="37C15AE4"/>
    <w:rsid w:val="37CF3066"/>
    <w:rsid w:val="37F258A8"/>
    <w:rsid w:val="389B616C"/>
    <w:rsid w:val="38FD66D7"/>
    <w:rsid w:val="390E5779"/>
    <w:rsid w:val="391B2984"/>
    <w:rsid w:val="39A02FE8"/>
    <w:rsid w:val="3A4B58F1"/>
    <w:rsid w:val="3A5F274A"/>
    <w:rsid w:val="3AD0247C"/>
    <w:rsid w:val="3C74769D"/>
    <w:rsid w:val="3D0003A9"/>
    <w:rsid w:val="3E1A0652"/>
    <w:rsid w:val="3F137A94"/>
    <w:rsid w:val="3F8E4B37"/>
    <w:rsid w:val="42124EF1"/>
    <w:rsid w:val="423C33ED"/>
    <w:rsid w:val="43171FE7"/>
    <w:rsid w:val="43BE3B66"/>
    <w:rsid w:val="43BE4985"/>
    <w:rsid w:val="442971DC"/>
    <w:rsid w:val="44D22496"/>
    <w:rsid w:val="453D0482"/>
    <w:rsid w:val="45B42CD8"/>
    <w:rsid w:val="469F1927"/>
    <w:rsid w:val="46BB38FB"/>
    <w:rsid w:val="47A469D4"/>
    <w:rsid w:val="47F14892"/>
    <w:rsid w:val="481C5BD1"/>
    <w:rsid w:val="48667B51"/>
    <w:rsid w:val="48BD520B"/>
    <w:rsid w:val="49C240EA"/>
    <w:rsid w:val="4A460B2D"/>
    <w:rsid w:val="4A69564B"/>
    <w:rsid w:val="4AD60A15"/>
    <w:rsid w:val="4AFC52B6"/>
    <w:rsid w:val="4C254AA0"/>
    <w:rsid w:val="4C7F6247"/>
    <w:rsid w:val="4CCF0F39"/>
    <w:rsid w:val="4CF86E7C"/>
    <w:rsid w:val="4E9A6529"/>
    <w:rsid w:val="4EAA10D6"/>
    <w:rsid w:val="4F053000"/>
    <w:rsid w:val="4F9749D5"/>
    <w:rsid w:val="4FB848F7"/>
    <w:rsid w:val="50A17FB9"/>
    <w:rsid w:val="511756DC"/>
    <w:rsid w:val="5120088E"/>
    <w:rsid w:val="517B2DDE"/>
    <w:rsid w:val="52801B95"/>
    <w:rsid w:val="5452161B"/>
    <w:rsid w:val="54DD5C4C"/>
    <w:rsid w:val="54DE5502"/>
    <w:rsid w:val="56BB4DBA"/>
    <w:rsid w:val="57AC6FAF"/>
    <w:rsid w:val="57F36492"/>
    <w:rsid w:val="58BA13D4"/>
    <w:rsid w:val="59986AE6"/>
    <w:rsid w:val="5AC45AA5"/>
    <w:rsid w:val="5B760B5C"/>
    <w:rsid w:val="5C00621D"/>
    <w:rsid w:val="5C4C4353"/>
    <w:rsid w:val="5D5F6439"/>
    <w:rsid w:val="5D892490"/>
    <w:rsid w:val="5E215D50"/>
    <w:rsid w:val="5F304F62"/>
    <w:rsid w:val="5F861563"/>
    <w:rsid w:val="601D2279"/>
    <w:rsid w:val="607C4DE3"/>
    <w:rsid w:val="609D607C"/>
    <w:rsid w:val="60F56859"/>
    <w:rsid w:val="61C84EF5"/>
    <w:rsid w:val="61F556C4"/>
    <w:rsid w:val="62BC7517"/>
    <w:rsid w:val="63400185"/>
    <w:rsid w:val="63A2145B"/>
    <w:rsid w:val="63B369EB"/>
    <w:rsid w:val="657A3996"/>
    <w:rsid w:val="6584299C"/>
    <w:rsid w:val="65D31CC8"/>
    <w:rsid w:val="66D56BFF"/>
    <w:rsid w:val="68035EEC"/>
    <w:rsid w:val="68303F4E"/>
    <w:rsid w:val="68536E9D"/>
    <w:rsid w:val="68A82147"/>
    <w:rsid w:val="68E6506E"/>
    <w:rsid w:val="6A0311BD"/>
    <w:rsid w:val="6A4771BC"/>
    <w:rsid w:val="6A8865CD"/>
    <w:rsid w:val="6B9F3CA0"/>
    <w:rsid w:val="6C406EBB"/>
    <w:rsid w:val="6CAA1B4A"/>
    <w:rsid w:val="6DBD5D5B"/>
    <w:rsid w:val="6DD84591"/>
    <w:rsid w:val="6E3430B7"/>
    <w:rsid w:val="6E7D2BC3"/>
    <w:rsid w:val="6ED21024"/>
    <w:rsid w:val="6F3314F1"/>
    <w:rsid w:val="6F811F09"/>
    <w:rsid w:val="701D24D1"/>
    <w:rsid w:val="70201F63"/>
    <w:rsid w:val="70D1268A"/>
    <w:rsid w:val="70D26412"/>
    <w:rsid w:val="71376499"/>
    <w:rsid w:val="71712F9A"/>
    <w:rsid w:val="71FD24A5"/>
    <w:rsid w:val="720567A3"/>
    <w:rsid w:val="721C6291"/>
    <w:rsid w:val="72BD5E2D"/>
    <w:rsid w:val="743B06D5"/>
    <w:rsid w:val="747E006F"/>
    <w:rsid w:val="74A14724"/>
    <w:rsid w:val="74AC7F8B"/>
    <w:rsid w:val="74C0728C"/>
    <w:rsid w:val="751A2B6F"/>
    <w:rsid w:val="766454D4"/>
    <w:rsid w:val="76E729A5"/>
    <w:rsid w:val="7736310E"/>
    <w:rsid w:val="77433658"/>
    <w:rsid w:val="77473005"/>
    <w:rsid w:val="781400F4"/>
    <w:rsid w:val="78766C33"/>
    <w:rsid w:val="788407D4"/>
    <w:rsid w:val="792E4CA6"/>
    <w:rsid w:val="793A5CC1"/>
    <w:rsid w:val="7B00125E"/>
    <w:rsid w:val="7B5C60F0"/>
    <w:rsid w:val="7B8500C6"/>
    <w:rsid w:val="7C374CF9"/>
    <w:rsid w:val="7DA15CF8"/>
    <w:rsid w:val="7DED09A7"/>
    <w:rsid w:val="7E1D2603"/>
    <w:rsid w:val="7E2B0E68"/>
    <w:rsid w:val="7E663E25"/>
    <w:rsid w:val="7ED4520B"/>
    <w:rsid w:val="7F3503D2"/>
    <w:rsid w:val="7F403AF8"/>
    <w:rsid w:val="7FA120BF"/>
    <w:rsid w:val="7FCF72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6"/>
    <w:qFormat/>
    <w:uiPriority w:val="99"/>
    <w:pPr>
      <w:keepNext/>
      <w:widowControl/>
      <w:spacing w:before="340" w:after="330" w:line="576" w:lineRule="auto"/>
      <w:jc w:val="center"/>
      <w:outlineLvl w:val="0"/>
    </w:pPr>
    <w:rPr>
      <w:rFonts w:ascii="???" w:hAnsi="???" w:eastAsia="宋体" w:cs="Arial"/>
      <w:b/>
      <w:bCs/>
      <w:color w:val="020000"/>
      <w:kern w:val="36"/>
      <w:sz w:val="44"/>
      <w:szCs w:val="44"/>
    </w:rPr>
  </w:style>
  <w:style w:type="paragraph" w:styleId="5">
    <w:name w:val="heading 2"/>
    <w:basedOn w:val="1"/>
    <w:next w:val="1"/>
    <w:link w:val="47"/>
    <w:qFormat/>
    <w:uiPriority w:val="99"/>
    <w:pPr>
      <w:keepNext/>
      <w:widowControl/>
      <w:spacing w:before="260" w:after="260" w:line="412" w:lineRule="auto"/>
      <w:outlineLvl w:val="1"/>
    </w:pPr>
    <w:rPr>
      <w:rFonts w:ascii="???" w:hAnsi="???" w:eastAsia="宋体" w:cs="Arial"/>
      <w:b/>
      <w:bCs/>
      <w:color w:val="020000"/>
      <w:kern w:val="0"/>
      <w:sz w:val="32"/>
      <w:szCs w:val="32"/>
    </w:rPr>
  </w:style>
  <w:style w:type="paragraph" w:styleId="6">
    <w:name w:val="heading 3"/>
    <w:basedOn w:val="1"/>
    <w:next w:val="1"/>
    <w:link w:val="48"/>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98"/>
    <w:qFormat/>
    <w:uiPriority w:val="99"/>
    <w:pPr>
      <w:ind w:firstLine="420" w:firstLineChars="200"/>
    </w:pPr>
    <w:rPr>
      <w:rFonts w:ascii="Times New Roman" w:hAnsi="Times New Roman" w:eastAsia="宋体" w:cs="Times New Roman"/>
      <w:kern w:val="0"/>
      <w:sz w:val="24"/>
      <w:szCs w:val="20"/>
    </w:rPr>
  </w:style>
  <w:style w:type="paragraph" w:styleId="3">
    <w:name w:val="header"/>
    <w:basedOn w:val="1"/>
    <w:link w:val="49"/>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toc 7"/>
    <w:basedOn w:val="1"/>
    <w:next w:val="1"/>
    <w:qFormat/>
    <w:uiPriority w:val="99"/>
    <w:pPr>
      <w:ind w:left="2520" w:leftChars="1200"/>
    </w:pPr>
    <w:rPr>
      <w:rFonts w:ascii="Times New Roman" w:hAnsi="Times New Roman" w:eastAsia="宋体" w:cs="Times New Roman"/>
      <w:szCs w:val="24"/>
    </w:rPr>
  </w:style>
  <w:style w:type="paragraph" w:styleId="8">
    <w:name w:val="Document Map"/>
    <w:basedOn w:val="1"/>
    <w:link w:val="116"/>
    <w:qFormat/>
    <w:uiPriority w:val="99"/>
    <w:rPr>
      <w:rFonts w:ascii="宋体" w:hAnsi="Calibri" w:eastAsia="宋体" w:cs="Times New Roman"/>
      <w:kern w:val="0"/>
      <w:sz w:val="18"/>
      <w:szCs w:val="20"/>
    </w:rPr>
  </w:style>
  <w:style w:type="paragraph" w:styleId="9">
    <w:name w:val="Body Text"/>
    <w:basedOn w:val="1"/>
    <w:next w:val="1"/>
    <w:link w:val="119"/>
    <w:qFormat/>
    <w:uiPriority w:val="99"/>
    <w:pPr>
      <w:spacing w:after="120"/>
    </w:pPr>
    <w:rPr>
      <w:rFonts w:ascii="Calibri" w:hAnsi="Calibri" w:eastAsia="宋体" w:cs="Times New Roman"/>
      <w:kern w:val="0"/>
      <w:sz w:val="24"/>
      <w:szCs w:val="20"/>
    </w:rPr>
  </w:style>
  <w:style w:type="paragraph" w:styleId="10">
    <w:name w:val="Body Text Indent"/>
    <w:basedOn w:val="1"/>
    <w:link w:val="51"/>
    <w:qFormat/>
    <w:uiPriority w:val="99"/>
    <w:pPr>
      <w:widowControl/>
      <w:spacing w:after="120"/>
      <w:ind w:left="420"/>
    </w:pPr>
    <w:rPr>
      <w:rFonts w:ascii="??" w:hAnsi="??" w:eastAsia="宋体" w:cs="Arial"/>
      <w:kern w:val="0"/>
      <w:sz w:val="24"/>
      <w:szCs w:val="24"/>
    </w:rPr>
  </w:style>
  <w:style w:type="paragraph" w:styleId="11">
    <w:name w:val="toc 5"/>
    <w:basedOn w:val="1"/>
    <w:next w:val="1"/>
    <w:qFormat/>
    <w:uiPriority w:val="99"/>
    <w:pPr>
      <w:ind w:left="1680" w:leftChars="800"/>
    </w:pPr>
    <w:rPr>
      <w:rFonts w:ascii="Times New Roman" w:hAnsi="Times New Roman" w:eastAsia="宋体" w:cs="Times New Roman"/>
      <w:szCs w:val="24"/>
    </w:rPr>
  </w:style>
  <w:style w:type="paragraph" w:styleId="12">
    <w:name w:val="toc 3"/>
    <w:basedOn w:val="1"/>
    <w:next w:val="1"/>
    <w:qFormat/>
    <w:uiPriority w:val="99"/>
    <w:pPr>
      <w:ind w:left="840" w:leftChars="400"/>
    </w:pPr>
    <w:rPr>
      <w:rFonts w:ascii="Times New Roman" w:hAnsi="Times New Roman" w:eastAsia="宋体" w:cs="Times New Roman"/>
      <w:szCs w:val="24"/>
    </w:rPr>
  </w:style>
  <w:style w:type="paragraph" w:styleId="13">
    <w:name w:val="Plain Text"/>
    <w:basedOn w:val="1"/>
    <w:qFormat/>
    <w:uiPriority w:val="0"/>
    <w:rPr>
      <w:rFonts w:ascii="宋体" w:hAnsi="Courier New"/>
      <w:kern w:val="0"/>
      <w:szCs w:val="20"/>
    </w:rPr>
  </w:style>
  <w:style w:type="paragraph" w:styleId="14">
    <w:name w:val="toc 8"/>
    <w:basedOn w:val="1"/>
    <w:next w:val="1"/>
    <w:qFormat/>
    <w:uiPriority w:val="99"/>
    <w:pPr>
      <w:ind w:left="2940" w:leftChars="1400"/>
    </w:pPr>
    <w:rPr>
      <w:rFonts w:ascii="Times New Roman" w:hAnsi="Times New Roman" w:eastAsia="宋体" w:cs="Times New Roman"/>
      <w:szCs w:val="24"/>
    </w:rPr>
  </w:style>
  <w:style w:type="paragraph" w:styleId="15">
    <w:name w:val="Body Text Indent 2"/>
    <w:basedOn w:val="1"/>
    <w:link w:val="112"/>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16">
    <w:name w:val="Balloon Text"/>
    <w:basedOn w:val="1"/>
    <w:link w:val="62"/>
    <w:qFormat/>
    <w:uiPriority w:val="99"/>
    <w:rPr>
      <w:rFonts w:ascii="Calibri" w:hAnsi="Calibri" w:eastAsia="宋体" w:cs="Times New Roman"/>
      <w:sz w:val="18"/>
      <w:szCs w:val="18"/>
    </w:rPr>
  </w:style>
  <w:style w:type="paragraph" w:styleId="17">
    <w:name w:val="footer"/>
    <w:basedOn w:val="1"/>
    <w:link w:val="50"/>
    <w:qFormat/>
    <w:uiPriority w:val="99"/>
    <w:pPr>
      <w:tabs>
        <w:tab w:val="center" w:pos="4153"/>
        <w:tab w:val="right" w:pos="8306"/>
      </w:tabs>
      <w:snapToGrid w:val="0"/>
      <w:jc w:val="left"/>
    </w:pPr>
    <w:rPr>
      <w:rFonts w:ascii="Calibri" w:hAnsi="Calibri" w:eastAsia="宋体" w:cs="Times New Roman"/>
      <w:sz w:val="18"/>
      <w:szCs w:val="18"/>
    </w:rPr>
  </w:style>
  <w:style w:type="paragraph" w:styleId="18">
    <w:name w:val="toc 1"/>
    <w:basedOn w:val="1"/>
    <w:next w:val="1"/>
    <w:qFormat/>
    <w:uiPriority w:val="39"/>
    <w:rPr>
      <w:rFonts w:ascii="Times New Roman" w:hAnsi="Times New Roman" w:eastAsia="宋体" w:cs="Times New Roman"/>
      <w:szCs w:val="24"/>
    </w:rPr>
  </w:style>
  <w:style w:type="paragraph" w:styleId="19">
    <w:name w:val="toc 4"/>
    <w:basedOn w:val="1"/>
    <w:next w:val="1"/>
    <w:qFormat/>
    <w:uiPriority w:val="99"/>
    <w:pPr>
      <w:ind w:left="1260" w:leftChars="600"/>
    </w:pPr>
    <w:rPr>
      <w:rFonts w:ascii="Times New Roman" w:hAnsi="Times New Roman" w:eastAsia="宋体" w:cs="Times New Roman"/>
      <w:szCs w:val="24"/>
    </w:rPr>
  </w:style>
  <w:style w:type="paragraph" w:styleId="20">
    <w:name w:val="toc 6"/>
    <w:basedOn w:val="1"/>
    <w:next w:val="1"/>
    <w:qFormat/>
    <w:uiPriority w:val="99"/>
    <w:pPr>
      <w:ind w:left="2100" w:leftChars="1000"/>
    </w:pPr>
    <w:rPr>
      <w:rFonts w:ascii="Times New Roman" w:hAnsi="Times New Roman" w:eastAsia="宋体" w:cs="Times New Roman"/>
      <w:szCs w:val="24"/>
    </w:rPr>
  </w:style>
  <w:style w:type="paragraph" w:styleId="21">
    <w:name w:val="Body Text Indent 3"/>
    <w:basedOn w:val="1"/>
    <w:link w:val="114"/>
    <w:qFormat/>
    <w:uiPriority w:val="99"/>
    <w:pPr>
      <w:spacing w:line="440" w:lineRule="exact"/>
      <w:ind w:firstLine="412" w:firstLineChars="200"/>
    </w:pPr>
    <w:rPr>
      <w:rFonts w:ascii="宋体" w:hAnsi="Calibri" w:eastAsia="宋体" w:cs="Times New Roman"/>
      <w:kern w:val="0"/>
      <w:sz w:val="20"/>
      <w:szCs w:val="20"/>
    </w:rPr>
  </w:style>
  <w:style w:type="paragraph" w:styleId="22">
    <w:name w:val="toc 2"/>
    <w:basedOn w:val="1"/>
    <w:next w:val="1"/>
    <w:qFormat/>
    <w:uiPriority w:val="39"/>
    <w:pPr>
      <w:ind w:left="420" w:leftChars="200"/>
    </w:pPr>
    <w:rPr>
      <w:rFonts w:ascii="Times New Roman" w:hAnsi="Times New Roman" w:eastAsia="宋体" w:cs="Times New Roman"/>
      <w:szCs w:val="24"/>
    </w:rPr>
  </w:style>
  <w:style w:type="paragraph" w:styleId="23">
    <w:name w:val="toc 9"/>
    <w:basedOn w:val="1"/>
    <w:next w:val="1"/>
    <w:qFormat/>
    <w:uiPriority w:val="99"/>
    <w:pPr>
      <w:ind w:left="3360" w:leftChars="1600"/>
    </w:pPr>
    <w:rPr>
      <w:rFonts w:ascii="Times New Roman" w:hAnsi="Times New Roman" w:eastAsia="宋体" w:cs="Times New Roman"/>
      <w:szCs w:val="24"/>
    </w:rPr>
  </w:style>
  <w:style w:type="paragraph" w:styleId="24">
    <w:name w:val="Body Text 2"/>
    <w:basedOn w:val="1"/>
    <w:qFormat/>
    <w:uiPriority w:val="0"/>
    <w:pPr>
      <w:jc w:val="center"/>
    </w:pPr>
    <w:rPr>
      <w:b/>
      <w:spacing w:val="-20"/>
      <w:w w:val="130"/>
      <w:sz w:val="48"/>
      <w:szCs w:val="20"/>
    </w:rPr>
  </w:style>
  <w:style w:type="paragraph" w:styleId="25">
    <w:name w:val="List Continue 2"/>
    <w:basedOn w:val="1"/>
    <w:qFormat/>
    <w:uiPriority w:val="99"/>
    <w:pPr>
      <w:spacing w:after="120"/>
      <w:ind w:left="840" w:leftChars="400"/>
    </w:pPr>
    <w:rPr>
      <w:rFonts w:ascii="Times New Roman" w:hAnsi="Times New Roman" w:eastAsia="宋体" w:cs="Times New Roman"/>
      <w:szCs w:val="24"/>
    </w:rPr>
  </w:style>
  <w:style w:type="paragraph" w:styleId="2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7">
    <w:name w:val="Title"/>
    <w:basedOn w:val="1"/>
    <w:next w:val="1"/>
    <w:link w:val="154"/>
    <w:qFormat/>
    <w:uiPriority w:val="0"/>
    <w:pPr>
      <w:spacing w:before="240" w:after="60"/>
      <w:jc w:val="center"/>
      <w:outlineLvl w:val="0"/>
    </w:pPr>
    <w:rPr>
      <w:rFonts w:ascii="Cambria" w:hAnsi="Cambria"/>
      <w:b/>
      <w:bCs/>
      <w:sz w:val="32"/>
      <w:szCs w:val="32"/>
    </w:rPr>
  </w:style>
  <w:style w:type="table" w:styleId="29">
    <w:name w:val="Table Grid"/>
    <w:basedOn w:val="2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99"/>
    <w:rPr>
      <w:rFonts w:cs="Times New Roman"/>
      <w:b/>
    </w:rPr>
  </w:style>
  <w:style w:type="character" w:styleId="32">
    <w:name w:val="page number"/>
    <w:basedOn w:val="30"/>
    <w:qFormat/>
    <w:uiPriority w:val="99"/>
    <w:rPr>
      <w:rFonts w:cs="Times New Roman"/>
    </w:rPr>
  </w:style>
  <w:style w:type="character" w:styleId="33">
    <w:name w:val="FollowedHyperlink"/>
    <w:basedOn w:val="30"/>
    <w:qFormat/>
    <w:uiPriority w:val="99"/>
    <w:rPr>
      <w:rFonts w:cs="Times New Roman"/>
      <w:color w:val="555555"/>
      <w:u w:val="none"/>
    </w:rPr>
  </w:style>
  <w:style w:type="character" w:styleId="34">
    <w:name w:val="Emphasis"/>
    <w:basedOn w:val="30"/>
    <w:qFormat/>
    <w:uiPriority w:val="99"/>
    <w:rPr>
      <w:rFonts w:cs="Times New Roman"/>
      <w:i/>
    </w:rPr>
  </w:style>
  <w:style w:type="character" w:styleId="35">
    <w:name w:val="HTML Definition"/>
    <w:basedOn w:val="30"/>
    <w:qFormat/>
    <w:uiPriority w:val="99"/>
    <w:rPr>
      <w:rFonts w:cs="Times New Roman"/>
    </w:rPr>
  </w:style>
  <w:style w:type="character" w:styleId="36">
    <w:name w:val="HTML Acronym"/>
    <w:basedOn w:val="30"/>
    <w:qFormat/>
    <w:uiPriority w:val="99"/>
    <w:rPr>
      <w:rFonts w:cs="Times New Roman"/>
    </w:rPr>
  </w:style>
  <w:style w:type="character" w:styleId="37">
    <w:name w:val="HTML Variable"/>
    <w:basedOn w:val="30"/>
    <w:qFormat/>
    <w:uiPriority w:val="99"/>
    <w:rPr>
      <w:rFonts w:cs="Times New Roman"/>
    </w:rPr>
  </w:style>
  <w:style w:type="character" w:styleId="38">
    <w:name w:val="Hyperlink"/>
    <w:basedOn w:val="30"/>
    <w:qFormat/>
    <w:uiPriority w:val="99"/>
    <w:rPr>
      <w:rFonts w:cs="Times New Roman"/>
      <w:color w:val="555555"/>
      <w:u w:val="none"/>
    </w:rPr>
  </w:style>
  <w:style w:type="character" w:styleId="39">
    <w:name w:val="HTML Code"/>
    <w:basedOn w:val="30"/>
    <w:qFormat/>
    <w:uiPriority w:val="99"/>
    <w:rPr>
      <w:rFonts w:ascii="monospace" w:hAnsi="monospace" w:cs="Times New Roman"/>
      <w:sz w:val="24"/>
    </w:rPr>
  </w:style>
  <w:style w:type="character" w:styleId="40">
    <w:name w:val="HTML Cite"/>
    <w:basedOn w:val="30"/>
    <w:qFormat/>
    <w:uiPriority w:val="99"/>
    <w:rPr>
      <w:rFonts w:cs="Times New Roman"/>
    </w:rPr>
  </w:style>
  <w:style w:type="character" w:styleId="41">
    <w:name w:val="HTML Keyboard"/>
    <w:basedOn w:val="30"/>
    <w:qFormat/>
    <w:uiPriority w:val="99"/>
    <w:rPr>
      <w:rFonts w:ascii="monospace" w:hAnsi="monospace" w:cs="Times New Roman"/>
      <w:sz w:val="24"/>
    </w:rPr>
  </w:style>
  <w:style w:type="character" w:styleId="42">
    <w:name w:val="HTML Sample"/>
    <w:basedOn w:val="30"/>
    <w:qFormat/>
    <w:uiPriority w:val="99"/>
    <w:rPr>
      <w:rFonts w:ascii="monospace" w:hAnsi="monospace" w:cs="Times New Roman"/>
      <w:sz w:val="24"/>
    </w:rPr>
  </w:style>
  <w:style w:type="paragraph" w:styleId="4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4">
    <w:name w:val="BodyText"/>
    <w:basedOn w:val="1"/>
    <w:qFormat/>
    <w:uiPriority w:val="0"/>
    <w:pPr>
      <w:jc w:val="both"/>
      <w:textAlignment w:val="baseline"/>
    </w:pPr>
    <w:rPr>
      <w:rFonts w:eastAsia="黑体"/>
      <w:kern w:val="2"/>
      <w:sz w:val="40"/>
      <w:szCs w:val="24"/>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标题 1 Char"/>
    <w:basedOn w:val="30"/>
    <w:link w:val="4"/>
    <w:qFormat/>
    <w:uiPriority w:val="99"/>
    <w:rPr>
      <w:rFonts w:ascii="???" w:hAnsi="???" w:eastAsia="宋体" w:cs="Arial"/>
      <w:b/>
      <w:bCs/>
      <w:color w:val="020000"/>
      <w:kern w:val="36"/>
      <w:sz w:val="44"/>
      <w:szCs w:val="44"/>
    </w:rPr>
  </w:style>
  <w:style w:type="character" w:customStyle="1" w:styleId="47">
    <w:name w:val="标题 2 Char"/>
    <w:basedOn w:val="30"/>
    <w:link w:val="5"/>
    <w:qFormat/>
    <w:uiPriority w:val="99"/>
    <w:rPr>
      <w:rFonts w:ascii="???" w:hAnsi="???" w:eastAsia="宋体" w:cs="Arial"/>
      <w:b/>
      <w:bCs/>
      <w:color w:val="020000"/>
      <w:kern w:val="0"/>
      <w:sz w:val="32"/>
      <w:szCs w:val="32"/>
    </w:rPr>
  </w:style>
  <w:style w:type="character" w:customStyle="1" w:styleId="48">
    <w:name w:val="标题 3 Char"/>
    <w:basedOn w:val="30"/>
    <w:link w:val="6"/>
    <w:qFormat/>
    <w:uiPriority w:val="99"/>
    <w:rPr>
      <w:rFonts w:ascii="??" w:hAnsi="??" w:eastAsia="宋体" w:cs="Arial"/>
      <w:b/>
      <w:bCs/>
      <w:color w:val="000000"/>
      <w:kern w:val="0"/>
      <w:sz w:val="32"/>
      <w:szCs w:val="32"/>
    </w:rPr>
  </w:style>
  <w:style w:type="character" w:customStyle="1" w:styleId="49">
    <w:name w:val="页眉 Char"/>
    <w:basedOn w:val="30"/>
    <w:link w:val="3"/>
    <w:qFormat/>
    <w:uiPriority w:val="99"/>
    <w:rPr>
      <w:rFonts w:ascii="Calibri" w:hAnsi="Calibri" w:eastAsia="宋体" w:cs="Times New Roman"/>
      <w:sz w:val="18"/>
      <w:szCs w:val="18"/>
    </w:rPr>
  </w:style>
  <w:style w:type="character" w:customStyle="1" w:styleId="50">
    <w:name w:val="页脚 Char"/>
    <w:basedOn w:val="30"/>
    <w:link w:val="17"/>
    <w:qFormat/>
    <w:uiPriority w:val="99"/>
    <w:rPr>
      <w:rFonts w:ascii="Calibri" w:hAnsi="Calibri" w:eastAsia="宋体" w:cs="Times New Roman"/>
      <w:sz w:val="18"/>
      <w:szCs w:val="18"/>
    </w:rPr>
  </w:style>
  <w:style w:type="character" w:customStyle="1" w:styleId="51">
    <w:name w:val="正文文本缩进 Char"/>
    <w:basedOn w:val="30"/>
    <w:link w:val="10"/>
    <w:qFormat/>
    <w:uiPriority w:val="99"/>
    <w:rPr>
      <w:rFonts w:ascii="??" w:hAnsi="??" w:eastAsia="宋体" w:cs="Arial"/>
      <w:kern w:val="0"/>
      <w:sz w:val="24"/>
      <w:szCs w:val="24"/>
    </w:rPr>
  </w:style>
  <w:style w:type="paragraph" w:styleId="52">
    <w:name w:val="List Paragraph"/>
    <w:basedOn w:val="1"/>
    <w:qFormat/>
    <w:uiPriority w:val="34"/>
    <w:pPr>
      <w:ind w:firstLine="420" w:firstLineChars="200"/>
    </w:pPr>
    <w:rPr>
      <w:rFonts w:ascii="Calibri" w:hAnsi="Calibri" w:eastAsia="宋体" w:cs="Times New Roman"/>
    </w:rPr>
  </w:style>
  <w:style w:type="character" w:customStyle="1" w:styleId="53">
    <w:name w:val="标题 2 Char Char"/>
    <w:qFormat/>
    <w:uiPriority w:val="99"/>
    <w:rPr>
      <w:rFonts w:ascii="Arial" w:hAnsi="Arial" w:eastAsia="黑体"/>
      <w:b/>
      <w:kern w:val="2"/>
      <w:sz w:val="32"/>
      <w:lang w:val="en-US" w:eastAsia="zh-CN"/>
    </w:rPr>
  </w:style>
  <w:style w:type="character" w:customStyle="1" w:styleId="54">
    <w:name w:val="2charchar"/>
    <w:basedOn w:val="30"/>
    <w:qFormat/>
    <w:uiPriority w:val="99"/>
    <w:rPr>
      <w:rFonts w:cs="Times New Roman"/>
    </w:rPr>
  </w:style>
  <w:style w:type="paragraph" w:customStyle="1" w:styleId="55">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56">
    <w:name w:val="z-窗体顶端1"/>
    <w:basedOn w:val="1"/>
    <w:next w:val="1"/>
    <w:link w:val="57"/>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57">
    <w:name w:val="z-窗体顶端 Char"/>
    <w:basedOn w:val="30"/>
    <w:link w:val="56"/>
    <w:semiHidden/>
    <w:qFormat/>
    <w:uiPriority w:val="99"/>
    <w:rPr>
      <w:rFonts w:ascii="Arial" w:hAnsi="Arial" w:eastAsia="宋体" w:cs="Arial"/>
      <w:vanish/>
      <w:kern w:val="0"/>
      <w:sz w:val="16"/>
      <w:szCs w:val="16"/>
    </w:rPr>
  </w:style>
  <w:style w:type="paragraph" w:customStyle="1" w:styleId="58">
    <w:name w:val="z-窗体底端1"/>
    <w:basedOn w:val="1"/>
    <w:next w:val="1"/>
    <w:link w:val="59"/>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59">
    <w:name w:val="z-窗体底端 Char"/>
    <w:basedOn w:val="30"/>
    <w:link w:val="58"/>
    <w:semiHidden/>
    <w:qFormat/>
    <w:uiPriority w:val="99"/>
    <w:rPr>
      <w:rFonts w:ascii="Arial" w:hAnsi="Arial" w:eastAsia="宋体" w:cs="Arial"/>
      <w:vanish/>
      <w:kern w:val="0"/>
      <w:sz w:val="16"/>
      <w:szCs w:val="16"/>
    </w:rPr>
  </w:style>
  <w:style w:type="paragraph" w:customStyle="1" w:styleId="60">
    <w:name w:val="hu正文"/>
    <w:basedOn w:val="1"/>
    <w:link w:val="61"/>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61">
    <w:name w:val="hu正文 Char"/>
    <w:link w:val="60"/>
    <w:qFormat/>
    <w:locked/>
    <w:uiPriority w:val="99"/>
    <w:rPr>
      <w:rFonts w:ascii="Times New Roman" w:hAnsi="Times New Roman" w:eastAsia="宋体" w:cs="Times New Roman"/>
      <w:kern w:val="0"/>
      <w:sz w:val="24"/>
      <w:szCs w:val="20"/>
    </w:rPr>
  </w:style>
  <w:style w:type="character" w:customStyle="1" w:styleId="62">
    <w:name w:val="批注框文本 Char"/>
    <w:basedOn w:val="30"/>
    <w:link w:val="16"/>
    <w:qFormat/>
    <w:uiPriority w:val="99"/>
    <w:rPr>
      <w:rFonts w:ascii="Calibri" w:hAnsi="Calibri" w:eastAsia="宋体" w:cs="Times New Roman"/>
      <w:sz w:val="18"/>
      <w:szCs w:val="18"/>
    </w:rPr>
  </w:style>
  <w:style w:type="character" w:customStyle="1" w:styleId="63">
    <w:name w:val="ui-bz-bg-hover1"/>
    <w:basedOn w:val="30"/>
    <w:qFormat/>
    <w:uiPriority w:val="99"/>
    <w:rPr>
      <w:rFonts w:cs="Times New Roman"/>
    </w:rPr>
  </w:style>
  <w:style w:type="character" w:customStyle="1" w:styleId="64">
    <w:name w:val="批注框文本 Char1"/>
    <w:qFormat/>
    <w:uiPriority w:val="99"/>
    <w:rPr>
      <w:rFonts w:ascii="Times New Roman" w:hAnsi="Times New Roman" w:eastAsia="宋体"/>
      <w:sz w:val="18"/>
    </w:rPr>
  </w:style>
  <w:style w:type="character" w:customStyle="1" w:styleId="65">
    <w:name w:val="bds_nopic"/>
    <w:basedOn w:val="30"/>
    <w:qFormat/>
    <w:uiPriority w:val="99"/>
    <w:rPr>
      <w:rFonts w:cs="Times New Roman"/>
    </w:rPr>
  </w:style>
  <w:style w:type="character" w:customStyle="1" w:styleId="66">
    <w:name w:val="tip12"/>
    <w:qFormat/>
    <w:uiPriority w:val="99"/>
    <w:rPr>
      <w:vanish/>
      <w:color w:val="FF0000"/>
      <w:sz w:val="18"/>
    </w:rPr>
  </w:style>
  <w:style w:type="character" w:customStyle="1" w:styleId="67">
    <w:name w:val="Body Text Indent 3 Char"/>
    <w:qFormat/>
    <w:locked/>
    <w:uiPriority w:val="99"/>
    <w:rPr>
      <w:rFonts w:ascii="宋体" w:eastAsia="宋体"/>
    </w:rPr>
  </w:style>
  <w:style w:type="character" w:customStyle="1" w:styleId="68">
    <w:name w:val="HTML Markup"/>
    <w:qFormat/>
    <w:uiPriority w:val="99"/>
    <w:rPr>
      <w:vanish/>
      <w:color w:val="FF0000"/>
    </w:rPr>
  </w:style>
  <w:style w:type="character" w:customStyle="1" w:styleId="69">
    <w:name w:val="tip7"/>
    <w:qFormat/>
    <w:uiPriority w:val="99"/>
    <w:rPr>
      <w:vanish/>
      <w:color w:val="FF0000"/>
      <w:sz w:val="18"/>
    </w:rPr>
  </w:style>
  <w:style w:type="character" w:customStyle="1" w:styleId="70">
    <w:name w:val="f-star"/>
    <w:qFormat/>
    <w:uiPriority w:val="99"/>
    <w:rPr>
      <w:color w:val="999999"/>
      <w:sz w:val="21"/>
    </w:rPr>
  </w:style>
  <w:style w:type="character" w:customStyle="1" w:styleId="71">
    <w:name w:val="Document Map Char1"/>
    <w:qFormat/>
    <w:uiPriority w:val="99"/>
    <w:rPr>
      <w:rFonts w:ascii="Times New Roman" w:hAnsi="Times New Roman"/>
      <w:kern w:val="2"/>
      <w:sz w:val="2"/>
    </w:rPr>
  </w:style>
  <w:style w:type="character" w:customStyle="1" w:styleId="72">
    <w:name w:val="my-class2"/>
    <w:basedOn w:val="30"/>
    <w:qFormat/>
    <w:uiPriority w:val="99"/>
    <w:rPr>
      <w:rFonts w:cs="Times New Roman"/>
    </w:rPr>
  </w:style>
  <w:style w:type="character" w:customStyle="1" w:styleId="73">
    <w:name w:val="no52"/>
    <w:basedOn w:val="30"/>
    <w:qFormat/>
    <w:uiPriority w:val="99"/>
    <w:rPr>
      <w:rFonts w:cs="Times New Roman"/>
    </w:rPr>
  </w:style>
  <w:style w:type="character" w:customStyle="1" w:styleId="74">
    <w:name w:val="no4"/>
    <w:basedOn w:val="30"/>
    <w:qFormat/>
    <w:uiPriority w:val="99"/>
    <w:rPr>
      <w:rFonts w:cs="Times New Roman"/>
    </w:rPr>
  </w:style>
  <w:style w:type="character" w:customStyle="1" w:styleId="75">
    <w:name w:val="my-notice"/>
    <w:basedOn w:val="30"/>
    <w:qFormat/>
    <w:uiPriority w:val="99"/>
    <w:rPr>
      <w:rFonts w:cs="Times New Roman"/>
    </w:rPr>
  </w:style>
  <w:style w:type="character" w:customStyle="1" w:styleId="76">
    <w:name w:val="ico-jiang"/>
    <w:basedOn w:val="30"/>
    <w:qFormat/>
    <w:uiPriority w:val="99"/>
    <w:rPr>
      <w:rFonts w:cs="Times New Roman"/>
    </w:rPr>
  </w:style>
  <w:style w:type="character" w:customStyle="1" w:styleId="77">
    <w:name w:val="ico-jiang2"/>
    <w:basedOn w:val="30"/>
    <w:qFormat/>
    <w:uiPriority w:val="99"/>
    <w:rPr>
      <w:rFonts w:cs="Times New Roman"/>
    </w:rPr>
  </w:style>
  <w:style w:type="character" w:customStyle="1" w:styleId="78">
    <w:name w:val="bds_more1"/>
    <w:qFormat/>
    <w:uiPriority w:val="99"/>
    <w:rPr>
      <w:rFonts w:ascii="宋体" w:hAnsi="宋体" w:eastAsia="宋体"/>
    </w:rPr>
  </w:style>
  <w:style w:type="character" w:customStyle="1" w:styleId="79">
    <w:name w:val="Body Text Indent 2 Char"/>
    <w:qFormat/>
    <w:locked/>
    <w:uiPriority w:val="99"/>
    <w:rPr>
      <w:rFonts w:ascii="宋体" w:eastAsia="宋体"/>
      <w:sz w:val="24"/>
    </w:rPr>
  </w:style>
  <w:style w:type="character" w:customStyle="1" w:styleId="80">
    <w:name w:val="org_name"/>
    <w:basedOn w:val="30"/>
    <w:qFormat/>
    <w:uiPriority w:val="99"/>
    <w:rPr>
      <w:rFonts w:cs="Times New Roman"/>
    </w:rPr>
  </w:style>
  <w:style w:type="character" w:customStyle="1" w:styleId="81">
    <w:name w:val="org_name2"/>
    <w:basedOn w:val="30"/>
    <w:qFormat/>
    <w:uiPriority w:val="99"/>
    <w:rPr>
      <w:rFonts w:cs="Times New Roman"/>
    </w:rPr>
  </w:style>
  <w:style w:type="character" w:customStyle="1" w:styleId="82">
    <w:name w:val="tip10"/>
    <w:qFormat/>
    <w:uiPriority w:val="99"/>
    <w:rPr>
      <w:vanish/>
      <w:color w:val="FF0000"/>
      <w:sz w:val="18"/>
    </w:rPr>
  </w:style>
  <w:style w:type="character" w:customStyle="1" w:styleId="83">
    <w:name w:val="orange"/>
    <w:qFormat/>
    <w:uiPriority w:val="99"/>
    <w:rPr>
      <w:color w:val="3FB58F"/>
    </w:rPr>
  </w:style>
  <w:style w:type="character" w:customStyle="1" w:styleId="84">
    <w:name w:val="bds_more"/>
    <w:basedOn w:val="30"/>
    <w:qFormat/>
    <w:uiPriority w:val="99"/>
    <w:rPr>
      <w:rFonts w:cs="Times New Roman"/>
    </w:rPr>
  </w:style>
  <w:style w:type="character" w:customStyle="1" w:styleId="85">
    <w:name w:val="t-tag"/>
    <w:qFormat/>
    <w:uiPriority w:val="99"/>
    <w:rPr>
      <w:color w:val="FFFFFF"/>
      <w:sz w:val="18"/>
      <w:shd w:val="clear" w:color="auto" w:fill="FE8833"/>
    </w:rPr>
  </w:style>
  <w:style w:type="character" w:customStyle="1" w:styleId="86">
    <w:name w:val="top-icon"/>
    <w:basedOn w:val="30"/>
    <w:qFormat/>
    <w:uiPriority w:val="99"/>
    <w:rPr>
      <w:rFonts w:cs="Times New Roman"/>
    </w:rPr>
  </w:style>
  <w:style w:type="character" w:customStyle="1" w:styleId="87">
    <w:name w:val="Body Text Char"/>
    <w:qFormat/>
    <w:locked/>
    <w:uiPriority w:val="99"/>
    <w:rPr>
      <w:sz w:val="24"/>
    </w:rPr>
  </w:style>
  <w:style w:type="character" w:customStyle="1" w:styleId="88">
    <w:name w:val="no72"/>
    <w:basedOn w:val="30"/>
    <w:qFormat/>
    <w:uiPriority w:val="99"/>
    <w:rPr>
      <w:rFonts w:cs="Times New Roman"/>
    </w:rPr>
  </w:style>
  <w:style w:type="character" w:customStyle="1" w:styleId="89">
    <w:name w:val="bds_nopic2"/>
    <w:basedOn w:val="30"/>
    <w:qFormat/>
    <w:uiPriority w:val="99"/>
    <w:rPr>
      <w:rFonts w:cs="Times New Roman"/>
    </w:rPr>
  </w:style>
  <w:style w:type="character" w:customStyle="1" w:styleId="90">
    <w:name w:val="Document Map Char"/>
    <w:qFormat/>
    <w:uiPriority w:val="99"/>
    <w:rPr>
      <w:rFonts w:ascii="宋体"/>
      <w:sz w:val="18"/>
    </w:rPr>
  </w:style>
  <w:style w:type="character" w:customStyle="1" w:styleId="91">
    <w:name w:val="no6"/>
    <w:basedOn w:val="30"/>
    <w:qFormat/>
    <w:uiPriority w:val="99"/>
    <w:rPr>
      <w:rFonts w:cs="Times New Roman"/>
    </w:rPr>
  </w:style>
  <w:style w:type="character" w:customStyle="1" w:styleId="92">
    <w:name w:val="tip"/>
    <w:qFormat/>
    <w:uiPriority w:val="99"/>
    <w:rPr>
      <w:vanish/>
      <w:color w:val="FF0000"/>
      <w:sz w:val="18"/>
    </w:rPr>
  </w:style>
  <w:style w:type="character" w:customStyle="1" w:styleId="93">
    <w:name w:val="apple-converted-space"/>
    <w:basedOn w:val="30"/>
    <w:qFormat/>
    <w:uiPriority w:val="0"/>
    <w:rPr>
      <w:rFonts w:cs="Times New Roman"/>
    </w:rPr>
  </w:style>
  <w:style w:type="character" w:customStyle="1" w:styleId="94">
    <w:name w:val="bds_more2"/>
    <w:basedOn w:val="30"/>
    <w:qFormat/>
    <w:uiPriority w:val="99"/>
    <w:rPr>
      <w:rFonts w:cs="Times New Roman"/>
    </w:rPr>
  </w:style>
  <w:style w:type="character" w:customStyle="1" w:styleId="95">
    <w:name w:val="my-class"/>
    <w:basedOn w:val="30"/>
    <w:qFormat/>
    <w:uiPriority w:val="99"/>
    <w:rPr>
      <w:rFonts w:cs="Times New Roman"/>
    </w:rPr>
  </w:style>
  <w:style w:type="character" w:customStyle="1" w:styleId="96">
    <w:name w:val="ui-bz-bg-hover"/>
    <w:qFormat/>
    <w:uiPriority w:val="99"/>
    <w:rPr>
      <w:shd w:val="clear" w:color="auto" w:fill="000000"/>
    </w:rPr>
  </w:style>
  <w:style w:type="character" w:customStyle="1" w:styleId="97">
    <w:name w:val="no7"/>
    <w:basedOn w:val="30"/>
    <w:qFormat/>
    <w:uiPriority w:val="99"/>
    <w:rPr>
      <w:rFonts w:cs="Times New Roman"/>
    </w:rPr>
  </w:style>
  <w:style w:type="character" w:customStyle="1" w:styleId="98">
    <w:name w:val="正文缩进 Char"/>
    <w:link w:val="2"/>
    <w:qFormat/>
    <w:locked/>
    <w:uiPriority w:val="99"/>
    <w:rPr>
      <w:rFonts w:ascii="Times New Roman" w:hAnsi="Times New Roman" w:eastAsia="宋体" w:cs="Times New Roman"/>
      <w:kern w:val="0"/>
      <w:sz w:val="24"/>
      <w:szCs w:val="20"/>
    </w:rPr>
  </w:style>
  <w:style w:type="character" w:customStyle="1" w:styleId="99">
    <w:name w:val="ico-jiang1"/>
    <w:basedOn w:val="30"/>
    <w:qFormat/>
    <w:uiPriority w:val="99"/>
    <w:rPr>
      <w:rFonts w:cs="Times New Roman"/>
    </w:rPr>
  </w:style>
  <w:style w:type="character" w:customStyle="1" w:styleId="100">
    <w:name w:val="no62"/>
    <w:basedOn w:val="30"/>
    <w:qFormat/>
    <w:uiPriority w:val="99"/>
    <w:rPr>
      <w:rFonts w:cs="Times New Roman"/>
    </w:rPr>
  </w:style>
  <w:style w:type="character" w:customStyle="1" w:styleId="101">
    <w:name w:val="orange5"/>
    <w:qFormat/>
    <w:uiPriority w:val="99"/>
    <w:rPr>
      <w:color w:val="3FB58F"/>
    </w:rPr>
  </w:style>
  <w:style w:type="character" w:customStyle="1" w:styleId="102">
    <w:name w:val="bds_more4"/>
    <w:basedOn w:val="30"/>
    <w:qFormat/>
    <w:uiPriority w:val="99"/>
    <w:rPr>
      <w:rFonts w:cs="Times New Roman"/>
    </w:rPr>
  </w:style>
  <w:style w:type="character" w:customStyle="1" w:styleId="103">
    <w:name w:val="no5"/>
    <w:basedOn w:val="30"/>
    <w:qFormat/>
    <w:uiPriority w:val="99"/>
    <w:rPr>
      <w:rFonts w:cs="Times New Roman"/>
    </w:rPr>
  </w:style>
  <w:style w:type="character" w:customStyle="1" w:styleId="104">
    <w:name w:val="bds_more3"/>
    <w:basedOn w:val="30"/>
    <w:qFormat/>
    <w:uiPriority w:val="99"/>
    <w:rPr>
      <w:rFonts w:cs="Times New Roman"/>
    </w:rPr>
  </w:style>
  <w:style w:type="character" w:customStyle="1" w:styleId="105">
    <w:name w:val="no42"/>
    <w:basedOn w:val="30"/>
    <w:qFormat/>
    <w:uiPriority w:val="99"/>
    <w:rPr>
      <w:rFonts w:cs="Times New Roman"/>
    </w:rPr>
  </w:style>
  <w:style w:type="character" w:customStyle="1" w:styleId="106">
    <w:name w:val="bds_nopic1"/>
    <w:basedOn w:val="30"/>
    <w:qFormat/>
    <w:uiPriority w:val="99"/>
    <w:rPr>
      <w:rFonts w:cs="Times New Roman"/>
    </w:rPr>
  </w:style>
  <w:style w:type="character" w:customStyle="1" w:styleId="107">
    <w:name w:val="my-notice1"/>
    <w:basedOn w:val="30"/>
    <w:qFormat/>
    <w:uiPriority w:val="99"/>
    <w:rPr>
      <w:rFonts w:cs="Times New Roman"/>
    </w:rPr>
  </w:style>
  <w:style w:type="character" w:customStyle="1" w:styleId="108">
    <w:name w:val="orange6"/>
    <w:qFormat/>
    <w:uiPriority w:val="99"/>
    <w:rPr>
      <w:color w:val="3FB58F"/>
    </w:rPr>
  </w:style>
  <w:style w:type="character" w:customStyle="1" w:styleId="109">
    <w:name w:val="Document Map Char2"/>
    <w:qFormat/>
    <w:locked/>
    <w:uiPriority w:val="99"/>
    <w:rPr>
      <w:rFonts w:ascii="宋体"/>
      <w:sz w:val="18"/>
    </w:rPr>
  </w:style>
  <w:style w:type="character" w:customStyle="1" w:styleId="110">
    <w:name w:val="ico-jiang3"/>
    <w:basedOn w:val="30"/>
    <w:qFormat/>
    <w:uiPriority w:val="99"/>
    <w:rPr>
      <w:rFonts w:cs="Times New Roman"/>
    </w:rPr>
  </w:style>
  <w:style w:type="character" w:customStyle="1" w:styleId="111">
    <w:name w:val="tip13"/>
    <w:qFormat/>
    <w:uiPriority w:val="99"/>
    <w:rPr>
      <w:vanish/>
      <w:color w:val="FF0000"/>
      <w:sz w:val="18"/>
    </w:rPr>
  </w:style>
  <w:style w:type="character" w:customStyle="1" w:styleId="112">
    <w:name w:val="正文文本缩进 2 Char"/>
    <w:basedOn w:val="30"/>
    <w:link w:val="15"/>
    <w:qFormat/>
    <w:uiPriority w:val="99"/>
    <w:rPr>
      <w:rFonts w:ascii="宋体" w:hAnsi="Calibri" w:eastAsia="宋体" w:cs="Times New Roman"/>
      <w:kern w:val="0"/>
      <w:sz w:val="24"/>
      <w:szCs w:val="20"/>
    </w:rPr>
  </w:style>
  <w:style w:type="character" w:customStyle="1" w:styleId="113">
    <w:name w:val="Body Text Indent 2 Char1"/>
    <w:basedOn w:val="30"/>
    <w:semiHidden/>
    <w:qFormat/>
    <w:locked/>
    <w:uiPriority w:val="99"/>
    <w:rPr>
      <w:rFonts w:cs="Times New Roman"/>
    </w:rPr>
  </w:style>
  <w:style w:type="character" w:customStyle="1" w:styleId="114">
    <w:name w:val="正文文本缩进 3 Char"/>
    <w:basedOn w:val="30"/>
    <w:link w:val="21"/>
    <w:qFormat/>
    <w:uiPriority w:val="99"/>
    <w:rPr>
      <w:rFonts w:ascii="宋体" w:hAnsi="Calibri" w:eastAsia="宋体" w:cs="Times New Roman"/>
      <w:kern w:val="0"/>
      <w:sz w:val="20"/>
      <w:szCs w:val="20"/>
    </w:rPr>
  </w:style>
  <w:style w:type="character" w:customStyle="1" w:styleId="115">
    <w:name w:val="Body Text Indent 3 Char1"/>
    <w:basedOn w:val="30"/>
    <w:semiHidden/>
    <w:qFormat/>
    <w:locked/>
    <w:uiPriority w:val="99"/>
    <w:rPr>
      <w:rFonts w:cs="Times New Roman"/>
      <w:sz w:val="16"/>
      <w:szCs w:val="16"/>
    </w:rPr>
  </w:style>
  <w:style w:type="character" w:customStyle="1" w:styleId="116">
    <w:name w:val="文档结构图 Char"/>
    <w:basedOn w:val="30"/>
    <w:link w:val="8"/>
    <w:qFormat/>
    <w:uiPriority w:val="99"/>
    <w:rPr>
      <w:rFonts w:ascii="宋体" w:hAnsi="Calibri" w:eastAsia="宋体" w:cs="Times New Roman"/>
      <w:kern w:val="0"/>
      <w:sz w:val="18"/>
      <w:szCs w:val="20"/>
    </w:rPr>
  </w:style>
  <w:style w:type="character" w:customStyle="1" w:styleId="117">
    <w:name w:val="Document Map Char3"/>
    <w:basedOn w:val="30"/>
    <w:semiHidden/>
    <w:qFormat/>
    <w:locked/>
    <w:uiPriority w:val="99"/>
    <w:rPr>
      <w:rFonts w:ascii="Times New Roman" w:hAnsi="Times New Roman" w:cs="Times New Roman"/>
      <w:sz w:val="2"/>
    </w:rPr>
  </w:style>
  <w:style w:type="paragraph" w:customStyle="1" w:styleId="118">
    <w:name w:val="_Style 1"/>
    <w:basedOn w:val="1"/>
    <w:qFormat/>
    <w:uiPriority w:val="99"/>
    <w:pPr>
      <w:ind w:firstLine="420" w:firstLineChars="200"/>
    </w:pPr>
    <w:rPr>
      <w:rFonts w:ascii="Times New Roman" w:hAnsi="Times New Roman" w:eastAsia="宋体" w:cs="Times New Roman"/>
      <w:szCs w:val="24"/>
    </w:rPr>
  </w:style>
  <w:style w:type="character" w:customStyle="1" w:styleId="119">
    <w:name w:val="正文文本 Char"/>
    <w:basedOn w:val="30"/>
    <w:link w:val="9"/>
    <w:qFormat/>
    <w:uiPriority w:val="99"/>
    <w:rPr>
      <w:rFonts w:ascii="Calibri" w:hAnsi="Calibri" w:eastAsia="宋体" w:cs="Times New Roman"/>
      <w:kern w:val="0"/>
      <w:sz w:val="24"/>
      <w:szCs w:val="20"/>
    </w:rPr>
  </w:style>
  <w:style w:type="character" w:customStyle="1" w:styleId="120">
    <w:name w:val="Body Text Char1"/>
    <w:basedOn w:val="30"/>
    <w:semiHidden/>
    <w:qFormat/>
    <w:locked/>
    <w:uiPriority w:val="99"/>
    <w:rPr>
      <w:rFonts w:cs="Times New Roman"/>
    </w:rPr>
  </w:style>
  <w:style w:type="paragraph" w:customStyle="1" w:styleId="121">
    <w:name w:val="_Style 21"/>
    <w:basedOn w:val="1"/>
    <w:qFormat/>
    <w:uiPriority w:val="99"/>
    <w:rPr>
      <w:rFonts w:ascii="Times New Roman" w:hAnsi="Times New Roman" w:eastAsia="宋体" w:cs="Times New Roman"/>
      <w:szCs w:val="20"/>
    </w:rPr>
  </w:style>
  <w:style w:type="paragraph" w:customStyle="1" w:styleId="122">
    <w:name w:val="p0"/>
    <w:basedOn w:val="1"/>
    <w:qFormat/>
    <w:uiPriority w:val="99"/>
    <w:pPr>
      <w:widowControl/>
    </w:pPr>
    <w:rPr>
      <w:rFonts w:ascii="Times New Roman" w:hAnsi="Times New Roman" w:eastAsia="宋体" w:cs="Times New Roman"/>
      <w:kern w:val="0"/>
      <w:szCs w:val="21"/>
    </w:rPr>
  </w:style>
  <w:style w:type="paragraph" w:customStyle="1" w:styleId="123">
    <w:name w:val="xl37"/>
    <w:basedOn w:val="1"/>
    <w:qFormat/>
    <w:uiPriority w:val="99"/>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24">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25">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26">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27">
    <w:name w:val="列出段落11"/>
    <w:basedOn w:val="1"/>
    <w:qFormat/>
    <w:uiPriority w:val="99"/>
    <w:pPr>
      <w:ind w:firstLine="420" w:firstLineChars="200"/>
    </w:pPr>
    <w:rPr>
      <w:rFonts w:ascii="Times New Roman" w:hAnsi="Times New Roman" w:eastAsia="宋体" w:cs="Times New Roman"/>
      <w:szCs w:val="24"/>
    </w:rPr>
  </w:style>
  <w:style w:type="paragraph" w:customStyle="1" w:styleId="128">
    <w:name w:val="_Style 2"/>
    <w:basedOn w:val="1"/>
    <w:qFormat/>
    <w:uiPriority w:val="99"/>
    <w:pPr>
      <w:ind w:firstLine="420" w:firstLineChars="200"/>
    </w:pPr>
    <w:rPr>
      <w:rFonts w:ascii="Calibri" w:hAnsi="Calibri" w:eastAsia="宋体" w:cs="Times New Roman"/>
    </w:rPr>
  </w:style>
  <w:style w:type="paragraph" w:customStyle="1" w:styleId="129">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30">
    <w:name w:val="_Style 11"/>
    <w:basedOn w:val="1"/>
    <w:qFormat/>
    <w:uiPriority w:val="99"/>
    <w:rPr>
      <w:rFonts w:ascii="Times New Roman" w:hAnsi="Times New Roman" w:eastAsia="宋体" w:cs="Times New Roman"/>
      <w:szCs w:val="24"/>
    </w:rPr>
  </w:style>
  <w:style w:type="paragraph" w:customStyle="1" w:styleId="131">
    <w:name w:val="Char"/>
    <w:basedOn w:val="1"/>
    <w:qFormat/>
    <w:uiPriority w:val="99"/>
    <w:rPr>
      <w:rFonts w:ascii="Times New Roman" w:hAnsi="Times New Roman" w:eastAsia="宋体" w:cs="Times New Roman"/>
      <w:szCs w:val="21"/>
    </w:rPr>
  </w:style>
  <w:style w:type="paragraph" w:customStyle="1" w:styleId="132">
    <w:name w:val="列出段落1"/>
    <w:basedOn w:val="1"/>
    <w:qFormat/>
    <w:uiPriority w:val="99"/>
    <w:pPr>
      <w:ind w:firstLine="420" w:firstLineChars="200"/>
    </w:pPr>
    <w:rPr>
      <w:rFonts w:ascii="Times New Roman" w:hAnsi="Times New Roman" w:eastAsia="宋体" w:cs="Times New Roman"/>
      <w:szCs w:val="24"/>
    </w:rPr>
  </w:style>
  <w:style w:type="paragraph" w:customStyle="1" w:styleId="133">
    <w:name w:val="列出段落2"/>
    <w:basedOn w:val="1"/>
    <w:qFormat/>
    <w:uiPriority w:val="99"/>
    <w:pPr>
      <w:ind w:firstLine="420" w:firstLineChars="200"/>
    </w:pPr>
    <w:rPr>
      <w:rFonts w:ascii="Times New Roman" w:hAnsi="Times New Roman" w:eastAsia="宋体" w:cs="Times New Roman"/>
      <w:szCs w:val="24"/>
    </w:rPr>
  </w:style>
  <w:style w:type="paragraph" w:customStyle="1" w:styleId="134">
    <w:name w:val="TOC 标题1"/>
    <w:basedOn w:val="4"/>
    <w:next w:val="1"/>
    <w:qFormat/>
    <w:uiPriority w:val="99"/>
    <w:pPr>
      <w:keepLines/>
      <w:spacing w:before="480" w:after="0" w:line="276" w:lineRule="auto"/>
      <w:jc w:val="left"/>
      <w:outlineLvl w:val="9"/>
    </w:pPr>
    <w:rPr>
      <w:rFonts w:ascii="Cambria" w:hAnsi="Cambria" w:cs="Times New Roman"/>
      <w:color w:val="365F91"/>
      <w:kern w:val="0"/>
      <w:sz w:val="28"/>
      <w:szCs w:val="28"/>
    </w:rPr>
  </w:style>
  <w:style w:type="paragraph" w:customStyle="1" w:styleId="135">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paragraph" w:customStyle="1" w:styleId="136">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7">
    <w:name w:val="xl67"/>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38">
    <w:name w:val="xl68"/>
    <w:basedOn w:val="1"/>
    <w:qFormat/>
    <w:uiPriority w:val="0"/>
    <w:pPr>
      <w:widowControl/>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4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4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49">
    <w:name w:val="xl79"/>
    <w:basedOn w:val="1"/>
    <w:qFormat/>
    <w:uiPriority w:val="0"/>
    <w:pPr>
      <w:widowControl/>
      <w:spacing w:before="100" w:beforeAutospacing="1" w:after="100" w:afterAutospacing="1"/>
      <w:jc w:val="center"/>
    </w:pPr>
    <w:rPr>
      <w:rFonts w:ascii="宋体" w:hAnsi="宋体" w:eastAsia="宋体" w:cs="宋体"/>
      <w:kern w:val="0"/>
      <w:sz w:val="36"/>
      <w:szCs w:val="36"/>
    </w:rPr>
  </w:style>
  <w:style w:type="paragraph" w:customStyle="1" w:styleId="1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51">
    <w:name w:val="xl81"/>
    <w:basedOn w:val="1"/>
    <w:qFormat/>
    <w:uiPriority w:val="0"/>
    <w:pPr>
      <w:widowControl/>
      <w:pBdr>
        <w:top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15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5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4">
    <w:name w:val="标题 Char"/>
    <w:basedOn w:val="30"/>
    <w:link w:val="27"/>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201801-30D5-453A-9F32-248B1926FEA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17247</Words>
  <Characters>18278</Characters>
  <Lines>154</Lines>
  <Paragraphs>43</Paragraphs>
  <TotalTime>0</TotalTime>
  <ScaleCrop>false</ScaleCrop>
  <LinksUpToDate>false</LinksUpToDate>
  <CharactersWithSpaces>19497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2017-07-21T11:07:00Z</dcterms:created>
  <dc:creator>WHB</dc:creator>
  <cp:lastModifiedBy>苏</cp:lastModifiedBy>
  <cp:lastPrinted>2022-05-02T04:20:00Z</cp:lastPrinted>
  <dcterms:modified xsi:type="dcterms:W3CDTF">2022-05-26T11:07:25Z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37052F6CBF5B4E7A92854A6FF7CEEDA7</vt:lpwstr>
  </property>
  <property fmtid="{D5CDD505-2E9C-101B-9397-08002B2CF9AE}" pid="4" name="commondata">
    <vt:lpwstr>eyJoZGlkIjoiMDQ4MGM5MjdkYzQyMTI1NzM3Y2U5YTQyZjNkZDlmOTYifQ==</vt:lpwstr>
  </property>
</Properties>
</file>