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pPr>
    </w:p>
    <w:p>
      <w:pPr>
        <w:pStyle w:val="2"/>
        <w:ind w:firstLine="640"/>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600" w:lineRule="exact"/>
        <w:ind w:firstLine="874"/>
        <w:jc w:val="center"/>
        <w:rPr>
          <w:rFonts w:ascii="方正小标宋简体" w:eastAsia="方正小标宋简体"/>
          <w:b/>
          <w:bCs/>
          <w:w w:val="90"/>
          <w:sz w:val="48"/>
          <w:szCs w:val="48"/>
        </w:rPr>
      </w:pPr>
      <w:r>
        <w:rPr>
          <w:rFonts w:ascii="方正小标宋简体" w:eastAsia="方正小标宋简体"/>
          <w:b/>
          <w:w w:val="90"/>
          <w:sz w:val="48"/>
          <w:szCs w:val="48"/>
        </w:rPr>
        <mc:AlternateContent>
          <mc:Choice Requires="wps">
            <w:drawing>
              <wp:anchor distT="0" distB="0" distL="114300" distR="114300" simplePos="0" relativeHeight="251659264" behindDoc="1" locked="0" layoutInCell="1" allowOverlap="1">
                <wp:simplePos x="0" y="0"/>
                <wp:positionH relativeFrom="column">
                  <wp:posOffset>-2028190</wp:posOffset>
                </wp:positionH>
                <wp:positionV relativeFrom="paragraph">
                  <wp:posOffset>-339090</wp:posOffset>
                </wp:positionV>
                <wp:extent cx="264795" cy="218440"/>
                <wp:effectExtent l="12700" t="12700" r="27305" b="16510"/>
                <wp:wrapNone/>
                <wp:docPr id="3" name="Rectangle 3"/>
                <wp:cNvGraphicFramePr/>
                <a:graphic xmlns:a="http://schemas.openxmlformats.org/drawingml/2006/main">
                  <a:graphicData uri="http://schemas.microsoft.com/office/word/2010/wordprocessingShape">
                    <wps:wsp>
                      <wps:cNvSpPr>
                        <a:spLocks noChangeArrowheads="1"/>
                      </wps:cNvSpPr>
                      <wps:spPr bwMode="auto">
                        <a:xfrm flipV="1">
                          <a:off x="0" y="0"/>
                          <a:ext cx="264795" cy="218440"/>
                        </a:xfrm>
                        <a:prstGeom prst="rect">
                          <a:avLst/>
                        </a:prstGeom>
                        <a:solidFill>
                          <a:srgbClr val="FFFFFF"/>
                        </a:solidFill>
                        <a:ln w="25400">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3" o:spid="_x0000_s1026" o:spt="1" style="position:absolute;left:0pt;flip:y;margin-left:-159.7pt;margin-top:-26.7pt;height:17.2pt;width:20.85pt;z-index:-251657216;mso-width-relative:page;mso-height-relative:page;" fillcolor="#FFFFFF" filled="t" stroked="t" coordsize="21600,21600" o:gfxdata="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Cv1NkAAAANAQAADwAAAAAAAAABACAAAAAiAAAAZHJzL2Rvd25yZXYu&#10;eG1sUEsBAhQAFAAAAAgAh07iQANQKCczAgAAigQAAA4AAAAAAAAAAQAgAAAAKAEAAGRycy9lMm9E&#10;b2MueG1sUEsFBgAAAAAGAAYAWQEAAM0FAAAAAA==&#10;">
                <v:fill on="t" focussize="0,0"/>
                <v:stroke weight="2pt" color="#000000" miterlimit="8" joinstyle="miter"/>
                <v:imagedata o:title=""/>
                <o:lock v:ext="edit" aspectratio="f"/>
              </v:rect>
            </w:pict>
          </mc:Fallback>
        </mc:AlternateContent>
      </w:r>
      <w:r>
        <w:rPr>
          <w:rFonts w:hint="eastAsia" w:ascii="方正小标宋简体" w:eastAsia="方正小标宋简体"/>
          <w:b/>
          <w:bCs/>
          <w:w w:val="90"/>
          <w:sz w:val="48"/>
          <w:szCs w:val="48"/>
        </w:rPr>
        <w:t>克拉玛依市政务服务和公共资源交易中心</w:t>
      </w:r>
    </w:p>
    <w:p>
      <w:pPr>
        <w:overflowPunct w:val="0"/>
        <w:spacing w:line="600" w:lineRule="exact"/>
        <w:ind w:firstLine="964"/>
        <w:jc w:val="center"/>
        <w:rPr>
          <w:rFonts w:ascii="方正小标宋简体" w:hAnsi="宋体" w:eastAsia="方正小标宋简体"/>
          <w:b/>
          <w:bCs/>
          <w:sz w:val="48"/>
          <w:szCs w:val="48"/>
        </w:rPr>
      </w:pPr>
      <w:r>
        <w:rPr>
          <w:rFonts w:hint="eastAsia" w:ascii="方正小标宋简体" w:hAnsi="宋体" w:eastAsia="方正小标宋简体"/>
          <w:b/>
          <w:bCs/>
          <w:sz w:val="48"/>
          <w:szCs w:val="48"/>
        </w:rPr>
        <w:t>公开招标采购文件</w:t>
      </w:r>
    </w:p>
    <w:p>
      <w:pPr>
        <w:overflowPunct w:val="0"/>
        <w:spacing w:line="500" w:lineRule="exact"/>
        <w:ind w:firstLine="0" w:firstLineChars="0"/>
        <w:rPr>
          <w:rFonts w:ascii="方正小标宋简体" w:eastAsia="方正小标宋简体"/>
          <w:b/>
          <w:bCs/>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1700" w:firstLineChars="495"/>
        <w:rPr>
          <w:rFonts w:ascii="方正小标宋简体" w:eastAsia="方正小标宋简体"/>
          <w:b/>
          <w:bCs/>
          <w:w w:val="95"/>
          <w:sz w:val="36"/>
          <w:szCs w:val="36"/>
        </w:rPr>
      </w:pPr>
      <w:r>
        <w:rPr>
          <w:rFonts w:hint="eastAsia" w:ascii="方正小标宋简体" w:eastAsia="方正小标宋简体"/>
          <w:b/>
          <w:bCs/>
          <w:w w:val="95"/>
          <w:sz w:val="36"/>
          <w:szCs w:val="36"/>
        </w:rPr>
        <w:t>招标文件编号：KZC-GK-2022-007</w:t>
      </w:r>
    </w:p>
    <w:p>
      <w:pPr>
        <w:overflowPunct w:val="0"/>
        <w:spacing w:line="500" w:lineRule="exact"/>
        <w:ind w:firstLine="1700" w:firstLineChars="495"/>
        <w:rPr>
          <w:rFonts w:ascii="方正小标宋简体" w:eastAsia="方正小标宋简体"/>
          <w:b/>
          <w:bCs/>
          <w:w w:val="95"/>
          <w:sz w:val="36"/>
          <w:szCs w:val="36"/>
        </w:rPr>
      </w:pPr>
      <w:r>
        <w:rPr>
          <w:rFonts w:hint="eastAsia" w:ascii="方正小标宋简体" w:eastAsia="方正小标宋简体"/>
          <w:b/>
          <w:bCs/>
          <w:w w:val="95"/>
          <w:sz w:val="36"/>
          <w:szCs w:val="36"/>
        </w:rPr>
        <w:t>招标项目：中国石油大学（北京）克拉玛依校区</w:t>
      </w:r>
    </w:p>
    <w:p>
      <w:pPr>
        <w:overflowPunct w:val="0"/>
        <w:spacing w:line="500" w:lineRule="exact"/>
        <w:ind w:firstLine="1700" w:firstLineChars="495"/>
        <w:jc w:val="center"/>
        <w:rPr>
          <w:rFonts w:ascii="方正小标宋简体" w:eastAsia="方正小标宋简体"/>
          <w:b/>
          <w:bCs/>
          <w:w w:val="95"/>
          <w:sz w:val="36"/>
          <w:szCs w:val="36"/>
        </w:rPr>
      </w:pPr>
      <w:r>
        <w:rPr>
          <w:rFonts w:hint="eastAsia" w:ascii="方正小标宋简体" w:eastAsia="方正小标宋简体"/>
          <w:b/>
          <w:bCs/>
          <w:w w:val="95"/>
          <w:sz w:val="36"/>
          <w:szCs w:val="36"/>
        </w:rPr>
        <w:t xml:space="preserve">   C4教学楼教学家具采购</w:t>
      </w: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590" w:firstLineChars="196"/>
        <w:rPr>
          <w:rFonts w:ascii="方正小标宋简体" w:hAnsi="宋体" w:eastAsia="方正小标宋简体"/>
          <w:b/>
          <w:sz w:val="30"/>
          <w:szCs w:val="30"/>
        </w:rPr>
      </w:pPr>
      <w:r>
        <w:rPr>
          <w:rFonts w:hint="eastAsia" w:ascii="方正小标宋简体" w:hAnsi="宋体" w:eastAsia="方正小标宋简体"/>
          <w:b/>
          <w:sz w:val="30"/>
          <w:szCs w:val="30"/>
        </w:rPr>
        <w:t>招标人：中国石油大学（北京）克拉玛依校区</w:t>
      </w:r>
    </w:p>
    <w:p>
      <w:pPr>
        <w:overflowPunct w:val="0"/>
        <w:spacing w:line="500" w:lineRule="exact"/>
        <w:ind w:firstLine="0" w:firstLineChars="0"/>
        <w:rPr>
          <w:rFonts w:ascii="方正小标宋简体" w:hAnsi="宋体" w:eastAsia="方正小标宋简体"/>
          <w:b/>
          <w:sz w:val="30"/>
          <w:szCs w:val="30"/>
        </w:rPr>
      </w:pP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596" w:firstLineChars="198"/>
        <w:rPr>
          <w:rFonts w:ascii="方正小标宋简体" w:eastAsia="方正小标宋简体"/>
          <w:b/>
          <w:sz w:val="30"/>
          <w:szCs w:val="30"/>
        </w:rPr>
      </w:pPr>
      <w:r>
        <w:rPr>
          <w:rFonts w:hint="eastAsia" w:ascii="方正小标宋简体" w:hAnsi="宋体" w:eastAsia="方正小标宋简体"/>
          <w:b/>
          <w:sz w:val="30"/>
          <w:szCs w:val="30"/>
        </w:rPr>
        <w:t>采购代理机构：克拉玛依市政务服务和公共资源交易中心</w:t>
      </w: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0" w:firstLineChars="0"/>
        <w:rPr>
          <w:rFonts w:ascii="方正小标宋简体" w:hAnsi="宋体" w:eastAsia="方正小标宋简体"/>
          <w:b/>
          <w:sz w:val="36"/>
          <w:szCs w:val="36"/>
        </w:rPr>
      </w:pPr>
    </w:p>
    <w:p>
      <w:pPr>
        <w:overflowPunct w:val="0"/>
        <w:spacing w:line="500" w:lineRule="exact"/>
        <w:ind w:firstLine="0" w:firstLineChars="0"/>
        <w:jc w:val="center"/>
        <w:rPr>
          <w:rFonts w:ascii="方正小标宋简体" w:hAnsi="宋体" w:eastAsia="方正小标宋简体"/>
          <w:b/>
          <w:color w:val="FF0000"/>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方正小标宋简体" w:hAnsi="宋体" w:eastAsia="方正小标宋简体"/>
          <w:b/>
          <w:sz w:val="36"/>
          <w:szCs w:val="36"/>
        </w:rPr>
        <w:t>2022年5月</w:t>
      </w:r>
    </w:p>
    <w:p>
      <w:pPr>
        <w:overflowPunct w:val="0"/>
        <w:ind w:firstLine="880"/>
        <w:jc w:val="center"/>
        <w:rPr>
          <w:rFonts w:ascii="仿宋" w:hAnsi="仿宋" w:eastAsia="仿宋"/>
          <w:sz w:val="32"/>
          <w:szCs w:val="32"/>
        </w:rPr>
      </w:pPr>
      <w:r>
        <w:rPr>
          <w:rFonts w:hint="eastAsia" w:ascii="方正小标宋简体" w:eastAsia="方正小标宋简体"/>
          <w:sz w:val="44"/>
        </w:rPr>
        <w:t>目   录</w:t>
      </w:r>
    </w:p>
    <w:p>
      <w:pPr>
        <w:pStyle w:val="12"/>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\u </w:instrText>
      </w:r>
      <w:r>
        <w:rPr>
          <w:rFonts w:hint="eastAsia" w:ascii="仿宋" w:hAnsi="仿宋" w:eastAsia="仿宋" w:cs="仿宋"/>
          <w:sz w:val="24"/>
          <w:szCs w:val="24"/>
        </w:rPr>
        <w:fldChar w:fldCharType="separate"/>
      </w:r>
      <w:r>
        <w:rPr>
          <w:rFonts w:hint="eastAsia" w:ascii="仿宋" w:hAnsi="仿宋" w:eastAsia="仿宋" w:cs="仿宋"/>
          <w:sz w:val="24"/>
          <w:szCs w:val="24"/>
        </w:rPr>
        <w:t>第一篇  投标邀请书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_Toc22632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一、招标项目内容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_Toc29013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二、资金来源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_Toc27585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三、投标人资格要求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_Toc21911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四、投标、开标有关说明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_Toc21178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五、投标有关规定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_Toc6541 \h </w:instrText>
      </w:r>
      <w:r>
        <w:rPr>
          <w:rFonts w:hint="eastAsia" w:ascii="仿宋" w:hAnsi="仿宋" w:eastAsia="仿宋" w:cs="仿宋"/>
          <w:sz w:val="24"/>
          <w:szCs w:val="24"/>
        </w:rPr>
        <w:fldChar w:fldCharType="separate"/>
      </w:r>
      <w:r>
        <w:rPr>
          <w:rFonts w:hint="eastAsia" w:ascii="仿宋" w:hAnsi="仿宋" w:eastAsia="仿宋" w:cs="仿宋"/>
          <w:sz w:val="24"/>
          <w:szCs w:val="24"/>
        </w:rPr>
        <w:t>- 6 -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六、采购项目需落实的政府采购政策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_Toc32713 \h </w:instrText>
      </w:r>
      <w:r>
        <w:rPr>
          <w:rFonts w:hint="eastAsia" w:ascii="仿宋" w:hAnsi="仿宋" w:eastAsia="仿宋" w:cs="仿宋"/>
          <w:sz w:val="24"/>
          <w:szCs w:val="24"/>
        </w:rPr>
        <w:fldChar w:fldCharType="separate"/>
      </w:r>
      <w:r>
        <w:rPr>
          <w:rFonts w:hint="eastAsia" w:ascii="仿宋" w:hAnsi="仿宋" w:eastAsia="仿宋" w:cs="仿宋"/>
          <w:sz w:val="24"/>
          <w:szCs w:val="24"/>
        </w:rPr>
        <w:t>- 6 -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七、现场踏勘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_Toc31914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八、联系方式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_Toc6204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p>
    <w:p>
      <w:pPr>
        <w:pStyle w:val="12"/>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第二篇 项目技术规格、数量及质量要求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_Toc27669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一、货物技术参数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_Toc9549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p>
    <w:p>
      <w:pPr>
        <w:pStyle w:val="12"/>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第三篇  项目商务要求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_Toc8719 \h </w:instrText>
      </w:r>
      <w:r>
        <w:rPr>
          <w:rFonts w:hint="eastAsia" w:ascii="仿宋" w:hAnsi="仿宋" w:eastAsia="仿宋" w:cs="仿宋"/>
          <w:sz w:val="24"/>
          <w:szCs w:val="24"/>
        </w:rPr>
        <w:fldChar w:fldCharType="separate"/>
      </w:r>
      <w:r>
        <w:rPr>
          <w:rFonts w:hint="eastAsia" w:ascii="仿宋" w:hAnsi="仿宋" w:eastAsia="仿宋" w:cs="仿宋"/>
          <w:sz w:val="24"/>
          <w:szCs w:val="24"/>
        </w:rPr>
        <w:t>- 19 -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一、交货期、地点、验收方式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_Toc7803 \h </w:instrText>
      </w:r>
      <w:r>
        <w:rPr>
          <w:rFonts w:hint="eastAsia" w:ascii="仿宋" w:hAnsi="仿宋" w:eastAsia="仿宋" w:cs="仿宋"/>
          <w:sz w:val="24"/>
          <w:szCs w:val="24"/>
        </w:rPr>
        <w:fldChar w:fldCharType="separate"/>
      </w:r>
      <w:r>
        <w:rPr>
          <w:rFonts w:hint="eastAsia" w:ascii="仿宋" w:hAnsi="仿宋" w:eastAsia="仿宋" w:cs="仿宋"/>
          <w:sz w:val="24"/>
          <w:szCs w:val="24"/>
        </w:rPr>
        <w:t>- 19 -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二、报价要求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_Toc19793 \h </w:instrText>
      </w:r>
      <w:r>
        <w:rPr>
          <w:rFonts w:hint="eastAsia" w:ascii="仿宋" w:hAnsi="仿宋" w:eastAsia="仿宋" w:cs="仿宋"/>
          <w:sz w:val="24"/>
          <w:szCs w:val="24"/>
        </w:rPr>
        <w:fldChar w:fldCharType="separate"/>
      </w:r>
      <w:r>
        <w:rPr>
          <w:rFonts w:hint="eastAsia" w:ascii="仿宋" w:hAnsi="仿宋" w:eastAsia="仿宋" w:cs="仿宋"/>
          <w:sz w:val="24"/>
          <w:szCs w:val="24"/>
        </w:rPr>
        <w:t>- 20 -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三、质量保证及售后服务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_Toc8171 \h </w:instrText>
      </w:r>
      <w:r>
        <w:rPr>
          <w:rFonts w:hint="eastAsia" w:ascii="仿宋" w:hAnsi="仿宋" w:eastAsia="仿宋" w:cs="仿宋"/>
          <w:sz w:val="24"/>
          <w:szCs w:val="24"/>
        </w:rPr>
        <w:fldChar w:fldCharType="separate"/>
      </w:r>
      <w:r>
        <w:rPr>
          <w:rFonts w:hint="eastAsia" w:ascii="仿宋" w:hAnsi="仿宋" w:eastAsia="仿宋" w:cs="仿宋"/>
          <w:sz w:val="24"/>
          <w:szCs w:val="24"/>
        </w:rPr>
        <w:t>- 20 -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四、付款方式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_Toc26746 \h </w:instrText>
      </w:r>
      <w:r>
        <w:rPr>
          <w:rFonts w:hint="eastAsia" w:ascii="仿宋" w:hAnsi="仿宋" w:eastAsia="仿宋" w:cs="仿宋"/>
          <w:sz w:val="24"/>
          <w:szCs w:val="24"/>
        </w:rPr>
        <w:fldChar w:fldCharType="separate"/>
      </w:r>
      <w:r>
        <w:rPr>
          <w:rFonts w:hint="eastAsia" w:ascii="仿宋" w:hAnsi="仿宋" w:eastAsia="仿宋" w:cs="仿宋"/>
          <w:sz w:val="24"/>
          <w:szCs w:val="24"/>
        </w:rPr>
        <w:t>- 21 -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五、履约保证金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_Toc29863 \h </w:instrText>
      </w:r>
      <w:r>
        <w:rPr>
          <w:rFonts w:hint="eastAsia" w:ascii="仿宋" w:hAnsi="仿宋" w:eastAsia="仿宋" w:cs="仿宋"/>
          <w:sz w:val="24"/>
          <w:szCs w:val="24"/>
        </w:rPr>
        <w:fldChar w:fldCharType="separate"/>
      </w:r>
      <w:r>
        <w:rPr>
          <w:rFonts w:hint="eastAsia" w:ascii="仿宋" w:hAnsi="仿宋" w:eastAsia="仿宋" w:cs="仿宋"/>
          <w:sz w:val="24"/>
          <w:szCs w:val="24"/>
        </w:rPr>
        <w:t>- 21 -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六、知识产权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_Toc27077 \h </w:instrText>
      </w:r>
      <w:r>
        <w:rPr>
          <w:rFonts w:hint="eastAsia" w:ascii="仿宋" w:hAnsi="仿宋" w:eastAsia="仿宋" w:cs="仿宋"/>
          <w:sz w:val="24"/>
          <w:szCs w:val="24"/>
        </w:rPr>
        <w:fldChar w:fldCharType="separate"/>
      </w:r>
      <w:r>
        <w:rPr>
          <w:rFonts w:hint="eastAsia" w:ascii="仿宋" w:hAnsi="仿宋" w:eastAsia="仿宋" w:cs="仿宋"/>
          <w:sz w:val="24"/>
          <w:szCs w:val="24"/>
        </w:rPr>
        <w:t>- 21 -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七、其他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_Toc7149 \h </w:instrText>
      </w:r>
      <w:r>
        <w:rPr>
          <w:rFonts w:hint="eastAsia" w:ascii="仿宋" w:hAnsi="仿宋" w:eastAsia="仿宋" w:cs="仿宋"/>
          <w:sz w:val="24"/>
          <w:szCs w:val="24"/>
        </w:rPr>
        <w:fldChar w:fldCharType="separate"/>
      </w:r>
      <w:r>
        <w:rPr>
          <w:rFonts w:hint="eastAsia" w:ascii="仿宋" w:hAnsi="仿宋" w:eastAsia="仿宋" w:cs="仿宋"/>
          <w:sz w:val="24"/>
          <w:szCs w:val="24"/>
        </w:rPr>
        <w:t>- 21 -</w:t>
      </w:r>
      <w:r>
        <w:rPr>
          <w:rFonts w:hint="eastAsia" w:ascii="仿宋" w:hAnsi="仿宋" w:eastAsia="仿宋" w:cs="仿宋"/>
          <w:sz w:val="24"/>
          <w:szCs w:val="24"/>
        </w:rPr>
        <w:fldChar w:fldCharType="end"/>
      </w:r>
    </w:p>
    <w:p>
      <w:pPr>
        <w:pStyle w:val="12"/>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kern w:val="0"/>
          <w:sz w:val="24"/>
          <w:szCs w:val="24"/>
        </w:rPr>
        <w:t xml:space="preserve">第四篇  </w:t>
      </w:r>
      <w:r>
        <w:rPr>
          <w:rFonts w:hint="eastAsia" w:ascii="仿宋" w:hAnsi="仿宋" w:eastAsia="仿宋" w:cs="仿宋"/>
          <w:sz w:val="24"/>
          <w:szCs w:val="24"/>
        </w:rPr>
        <w:t>评标方法、评标标准、无效投标条款和废标条款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_Toc30112 \h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一、评标方法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_Toc27124 \h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二、评标标准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_Toc21218 \h </w:instrText>
      </w:r>
      <w:r>
        <w:rPr>
          <w:rFonts w:hint="eastAsia" w:ascii="仿宋" w:hAnsi="仿宋" w:eastAsia="仿宋" w:cs="仿宋"/>
          <w:sz w:val="24"/>
          <w:szCs w:val="24"/>
        </w:rPr>
        <w:fldChar w:fldCharType="separate"/>
      </w:r>
      <w:r>
        <w:rPr>
          <w:rFonts w:hint="eastAsia" w:ascii="仿宋" w:hAnsi="仿宋" w:eastAsia="仿宋" w:cs="仿宋"/>
          <w:sz w:val="24"/>
          <w:szCs w:val="24"/>
        </w:rPr>
        <w:t>- 25 -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三、无效投标条款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_Toc10187 \h </w:instrText>
      </w:r>
      <w:r>
        <w:rPr>
          <w:rFonts w:hint="eastAsia" w:ascii="仿宋" w:hAnsi="仿宋" w:eastAsia="仿宋" w:cs="仿宋"/>
          <w:sz w:val="24"/>
          <w:szCs w:val="24"/>
        </w:rPr>
        <w:fldChar w:fldCharType="separate"/>
      </w:r>
      <w:r>
        <w:rPr>
          <w:rFonts w:hint="eastAsia" w:ascii="仿宋" w:hAnsi="仿宋" w:eastAsia="仿宋" w:cs="仿宋"/>
          <w:sz w:val="24"/>
          <w:szCs w:val="24"/>
        </w:rPr>
        <w:t>- 26 -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四、废标条款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_Toc5543 \h </w:instrText>
      </w:r>
      <w:r>
        <w:rPr>
          <w:rFonts w:hint="eastAsia" w:ascii="仿宋" w:hAnsi="仿宋" w:eastAsia="仿宋" w:cs="仿宋"/>
          <w:sz w:val="24"/>
          <w:szCs w:val="24"/>
        </w:rPr>
        <w:fldChar w:fldCharType="separate"/>
      </w:r>
      <w:r>
        <w:rPr>
          <w:rFonts w:hint="eastAsia" w:ascii="仿宋" w:hAnsi="仿宋" w:eastAsia="仿宋" w:cs="仿宋"/>
          <w:sz w:val="24"/>
          <w:szCs w:val="24"/>
        </w:rPr>
        <w:t>- 27 -</w:t>
      </w:r>
      <w:r>
        <w:rPr>
          <w:rFonts w:hint="eastAsia" w:ascii="仿宋" w:hAnsi="仿宋" w:eastAsia="仿宋" w:cs="仿宋"/>
          <w:sz w:val="24"/>
          <w:szCs w:val="24"/>
        </w:rPr>
        <w:fldChar w:fldCharType="end"/>
      </w:r>
    </w:p>
    <w:p>
      <w:pPr>
        <w:pStyle w:val="12"/>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第五篇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_Toc29503 \h </w:instrText>
      </w:r>
      <w:r>
        <w:rPr>
          <w:rFonts w:hint="eastAsia" w:ascii="仿宋" w:hAnsi="仿宋" w:eastAsia="仿宋" w:cs="仿宋"/>
          <w:sz w:val="24"/>
          <w:szCs w:val="24"/>
        </w:rPr>
        <w:fldChar w:fldCharType="separate"/>
      </w:r>
      <w:r>
        <w:rPr>
          <w:rFonts w:hint="eastAsia" w:ascii="仿宋" w:hAnsi="仿宋" w:eastAsia="仿宋" w:cs="仿宋"/>
          <w:sz w:val="24"/>
          <w:szCs w:val="24"/>
        </w:rPr>
        <w:t>- 28 -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一、投标人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_Toc24095 \h </w:instrText>
      </w:r>
      <w:r>
        <w:rPr>
          <w:rFonts w:hint="eastAsia" w:ascii="仿宋" w:hAnsi="仿宋" w:eastAsia="仿宋" w:cs="仿宋"/>
          <w:sz w:val="24"/>
          <w:szCs w:val="24"/>
        </w:rPr>
        <w:fldChar w:fldCharType="separate"/>
      </w:r>
      <w:r>
        <w:rPr>
          <w:rFonts w:hint="eastAsia" w:ascii="仿宋" w:hAnsi="仿宋" w:eastAsia="仿宋" w:cs="仿宋"/>
          <w:sz w:val="24"/>
          <w:szCs w:val="24"/>
        </w:rPr>
        <w:t>- 28 -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_Toc26352 \h </w:instrText>
      </w:r>
      <w:r>
        <w:rPr>
          <w:rFonts w:hint="eastAsia" w:ascii="仿宋" w:hAnsi="仿宋" w:eastAsia="仿宋" w:cs="仿宋"/>
          <w:sz w:val="24"/>
          <w:szCs w:val="24"/>
        </w:rPr>
        <w:fldChar w:fldCharType="separate"/>
      </w:r>
      <w:r>
        <w:rPr>
          <w:rFonts w:hint="eastAsia" w:ascii="仿宋" w:hAnsi="仿宋" w:eastAsia="仿宋" w:cs="仿宋"/>
          <w:sz w:val="24"/>
          <w:szCs w:val="24"/>
        </w:rPr>
        <w:t>- 28 -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三、投标文件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_Toc13018 \h </w:instrText>
      </w:r>
      <w:r>
        <w:rPr>
          <w:rFonts w:hint="eastAsia" w:ascii="仿宋" w:hAnsi="仿宋" w:eastAsia="仿宋" w:cs="仿宋"/>
          <w:sz w:val="24"/>
          <w:szCs w:val="24"/>
        </w:rPr>
        <w:fldChar w:fldCharType="separate"/>
      </w:r>
      <w:r>
        <w:rPr>
          <w:rFonts w:hint="eastAsia" w:ascii="仿宋" w:hAnsi="仿宋" w:eastAsia="仿宋" w:cs="仿宋"/>
          <w:sz w:val="24"/>
          <w:szCs w:val="24"/>
        </w:rPr>
        <w:t>- 28 -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_Toc5109 \h </w:instrText>
      </w:r>
      <w:r>
        <w:rPr>
          <w:rFonts w:hint="eastAsia" w:ascii="仿宋" w:hAnsi="仿宋" w:eastAsia="仿宋" w:cs="仿宋"/>
          <w:sz w:val="24"/>
          <w:szCs w:val="24"/>
        </w:rPr>
        <w:fldChar w:fldCharType="separate"/>
      </w:r>
      <w:r>
        <w:rPr>
          <w:rFonts w:hint="eastAsia" w:ascii="仿宋" w:hAnsi="仿宋" w:eastAsia="仿宋" w:cs="仿宋"/>
          <w:sz w:val="24"/>
          <w:szCs w:val="24"/>
        </w:rPr>
        <w:t>- 30 -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五、评标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_Toc31308 \h </w:instrText>
      </w:r>
      <w:r>
        <w:rPr>
          <w:rFonts w:hint="eastAsia" w:ascii="仿宋" w:hAnsi="仿宋" w:eastAsia="仿宋" w:cs="仿宋"/>
          <w:sz w:val="24"/>
          <w:szCs w:val="24"/>
        </w:rPr>
        <w:fldChar w:fldCharType="separate"/>
      </w:r>
      <w:r>
        <w:rPr>
          <w:rFonts w:hint="eastAsia" w:ascii="仿宋" w:hAnsi="仿宋" w:eastAsia="仿宋" w:cs="仿宋"/>
          <w:sz w:val="24"/>
          <w:szCs w:val="24"/>
        </w:rPr>
        <w:t>- 30 -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六、定标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_Toc25025 \h </w:instrText>
      </w:r>
      <w:r>
        <w:rPr>
          <w:rFonts w:hint="eastAsia" w:ascii="仿宋" w:hAnsi="仿宋" w:eastAsia="仿宋" w:cs="仿宋"/>
          <w:sz w:val="24"/>
          <w:szCs w:val="24"/>
        </w:rPr>
        <w:fldChar w:fldCharType="separate"/>
      </w:r>
      <w:r>
        <w:rPr>
          <w:rFonts w:hint="eastAsia" w:ascii="仿宋" w:hAnsi="仿宋" w:eastAsia="仿宋" w:cs="仿宋"/>
          <w:sz w:val="24"/>
          <w:szCs w:val="24"/>
        </w:rPr>
        <w:t>- 30 -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七、中标通知书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_Toc30114 \h </w:instrText>
      </w:r>
      <w:r>
        <w:rPr>
          <w:rFonts w:hint="eastAsia" w:ascii="仿宋" w:hAnsi="仿宋" w:eastAsia="仿宋" w:cs="仿宋"/>
          <w:sz w:val="24"/>
          <w:szCs w:val="24"/>
        </w:rPr>
        <w:fldChar w:fldCharType="separate"/>
      </w:r>
      <w:r>
        <w:rPr>
          <w:rFonts w:hint="eastAsia" w:ascii="仿宋" w:hAnsi="仿宋" w:eastAsia="仿宋" w:cs="仿宋"/>
          <w:sz w:val="24"/>
          <w:szCs w:val="24"/>
        </w:rPr>
        <w:t>- 30 -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八、关于质疑和投诉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_Toc20017 \h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九、签订合同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_Toc28451 \h </w:instrText>
      </w:r>
      <w:r>
        <w:rPr>
          <w:rFonts w:hint="eastAsia" w:ascii="仿宋" w:hAnsi="仿宋" w:eastAsia="仿宋" w:cs="仿宋"/>
          <w:sz w:val="24"/>
          <w:szCs w:val="24"/>
        </w:rPr>
        <w:fldChar w:fldCharType="separate"/>
      </w:r>
      <w:r>
        <w:rPr>
          <w:rFonts w:hint="eastAsia" w:ascii="仿宋" w:hAnsi="仿宋" w:eastAsia="仿宋" w:cs="仿宋"/>
          <w:sz w:val="24"/>
          <w:szCs w:val="24"/>
        </w:rPr>
        <w:t>- 32 -</w:t>
      </w:r>
      <w:r>
        <w:rPr>
          <w:rFonts w:hint="eastAsia" w:ascii="仿宋" w:hAnsi="仿宋" w:eastAsia="仿宋" w:cs="仿宋"/>
          <w:sz w:val="24"/>
          <w:szCs w:val="24"/>
        </w:rPr>
        <w:fldChar w:fldCharType="end"/>
      </w:r>
    </w:p>
    <w:p>
      <w:pPr>
        <w:pStyle w:val="12"/>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第六篇  合同主要条款和格式合同（样本）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_Toc5852 \h </w:instrText>
      </w:r>
      <w:r>
        <w:rPr>
          <w:rFonts w:hint="eastAsia" w:ascii="仿宋" w:hAnsi="仿宋" w:eastAsia="仿宋" w:cs="仿宋"/>
          <w:sz w:val="24"/>
          <w:szCs w:val="24"/>
        </w:rPr>
        <w:fldChar w:fldCharType="separate"/>
      </w:r>
      <w:r>
        <w:rPr>
          <w:rFonts w:hint="eastAsia" w:ascii="仿宋" w:hAnsi="仿宋" w:eastAsia="仿宋" w:cs="仿宋"/>
          <w:sz w:val="24"/>
          <w:szCs w:val="24"/>
        </w:rPr>
        <w:t>- 34 -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一、合同主要条款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_Toc8369 \h </w:instrText>
      </w:r>
      <w:r>
        <w:rPr>
          <w:rFonts w:hint="eastAsia" w:ascii="仿宋" w:hAnsi="仿宋" w:eastAsia="仿宋" w:cs="仿宋"/>
          <w:sz w:val="24"/>
          <w:szCs w:val="24"/>
        </w:rPr>
        <w:fldChar w:fldCharType="separate"/>
      </w:r>
      <w:r>
        <w:rPr>
          <w:rFonts w:hint="eastAsia" w:ascii="仿宋" w:hAnsi="仿宋" w:eastAsia="仿宋" w:cs="仿宋"/>
          <w:sz w:val="24"/>
          <w:szCs w:val="24"/>
        </w:rPr>
        <w:t>- 34 -</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二、合同（格式）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_Toc24100 \h </w:instrText>
      </w:r>
      <w:r>
        <w:rPr>
          <w:rFonts w:hint="eastAsia" w:ascii="仿宋" w:hAnsi="仿宋" w:eastAsia="仿宋" w:cs="仿宋"/>
          <w:sz w:val="24"/>
          <w:szCs w:val="24"/>
        </w:rPr>
        <w:fldChar w:fldCharType="separate"/>
      </w:r>
      <w:r>
        <w:rPr>
          <w:rFonts w:hint="eastAsia" w:ascii="仿宋" w:hAnsi="仿宋" w:eastAsia="仿宋" w:cs="仿宋"/>
          <w:sz w:val="24"/>
          <w:szCs w:val="24"/>
        </w:rPr>
        <w:t>- 36 -</w:t>
      </w:r>
      <w:r>
        <w:rPr>
          <w:rFonts w:hint="eastAsia" w:ascii="仿宋" w:hAnsi="仿宋" w:eastAsia="仿宋" w:cs="仿宋"/>
          <w:sz w:val="24"/>
          <w:szCs w:val="24"/>
        </w:rPr>
        <w:fldChar w:fldCharType="end"/>
      </w:r>
    </w:p>
    <w:p>
      <w:pPr>
        <w:pStyle w:val="12"/>
        <w:tabs>
          <w:tab w:val="right" w:leader="dot" w:pos="9412"/>
          <w:tab w:val="clear" w:pos="9402"/>
        </w:tabs>
        <w:spacing w:before="0" w:after="0"/>
        <w:ind w:firstLine="482"/>
        <w:rPr>
          <w:rFonts w:ascii="仿宋" w:hAnsi="仿宋" w:eastAsia="仿宋" w:cs="仿宋"/>
          <w:sz w:val="24"/>
          <w:szCs w:val="24"/>
        </w:rPr>
      </w:pPr>
      <w:r>
        <w:rPr>
          <w:rFonts w:hint="eastAsia" w:ascii="仿宋" w:hAnsi="仿宋" w:eastAsia="仿宋" w:cs="仿宋"/>
          <w:sz w:val="24"/>
          <w:szCs w:val="24"/>
        </w:rPr>
        <w:t>第七篇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_Toc15137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一、经济文件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_Toc12701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二、资格文件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_Toc32129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三、商务文件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_Toc17594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四、技术文件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_Toc916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pPr>
        <w:pStyle w:val="13"/>
        <w:tabs>
          <w:tab w:val="right" w:leader="dot" w:pos="9412"/>
        </w:tabs>
        <w:ind w:firstLine="480"/>
        <w:rPr>
          <w:rFonts w:ascii="仿宋" w:hAnsi="仿宋" w:eastAsia="仿宋" w:cs="仿宋"/>
          <w:sz w:val="24"/>
          <w:szCs w:val="24"/>
        </w:rPr>
      </w:pPr>
      <w:r>
        <w:rPr>
          <w:rFonts w:hint="eastAsia" w:ascii="仿宋" w:hAnsi="仿宋" w:eastAsia="仿宋" w:cs="仿宋"/>
          <w:sz w:val="24"/>
          <w:szCs w:val="24"/>
        </w:rPr>
        <w:t>五、其他文件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_Toc2535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pPr>
        <w:overflowPunct w:val="0"/>
        <w:ind w:firstLine="480"/>
        <w:rPr>
          <w:rFonts w:ascii="仿宋" w:hAnsi="仿宋" w:eastAsia="仿宋" w:cs="Calibri"/>
          <w:sz w:val="24"/>
          <w:szCs w:val="24"/>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szCs w:val="24"/>
        </w:rPr>
        <w:fldChar w:fldCharType="end"/>
      </w:r>
    </w:p>
    <w:p>
      <w:pPr>
        <w:pStyle w:val="17"/>
        <w:ind w:firstLine="723"/>
        <w:rPr>
          <w:rFonts w:ascii="仿宋" w:eastAsia="仿宋" w:cs="Calibri"/>
          <w:sz w:val="28"/>
          <w:szCs w:val="28"/>
        </w:rPr>
      </w:pPr>
      <w:bookmarkStart w:id="0" w:name="_Toc22632"/>
      <w:r>
        <w:rPr>
          <w:rFonts w:hint="eastAsia"/>
        </w:rPr>
        <w:t>第一篇  投标邀请书</w:t>
      </w:r>
      <w:bookmarkEnd w:id="0"/>
    </w:p>
    <w:p>
      <w:pPr>
        <w:pStyle w:val="22"/>
        <w:ind w:firstLine="480"/>
      </w:pPr>
      <w:r>
        <w:rPr>
          <w:rFonts w:hint="eastAsia"/>
        </w:rPr>
        <w:t>克拉玛依市政务服务和公共资源交易中心受中国石油大学（北京）克拉玛依校区的委托，对中国石油大学（北京）克拉玛依校区的“C4教学楼教学家具采购”项目以公开招标方式采购，欢迎有资格的投标人参加投标。</w:t>
      </w:r>
    </w:p>
    <w:p>
      <w:pPr>
        <w:pStyle w:val="19"/>
        <w:ind w:firstLine="562"/>
      </w:pPr>
      <w:bookmarkStart w:id="1" w:name="_Toc29013"/>
      <w:r>
        <w:rPr>
          <w:rFonts w:hint="eastAsia"/>
        </w:rPr>
        <w:t>一、招标项目内容</w:t>
      </w:r>
      <w:bookmarkEnd w:id="1"/>
    </w:p>
    <w:tbl>
      <w:tblPr>
        <w:tblStyle w:val="14"/>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000"/>
        <w:gridCol w:w="1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02" w:type="dxa"/>
            <w:vAlign w:val="center"/>
          </w:tcPr>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序号</w:t>
            </w:r>
          </w:p>
        </w:tc>
        <w:tc>
          <w:tcPr>
            <w:tcW w:w="4000" w:type="dxa"/>
            <w:vAlign w:val="center"/>
          </w:tcPr>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432" w:type="dxa"/>
            <w:vAlign w:val="center"/>
          </w:tcPr>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采购预算</w:t>
            </w:r>
          </w:p>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（万元）</w:t>
            </w:r>
          </w:p>
        </w:tc>
        <w:tc>
          <w:tcPr>
            <w:tcW w:w="1823" w:type="dxa"/>
            <w:vAlign w:val="center"/>
          </w:tcPr>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02" w:type="dxa"/>
            <w:vAlign w:val="center"/>
          </w:tcPr>
          <w:p>
            <w:pPr>
              <w:pStyle w:val="5"/>
              <w:spacing w:line="400" w:lineRule="exact"/>
              <w:ind w:left="0" w:firstLine="0" w:firstLineChars="0"/>
              <w:jc w:val="center"/>
              <w:rPr>
                <w:rFonts w:ascii="仿宋" w:hAnsi="仿宋" w:eastAsia="仿宋"/>
                <w:bCs/>
                <w:szCs w:val="24"/>
              </w:rPr>
            </w:pPr>
            <w:r>
              <w:rPr>
                <w:rFonts w:hint="eastAsia" w:ascii="仿宋" w:hAnsi="仿宋" w:eastAsia="仿宋"/>
                <w:bCs/>
                <w:szCs w:val="24"/>
              </w:rPr>
              <w:t>1</w:t>
            </w:r>
          </w:p>
        </w:tc>
        <w:tc>
          <w:tcPr>
            <w:tcW w:w="4000" w:type="dxa"/>
            <w:vAlign w:val="center"/>
          </w:tcPr>
          <w:p>
            <w:pPr>
              <w:pStyle w:val="5"/>
              <w:spacing w:line="400" w:lineRule="exact"/>
              <w:ind w:left="0" w:firstLine="0" w:firstLineChars="0"/>
              <w:jc w:val="center"/>
              <w:rPr>
                <w:rFonts w:ascii="仿宋" w:hAnsi="仿宋" w:eastAsia="仿宋"/>
                <w:bCs/>
                <w:szCs w:val="24"/>
              </w:rPr>
            </w:pPr>
            <w:r>
              <w:rPr>
                <w:rFonts w:hint="eastAsia" w:ascii="仿宋" w:hAnsi="仿宋" w:eastAsia="仿宋"/>
                <w:bCs/>
                <w:szCs w:val="24"/>
              </w:rPr>
              <w:t>中国石油大学（北京）克拉玛依校区C4教学楼教学家具采购</w:t>
            </w:r>
          </w:p>
        </w:tc>
        <w:tc>
          <w:tcPr>
            <w:tcW w:w="1432" w:type="dxa"/>
            <w:vAlign w:val="center"/>
          </w:tcPr>
          <w:p>
            <w:pPr>
              <w:pStyle w:val="5"/>
              <w:spacing w:line="400" w:lineRule="exact"/>
              <w:ind w:left="0" w:firstLine="0" w:firstLineChars="0"/>
              <w:jc w:val="center"/>
              <w:rPr>
                <w:rFonts w:ascii="仿宋" w:hAnsi="仿宋" w:eastAsia="仿宋"/>
                <w:bCs/>
                <w:szCs w:val="24"/>
              </w:rPr>
            </w:pPr>
            <w:r>
              <w:rPr>
                <w:rFonts w:hint="eastAsia" w:ascii="仿宋" w:hAnsi="仿宋" w:eastAsia="仿宋"/>
                <w:bCs/>
                <w:szCs w:val="24"/>
              </w:rPr>
              <w:t>531.94</w:t>
            </w:r>
          </w:p>
        </w:tc>
        <w:tc>
          <w:tcPr>
            <w:tcW w:w="1823" w:type="dxa"/>
            <w:vAlign w:val="center"/>
          </w:tcPr>
          <w:p>
            <w:pPr>
              <w:pStyle w:val="5"/>
              <w:spacing w:line="400" w:lineRule="exact"/>
              <w:ind w:left="0" w:firstLine="0" w:firstLineChars="0"/>
              <w:jc w:val="center"/>
              <w:rPr>
                <w:rFonts w:ascii="仿宋" w:hAnsi="仿宋" w:eastAsia="仿宋"/>
                <w:bCs/>
                <w:szCs w:val="24"/>
              </w:rPr>
            </w:pPr>
            <w:r>
              <w:rPr>
                <w:rFonts w:hint="eastAsia" w:ascii="仿宋" w:hAnsi="仿宋" w:eastAsia="仿宋"/>
                <w:szCs w:val="24"/>
              </w:rPr>
              <w:t>本项目中小企业划分标准所属行业为工业</w:t>
            </w:r>
          </w:p>
        </w:tc>
      </w:tr>
    </w:tbl>
    <w:p>
      <w:pPr>
        <w:pStyle w:val="22"/>
        <w:ind w:firstLine="480"/>
      </w:pPr>
      <w:r>
        <w:rPr>
          <w:rFonts w:hint="eastAsia"/>
        </w:rPr>
        <w:t>本项目不接受进口产品投标（进口产品是指通过中国海关报关，验放进入中国境内，且产自关境外的产品）。</w:t>
      </w:r>
    </w:p>
    <w:p>
      <w:pPr>
        <w:pStyle w:val="19"/>
        <w:ind w:firstLine="562"/>
      </w:pPr>
      <w:bookmarkStart w:id="2" w:name="_Toc27585"/>
      <w:r>
        <w:rPr>
          <w:rFonts w:hint="eastAsia"/>
        </w:rPr>
        <w:t>二、资金来源</w:t>
      </w:r>
      <w:bookmarkEnd w:id="2"/>
    </w:p>
    <w:p>
      <w:pPr>
        <w:pStyle w:val="22"/>
        <w:ind w:firstLine="480"/>
      </w:pPr>
      <w:r>
        <w:rPr>
          <w:rFonts w:hint="eastAsia"/>
        </w:rPr>
        <w:t>财政预算资金。</w:t>
      </w:r>
    </w:p>
    <w:p>
      <w:pPr>
        <w:pStyle w:val="19"/>
        <w:ind w:firstLine="562"/>
      </w:pPr>
      <w:bookmarkStart w:id="3" w:name="_Toc21911"/>
      <w:r>
        <w:rPr>
          <w:rFonts w:hint="eastAsia"/>
        </w:rPr>
        <w:t>三、投标人资格要求</w:t>
      </w:r>
      <w:bookmarkEnd w:id="3"/>
    </w:p>
    <w:p>
      <w:pPr>
        <w:pStyle w:val="22"/>
        <w:ind w:firstLine="480"/>
        <w:rPr>
          <w:color w:val="auto"/>
        </w:rPr>
      </w:pPr>
      <w:r>
        <w:rPr>
          <w:rFonts w:hint="eastAsia"/>
        </w:rPr>
        <w:t>1．具有独立</w:t>
      </w:r>
      <w:r>
        <w:rPr>
          <w:rFonts w:hint="eastAsia"/>
          <w:color w:val="auto"/>
        </w:rPr>
        <w:t>承担民事责任的能力；</w:t>
      </w:r>
    </w:p>
    <w:p>
      <w:pPr>
        <w:pStyle w:val="22"/>
        <w:ind w:firstLine="480"/>
      </w:pPr>
      <w:r>
        <w:rPr>
          <w:rFonts w:hint="eastAsia"/>
        </w:rPr>
        <w:t>2．具有良好的商业信誉；</w:t>
      </w:r>
    </w:p>
    <w:p>
      <w:pPr>
        <w:pStyle w:val="22"/>
        <w:ind w:firstLine="480"/>
      </w:pPr>
      <w:r>
        <w:rPr>
          <w:rFonts w:hint="eastAsia"/>
        </w:rPr>
        <w:t>（信用查询：</w:t>
      </w:r>
      <w:r>
        <w:t>按照《财政部关于在政府采购活动中查询及使用信用记录有关问题的通知》（财库〔2016〕125号）的要求，根据开标当日“信用中国”（</w:t>
      </w:r>
      <w:r>
        <w:drawing>
          <wp:inline distT="0" distB="0" distL="0" distR="0">
            <wp:extent cx="190500" cy="142875"/>
            <wp:effectExtent l="19050" t="0" r="0" b="0"/>
            <wp:docPr id="1" name="图片 1"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DOCUME~1\ADMINI~1\LOCALS~1\Temp\%W@GJ$ACOF(TYDYECOKVDYB.png"/>
                    <pic:cNvPicPr>
                      <a:picLocks noChangeAspect="1" noChangeArrowheads="1"/>
                    </pic:cNvPicPr>
                  </pic:nvPicPr>
                  <pic:blipFill>
                    <a:blip r:embed="rId13"/>
                    <a:srcRect/>
                    <a:stretch>
                      <a:fillRect/>
                    </a:stretch>
                  </pic:blipFill>
                  <pic:spPr>
                    <a:xfrm>
                      <a:off x="0" y="0"/>
                      <a:ext cx="190500" cy="142875"/>
                    </a:xfrm>
                    <a:prstGeom prst="rect">
                      <a:avLst/>
                    </a:prstGeom>
                    <a:noFill/>
                    <a:ln w="9525">
                      <a:noFill/>
                      <a:miter lim="800000"/>
                      <a:headEnd/>
                      <a:tailEnd/>
                    </a:ln>
                  </pic:spPr>
                </pic:pic>
              </a:graphicData>
            </a:graphic>
          </wp:inline>
        </w:drawing>
      </w:r>
      <w:r>
        <w:t>www.creditchina.gov.cn）、</w:t>
      </w:r>
      <w:r>
        <w:rPr>
          <w:rFonts w:hint="eastAsia"/>
        </w:rPr>
        <w:t>“</w:t>
      </w:r>
      <w:r>
        <w:t>中国政府采购网</w:t>
      </w:r>
      <w:r>
        <w:rPr>
          <w:rFonts w:hint="eastAsia"/>
        </w:rPr>
        <w:t>”</w:t>
      </w:r>
      <w:r>
        <w:t>（</w:t>
      </w:r>
      <w:r>
        <w:drawing>
          <wp:inline distT="0" distB="0" distL="0" distR="0">
            <wp:extent cx="190500" cy="142875"/>
            <wp:effectExtent l="19050" t="0" r="0" b="0"/>
            <wp:docPr id="2" name="图片 2"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DOCUME~1\ADMINI~1\LOCALS~1\Temp\%W@GJ$ACOF(TYDYECOKVDYB.png"/>
                    <pic:cNvPicPr>
                      <a:picLocks noChangeAspect="1" noChangeArrowheads="1"/>
                    </pic:cNvPicPr>
                  </pic:nvPicPr>
                  <pic:blipFill>
                    <a:blip r:embed="rId13"/>
                    <a:srcRect/>
                    <a:stretch>
                      <a:fillRect/>
                    </a:stretch>
                  </pic:blipFill>
                  <pic:spPr>
                    <a:xfrm>
                      <a:off x="0" y="0"/>
                      <a:ext cx="190500" cy="142875"/>
                    </a:xfrm>
                    <a:prstGeom prst="rect">
                      <a:avLst/>
                    </a:prstGeom>
                    <a:noFill/>
                    <a:ln w="9525">
                      <a:noFill/>
                      <a:miter lim="800000"/>
                      <a:headEnd/>
                      <a:tailEnd/>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2"/>
        <w:ind w:firstLine="480"/>
        <w:rPr>
          <w:color w:val="auto"/>
        </w:rPr>
      </w:pPr>
      <w:r>
        <w:rPr>
          <w:rFonts w:hint="eastAsia"/>
          <w:color w:val="auto"/>
        </w:rPr>
        <w:t>3．具有履行合同所必需的设备和专业技术能力；</w:t>
      </w:r>
    </w:p>
    <w:p>
      <w:pPr>
        <w:pStyle w:val="22"/>
        <w:ind w:firstLine="480"/>
      </w:pPr>
      <w:r>
        <w:rPr>
          <w:rFonts w:hint="eastAsia"/>
        </w:rPr>
        <w:t>4．参加政府采购活动前三年内，未因违法经营受到刑事处罚或者责令停产停业、吊销许可证或者执照、较大数额罚款等行政处罚。</w:t>
      </w:r>
    </w:p>
    <w:p>
      <w:pPr>
        <w:pStyle w:val="19"/>
        <w:ind w:firstLine="562"/>
      </w:pPr>
      <w:bookmarkStart w:id="4" w:name="_Toc21178"/>
      <w:r>
        <w:rPr>
          <w:rFonts w:hint="eastAsia"/>
        </w:rPr>
        <w:t>四、投标、开标有关说明</w:t>
      </w:r>
      <w:bookmarkEnd w:id="4"/>
    </w:p>
    <w:p>
      <w:pPr>
        <w:pStyle w:val="22"/>
        <w:ind w:firstLine="480"/>
      </w:pPr>
      <w:r>
        <w:t>（一）获取招标文件</w:t>
      </w:r>
    </w:p>
    <w:p>
      <w:pPr>
        <w:pStyle w:val="22"/>
        <w:ind w:firstLine="480"/>
      </w:pPr>
      <w:r>
        <w:rPr>
          <w:rFonts w:hint="eastAsia"/>
        </w:rPr>
        <w:t>时间：2022年5月27日至2022年6月16日，每天上午10:00至14:00，下午16:00至20:00</w:t>
      </w:r>
    </w:p>
    <w:p>
      <w:pPr>
        <w:pStyle w:val="22"/>
        <w:ind w:firstLine="480"/>
      </w:pPr>
      <w:r>
        <w:rPr>
          <w:rFonts w:hint="eastAsia"/>
        </w:rPr>
        <w:t>地点：新疆政府采购网政采云平台</w:t>
      </w:r>
      <w:r>
        <w:t>（</w:t>
      </w:r>
      <w:r>
        <w:fldChar w:fldCharType="begin"/>
      </w:r>
      <w:r>
        <w:instrText xml:space="preserve"> HYPERLINK "http://www.zcygov.cn" </w:instrText>
      </w:r>
      <w:r>
        <w:fldChar w:fldCharType="separate"/>
      </w:r>
      <w:r>
        <w:t>www.zcygov.cn</w:t>
      </w:r>
      <w:r>
        <w:fldChar w:fldCharType="end"/>
      </w:r>
      <w:r>
        <w:t>）</w:t>
      </w:r>
    </w:p>
    <w:p>
      <w:pPr>
        <w:pStyle w:val="22"/>
        <w:ind w:firstLine="480"/>
      </w:pPr>
      <w:r>
        <w:rPr>
          <w:rFonts w:hint="eastAsia"/>
        </w:rPr>
        <w:t>方式：线上获取，投标人登陆政采云账户,在线申请获取招标文件</w:t>
      </w:r>
    </w:p>
    <w:p>
      <w:pPr>
        <w:pStyle w:val="22"/>
        <w:ind w:firstLine="480"/>
      </w:pPr>
      <w:r>
        <w:rPr>
          <w:rFonts w:hint="eastAsia"/>
        </w:rPr>
        <w:t>（二）提交投标文件截止时间、开标时间和地点</w:t>
      </w:r>
    </w:p>
    <w:p>
      <w:pPr>
        <w:pStyle w:val="22"/>
        <w:ind w:firstLine="480"/>
      </w:pPr>
      <w:r>
        <w:rPr>
          <w:rFonts w:hint="eastAsia"/>
        </w:rPr>
        <w:t>时间：2022年6月17日10点30分</w:t>
      </w:r>
    </w:p>
    <w:p>
      <w:pPr>
        <w:pStyle w:val="22"/>
        <w:ind w:firstLine="480"/>
      </w:pPr>
      <w:r>
        <w:t>地点：</w:t>
      </w:r>
      <w:r>
        <w:rPr>
          <w:rFonts w:hint="eastAsia"/>
        </w:rPr>
        <w:t>新疆政府采购网政采云平台</w:t>
      </w:r>
      <w:r>
        <w:t>（</w:t>
      </w:r>
      <w:r>
        <w:fldChar w:fldCharType="begin"/>
      </w:r>
      <w:r>
        <w:instrText xml:space="preserve"> HYPERLINK "http://www.zcygov.cn" </w:instrText>
      </w:r>
      <w:r>
        <w:fldChar w:fldCharType="separate"/>
      </w:r>
      <w:r>
        <w:t>www.zcygov.cn</w:t>
      </w:r>
      <w:r>
        <w:fldChar w:fldCharType="end"/>
      </w:r>
      <w:r>
        <w:t>）</w:t>
      </w:r>
    </w:p>
    <w:p>
      <w:pPr>
        <w:pStyle w:val="22"/>
        <w:ind w:firstLine="480"/>
      </w:pPr>
      <w:r>
        <w:rPr>
          <w:rFonts w:hint="eastAsia"/>
        </w:rPr>
        <w:t>（三）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p>
    <w:p>
      <w:pPr>
        <w:pStyle w:val="22"/>
        <w:ind w:firstLine="480"/>
      </w:pPr>
      <w:r>
        <w:rPr>
          <w:rFonts w:hint="eastAsia"/>
        </w:rPr>
        <w:t>（四）本项目实行网上投标，采用电子投标文件，若投标人参与投标，应自行承担投标一切费用。</w:t>
      </w:r>
    </w:p>
    <w:p>
      <w:pPr>
        <w:pStyle w:val="22"/>
        <w:ind w:firstLine="480"/>
      </w:pPr>
      <w:r>
        <w:rPr>
          <w:rFonts w:hint="eastAsia"/>
        </w:rPr>
        <w:t>（五）投标人应在开标前应确保成为新疆政府采购网正式注册入库供应商，并完成CA数字证书申领。因未注册入库、未办理CA数字证书等原因造成无法投标或投标失败等后果由投标人自行承担。</w:t>
      </w:r>
    </w:p>
    <w:p>
      <w:pPr>
        <w:pStyle w:val="22"/>
        <w:ind w:firstLine="480"/>
      </w:pPr>
      <w:r>
        <w:rPr>
          <w:rFonts w:hint="eastAsia"/>
        </w:rPr>
        <w:t>（六）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22"/>
        <w:ind w:firstLine="480"/>
        <w:rPr>
          <w:kern w:val="0"/>
        </w:rPr>
      </w:pPr>
      <w:r>
        <w:rPr>
          <w:rFonts w:hint="eastAsia"/>
        </w:rPr>
        <w:t>（七）投标人应当在投标截止时间前，将生成的“电子加密投标文件”上传递交至“政府采购云平台”，投标截止时间后上传递交的投标文件将被“政府采购云平台”拒收。</w:t>
      </w:r>
    </w:p>
    <w:p>
      <w:pPr>
        <w:pStyle w:val="19"/>
        <w:ind w:firstLine="562"/>
      </w:pPr>
      <w:bookmarkStart w:id="5" w:name="_Toc6541"/>
      <w:r>
        <w:rPr>
          <w:rFonts w:hint="eastAsia"/>
        </w:rPr>
        <w:t>五、投标有关规定</w:t>
      </w:r>
      <w:bookmarkEnd w:id="5"/>
    </w:p>
    <w:p>
      <w:pPr>
        <w:pStyle w:val="22"/>
        <w:ind w:firstLine="480"/>
      </w:pPr>
      <w:r>
        <w:rPr>
          <w:rFonts w:hint="eastAsia"/>
        </w:rPr>
        <w:t>（一）超过投标截止时间递交的投标文件，恕不接收。</w:t>
      </w:r>
    </w:p>
    <w:p>
      <w:pPr>
        <w:pStyle w:val="22"/>
        <w:ind w:firstLine="480"/>
      </w:pPr>
      <w:r>
        <w:rPr>
          <w:rFonts w:hint="eastAsia"/>
        </w:rPr>
        <w:t>（二）为确保政府采购公平、公正，禁止关联企业参与同一项目投标。</w:t>
      </w:r>
    </w:p>
    <w:p>
      <w:pPr>
        <w:pStyle w:val="22"/>
        <w:ind w:firstLine="480"/>
        <w:rPr>
          <w:color w:val="auto"/>
        </w:rPr>
      </w:pPr>
      <w:r>
        <w:rPr>
          <w:rFonts w:hint="eastAsia"/>
        </w:rPr>
        <w:t>（三）本项</w:t>
      </w:r>
      <w:r>
        <w:rPr>
          <w:rFonts w:hint="eastAsia"/>
          <w:color w:val="auto"/>
        </w:rPr>
        <w:t>目不接受联合体投标。</w:t>
      </w:r>
    </w:p>
    <w:p>
      <w:pPr>
        <w:pStyle w:val="22"/>
        <w:ind w:firstLine="480"/>
        <w:rPr>
          <w:color w:val="auto"/>
        </w:rPr>
      </w:pPr>
      <w:r>
        <w:rPr>
          <w:rFonts w:hint="eastAsia"/>
          <w:color w:val="auto"/>
        </w:rPr>
        <w:t>（四）使用综合评分法的招标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pStyle w:val="22"/>
        <w:ind w:firstLine="480"/>
        <w:rPr>
          <w:color w:val="auto"/>
        </w:rPr>
      </w:pPr>
      <w:r>
        <w:rPr>
          <w:rFonts w:hint="eastAsia"/>
          <w:color w:val="auto"/>
        </w:rPr>
        <w:t>非单一产品招标项目，多家投标人提供的核心产品品牌相同的，按上述规定处理。</w:t>
      </w:r>
    </w:p>
    <w:p>
      <w:pPr>
        <w:pStyle w:val="22"/>
        <w:ind w:firstLine="480"/>
        <w:rPr>
          <w:color w:val="auto"/>
        </w:rPr>
      </w:pPr>
      <w:r>
        <w:rPr>
          <w:rFonts w:hint="eastAsia"/>
          <w:color w:val="auto"/>
        </w:rPr>
        <w:t>核心产品的资金价值占整体产品或系统（非单一产品招标项目）的权重不低于60%。当核心产品多于2种时，两家投标产品中核心产品对应品牌超过80%相同的，视为投标人投标产品品牌相同，按一家投标人计算。</w:t>
      </w:r>
    </w:p>
    <w:p>
      <w:pPr>
        <w:pStyle w:val="22"/>
        <w:ind w:firstLine="480"/>
      </w:pPr>
      <w:r>
        <w:rPr>
          <w:rFonts w:hint="eastAsia"/>
        </w:rPr>
        <w:t>（五）投标费用：无论投标结果如何，投标人参与本项目投标的所有费用均应由投标人自行承担。</w:t>
      </w:r>
    </w:p>
    <w:p>
      <w:pPr>
        <w:pStyle w:val="19"/>
        <w:ind w:firstLine="562"/>
      </w:pPr>
      <w:bookmarkStart w:id="6" w:name="_Toc32713"/>
      <w:r>
        <w:rPr>
          <w:rFonts w:hint="eastAsia"/>
        </w:rPr>
        <w:t>六</w:t>
      </w:r>
      <w:r>
        <w:t>、</w:t>
      </w:r>
      <w:r>
        <w:rPr>
          <w:rFonts w:hint="eastAsia"/>
        </w:rPr>
        <w:t>采购项目需落实的政府采购政策</w:t>
      </w:r>
      <w:bookmarkEnd w:id="6"/>
    </w:p>
    <w:p>
      <w:pPr>
        <w:pStyle w:val="22"/>
        <w:ind w:firstLine="480"/>
      </w:pPr>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w:t>
      </w:r>
      <w:r>
        <w:rPr>
          <w:rFonts w:hint="eastAsia"/>
        </w:rPr>
        <w:t>国家确定的</w:t>
      </w:r>
      <w:r>
        <w:t>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pPr>
        <w:pStyle w:val="22"/>
        <w:ind w:firstLine="480"/>
      </w:pPr>
      <w:r>
        <w:rPr>
          <w:rFonts w:hint="eastAsia"/>
        </w:rPr>
        <w:t>（二）按照《政府采购促进中小企业发展管理办法》（财库﹝2020﹞46 号）的规定，落实促进中小企业发展政策。</w:t>
      </w:r>
    </w:p>
    <w:p>
      <w:pPr>
        <w:pStyle w:val="22"/>
        <w:ind w:firstLine="480"/>
      </w:pPr>
      <w:r>
        <w:rPr>
          <w:rFonts w:hint="eastAsia"/>
        </w:rPr>
        <w:t>（三）按照《财政部、司法部关于政府采购支持监狱企业发展有关问题的通知》（财库〔2014〕68号）的规定，落实支持监狱企业发展政策。</w:t>
      </w:r>
    </w:p>
    <w:p>
      <w:pPr>
        <w:pStyle w:val="22"/>
        <w:ind w:firstLine="480"/>
      </w:pPr>
      <w:r>
        <w:rPr>
          <w:rFonts w:hint="eastAsia"/>
        </w:rPr>
        <w:t>（四）按照《三部门联合发布关于促进残疾人就业政府采购政策的通知》（财库〔2017〕 141号）的规定，落实支持残疾人福利性单位发展政策。</w:t>
      </w:r>
    </w:p>
    <w:p>
      <w:pPr>
        <w:pStyle w:val="19"/>
        <w:ind w:firstLine="562"/>
      </w:pPr>
      <w:bookmarkStart w:id="7" w:name="_Toc31914"/>
      <w:r>
        <w:rPr>
          <w:rFonts w:hint="eastAsia"/>
        </w:rPr>
        <w:t>七</w:t>
      </w:r>
      <w:r>
        <w:t>、</w:t>
      </w:r>
      <w:r>
        <w:rPr>
          <w:rFonts w:hint="eastAsia"/>
        </w:rPr>
        <w:t>现场踏勘</w:t>
      </w:r>
      <w:bookmarkEnd w:id="7"/>
    </w:p>
    <w:p>
      <w:pPr>
        <w:pStyle w:val="22"/>
        <w:ind w:firstLine="480"/>
        <w:rPr>
          <w:color w:val="auto"/>
        </w:rPr>
      </w:pPr>
      <w:r>
        <w:rPr>
          <w:rFonts w:hint="eastAsia" w:ascii="方正仿宋_GBK" w:eastAsia="方正仿宋_GBK"/>
        </w:rPr>
        <w:t>本项目不组织集中踏勘，投标人可于公告之日起自行联系招标人前往项目现场进行踏勘。</w:t>
      </w:r>
    </w:p>
    <w:p>
      <w:pPr>
        <w:pStyle w:val="19"/>
        <w:ind w:firstLine="562"/>
      </w:pPr>
      <w:bookmarkStart w:id="8" w:name="_Toc6204"/>
      <w:r>
        <w:rPr>
          <w:rFonts w:hint="eastAsia"/>
        </w:rPr>
        <w:t>八、联系方式</w:t>
      </w:r>
      <w:bookmarkEnd w:id="8"/>
    </w:p>
    <w:p>
      <w:pPr>
        <w:pStyle w:val="22"/>
        <w:ind w:firstLine="480"/>
      </w:pPr>
      <w:bookmarkStart w:id="9" w:name="_Toc491251286"/>
      <w:r>
        <w:rPr>
          <w:rFonts w:hint="eastAsia"/>
        </w:rPr>
        <w:t>（一）采购代理机构：克拉玛依市政务服务和公共资源交易中心</w:t>
      </w:r>
    </w:p>
    <w:p>
      <w:pPr>
        <w:pStyle w:val="22"/>
        <w:ind w:firstLine="480"/>
      </w:pPr>
      <w:r>
        <w:rPr>
          <w:rFonts w:hint="eastAsia"/>
        </w:rPr>
        <w:t xml:space="preserve">联系人：乌日娜 </w:t>
      </w:r>
    </w:p>
    <w:p>
      <w:pPr>
        <w:pStyle w:val="22"/>
        <w:ind w:firstLine="480"/>
      </w:pPr>
      <w:r>
        <w:rPr>
          <w:rFonts w:hint="eastAsia"/>
        </w:rPr>
        <w:t>电  话：0990-6223256</w:t>
      </w:r>
    </w:p>
    <w:p>
      <w:pPr>
        <w:pStyle w:val="22"/>
        <w:ind w:firstLine="480"/>
      </w:pPr>
      <w:r>
        <w:rPr>
          <w:rFonts w:hint="eastAsia"/>
        </w:rPr>
        <w:t>质疑受理电话： 0990-6232397</w:t>
      </w:r>
    </w:p>
    <w:p>
      <w:pPr>
        <w:pStyle w:val="22"/>
        <w:ind w:firstLine="480"/>
      </w:pPr>
      <w:r>
        <w:rPr>
          <w:rFonts w:hint="eastAsia"/>
        </w:rPr>
        <w:t>地  址：克拉玛依市胜利路33号</w:t>
      </w:r>
    </w:p>
    <w:p>
      <w:pPr>
        <w:pStyle w:val="22"/>
        <w:ind w:firstLine="480"/>
      </w:pPr>
      <w:r>
        <w:rPr>
          <w:rFonts w:hint="eastAsia"/>
        </w:rPr>
        <w:t>（二）招标人：中国石油大学（北京）克拉玛依校区</w:t>
      </w:r>
    </w:p>
    <w:p>
      <w:pPr>
        <w:pStyle w:val="22"/>
        <w:ind w:firstLine="480"/>
      </w:pPr>
      <w:r>
        <w:rPr>
          <w:rFonts w:hint="eastAsia"/>
        </w:rPr>
        <w:t>联系人：石小帆</w:t>
      </w:r>
    </w:p>
    <w:p>
      <w:pPr>
        <w:pStyle w:val="22"/>
        <w:ind w:firstLine="480"/>
      </w:pPr>
      <w:r>
        <w:rPr>
          <w:rFonts w:hint="eastAsia"/>
        </w:rPr>
        <w:t>电  话：0990-6633076</w:t>
      </w:r>
    </w:p>
    <w:p>
      <w:pPr>
        <w:pStyle w:val="22"/>
        <w:ind w:firstLine="480"/>
        <w:sectPr>
          <w:headerReference r:id="rId11" w:type="default"/>
          <w:pgSz w:w="11907" w:h="16840"/>
          <w:pgMar w:top="1134" w:right="1191" w:bottom="1134" w:left="1304" w:header="964" w:footer="992" w:gutter="0"/>
          <w:pgNumType w:fmt="numberInDash"/>
          <w:cols w:space="720" w:num="1"/>
          <w:docGrid w:linePitch="312" w:charSpace="0"/>
        </w:sectPr>
      </w:pPr>
      <w:r>
        <w:rPr>
          <w:rFonts w:hint="eastAsia"/>
        </w:rPr>
        <w:t>地  址：克拉玛依市安定路355号</w:t>
      </w:r>
    </w:p>
    <w:bookmarkEnd w:id="9"/>
    <w:p>
      <w:pPr>
        <w:pStyle w:val="17"/>
        <w:numPr>
          <w:ilvl w:val="0"/>
          <w:numId w:val="1"/>
        </w:numPr>
      </w:pPr>
      <w:r>
        <w:rPr>
          <w:rFonts w:hint="eastAsia"/>
        </w:rPr>
        <w:t xml:space="preserve"> </w:t>
      </w:r>
      <w:bookmarkStart w:id="10" w:name="_Toc27669"/>
      <w:r>
        <w:rPr>
          <w:rFonts w:hint="eastAsia"/>
        </w:rPr>
        <w:t>项目技术规格、数量及质量要求</w:t>
      </w:r>
      <w:bookmarkEnd w:id="10"/>
    </w:p>
    <w:p>
      <w:pPr>
        <w:pStyle w:val="19"/>
        <w:ind w:firstLine="562"/>
      </w:pPr>
      <w:bookmarkStart w:id="11" w:name="_Toc9549"/>
      <w:r>
        <w:rPr>
          <w:rFonts w:hint="eastAsia"/>
        </w:rPr>
        <w:t>一、货物技术参数</w:t>
      </w:r>
      <w:bookmarkEnd w:id="11"/>
    </w:p>
    <w:p>
      <w:pPr>
        <w:pStyle w:val="22"/>
        <w:ind w:firstLine="480"/>
      </w:pPr>
      <w:bookmarkStart w:id="12" w:name="_Toc438456195"/>
      <w:r>
        <w:rPr>
          <w:rFonts w:hint="eastAsia"/>
        </w:rPr>
        <w:t>（一）采购项目一览表</w:t>
      </w:r>
      <w:bookmarkEnd w:id="12"/>
    </w:p>
    <w:tbl>
      <w:tblPr>
        <w:tblStyle w:val="14"/>
        <w:tblW w:w="55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57"/>
        <w:gridCol w:w="5002"/>
        <w:gridCol w:w="902"/>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名称</w:t>
            </w:r>
          </w:p>
        </w:tc>
        <w:tc>
          <w:tcPr>
            <w:tcW w:w="2346"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技术参数要求</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活动脚联排桌椅（核心产品）</w:t>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sz w:val="24"/>
                <w:szCs w:val="24"/>
              </w:rPr>
              <w:drawing>
                <wp:anchor distT="0" distB="0" distL="0" distR="0" simplePos="0" relativeHeight="251660288" behindDoc="0" locked="0" layoutInCell="1" allowOverlap="1">
                  <wp:simplePos x="0" y="0"/>
                  <wp:positionH relativeFrom="column">
                    <wp:posOffset>156845</wp:posOffset>
                  </wp:positionH>
                  <wp:positionV relativeFrom="paragraph">
                    <wp:posOffset>177800</wp:posOffset>
                  </wp:positionV>
                  <wp:extent cx="1630680" cy="838835"/>
                  <wp:effectExtent l="0" t="0" r="7620" b="1841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1658923" cy="853566"/>
                          </a:xfrm>
                          <a:prstGeom prst="rect">
                            <a:avLst/>
                          </a:prstGeom>
                        </pic:spPr>
                      </pic:pic>
                    </a:graphicData>
                  </a:graphic>
                </wp:anchor>
              </w:drawing>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活动脚联排桌椅尺寸图</w:t>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sz w:val="24"/>
                <w:szCs w:val="24"/>
              </w:rPr>
              <w:drawing>
                <wp:anchor distT="0" distB="0" distL="0" distR="0" simplePos="0" relativeHeight="251661312" behindDoc="0" locked="0" layoutInCell="1" allowOverlap="1">
                  <wp:simplePos x="0" y="0"/>
                  <wp:positionH relativeFrom="column">
                    <wp:posOffset>16510</wp:posOffset>
                  </wp:positionH>
                  <wp:positionV relativeFrom="paragraph">
                    <wp:posOffset>85725</wp:posOffset>
                  </wp:positionV>
                  <wp:extent cx="1859280" cy="657860"/>
                  <wp:effectExtent l="0" t="0" r="7620" b="889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5"/>
                          <a:stretch>
                            <a:fillRect/>
                          </a:stretch>
                        </pic:blipFill>
                        <pic:spPr>
                          <a:xfrm>
                            <a:off x="0" y="0"/>
                            <a:ext cx="1984404" cy="702655"/>
                          </a:xfrm>
                          <a:prstGeom prst="rect">
                            <a:avLst/>
                          </a:prstGeom>
                        </pic:spPr>
                      </pic:pic>
                    </a:graphicData>
                  </a:graphic>
                </wp:anchor>
              </w:drawing>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pStyle w:val="4"/>
              <w:autoSpaceDE w:val="0"/>
              <w:autoSpaceDN w:val="0"/>
              <w:adjustRightInd/>
              <w:snapToGrid w:val="0"/>
              <w:spacing w:line="440" w:lineRule="exact"/>
              <w:ind w:firstLine="0" w:firstLineChars="0"/>
              <w:jc w:val="center"/>
              <w:textAlignment w:val="center"/>
              <w:rPr>
                <w:rFonts w:ascii="仿宋" w:hAnsi="仿宋" w:eastAsia="仿宋" w:cs="仿宋"/>
                <w:kern w:val="0"/>
                <w:szCs w:val="24"/>
              </w:rPr>
            </w:pPr>
          </w:p>
          <w:p>
            <w:pPr>
              <w:pStyle w:val="4"/>
              <w:autoSpaceDE w:val="0"/>
              <w:autoSpaceDN w:val="0"/>
              <w:adjustRightInd/>
              <w:snapToGrid w:val="0"/>
              <w:spacing w:line="440" w:lineRule="exact"/>
              <w:ind w:firstLine="0" w:firstLineChars="0"/>
              <w:jc w:val="center"/>
              <w:textAlignment w:val="center"/>
              <w:rPr>
                <w:rFonts w:ascii="仿宋" w:hAnsi="仿宋" w:eastAsia="仿宋" w:cs="仿宋"/>
                <w:kern w:val="0"/>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书网样式</w:t>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drawing>
                <wp:anchor distT="0" distB="0" distL="0" distR="0" simplePos="0" relativeHeight="251662336" behindDoc="0" locked="0" layoutInCell="1" allowOverlap="1">
                  <wp:simplePos x="0" y="0"/>
                  <wp:positionH relativeFrom="column">
                    <wp:posOffset>100965</wp:posOffset>
                  </wp:positionH>
                  <wp:positionV relativeFrom="paragraph">
                    <wp:posOffset>246380</wp:posOffset>
                  </wp:positionV>
                  <wp:extent cx="1595755" cy="679450"/>
                  <wp:effectExtent l="0" t="0" r="4445" b="635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cstate="print">
                            <a:extLst>
                              <a:ext uri="{28A0092B-C50C-407E-A947-70E740481C1C}">
                                <a14:useLocalDpi xmlns:a14="http://schemas.microsoft.com/office/drawing/2010/main" val="0"/>
                              </a:ext>
                            </a:extLst>
                          </a:blip>
                          <a:srcRect l="14256" t="23992" r="3950" b="28575"/>
                          <a:stretch>
                            <a:fillRect/>
                          </a:stretch>
                        </pic:blipFill>
                        <pic:spPr>
                          <a:xfrm>
                            <a:off x="0" y="0"/>
                            <a:ext cx="1605382" cy="683317"/>
                          </a:xfrm>
                          <a:prstGeom prst="rect">
                            <a:avLst/>
                          </a:prstGeom>
                          <a:ln>
                            <a:noFill/>
                          </a:ln>
                        </pic:spPr>
                      </pic:pic>
                    </a:graphicData>
                  </a:graphic>
                </wp:anchor>
              </w:drawing>
            </w: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一、规格尺寸：</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椅高930±5mm，座深550±5mm，座高450±5mm，底脚长度≥550mm，中心距520mm，中排桌面宽350mm，前排桌面宽450mm，桌面离地高760mm。</w:t>
            </w:r>
          </w:p>
          <w:p>
            <w:pPr>
              <w:autoSpaceDE w:val="0"/>
              <w:autoSpaceDN w:val="0"/>
              <w:snapToGrid w:val="0"/>
              <w:spacing w:line="440" w:lineRule="exact"/>
              <w:ind w:firstLine="0" w:firstLineChars="0"/>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二、整体性能：</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课桌椅整体性能附合QB/T 4071-2010《课桌椅》相关标准要求，投标人提供与投标产品相一致的课桌椅整体性能检测报告。</w:t>
            </w:r>
          </w:p>
          <w:p>
            <w:pPr>
              <w:autoSpaceDE w:val="0"/>
              <w:autoSpaceDN w:val="0"/>
              <w:snapToGrid w:val="0"/>
              <w:spacing w:line="440" w:lineRule="exact"/>
              <w:ind w:firstLine="0" w:firstLineChars="0"/>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三、椅脚：</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采用压铸铝合金材质经模具一次性压铸成型，表面经抛光打磨后喷闪光银专用金属漆，金属边缘抛光打磨处理，无任何毛刺，不刮手。为保证座椅长时间使用的稳固性，对椅脚进行加宽加长处理，椅脚宽度≥48mm，底脚长度≥550mm，整只椅脚祼脚重量≥3.55kg；椅座组件支撑位置设置加强筋，结实耐用。压铸铝经过化学成份试测，铝含量应≥80%，提供相应检测报告，并作为后期交付验收的主要依据之一。</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铝合金站脚金属喷涂涂层的耐腐蚀性能、附着力参照GB/T 3325-2017《金属家具通用技术条件》进行检测，达到国家要求标准，其中附着力达到3级或以上水平。</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铝合金站脚的化学成份按照GB/T 7999-2015《铝及铝合金光电直读发</w:t>
            </w:r>
            <w:r>
              <w:rPr>
                <w:rFonts w:hint="eastAsia" w:ascii="仿宋" w:hAnsi="仿宋" w:eastAsia="仿宋" w:cs="仿宋"/>
                <w:kern w:val="0"/>
                <w:sz w:val="24"/>
                <w:szCs w:val="24"/>
                <w:lang w:val="en-US" w:eastAsia="zh-CN"/>
              </w:rPr>
              <w:t>射</w:t>
            </w:r>
            <w:r>
              <w:rPr>
                <w:rFonts w:hint="eastAsia" w:ascii="仿宋" w:hAnsi="仿宋" w:eastAsia="仿宋" w:cs="仿宋"/>
                <w:kern w:val="0"/>
                <w:sz w:val="24"/>
                <w:szCs w:val="24"/>
              </w:rPr>
              <w:t>光谱分析方法》进行检测，其中铝含量应≥80%。</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铝合金站脚的力学性能按照GB/T 228.1-2010《金属材料 拉伸试验 第1部分：室温试验方法》进行检测，其中抗拉强度、上屈服强度均应≥250MPa，断后伸长率≥1.6%。</w:t>
            </w:r>
          </w:p>
          <w:p>
            <w:pPr>
              <w:autoSpaceDE w:val="0"/>
              <w:autoSpaceDN w:val="0"/>
              <w:snapToGrid w:val="0"/>
              <w:spacing w:line="440" w:lineRule="exact"/>
              <w:ind w:firstLine="0" w:firstLineChars="0"/>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四、椅座：</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rPr>
              <w:t>椅座由座板、回复角码、连接螺栓三部分组成。座板采用多层旋切木皮经模具一次性高频热压成</w:t>
            </w:r>
            <w:r>
              <w:rPr>
                <w:rFonts w:hint="eastAsia" w:ascii="仿宋" w:hAnsi="仿宋" w:eastAsia="仿宋" w:cs="仿宋"/>
                <w:kern w:val="0"/>
                <w:sz w:val="24"/>
                <w:szCs w:val="24"/>
                <w:highlight w:val="none"/>
              </w:rPr>
              <w:t>型的实木多层板，双面贴防火板，环保性能达到E1级以上标准，厚度≥15mm；回复角码采用铝合金材质经模具一次性压铸成型，内嵌金属材质重力块，角码长度≥220mm，宽度≥75mm，金属厚度≥5mm；座板与角码采用304不锈钢螺栓进行穿透式连接。椅座与站脚之间连接处设置软橡胶材质消音垫，椅座转轴设置ABS材质工程塑料消音圈，使椅座回复时无任何噪声。</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饰面多层板按GB/T 34722-2017《浸渍胶膜纸饰面胶合板和细木工板》、GB 18580-2017《室内装饰装修材料 人造板及其制品中甲醛释放量》标准进行检测，其中胶合强度试件数与合格试件数应达到100%，甲醛释放量应≤0.030mg/m³。</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防火板按GB 18580-2017《室内装饰装修材料 人造板及其制品中甲醛释放量》标准进行检测，其中甲醛释放量应为无检出。</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ABS塑料件按GB 28481-2012《塑料家具中有害物质限量》进行检测，全部有害物质均应为无检出。</w:t>
            </w:r>
          </w:p>
          <w:p>
            <w:pPr>
              <w:autoSpaceDE w:val="0"/>
              <w:autoSpaceDN w:val="0"/>
              <w:snapToGrid w:val="0"/>
              <w:spacing w:line="440" w:lineRule="exact"/>
              <w:ind w:firstLine="0" w:firstLineChars="0"/>
              <w:textAlignment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五、椅背：</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椅背由背板和定位框两部分组成。背板采用多层旋切木皮经模具一次性高频热压成型的实木多层板，双面贴防火板，环保性能达到E1级以上标准，厚度≥12mm；定位框上下两部分均采用拉铝材质定型铝材制作成型，边部圆润无毛剌，不刮手，两侧采用2.0mm厚冷轧钢材质冲压焊接成型，背板与定位框固定后，与站脚进行整体横向连接，边接螺丝采用304不锈钢材质，结实耐用，外表美观，板材所有性能与座板一致。</w:t>
            </w:r>
          </w:p>
          <w:p>
            <w:pPr>
              <w:autoSpaceDE w:val="0"/>
              <w:autoSpaceDN w:val="0"/>
              <w:snapToGrid w:val="0"/>
              <w:spacing w:line="440" w:lineRule="exact"/>
              <w:ind w:firstLine="0" w:firstLineChars="0"/>
              <w:textAlignment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六、桌面板：</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桌面板固定在站脚上部正后方，紧贴背板进行固定，空隙不大于3mm。桌面板正常使用宽度≥350mm，厚度≥25mm，采用E1级优质刨花板双面贴防火板，桌面板正面与使用者接触位置直接采用防火板封圆边，即：整张防火板从桌面上方包裹至桌面下方，与板面为一体，避免使用者人为抠拽造成封边脱落，桌面两侧采用与板面同种颜色PVC封边条封边。</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highlight w:val="none"/>
              </w:rPr>
              <w:t>E1级优质刨花板</w:t>
            </w:r>
            <w:r>
              <w:rPr>
                <w:rFonts w:hint="eastAsia" w:ascii="仿宋" w:hAnsi="仿宋" w:eastAsia="仿宋" w:cs="仿宋"/>
                <w:kern w:val="0"/>
                <w:sz w:val="24"/>
                <w:szCs w:val="24"/>
              </w:rPr>
              <w:t>，板材含水率＜8%，2h吸水厚度膨胀率≤8%，板材密度≥0.7g/cm³，表面胶合强度≥0.9MPa，内胶合强度≥0.35MPa，静曲强度（MOR)≥12MPa，弹性模量（MOE)≥2200MPa，甲醛释放量≤0.060mg/m³，须符合GB/T 4897-2015《刨花板》标准，并提供有效期内刨花板检验报告。</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PVC封边条按QB/T 4463-2013《家具用封边条技术要求》进行检测，全部符合国家相关技术要求，其中甲醛释放量应为无检出。</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热熔胶参照GB 18583-2008《室内装饰装修材料 胶粘剂中有害物质限量》进行检测，总挥发性有机物应＜5g/kg。</w:t>
            </w:r>
          </w:p>
          <w:p>
            <w:pPr>
              <w:autoSpaceDE w:val="0"/>
              <w:autoSpaceDN w:val="0"/>
              <w:snapToGrid w:val="0"/>
              <w:spacing w:line="440" w:lineRule="exact"/>
              <w:ind w:firstLine="0" w:firstLineChars="0"/>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七、书网：</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书网位于桌面正下方，宽度≥200mm，净空≥130mm。书网采用不小于1.2mm厚的冷轧钢板冲孔成型，边部采用12mm直径冷轧钢管封边，圆润无任何毛刺，</w:t>
            </w:r>
            <w:r>
              <w:rPr>
                <w:rFonts w:hint="eastAsia" w:ascii="仿宋" w:hAnsi="仿宋" w:eastAsia="仿宋" w:cs="仿宋"/>
                <w:sz w:val="24"/>
                <w:szCs w:val="24"/>
              </w:rPr>
              <w:t>承重大于20kg。</w:t>
            </w:r>
            <w:r>
              <w:rPr>
                <w:rFonts w:hint="eastAsia" w:ascii="仿宋" w:hAnsi="仿宋" w:eastAsia="仿宋" w:cs="仿宋"/>
                <w:kern w:val="0"/>
                <w:sz w:val="24"/>
                <w:szCs w:val="24"/>
              </w:rPr>
              <w:t>须保证书网内不受水渍浸泡的前提下，有效保护使用者的手机、平板电脑等贵重物品不会因为书斗空隙滑落造成不必要损失。</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钢板、钢管对金属喷涂涂层的耐腐蚀性能、抗盐雾测试参照GB/T 3325-2017《金属家具通用技术条件》进行检测，全部达到国家要求标准。</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喷涂粉末按HG/T 2006-2006《热固性粉末涂料》（室内用优等品）进行检测，全部达到国家要求标准。</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b/>
                <w:kern w:val="0"/>
                <w:sz w:val="24"/>
                <w:szCs w:val="24"/>
              </w:rPr>
              <w:t>八、金属镀层</w:t>
            </w:r>
            <w:r>
              <w:rPr>
                <w:rFonts w:hint="eastAsia" w:ascii="仿宋" w:hAnsi="仿宋" w:eastAsia="仿宋" w:cs="仿宋"/>
                <w:kern w:val="0"/>
                <w:sz w:val="24"/>
                <w:szCs w:val="24"/>
              </w:rPr>
              <w:t>：</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五金件表面耐腐蚀性能经检测应达到10级。</w:t>
            </w:r>
          </w:p>
          <w:p>
            <w:pPr>
              <w:autoSpaceDE w:val="0"/>
              <w:autoSpaceDN w:val="0"/>
              <w:snapToGrid w:val="0"/>
              <w:spacing w:line="440" w:lineRule="exact"/>
              <w:ind w:firstLine="0" w:firstLineChars="0"/>
              <w:jc w:val="left"/>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九、前排桌：</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每个教室前排座椅均配带前排桌，前排桌长度与前排座椅一致，桌面宽度450mm;前排桌底脚及脚垫采用铝合金经模具压铸成型，脚垫下方设置橡胶材质防滑垫,脚垫直径≥65mm；前排桌立柱及支撑架采用2.0mm厚冷轧钢管和钢板冲压焊接成型，桌面采用25mm厚实木颗粒板面贴防火板，前后均采用防火板半圆包边，书网采用不小于1.2mm冷轧钢板冲孔冲压成型，边部12mm直径圆管封边，承重大于20kg。</w:t>
            </w:r>
            <w:r>
              <w:rPr>
                <w:rFonts w:hint="eastAsia" w:ascii="仿宋" w:hAnsi="仿宋" w:eastAsia="仿宋" w:cs="仿宋"/>
                <w:color w:val="000000" w:themeColor="text1"/>
                <w:kern w:val="0"/>
                <w:sz w:val="24"/>
                <w:szCs w:val="24"/>
                <w14:textFill>
                  <w14:solidFill>
                    <w14:schemeClr w14:val="tx1"/>
                  </w14:solidFill>
                </w14:textFill>
              </w:rPr>
              <w:t>此价格包括在每个座位价格之中，不单独计算。</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b/>
                <w:bCs/>
                <w:kern w:val="0"/>
                <w:sz w:val="24"/>
                <w:szCs w:val="24"/>
              </w:rPr>
              <w:t>十、以上涉及产品及材料检测报告的，检测时间必须为投标截止时间前一年内，否则无效。</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3648</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sz w:val="24"/>
                <w:szCs w:val="24"/>
              </w:rPr>
            </w:pPr>
            <w:r>
              <w:rPr>
                <w:rFonts w:hint="eastAsia" w:ascii="仿宋" w:hAnsi="仿宋" w:eastAsia="仿宋" w:cs="仿宋"/>
                <w:kern w:val="0"/>
                <w:sz w:val="24"/>
                <w:szCs w:val="24"/>
              </w:rPr>
              <w:t>固定式联排桌椅（核心产品）</w:t>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sz w:val="24"/>
                <w:szCs w:val="24"/>
              </w:rPr>
              <w:drawing>
                <wp:anchor distT="0" distB="0" distL="0" distR="0" simplePos="0" relativeHeight="251663360" behindDoc="0" locked="0" layoutInCell="1" allowOverlap="1">
                  <wp:simplePos x="0" y="0"/>
                  <wp:positionH relativeFrom="column">
                    <wp:posOffset>50800</wp:posOffset>
                  </wp:positionH>
                  <wp:positionV relativeFrom="paragraph">
                    <wp:posOffset>77470</wp:posOffset>
                  </wp:positionV>
                  <wp:extent cx="1711960" cy="1021715"/>
                  <wp:effectExtent l="0" t="0" r="2540" b="698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1771845" cy="1057575"/>
                          </a:xfrm>
                          <a:prstGeom prst="rect">
                            <a:avLst/>
                          </a:prstGeom>
                        </pic:spPr>
                      </pic:pic>
                    </a:graphicData>
                  </a:graphic>
                </wp:anchor>
              </w:drawing>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sz w:val="24"/>
                <w:szCs w:val="24"/>
              </w:rPr>
            </w:pPr>
            <w:r>
              <w:rPr>
                <w:rFonts w:hint="eastAsia" w:ascii="仿宋" w:hAnsi="仿宋" w:eastAsia="仿宋" w:cs="仿宋"/>
                <w:kern w:val="0"/>
                <w:sz w:val="24"/>
                <w:szCs w:val="24"/>
              </w:rPr>
              <w:t>固定式联排桌椅尺寸</w:t>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sz w:val="24"/>
                <w:szCs w:val="24"/>
              </w:rPr>
              <w:drawing>
                <wp:anchor distT="0" distB="0" distL="0" distR="0" simplePos="0" relativeHeight="251664384" behindDoc="0" locked="0" layoutInCell="1" allowOverlap="1">
                  <wp:simplePos x="0" y="0"/>
                  <wp:positionH relativeFrom="column">
                    <wp:posOffset>83185</wp:posOffset>
                  </wp:positionH>
                  <wp:positionV relativeFrom="paragraph">
                    <wp:posOffset>150495</wp:posOffset>
                  </wp:positionV>
                  <wp:extent cx="1730375" cy="641985"/>
                  <wp:effectExtent l="0" t="0" r="3175" b="571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1902068" cy="706043"/>
                          </a:xfrm>
                          <a:prstGeom prst="rect">
                            <a:avLst/>
                          </a:prstGeom>
                        </pic:spPr>
                      </pic:pic>
                    </a:graphicData>
                  </a:graphic>
                </wp:anchor>
              </w:drawing>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书网样式</w:t>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drawing>
                <wp:anchor distT="0" distB="0" distL="0" distR="0" simplePos="0" relativeHeight="251665408" behindDoc="0" locked="0" layoutInCell="1" allowOverlap="1">
                  <wp:simplePos x="0" y="0"/>
                  <wp:positionH relativeFrom="column">
                    <wp:posOffset>116205</wp:posOffset>
                  </wp:positionH>
                  <wp:positionV relativeFrom="paragraph">
                    <wp:posOffset>316865</wp:posOffset>
                  </wp:positionV>
                  <wp:extent cx="1595755" cy="679450"/>
                  <wp:effectExtent l="0" t="0" r="4445" b="635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cstate="print">
                            <a:extLst>
                              <a:ext uri="{28A0092B-C50C-407E-A947-70E740481C1C}">
                                <a14:useLocalDpi xmlns:a14="http://schemas.microsoft.com/office/drawing/2010/main" val="0"/>
                              </a:ext>
                            </a:extLst>
                          </a:blip>
                          <a:srcRect l="14256" t="23992" r="3950" b="28575"/>
                          <a:stretch>
                            <a:fillRect/>
                          </a:stretch>
                        </pic:blipFill>
                        <pic:spPr>
                          <a:xfrm>
                            <a:off x="0" y="0"/>
                            <a:ext cx="1605382" cy="683317"/>
                          </a:xfrm>
                          <a:prstGeom prst="rect">
                            <a:avLst/>
                          </a:prstGeom>
                          <a:ln>
                            <a:noFill/>
                          </a:ln>
                        </pic:spPr>
                      </pic:pic>
                    </a:graphicData>
                  </a:graphic>
                </wp:anchor>
              </w:drawing>
            </w: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一、规格尺寸：</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椅高910±5mm，座深550±5mm，座高450±5mm，底脚长度≥310mm，中心距520mm，桌面400mm，桌面离地高度760mm。</w:t>
            </w:r>
          </w:p>
          <w:p>
            <w:pPr>
              <w:autoSpaceDE w:val="0"/>
              <w:autoSpaceDN w:val="0"/>
              <w:snapToGrid w:val="0"/>
              <w:spacing w:line="440" w:lineRule="exact"/>
              <w:ind w:firstLine="0" w:firstLineChars="0"/>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二、整体性能：</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固定课桌椅整体性能附合QB/T 4071-2010《课桌椅》相关标准要求，投标人应提供与投标产品相一致的课桌椅整体性能检测报告。</w:t>
            </w:r>
          </w:p>
          <w:p>
            <w:pPr>
              <w:autoSpaceDE w:val="0"/>
              <w:autoSpaceDN w:val="0"/>
              <w:snapToGrid w:val="0"/>
              <w:spacing w:line="440" w:lineRule="exact"/>
              <w:ind w:firstLine="0" w:firstLineChars="0"/>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三、椅脚：</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采用压铸铝合金材质经模具一次性压铸成型，表面经抛光打磨后喷闪光银专用金属漆，金属边缘抛光打磨处理，无任何毛刺，不刮手。为保证座椅长时间使用的稳固性，对椅脚进行加宽加长处理，椅脚宽度≥50mm，底脚长度≥320mm，整只椅脚祼脚重量≥2.55kg，站脚前后各设置一个地爆螺丝孔，将座椅固定于地面，螺丝孔上方设置PP材质装饰盖将地爆螺丝孔盖紧不外露；座板组件支撑位置设置加强筋，结实耐用。压铸铝经过化学成份试测，铝含量应≥80%，提供相应检测报告，并作为后期交付验收的主要依据之一。</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铝合金站脚金属喷涂涂层的耐腐蚀性能、附着力参照GB/T 3325-2017《金属家具通用技术条件》进行检测，达到国家要求标准，其中附着力达到3级或以上水平。</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铝合金站脚的化学成份按照GB/T 7999-2015《铝及铝合金光电直读发</w:t>
            </w:r>
            <w:r>
              <w:rPr>
                <w:rFonts w:hint="eastAsia" w:ascii="仿宋" w:hAnsi="仿宋" w:eastAsia="仿宋" w:cs="仿宋"/>
                <w:kern w:val="0"/>
                <w:sz w:val="24"/>
                <w:szCs w:val="24"/>
                <w:lang w:val="en-US" w:eastAsia="zh-CN"/>
              </w:rPr>
              <w:t>射</w:t>
            </w:r>
            <w:r>
              <w:rPr>
                <w:rFonts w:hint="eastAsia" w:ascii="仿宋" w:hAnsi="仿宋" w:eastAsia="仿宋" w:cs="仿宋"/>
                <w:kern w:val="0"/>
                <w:sz w:val="24"/>
                <w:szCs w:val="24"/>
              </w:rPr>
              <w:t>光谱分析方法》进行检测，其中铝含量应≥80%。</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铝合金站脚的力学性能按照GB/T 228.1-2010《金属材料 拉伸试验 第1部分：室温试验方法》进行检测，其中抗拉强度、上屈服强度均应≥250MPa，断后伸长率≥1.6%。</w:t>
            </w:r>
          </w:p>
          <w:p>
            <w:pPr>
              <w:autoSpaceDE w:val="0"/>
              <w:autoSpaceDN w:val="0"/>
              <w:snapToGrid w:val="0"/>
              <w:spacing w:line="440" w:lineRule="exact"/>
              <w:ind w:firstLine="0" w:firstLineChars="0"/>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四、椅座：</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rPr>
              <w:t>椅座由座板、回复角码、连接螺栓三部分组成。座板采用多层旋切木皮经模具一次性高频热压成</w:t>
            </w:r>
            <w:r>
              <w:rPr>
                <w:rFonts w:hint="eastAsia" w:ascii="仿宋" w:hAnsi="仿宋" w:eastAsia="仿宋" w:cs="仿宋"/>
                <w:kern w:val="0"/>
                <w:sz w:val="24"/>
                <w:szCs w:val="24"/>
                <w:highlight w:val="none"/>
              </w:rPr>
              <w:t>型的实木多层板，双面贴防火板，环保性能达到E1级以上标准，厚度≥15mm；回复角码采用铝合金材质经模具一次性压铸成型，内嵌金属材质重力块，角码长度≥220mm，宽度≥75mm，金属厚度≥5mm；座板与角码采用304不锈钢螺栓进行穿透式连接。椅座与站脚之间连接处设置软橡胶材质消音垫，椅座转轴设置ABS材质工程塑料消音圈，使椅座回复时无任何噪声。</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饰面多层板按GB/T 34722-2017《浸渍胶膜纸饰面胶合板和细木工板》、GB 18580-2017《室内装饰装修材料 人造板及其制品中甲醛释放量》标准进行检测，其中胶合强度试件数与合格试件数应达到100%，甲醛释放量应≤0.030mg/m³。</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防火板按GB 18580-2017《室内装饰装修材料 人造板及其制品中甲醛释放量》标准进行检测，其中甲醛释放量应为无检出。</w:t>
            </w:r>
          </w:p>
          <w:p>
            <w:pPr>
              <w:autoSpaceDE w:val="0"/>
              <w:autoSpaceDN w:val="0"/>
              <w:snapToGrid w:val="0"/>
              <w:spacing w:line="440" w:lineRule="exact"/>
              <w:ind w:firstLine="0" w:firstLineChars="0"/>
              <w:textAlignment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ABS塑料件按GB 28481-2012《塑料家具中有害物质限量》进行检测，全部有害物质均应为无检出。</w:t>
            </w:r>
          </w:p>
          <w:p>
            <w:pPr>
              <w:autoSpaceDE w:val="0"/>
              <w:autoSpaceDN w:val="0"/>
              <w:snapToGrid w:val="0"/>
              <w:spacing w:line="440" w:lineRule="exact"/>
              <w:ind w:firstLine="0" w:firstLineChars="0"/>
              <w:textAlignment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五、椅背：</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highlight w:val="none"/>
              </w:rPr>
              <w:t>椅背由背板和定位框两部分组成。背板采用多层旋切木皮经模具一次性高频热压成型的实木多层板，双面贴防火板，环保性能达到E1级以上标准，厚度≥12mm；定位框上下两部分均采用拉铝材质定型铝材</w:t>
            </w:r>
            <w:r>
              <w:rPr>
                <w:rFonts w:hint="eastAsia" w:ascii="仿宋" w:hAnsi="仿宋" w:eastAsia="仿宋" w:cs="仿宋"/>
                <w:kern w:val="0"/>
                <w:sz w:val="24"/>
                <w:szCs w:val="24"/>
              </w:rPr>
              <w:t>制作成型，边部圆润无毛剌，不刮手，两侧采用2.0mm厚冷轧钢材质冲压焊接成型，背板与定位框固定后，与站脚进行整体横向连接，边接螺丝采用304不锈钢材质，结实耐用，外表美观，板材所有性能与座板一致。</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b/>
                <w:bCs/>
                <w:kern w:val="0"/>
                <w:sz w:val="24"/>
                <w:szCs w:val="24"/>
              </w:rPr>
              <w:t>六、桌面板：</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桌面板固定在站脚上部正后方，紧贴背板进行固定，空隙不大于3mm。桌面板正常使用宽度≥400mm，厚度≥25mm，采用E1级优质刨花板双面贴防火板，桌面板正面与使用者接触位置直接采用防火板封圆边，即：整张防火板从桌面上方包裹至桌面下方，与板面为一体，避免使用者人为抠拽造成封边脱落，桌面两侧采用与板面同种颜色PVC封边条封边。</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E1级优质刨花板，板材含水率＜8%，2h吸水厚度膨胀率≤8%，板材密度≥0.7g/cm³，表面胶合强度≥0.9MPa，内胶合强度≥0.35MPa，静曲强度（MOR)≥12MPa，弹性模量（MOE)≥2200MPa，甲醛释放量≤0.060mg/m³，须符合GB/T 4897-2015《刨花板》标准，并提供有效期内刨花板检验报告。</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PVC封边条按QB/T 4463-2013《家具用封边条技术要求》进行检测，全部符合国家相关技术要求，其中甲醛释放量应为无检出。</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热熔胶参照GB 18583-2008《室内装饰装修材料 胶粘剂中有害物质限量》进行检测，总挥发性有机物应＜5g/kg。</w:t>
            </w:r>
          </w:p>
          <w:p>
            <w:pPr>
              <w:autoSpaceDE w:val="0"/>
              <w:autoSpaceDN w:val="0"/>
              <w:snapToGrid w:val="0"/>
              <w:spacing w:line="440" w:lineRule="exact"/>
              <w:ind w:firstLine="0" w:firstLineChars="0"/>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七、书网：</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书网位于桌面正下方，宽度≥200mm，净空≥130mm。书网采用1.2mm厚冷轧钢板冲孔成型，边部采用12mm直径冷轧钢管封边，圆润无任何毛刺，</w:t>
            </w:r>
            <w:r>
              <w:rPr>
                <w:rFonts w:hint="eastAsia" w:ascii="仿宋" w:hAnsi="仿宋" w:eastAsia="仿宋" w:cs="仿宋"/>
                <w:sz w:val="24"/>
                <w:szCs w:val="24"/>
              </w:rPr>
              <w:t>承重大于20kg。</w:t>
            </w:r>
            <w:r>
              <w:rPr>
                <w:rFonts w:hint="eastAsia" w:ascii="仿宋" w:hAnsi="仿宋" w:eastAsia="仿宋" w:cs="仿宋"/>
                <w:kern w:val="0"/>
                <w:sz w:val="24"/>
                <w:szCs w:val="24"/>
              </w:rPr>
              <w:t>须保证书网内不受水渍浸泡的前提下，有效保护使用者的手机、平板电脑等贵重物品不会因为书斗空隙滑落造成不必要损失。</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钢板、钢管对金属喷涂涂层的耐腐蚀性能、抗盐雾测试参照GB/T 3325-2017《金属家具通用技术条件》进行检测，全部达到国家要求标准。</w:t>
            </w:r>
          </w:p>
          <w:p>
            <w:pPr>
              <w:autoSpaceDE w:val="0"/>
              <w:autoSpaceDN w:val="0"/>
              <w:snapToGrid w:val="0"/>
              <w:spacing w:line="440" w:lineRule="exact"/>
              <w:ind w:firstLine="0" w:firstLineChars="0"/>
              <w:textAlignment w:val="center"/>
              <w:rPr>
                <w:rFonts w:ascii="仿宋" w:hAnsi="仿宋" w:eastAsia="仿宋" w:cs="仿宋"/>
                <w:kern w:val="0"/>
                <w:sz w:val="24"/>
                <w:szCs w:val="24"/>
              </w:rPr>
            </w:pPr>
            <w:r>
              <w:rPr>
                <w:rFonts w:hint="eastAsia" w:ascii="仿宋" w:hAnsi="仿宋" w:eastAsia="仿宋" w:cs="仿宋"/>
                <w:kern w:val="0"/>
                <w:sz w:val="24"/>
                <w:szCs w:val="24"/>
              </w:rPr>
              <w:t>喷涂粉末按HG/T 2006-2006《热固性粉末涂料》（室内用优等品）进行检测，全部达到国家要求标准。</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b/>
                <w:bCs/>
                <w:kern w:val="0"/>
                <w:sz w:val="24"/>
                <w:szCs w:val="24"/>
              </w:rPr>
              <w:t>八、地爆螺栓：</w:t>
            </w:r>
            <w:r>
              <w:rPr>
                <w:rFonts w:hint="eastAsia" w:ascii="仿宋" w:hAnsi="仿宋" w:eastAsia="仿宋" w:cs="仿宋"/>
                <w:kern w:val="0"/>
                <w:sz w:val="24"/>
                <w:szCs w:val="24"/>
              </w:rPr>
              <w:t>座椅采用顶爆式地爆螺栓固定于地面上，地爆螺栓为304不锈钢材质，长时间使用不生锈、不腐蚀，结实耐用。站脚底部设置地爆螺栓装饰盖，确保螺栓不外露。</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b/>
                <w:kern w:val="0"/>
                <w:sz w:val="24"/>
                <w:szCs w:val="24"/>
              </w:rPr>
              <w:t>九、金属镀层</w:t>
            </w:r>
            <w:r>
              <w:rPr>
                <w:rFonts w:hint="eastAsia" w:ascii="仿宋" w:hAnsi="仿宋" w:eastAsia="仿宋" w:cs="仿宋"/>
                <w:kern w:val="0"/>
                <w:sz w:val="24"/>
                <w:szCs w:val="24"/>
              </w:rPr>
              <w:t>：</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五金件表面耐腐蚀性能经检测应达到10级。</w:t>
            </w:r>
          </w:p>
          <w:p>
            <w:pPr>
              <w:autoSpaceDE w:val="0"/>
              <w:autoSpaceDN w:val="0"/>
              <w:snapToGrid w:val="0"/>
              <w:spacing w:line="440" w:lineRule="exact"/>
              <w:ind w:firstLine="0" w:firstLineChars="0"/>
              <w:jc w:val="left"/>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十、前排桌：</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每个教室前排座椅均配带前排桌，前排桌采用固定式，中心距520mm。</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桌脚、写字板、书网材质与课桌椅一致，前档板与课桌椅背板材质一致，前排桌底部设置三个固定螺丝孔，将前排桌固定于地面，螺丝孔上方设置PP材质装饰盖将地爆螺丝盖紧不外露。</w:t>
            </w:r>
            <w:r>
              <w:rPr>
                <w:rFonts w:hint="eastAsia" w:ascii="仿宋" w:hAnsi="仿宋" w:eastAsia="仿宋" w:cs="仿宋"/>
                <w:color w:val="000000" w:themeColor="text1"/>
                <w:kern w:val="0"/>
                <w:sz w:val="24"/>
                <w:szCs w:val="24"/>
                <w14:textFill>
                  <w14:solidFill>
                    <w14:schemeClr w14:val="tx1"/>
                  </w14:solidFill>
                </w14:textFill>
              </w:rPr>
              <w:t>此价格包括在每位座位价格之中，不单独计算。</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bCs/>
                <w:kern w:val="0"/>
                <w:sz w:val="24"/>
                <w:szCs w:val="24"/>
              </w:rPr>
              <w:t>十一、以上涉及产品及材料检测报告的，检测时间必须为投标截止时间前一年内，否则无效。</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2552</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办公桌</w:t>
            </w:r>
            <w:r>
              <w:rPr>
                <w:rFonts w:hint="eastAsia" w:ascii="仿宋" w:hAnsi="仿宋" w:eastAsia="仿宋" w:cs="仿宋"/>
                <w:kern w:val="0"/>
                <w:sz w:val="24"/>
                <w:szCs w:val="24"/>
              </w:rPr>
              <w:drawing>
                <wp:anchor distT="0" distB="0" distL="0" distR="0" simplePos="0" relativeHeight="251666432" behindDoc="0" locked="0" layoutInCell="1" allowOverlap="1">
                  <wp:simplePos x="0" y="0"/>
                  <wp:positionH relativeFrom="column">
                    <wp:posOffset>180975</wp:posOffset>
                  </wp:positionH>
                  <wp:positionV relativeFrom="paragraph">
                    <wp:posOffset>419100</wp:posOffset>
                  </wp:positionV>
                  <wp:extent cx="1486535" cy="972820"/>
                  <wp:effectExtent l="0" t="0" r="18415" b="177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41629" cy="1008607"/>
                          </a:xfrm>
                          <a:prstGeom prst="rect">
                            <a:avLst/>
                          </a:prstGeom>
                        </pic:spPr>
                      </pic:pic>
                    </a:graphicData>
                  </a:graphic>
                </wp:anchor>
              </w:drawing>
            </w: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一、规格尺寸：</w:t>
            </w:r>
            <w:r>
              <w:rPr>
                <w:rFonts w:hint="eastAsia" w:ascii="仿宋" w:hAnsi="仿宋" w:eastAsia="仿宋" w:cs="仿宋"/>
                <w:bCs/>
                <w:kern w:val="0"/>
                <w:sz w:val="24"/>
                <w:szCs w:val="24"/>
              </w:rPr>
              <w:t>长1600*宽800*高750mm。</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二、参数要求：</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 xml:space="preserve">1.板材全部采用采用E1级实木颗粒板为基材的MFC工艺双饰面板材质，台面、侧脚厚度≥25mm。                                                    </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2.主桌采用</w:t>
            </w:r>
            <w:r>
              <w:rPr>
                <w:rFonts w:hint="eastAsia" w:ascii="仿宋" w:hAnsi="仿宋" w:eastAsia="仿宋" w:cs="仿宋"/>
                <w:kern w:val="0"/>
                <w:sz w:val="24"/>
                <w:szCs w:val="24"/>
                <w:lang w:val="en-US" w:eastAsia="zh-CN"/>
              </w:rPr>
              <w:t>五金</w:t>
            </w:r>
            <w:r>
              <w:rPr>
                <w:rFonts w:hint="eastAsia" w:ascii="仿宋" w:hAnsi="仿宋" w:eastAsia="仿宋" w:cs="仿宋"/>
                <w:kern w:val="0"/>
                <w:sz w:val="24"/>
                <w:szCs w:val="24"/>
              </w:rPr>
              <w:t>连接支撑件，以悬空方式，在强化结构的基础上，增加层次感，底部对应同色系支撑脚可调节。</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3.颜色：白橡色</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三人位沙发</w:t>
            </w:r>
            <w:r>
              <w:rPr>
                <w:rFonts w:hint="eastAsia" w:ascii="仿宋" w:hAnsi="仿宋" w:eastAsia="仿宋" w:cs="仿宋"/>
                <w:kern w:val="0"/>
                <w:sz w:val="24"/>
                <w:szCs w:val="24"/>
              </w:rPr>
              <w:drawing>
                <wp:anchor distT="0" distB="0" distL="0" distR="0" simplePos="0" relativeHeight="251667456" behindDoc="0" locked="0" layoutInCell="1" allowOverlap="1">
                  <wp:simplePos x="0" y="0"/>
                  <wp:positionH relativeFrom="column">
                    <wp:posOffset>123825</wp:posOffset>
                  </wp:positionH>
                  <wp:positionV relativeFrom="paragraph">
                    <wp:posOffset>581025</wp:posOffset>
                  </wp:positionV>
                  <wp:extent cx="1610995" cy="878205"/>
                  <wp:effectExtent l="0" t="0" r="8255" b="1714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34419" cy="891092"/>
                          </a:xfrm>
                          <a:prstGeom prst="rect">
                            <a:avLst/>
                          </a:prstGeom>
                          <a:noFill/>
                          <a:ln>
                            <a:noFill/>
                          </a:ln>
                        </pic:spPr>
                      </pic:pic>
                    </a:graphicData>
                  </a:graphic>
                </wp:anchor>
              </w:drawing>
            </w: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b/>
                <w:kern w:val="0"/>
                <w:sz w:val="24"/>
                <w:szCs w:val="24"/>
              </w:rPr>
              <w:t>一、规格尺寸：</w:t>
            </w:r>
            <w:r>
              <w:rPr>
                <w:rFonts w:hint="eastAsia" w:ascii="仿宋" w:hAnsi="仿宋" w:eastAsia="仿宋" w:cs="仿宋"/>
                <w:kern w:val="0"/>
                <w:sz w:val="24"/>
                <w:szCs w:val="24"/>
              </w:rPr>
              <w:t>长2100*深850*高870mm</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二、参数要求：</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1.面料采用头层牛皮制作而成。</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2.框架采用橡胶木实木框架，材质坚硬钢性强，承托力达250KG，含水率≤12%，经防腐防虫防潮等技术处理，外露脚架采用不锈钢材质，美观大方。</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kern w:val="0"/>
                <w:sz w:val="24"/>
                <w:szCs w:val="24"/>
              </w:rPr>
              <w:t>3.内料采用高密度阻燃海绵，海绵表面有一层防老化保护膜，用抽纱或丝绒覆面，内衬高强度蛇型拉力筋结构，能均匀承托负重。</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长茶几</w:t>
            </w:r>
            <w:r>
              <w:rPr>
                <w:rFonts w:hint="eastAsia" w:ascii="仿宋" w:hAnsi="仿宋" w:eastAsia="仿宋" w:cs="仿宋"/>
                <w:sz w:val="24"/>
                <w:szCs w:val="24"/>
              </w:rPr>
              <w:drawing>
                <wp:anchor distT="0" distB="0" distL="0" distR="0" simplePos="0" relativeHeight="251668480" behindDoc="0" locked="0" layoutInCell="1" allowOverlap="1">
                  <wp:simplePos x="0" y="0"/>
                  <wp:positionH relativeFrom="column">
                    <wp:posOffset>238125</wp:posOffset>
                  </wp:positionH>
                  <wp:positionV relativeFrom="paragraph">
                    <wp:posOffset>209550</wp:posOffset>
                  </wp:positionV>
                  <wp:extent cx="1377950" cy="935990"/>
                  <wp:effectExtent l="0" t="0" r="12700" b="165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a:stretch>
                            <a:fillRect/>
                          </a:stretch>
                        </pic:blipFill>
                        <pic:spPr>
                          <a:xfrm>
                            <a:off x="0" y="0"/>
                            <a:ext cx="1394257" cy="947043"/>
                          </a:xfrm>
                          <a:prstGeom prst="rect">
                            <a:avLst/>
                          </a:prstGeom>
                        </pic:spPr>
                      </pic:pic>
                    </a:graphicData>
                  </a:graphic>
                </wp:anchor>
              </w:drawing>
            </w: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bCs/>
                <w:kern w:val="0"/>
                <w:sz w:val="24"/>
                <w:szCs w:val="24"/>
              </w:rPr>
            </w:pPr>
            <w:r>
              <w:rPr>
                <w:rFonts w:hint="eastAsia" w:ascii="仿宋" w:hAnsi="仿宋" w:eastAsia="仿宋" w:cs="仿宋"/>
                <w:b/>
                <w:kern w:val="0"/>
                <w:sz w:val="24"/>
                <w:szCs w:val="24"/>
              </w:rPr>
              <w:t>一、规格尺寸：</w:t>
            </w:r>
            <w:r>
              <w:rPr>
                <w:rFonts w:hint="eastAsia" w:ascii="仿宋" w:hAnsi="仿宋" w:eastAsia="仿宋" w:cs="仿宋"/>
                <w:kern w:val="0"/>
                <w:sz w:val="24"/>
                <w:szCs w:val="24"/>
              </w:rPr>
              <w:t>长</w:t>
            </w:r>
            <w:r>
              <w:rPr>
                <w:rFonts w:hint="eastAsia" w:ascii="仿宋" w:hAnsi="仿宋" w:eastAsia="仿宋" w:cs="仿宋"/>
                <w:bCs/>
                <w:kern w:val="0"/>
                <w:sz w:val="24"/>
                <w:szCs w:val="24"/>
              </w:rPr>
              <w:t>1200*宽600*高500mm</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二、参数要求：</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1.板材全部采用E1级实木颗粒板为基材的MFC工艺双饰面板材质，颜色与办公桌颜色一致，边部采用2.0mm以上PVC激光封边。</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kern w:val="0"/>
                <w:sz w:val="24"/>
                <w:szCs w:val="24"/>
              </w:rPr>
              <w:t>2.脚架采用1.5mm厚度冷轧钢管冲压焊接成型，表面经电镀处理，结实耐用。</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挂衣架</w:t>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sz w:val="24"/>
                <w:szCs w:val="24"/>
              </w:rPr>
              <w:drawing>
                <wp:anchor distT="0" distB="0" distL="0" distR="0" simplePos="0" relativeHeight="251669504" behindDoc="0" locked="0" layoutInCell="1" allowOverlap="1">
                  <wp:simplePos x="0" y="0"/>
                  <wp:positionH relativeFrom="column">
                    <wp:posOffset>435610</wp:posOffset>
                  </wp:positionH>
                  <wp:positionV relativeFrom="paragraph">
                    <wp:posOffset>125730</wp:posOffset>
                  </wp:positionV>
                  <wp:extent cx="1073785" cy="1266190"/>
                  <wp:effectExtent l="0" t="0" r="12065" b="1016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2"/>
                          <a:stretch>
                            <a:fillRect/>
                          </a:stretch>
                        </pic:blipFill>
                        <pic:spPr>
                          <a:xfrm>
                            <a:off x="0" y="0"/>
                            <a:ext cx="1073785" cy="1266190"/>
                          </a:xfrm>
                          <a:prstGeom prst="rect">
                            <a:avLst/>
                          </a:prstGeom>
                        </pic:spPr>
                      </pic:pic>
                    </a:graphicData>
                  </a:graphic>
                </wp:anchor>
              </w:drawing>
            </w: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bCs/>
                <w:kern w:val="0"/>
                <w:sz w:val="24"/>
                <w:szCs w:val="24"/>
              </w:rPr>
            </w:pPr>
            <w:r>
              <w:rPr>
                <w:rFonts w:hint="eastAsia" w:ascii="仿宋" w:hAnsi="仿宋" w:eastAsia="仿宋" w:cs="仿宋"/>
                <w:b/>
                <w:kern w:val="0"/>
                <w:sz w:val="24"/>
                <w:szCs w:val="24"/>
              </w:rPr>
              <w:t>一、规格尺寸：</w:t>
            </w:r>
            <w:r>
              <w:rPr>
                <w:rFonts w:hint="eastAsia" w:ascii="仿宋" w:hAnsi="仿宋" w:eastAsia="仿宋" w:cs="仿宋"/>
                <w:bCs/>
                <w:kern w:val="0"/>
                <w:sz w:val="24"/>
                <w:szCs w:val="24"/>
              </w:rPr>
              <w:t>长1200*宽460*高1500mm</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二、参数要求：</w:t>
            </w:r>
          </w:p>
          <w:p>
            <w:pPr>
              <w:autoSpaceDE w:val="0"/>
              <w:autoSpaceDN w:val="0"/>
              <w:snapToGrid w:val="0"/>
              <w:spacing w:line="440" w:lineRule="exact"/>
              <w:ind w:firstLine="0" w:firstLineChars="0"/>
              <w:jc w:val="left"/>
              <w:textAlignment w:val="center"/>
              <w:rPr>
                <w:rFonts w:ascii="仿宋" w:hAnsi="仿宋" w:eastAsia="仿宋" w:cs="仿宋"/>
                <w:bCs/>
                <w:kern w:val="0"/>
                <w:sz w:val="24"/>
                <w:szCs w:val="24"/>
              </w:rPr>
            </w:pPr>
            <w:r>
              <w:rPr>
                <w:rFonts w:hint="eastAsia" w:ascii="仿宋" w:hAnsi="仿宋" w:eastAsia="仿宋" w:cs="仿宋"/>
                <w:kern w:val="0"/>
                <w:sz w:val="24"/>
                <w:szCs w:val="24"/>
              </w:rPr>
              <w:t>1.</w:t>
            </w:r>
            <w:r>
              <w:rPr>
                <w:rFonts w:hint="eastAsia" w:ascii="仿宋" w:hAnsi="仿宋" w:eastAsia="仿宋" w:cs="仿宋"/>
                <w:bCs/>
                <w:kern w:val="0"/>
                <w:sz w:val="24"/>
                <w:szCs w:val="24"/>
              </w:rPr>
              <w:t>挂衣架所有木材均采用白蜡木或榉木实木材质，经防腐除虫处理后喷水性环保漆饰面，铆榫结构，抗拉强度最大。表面无结疤.腐朽变质，含水率小于11％，环保耐用，不开裂，无异味，结构致密、耐腐、耐久性强，支架木方尺寸≥20*40mm，圆型横杆直径≥30mm，最大承重可达60kg以上。所有木材表面全部打磨处理，表面光滑，无毛刺，使用安全，棱角全部倒圆处理。</w:t>
            </w:r>
          </w:p>
          <w:p>
            <w:pPr>
              <w:autoSpaceDE w:val="0"/>
              <w:autoSpaceDN w:val="0"/>
              <w:snapToGrid w:val="0"/>
              <w:spacing w:line="440" w:lineRule="exact"/>
              <w:ind w:firstLine="0" w:firstLineChars="0"/>
              <w:jc w:val="left"/>
              <w:textAlignment w:val="center"/>
              <w:rPr>
                <w:rFonts w:ascii="仿宋" w:hAnsi="仿宋" w:eastAsia="仿宋" w:cs="仿宋"/>
                <w:bCs/>
                <w:kern w:val="0"/>
                <w:sz w:val="24"/>
                <w:szCs w:val="24"/>
              </w:rPr>
            </w:pPr>
            <w:r>
              <w:rPr>
                <w:rFonts w:hint="eastAsia" w:ascii="仿宋" w:hAnsi="仿宋" w:eastAsia="仿宋" w:cs="仿宋"/>
                <w:bCs/>
                <w:kern w:val="0"/>
                <w:sz w:val="24"/>
                <w:szCs w:val="24"/>
              </w:rPr>
              <w:t>2.采用优质环保净味漆，五底三面油漆工艺处理，表面硬度2H级，环保要求达到E1级标准，涂装后油漆样块甲醛释放量≤0.7mg/L。</w:t>
            </w:r>
          </w:p>
          <w:p>
            <w:pPr>
              <w:autoSpaceDE w:val="0"/>
              <w:autoSpaceDN w:val="0"/>
              <w:snapToGrid w:val="0"/>
              <w:spacing w:line="440" w:lineRule="exact"/>
              <w:ind w:firstLine="0" w:firstLineChars="0"/>
              <w:jc w:val="left"/>
              <w:textAlignment w:val="center"/>
              <w:rPr>
                <w:rFonts w:ascii="仿宋" w:hAnsi="仿宋" w:eastAsia="仿宋" w:cs="仿宋"/>
                <w:sz w:val="24"/>
                <w:szCs w:val="24"/>
              </w:rPr>
            </w:pPr>
            <w:r>
              <w:rPr>
                <w:rFonts w:hint="eastAsia" w:ascii="仿宋" w:hAnsi="仿宋" w:eastAsia="仿宋" w:cs="仿宋"/>
                <w:bCs/>
                <w:kern w:val="0"/>
                <w:sz w:val="24"/>
                <w:szCs w:val="24"/>
              </w:rPr>
              <w:t>3.采用优质品牌五金件、连接件。</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sz w:val="24"/>
                <w:szCs w:val="24"/>
              </w:rPr>
              <w:drawing>
                <wp:anchor distT="0" distB="0" distL="0" distR="0" simplePos="0" relativeHeight="251670528" behindDoc="0" locked="0" layoutInCell="1" allowOverlap="1">
                  <wp:simplePos x="0" y="0"/>
                  <wp:positionH relativeFrom="column">
                    <wp:posOffset>668655</wp:posOffset>
                  </wp:positionH>
                  <wp:positionV relativeFrom="paragraph">
                    <wp:posOffset>256540</wp:posOffset>
                  </wp:positionV>
                  <wp:extent cx="561340" cy="1081405"/>
                  <wp:effectExtent l="0" t="0" r="1016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561340" cy="1081405"/>
                          </a:xfrm>
                          <a:prstGeom prst="rect">
                            <a:avLst/>
                          </a:prstGeom>
                        </pic:spPr>
                      </pic:pic>
                    </a:graphicData>
                  </a:graphic>
                </wp:anchor>
              </w:drawing>
            </w:r>
            <w:r>
              <w:rPr>
                <w:rFonts w:hint="eastAsia" w:ascii="仿宋" w:hAnsi="仿宋" w:eastAsia="仿宋" w:cs="仿宋"/>
                <w:kern w:val="0"/>
                <w:sz w:val="24"/>
                <w:szCs w:val="24"/>
              </w:rPr>
              <w:t>整理镜</w:t>
            </w: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一、规格尺寸：</w:t>
            </w:r>
            <w:r>
              <w:rPr>
                <w:rFonts w:hint="eastAsia" w:ascii="仿宋" w:hAnsi="仿宋" w:eastAsia="仿宋" w:cs="仿宋"/>
                <w:bCs/>
                <w:kern w:val="0"/>
                <w:sz w:val="24"/>
                <w:szCs w:val="24"/>
              </w:rPr>
              <w:t>高1500*宽500*边框厚20mm</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二、参数要求：</w:t>
            </w:r>
            <w:r>
              <w:rPr>
                <w:rFonts w:hint="eastAsia" w:ascii="仿宋" w:hAnsi="仿宋" w:eastAsia="仿宋" w:cs="仿宋"/>
                <w:kern w:val="0"/>
                <w:sz w:val="24"/>
                <w:szCs w:val="24"/>
              </w:rPr>
              <w:t>镜面采用5mm厚钢化防爆玻璃板制作而成，1：1成像高清镜面，边部采用20mm厚一体成型铝合金镜框，隐藏式安装，为保证安全，镜框四周做圆角处理。</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8</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答疑桌</w:t>
            </w:r>
            <w:r>
              <w:rPr>
                <w:rFonts w:hint="eastAsia" w:ascii="仿宋" w:hAnsi="仿宋" w:eastAsia="仿宋" w:cs="仿宋"/>
                <w:kern w:val="0"/>
                <w:sz w:val="24"/>
                <w:szCs w:val="24"/>
              </w:rPr>
              <w:drawing>
                <wp:anchor distT="0" distB="0" distL="0" distR="0" simplePos="0" relativeHeight="251671552" behindDoc="0" locked="0" layoutInCell="1" allowOverlap="1">
                  <wp:simplePos x="0" y="0"/>
                  <wp:positionH relativeFrom="column">
                    <wp:posOffset>238125</wp:posOffset>
                  </wp:positionH>
                  <wp:positionV relativeFrom="paragraph">
                    <wp:posOffset>228600</wp:posOffset>
                  </wp:positionV>
                  <wp:extent cx="1377950" cy="1362075"/>
                  <wp:effectExtent l="0" t="0" r="12700" b="952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4" cstate="print">
                            <a:extLst>
                              <a:ext uri="{28A0092B-C50C-407E-A947-70E740481C1C}">
                                <a14:useLocalDpi xmlns:a14="http://schemas.microsoft.com/office/drawing/2010/main" val="0"/>
                              </a:ext>
                            </a:extLst>
                          </a:blip>
                          <a:srcRect t="10867" b="14992"/>
                          <a:stretch>
                            <a:fillRect/>
                          </a:stretch>
                        </pic:blipFill>
                        <pic:spPr>
                          <a:xfrm>
                            <a:off x="0" y="0"/>
                            <a:ext cx="1383457" cy="1367602"/>
                          </a:xfrm>
                          <a:prstGeom prst="rect">
                            <a:avLst/>
                          </a:prstGeom>
                          <a:ln>
                            <a:noFill/>
                          </a:ln>
                        </pic:spPr>
                      </pic:pic>
                    </a:graphicData>
                  </a:graphic>
                </wp:anchor>
              </w:drawing>
            </w: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b/>
                <w:kern w:val="0"/>
                <w:sz w:val="24"/>
                <w:szCs w:val="24"/>
              </w:rPr>
              <w:t>一、规格尺寸：</w:t>
            </w:r>
            <w:r>
              <w:rPr>
                <w:rFonts w:hint="eastAsia" w:ascii="仿宋" w:hAnsi="仿宋" w:eastAsia="仿宋" w:cs="仿宋"/>
                <w:kern w:val="0"/>
                <w:sz w:val="24"/>
                <w:szCs w:val="24"/>
              </w:rPr>
              <w:t>长2000*宽1200*高750mm</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二、参数要求：</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1.台面采用E1级实木颗粒板为基材的MFC工艺双饰面板材质，厚度25mm，经过防虫、防腐等化学处理，抗弯力强，不易变形，耐磨度、耐酸度、耐湿度达到国家级标准,环保要求达到E1级。</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2.采用优质厚度为2.0mmPVC塑料热溶固体胶高温固封，不易脱落。</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38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481"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p>
          <w:p>
            <w:pPr>
              <w:autoSpaceDE w:val="0"/>
              <w:autoSpaceDN w:val="0"/>
              <w:snapToGrid w:val="0"/>
              <w:spacing w:line="440" w:lineRule="exact"/>
              <w:ind w:firstLine="0" w:firstLineChars="0"/>
              <w:jc w:val="center"/>
              <w:textAlignment w:val="center"/>
              <w:rPr>
                <w:rFonts w:ascii="仿宋" w:hAnsi="仿宋" w:eastAsia="仿宋" w:cs="仿宋"/>
                <w:kern w:val="0"/>
                <w:sz w:val="24"/>
                <w:szCs w:val="24"/>
              </w:rPr>
            </w:pPr>
            <w:r>
              <w:rPr>
                <w:rFonts w:hint="eastAsia" w:ascii="仿宋" w:hAnsi="仿宋" w:eastAsia="仿宋" w:cs="仿宋"/>
                <w:kern w:val="0"/>
                <w:sz w:val="24"/>
                <w:szCs w:val="24"/>
              </w:rPr>
              <w:t>弓形椅</w:t>
            </w:r>
            <w:r>
              <w:rPr>
                <w:rFonts w:hint="eastAsia" w:ascii="仿宋" w:hAnsi="仿宋" w:eastAsia="仿宋" w:cs="仿宋"/>
                <w:sz w:val="24"/>
                <w:szCs w:val="24"/>
              </w:rPr>
              <w:drawing>
                <wp:anchor distT="0" distB="0" distL="0" distR="0" simplePos="0" relativeHeight="251672576" behindDoc="0" locked="0" layoutInCell="1" allowOverlap="1">
                  <wp:simplePos x="0" y="0"/>
                  <wp:positionH relativeFrom="column">
                    <wp:posOffset>400050</wp:posOffset>
                  </wp:positionH>
                  <wp:positionV relativeFrom="paragraph">
                    <wp:posOffset>238125</wp:posOffset>
                  </wp:positionV>
                  <wp:extent cx="1057275" cy="1344295"/>
                  <wp:effectExtent l="0" t="0" r="9525" b="8255"/>
                  <wp:wrapNone/>
                  <wp:docPr id="11" name="图片 10" descr="f0cf3a6d0fcdf5adb6c2aa3b92a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f0cf3a6d0fcdf5adb6c2aa3b92a1036"/>
                          <pic:cNvPicPr>
                            <a:picLocks noChangeAspect="1"/>
                          </pic:cNvPicPr>
                        </pic:nvPicPr>
                        <pic:blipFill>
                          <a:blip r:embed="rId25"/>
                          <a:stretch>
                            <a:fillRect/>
                          </a:stretch>
                        </pic:blipFill>
                        <pic:spPr>
                          <a:xfrm>
                            <a:off x="0" y="0"/>
                            <a:ext cx="1057275" cy="1344295"/>
                          </a:xfrm>
                          <a:prstGeom prst="rect">
                            <a:avLst/>
                          </a:prstGeom>
                        </pic:spPr>
                      </pic:pic>
                    </a:graphicData>
                  </a:graphic>
                </wp:anchor>
              </w:drawing>
            </w:r>
          </w:p>
        </w:tc>
        <w:tc>
          <w:tcPr>
            <w:tcW w:w="2346" w:type="pct"/>
            <w:shd w:val="clear" w:color="auto" w:fill="auto"/>
            <w:vAlign w:val="center"/>
          </w:tcPr>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b/>
                <w:kern w:val="0"/>
                <w:sz w:val="24"/>
                <w:szCs w:val="24"/>
              </w:rPr>
              <w:t>一、规格尺寸：</w:t>
            </w:r>
            <w:r>
              <w:rPr>
                <w:rFonts w:hint="eastAsia" w:ascii="仿宋" w:hAnsi="仿宋" w:eastAsia="仿宋" w:cs="仿宋"/>
                <w:kern w:val="0"/>
                <w:sz w:val="24"/>
                <w:szCs w:val="24"/>
              </w:rPr>
              <w:t>宽580*高970*深740mm</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b/>
                <w:kern w:val="0"/>
                <w:sz w:val="24"/>
                <w:szCs w:val="24"/>
              </w:rPr>
              <w:t>二、参数要求：</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1.脚架采用1.5mm厚冷轧钢管冲压成型的弓型脚架，表面承重力达到200kg以上。</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2.椅座采用密度为45kg/m³以上的定型发泡海绵内衬18mm厚多层实木板而成，椅座厚度≥110mm，舒适耐用。</w:t>
            </w:r>
          </w:p>
          <w:p>
            <w:pPr>
              <w:autoSpaceDE w:val="0"/>
              <w:autoSpaceDN w:val="0"/>
              <w:snapToGrid w:val="0"/>
              <w:spacing w:line="440" w:lineRule="exact"/>
              <w:ind w:firstLine="0" w:firstLineChars="0"/>
              <w:jc w:val="left"/>
              <w:textAlignment w:val="center"/>
              <w:rPr>
                <w:rFonts w:ascii="仿宋" w:hAnsi="仿宋" w:eastAsia="仿宋" w:cs="仿宋"/>
                <w:kern w:val="0"/>
                <w:sz w:val="24"/>
                <w:szCs w:val="24"/>
              </w:rPr>
            </w:pPr>
            <w:r>
              <w:rPr>
                <w:rFonts w:hint="eastAsia" w:ascii="仿宋" w:hAnsi="仿宋" w:eastAsia="仿宋" w:cs="仿宋"/>
                <w:kern w:val="0"/>
                <w:sz w:val="24"/>
                <w:szCs w:val="24"/>
              </w:rPr>
              <w:t>3.面料为头层牛皮饰面。</w:t>
            </w:r>
          </w:p>
          <w:p>
            <w:pPr>
              <w:autoSpaceDE w:val="0"/>
              <w:autoSpaceDN w:val="0"/>
              <w:snapToGrid w:val="0"/>
              <w:spacing w:line="440" w:lineRule="exact"/>
              <w:ind w:firstLine="0" w:firstLineChars="0"/>
              <w:jc w:val="left"/>
              <w:textAlignment w:val="center"/>
              <w:rPr>
                <w:rFonts w:ascii="仿宋" w:hAnsi="仿宋" w:eastAsia="仿宋" w:cs="仿宋"/>
                <w:b/>
                <w:kern w:val="0"/>
                <w:sz w:val="24"/>
                <w:szCs w:val="24"/>
              </w:rPr>
            </w:pPr>
            <w:r>
              <w:rPr>
                <w:rFonts w:hint="eastAsia" w:ascii="仿宋" w:hAnsi="仿宋" w:eastAsia="仿宋" w:cs="仿宋"/>
                <w:kern w:val="0"/>
                <w:sz w:val="24"/>
                <w:szCs w:val="24"/>
              </w:rPr>
              <w:t>4.扶手采用软PU材质扶手，舒适稳固。</w:t>
            </w:r>
          </w:p>
        </w:tc>
        <w:tc>
          <w:tcPr>
            <w:tcW w:w="423"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216</w:t>
            </w:r>
          </w:p>
        </w:tc>
        <w:tc>
          <w:tcPr>
            <w:tcW w:w="364" w:type="pct"/>
            <w:shd w:val="clear" w:color="auto" w:fill="auto"/>
            <w:vAlign w:val="center"/>
          </w:tcPr>
          <w:p>
            <w:pPr>
              <w:autoSpaceDE w:val="0"/>
              <w:autoSpaceDN w:val="0"/>
              <w:snapToGrid w:val="0"/>
              <w:spacing w:line="440" w:lineRule="exact"/>
              <w:ind w:firstLine="0" w:firstLine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把</w:t>
            </w:r>
          </w:p>
        </w:tc>
      </w:tr>
    </w:tbl>
    <w:p>
      <w:pPr>
        <w:pStyle w:val="22"/>
        <w:ind w:firstLine="480"/>
      </w:pPr>
      <w:r>
        <w:rPr>
          <w:rFonts w:hint="eastAsia"/>
        </w:rPr>
        <w:t>（二）其他要求</w:t>
      </w:r>
    </w:p>
    <w:p>
      <w:pPr>
        <w:pStyle w:val="22"/>
        <w:ind w:firstLine="480"/>
      </w:pPr>
      <w:r>
        <w:rPr>
          <w:rFonts w:hint="eastAsia"/>
        </w:rPr>
        <w:t>1.功能</w:t>
      </w:r>
      <w:r>
        <w:t>、性能标准：</w:t>
      </w:r>
      <w:r>
        <w:rPr>
          <w:rFonts w:hint="eastAsia"/>
        </w:rPr>
        <w:t>课桌椅整体性能符合QB/T 4071-20</w:t>
      </w:r>
      <w:r>
        <w:t>10</w:t>
      </w:r>
      <w:r>
        <w:rPr>
          <w:rFonts w:hint="eastAsia"/>
        </w:rPr>
        <w:t>《课桌椅》标准，其他教学家具符合GB/T 3324-2017《木家具通用技术条件》和GB/T 3325-2017《金属家具通用技术条件》。</w:t>
      </w:r>
    </w:p>
    <w:p>
      <w:pPr>
        <w:pStyle w:val="22"/>
        <w:ind w:firstLine="480"/>
      </w:pPr>
      <w:r>
        <w:rPr>
          <w:rFonts w:hint="eastAsia"/>
        </w:rPr>
        <w:t>2.校区计划将F1实训楼1452套桌椅</w:t>
      </w:r>
      <w:r>
        <w:t>搬至</w:t>
      </w:r>
      <w:r>
        <w:rPr>
          <w:rFonts w:hint="eastAsia"/>
        </w:rPr>
        <w:t>C4教学楼</w:t>
      </w:r>
      <w:r>
        <w:t>教室内使用，为保证教学楼内桌椅</w:t>
      </w:r>
      <w:r>
        <w:rPr>
          <w:rFonts w:hint="eastAsia"/>
        </w:rPr>
        <w:t>一致性</w:t>
      </w:r>
      <w:r>
        <w:t>，</w:t>
      </w:r>
      <w:r>
        <w:rPr>
          <w:rFonts w:hint="eastAsia"/>
        </w:rPr>
        <w:t>投标人严格按照给定</w:t>
      </w:r>
      <w:r>
        <w:t>的</w:t>
      </w:r>
      <w:r>
        <w:rPr>
          <w:rFonts w:hint="eastAsia"/>
        </w:rPr>
        <w:t>联排桌椅</w:t>
      </w:r>
      <w:r>
        <w:t>技术参数要求投标，具体的</w:t>
      </w:r>
      <w:r>
        <w:rPr>
          <w:rFonts w:hint="eastAsia"/>
        </w:rPr>
        <w:t>实物样式及</w:t>
      </w:r>
      <w:r>
        <w:t>规格尺寸，可到</w:t>
      </w:r>
      <w:r>
        <w:rPr>
          <w:rFonts w:hint="eastAsia"/>
        </w:rPr>
        <w:t>中国石油大学（北京）克拉玛依校区F1实训楼</w:t>
      </w:r>
      <w:r>
        <w:t>实地查看</w:t>
      </w:r>
      <w:r>
        <w:rPr>
          <w:rFonts w:hint="eastAsia"/>
        </w:rPr>
        <w:t>，投标时必须提供联排桌椅各部件多角度的清晰照片且与F</w:t>
      </w:r>
      <w:r>
        <w:t>1</w:t>
      </w:r>
      <w:r>
        <w:rPr>
          <w:rFonts w:hint="eastAsia"/>
        </w:rPr>
        <w:t>实训楼已有桌椅完全一致。</w:t>
      </w:r>
    </w:p>
    <w:p>
      <w:pPr>
        <w:pStyle w:val="22"/>
        <w:ind w:firstLine="480"/>
      </w:pPr>
      <w:r>
        <w:rPr>
          <w:rFonts w:hint="eastAsia"/>
        </w:rPr>
        <w:t>3</w:t>
      </w:r>
      <w:r>
        <w:t>.</w:t>
      </w:r>
      <w:r>
        <w:rPr>
          <w:rFonts w:hint="eastAsia"/>
        </w:rPr>
        <w:t>本采购项目为</w:t>
      </w:r>
      <w:r>
        <w:t>教学家具，投标人应充分考虑</w:t>
      </w:r>
      <w:r>
        <w:rPr>
          <w:rFonts w:hint="eastAsia"/>
        </w:rPr>
        <w:t>新疆冬天</w:t>
      </w:r>
      <w:r>
        <w:t>室内</w:t>
      </w:r>
      <w:r>
        <w:rPr>
          <w:rFonts w:hint="eastAsia"/>
        </w:rPr>
        <w:t>温度</w:t>
      </w:r>
      <w:r>
        <w:t>过高引发的</w:t>
      </w:r>
      <w:r>
        <w:rPr>
          <w:rFonts w:hint="eastAsia"/>
        </w:rPr>
        <w:t>桌椅</w:t>
      </w:r>
      <w:r>
        <w:t>质量问题。</w:t>
      </w:r>
    </w:p>
    <w:p>
      <w:pPr>
        <w:pStyle w:val="22"/>
        <w:ind w:firstLine="0" w:firstLineChars="0"/>
      </w:pPr>
      <w:r>
        <w:rPr>
          <w:rFonts w:hint="eastAsia"/>
        </w:rPr>
        <w:t>说明：（1）如果以上技术参数表述有某个特定品牌的规格型号，投标单位可参照该项目的技术标准选择其他品牌产品替代，并做出说明，原则上不能降低投标产品性能。</w:t>
      </w:r>
    </w:p>
    <w:p>
      <w:pPr>
        <w:pStyle w:val="22"/>
        <w:ind w:firstLine="480"/>
        <w:sectPr>
          <w:pgSz w:w="11907" w:h="16840"/>
          <w:pgMar w:top="1134" w:right="1191" w:bottom="1134" w:left="1304" w:header="964" w:footer="992" w:gutter="0"/>
          <w:pgNumType w:fmt="numberInDash"/>
          <w:cols w:space="720" w:num="1"/>
          <w:docGrid w:linePitch="312" w:charSpace="0"/>
        </w:sectPr>
      </w:pPr>
      <w:r>
        <w:rPr>
          <w:rFonts w:hint="eastAsia"/>
        </w:rPr>
        <w:t>（2）如果以上参数关于外观、功能或重量、尺寸的表述为某一品牌独有的，可不作为必须满足的条件（需现场定制或影响使用的情况除外），即不得以此项内容取消投标人投标资格。投标人应在投标文件中对此种情况做出说明。</w:t>
      </w:r>
    </w:p>
    <w:p>
      <w:pPr>
        <w:pStyle w:val="17"/>
        <w:rPr>
          <w:rFonts w:ascii="仿宋" w:eastAsia="仿宋"/>
          <w:color w:val="FF0000"/>
          <w:kern w:val="24"/>
          <w:sz w:val="24"/>
          <w:szCs w:val="24"/>
        </w:rPr>
      </w:pPr>
      <w:bookmarkStart w:id="13" w:name="_Toc8719"/>
      <w:r>
        <w:rPr>
          <w:rFonts w:hint="eastAsia"/>
        </w:rPr>
        <w:t>第三篇  项目商务要求</w:t>
      </w:r>
      <w:bookmarkEnd w:id="13"/>
      <w:bookmarkStart w:id="14" w:name="_Toc267320049"/>
    </w:p>
    <w:p>
      <w:pPr>
        <w:pStyle w:val="19"/>
        <w:ind w:firstLine="562"/>
        <w:rPr>
          <w:color w:val="auto"/>
        </w:rPr>
      </w:pPr>
      <w:bookmarkStart w:id="15" w:name="_Toc7803"/>
      <w:r>
        <w:rPr>
          <w:rFonts w:hint="eastAsia"/>
          <w:color w:val="auto"/>
        </w:rPr>
        <w:t>一、交货期、地点、验收方式</w:t>
      </w:r>
      <w:bookmarkEnd w:id="14"/>
      <w:bookmarkEnd w:id="15"/>
    </w:p>
    <w:p>
      <w:pPr>
        <w:pStyle w:val="22"/>
        <w:ind w:firstLine="480"/>
        <w:rPr>
          <w:color w:val="auto"/>
        </w:rPr>
      </w:pPr>
      <w:r>
        <w:rPr>
          <w:rFonts w:hint="eastAsia"/>
          <w:color w:val="auto"/>
        </w:rPr>
        <w:t>（一）交货期</w:t>
      </w:r>
    </w:p>
    <w:p>
      <w:pPr>
        <w:pStyle w:val="22"/>
        <w:ind w:firstLine="480"/>
      </w:pPr>
      <w:r>
        <w:rPr>
          <w:rFonts w:hint="eastAsia"/>
        </w:rPr>
        <w:t>中标人应在采购合同签订后于2022年8月10日前内交货并完成安装调试。</w:t>
      </w:r>
    </w:p>
    <w:p>
      <w:pPr>
        <w:pStyle w:val="22"/>
        <w:ind w:firstLine="480"/>
      </w:pPr>
      <w:r>
        <w:rPr>
          <w:rFonts w:hint="eastAsia"/>
        </w:rPr>
        <w:t>（二）交货地点</w:t>
      </w:r>
    </w:p>
    <w:p>
      <w:pPr>
        <w:pStyle w:val="22"/>
        <w:ind w:firstLine="480"/>
        <w:rPr>
          <w:color w:val="auto"/>
        </w:rPr>
      </w:pPr>
      <w:r>
        <w:rPr>
          <w:rFonts w:hint="eastAsia"/>
          <w:color w:val="auto"/>
        </w:rPr>
        <w:t>中国石油大学（北京）克拉玛依校区C4教学楼</w:t>
      </w:r>
    </w:p>
    <w:p>
      <w:pPr>
        <w:pStyle w:val="22"/>
        <w:numPr>
          <w:ilvl w:val="0"/>
          <w:numId w:val="2"/>
        </w:numPr>
        <w:ind w:firstLine="480"/>
        <w:rPr>
          <w:color w:val="auto"/>
        </w:rPr>
      </w:pPr>
      <w:r>
        <w:rPr>
          <w:rFonts w:hint="eastAsia"/>
          <w:color w:val="auto"/>
        </w:rPr>
        <w:t>验收方式</w:t>
      </w:r>
    </w:p>
    <w:p>
      <w:pPr>
        <w:pStyle w:val="22"/>
        <w:numPr>
          <w:ilvl w:val="0"/>
          <w:numId w:val="3"/>
        </w:numPr>
        <w:ind w:firstLine="480"/>
      </w:pPr>
      <w:r>
        <w:rPr>
          <w:rFonts w:hint="eastAsia"/>
        </w:rPr>
        <w:t>在合同签订前，中标人须先提供活动联排课桌椅（前排及中排）、固定联排课桌椅（前排及中排）各一组，其他各类型家具各一套，并经招标人共同现场确认；合同签订后再进行批量生产安装。</w:t>
      </w:r>
    </w:p>
    <w:p>
      <w:pPr>
        <w:pStyle w:val="22"/>
        <w:ind w:firstLine="480"/>
      </w:pPr>
      <w:r>
        <w:rPr>
          <w:rFonts w:hint="eastAsia"/>
        </w:rPr>
        <w:t>2.货物到达现场后，中标人应在招标人在场情况下当面开箱，共同清点、检查外观，作出开箱记录，并将所提供货物的装箱清单、配件、随机工具、用户使用手册、原厂保修卡等资料交付给招标人；中标人不能完整交付货物及本款规定的单证和工具的，必须负责补齐，否则视为未按合同约定交货。</w:t>
      </w:r>
    </w:p>
    <w:p>
      <w:pPr>
        <w:pStyle w:val="22"/>
        <w:ind w:firstLine="480"/>
        <w:rPr>
          <w:rFonts w:hint="eastAsia" w:eastAsia="仿宋"/>
          <w:lang w:eastAsia="zh-CN"/>
        </w:rPr>
      </w:pPr>
      <w:r>
        <w:rPr>
          <w:rFonts w:hint="eastAsia"/>
        </w:rPr>
        <w:t>3.全部产品安装完成后，招标人委托国家认可的第三方检测机构对家具成品按照国家及行业标准和招标文件的要求进行抽样检测，对招标文件中核心产品家具成品必须进行检测，并提供检测报告。检测结果作为验收资料组成部分</w:t>
      </w:r>
      <w:r>
        <w:rPr>
          <w:rFonts w:hint="eastAsia"/>
          <w:lang w:eastAsia="zh-CN"/>
        </w:rPr>
        <w:t>，</w:t>
      </w:r>
      <w:r>
        <w:rPr>
          <w:rFonts w:hint="eastAsia"/>
        </w:rPr>
        <w:t>检测产生的费用由中标人承担</w:t>
      </w:r>
      <w:r>
        <w:rPr>
          <w:rFonts w:hint="eastAsia"/>
          <w:lang w:eastAsia="zh-CN"/>
        </w:rPr>
        <w:t>。</w:t>
      </w:r>
    </w:p>
    <w:p>
      <w:pPr>
        <w:pStyle w:val="22"/>
        <w:ind w:firstLine="480"/>
        <w:rPr>
          <w:rFonts w:hint="eastAsia" w:eastAsia="仿宋"/>
          <w:lang w:eastAsia="zh-CN"/>
        </w:rPr>
      </w:pPr>
      <w:r>
        <w:rPr>
          <w:rFonts w:hint="eastAsia"/>
        </w:rPr>
        <w:t>4.全部产品安装完成一周后，中标人邀请质量检测机构随机抽取1间或多间教室进行空气质量检测，并提供检测报告，检测结果作为验收资料组成部分</w:t>
      </w:r>
      <w:r>
        <w:rPr>
          <w:rFonts w:hint="eastAsia"/>
          <w:lang w:eastAsia="zh-CN"/>
        </w:rPr>
        <w:t>，</w:t>
      </w:r>
      <w:r>
        <w:rPr>
          <w:rFonts w:hint="eastAsia"/>
        </w:rPr>
        <w:t>检测产生的费用由中标人承担</w:t>
      </w:r>
      <w:r>
        <w:rPr>
          <w:rFonts w:hint="eastAsia"/>
          <w:lang w:eastAsia="zh-CN"/>
        </w:rPr>
        <w:t>。</w:t>
      </w:r>
    </w:p>
    <w:p>
      <w:pPr>
        <w:pStyle w:val="22"/>
        <w:ind w:firstLine="480"/>
      </w:pPr>
      <w:r>
        <w:rPr>
          <w:rFonts w:hint="eastAsia"/>
        </w:rPr>
        <w:t>5.全部产品安装完成并使用一个月后，中标人可书面申请验收。验收由招标人组织，中标人配合进行。招标人有权组织质量监督等相关部门参与，相关部门提出的验收意见视同为招标人意见。</w:t>
      </w:r>
    </w:p>
    <w:p>
      <w:pPr>
        <w:pStyle w:val="22"/>
        <w:ind w:firstLine="480"/>
      </w:pPr>
      <w:r>
        <w:rPr>
          <w:rFonts w:hint="eastAsia"/>
        </w:rPr>
        <w:t>6.</w:t>
      </w:r>
      <w:r>
        <w:t>验收标准：按国家有关规定及中标人的投标文件承诺与采购合同约定标准进行验收。</w:t>
      </w:r>
    </w:p>
    <w:p>
      <w:pPr>
        <w:pStyle w:val="22"/>
        <w:ind w:firstLine="480"/>
      </w:pPr>
      <w:r>
        <w:rPr>
          <w:rFonts w:hint="eastAsia"/>
        </w:rPr>
        <w:t>7.</w:t>
      </w:r>
      <w:r>
        <w:t>验收时如发现</w:t>
      </w:r>
      <w:r>
        <w:rPr>
          <w:rFonts w:hint="eastAsia"/>
        </w:rPr>
        <w:t>成品抽检报告不合格,空气质量检测不合格,</w:t>
      </w:r>
      <w:r>
        <w:t>所交付的货物有不符合尺寸要求、质量要求、损坏或其它不符合标准及采购合同规定之情形者，验收为不合格。</w:t>
      </w:r>
      <w:r>
        <w:rPr>
          <w:rFonts w:hint="eastAsia"/>
        </w:rPr>
        <w:t>招标人</w:t>
      </w:r>
      <w:r>
        <w:t>做出详尽的现场记录，此现场记录可用作整改和更换不合格产品的有效证据。中标人承担由此产生的时间延误及相关费用，且应承担相应的违约责任。</w:t>
      </w:r>
    </w:p>
    <w:p>
      <w:pPr>
        <w:pStyle w:val="22"/>
        <w:ind w:firstLine="480"/>
      </w:pPr>
      <w:r>
        <w:rPr>
          <w:rFonts w:hint="eastAsia"/>
        </w:rPr>
        <w:t>8.</w:t>
      </w:r>
      <w:r>
        <w:t>如所交付的货物尺寸要求、质量要求符合国家有关规定以及质量要求和技术指标、中标人的投标文件及承诺，验收合格，双方签署验收合格报告。</w:t>
      </w:r>
    </w:p>
    <w:p>
      <w:pPr>
        <w:pStyle w:val="22"/>
        <w:ind w:firstLine="480"/>
      </w:pPr>
      <w:r>
        <w:rPr>
          <w:rFonts w:hint="eastAsia"/>
        </w:rPr>
        <w:t>9.产品包装材料归招标人所有。</w:t>
      </w:r>
    </w:p>
    <w:p>
      <w:pPr>
        <w:pStyle w:val="19"/>
        <w:ind w:firstLine="562"/>
        <w:rPr>
          <w:color w:val="auto"/>
        </w:rPr>
      </w:pPr>
      <w:bookmarkStart w:id="16" w:name="_Toc19793"/>
      <w:r>
        <w:rPr>
          <w:rFonts w:hint="eastAsia"/>
          <w:color w:val="auto"/>
        </w:rPr>
        <w:t>二、报价要求</w:t>
      </w:r>
      <w:bookmarkEnd w:id="16"/>
    </w:p>
    <w:p>
      <w:pPr>
        <w:pStyle w:val="22"/>
        <w:ind w:firstLine="480"/>
        <w:rPr>
          <w:color w:val="auto"/>
        </w:rPr>
      </w:pPr>
      <w:r>
        <w:rPr>
          <w:rFonts w:hint="eastAsia"/>
          <w:color w:val="auto"/>
        </w:rPr>
        <w:t>本次报价须为人民币报价，包含：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19"/>
        <w:ind w:firstLine="562"/>
        <w:rPr>
          <w:color w:val="auto"/>
        </w:rPr>
      </w:pPr>
      <w:bookmarkStart w:id="17" w:name="_Toc8171"/>
      <w:r>
        <w:rPr>
          <w:rFonts w:hint="eastAsia"/>
          <w:color w:val="auto"/>
        </w:rPr>
        <w:t>三、质量保证及售后服务</w:t>
      </w:r>
      <w:bookmarkEnd w:id="17"/>
    </w:p>
    <w:p>
      <w:pPr>
        <w:pStyle w:val="22"/>
        <w:ind w:firstLine="480"/>
        <w:rPr>
          <w:color w:val="auto"/>
        </w:rPr>
      </w:pPr>
      <w:r>
        <w:rPr>
          <w:rFonts w:hint="eastAsia"/>
          <w:color w:val="auto"/>
        </w:rPr>
        <w:t>（一）产品质量保证期</w:t>
      </w:r>
    </w:p>
    <w:p>
      <w:pPr>
        <w:pStyle w:val="22"/>
        <w:ind w:firstLine="480"/>
        <w:rPr>
          <w:color w:val="auto"/>
        </w:rPr>
      </w:pPr>
      <w:r>
        <w:rPr>
          <w:rFonts w:hint="eastAsia"/>
          <w:color w:val="auto"/>
        </w:rPr>
        <w:t>1、投标产品质量保证期6年。</w:t>
      </w:r>
    </w:p>
    <w:p>
      <w:pPr>
        <w:pStyle w:val="22"/>
        <w:ind w:firstLine="480"/>
        <w:rPr>
          <w:color w:val="auto"/>
        </w:rPr>
      </w:pPr>
      <w:r>
        <w:rPr>
          <w:rFonts w:hint="eastAsia"/>
          <w:color w:val="auto"/>
        </w:rPr>
        <w:t>2、投标产品属于国家规定“三包”范围的，其产品质量保证期不得低于“三包”规定。</w:t>
      </w:r>
    </w:p>
    <w:p>
      <w:pPr>
        <w:pStyle w:val="22"/>
        <w:ind w:firstLine="480"/>
        <w:rPr>
          <w:color w:val="auto"/>
        </w:rPr>
      </w:pPr>
      <w:r>
        <w:rPr>
          <w:rFonts w:hint="eastAsia"/>
          <w:color w:val="auto"/>
        </w:rPr>
        <w:t>3、投标人的质量保证期承诺优于国家“三包”规定的，按投标人实际承诺执行。</w:t>
      </w:r>
    </w:p>
    <w:p>
      <w:pPr>
        <w:pStyle w:val="22"/>
        <w:ind w:firstLine="480"/>
        <w:rPr>
          <w:color w:val="auto"/>
        </w:rPr>
      </w:pPr>
      <w:r>
        <w:rPr>
          <w:rFonts w:hint="eastAsia"/>
          <w:color w:val="auto"/>
        </w:rPr>
        <w:t>4、投标产品由制造商（指产品生产制造商，或其负责销售、售后服务机构，以下同）负责标准售后服务的，应当在投标文件中予以明确说明，并附制造商售后服务承诺。</w:t>
      </w:r>
    </w:p>
    <w:p>
      <w:pPr>
        <w:pStyle w:val="22"/>
        <w:ind w:firstLine="480"/>
        <w:rPr>
          <w:color w:val="auto"/>
        </w:rPr>
      </w:pPr>
      <w:r>
        <w:rPr>
          <w:rFonts w:hint="eastAsia"/>
          <w:color w:val="auto"/>
        </w:rPr>
        <w:t>（二）售后服务内容</w:t>
      </w:r>
    </w:p>
    <w:p>
      <w:pPr>
        <w:pStyle w:val="22"/>
        <w:ind w:firstLine="480"/>
        <w:rPr>
          <w:color w:val="auto"/>
        </w:rPr>
      </w:pPr>
      <w:r>
        <w:rPr>
          <w:rFonts w:hint="eastAsia"/>
          <w:color w:val="auto"/>
        </w:rPr>
        <w:t>1、投标人和制造商在质量保证期内应当为招标人提供以下技术支持和服务：</w:t>
      </w:r>
    </w:p>
    <w:p>
      <w:pPr>
        <w:pStyle w:val="22"/>
        <w:ind w:firstLine="480"/>
        <w:rPr>
          <w:color w:val="auto"/>
        </w:rPr>
      </w:pPr>
      <w:r>
        <w:rPr>
          <w:rFonts w:hint="eastAsia"/>
          <w:color w:val="auto"/>
        </w:rPr>
        <w:t>1.1电话咨询</w:t>
      </w:r>
    </w:p>
    <w:p>
      <w:pPr>
        <w:pStyle w:val="22"/>
        <w:ind w:firstLine="480"/>
        <w:rPr>
          <w:color w:val="auto"/>
        </w:rPr>
      </w:pPr>
      <w:r>
        <w:rPr>
          <w:rFonts w:hint="eastAsia"/>
          <w:color w:val="auto"/>
        </w:rPr>
        <w:t>中标人和制造商应当为招标人提供技术援助电话，解答招标人在使用中遇到的问题，及时为招标人提出解决问题的建议。</w:t>
      </w:r>
    </w:p>
    <w:p>
      <w:pPr>
        <w:pStyle w:val="22"/>
        <w:ind w:firstLine="480"/>
        <w:rPr>
          <w:color w:val="auto"/>
        </w:rPr>
      </w:pPr>
      <w:r>
        <w:rPr>
          <w:rFonts w:hint="eastAsia"/>
          <w:color w:val="auto"/>
        </w:rPr>
        <w:t>1.2现场响应</w:t>
      </w:r>
    </w:p>
    <w:p>
      <w:pPr>
        <w:pStyle w:val="22"/>
        <w:ind w:firstLine="480"/>
        <w:rPr>
          <w:color w:val="auto"/>
        </w:rPr>
      </w:pPr>
      <w:r>
        <w:rPr>
          <w:rFonts w:hint="eastAsia"/>
          <w:color w:val="auto"/>
        </w:rPr>
        <w:t>招标人遇到使用及技术问题，电话咨询不能解决的，中标人和制造商应在24小时内到达现场进行处理，确保产品正常工作。</w:t>
      </w:r>
    </w:p>
    <w:p>
      <w:pPr>
        <w:pStyle w:val="22"/>
        <w:ind w:firstLine="480"/>
        <w:rPr>
          <w:color w:val="auto"/>
        </w:rPr>
      </w:pPr>
      <w:r>
        <w:rPr>
          <w:rFonts w:hint="eastAsia"/>
          <w:color w:val="auto"/>
        </w:rPr>
        <w:t>1.3技术升级</w:t>
      </w:r>
    </w:p>
    <w:p>
      <w:pPr>
        <w:pStyle w:val="22"/>
        <w:ind w:firstLine="480"/>
        <w:rPr>
          <w:color w:val="auto"/>
        </w:rPr>
      </w:pPr>
      <w:r>
        <w:rPr>
          <w:rFonts w:hint="eastAsia"/>
          <w:color w:val="auto"/>
        </w:rPr>
        <w:t>在质保期内，如果中标人和制造商的产品技术升级，投标人应及时通知招标人，如招标人有相应要求，中标人和制造商应对招标人购买的产品进行升级服务。</w:t>
      </w:r>
    </w:p>
    <w:p>
      <w:pPr>
        <w:pStyle w:val="22"/>
        <w:ind w:firstLine="480"/>
        <w:rPr>
          <w:color w:val="auto"/>
        </w:rPr>
      </w:pPr>
      <w:r>
        <w:rPr>
          <w:rFonts w:hint="eastAsia"/>
          <w:color w:val="auto"/>
        </w:rPr>
        <w:t>1.4检查和维护</w:t>
      </w:r>
    </w:p>
    <w:p>
      <w:pPr>
        <w:pStyle w:val="22"/>
        <w:ind w:firstLine="480"/>
        <w:rPr>
          <w:color w:val="auto"/>
          <w:highlight w:val="none"/>
        </w:rPr>
      </w:pPr>
      <w:r>
        <w:rPr>
          <w:rFonts w:hint="eastAsia"/>
          <w:color w:val="auto"/>
          <w:highlight w:val="none"/>
        </w:rPr>
        <w:t>在质保期内，中标人须对所提供的产品每学期做一次检查和维护，具体时间与招标人沟通确定。</w:t>
      </w:r>
    </w:p>
    <w:p>
      <w:pPr>
        <w:pStyle w:val="22"/>
        <w:ind w:firstLine="480"/>
        <w:rPr>
          <w:color w:val="auto"/>
        </w:rPr>
      </w:pPr>
      <w:r>
        <w:rPr>
          <w:rFonts w:hint="eastAsia"/>
          <w:color w:val="auto"/>
          <w:highlight w:val="none"/>
        </w:rPr>
        <w:t>2、质保期外服</w:t>
      </w:r>
      <w:r>
        <w:rPr>
          <w:rFonts w:hint="eastAsia"/>
          <w:color w:val="auto"/>
        </w:rPr>
        <w:t>务要求</w:t>
      </w:r>
    </w:p>
    <w:p>
      <w:pPr>
        <w:pStyle w:val="22"/>
        <w:ind w:firstLine="480"/>
        <w:rPr>
          <w:color w:val="auto"/>
        </w:rPr>
      </w:pPr>
      <w:r>
        <w:rPr>
          <w:rFonts w:hint="eastAsia"/>
          <w:color w:val="auto"/>
        </w:rPr>
        <w:t>2.1质量保证期过后，投标人和制造商应同样提供免费电话咨询服务，并应承诺提供产品上门维护服务。</w:t>
      </w:r>
    </w:p>
    <w:p>
      <w:pPr>
        <w:pStyle w:val="22"/>
        <w:ind w:firstLine="480"/>
        <w:rPr>
          <w:color w:val="auto"/>
        </w:rPr>
      </w:pPr>
      <w:r>
        <w:rPr>
          <w:rFonts w:hint="eastAsia"/>
          <w:color w:val="auto"/>
        </w:rPr>
        <w:t>2.2质量保证期过后，招标人需要继续由原投标人和制造商提供售后服务的，该投标人和制造商应以优惠价格提供售后服务。</w:t>
      </w:r>
    </w:p>
    <w:p>
      <w:pPr>
        <w:pStyle w:val="22"/>
        <w:ind w:firstLine="480"/>
        <w:rPr>
          <w:color w:val="auto"/>
        </w:rPr>
      </w:pPr>
      <w:r>
        <w:rPr>
          <w:rFonts w:hint="eastAsia"/>
          <w:color w:val="auto"/>
        </w:rPr>
        <w:t>3、备品备件及易损件</w:t>
      </w:r>
    </w:p>
    <w:p>
      <w:pPr>
        <w:pStyle w:val="22"/>
        <w:ind w:firstLine="480"/>
        <w:rPr>
          <w:color w:val="auto"/>
        </w:rPr>
      </w:pPr>
      <w:r>
        <w:rPr>
          <w:rFonts w:hint="eastAsia"/>
          <w:color w:val="auto"/>
        </w:rPr>
        <w:t>中标人和制造商售后服务中，维修使用的备品备件及易损件应为原厂配件，未经招标人同意不得使用非原厂配件，常用的、容易损坏的备品备件及易损件的价格清单须在投标文件中列出。</w:t>
      </w:r>
    </w:p>
    <w:p>
      <w:pPr>
        <w:pStyle w:val="19"/>
        <w:ind w:firstLine="562"/>
        <w:rPr>
          <w:color w:val="auto"/>
        </w:rPr>
      </w:pPr>
      <w:bookmarkStart w:id="18" w:name="_Toc26746"/>
      <w:r>
        <w:rPr>
          <w:rFonts w:hint="eastAsia"/>
          <w:color w:val="auto"/>
        </w:rPr>
        <w:t>四、付款方式</w:t>
      </w:r>
      <w:bookmarkEnd w:id="18"/>
    </w:p>
    <w:p>
      <w:pPr>
        <w:pStyle w:val="22"/>
        <w:ind w:firstLine="480"/>
        <w:rPr>
          <w:color w:val="auto"/>
        </w:rPr>
      </w:pPr>
      <w:r>
        <w:rPr>
          <w:rFonts w:hint="eastAsia"/>
          <w:color w:val="auto"/>
        </w:rPr>
        <w:t>（一）合同签订后，招标人向中标人支付合同总价30%的预付款。</w:t>
      </w:r>
    </w:p>
    <w:p>
      <w:pPr>
        <w:pStyle w:val="22"/>
        <w:ind w:firstLine="480"/>
        <w:rPr>
          <w:color w:val="auto"/>
        </w:rPr>
      </w:pPr>
      <w:r>
        <w:rPr>
          <w:rFonts w:hint="eastAsia"/>
          <w:color w:val="auto"/>
        </w:rPr>
        <w:t>（二）中标人按采购合同交货，完成安装调试，经验收合格后，招标人向中标人支付合同总价60%的货款。</w:t>
      </w:r>
    </w:p>
    <w:p>
      <w:pPr>
        <w:pStyle w:val="22"/>
        <w:ind w:firstLine="480"/>
        <w:rPr>
          <w:color w:val="auto"/>
        </w:rPr>
      </w:pPr>
      <w:r>
        <w:rPr>
          <w:rFonts w:hint="eastAsia"/>
          <w:color w:val="auto"/>
        </w:rPr>
        <w:t>（三）其余10%款额在产品使用中无质量问题，且履行售后服务承诺，在验收合格一年后的10个工作日将余款无息汇入中标人指定的帐户。</w:t>
      </w:r>
    </w:p>
    <w:p>
      <w:pPr>
        <w:pStyle w:val="22"/>
        <w:ind w:firstLine="480"/>
        <w:rPr>
          <w:color w:val="auto"/>
        </w:rPr>
      </w:pPr>
      <w:r>
        <w:rPr>
          <w:rFonts w:hint="eastAsia"/>
          <w:color w:val="auto"/>
        </w:rPr>
        <w:t>（四）中标人提交采购合同、发票等材料，向招标人申请付款。</w:t>
      </w:r>
    </w:p>
    <w:p>
      <w:pPr>
        <w:pStyle w:val="22"/>
        <w:ind w:firstLine="480"/>
        <w:rPr>
          <w:color w:val="auto"/>
        </w:rPr>
      </w:pPr>
      <w:r>
        <w:rPr>
          <w:rFonts w:hint="eastAsia"/>
          <w:color w:val="auto"/>
        </w:rPr>
        <w:t>（五）招标人对中标人提交的付款资料审核通过后，以转账方式向中标人付款。</w:t>
      </w:r>
    </w:p>
    <w:p>
      <w:pPr>
        <w:pStyle w:val="19"/>
        <w:ind w:firstLine="562"/>
        <w:rPr>
          <w:color w:val="auto"/>
        </w:rPr>
      </w:pPr>
      <w:bookmarkStart w:id="19" w:name="_Toc29863"/>
      <w:r>
        <w:rPr>
          <w:rFonts w:hint="eastAsia"/>
          <w:color w:val="auto"/>
        </w:rPr>
        <w:t>五、履约保证金</w:t>
      </w:r>
      <w:bookmarkEnd w:id="19"/>
      <w:r>
        <w:rPr>
          <w:rFonts w:hint="eastAsia"/>
          <w:color w:val="auto"/>
        </w:rPr>
        <w:t>（本项目不收取履约保证金）</w:t>
      </w:r>
    </w:p>
    <w:p>
      <w:pPr>
        <w:pStyle w:val="19"/>
        <w:ind w:firstLine="562"/>
        <w:rPr>
          <w:color w:val="auto"/>
        </w:rPr>
      </w:pPr>
      <w:bookmarkStart w:id="20" w:name="_Toc27077"/>
      <w:r>
        <w:rPr>
          <w:rFonts w:hint="eastAsia"/>
          <w:color w:val="auto"/>
        </w:rPr>
        <w:t>六、知识产权</w:t>
      </w:r>
      <w:bookmarkEnd w:id="20"/>
    </w:p>
    <w:p>
      <w:pPr>
        <w:pStyle w:val="22"/>
        <w:ind w:firstLine="480"/>
      </w:pPr>
      <w:r>
        <w:rPr>
          <w:rFonts w:hint="eastAsia"/>
        </w:rPr>
        <w:t>招标人在中华人民共和国境内使用投标人提供的货物及服务时免受第三方提出的侵犯其专利权或其它知识产权的起诉。如果第三方提出侵权指控，中标人应承担由此而引起的一切法律责任和费用。</w:t>
      </w:r>
    </w:p>
    <w:p>
      <w:pPr>
        <w:pStyle w:val="19"/>
        <w:ind w:firstLine="562"/>
        <w:rPr>
          <w:color w:val="auto"/>
        </w:rPr>
      </w:pPr>
      <w:bookmarkStart w:id="21" w:name="_Toc7149"/>
      <w:r>
        <w:rPr>
          <w:rFonts w:hint="eastAsia"/>
          <w:color w:val="auto"/>
        </w:rPr>
        <w:t>七、其他</w:t>
      </w:r>
      <w:bookmarkEnd w:id="21"/>
    </w:p>
    <w:p>
      <w:pPr>
        <w:pStyle w:val="22"/>
        <w:ind w:firstLine="480"/>
        <w:rPr>
          <w:color w:val="auto"/>
        </w:rPr>
      </w:pPr>
      <w:r>
        <w:rPr>
          <w:rFonts w:hint="eastAsia"/>
          <w:color w:val="auto"/>
        </w:rPr>
        <w:t>（一）投标人必须在投标文件中对以上条款和服务承诺明确列出，承诺内容必须达到本篇及招标文件其他条款的要求。</w:t>
      </w:r>
    </w:p>
    <w:p>
      <w:pPr>
        <w:pStyle w:val="22"/>
        <w:ind w:firstLine="480"/>
        <w:sectPr>
          <w:pgSz w:w="11907" w:h="16840"/>
          <w:pgMar w:top="1134" w:right="1191" w:bottom="1134" w:left="1304" w:header="964" w:footer="992" w:gutter="0"/>
          <w:pgNumType w:fmt="numberInDash"/>
          <w:cols w:space="720" w:num="1"/>
          <w:docGrid w:linePitch="312" w:charSpace="0"/>
        </w:sectPr>
      </w:pPr>
      <w:r>
        <w:rPr>
          <w:rFonts w:hint="eastAsia"/>
          <w:color w:val="auto"/>
        </w:rPr>
        <w:t>（二）其他未尽事宜由供需双方在采购合同中详细约</w:t>
      </w:r>
      <w:r>
        <w:rPr>
          <w:rFonts w:hint="eastAsia"/>
        </w:rPr>
        <w:t>定。</w:t>
      </w:r>
    </w:p>
    <w:p>
      <w:pPr>
        <w:pStyle w:val="17"/>
        <w:rPr>
          <w:rFonts w:ascii="仿宋" w:eastAsia="仿宋"/>
          <w:kern w:val="0"/>
          <w:sz w:val="24"/>
          <w:szCs w:val="24"/>
        </w:rPr>
      </w:pPr>
      <w:bookmarkStart w:id="22" w:name="_Toc30112"/>
      <w:r>
        <w:rPr>
          <w:rFonts w:hint="eastAsia"/>
          <w:kern w:val="0"/>
        </w:rPr>
        <w:t xml:space="preserve">第四篇  </w:t>
      </w:r>
      <w:r>
        <w:rPr>
          <w:rFonts w:hint="eastAsia"/>
        </w:rPr>
        <w:t>评标方法、评标标准、无效投标条款和废标条款</w:t>
      </w:r>
      <w:bookmarkEnd w:id="22"/>
    </w:p>
    <w:p>
      <w:pPr>
        <w:pStyle w:val="19"/>
        <w:ind w:firstLine="562"/>
      </w:pPr>
      <w:bookmarkStart w:id="23" w:name="_Toc27124"/>
      <w:r>
        <w:rPr>
          <w:rFonts w:hint="eastAsia"/>
        </w:rPr>
        <w:t>一、评标方法</w:t>
      </w:r>
      <w:bookmarkEnd w:id="23"/>
    </w:p>
    <w:p>
      <w:pPr>
        <w:pStyle w:val="22"/>
        <w:ind w:firstLine="480"/>
      </w:pPr>
      <w:r>
        <w:rPr>
          <w:rFonts w:hint="eastAsia"/>
        </w:rPr>
        <w:t>（一）评标方法定义</w:t>
      </w:r>
    </w:p>
    <w:p>
      <w:pPr>
        <w:pStyle w:val="22"/>
        <w:ind w:firstLine="480"/>
      </w:pPr>
      <w:r>
        <w:rPr>
          <w:rFonts w:hint="eastAsia"/>
        </w:rPr>
        <w:t>本项目采用综合评分法进行评标。综合评分法是指</w:t>
      </w:r>
      <w:r>
        <w:t>投标文件满足招标文件全部实质性要求且按照评审因素的量化指标评审得分最高的投标人为中标候选人的评标方法</w:t>
      </w:r>
      <w:r>
        <w:rPr>
          <w:rFonts w:hint="eastAsia"/>
        </w:rPr>
        <w:t>。投标人总得分为价格、商务、技术等评定因素分别按照相应权重值计算分项得分后相加。</w:t>
      </w:r>
    </w:p>
    <w:p>
      <w:pPr>
        <w:pStyle w:val="22"/>
        <w:ind w:firstLine="480"/>
      </w:pPr>
      <w:r>
        <w:rPr>
          <w:rFonts w:hint="eastAsia"/>
        </w:rPr>
        <w:t>（二）评标程序</w:t>
      </w:r>
    </w:p>
    <w:p>
      <w:pPr>
        <w:pStyle w:val="22"/>
        <w:ind w:firstLine="480"/>
      </w:pPr>
      <w:r>
        <w:rPr>
          <w:rFonts w:hint="eastAsia"/>
        </w:rPr>
        <w:t>评标工作由采购机构负责组织，具体评标事务由采购机构依法组建的评标委员会负责。</w:t>
      </w:r>
    </w:p>
    <w:p>
      <w:pPr>
        <w:pStyle w:val="22"/>
        <w:ind w:firstLine="480"/>
      </w:pPr>
      <w:r>
        <w:rPr>
          <w:rFonts w:hint="eastAsia"/>
        </w:rPr>
        <w:t>评标委员会成员到位后，推举其中一位评审专家担任评审组长，并由评审组长牵头组织该项目评审工作。</w:t>
      </w:r>
    </w:p>
    <w:p>
      <w:pPr>
        <w:pStyle w:val="22"/>
        <w:ind w:firstLine="480"/>
        <w:rPr>
          <w:kern w:val="0"/>
        </w:rPr>
      </w:pPr>
      <w:r>
        <w:rPr>
          <w:rFonts w:hint="eastAsia"/>
        </w:rPr>
        <w:t>1、资格性检查。依据法律法规和招标文件的规定，对投标文件中的资格证明等进行审查，以确定投标人是否具备投标资格。资格性检查不合格的，将失去投标人资格。资格性检查资料表如下：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5102" w:type="dxa"/>
            <w:gridSpan w:val="2"/>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850"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199" w:firstLineChars="95"/>
              <w:rPr>
                <w:rFonts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vAlign w:val="center"/>
          </w:tcPr>
          <w:p>
            <w:pPr>
              <w:spacing w:line="240" w:lineRule="exact"/>
              <w:ind w:firstLine="0" w:firstLineChars="0"/>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4393"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lang w:val="zh-CN"/>
              </w:rPr>
              <w:t>）具有履行合同所必需的设备和专业技术能力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（3）参加政府采购活动前三年内，在经营活动中没有重大违法记录（注</w:t>
            </w:r>
            <w:r>
              <w:rPr>
                <w:rFonts w:ascii="仿宋" w:hAnsi="仿宋" w:eastAsia="仿宋" w:cs="宋体"/>
                <w:kern w:val="0"/>
                <w:sz w:val="24"/>
                <w:szCs w:val="24"/>
              </w:rPr>
              <w:fldChar w:fldCharType="begin"/>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2.招标人或采购代理机构</w:t>
            </w:r>
            <w:bookmarkStart w:id="50" w:name="_GoBack"/>
            <w:bookmarkEnd w:id="50"/>
            <w:r>
              <w:rPr>
                <w:rFonts w:hint="eastAsia" w:ascii="仿宋" w:hAnsi="仿宋" w:eastAsia="仿宋" w:cs="宋体"/>
                <w:kern w:val="0"/>
                <w:sz w:val="24"/>
                <w:szCs w:val="24"/>
              </w:rPr>
              <w:t>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rPr>
            </w:pPr>
          </w:p>
        </w:tc>
        <w:tc>
          <w:tcPr>
            <w:tcW w:w="4393" w:type="dxa"/>
            <w:vAlign w:val="center"/>
          </w:tcPr>
          <w:p>
            <w:pPr>
              <w:spacing w:line="240" w:lineRule="exact"/>
              <w:ind w:firstLine="0" w:firstLineChars="0"/>
              <w:rPr>
                <w:rFonts w:ascii="方正仿宋_GBK" w:hAnsi="仿宋" w:eastAsia="方正仿宋_GBK"/>
                <w:sz w:val="21"/>
                <w:szCs w:val="21"/>
              </w:rPr>
            </w:pPr>
            <w:r>
              <w:rPr>
                <w:rFonts w:hint="eastAsia" w:ascii="方正仿宋_GBK" w:hAnsi="仿宋" w:eastAsia="方正仿宋_GBK"/>
                <w:sz w:val="21"/>
                <w:szCs w:val="21"/>
              </w:rPr>
              <w:t>（4）法律、行政法规规定的其他条件</w:t>
            </w:r>
          </w:p>
        </w:tc>
        <w:tc>
          <w:tcPr>
            <w:tcW w:w="3850" w:type="dxa"/>
            <w:vAlign w:val="center"/>
          </w:tcPr>
          <w:p>
            <w:pPr>
              <w:spacing w:line="240" w:lineRule="exact"/>
              <w:ind w:firstLine="420"/>
              <w:rPr>
                <w:rFonts w:ascii="方正仿宋_GBK" w:hAnsi="仿宋" w:eastAsia="方正仿宋_GBK"/>
                <w:sz w:val="21"/>
                <w:szCs w:val="21"/>
              </w:rPr>
            </w:pPr>
          </w:p>
        </w:tc>
      </w:tr>
    </w:tbl>
    <w:p>
      <w:pPr>
        <w:snapToGrid w:val="0"/>
        <w:spacing w:line="400" w:lineRule="exact"/>
        <w:ind w:firstLine="48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numPr>
          <w:ilvl w:val="0"/>
          <w:numId w:val="4"/>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投标人提供有效的三证合一营业执照（副本）复印件。</w:t>
      </w:r>
    </w:p>
    <w:p>
      <w:pPr>
        <w:numPr>
          <w:ilvl w:val="0"/>
          <w:numId w:val="4"/>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2"/>
        <w:ind w:firstLine="48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37"/>
        <w:gridCol w:w="2457"/>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序号</w:t>
            </w:r>
          </w:p>
        </w:tc>
        <w:tc>
          <w:tcPr>
            <w:tcW w:w="4094" w:type="dxa"/>
            <w:gridSpan w:val="2"/>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47"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1</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有效性审查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投标文件签署</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法定代表人授权委托书及被授权人身份证明</w:t>
            </w:r>
          </w:p>
        </w:tc>
        <w:tc>
          <w:tcPr>
            <w:tcW w:w="5447" w:type="dxa"/>
            <w:vAlign w:val="center"/>
          </w:tcPr>
          <w:p>
            <w:pPr>
              <w:spacing w:line="240" w:lineRule="exact"/>
              <w:ind w:firstLine="0" w:firstLineChars="0"/>
              <w:rPr>
                <w:rFonts w:ascii="仿宋" w:hAnsi="仿宋" w:eastAsia="仿宋"/>
                <w:sz w:val="21"/>
                <w:szCs w:val="21"/>
              </w:rPr>
            </w:pPr>
            <w:r>
              <w:rPr>
                <w:rFonts w:hint="eastAsia" w:ascii="仿宋" w:hAnsi="仿宋" w:eastAsia="仿宋"/>
                <w:sz w:val="21"/>
                <w:szCs w:val="21"/>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投标方案</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各分包只能有一个方案投标。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sz w:val="21"/>
                <w:szCs w:val="21"/>
              </w:rPr>
              <w:t>报价唯一</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只能在采购预算范围内报价，</w:t>
            </w:r>
            <w:r>
              <w:rPr>
                <w:rFonts w:hint="eastAsia" w:ascii="仿宋" w:hAnsi="仿宋" w:eastAsia="仿宋"/>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2</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完整性审查</w:t>
            </w: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w:t>
            </w:r>
          </w:p>
        </w:tc>
        <w:tc>
          <w:tcPr>
            <w:tcW w:w="544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投标文件内容</w:t>
            </w:r>
          </w:p>
        </w:tc>
        <w:tc>
          <w:tcPr>
            <w:tcW w:w="5447" w:type="dxa"/>
            <w:vAlign w:val="center"/>
          </w:tcPr>
          <w:p>
            <w:pPr>
              <w:pStyle w:val="8"/>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3</w:t>
            </w:r>
          </w:p>
        </w:tc>
        <w:tc>
          <w:tcPr>
            <w:tcW w:w="163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宋体"/>
                <w:kern w:val="0"/>
                <w:sz w:val="21"/>
                <w:szCs w:val="21"/>
              </w:rPr>
              <w:t>投标文件的响应程度审查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投标有效期</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满足招标文件</w:t>
            </w:r>
            <w:r>
              <w:rPr>
                <w:rFonts w:hint="eastAsia" w:ascii="仿宋" w:hAnsi="仿宋" w:eastAsia="仿宋" w:cs="仿宋_GB2312"/>
                <w:sz w:val="21"/>
                <w:szCs w:val="21"/>
                <w:lang w:val="zh-CN"/>
              </w:rPr>
              <w:t>规定。</w:t>
            </w:r>
          </w:p>
        </w:tc>
      </w:tr>
    </w:tbl>
    <w:p>
      <w:pPr>
        <w:pStyle w:val="22"/>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p>
      <w:pPr>
        <w:pStyle w:val="22"/>
        <w:ind w:firstLine="480"/>
      </w:pPr>
      <w:r>
        <w:rPr>
          <w:rFonts w:hint="eastAsia"/>
        </w:rPr>
        <w:t>4、比较与评价。按招标文件中规定的评标方法和标准，对资格性检查和符合性检查合格的投标文件进行商务和技术评估。</w:t>
      </w:r>
    </w:p>
    <w:p>
      <w:pPr>
        <w:pStyle w:val="22"/>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2"/>
        <w:ind w:firstLine="480"/>
      </w:pPr>
      <w:r>
        <w:rPr>
          <w:rFonts w:hint="eastAsia"/>
        </w:rPr>
        <w:t>复核后，评标委员会汇总每个投标人每项评分因素的得分。</w:t>
      </w:r>
    </w:p>
    <w:p>
      <w:pPr>
        <w:pStyle w:val="22"/>
        <w:ind w:firstLine="480"/>
      </w:pPr>
      <w:bookmarkStart w:id="24" w:name="_Toc267320057"/>
      <w:r>
        <w:rPr>
          <w:rFonts w:hint="eastAsia"/>
        </w:rPr>
        <w:t>5、推荐中标候选人名单。按评审后得分由高到低的排列顺序</w:t>
      </w:r>
      <w:r>
        <w:rPr>
          <w:rFonts w:hint="eastAsia"/>
          <w:kern w:val="0"/>
        </w:rPr>
        <w:t>推荐3名</w:t>
      </w:r>
      <w:r>
        <w:rPr>
          <w:rFonts w:hint="eastAsia"/>
        </w:rPr>
        <w:t>中标候选人。投标文件满足招标文件全部实质性要求，且评审得分最高的投标人为排名第一的中标候选人。评标结果按评审后得分由高到低顺序排列。得分相同的，按投标报价由低到高顺序排列。得分且投标报价相同的并列。</w:t>
      </w:r>
    </w:p>
    <w:p>
      <w:pPr>
        <w:pStyle w:val="19"/>
        <w:ind w:firstLine="562"/>
      </w:pPr>
      <w:bookmarkStart w:id="25" w:name="_Toc21218"/>
      <w:r>
        <w:rPr>
          <w:rFonts w:hint="eastAsia"/>
        </w:rPr>
        <w:t>二、评标标准</w:t>
      </w:r>
      <w:bookmarkEnd w:id="24"/>
      <w:bookmarkEnd w:id="25"/>
    </w:p>
    <w:p>
      <w:pPr>
        <w:pStyle w:val="22"/>
        <w:ind w:firstLine="480"/>
      </w:pPr>
      <w:r>
        <w:rPr>
          <w:rFonts w:hint="eastAsia"/>
        </w:rPr>
        <w:t>（一）评审因素</w:t>
      </w:r>
    </w:p>
    <w:p>
      <w:pPr>
        <w:pStyle w:val="22"/>
        <w:ind w:firstLine="480"/>
      </w:pPr>
      <w:r>
        <w:rPr>
          <w:rFonts w:hint="eastAsia"/>
        </w:rPr>
        <w:t>详见评分表</w:t>
      </w:r>
    </w:p>
    <w:p>
      <w:pPr>
        <w:pStyle w:val="22"/>
        <w:ind w:firstLine="480"/>
      </w:pPr>
      <w:r>
        <w:rPr>
          <w:rFonts w:hint="eastAsia"/>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pPr>
        <w:pStyle w:val="22"/>
        <w:ind w:firstLine="480"/>
      </w:pPr>
      <w:r>
        <w:rPr>
          <w:rFonts w:hint="eastAsia"/>
        </w:rPr>
        <w:t>（二）报价政策性扣减</w:t>
      </w:r>
    </w:p>
    <w:p>
      <w:pPr>
        <w:pStyle w:val="22"/>
        <w:ind w:firstLine="480"/>
      </w:pPr>
      <w:r>
        <w:rPr>
          <w:rFonts w:hint="eastAsia"/>
        </w:rPr>
        <w:t>1、本项目对小型微型企业给予6%的扣除，用扣除后的价格参与评审。</w:t>
      </w:r>
    </w:p>
    <w:p>
      <w:pPr>
        <w:pStyle w:val="22"/>
        <w:ind w:firstLine="480"/>
      </w:pPr>
      <w:r>
        <w:rPr>
          <w:rFonts w:hint="eastAsia"/>
        </w:rPr>
        <w:t>2、关于小微企业：</w:t>
      </w:r>
    </w:p>
    <w:p>
      <w:pPr>
        <w:pStyle w:val="22"/>
        <w:ind w:firstLine="480"/>
      </w:pPr>
      <w:r>
        <w:rPr>
          <w:rFonts w:hint="eastAsia"/>
        </w:rPr>
        <w:t>2.1在政府采购活动中，投标人提供的货物、工程或者服务符合下列情形的，享受本办法(《财政部 工业和信息化部关于印发&lt;政府采购促进中小企业发展管理办法&gt;的通知》（财库〔2020〕46号）)规定的中小企业扶持政策：</w:t>
      </w:r>
    </w:p>
    <w:p>
      <w:pPr>
        <w:pStyle w:val="22"/>
        <w:ind w:firstLine="480"/>
      </w:pPr>
      <w:r>
        <w:rPr>
          <w:rFonts w:hint="eastAsia"/>
        </w:rPr>
        <w:t>2.1.1在货物采购项目中，货物由中小企业制造，即货物由中小企业生产且使用该中小企业商号或者注册商标；</w:t>
      </w:r>
    </w:p>
    <w:p>
      <w:pPr>
        <w:pStyle w:val="22"/>
        <w:ind w:firstLine="480"/>
      </w:pPr>
      <w:r>
        <w:rPr>
          <w:rFonts w:hint="eastAsia"/>
        </w:rPr>
        <w:t>2.2.2在工程采购项目中，工程由中小企业承建，即工程施工单位为中小企业；</w:t>
      </w:r>
    </w:p>
    <w:p>
      <w:pPr>
        <w:pStyle w:val="22"/>
        <w:ind w:firstLine="480"/>
      </w:pPr>
      <w:r>
        <w:rPr>
          <w:rFonts w:hint="eastAsia"/>
        </w:rPr>
        <w:t>2.2.3在服务采购项目中，服务由中小企业承接，即提供服务的人员为中小企业依照《中华人民共和国劳动合同法》订立劳动合同的从业人员。</w:t>
      </w:r>
    </w:p>
    <w:p>
      <w:pPr>
        <w:pStyle w:val="22"/>
        <w:ind w:firstLine="480"/>
      </w:pPr>
      <w:r>
        <w:rPr>
          <w:rFonts w:hint="eastAsia"/>
        </w:rPr>
        <w:t>在货物采购项目中，投标人提供的货物既有中小企业制造货物，也有大型企业制造货物的，不享受本办法规定的中小企业扶持政策。</w:t>
      </w:r>
    </w:p>
    <w:p>
      <w:pPr>
        <w:pStyle w:val="22"/>
        <w:ind w:firstLine="480"/>
      </w:pPr>
      <w:r>
        <w:rPr>
          <w:rFonts w:hint="eastAsia"/>
        </w:rPr>
        <w:t>以联合体形式参加政府采购活动，联合体各方均为中小企业的，联合体视同中小企业。其中，联合体各方均为小微企业的，联合体视同小微企业。</w:t>
      </w:r>
    </w:p>
    <w:p>
      <w:pPr>
        <w:pStyle w:val="22"/>
        <w:ind w:firstLine="480"/>
      </w:pPr>
      <w:r>
        <w:rPr>
          <w:rFonts w:hint="eastAsia"/>
        </w:rPr>
        <w:t>2.2依照&lt;财政部、司法部关于政府采购支持监狱企业发展有关问题的通知&gt;（财库〔2014〕68号）之规定，监狱企业应当符合以下条件：</w:t>
      </w:r>
    </w:p>
    <w:p>
      <w:pPr>
        <w:pStyle w:val="22"/>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2"/>
        <w:ind w:firstLine="480"/>
      </w:pPr>
      <w:r>
        <w:rPr>
          <w:rFonts w:hint="eastAsia"/>
        </w:rPr>
        <w:t>2.2.2监狱企业参加政府采购活动时，视同小型、微型企业，应当提供由省级以上监狱管理局、戒毒管理局（含新疆生产建设兵团）出具的属于监狱企业的证明文件。</w:t>
      </w:r>
    </w:p>
    <w:p>
      <w:pPr>
        <w:pStyle w:val="22"/>
        <w:ind w:firstLine="480"/>
      </w:pPr>
      <w:r>
        <w:rPr>
          <w:rFonts w:hint="eastAsia"/>
        </w:rPr>
        <w:t>2.3残疾人福利性单位视同小型、微型企业。</w:t>
      </w:r>
    </w:p>
    <w:p>
      <w:pPr>
        <w:pStyle w:val="22"/>
        <w:ind w:firstLine="480"/>
      </w:pPr>
      <w:r>
        <w:rPr>
          <w:rFonts w:hint="eastAsia"/>
        </w:rPr>
        <w:t>（三）政策性加分的相关说明：</w:t>
      </w:r>
    </w:p>
    <w:p>
      <w:pPr>
        <w:pStyle w:val="22"/>
        <w:ind w:firstLine="480"/>
      </w:pPr>
      <w:r>
        <w:rPr>
          <w:rFonts w:hint="eastAsia"/>
        </w:rPr>
        <w:t>节能、环保产品以全国认证认可信息公共服务平台查询信息或</w:t>
      </w:r>
      <w:r>
        <w:t>由</w:t>
      </w:r>
      <w:r>
        <w:rPr>
          <w:rFonts w:hint="eastAsia"/>
        </w:rPr>
        <w:t>国家确定的</w:t>
      </w:r>
      <w:r>
        <w:t>认证机构出具的、处于有效期之内的节能产品</w:t>
      </w:r>
      <w:r>
        <w:rPr>
          <w:rFonts w:hint="eastAsia"/>
        </w:rPr>
        <w:t>或</w:t>
      </w:r>
      <w:r>
        <w:t>环境标志产品认证证书</w:t>
      </w:r>
      <w:r>
        <w:rPr>
          <w:rFonts w:hint="eastAsia"/>
        </w:rPr>
        <w:t>。（投标人须提供查询结果的网页截图或认证证书，未按要求提供的不得分）</w:t>
      </w:r>
    </w:p>
    <w:p>
      <w:pPr>
        <w:pStyle w:val="22"/>
        <w:ind w:firstLine="480"/>
      </w:pPr>
      <w:r>
        <w:rPr>
          <w:rFonts w:hint="eastAsia"/>
        </w:rPr>
        <w:t>查询网址：</w:t>
      </w:r>
      <w:r>
        <w:t>http://cx.cnca.cn/CertECloud/index/index/page</w:t>
      </w:r>
    </w:p>
    <w:p>
      <w:pPr>
        <w:pStyle w:val="19"/>
        <w:ind w:firstLine="562"/>
      </w:pPr>
      <w:bookmarkStart w:id="26" w:name="_Toc10187"/>
      <w:r>
        <w:rPr>
          <w:rFonts w:hint="eastAsia"/>
        </w:rPr>
        <w:t>三、无效投标条款</w:t>
      </w:r>
      <w:bookmarkEnd w:id="26"/>
    </w:p>
    <w:p>
      <w:pPr>
        <w:pStyle w:val="22"/>
        <w:ind w:firstLine="480"/>
      </w:pPr>
      <w:r>
        <w:rPr>
          <w:rFonts w:hint="eastAsia"/>
        </w:rPr>
        <w:t>投标人或其投标文件出现下列情况之一者，应为无效投标：</w:t>
      </w:r>
    </w:p>
    <w:p>
      <w:pPr>
        <w:pStyle w:val="22"/>
        <w:ind w:firstLine="480"/>
      </w:pPr>
      <w:r>
        <w:rPr>
          <w:rFonts w:hint="eastAsia"/>
        </w:rPr>
        <w:t>（一）投标人未通过资格性检查或投标文件未通过符合性检查的；</w:t>
      </w:r>
    </w:p>
    <w:p>
      <w:pPr>
        <w:pStyle w:val="22"/>
        <w:ind w:firstLine="480"/>
      </w:pPr>
      <w:r>
        <w:rPr>
          <w:rFonts w:hint="eastAsia"/>
        </w:rPr>
        <w:t>（二）</w:t>
      </w:r>
      <w:r>
        <w:t>单位负责人为同一人或者存在直接控股、管理关系的不同投标人，不得参加同一合同项下的政府采购活动</w:t>
      </w:r>
      <w:r>
        <w:rPr>
          <w:rFonts w:hint="eastAsia"/>
        </w:rPr>
        <w:t>，上述投标人的投标均无效；</w:t>
      </w:r>
    </w:p>
    <w:p>
      <w:pPr>
        <w:pStyle w:val="22"/>
        <w:ind w:firstLine="480"/>
      </w:pPr>
      <w:r>
        <w:rPr>
          <w:rFonts w:hint="eastAsia"/>
        </w:rPr>
        <w:t>（三）</w:t>
      </w:r>
      <w:r>
        <w:t>为</w:t>
      </w:r>
      <w:r>
        <w:rPr>
          <w:rFonts w:hint="eastAsia"/>
        </w:rPr>
        <w:t>招标</w:t>
      </w:r>
      <w:r>
        <w:t>项目提供整体设计、规范编制或者项目管理、监理、检测等服务的投标人，再参加该</w:t>
      </w:r>
      <w:r>
        <w:rPr>
          <w:rFonts w:hint="eastAsia"/>
        </w:rPr>
        <w:t>招标</w:t>
      </w:r>
      <w:r>
        <w:t>项目的其他采购活动</w:t>
      </w:r>
      <w:r>
        <w:rPr>
          <w:rFonts w:hint="eastAsia"/>
        </w:rPr>
        <w:t>的；</w:t>
      </w:r>
    </w:p>
    <w:p>
      <w:pPr>
        <w:pStyle w:val="22"/>
        <w:ind w:firstLine="480"/>
      </w:pPr>
      <w:r>
        <w:rPr>
          <w:rFonts w:hint="eastAsia"/>
        </w:rPr>
        <w:t>（四）投标文件未按照招标文件第七篇投标文件格式中所规定签字、盖章的；</w:t>
      </w:r>
    </w:p>
    <w:p>
      <w:pPr>
        <w:pStyle w:val="22"/>
        <w:ind w:firstLine="480"/>
      </w:pPr>
      <w:r>
        <w:rPr>
          <w:rFonts w:hint="eastAsia"/>
        </w:rPr>
        <w:t>（五）投标文件出现多个投标方案或投标报价的；</w:t>
      </w:r>
    </w:p>
    <w:p>
      <w:pPr>
        <w:pStyle w:val="22"/>
        <w:ind w:firstLine="480"/>
      </w:pPr>
      <w:r>
        <w:rPr>
          <w:rFonts w:hint="eastAsia"/>
        </w:rPr>
        <w:t>（六）投标报价超出招标文件规定的采购预算的；</w:t>
      </w:r>
    </w:p>
    <w:p>
      <w:pPr>
        <w:pStyle w:val="22"/>
        <w:ind w:firstLine="480"/>
      </w:pPr>
      <w:r>
        <w:rPr>
          <w:rFonts w:hint="eastAsia"/>
        </w:rPr>
        <w:t>（七）投标产品不符合必须强制执行的国家标准的；</w:t>
      </w:r>
    </w:p>
    <w:p>
      <w:pPr>
        <w:pStyle w:val="22"/>
        <w:ind w:firstLine="480"/>
      </w:pPr>
      <w:r>
        <w:rPr>
          <w:rFonts w:hint="eastAsia"/>
        </w:rPr>
        <w:t>（八）投标人的交货期、质量保证期及投标有效期不满足招标文件要求的；</w:t>
      </w:r>
    </w:p>
    <w:p>
      <w:pPr>
        <w:pStyle w:val="22"/>
        <w:ind w:firstLine="480"/>
      </w:pPr>
      <w:r>
        <w:rPr>
          <w:rFonts w:hint="eastAsia"/>
        </w:rPr>
        <w:t>（九）投标文件含有违反国家法律、法规的内容，或附有招标人不能接受的条件的；</w:t>
      </w:r>
    </w:p>
    <w:p>
      <w:pPr>
        <w:pStyle w:val="22"/>
        <w:ind w:firstLine="480"/>
      </w:pPr>
      <w:r>
        <w:rPr>
          <w:rFonts w:hint="eastAsia"/>
        </w:rPr>
        <w:t>（十）投标文件未按照规定加密的。</w:t>
      </w:r>
    </w:p>
    <w:p>
      <w:pPr>
        <w:pStyle w:val="22"/>
        <w:ind w:firstLine="480"/>
      </w:pPr>
      <w:r>
        <w:rPr>
          <w:rFonts w:hint="eastAsia"/>
        </w:rPr>
        <w:t>（十一）因投标人自身原因造成投标文件无法解密的。</w:t>
      </w:r>
    </w:p>
    <w:p>
      <w:pPr>
        <w:pStyle w:val="19"/>
        <w:ind w:firstLine="562"/>
      </w:pPr>
      <w:bookmarkStart w:id="27" w:name="_Toc5543"/>
      <w:r>
        <w:rPr>
          <w:rFonts w:hint="eastAsia"/>
        </w:rPr>
        <w:t>四、废标条款</w:t>
      </w:r>
      <w:bookmarkEnd w:id="27"/>
    </w:p>
    <w:p>
      <w:pPr>
        <w:pStyle w:val="22"/>
        <w:ind w:firstLine="480"/>
      </w:pPr>
      <w:r>
        <w:rPr>
          <w:rFonts w:hint="eastAsia"/>
        </w:rPr>
        <w:t>评标委员会评审时出现以下情况之一的，应予废标：</w:t>
      </w:r>
    </w:p>
    <w:p>
      <w:pPr>
        <w:pStyle w:val="22"/>
        <w:ind w:firstLine="480"/>
      </w:pPr>
      <w:r>
        <w:rPr>
          <w:rFonts w:hint="eastAsia"/>
        </w:rPr>
        <w:t>（一）符合专业条件的投标人或者对招标文件作实质响应的投标人不足三家的；</w:t>
      </w:r>
    </w:p>
    <w:p>
      <w:pPr>
        <w:pStyle w:val="22"/>
        <w:ind w:firstLine="480"/>
      </w:pPr>
      <w:r>
        <w:rPr>
          <w:rFonts w:hint="eastAsia"/>
        </w:rPr>
        <w:t>（二）投标人的报价均超过了采购预算，招标人不能支付的；</w:t>
      </w:r>
    </w:p>
    <w:p>
      <w:pPr>
        <w:pStyle w:val="22"/>
        <w:ind w:firstLine="480"/>
      </w:pPr>
      <w:r>
        <w:rPr>
          <w:rFonts w:hint="eastAsia"/>
        </w:rPr>
        <w:t>（三）出现影响采购公正的违法、违规行为的；</w:t>
      </w:r>
    </w:p>
    <w:p>
      <w:pPr>
        <w:pStyle w:val="22"/>
        <w:ind w:firstLine="480"/>
      </w:pPr>
      <w:r>
        <w:rPr>
          <w:rFonts w:hint="eastAsia"/>
        </w:rPr>
        <w:t>（四）因重大变故，采购任务取消的。</w:t>
      </w:r>
    </w:p>
    <w:p>
      <w:pPr>
        <w:pStyle w:val="22"/>
        <w:ind w:firstLine="480"/>
        <w:sectPr>
          <w:pgSz w:w="11907" w:h="16840"/>
          <w:pgMar w:top="1134" w:right="1191" w:bottom="1134" w:left="1304" w:header="964" w:footer="992" w:gutter="0"/>
          <w:pgNumType w:fmt="numberInDash"/>
          <w:cols w:space="720" w:num="1"/>
          <w:docGrid w:linePitch="312" w:charSpace="0"/>
        </w:sectPr>
      </w:pPr>
      <w:r>
        <w:rPr>
          <w:rFonts w:hint="eastAsia"/>
        </w:rPr>
        <w:t>废标后，除采购任务取消情形外，应当重新组织采购。</w:t>
      </w:r>
    </w:p>
    <w:p>
      <w:pPr>
        <w:pStyle w:val="17"/>
        <w:rPr>
          <w:rFonts w:ascii="仿宋" w:eastAsia="仿宋"/>
          <w:kern w:val="24"/>
          <w:sz w:val="24"/>
          <w:szCs w:val="24"/>
        </w:rPr>
      </w:pPr>
      <w:bookmarkStart w:id="28" w:name="_Toc29503"/>
      <w:r>
        <w:rPr>
          <w:rFonts w:hint="eastAsia"/>
        </w:rPr>
        <w:t>第五篇  投标人须知</w:t>
      </w:r>
      <w:bookmarkEnd w:id="28"/>
    </w:p>
    <w:p>
      <w:pPr>
        <w:pStyle w:val="19"/>
        <w:ind w:firstLine="562"/>
      </w:pPr>
      <w:bookmarkStart w:id="29" w:name="_Toc24095"/>
      <w:r>
        <w:rPr>
          <w:rFonts w:hint="eastAsia"/>
        </w:rPr>
        <w:t>一、投标人</w:t>
      </w:r>
      <w:bookmarkEnd w:id="29"/>
    </w:p>
    <w:p>
      <w:pPr>
        <w:pStyle w:val="22"/>
        <w:ind w:firstLine="480"/>
      </w:pPr>
      <w:r>
        <w:rPr>
          <w:rFonts w:hint="eastAsia"/>
        </w:rPr>
        <w:t>（一）合格投标人条件</w:t>
      </w:r>
    </w:p>
    <w:p>
      <w:pPr>
        <w:pStyle w:val="22"/>
        <w:ind w:firstLine="480"/>
      </w:pPr>
      <w:r>
        <w:rPr>
          <w:rFonts w:hint="eastAsia"/>
        </w:rPr>
        <w:t>合格投标人应完全符合招标文件第一篇中规定的投标人资格条件，并对招标文件作出实质性响应。</w:t>
      </w:r>
    </w:p>
    <w:p>
      <w:pPr>
        <w:pStyle w:val="22"/>
        <w:ind w:firstLine="480"/>
        <w:rPr>
          <w:szCs w:val="28"/>
        </w:rPr>
      </w:pPr>
      <w:r>
        <w:rPr>
          <w:rFonts w:hint="eastAsia"/>
          <w:szCs w:val="28"/>
        </w:rPr>
        <w:t>（二）投标人的风险</w:t>
      </w:r>
    </w:p>
    <w:p>
      <w:pPr>
        <w:pStyle w:val="22"/>
        <w:ind w:firstLine="480"/>
      </w:pPr>
      <w:r>
        <w:rPr>
          <w:rFonts w:hint="eastAsia"/>
        </w:rPr>
        <w:t>投标人没有按照招标文件要求提供全部资料，或者投标人没有对招标文件在各方面作出实质性响应，可能导致投标被拒绝或评定为无效投标。</w:t>
      </w:r>
    </w:p>
    <w:p>
      <w:pPr>
        <w:pStyle w:val="19"/>
        <w:ind w:firstLine="562"/>
      </w:pPr>
      <w:bookmarkStart w:id="30" w:name="_Toc26352"/>
      <w:r>
        <w:rPr>
          <w:rFonts w:hint="eastAsia"/>
        </w:rPr>
        <w:t>二、招标文件</w:t>
      </w:r>
      <w:bookmarkEnd w:id="30"/>
    </w:p>
    <w:p>
      <w:pPr>
        <w:pStyle w:val="22"/>
        <w:ind w:firstLine="480"/>
      </w:pPr>
      <w:r>
        <w:rPr>
          <w:rFonts w:hint="eastAsia"/>
        </w:rPr>
        <w:t>招标文件是投标人编制投标文件的依据，是评标委员会评判依据和标准。招标文件也是招标人与中标人签订合同的基础。</w:t>
      </w:r>
    </w:p>
    <w:p>
      <w:pPr>
        <w:pStyle w:val="22"/>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2"/>
        <w:ind w:firstLine="480"/>
      </w:pPr>
      <w:r>
        <w:rPr>
          <w:rFonts w:hint="eastAsia"/>
        </w:rPr>
        <w:t>（二）采购机构对招标文件所作的一切有效通知、修改、补充及澄清，都是招标文件的组成部分。修改和/或补充文件应在提交投标文件截止时间三日前发至新疆政府采购网，所有获取招标文件的投标人自行登录网站查阅，修改和/或补充文件将作为招标文件的组成部分，对所有投标人具有约束力。</w:t>
      </w:r>
    </w:p>
    <w:p>
      <w:pPr>
        <w:pStyle w:val="22"/>
        <w:ind w:firstLine="480"/>
      </w:pPr>
      <w:r>
        <w:rPr>
          <w:rFonts w:hint="eastAsia"/>
        </w:rPr>
        <w:t>（三）本项目的招标文件、补遗文件（如果有）一律在新疆政府采购网上发布，请各投标人注意浏览、下载。</w:t>
      </w:r>
    </w:p>
    <w:p>
      <w:pPr>
        <w:pStyle w:val="19"/>
        <w:ind w:firstLine="562"/>
      </w:pPr>
      <w:bookmarkStart w:id="31" w:name="_Toc13018"/>
      <w:r>
        <w:rPr>
          <w:rFonts w:hint="eastAsia"/>
        </w:rPr>
        <w:t>三、投标文件</w:t>
      </w:r>
      <w:bookmarkEnd w:id="31"/>
    </w:p>
    <w:p>
      <w:pPr>
        <w:pStyle w:val="22"/>
        <w:ind w:firstLine="480"/>
      </w:pPr>
      <w:r>
        <w:rPr>
          <w:rFonts w:hint="eastAsia"/>
        </w:rPr>
        <w:t>投标人应当按照招标文件的要求编制投标文件，并对招标文件提出的要求和条件作出实质性响应，投标文件应编制完整的页码、目录。（编制上传投标文件与相应模块对应）</w:t>
      </w:r>
    </w:p>
    <w:p>
      <w:pPr>
        <w:pStyle w:val="22"/>
        <w:ind w:firstLine="480"/>
      </w:pPr>
      <w:r>
        <w:rPr>
          <w:rFonts w:hint="eastAsia"/>
        </w:rPr>
        <w:t>（一）投标文件组成</w:t>
      </w:r>
    </w:p>
    <w:p>
      <w:pPr>
        <w:pStyle w:val="22"/>
        <w:ind w:firstLine="480"/>
      </w:pPr>
      <w:r>
        <w:rPr>
          <w:rFonts w:hint="eastAsia"/>
        </w:rPr>
        <w:t>投标文件由第七篇“投标文件格式”规定的部分和投标人所作的一切有效补充、修改和承诺等文件组成，投标人应按照第七篇“投标文件格式”规定的目录顺序组织编写，否则有可能影响评委对投标文件的评审。</w:t>
      </w:r>
    </w:p>
    <w:p>
      <w:pPr>
        <w:pStyle w:val="22"/>
        <w:ind w:firstLine="480"/>
      </w:pPr>
      <w:r>
        <w:rPr>
          <w:rFonts w:hint="eastAsia"/>
        </w:rPr>
        <w:t>（二）投标有效期</w:t>
      </w:r>
    </w:p>
    <w:p>
      <w:pPr>
        <w:pStyle w:val="22"/>
        <w:ind w:firstLine="480"/>
      </w:pPr>
      <w:r>
        <w:rPr>
          <w:rFonts w:hint="eastAsia"/>
        </w:rPr>
        <w:t>投标有效期为投标截止日期后九十天。</w:t>
      </w:r>
    </w:p>
    <w:p>
      <w:pPr>
        <w:pStyle w:val="22"/>
        <w:ind w:firstLine="480"/>
      </w:pPr>
      <w:r>
        <w:rPr>
          <w:rFonts w:hint="eastAsia"/>
        </w:rPr>
        <w:t>（三）投标文件的签署</w:t>
      </w:r>
    </w:p>
    <w:p>
      <w:pPr>
        <w:pStyle w:val="22"/>
        <w:ind w:firstLine="480"/>
      </w:pPr>
      <w:r>
        <w:rPr>
          <w:rFonts w:hint="eastAsia"/>
        </w:rPr>
        <w:t>1、</w:t>
      </w:r>
      <w:r>
        <w:t>投标文件采用电子文档。</w:t>
      </w:r>
      <w:r>
        <w:rPr>
          <w:rFonts w:hint="eastAsia"/>
        </w:rPr>
        <w:t>投标文件中应按照招标文件第七篇投标文件格式中规定签字、盖章的地方必须按其规定签字、盖章。</w:t>
      </w:r>
    </w:p>
    <w:p>
      <w:pPr>
        <w:pStyle w:val="22"/>
        <w:ind w:firstLine="480"/>
      </w:pPr>
      <w:r>
        <w:rPr>
          <w:rFonts w:hint="eastAsia"/>
        </w:rPr>
        <w:t>2、若投标人对投标文件做必要修改或澄清，则应在修改或澄清处加盖投标人公章或由法定代表人或法定代表人授权代表签字确认。</w:t>
      </w:r>
    </w:p>
    <w:p>
      <w:pPr>
        <w:pStyle w:val="22"/>
        <w:ind w:firstLine="480"/>
      </w:pPr>
      <w:r>
        <w:rPr>
          <w:rFonts w:hint="eastAsia"/>
        </w:rPr>
        <w:t>（四）投标报价</w:t>
      </w:r>
    </w:p>
    <w:p>
      <w:pPr>
        <w:pStyle w:val="22"/>
        <w:ind w:firstLine="480"/>
      </w:pPr>
      <w:r>
        <w:rPr>
          <w:rFonts w:hint="eastAsia"/>
        </w:rPr>
        <w:t>1、投标人应严格按照“投标文件格式”中“开标一览表”和“分项报价明细表”的格式填写报价。</w:t>
      </w:r>
    </w:p>
    <w:p>
      <w:pPr>
        <w:pStyle w:val="22"/>
        <w:ind w:firstLine="480"/>
      </w:pPr>
      <w:r>
        <w:rPr>
          <w:rFonts w:hint="eastAsia"/>
        </w:rPr>
        <w:t>2、投标人的报价为一次性报价，即在投标有效期内投标价格固定不变。</w:t>
      </w:r>
    </w:p>
    <w:p>
      <w:pPr>
        <w:pStyle w:val="22"/>
        <w:ind w:firstLine="480"/>
      </w:pPr>
      <w:r>
        <w:rPr>
          <w:rFonts w:hint="eastAsia"/>
        </w:rPr>
        <w:t>3、本项目只接受一个投标报价，有选择的或有条件的报价将不予接受。</w:t>
      </w:r>
    </w:p>
    <w:p>
      <w:pPr>
        <w:pStyle w:val="22"/>
        <w:ind w:firstLine="480"/>
      </w:pPr>
      <w:r>
        <w:rPr>
          <w:rFonts w:hint="eastAsia"/>
        </w:rPr>
        <w:t>（五）修正错误</w:t>
      </w:r>
    </w:p>
    <w:p>
      <w:pPr>
        <w:pStyle w:val="22"/>
        <w:ind w:firstLine="480"/>
      </w:pPr>
      <w:r>
        <w:rPr>
          <w:rFonts w:hint="eastAsia"/>
        </w:rPr>
        <w:t>若投标文件出现计算或表达上的错误，修正错误的原则如下：</w:t>
      </w:r>
    </w:p>
    <w:p>
      <w:pPr>
        <w:pStyle w:val="22"/>
        <w:ind w:firstLine="480"/>
      </w:pPr>
      <w:r>
        <w:rPr>
          <w:rFonts w:hint="eastAsia"/>
        </w:rPr>
        <w:t>1、开标一览表总价与投标报价明细表汇总数不一致的，以开标一览表为准；</w:t>
      </w:r>
    </w:p>
    <w:p>
      <w:pPr>
        <w:pStyle w:val="22"/>
        <w:ind w:firstLine="480"/>
      </w:pPr>
      <w:r>
        <w:rPr>
          <w:rFonts w:hint="eastAsia"/>
        </w:rPr>
        <w:t>2、投标文件的大写金额和小写金额不一致的，以大写金额为准；</w:t>
      </w:r>
    </w:p>
    <w:p>
      <w:pPr>
        <w:pStyle w:val="22"/>
        <w:ind w:firstLine="480"/>
      </w:pPr>
      <w:r>
        <w:rPr>
          <w:rFonts w:hint="eastAsia"/>
        </w:rPr>
        <w:t>3、总价金额与按单价汇总金额不一致的，以单价金额计算结果为准；</w:t>
      </w:r>
    </w:p>
    <w:p>
      <w:pPr>
        <w:pStyle w:val="22"/>
        <w:ind w:firstLine="480"/>
      </w:pPr>
      <w:r>
        <w:rPr>
          <w:rFonts w:hint="eastAsia"/>
        </w:rPr>
        <w:t>4、单价金额小数点有明显错位的，应以总价为准，并修正单价；</w:t>
      </w:r>
    </w:p>
    <w:p>
      <w:pPr>
        <w:pStyle w:val="22"/>
        <w:ind w:firstLine="480"/>
      </w:pPr>
      <w:r>
        <w:rPr>
          <w:rFonts w:hint="eastAsia"/>
        </w:rPr>
        <w:t>5、对不同文字投标文件的解释发生异议的，以中文为准。</w:t>
      </w:r>
    </w:p>
    <w:p>
      <w:pPr>
        <w:pStyle w:val="22"/>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2"/>
        <w:ind w:firstLine="480"/>
      </w:pPr>
      <w:r>
        <w:rPr>
          <w:rFonts w:hint="eastAsia"/>
        </w:rPr>
        <w:t>（六）投标文件的递交</w:t>
      </w:r>
    </w:p>
    <w:p>
      <w:pPr>
        <w:pStyle w:val="22"/>
        <w:ind w:firstLine="480"/>
      </w:pPr>
      <w:r>
        <w:rPr>
          <w:rFonts w:hint="eastAsia"/>
        </w:rPr>
        <w:t>1、投标文件须在投标截止时间前递交至指定地点。</w:t>
      </w:r>
    </w:p>
    <w:p>
      <w:pPr>
        <w:pStyle w:val="22"/>
        <w:ind w:firstLine="480"/>
      </w:pPr>
      <w:r>
        <w:rPr>
          <w:rFonts w:hint="eastAsia"/>
        </w:rPr>
        <w:t>2、投标人递交投标文件的地点：见投标邀请书。</w:t>
      </w:r>
    </w:p>
    <w:p>
      <w:pPr>
        <w:pStyle w:val="22"/>
        <w:ind w:firstLine="480"/>
      </w:pPr>
      <w:r>
        <w:rPr>
          <w:rFonts w:hint="eastAsia"/>
        </w:rPr>
        <w:t>3、逾期递交或未递交到指定地点的投标文件恕不接受。</w:t>
      </w:r>
    </w:p>
    <w:p>
      <w:pPr>
        <w:pStyle w:val="19"/>
        <w:ind w:firstLine="562"/>
      </w:pPr>
      <w:bookmarkStart w:id="32" w:name="_Toc5109"/>
      <w:r>
        <w:rPr>
          <w:rFonts w:hint="eastAsia"/>
        </w:rPr>
        <w:t>四、开标</w:t>
      </w:r>
      <w:bookmarkEnd w:id="32"/>
    </w:p>
    <w:p>
      <w:pPr>
        <w:pStyle w:val="22"/>
        <w:ind w:firstLine="480"/>
      </w:pPr>
      <w:r>
        <w:rPr>
          <w:rFonts w:hint="eastAsia"/>
        </w:rPr>
        <w:t>（一）开标应当在招标文件中“投标邀请书”确定的时间和地点公开进行。</w:t>
      </w:r>
    </w:p>
    <w:p>
      <w:pPr>
        <w:pStyle w:val="22"/>
        <w:ind w:firstLine="480"/>
      </w:pPr>
      <w:r>
        <w:rPr>
          <w:rFonts w:hint="eastAsia"/>
        </w:rPr>
        <w:t>（二）开标由采购机构主持，邀请招标人、投标人参加，财政部门和有关监督部门可视情况派员现场监督。</w:t>
      </w:r>
    </w:p>
    <w:p>
      <w:pPr>
        <w:pStyle w:val="22"/>
        <w:ind w:firstLine="480"/>
      </w:pPr>
      <w:r>
        <w:rPr>
          <w:rFonts w:hint="eastAsia"/>
        </w:rPr>
        <w:t>（三）本次</w:t>
      </w:r>
      <w:r>
        <w:t>采用</w:t>
      </w:r>
      <w:r>
        <w:rPr>
          <w:rFonts w:hint="eastAsia"/>
        </w:rPr>
        <w:t>网上</w:t>
      </w:r>
      <w:r>
        <w:t>开标</w:t>
      </w:r>
      <w:r>
        <w:rPr>
          <w:rFonts w:hint="eastAsia"/>
        </w:rPr>
        <w:t>，投标人在</w:t>
      </w:r>
      <w:r>
        <w:t>线参加开标（不需</w:t>
      </w:r>
      <w:r>
        <w:rPr>
          <w:rFonts w:hint="eastAsia"/>
        </w:rPr>
        <w:t>到</w:t>
      </w:r>
      <w:r>
        <w:t>现场参加开标）</w:t>
      </w:r>
      <w:r>
        <w:rPr>
          <w:rFonts w:hint="eastAsia"/>
        </w:rPr>
        <w:t>。开标前投标人完成设备测试，保证摄像头及麦克风正常使用。自</w:t>
      </w:r>
      <w:r>
        <w:t>开标时间起至评标</w:t>
      </w:r>
      <w:r>
        <w:rPr>
          <w:rFonts w:hint="eastAsia"/>
        </w:rPr>
        <w:t>结束</w:t>
      </w:r>
      <w:r>
        <w:t>，</w:t>
      </w:r>
      <w:r>
        <w:rPr>
          <w:rFonts w:hint="eastAsia"/>
        </w:rPr>
        <w:t>投标人</w:t>
      </w:r>
      <w:r>
        <w:t>须</w:t>
      </w:r>
      <w:r>
        <w:rPr>
          <w:rFonts w:hint="eastAsia"/>
        </w:rPr>
        <w:t>登录新疆政府采购平台并</w:t>
      </w:r>
      <w:r>
        <w:t>保持网络畅通，随时</w:t>
      </w:r>
      <w:r>
        <w:rPr>
          <w:rFonts w:hint="eastAsia"/>
        </w:rPr>
        <w:t>答复</w:t>
      </w:r>
      <w:r>
        <w:t>评</w:t>
      </w:r>
      <w:r>
        <w:rPr>
          <w:rFonts w:hint="eastAsia"/>
        </w:rPr>
        <w:t>标</w:t>
      </w:r>
      <w:r>
        <w:t>委</w:t>
      </w:r>
      <w:r>
        <w:rPr>
          <w:rFonts w:hint="eastAsia"/>
        </w:rPr>
        <w:t>员</w:t>
      </w:r>
      <w:r>
        <w:t>会</w:t>
      </w:r>
      <w:r>
        <w:rPr>
          <w:rFonts w:hint="eastAsia"/>
        </w:rPr>
        <w:t>的</w:t>
      </w:r>
      <w:r>
        <w:t>疑问</w:t>
      </w:r>
      <w:r>
        <w:rPr>
          <w:rFonts w:hint="eastAsia"/>
        </w:rPr>
        <w:t>。</w:t>
      </w:r>
      <w:r>
        <w:t>若</w:t>
      </w:r>
      <w:r>
        <w:rPr>
          <w:rFonts w:hint="eastAsia"/>
        </w:rPr>
        <w:t>投标人</w:t>
      </w:r>
      <w:r>
        <w:t>未在</w:t>
      </w:r>
      <w:r>
        <w:rPr>
          <w:rFonts w:hint="eastAsia"/>
        </w:rPr>
        <w:t>规定</w:t>
      </w:r>
      <w:r>
        <w:t>时间内答复</w:t>
      </w:r>
      <w:r>
        <w:rPr>
          <w:rFonts w:hint="eastAsia"/>
        </w:rPr>
        <w:t>的</w:t>
      </w:r>
      <w:r>
        <w:t>，</w:t>
      </w:r>
      <w:r>
        <w:rPr>
          <w:rFonts w:hint="eastAsia"/>
        </w:rPr>
        <w:t>由此</w:t>
      </w:r>
      <w:r>
        <w:t>产生的后果将由</w:t>
      </w:r>
      <w:r>
        <w:rPr>
          <w:rFonts w:hint="eastAsia"/>
        </w:rPr>
        <w:t>投标人自行</w:t>
      </w:r>
      <w:r>
        <w:t>承担</w:t>
      </w:r>
      <w:r>
        <w:rPr>
          <w:rFonts w:hint="eastAsia"/>
        </w:rPr>
        <w:t>。</w:t>
      </w:r>
    </w:p>
    <w:p>
      <w:pPr>
        <w:pStyle w:val="22"/>
        <w:ind w:firstLine="480"/>
      </w:pPr>
      <w:r>
        <w:rPr>
          <w:rFonts w:hint="eastAsia"/>
        </w:rPr>
        <w:t>（四）投标人登录政采云平台，在开标时间后30分钟内（2022年6月17日上午10:30-11:00）用“项目采购-开标评标”功能进行解密投标文件。若投标人在规定时间内（2022年6月17日上午10:30-11:00）未按时解密的，视为无效投标。解密与加密投标文件须使用同一个CA。</w:t>
      </w:r>
    </w:p>
    <w:p>
      <w:pPr>
        <w:pStyle w:val="22"/>
        <w:ind w:firstLine="480"/>
      </w:pPr>
      <w:r>
        <w:rPr>
          <w:rFonts w:hint="eastAsia"/>
        </w:rPr>
        <w:t>（五）投标人应在开启报价20分钟内进行签字确认。</w:t>
      </w:r>
    </w:p>
    <w:p>
      <w:pPr>
        <w:pStyle w:val="19"/>
        <w:ind w:firstLine="562"/>
      </w:pPr>
      <w:bookmarkStart w:id="33" w:name="_Toc31308"/>
      <w:r>
        <w:rPr>
          <w:rFonts w:hint="eastAsia"/>
        </w:rPr>
        <w:t>五、评标</w:t>
      </w:r>
      <w:bookmarkEnd w:id="33"/>
    </w:p>
    <w:p>
      <w:pPr>
        <w:pStyle w:val="22"/>
        <w:ind w:firstLine="480"/>
      </w:pPr>
      <w:r>
        <w:rPr>
          <w:rFonts w:hint="eastAsia"/>
        </w:rPr>
        <w:t>见第四篇“评标”内容。</w:t>
      </w:r>
    </w:p>
    <w:p>
      <w:pPr>
        <w:pStyle w:val="19"/>
        <w:ind w:firstLine="562"/>
      </w:pPr>
      <w:bookmarkStart w:id="34" w:name="_Toc25025"/>
      <w:r>
        <w:rPr>
          <w:rFonts w:hint="eastAsia"/>
        </w:rPr>
        <w:t>六、定标</w:t>
      </w:r>
      <w:bookmarkEnd w:id="34"/>
    </w:p>
    <w:p>
      <w:pPr>
        <w:pStyle w:val="22"/>
        <w:ind w:firstLine="480"/>
      </w:pPr>
      <w:r>
        <w:rPr>
          <w:rFonts w:hint="eastAsia"/>
        </w:rPr>
        <w:t>（一）招标人或其授权的评标委员会应按照评标报告中推荐的中标候选人排名顺序确定中标人。</w:t>
      </w:r>
    </w:p>
    <w:p>
      <w:pPr>
        <w:pStyle w:val="22"/>
        <w:ind w:firstLine="480"/>
      </w:pPr>
      <w:r>
        <w:rPr>
          <w:rFonts w:hint="eastAsia"/>
        </w:rPr>
        <w:t>（二）如有投标人对评标结果提出质疑的，在质疑处理完毕后发出中标通知书。</w:t>
      </w:r>
    </w:p>
    <w:p>
      <w:pPr>
        <w:pStyle w:val="19"/>
        <w:ind w:firstLine="562"/>
      </w:pPr>
      <w:bookmarkStart w:id="35" w:name="_Toc30114"/>
      <w:r>
        <w:rPr>
          <w:rFonts w:hint="eastAsia"/>
        </w:rPr>
        <w:t>七、中标通知书</w:t>
      </w:r>
      <w:bookmarkEnd w:id="35"/>
    </w:p>
    <w:p>
      <w:pPr>
        <w:pStyle w:val="22"/>
        <w:ind w:firstLine="480"/>
      </w:pPr>
      <w:r>
        <w:rPr>
          <w:rFonts w:hint="eastAsia"/>
        </w:rPr>
        <w:t>（一）招标人依法确定中标人后，采购机构以电子形式发出中标通知书。</w:t>
      </w:r>
    </w:p>
    <w:p>
      <w:pPr>
        <w:pStyle w:val="22"/>
        <w:ind w:firstLine="480"/>
      </w:pPr>
      <w:r>
        <w:rPr>
          <w:rFonts w:hint="eastAsia"/>
        </w:rPr>
        <w:t>（二）中标通知书发出后，招标人改变中标结果，或者中标人放弃中标，应当承担相应的法律责任。</w:t>
      </w:r>
    </w:p>
    <w:p>
      <w:pPr>
        <w:pStyle w:val="19"/>
        <w:ind w:firstLine="562"/>
      </w:pPr>
      <w:bookmarkStart w:id="36" w:name="_Toc20017"/>
      <w:r>
        <w:rPr>
          <w:rFonts w:hint="eastAsia"/>
        </w:rPr>
        <w:t>八、关于质疑和投诉</w:t>
      </w:r>
      <w:bookmarkEnd w:id="36"/>
    </w:p>
    <w:p>
      <w:pPr>
        <w:pStyle w:val="22"/>
        <w:ind w:firstLine="480"/>
      </w:pPr>
      <w:r>
        <w:rPr>
          <w:rFonts w:hint="eastAsia"/>
        </w:rPr>
        <w:t>（一）质疑内容、时限、质疑书数量</w:t>
      </w:r>
    </w:p>
    <w:p>
      <w:pPr>
        <w:pStyle w:val="22"/>
        <w:ind w:firstLine="480"/>
      </w:pPr>
      <w:r>
        <w:rPr>
          <w:rFonts w:hint="eastAsia"/>
        </w:rPr>
        <w:t>1、招标文件公告期限为采购公告发出之日起五个工作日，投标人对招标文件如有异议，应在招标文件公告期限届满之日起七个工作日内以书面形式向招标人、采购机构提出质疑，并附相关证明材料。</w:t>
      </w:r>
    </w:p>
    <w:p>
      <w:pPr>
        <w:pStyle w:val="22"/>
        <w:ind w:firstLine="480"/>
      </w:pPr>
      <w:r>
        <w:rPr>
          <w:rFonts w:hint="eastAsia"/>
        </w:rPr>
        <w:t>2、投标人对中标结果有异议的，应当在中标公告发布之日起七个工作日内以书面形式向招标人、采购机构提出质疑，并附相关证明材料。</w:t>
      </w:r>
    </w:p>
    <w:p>
      <w:pPr>
        <w:pStyle w:val="22"/>
        <w:ind w:firstLine="480"/>
      </w:pPr>
      <w:r>
        <w:rPr>
          <w:rFonts w:hint="eastAsia"/>
        </w:rPr>
        <w:t>3、投标人对招标文件中投标人特定资格条件、技术质量和商务要求、评审标准及评审细则有异议的，应主要向招标人提出质疑，其他问题可向采购机构提出质疑。</w:t>
      </w:r>
    </w:p>
    <w:p>
      <w:pPr>
        <w:pStyle w:val="22"/>
        <w:ind w:firstLine="480"/>
        <w:rPr>
          <w:color w:val="auto"/>
        </w:rPr>
      </w:pPr>
      <w:r>
        <w:rPr>
          <w:rFonts w:hint="eastAsia"/>
          <w:color w:val="auto"/>
        </w:rPr>
        <w:t>4、质疑函应当包括下列内容：</w:t>
      </w:r>
    </w:p>
    <w:p>
      <w:pPr>
        <w:pStyle w:val="22"/>
        <w:ind w:firstLine="480"/>
        <w:rPr>
          <w:color w:val="auto"/>
        </w:rPr>
      </w:pPr>
      <w:r>
        <w:rPr>
          <w:rFonts w:hint="eastAsia"/>
          <w:color w:val="auto"/>
        </w:rPr>
        <w:t>4.1</w:t>
      </w:r>
      <w:r>
        <w:rPr>
          <w:rFonts w:cs="Times New Roman"/>
          <w:color w:val="auto"/>
          <w:kern w:val="2"/>
        </w:rPr>
        <w:t>投标人的姓名或者名称、地址、邮编、联系人及联系电话；</w:t>
      </w:r>
    </w:p>
    <w:p>
      <w:pPr>
        <w:pStyle w:val="22"/>
        <w:ind w:firstLine="480"/>
        <w:rPr>
          <w:color w:val="auto"/>
        </w:rPr>
      </w:pPr>
      <w:r>
        <w:rPr>
          <w:rFonts w:hint="eastAsia"/>
          <w:color w:val="auto"/>
        </w:rPr>
        <w:t>4.2</w:t>
      </w:r>
      <w:r>
        <w:rPr>
          <w:rFonts w:cs="Times New Roman"/>
          <w:color w:val="auto"/>
          <w:kern w:val="2"/>
        </w:rPr>
        <w:t>质疑项目的名称、编号；</w:t>
      </w:r>
    </w:p>
    <w:p>
      <w:pPr>
        <w:pStyle w:val="22"/>
        <w:ind w:firstLine="480"/>
        <w:rPr>
          <w:color w:val="auto"/>
        </w:rPr>
      </w:pPr>
      <w:r>
        <w:rPr>
          <w:rFonts w:hint="eastAsia"/>
          <w:color w:val="auto"/>
        </w:rPr>
        <w:t>4.3</w:t>
      </w:r>
      <w:r>
        <w:rPr>
          <w:rFonts w:cs="Times New Roman"/>
          <w:color w:val="auto"/>
          <w:kern w:val="2"/>
        </w:rPr>
        <w:t>具体、明确的质疑事项和与质疑事项相关的请求；</w:t>
      </w:r>
    </w:p>
    <w:p>
      <w:pPr>
        <w:pStyle w:val="22"/>
        <w:ind w:firstLine="480"/>
        <w:rPr>
          <w:color w:val="auto"/>
        </w:rPr>
      </w:pPr>
      <w:r>
        <w:rPr>
          <w:rFonts w:hint="eastAsia"/>
          <w:color w:val="auto"/>
        </w:rPr>
        <w:t>4.4</w:t>
      </w:r>
      <w:r>
        <w:rPr>
          <w:rFonts w:cs="Times New Roman"/>
          <w:color w:val="auto"/>
          <w:kern w:val="2"/>
        </w:rPr>
        <w:t>事实依据；</w:t>
      </w:r>
    </w:p>
    <w:p>
      <w:pPr>
        <w:pStyle w:val="22"/>
        <w:ind w:firstLine="480"/>
        <w:rPr>
          <w:color w:val="auto"/>
        </w:rPr>
      </w:pPr>
      <w:r>
        <w:rPr>
          <w:rFonts w:hint="eastAsia"/>
          <w:color w:val="auto"/>
        </w:rPr>
        <w:t>4.5</w:t>
      </w:r>
      <w:r>
        <w:rPr>
          <w:rFonts w:cs="Times New Roman"/>
          <w:color w:val="auto"/>
          <w:kern w:val="2"/>
        </w:rPr>
        <w:t>必要的法律依据；</w:t>
      </w:r>
    </w:p>
    <w:p>
      <w:pPr>
        <w:pStyle w:val="22"/>
        <w:ind w:firstLine="480"/>
        <w:rPr>
          <w:rFonts w:cs="Times New Roman"/>
          <w:color w:val="auto"/>
          <w:kern w:val="2"/>
        </w:rPr>
      </w:pPr>
      <w:r>
        <w:rPr>
          <w:rFonts w:hint="eastAsia"/>
          <w:color w:val="auto"/>
        </w:rPr>
        <w:t>4.6</w:t>
      </w:r>
      <w:r>
        <w:rPr>
          <w:rFonts w:cs="Times New Roman"/>
          <w:color w:val="auto"/>
          <w:kern w:val="2"/>
        </w:rPr>
        <w:t>提出质疑的日期。</w:t>
      </w:r>
    </w:p>
    <w:p>
      <w:pPr>
        <w:pStyle w:val="22"/>
        <w:ind w:firstLine="480"/>
        <w:rPr>
          <w:rFonts w:cs="Times New Roman"/>
          <w:color w:val="auto"/>
          <w:kern w:val="2"/>
        </w:rPr>
      </w:pPr>
      <w:r>
        <w:rPr>
          <w:rFonts w:hint="eastAsia"/>
          <w:color w:val="auto"/>
        </w:rPr>
        <w:t>质疑人</w:t>
      </w:r>
      <w:r>
        <w:rPr>
          <w:rFonts w:cs="Times New Roman"/>
          <w:color w:val="auto"/>
          <w:kern w:val="2"/>
        </w:rPr>
        <w:t>为自然人的，应当由本人签字；</w:t>
      </w:r>
      <w:r>
        <w:rPr>
          <w:rFonts w:hint="eastAsia"/>
          <w:color w:val="auto"/>
        </w:rPr>
        <w:t>质疑人</w:t>
      </w:r>
      <w:r>
        <w:rPr>
          <w:rFonts w:cs="Times New Roman"/>
          <w:color w:val="auto"/>
          <w:kern w:val="2"/>
        </w:rPr>
        <w:t>为法人或者其他组织的，应当由法定代表人、主要负责人，或者其授权代表签字或者盖章，并加盖公章。</w:t>
      </w:r>
    </w:p>
    <w:p>
      <w:pPr>
        <w:pStyle w:val="22"/>
        <w:ind w:firstLine="480"/>
      </w:pPr>
      <w:r>
        <w:rPr>
          <w:rFonts w:hint="eastAsia"/>
        </w:rPr>
        <w:t>5、质疑书数量：一式四份。</w:t>
      </w:r>
    </w:p>
    <w:p>
      <w:pPr>
        <w:pStyle w:val="22"/>
        <w:ind w:firstLine="480"/>
      </w:pPr>
      <w:r>
        <w:rPr>
          <w:rFonts w:hint="eastAsia"/>
        </w:rPr>
        <w:t>（</w:t>
      </w:r>
      <w:r>
        <w:rPr>
          <w:rFonts w:hint="eastAsia" w:ascii="方正仿宋_GBK" w:eastAsia="方正仿宋_GBK" w:cs="仿宋"/>
        </w:rPr>
        <w:t>质疑函范本可在财政部门户网站和中国政府采购网下载。</w:t>
      </w:r>
      <w:r>
        <w:rPr>
          <w:rFonts w:hint="eastAsia"/>
        </w:rPr>
        <w:t>）</w:t>
      </w:r>
    </w:p>
    <w:p>
      <w:pPr>
        <w:pStyle w:val="22"/>
        <w:ind w:firstLine="480"/>
      </w:pPr>
      <w:r>
        <w:rPr>
          <w:rFonts w:hint="eastAsia"/>
        </w:rPr>
        <w:t>（二）质疑答复时限</w:t>
      </w:r>
    </w:p>
    <w:p>
      <w:pPr>
        <w:pStyle w:val="22"/>
        <w:ind w:firstLine="480"/>
      </w:pPr>
      <w:r>
        <w:rPr>
          <w:rFonts w:hint="eastAsia"/>
        </w:rPr>
        <w:t>招标人、采购机构在收到投标人书面质疑后七个工作日内，对质疑内容作出答复。</w:t>
      </w:r>
    </w:p>
    <w:p>
      <w:pPr>
        <w:pStyle w:val="22"/>
        <w:ind w:firstLine="480"/>
      </w:pPr>
      <w:r>
        <w:rPr>
          <w:rFonts w:hint="eastAsia"/>
        </w:rPr>
        <w:t>（三）不予受理或暂缓受理</w:t>
      </w:r>
    </w:p>
    <w:p>
      <w:pPr>
        <w:pStyle w:val="22"/>
        <w:ind w:firstLine="480"/>
      </w:pPr>
      <w:r>
        <w:rPr>
          <w:rFonts w:hint="eastAsia"/>
        </w:rPr>
        <w:t>1、质疑有下列情形之一的，不予受理：</w:t>
      </w:r>
    </w:p>
    <w:p>
      <w:pPr>
        <w:pStyle w:val="22"/>
        <w:ind w:firstLine="480"/>
      </w:pPr>
      <w:r>
        <w:rPr>
          <w:rFonts w:hint="eastAsia"/>
        </w:rPr>
        <w:t>1.1质疑投标人参与了投标活动后，再对招标文件内容提出质疑的；</w:t>
      </w:r>
    </w:p>
    <w:p>
      <w:pPr>
        <w:pStyle w:val="22"/>
        <w:ind w:firstLine="480"/>
      </w:pPr>
      <w:r>
        <w:rPr>
          <w:rFonts w:hint="eastAsia"/>
        </w:rPr>
        <w:t>1.2质疑超过有效期的；</w:t>
      </w:r>
    </w:p>
    <w:p>
      <w:pPr>
        <w:pStyle w:val="22"/>
        <w:ind w:firstLine="480"/>
        <w:rPr>
          <w:color w:val="auto"/>
        </w:rPr>
      </w:pPr>
      <w:r>
        <w:rPr>
          <w:rFonts w:hint="eastAsia"/>
          <w:color w:val="auto"/>
        </w:rPr>
        <w:t>1.3对同一事项重复质疑时，未提供新的事实证据或法律依据；</w:t>
      </w:r>
    </w:p>
    <w:p>
      <w:pPr>
        <w:pStyle w:val="22"/>
        <w:ind w:firstLine="480"/>
      </w:pPr>
      <w:r>
        <w:rPr>
          <w:rFonts w:hint="eastAsia"/>
        </w:rPr>
        <w:t>1.4质疑人未参与所质疑的政府采购活动的。</w:t>
      </w:r>
    </w:p>
    <w:p>
      <w:pPr>
        <w:pStyle w:val="22"/>
        <w:ind w:firstLine="480"/>
      </w:pPr>
      <w:r>
        <w:rPr>
          <w:rFonts w:hint="eastAsia"/>
        </w:rPr>
        <w:t>2、质疑有下列情形之一的，应暂不受理并告知投标人补充材料。投标人及时补充材料的，应予受理；逾期未补充的，不予受理：</w:t>
      </w:r>
    </w:p>
    <w:p>
      <w:pPr>
        <w:pStyle w:val="22"/>
        <w:ind w:firstLine="480"/>
      </w:pPr>
      <w:r>
        <w:rPr>
          <w:rFonts w:hint="eastAsia"/>
        </w:rPr>
        <w:t>2.1质疑书内容不符合规定的；</w:t>
      </w:r>
    </w:p>
    <w:p>
      <w:pPr>
        <w:pStyle w:val="22"/>
        <w:ind w:firstLine="480"/>
      </w:pPr>
      <w:r>
        <w:rPr>
          <w:rFonts w:hint="eastAsia"/>
        </w:rPr>
        <w:t>2.2质疑书提供的依据或证明材料不全的；</w:t>
      </w:r>
    </w:p>
    <w:p>
      <w:pPr>
        <w:pStyle w:val="22"/>
        <w:ind w:firstLine="480"/>
      </w:pPr>
      <w:r>
        <w:rPr>
          <w:rFonts w:hint="eastAsia"/>
        </w:rPr>
        <w:t>2.3质疑书数量不足的。</w:t>
      </w:r>
    </w:p>
    <w:p>
      <w:pPr>
        <w:pStyle w:val="22"/>
        <w:ind w:firstLine="480"/>
      </w:pPr>
      <w:r>
        <w:rPr>
          <w:rFonts w:hint="eastAsia"/>
        </w:rPr>
        <w:t>（四）投诉</w:t>
      </w:r>
    </w:p>
    <w:p>
      <w:pPr>
        <w:pStyle w:val="22"/>
        <w:ind w:firstLine="480"/>
      </w:pPr>
      <w:r>
        <w:rPr>
          <w:rFonts w:hint="eastAsia"/>
        </w:rPr>
        <w:t>1、投标人对招标人、采购机构的答复不满意或者招标人、采购机构未在规定时间内答复的，可在答复期满后十五个工作日内按有关规定，向同级财政部门投诉。</w:t>
      </w:r>
    </w:p>
    <w:p>
      <w:pPr>
        <w:pStyle w:val="22"/>
        <w:ind w:firstLine="480"/>
      </w:pPr>
      <w:r>
        <w:rPr>
          <w:rFonts w:hint="eastAsia"/>
        </w:rPr>
        <w:t>2、在提出投诉时，应附送相关证明材料。投诉书及证明材料为外文的，应同时提供其中文译本；中文与外文意思不一致的，以中文为准。</w:t>
      </w:r>
    </w:p>
    <w:p>
      <w:pPr>
        <w:pStyle w:val="22"/>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19"/>
        <w:ind w:firstLine="562"/>
      </w:pPr>
      <w:bookmarkStart w:id="37" w:name="_Toc28451"/>
      <w:r>
        <w:rPr>
          <w:rFonts w:hint="eastAsia"/>
        </w:rPr>
        <w:t>九、签订合同</w:t>
      </w:r>
      <w:bookmarkEnd w:id="37"/>
    </w:p>
    <w:p>
      <w:pPr>
        <w:pStyle w:val="22"/>
        <w:ind w:firstLine="480"/>
      </w:pPr>
      <w:r>
        <w:rPr>
          <w:rFonts w:hint="eastAsia"/>
        </w:rPr>
        <w:t>（一）招标人应当自中标通知书发出之日起三十日内，按照招标文件和中标人投标文件的约定，与中标人签订书面合同。所签订的合同不得对招标文件和中标人投标文件作实质性修改。</w:t>
      </w:r>
    </w:p>
    <w:p>
      <w:pPr>
        <w:pStyle w:val="22"/>
        <w:ind w:firstLine="480"/>
      </w:pPr>
      <w:r>
        <w:rPr>
          <w:rFonts w:hint="eastAsia"/>
        </w:rPr>
        <w:t>（二）</w:t>
      </w:r>
      <w:r>
        <w:t>招标人应当自政府采购合同签订之日起2个工作日内，将政府采购合同在</w:t>
      </w:r>
      <w:r>
        <w:rPr>
          <w:rFonts w:hint="eastAsia"/>
        </w:rPr>
        <w:t>新疆政府采购网</w:t>
      </w:r>
      <w:r>
        <w:t>上公告，</w:t>
      </w:r>
      <w:r>
        <w:rPr>
          <w:rFonts w:hint="eastAsia"/>
        </w:rPr>
        <w:t>7个工作日内送至市政府采购管理办公室备案，</w:t>
      </w:r>
      <w:r>
        <w:t>但政府采购合同中涉及国家秘密、商业秘密的内容除外。</w:t>
      </w:r>
    </w:p>
    <w:p>
      <w:pPr>
        <w:pStyle w:val="22"/>
        <w:ind w:firstLine="480"/>
      </w:pPr>
      <w:r>
        <w:rPr>
          <w:rFonts w:hint="eastAsia"/>
        </w:rPr>
        <w:t>（三）招标文件、中标人的投标文件及澄清文件等，均为签订政府采购合同的依据。</w:t>
      </w:r>
    </w:p>
    <w:p>
      <w:pPr>
        <w:pStyle w:val="22"/>
        <w:ind w:firstLine="480"/>
      </w:pPr>
      <w:r>
        <w:rPr>
          <w:rFonts w:hint="eastAsia"/>
        </w:rPr>
        <w:t>（四）合同生效条款由供需双方约定，法律、行政法规规定应当办理批准、登记等手续后生效的合同，依照其规定。</w:t>
      </w:r>
    </w:p>
    <w:p>
      <w:pPr>
        <w:pStyle w:val="22"/>
        <w:ind w:firstLine="480"/>
      </w:pPr>
      <w:r>
        <w:rPr>
          <w:rFonts w:hint="eastAsia"/>
        </w:rPr>
        <w:t>（五）合同原则上应按照《政府采购购销合同》签订。</w:t>
      </w:r>
    </w:p>
    <w:p>
      <w:pPr>
        <w:widowControl/>
        <w:spacing w:line="600" w:lineRule="exact"/>
        <w:ind w:firstLine="520"/>
        <w:jc w:val="center"/>
        <w:rPr>
          <w:rFonts w:ascii="方正小标宋简体" w:hAnsi="仿宋" w:eastAsia="方正小标宋简体" w:cs="宋体"/>
          <w:b/>
          <w:color w:val="000000"/>
          <w:kern w:val="44"/>
          <w:sz w:val="36"/>
          <w:szCs w:val="36"/>
        </w:rPr>
      </w:pPr>
      <w:r>
        <w:br w:type="page"/>
      </w:r>
    </w:p>
    <w:p>
      <w:pPr>
        <w:pStyle w:val="17"/>
        <w:rPr>
          <w:rFonts w:ascii="仿宋" w:eastAsia="仿宋"/>
          <w:kern w:val="24"/>
          <w:sz w:val="24"/>
          <w:szCs w:val="24"/>
        </w:rPr>
      </w:pPr>
      <w:bookmarkStart w:id="38" w:name="_Toc5852"/>
      <w:r>
        <w:rPr>
          <w:rFonts w:hint="eastAsia"/>
        </w:rPr>
        <w:t>第六篇  合同主要条款和格式合同（样本）</w:t>
      </w:r>
      <w:bookmarkEnd w:id="38"/>
      <w:bookmarkStart w:id="39" w:name="_Toc277084870"/>
      <w:bookmarkStart w:id="40" w:name="_Toc285722712"/>
    </w:p>
    <w:p>
      <w:pPr>
        <w:pStyle w:val="19"/>
        <w:ind w:firstLine="562"/>
      </w:pPr>
      <w:bookmarkStart w:id="41" w:name="_Toc8369"/>
      <w:r>
        <w:rPr>
          <w:rFonts w:hint="eastAsia"/>
        </w:rPr>
        <w:t>一、合同主要条款</w:t>
      </w:r>
      <w:bookmarkEnd w:id="39"/>
      <w:bookmarkEnd w:id="40"/>
      <w:bookmarkEnd w:id="41"/>
    </w:p>
    <w:p>
      <w:pPr>
        <w:pStyle w:val="22"/>
        <w:ind w:firstLine="480"/>
      </w:pPr>
      <w:r>
        <w:rPr>
          <w:rFonts w:hint="eastAsia"/>
        </w:rPr>
        <w:t>1、定义</w:t>
      </w:r>
    </w:p>
    <w:p>
      <w:pPr>
        <w:pStyle w:val="22"/>
        <w:ind w:firstLine="480"/>
      </w:pPr>
      <w:r>
        <w:rPr>
          <w:rFonts w:hint="eastAsia"/>
        </w:rPr>
        <w:t>1.1甲方（需方）即招标人，是指通过招标采购，接受合同货物及服务的各级国家机关、事业单位和团体组织。</w:t>
      </w:r>
    </w:p>
    <w:p>
      <w:pPr>
        <w:pStyle w:val="22"/>
        <w:ind w:firstLine="480"/>
      </w:pPr>
      <w:r>
        <w:rPr>
          <w:rFonts w:hint="eastAsia"/>
        </w:rPr>
        <w:t>1.2乙方（供方）即中标人，是指中标后提供合同货物和服务的自然人、法人及其他组织。</w:t>
      </w:r>
    </w:p>
    <w:p>
      <w:pPr>
        <w:pStyle w:val="22"/>
        <w:ind w:firstLine="480"/>
      </w:pPr>
      <w:r>
        <w:rPr>
          <w:rFonts w:hint="eastAsia"/>
        </w:rPr>
        <w:t>1.3合同是指由甲乙双方按照招标文件和投标文件的实质性内容，通过协商一致达成的书面协议。</w:t>
      </w:r>
    </w:p>
    <w:p>
      <w:pPr>
        <w:pStyle w:val="22"/>
        <w:ind w:firstLine="480"/>
      </w:pPr>
      <w:r>
        <w:rPr>
          <w:rFonts w:hint="eastAsia"/>
        </w:rPr>
        <w:t>1.4合同价格指以中标价格为依据，在供方全面履行合同义务后，需方（或财政部门）应支付给供方的金额。</w:t>
      </w:r>
    </w:p>
    <w:p>
      <w:pPr>
        <w:pStyle w:val="22"/>
        <w:ind w:firstLine="480"/>
      </w:pPr>
      <w:r>
        <w:rPr>
          <w:rFonts w:hint="eastAsia"/>
        </w:rPr>
        <w:t>1.5技术资料是指合同货物及其相关的设计、制造、监造、检验、验收等文件（包括图纸、各种文字说明、标准）。</w:t>
      </w:r>
    </w:p>
    <w:p>
      <w:pPr>
        <w:pStyle w:val="22"/>
        <w:ind w:firstLine="480"/>
      </w:pPr>
      <w:r>
        <w:rPr>
          <w:rFonts w:hint="eastAsia"/>
        </w:rPr>
        <w:t>2、货物内容</w:t>
      </w:r>
    </w:p>
    <w:p>
      <w:pPr>
        <w:pStyle w:val="22"/>
        <w:ind w:firstLine="480"/>
      </w:pPr>
      <w:r>
        <w:rPr>
          <w:rFonts w:hint="eastAsia"/>
        </w:rPr>
        <w:t>合同包括以下内容：货物名称、型号规格、技术参数、数量（单位）等内容。</w:t>
      </w:r>
    </w:p>
    <w:p>
      <w:pPr>
        <w:pStyle w:val="22"/>
        <w:ind w:firstLine="480"/>
      </w:pPr>
      <w:r>
        <w:rPr>
          <w:rFonts w:hint="eastAsia"/>
        </w:rPr>
        <w:t>3、合同价格</w:t>
      </w:r>
    </w:p>
    <w:p>
      <w:pPr>
        <w:pStyle w:val="22"/>
        <w:ind w:firstLine="480"/>
      </w:pPr>
      <w:r>
        <w:rPr>
          <w:rFonts w:hint="eastAsia"/>
        </w:rPr>
        <w:t>3.1合同价格即合同总价。</w:t>
      </w:r>
    </w:p>
    <w:p>
      <w:pPr>
        <w:pStyle w:val="22"/>
        <w:ind w:firstLine="480"/>
      </w:pPr>
      <w:r>
        <w:rPr>
          <w:rFonts w:hint="eastAsia"/>
        </w:rPr>
        <w:t>3.2合同价格包括合同货物、技术资料、合同货物的税费、运杂费、保险费、包装费、装卸费及与货物有关的供方应纳的税费，所有税费由乙方负担。</w:t>
      </w:r>
    </w:p>
    <w:p>
      <w:pPr>
        <w:pStyle w:val="22"/>
        <w:ind w:firstLine="480"/>
      </w:pPr>
      <w:r>
        <w:rPr>
          <w:rFonts w:hint="eastAsia"/>
        </w:rPr>
        <w:t>3.3合同货物单价为不变价。</w:t>
      </w:r>
    </w:p>
    <w:p>
      <w:pPr>
        <w:pStyle w:val="22"/>
        <w:ind w:firstLine="480"/>
      </w:pPr>
      <w:r>
        <w:rPr>
          <w:rFonts w:hint="eastAsia"/>
        </w:rPr>
        <w:t>4、转包或分包</w:t>
      </w:r>
    </w:p>
    <w:p>
      <w:pPr>
        <w:pStyle w:val="22"/>
        <w:ind w:firstLine="480"/>
      </w:pPr>
      <w:r>
        <w:rPr>
          <w:rFonts w:hint="eastAsia"/>
        </w:rPr>
        <w:t>4.1本合同范围的货物，应由乙方直接供应，不得转让他人供应；</w:t>
      </w:r>
    </w:p>
    <w:p>
      <w:pPr>
        <w:pStyle w:val="22"/>
        <w:ind w:firstLine="480"/>
      </w:pPr>
      <w:r>
        <w:rPr>
          <w:rFonts w:hint="eastAsia"/>
        </w:rPr>
        <w:t>4.2非经甲方书面同意，乙方不得将本合同范围的货物全部或部分分包给他人供应；</w:t>
      </w:r>
    </w:p>
    <w:p>
      <w:pPr>
        <w:pStyle w:val="22"/>
        <w:ind w:firstLine="480"/>
      </w:pPr>
      <w:r>
        <w:rPr>
          <w:rFonts w:hint="eastAsia"/>
        </w:rPr>
        <w:t>4.3如有转让和未经甲方同意的分包行为，甲方有权解除合同，没收履约保证金并追究乙方的违约责任。</w:t>
      </w:r>
    </w:p>
    <w:p>
      <w:pPr>
        <w:pStyle w:val="22"/>
        <w:ind w:firstLine="480"/>
      </w:pPr>
      <w:r>
        <w:rPr>
          <w:rFonts w:hint="eastAsia"/>
        </w:rPr>
        <w:t>5、质量保证及售后服务</w:t>
      </w:r>
    </w:p>
    <w:p>
      <w:pPr>
        <w:pStyle w:val="22"/>
        <w:ind w:firstLine="480"/>
      </w:pPr>
      <w:r>
        <w:rPr>
          <w:rFonts w:hint="eastAsia"/>
        </w:rPr>
        <w:t>5.1乙方应按招标文件规定的货物性能、技术要求、质量标准向甲方提供未经使用的全新产品。</w:t>
      </w:r>
    </w:p>
    <w:p>
      <w:pPr>
        <w:pStyle w:val="22"/>
        <w:ind w:firstLine="480"/>
      </w:pPr>
      <w:r>
        <w:rPr>
          <w:rFonts w:hint="eastAsia"/>
        </w:rPr>
        <w:t>5.2乙方提供的货物在质保期内因货物本身的质量问题发生故障，乙方应负责免费更换。对达不到技术要求者，根据实际情况，经双方协商，可按以下办法处理：</w:t>
      </w:r>
    </w:p>
    <w:p>
      <w:pPr>
        <w:pStyle w:val="22"/>
        <w:ind w:firstLine="480"/>
      </w:pPr>
      <w:r>
        <w:rPr>
          <w:rFonts w:hint="eastAsia"/>
        </w:rPr>
        <w:t>5.2.1更换：由乙方承担所发生的全部费用。</w:t>
      </w:r>
    </w:p>
    <w:p>
      <w:pPr>
        <w:pStyle w:val="22"/>
        <w:ind w:firstLine="480"/>
      </w:pPr>
      <w:r>
        <w:rPr>
          <w:rFonts w:hint="eastAsia"/>
        </w:rPr>
        <w:t>5.2.2贬值处理：由甲乙双方合议定价。</w:t>
      </w:r>
    </w:p>
    <w:p>
      <w:pPr>
        <w:pStyle w:val="22"/>
        <w:ind w:firstLine="480"/>
      </w:pPr>
      <w:r>
        <w:rPr>
          <w:rFonts w:hint="eastAsia"/>
        </w:rPr>
        <w:t>5.2.3退货处理：乙方应退还甲方支付的合同款，同时应承担该货物的直接费用（运输、保险、检验、货款利息及银行手续费等）。</w:t>
      </w:r>
    </w:p>
    <w:p>
      <w:pPr>
        <w:pStyle w:val="22"/>
        <w:ind w:firstLine="480"/>
      </w:pPr>
      <w:r>
        <w:rPr>
          <w:rFonts w:hint="eastAsia"/>
        </w:rPr>
        <w:t>5.3如在使用过程中发生质量问题，乙方应按本项目“第三篇 项目商务要求”中售后服务的要求处理。</w:t>
      </w:r>
    </w:p>
    <w:p>
      <w:pPr>
        <w:pStyle w:val="22"/>
        <w:ind w:firstLine="480"/>
      </w:pPr>
      <w:r>
        <w:rPr>
          <w:rFonts w:hint="eastAsia"/>
        </w:rPr>
        <w:t>5.4在质保期内，乙方应对货物出现的质量及安全问题负责处理解决并承担一切费用。</w:t>
      </w:r>
    </w:p>
    <w:p>
      <w:pPr>
        <w:pStyle w:val="22"/>
        <w:ind w:firstLine="480"/>
      </w:pPr>
      <w:r>
        <w:rPr>
          <w:rFonts w:hint="eastAsia"/>
        </w:rPr>
        <w:t>6、付款</w:t>
      </w:r>
    </w:p>
    <w:p>
      <w:pPr>
        <w:pStyle w:val="22"/>
        <w:ind w:firstLine="480"/>
      </w:pPr>
      <w:r>
        <w:rPr>
          <w:rFonts w:hint="eastAsia"/>
        </w:rPr>
        <w:t>6.1本合同使用货币币制如未作特别说明均为人民币。</w:t>
      </w:r>
    </w:p>
    <w:p>
      <w:pPr>
        <w:pStyle w:val="22"/>
        <w:ind w:firstLine="480"/>
      </w:pPr>
      <w:r>
        <w:rPr>
          <w:rFonts w:hint="eastAsia"/>
        </w:rPr>
        <w:t>6.2付款方式：银行转账、现金支票。</w:t>
      </w:r>
    </w:p>
    <w:p>
      <w:pPr>
        <w:pStyle w:val="22"/>
        <w:ind w:firstLine="480"/>
      </w:pPr>
      <w:r>
        <w:rPr>
          <w:rFonts w:hint="eastAsia"/>
        </w:rPr>
        <w:t>6.3付款方法：同本项目“第三篇 商务条款”中关于付款方式的约定。</w:t>
      </w:r>
    </w:p>
    <w:p>
      <w:pPr>
        <w:pStyle w:val="22"/>
        <w:ind w:firstLine="480"/>
      </w:pPr>
      <w:r>
        <w:rPr>
          <w:rFonts w:hint="eastAsia"/>
        </w:rPr>
        <w:t>7、检查验收</w:t>
      </w:r>
    </w:p>
    <w:p>
      <w:pPr>
        <w:pStyle w:val="22"/>
        <w:ind w:firstLine="480"/>
      </w:pPr>
      <w:r>
        <w:rPr>
          <w:rFonts w:hint="eastAsia"/>
        </w:rPr>
        <w:t>7.1供方应随货物提供合格证和质量证明文件，如是国外进口的货物还须提供入关证明。</w:t>
      </w:r>
    </w:p>
    <w:p>
      <w:pPr>
        <w:pStyle w:val="22"/>
        <w:ind w:firstLine="480"/>
      </w:pPr>
      <w:r>
        <w:rPr>
          <w:rFonts w:hint="eastAsia"/>
        </w:rPr>
        <w:t>7.2货物验收</w:t>
      </w:r>
    </w:p>
    <w:p>
      <w:pPr>
        <w:pStyle w:val="22"/>
        <w:ind w:firstLine="480"/>
      </w:pPr>
      <w:r>
        <w:rPr>
          <w:rFonts w:hint="eastAsia"/>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pStyle w:val="22"/>
        <w:ind w:firstLine="480"/>
      </w:pPr>
      <w:r>
        <w:rPr>
          <w:rFonts w:hint="eastAsia"/>
        </w:rPr>
        <w:t>7.3货物验收报告应由需方、供方经办人签字，并加盖双方公章，以此作为支付凭据。</w:t>
      </w:r>
    </w:p>
    <w:p>
      <w:pPr>
        <w:pStyle w:val="22"/>
        <w:ind w:firstLine="480"/>
      </w:pPr>
      <w:r>
        <w:rPr>
          <w:rFonts w:hint="eastAsia"/>
        </w:rPr>
        <w:t>8、索赔</w:t>
      </w:r>
    </w:p>
    <w:p>
      <w:pPr>
        <w:pStyle w:val="22"/>
        <w:ind w:firstLine="480"/>
      </w:pPr>
      <w:r>
        <w:rPr>
          <w:rFonts w:hint="eastAsia"/>
        </w:rPr>
        <w:t>供方对货物与合同要求不符负有责任，并且需方已于规定交货内和质量保证期内提出索赔，供方应按需方同意的下述一种或多种方法解决索赔事宜。</w:t>
      </w:r>
    </w:p>
    <w:p>
      <w:pPr>
        <w:pStyle w:val="22"/>
        <w:ind w:firstLine="480"/>
      </w:pPr>
      <w:r>
        <w:rPr>
          <w:rFonts w:hint="eastAsia"/>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22"/>
        <w:ind w:firstLine="480"/>
      </w:pPr>
      <w:r>
        <w:rPr>
          <w:rFonts w:hint="eastAsia"/>
        </w:rPr>
        <w:t>8.2根据货物的疵劣和受损程度以及需方遭受损失的金额，经双方同意降低货物价格。</w:t>
      </w:r>
    </w:p>
    <w:p>
      <w:pPr>
        <w:pStyle w:val="22"/>
        <w:ind w:firstLine="480"/>
      </w:pPr>
      <w:r>
        <w:rPr>
          <w:rFonts w:hint="eastAsia"/>
        </w:rPr>
        <w:t>9、知识产权</w:t>
      </w:r>
    </w:p>
    <w:p>
      <w:pPr>
        <w:pStyle w:val="22"/>
        <w:ind w:firstLine="480"/>
      </w:pPr>
      <w:r>
        <w:rPr>
          <w:rFonts w:hint="eastAsia"/>
        </w:rPr>
        <w:t>甲方在中华人民共和国境内使用乙方提供的货物及服务时免受第三方提出的侵犯其专利权或其它知识产权的起诉。如果第三方提出侵权指控，乙方应承担由此而引起的一切法律责任和费用。</w:t>
      </w:r>
    </w:p>
    <w:p>
      <w:pPr>
        <w:pStyle w:val="22"/>
        <w:ind w:firstLine="480"/>
      </w:pPr>
      <w:r>
        <w:rPr>
          <w:rFonts w:hint="eastAsia"/>
        </w:rPr>
        <w:t>10、合同争议的解决</w:t>
      </w:r>
    </w:p>
    <w:p>
      <w:pPr>
        <w:pStyle w:val="22"/>
        <w:ind w:firstLine="480"/>
      </w:pPr>
      <w:r>
        <w:rPr>
          <w:rFonts w:hint="eastAsia"/>
        </w:rPr>
        <w:t>10.1当事人友好协商达成一致</w:t>
      </w:r>
    </w:p>
    <w:p>
      <w:pPr>
        <w:pStyle w:val="22"/>
        <w:ind w:firstLine="480"/>
      </w:pPr>
      <w:r>
        <w:rPr>
          <w:rFonts w:hint="eastAsia"/>
        </w:rPr>
        <w:t>10.2在60天内当事人协商不能达成协议的，可提请招标人当地仲裁机构仲裁。</w:t>
      </w:r>
    </w:p>
    <w:p>
      <w:pPr>
        <w:pStyle w:val="22"/>
        <w:ind w:firstLine="480"/>
      </w:pPr>
      <w:r>
        <w:rPr>
          <w:rFonts w:hint="eastAsia"/>
        </w:rPr>
        <w:t>11、违约责任</w:t>
      </w:r>
    </w:p>
    <w:p>
      <w:pPr>
        <w:pStyle w:val="22"/>
        <w:ind w:firstLine="480"/>
      </w:pPr>
      <w:r>
        <w:rPr>
          <w:rFonts w:hint="eastAsia"/>
        </w:rPr>
        <w:t>按《中华人民共和国民法典》、《中华人民共和国政府采购法》有关条款，或由供需双方约定。</w:t>
      </w:r>
    </w:p>
    <w:p>
      <w:pPr>
        <w:pStyle w:val="22"/>
        <w:ind w:firstLine="480"/>
      </w:pPr>
      <w:r>
        <w:rPr>
          <w:rFonts w:hint="eastAsia"/>
        </w:rPr>
        <w:t>12、合同生效及其它</w:t>
      </w:r>
    </w:p>
    <w:p>
      <w:pPr>
        <w:pStyle w:val="22"/>
        <w:ind w:firstLine="480"/>
      </w:pPr>
      <w:r>
        <w:rPr>
          <w:rFonts w:hint="eastAsia"/>
        </w:rPr>
        <w:t>12.1合同生效及其效力应符合《中华人民共和国民法典》有关规定。</w:t>
      </w:r>
    </w:p>
    <w:p>
      <w:pPr>
        <w:pStyle w:val="22"/>
        <w:ind w:firstLine="480"/>
      </w:pPr>
      <w:r>
        <w:rPr>
          <w:rFonts w:hint="eastAsia"/>
        </w:rPr>
        <w:t>12.2合同应经当事人法定代表人或委托代理人签字，加盖双方合同专用章或公章。</w:t>
      </w:r>
    </w:p>
    <w:p>
      <w:pPr>
        <w:pStyle w:val="22"/>
        <w:ind w:firstLine="480"/>
      </w:pPr>
      <w:r>
        <w:rPr>
          <w:rFonts w:hint="eastAsia"/>
        </w:rPr>
        <w:t>12.3合同所包括附件，是合同不可分割的一部分，具有同等法律效力。</w:t>
      </w:r>
    </w:p>
    <w:p>
      <w:pPr>
        <w:pStyle w:val="22"/>
        <w:ind w:firstLine="480"/>
      </w:pPr>
      <w:r>
        <w:rPr>
          <w:rFonts w:hint="eastAsia"/>
        </w:rPr>
        <w:t>12.4合同需提供担保的，按《中华人民共和国民法典》规定执行。</w:t>
      </w:r>
    </w:p>
    <w:p>
      <w:pPr>
        <w:pStyle w:val="22"/>
        <w:ind w:firstLine="480"/>
      </w:pPr>
      <w:r>
        <w:rPr>
          <w:rFonts w:hint="eastAsia"/>
        </w:rPr>
        <w:t>12.5本合同条件未尽事宜依照《中华人民共和国民法典》，由供需双方共同协商确定。</w:t>
      </w:r>
    </w:p>
    <w:p>
      <w:pPr>
        <w:pStyle w:val="19"/>
        <w:ind w:firstLine="562"/>
        <w:rPr>
          <w:sz w:val="24"/>
        </w:rPr>
        <w:sectPr>
          <w:pgSz w:w="11907" w:h="16840"/>
          <w:pgMar w:top="1134" w:right="1191" w:bottom="1134" w:left="1304" w:header="964" w:footer="992" w:gutter="0"/>
          <w:pgNumType w:fmt="numberInDash"/>
          <w:cols w:space="720" w:num="1"/>
          <w:docGrid w:linePitch="312" w:charSpace="0"/>
        </w:sectPr>
      </w:pPr>
      <w:bookmarkStart w:id="42" w:name="_Toc24100"/>
      <w:r>
        <w:rPr>
          <w:rFonts w:hint="eastAsia"/>
        </w:rPr>
        <w:t>二、合同（格式）</w:t>
      </w:r>
      <w:bookmarkEnd w:id="42"/>
    </w:p>
    <w:p>
      <w:pPr>
        <w:pStyle w:val="22"/>
        <w:autoSpaceDE w:val="0"/>
        <w:autoSpaceDN w:val="0"/>
        <w:ind w:firstLine="0" w:firstLineChars="0"/>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jc w:val="center"/>
        <w:rPr>
          <w:rFonts w:ascii="方正小标宋简体" w:hAnsi="宋体" w:eastAsia="方正小标宋简体"/>
          <w:b/>
          <w:color w:val="000000"/>
          <w:sz w:val="52"/>
          <w:szCs w:val="52"/>
        </w:rPr>
      </w:pPr>
      <w:r>
        <w:rPr>
          <w:rFonts w:hint="eastAsia" w:ascii="方正小标宋简体" w:hAnsi="宋体" w:eastAsia="方正小标宋简体"/>
          <w:b/>
          <w:color w:val="000000"/>
          <w:sz w:val="52"/>
          <w:szCs w:val="52"/>
        </w:rPr>
        <w:t>合　同　书</w:t>
      </w: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采购编号：</w:t>
      </w:r>
    </w:p>
    <w:p>
      <w:pPr>
        <w:autoSpaceDE w:val="0"/>
        <w:autoSpaceDN w:val="0"/>
        <w:ind w:firstLine="0" w:firstLineChars="0"/>
        <w:contextualSpacing/>
        <w:rPr>
          <w:rFonts w:ascii="方正小标宋简体" w:hAnsi="宋体" w:eastAsia="方正小标宋简体"/>
          <w:b/>
          <w:color w:val="000000"/>
          <w:sz w:val="28"/>
          <w:szCs w:val="28"/>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项目名称：</w:t>
      </w: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236" w:firstLineChars="98"/>
        <w:contextualSpacing/>
        <w:rPr>
          <w:rFonts w:ascii="宋体" w:hAnsi="宋体" w:eastAsia="宋体"/>
          <w:b/>
          <w:color w:val="000000"/>
          <w:sz w:val="24"/>
          <w:szCs w:val="24"/>
        </w:rPr>
      </w:pPr>
      <w:r>
        <w:rPr>
          <w:rFonts w:hint="eastAsia" w:ascii="方正小标宋简体" w:hAnsi="宋体" w:eastAsia="方正小标宋简体"/>
          <w:b/>
          <w:color w:val="000000"/>
          <w:sz w:val="24"/>
          <w:szCs w:val="24"/>
        </w:rPr>
        <w:t>注：本合同仅为合同的参考文本，合同签订双方可根据项目的具体要求进行修订。</w:t>
      </w:r>
    </w:p>
    <w:p>
      <w:pPr>
        <w:widowControl/>
        <w:spacing w:line="600" w:lineRule="exact"/>
        <w:ind w:firstLine="482"/>
        <w:jc w:val="center"/>
        <w:rPr>
          <w:rFonts w:ascii="宋体" w:hAnsi="宋体" w:eastAsia="宋体"/>
          <w:b/>
          <w:color w:val="000000"/>
          <w:sz w:val="24"/>
          <w:szCs w:val="24"/>
        </w:rPr>
      </w:pPr>
      <w:r>
        <w:rPr>
          <w:rFonts w:ascii="宋体" w:hAnsi="宋体" w:eastAsia="宋体"/>
          <w:b/>
          <w:color w:val="000000"/>
          <w:sz w:val="24"/>
          <w:szCs w:val="24"/>
        </w:rPr>
        <w:br w:type="page"/>
      </w:r>
    </w:p>
    <w:p>
      <w:pPr>
        <w:autoSpaceDE w:val="0"/>
        <w:autoSpaceDN w:val="0"/>
        <w:ind w:firstLine="472" w:firstLineChars="196"/>
        <w:rPr>
          <w:rFonts w:ascii="仿宋" w:hAnsi="仿宋" w:eastAsia="仿宋"/>
          <w:b/>
          <w:color w:val="000000"/>
          <w:sz w:val="24"/>
          <w:szCs w:val="24"/>
        </w:rPr>
      </w:pPr>
      <w:r>
        <w:rPr>
          <w:rFonts w:hint="eastAsia" w:ascii="仿宋" w:hAnsi="仿宋" w:eastAsia="仿宋"/>
          <w:b/>
          <w:color w:val="000000"/>
          <w:sz w:val="24"/>
          <w:szCs w:val="24"/>
        </w:rPr>
        <w:t>甲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2"/>
        <w:rPr>
          <w:rFonts w:ascii="仿宋" w:hAnsi="仿宋" w:eastAsia="仿宋"/>
          <w:b/>
          <w:color w:val="000000"/>
          <w:sz w:val="24"/>
          <w:szCs w:val="24"/>
          <w:u w:val="single"/>
        </w:rPr>
      </w:pPr>
      <w:r>
        <w:rPr>
          <w:rFonts w:hint="eastAsia" w:ascii="仿宋" w:hAnsi="仿宋" w:eastAsia="仿宋"/>
          <w:b/>
          <w:color w:val="000000"/>
          <w:sz w:val="24"/>
          <w:szCs w:val="24"/>
        </w:rPr>
        <w:t>乙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0"/>
        <w:rPr>
          <w:rFonts w:ascii="仿宋" w:hAnsi="仿宋" w:eastAsia="仿宋"/>
          <w:b/>
          <w:color w:val="000000"/>
          <w:sz w:val="24"/>
          <w:szCs w:val="24"/>
        </w:rPr>
      </w:pPr>
      <w:r>
        <w:rPr>
          <w:rFonts w:hint="eastAsia" w:ascii="仿宋" w:hAnsi="仿宋" w:eastAsia="仿宋"/>
          <w:color w:val="000000"/>
          <w:sz w:val="24"/>
          <w:szCs w:val="24"/>
        </w:rPr>
        <w:t>项目名称：</w:t>
      </w:r>
      <w:r>
        <w:rPr>
          <w:rFonts w:hint="eastAsia" w:ascii="仿宋" w:hAnsi="仿宋" w:eastAsia="仿宋"/>
          <w:color w:val="000000"/>
          <w:sz w:val="24"/>
          <w:szCs w:val="24"/>
          <w:u w:val="single"/>
        </w:rPr>
        <w:t>　　　　　　　　　　　　　</w:t>
      </w:r>
      <w:r>
        <w:rPr>
          <w:rFonts w:hint="eastAsia" w:ascii="仿宋" w:hAnsi="仿宋" w:eastAsia="仿宋"/>
          <w:color w:val="000000"/>
          <w:sz w:val="24"/>
          <w:szCs w:val="24"/>
        </w:rPr>
        <w:t>　采购编号：</w:t>
      </w:r>
      <w:r>
        <w:rPr>
          <w:rFonts w:hint="eastAsia" w:ascii="仿宋" w:hAnsi="仿宋" w:eastAsia="仿宋"/>
          <w:color w:val="000000"/>
          <w:sz w:val="24"/>
          <w:szCs w:val="24"/>
          <w:u w:val="single"/>
        </w:rPr>
        <w:t>　　　　　　　　　　</w:t>
      </w:r>
    </w:p>
    <w:p>
      <w:pPr>
        <w:autoSpaceDE w:val="0"/>
        <w:autoSpaceDN w:val="0"/>
        <w:ind w:firstLine="484" w:firstLineChars="202"/>
        <w:rPr>
          <w:rFonts w:ascii="仿宋" w:hAnsi="仿宋" w:eastAsia="仿宋"/>
          <w:color w:val="000000"/>
          <w:sz w:val="24"/>
          <w:szCs w:val="24"/>
        </w:rPr>
      </w:pPr>
      <w:r>
        <w:rPr>
          <w:rFonts w:hint="eastAsia" w:ascii="仿宋" w:hAnsi="仿宋" w:eastAsia="仿宋"/>
          <w:color w:val="000000"/>
          <w:sz w:val="24"/>
          <w:szCs w:val="24"/>
        </w:rPr>
        <w:t xml:space="preserve">根据 </w:t>
      </w:r>
      <w:r>
        <w:rPr>
          <w:rFonts w:hint="eastAsia" w:ascii="仿宋" w:hAnsi="仿宋" w:eastAsia="仿宋"/>
          <w:color w:val="000000"/>
          <w:sz w:val="24"/>
          <w:szCs w:val="24"/>
          <w:u w:val="single"/>
        </w:rPr>
        <w:t xml:space="preserve">              项目</w:t>
      </w:r>
      <w:r>
        <w:rPr>
          <w:rFonts w:hint="eastAsia" w:ascii="仿宋" w:hAnsi="仿宋" w:eastAsia="仿宋"/>
          <w:color w:val="000000"/>
          <w:sz w:val="24"/>
          <w:szCs w:val="24"/>
        </w:rPr>
        <w:t>的采购结果，按照《中华人民共和国政府采购法》、</w:t>
      </w:r>
      <w:r>
        <w:rPr>
          <w:rFonts w:hint="eastAsia"/>
        </w:rPr>
        <w:t>《中华人民共和国民法典》</w:t>
      </w:r>
      <w:r>
        <w:rPr>
          <w:rFonts w:hint="eastAsia" w:ascii="仿宋" w:hAnsi="仿宋" w:eastAsia="仿宋"/>
          <w:color w:val="000000"/>
          <w:sz w:val="24"/>
          <w:szCs w:val="24"/>
        </w:rPr>
        <w:t>的规定，</w:t>
      </w:r>
      <w:r>
        <w:rPr>
          <w:rFonts w:hint="eastAsia" w:ascii="仿宋" w:hAnsi="仿宋" w:eastAsia="仿宋"/>
          <w:color w:val="000000"/>
          <w:kern w:val="28"/>
          <w:sz w:val="24"/>
          <w:szCs w:val="24"/>
        </w:rPr>
        <w:t>经双方协商，</w:t>
      </w:r>
      <w:r>
        <w:rPr>
          <w:rFonts w:hint="eastAsia" w:ascii="仿宋" w:hAnsi="仿宋" w:eastAsia="仿宋"/>
          <w:color w:val="000000"/>
          <w:sz w:val="24"/>
          <w:szCs w:val="24"/>
        </w:rPr>
        <w:t>本着平等互利和诚实信用的原则，</w:t>
      </w:r>
      <w:r>
        <w:rPr>
          <w:rFonts w:hint="eastAsia" w:ascii="仿宋" w:hAnsi="仿宋" w:eastAsia="仿宋"/>
          <w:color w:val="000000"/>
          <w:kern w:val="28"/>
          <w:sz w:val="24"/>
          <w:szCs w:val="24"/>
        </w:rPr>
        <w:t>一致同意签订本合同如下。</w:t>
      </w:r>
    </w:p>
    <w:p>
      <w:pPr>
        <w:ind w:firstLine="487" w:firstLineChars="202"/>
        <w:rPr>
          <w:rFonts w:ascii="仿宋" w:hAnsi="仿宋" w:eastAsia="仿宋"/>
          <w:color w:val="000000"/>
          <w:sz w:val="24"/>
          <w:szCs w:val="24"/>
        </w:rPr>
      </w:pPr>
      <w:r>
        <w:rPr>
          <w:rFonts w:hint="eastAsia" w:ascii="仿宋" w:hAnsi="仿宋" w:eastAsia="仿宋"/>
          <w:b/>
          <w:color w:val="000000"/>
          <w:sz w:val="24"/>
          <w:szCs w:val="24"/>
        </w:rPr>
        <w:t>一、货物内容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15"/>
        <w:gridCol w:w="3594"/>
        <w:gridCol w:w="947"/>
        <w:gridCol w:w="947"/>
        <w:gridCol w:w="113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1315"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商品名称</w:t>
            </w:r>
          </w:p>
        </w:tc>
        <w:tc>
          <w:tcPr>
            <w:tcW w:w="3594"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品牌、规格型号、配置</w:t>
            </w:r>
          </w:p>
          <w:p>
            <w:pPr>
              <w:ind w:firstLine="0" w:firstLineChars="0"/>
              <w:rPr>
                <w:rFonts w:ascii="仿宋" w:hAnsi="仿宋" w:eastAsia="仿宋"/>
                <w:b/>
                <w:color w:val="000000"/>
                <w:sz w:val="24"/>
                <w:szCs w:val="24"/>
              </w:rPr>
            </w:pPr>
            <w:r>
              <w:rPr>
                <w:rFonts w:hint="eastAsia" w:ascii="仿宋" w:hAnsi="仿宋" w:eastAsia="仿宋"/>
                <w:b/>
                <w:color w:val="000000"/>
                <w:sz w:val="24"/>
                <w:szCs w:val="24"/>
              </w:rPr>
              <w:t>（性能参数）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产地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数量</w:t>
            </w: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单价(元)</w:t>
            </w: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9661" w:type="dxa"/>
            <w:gridSpan w:val="7"/>
            <w:tcBorders>
              <w:left w:val="single" w:color="auto" w:sz="8" w:space="0"/>
              <w:right w:val="single" w:color="auto" w:sz="8"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合计总额：￥；    大写：</w:t>
            </w:r>
          </w:p>
        </w:tc>
      </w:tr>
    </w:tbl>
    <w:p>
      <w:pPr>
        <w:pStyle w:val="22"/>
        <w:ind w:firstLine="480"/>
      </w:pPr>
      <w:r>
        <w:rPr>
          <w:rFonts w:hint="eastAsia"/>
        </w:rPr>
        <w:t>合同总额包括乙方设计、安装、随机零配件、标配工具、运输保险、调试、培训、质保期服务、各项税费及合同实施过程中不可预见费用等。</w:t>
      </w:r>
    </w:p>
    <w:p>
      <w:pPr>
        <w:pStyle w:val="22"/>
        <w:ind w:firstLine="480"/>
      </w:pPr>
      <w:r>
        <w:rPr>
          <w:rFonts w:hint="eastAsia"/>
        </w:rPr>
        <w:t>注：货物名称内容必须与投标文件中货物名称内容一致。</w:t>
      </w:r>
    </w:p>
    <w:p>
      <w:pPr>
        <w:ind w:firstLine="482"/>
        <w:rPr>
          <w:rFonts w:ascii="仿宋" w:hAnsi="仿宋" w:eastAsia="仿宋"/>
          <w:b/>
          <w:color w:val="000000"/>
          <w:sz w:val="24"/>
          <w:szCs w:val="24"/>
        </w:rPr>
      </w:pPr>
      <w:r>
        <w:rPr>
          <w:rFonts w:hint="eastAsia" w:ascii="仿宋" w:hAnsi="仿宋" w:eastAsia="仿宋"/>
          <w:b/>
          <w:color w:val="000000"/>
          <w:sz w:val="24"/>
          <w:szCs w:val="24"/>
        </w:rPr>
        <w:t>二、合同金额</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合同金额为（大写）：_________________元（￥_______________元）人民币。</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三、货物或服务要求</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XXXXXXXXXXXXXXXXXXXXXXXXXXXXXXXXXXXXXXXXXXXXXXXXXXXX</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四、交货期、交货方式及交货地点（服务期限、服务方式）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rPr>
        <w:tab/>
      </w:r>
      <w:r>
        <w:rPr>
          <w:rFonts w:hint="eastAsia" w:ascii="仿宋" w:hAnsi="仿宋" w:eastAsia="仿宋"/>
          <w:color w:val="000000"/>
          <w:sz w:val="24"/>
          <w:szCs w:val="24"/>
        </w:rPr>
        <w:t>交货期：</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rPr>
        <w:tab/>
      </w:r>
      <w:r>
        <w:rPr>
          <w:rFonts w:hint="eastAsia" w:ascii="仿宋" w:hAnsi="仿宋" w:eastAsia="仿宋"/>
          <w:color w:val="000000"/>
          <w:sz w:val="24"/>
          <w:szCs w:val="24"/>
        </w:rPr>
        <w:t>交货方式：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szCs w:val="24"/>
        </w:rPr>
        <w:tab/>
      </w:r>
      <w:r>
        <w:rPr>
          <w:rFonts w:hint="eastAsia" w:ascii="仿宋" w:hAnsi="仿宋" w:eastAsia="仿宋"/>
          <w:color w:val="000000"/>
          <w:sz w:val="24"/>
          <w:szCs w:val="24"/>
        </w:rPr>
        <w:t xml:space="preserve">交货地点： </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五、付款方式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按用户需求书的要求</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六、质保期及售后服务要求</w:t>
      </w:r>
    </w:p>
    <w:p>
      <w:pPr>
        <w:ind w:firstLine="480"/>
        <w:rPr>
          <w:rFonts w:ascii="仿宋" w:hAnsi="仿宋" w:eastAsia="仿宋"/>
          <w:color w:val="000000"/>
          <w:sz w:val="24"/>
          <w:szCs w:val="24"/>
        </w:rPr>
      </w:pPr>
      <w:r>
        <w:rPr>
          <w:rFonts w:hint="eastAsia" w:ascii="仿宋" w:hAnsi="仿宋" w:eastAsia="仿宋"/>
          <w:color w:val="000000"/>
          <w:sz w:val="24"/>
          <w:szCs w:val="24"/>
        </w:rPr>
        <w:t>1、本合同的质量保证期（简称“质保期”）为X年，质保期内乙方对所供货物实行包修、包换、包退及合同约定的其它事项，期满后可同时提供终身</w:t>
      </w:r>
      <w:r>
        <w:rPr>
          <w:rFonts w:hint="eastAsia" w:ascii="仿宋" w:hAnsi="仿宋" w:eastAsia="仿宋"/>
          <w:color w:val="000000"/>
          <w:sz w:val="24"/>
          <w:szCs w:val="24"/>
          <w:u w:val="single"/>
        </w:rPr>
        <w:t>(免费/有偿)</w:t>
      </w:r>
      <w:r>
        <w:rPr>
          <w:rFonts w:hint="eastAsia" w:ascii="仿宋" w:hAnsi="仿宋" w:eastAsia="仿宋"/>
          <w:color w:val="000000"/>
          <w:sz w:val="24"/>
          <w:szCs w:val="24"/>
        </w:rPr>
        <w:t>维修保养服务。</w:t>
      </w:r>
    </w:p>
    <w:p>
      <w:pPr>
        <w:ind w:firstLine="480"/>
        <w:rPr>
          <w:rFonts w:ascii="仿宋" w:hAnsi="仿宋" w:eastAsia="仿宋"/>
          <w:color w:val="000000"/>
          <w:sz w:val="24"/>
          <w:szCs w:val="24"/>
        </w:rPr>
      </w:pPr>
      <w:r>
        <w:rPr>
          <w:rFonts w:hint="eastAsia" w:ascii="仿宋" w:hAnsi="仿宋" w:eastAsia="仿宋"/>
          <w:color w:val="000000"/>
          <w:sz w:val="24"/>
          <w:szCs w:val="24"/>
        </w:rPr>
        <w:t>2、质保期内，如设备或零部件因质量原因出现故障而造成短期停用时，则质保期和免费维修期相应顺延。</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七、安装与调试</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乙方必须依照招标文件的要求和报价文件的承诺，将设备、系统安装并调试至正常运行的最佳状态。</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八、</w:t>
      </w:r>
      <w:r>
        <w:rPr>
          <w:rFonts w:hint="eastAsia" w:ascii="仿宋" w:hAnsi="仿宋" w:eastAsia="仿宋"/>
          <w:b/>
          <w:bCs/>
          <w:color w:val="000000"/>
          <w:sz w:val="24"/>
          <w:szCs w:val="24"/>
        </w:rPr>
        <w:t>验收</w:t>
      </w:r>
    </w:p>
    <w:p>
      <w:pPr>
        <w:ind w:firstLine="480"/>
        <w:rPr>
          <w:rFonts w:ascii="仿宋" w:hAnsi="仿宋" w:eastAsia="仿宋"/>
          <w:color w:val="000000"/>
          <w:sz w:val="24"/>
          <w:szCs w:val="24"/>
        </w:rPr>
      </w:pPr>
      <w:r>
        <w:rPr>
          <w:rFonts w:hint="eastAsia" w:ascii="仿宋" w:hAnsi="仿宋" w:eastAsia="仿宋"/>
          <w:color w:val="000000"/>
          <w:sz w:val="24"/>
          <w:szCs w:val="24"/>
        </w:rPr>
        <w:t>1、交付验收标准</w:t>
      </w:r>
      <w:r>
        <w:rPr>
          <w:rFonts w:hint="eastAsia" w:ascii="仿宋" w:hAnsi="仿宋" w:eastAsia="仿宋"/>
          <w:color w:val="000000"/>
          <w:sz w:val="24"/>
          <w:szCs w:val="24"/>
          <w:lang w:val="en-GB"/>
        </w:rPr>
        <w:t>依次序对照适用</w:t>
      </w:r>
      <w:r>
        <w:rPr>
          <w:rFonts w:hint="eastAsia" w:ascii="仿宋" w:hAnsi="仿宋" w:eastAsia="仿宋"/>
          <w:color w:val="000000"/>
          <w:sz w:val="24"/>
          <w:szCs w:val="24"/>
        </w:rPr>
        <w:t>标准</w:t>
      </w:r>
      <w:r>
        <w:rPr>
          <w:rFonts w:hint="eastAsia" w:ascii="仿宋" w:hAnsi="仿宋" w:eastAsia="仿宋"/>
          <w:color w:val="000000"/>
          <w:sz w:val="24"/>
          <w:szCs w:val="24"/>
          <w:lang w:val="en-GB"/>
        </w:rPr>
        <w:t>为：</w:t>
      </w:r>
      <w:r>
        <w:rPr>
          <w:rFonts w:hint="eastAsia" w:ascii="仿宋" w:hAnsi="仿宋" w:eastAsia="仿宋"/>
          <w:color w:val="000000"/>
          <w:sz w:val="24"/>
          <w:szCs w:val="24"/>
        </w:rPr>
        <w:t>①符合中华人民共和国国家安全质量标准、环保标准或行业标准；②符合招标文件和响应承诺中甲方认可的合理最佳配置、参数及各项要求；③货物来源国官方标准。</w:t>
      </w:r>
    </w:p>
    <w:p>
      <w:pPr>
        <w:ind w:firstLine="480"/>
        <w:rPr>
          <w:rFonts w:ascii="仿宋" w:hAnsi="仿宋" w:eastAsia="仿宋"/>
          <w:color w:val="000000"/>
          <w:sz w:val="24"/>
          <w:szCs w:val="24"/>
        </w:rPr>
      </w:pPr>
      <w:r>
        <w:rPr>
          <w:rFonts w:hint="eastAsia" w:ascii="仿宋" w:hAnsi="仿宋" w:eastAsia="仿宋"/>
          <w:color w:val="000000"/>
          <w:sz w:val="24"/>
          <w:szCs w:val="24"/>
        </w:rPr>
        <w:t>2、进口产品必须具备原产地证明和商检局的检验证明及合法进货渠道证明。</w:t>
      </w:r>
    </w:p>
    <w:p>
      <w:pPr>
        <w:ind w:firstLine="480"/>
        <w:rPr>
          <w:rFonts w:ascii="仿宋" w:hAnsi="仿宋" w:eastAsia="仿宋"/>
          <w:color w:val="000000"/>
          <w:sz w:val="24"/>
          <w:szCs w:val="24"/>
        </w:rPr>
      </w:pPr>
      <w:r>
        <w:rPr>
          <w:rFonts w:hint="eastAsia" w:ascii="仿宋" w:hAnsi="仿宋" w:eastAsia="仿宋"/>
          <w:color w:val="000000"/>
          <w:sz w:val="24"/>
          <w:szCs w:val="24"/>
        </w:rPr>
        <w:t>3、货物为原厂商未启封全新包装，具出厂合格证，序列号、包装箱号与出厂批号一致，并可追索查阅。所有随设备的附件必须齐全。</w:t>
      </w:r>
    </w:p>
    <w:p>
      <w:pPr>
        <w:ind w:firstLine="480"/>
        <w:rPr>
          <w:rFonts w:ascii="仿宋" w:hAnsi="仿宋" w:eastAsia="仿宋"/>
          <w:color w:val="000000"/>
          <w:sz w:val="24"/>
          <w:szCs w:val="24"/>
        </w:rPr>
      </w:pPr>
      <w:r>
        <w:rPr>
          <w:rFonts w:hint="eastAsia" w:ascii="仿宋" w:hAnsi="仿宋" w:eastAsia="仿宋"/>
          <w:color w:val="000000"/>
          <w:sz w:val="24"/>
          <w:szCs w:val="24"/>
        </w:rPr>
        <w:t>4、乙方应将关键主机设备的用户手册、保修手册、有关单证资料及配备件、随机工具等交付给甲方，使用操作及安全须知等重要资料应附有中文说明。</w:t>
      </w:r>
    </w:p>
    <w:p>
      <w:pPr>
        <w:ind w:firstLine="480"/>
        <w:rPr>
          <w:rFonts w:ascii="仿宋" w:hAnsi="仿宋" w:eastAsia="仿宋"/>
          <w:color w:val="000000"/>
          <w:sz w:val="24"/>
          <w:szCs w:val="24"/>
        </w:rPr>
      </w:pPr>
      <w:r>
        <w:rPr>
          <w:rFonts w:hint="eastAsia" w:ascii="仿宋" w:hAnsi="仿宋" w:eastAsia="仿宋"/>
          <w:color w:val="000000"/>
          <w:sz w:val="24"/>
          <w:szCs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ind w:firstLine="482"/>
        <w:rPr>
          <w:rFonts w:ascii="仿宋" w:hAnsi="仿宋" w:eastAsia="仿宋"/>
          <w:color w:val="000000"/>
          <w:sz w:val="24"/>
          <w:szCs w:val="24"/>
        </w:rPr>
      </w:pPr>
      <w:r>
        <w:rPr>
          <w:rFonts w:hint="eastAsia" w:ascii="仿宋" w:hAnsi="仿宋" w:eastAsia="仿宋"/>
          <w:b/>
          <w:color w:val="000000"/>
          <w:sz w:val="24"/>
          <w:szCs w:val="24"/>
        </w:rPr>
        <w:t>九、违约责任与赔偿损失</w:t>
      </w:r>
    </w:p>
    <w:p>
      <w:pPr>
        <w:ind w:firstLine="480"/>
        <w:rPr>
          <w:rFonts w:ascii="仿宋" w:hAnsi="仿宋" w:eastAsia="仿宋"/>
          <w:color w:val="000000"/>
          <w:sz w:val="24"/>
          <w:szCs w:val="24"/>
        </w:rPr>
      </w:pPr>
      <w:r>
        <w:rPr>
          <w:rFonts w:hint="eastAsia" w:ascii="仿宋" w:hAnsi="仿宋" w:eastAsia="仿宋"/>
          <w:color w:val="000000"/>
          <w:sz w:val="24"/>
          <w:szCs w:val="24"/>
        </w:rPr>
        <w:t>1、乙方交付的货物、工程/提供的服务不符合本合同规定的，甲方有权拒收，并且乙方须向甲方支付本合同总价5%的违约金。</w:t>
      </w:r>
    </w:p>
    <w:p>
      <w:pPr>
        <w:ind w:firstLine="480"/>
        <w:rPr>
          <w:rFonts w:ascii="仿宋" w:hAnsi="仿宋" w:eastAsia="仿宋"/>
          <w:color w:val="000000"/>
          <w:sz w:val="24"/>
          <w:szCs w:val="24"/>
        </w:rPr>
      </w:pPr>
      <w:r>
        <w:rPr>
          <w:rFonts w:hint="eastAsia" w:ascii="仿宋" w:hAnsi="仿宋" w:eastAsia="仿宋"/>
          <w:color w:val="000000"/>
          <w:sz w:val="24"/>
          <w:szCs w:val="24"/>
        </w:rPr>
        <w:t>2、乙方未能按本合同规定的交货时间交付货物的/提供服务，从逾期之日起每日按本合同总价3‰的数额向甲方支付违约金；逾期半个月以上的，甲方有权终止合同，由此造成的甲方经济损失由乙方承担。</w:t>
      </w:r>
    </w:p>
    <w:p>
      <w:pPr>
        <w:ind w:firstLine="480"/>
        <w:rPr>
          <w:rFonts w:ascii="仿宋" w:hAnsi="仿宋" w:eastAsia="仿宋"/>
          <w:color w:val="000000"/>
          <w:sz w:val="24"/>
          <w:szCs w:val="24"/>
        </w:rPr>
      </w:pPr>
      <w:r>
        <w:rPr>
          <w:rFonts w:hint="eastAsia" w:ascii="仿宋" w:hAnsi="仿宋" w:eastAsia="仿宋"/>
          <w:color w:val="000000"/>
          <w:sz w:val="24"/>
          <w:szCs w:val="24"/>
        </w:rPr>
        <w:t>3、甲方无正当理由拒收货物/接受服务，到期拒付货物/服务款项的，甲方向乙方偿付本合同总的5%的违约金。甲方人逾期付款，则每日按本合同总价的3‰向乙方偿付违约金。</w:t>
      </w:r>
    </w:p>
    <w:p>
      <w:pPr>
        <w:ind w:firstLine="480"/>
        <w:rPr>
          <w:rFonts w:ascii="仿宋" w:hAnsi="仿宋" w:eastAsia="仿宋"/>
          <w:bCs/>
          <w:color w:val="000000"/>
          <w:sz w:val="24"/>
          <w:szCs w:val="24"/>
        </w:rPr>
      </w:pPr>
      <w:r>
        <w:rPr>
          <w:rFonts w:hint="eastAsia" w:ascii="仿宋" w:hAnsi="仿宋" w:eastAsia="仿宋"/>
          <w:color w:val="000000"/>
          <w:sz w:val="24"/>
          <w:szCs w:val="24"/>
        </w:rPr>
        <w:t>4、其它违约责任按</w:t>
      </w:r>
      <w:r>
        <w:rPr>
          <w:rFonts w:hint="eastAsia"/>
        </w:rPr>
        <w:t>《中华人民共和国民法典》</w:t>
      </w:r>
      <w:r>
        <w:rPr>
          <w:rFonts w:hint="eastAsia" w:ascii="仿宋" w:hAnsi="仿宋" w:eastAsia="仿宋"/>
          <w:bCs/>
          <w:color w:val="000000"/>
          <w:sz w:val="24"/>
          <w:szCs w:val="24"/>
        </w:rPr>
        <w:t>处理。</w:t>
      </w:r>
    </w:p>
    <w:p>
      <w:pPr>
        <w:ind w:firstLine="482"/>
        <w:rPr>
          <w:rFonts w:ascii="仿宋" w:hAnsi="仿宋" w:eastAsia="仿宋"/>
          <w:bCs/>
          <w:color w:val="000000"/>
          <w:sz w:val="24"/>
          <w:szCs w:val="24"/>
        </w:rPr>
      </w:pPr>
      <w:r>
        <w:rPr>
          <w:rFonts w:hint="eastAsia" w:ascii="仿宋" w:hAnsi="仿宋" w:eastAsia="仿宋"/>
          <w:b/>
          <w:bCs/>
          <w:color w:val="000000"/>
          <w:sz w:val="24"/>
          <w:szCs w:val="24"/>
        </w:rPr>
        <w:t>十、</w:t>
      </w:r>
      <w:r>
        <w:rPr>
          <w:rFonts w:hint="eastAsia" w:ascii="仿宋" w:hAnsi="仿宋" w:eastAsia="仿宋"/>
          <w:b/>
          <w:color w:val="000000"/>
          <w:sz w:val="24"/>
          <w:szCs w:val="24"/>
        </w:rPr>
        <w:t>争议的解决</w:t>
      </w:r>
    </w:p>
    <w:p>
      <w:pPr>
        <w:tabs>
          <w:tab w:val="left" w:pos="851"/>
        </w:tabs>
        <w:ind w:firstLine="480"/>
        <w:rPr>
          <w:rFonts w:ascii="仿宋" w:hAnsi="仿宋" w:eastAsia="仿宋"/>
          <w:bCs/>
          <w:color w:val="000000"/>
          <w:sz w:val="24"/>
          <w:szCs w:val="24"/>
        </w:rPr>
      </w:pPr>
      <w:r>
        <w:rPr>
          <w:rFonts w:hint="eastAsia" w:ascii="仿宋" w:hAnsi="仿宋" w:eastAsia="仿宋"/>
          <w:color w:val="000000"/>
          <w:sz w:val="24"/>
          <w:szCs w:val="24"/>
        </w:rPr>
        <w:t>合同执行过程中发生的任何争议，如双方不能通过友好协商解决，按相关法律法规处理(合同双方一致同意提请克拉玛依区仲裁委员会仲裁或向甲方所在地的人民法院提起诉讼)。</w:t>
      </w:r>
    </w:p>
    <w:p>
      <w:pPr>
        <w:tabs>
          <w:tab w:val="left" w:pos="851"/>
        </w:tabs>
        <w:ind w:firstLine="482"/>
        <w:rPr>
          <w:rFonts w:ascii="仿宋" w:hAnsi="仿宋" w:eastAsia="仿宋"/>
          <w:b/>
          <w:bCs/>
          <w:color w:val="000000"/>
          <w:sz w:val="24"/>
          <w:szCs w:val="24"/>
        </w:rPr>
      </w:pPr>
      <w:r>
        <w:rPr>
          <w:rFonts w:hint="eastAsia" w:ascii="仿宋" w:hAnsi="仿宋" w:eastAsia="仿宋"/>
          <w:b/>
          <w:bCs/>
          <w:color w:val="000000"/>
          <w:sz w:val="24"/>
          <w:szCs w:val="24"/>
        </w:rPr>
        <w:t>十一、</w:t>
      </w:r>
      <w:r>
        <w:rPr>
          <w:rFonts w:hint="eastAsia" w:ascii="仿宋" w:hAnsi="仿宋" w:eastAsia="仿宋"/>
          <w:b/>
          <w:color w:val="000000"/>
          <w:sz w:val="24"/>
          <w:szCs w:val="24"/>
        </w:rPr>
        <w:t>不可抗力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十二、税费</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在中国境内、外发生的与本合同执行有关的一切税费均由乙方负担。</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十三、其它</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1、本合同所有附件、招标文件、投标文件、中标通知书均为合同的有效组成部分，与本合同具有同等法律效力。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2、在执行本合同的过程中，所有经双方签署确认的文件（包括会议纪要、补充协议、往来信函）即成为本合同的有效组成部分。</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3、如一方地址、电话、传真号码有变更，应在变更当日内书面通知对方，否则，应承担相应责任。</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4、除甲方事先书面同意外，乙方不得部分或全部转让其应履行的合同项下的义务。</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十四、合同生效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1、本合同在甲乙双方法人代表或其授权代表签字盖章后生效。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2、合同一式X份。</w:t>
      </w:r>
    </w:p>
    <w:p>
      <w:pPr>
        <w:ind w:firstLine="480"/>
        <w:rPr>
          <w:rFonts w:ascii="仿宋" w:hAnsi="仿宋" w:eastAsia="仿宋"/>
          <w:color w:val="000000"/>
          <w:sz w:val="24"/>
          <w:szCs w:val="24"/>
        </w:rPr>
      </w:pP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甲方（盖章）：</w:t>
      </w:r>
      <w:r>
        <w:rPr>
          <w:rFonts w:hint="eastAsia" w:ascii="仿宋" w:hAnsi="仿宋" w:eastAsia="仿宋"/>
          <w:b/>
          <w:color w:val="000000"/>
          <w:sz w:val="24"/>
          <w:szCs w:val="24"/>
        </w:rPr>
        <w:tab/>
      </w:r>
      <w:r>
        <w:rPr>
          <w:rFonts w:hint="eastAsia" w:ascii="仿宋" w:hAnsi="仿宋" w:eastAsia="仿宋"/>
          <w:b/>
          <w:color w:val="000000"/>
          <w:sz w:val="24"/>
          <w:szCs w:val="24"/>
        </w:rPr>
        <w:t>乙方（盖章）：</w:t>
      </w: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代表：</w:t>
      </w:r>
      <w:r>
        <w:rPr>
          <w:rFonts w:hint="eastAsia" w:ascii="仿宋" w:hAnsi="仿宋" w:eastAsia="仿宋"/>
          <w:b/>
          <w:color w:val="000000"/>
          <w:sz w:val="24"/>
          <w:szCs w:val="24"/>
        </w:rPr>
        <w:tab/>
      </w:r>
      <w:r>
        <w:rPr>
          <w:rFonts w:hint="eastAsia" w:ascii="仿宋" w:hAnsi="仿宋" w:eastAsia="仿宋"/>
          <w:b/>
          <w:color w:val="000000"/>
          <w:sz w:val="24"/>
          <w:szCs w:val="24"/>
        </w:rPr>
        <w:t xml:space="preserve">代表： </w:t>
      </w:r>
    </w:p>
    <w:p>
      <w:pPr>
        <w:tabs>
          <w:tab w:val="left" w:pos="4395"/>
        </w:tabs>
        <w:ind w:firstLine="480"/>
        <w:rPr>
          <w:rFonts w:ascii="仿宋" w:hAnsi="仿宋" w:eastAsia="仿宋"/>
          <w:color w:val="000000"/>
          <w:sz w:val="24"/>
          <w:szCs w:val="24"/>
        </w:rPr>
      </w:pPr>
      <w:r>
        <w:rPr>
          <w:rFonts w:hint="eastAsia" w:ascii="仿宋" w:hAnsi="仿宋" w:eastAsia="仿宋"/>
          <w:color w:val="000000"/>
          <w:sz w:val="24"/>
          <w:szCs w:val="24"/>
        </w:rPr>
        <w:t>签定地点：</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签定日期：　　　年　　月　　日</w:t>
      </w:r>
      <w:r>
        <w:rPr>
          <w:rFonts w:hint="eastAsia" w:ascii="仿宋" w:hAnsi="仿宋" w:eastAsia="仿宋"/>
          <w:color w:val="000000"/>
          <w:sz w:val="24"/>
          <w:szCs w:val="24"/>
        </w:rPr>
        <w:tab/>
      </w:r>
      <w:r>
        <w:rPr>
          <w:rFonts w:hint="eastAsia" w:ascii="仿宋" w:hAnsi="仿宋" w:eastAsia="仿宋"/>
          <w:color w:val="000000"/>
          <w:sz w:val="24"/>
          <w:szCs w:val="24"/>
        </w:rPr>
        <w:t>签定日期：　　　年　　月　　日</w:t>
      </w:r>
    </w:p>
    <w:p>
      <w:pPr>
        <w:tabs>
          <w:tab w:val="left" w:pos="4395"/>
        </w:tabs>
        <w:ind w:left="1320" w:hanging="1320" w:hangingChars="550"/>
        <w:rPr>
          <w:rFonts w:ascii="仿宋" w:hAnsi="仿宋" w:eastAsia="仿宋"/>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开户名称：</w:t>
      </w:r>
      <w:r>
        <w:rPr>
          <w:rFonts w:hint="eastAsia" w:ascii="仿宋" w:hAnsi="仿宋" w:eastAsia="仿宋"/>
          <w:sz w:val="24"/>
          <w:szCs w:val="24"/>
        </w:rPr>
        <w:t>（此部分信息应当按照投标人开户许可</w:t>
      </w:r>
    </w:p>
    <w:p>
      <w:pPr>
        <w:tabs>
          <w:tab w:val="left" w:pos="4395"/>
        </w:tabs>
        <w:ind w:left="1316" w:leftChars="506" w:firstLine="4560" w:firstLineChars="1900"/>
        <w:rPr>
          <w:rFonts w:ascii="仿宋" w:hAnsi="仿宋" w:eastAsia="仿宋"/>
          <w:sz w:val="24"/>
          <w:szCs w:val="24"/>
        </w:rPr>
      </w:pPr>
      <w:r>
        <w:rPr>
          <w:rFonts w:hint="eastAsia" w:ascii="仿宋" w:hAnsi="仿宋" w:eastAsia="仿宋"/>
          <w:sz w:val="24"/>
          <w:szCs w:val="24"/>
        </w:rPr>
        <w:t>证信息填写，保证后期资金支付准确）</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银行帐号：</w:t>
      </w:r>
    </w:p>
    <w:p>
      <w:pPr>
        <w:tabs>
          <w:tab w:val="left" w:pos="4635"/>
        </w:tabs>
        <w:ind w:firstLine="480"/>
        <w:rPr>
          <w:rFonts w:ascii="仿宋" w:hAnsi="仿宋" w:eastAsia="仿宋"/>
          <w:color w:val="000000"/>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color w:val="000000"/>
          <w:sz w:val="24"/>
          <w:szCs w:val="24"/>
        </w:rPr>
        <w:tab/>
      </w:r>
      <w:r>
        <w:rPr>
          <w:rFonts w:hint="eastAsia" w:ascii="仿宋" w:hAnsi="仿宋" w:eastAsia="仿宋"/>
          <w:color w:val="000000"/>
          <w:sz w:val="24"/>
          <w:szCs w:val="24"/>
        </w:rPr>
        <w:t>开 户 行：</w:t>
      </w:r>
    </w:p>
    <w:p>
      <w:pPr>
        <w:pStyle w:val="17"/>
        <w:rPr>
          <w:rFonts w:ascii="仿宋" w:eastAsia="仿宋"/>
          <w:sz w:val="24"/>
          <w:szCs w:val="24"/>
        </w:rPr>
      </w:pPr>
      <w:bookmarkStart w:id="43" w:name="_Toc15137"/>
      <w:r>
        <w:rPr>
          <w:rFonts w:hint="eastAsia"/>
        </w:rPr>
        <w:t>第七篇  投标文件格式</w:t>
      </w:r>
      <w:bookmarkEnd w:id="43"/>
    </w:p>
    <w:p>
      <w:pPr>
        <w:pStyle w:val="19"/>
        <w:ind w:firstLine="562"/>
      </w:pPr>
      <w:bookmarkStart w:id="44" w:name="_Toc12701"/>
      <w:r>
        <w:rPr>
          <w:rFonts w:hint="eastAsia"/>
        </w:rPr>
        <w:t>一、经济文件</w:t>
      </w:r>
      <w:bookmarkEnd w:id="44"/>
    </w:p>
    <w:p>
      <w:pPr>
        <w:pStyle w:val="22"/>
        <w:ind w:firstLine="480"/>
      </w:pPr>
      <w:r>
        <w:rPr>
          <w:rFonts w:hint="eastAsia"/>
        </w:rPr>
        <w:t>（一）开标一览表</w:t>
      </w:r>
    </w:p>
    <w:p>
      <w:pPr>
        <w:pStyle w:val="22"/>
        <w:ind w:firstLine="480"/>
      </w:pPr>
      <w:r>
        <w:rPr>
          <w:rFonts w:hint="eastAsia"/>
        </w:rPr>
        <w:t>（二）分项报价明细表</w:t>
      </w:r>
    </w:p>
    <w:p>
      <w:pPr>
        <w:pStyle w:val="19"/>
        <w:ind w:firstLine="562"/>
      </w:pPr>
      <w:bookmarkStart w:id="45" w:name="_Toc32129"/>
      <w:r>
        <w:rPr>
          <w:rFonts w:hint="eastAsia"/>
        </w:rPr>
        <w:t>二、资格文件</w:t>
      </w:r>
      <w:bookmarkEnd w:id="45"/>
    </w:p>
    <w:p>
      <w:pPr>
        <w:pStyle w:val="22"/>
        <w:numPr>
          <w:ilvl w:val="0"/>
          <w:numId w:val="5"/>
        </w:numPr>
        <w:ind w:firstLineChars="0"/>
      </w:pPr>
      <w:r>
        <w:rPr>
          <w:rFonts w:hint="eastAsia"/>
        </w:rPr>
        <w:t>自查表</w:t>
      </w:r>
    </w:p>
    <w:p>
      <w:pPr>
        <w:pStyle w:val="22"/>
        <w:numPr>
          <w:ilvl w:val="0"/>
          <w:numId w:val="5"/>
        </w:numPr>
        <w:ind w:firstLineChars="0"/>
      </w:pPr>
      <w:r>
        <w:rPr>
          <w:rFonts w:hint="eastAsia"/>
        </w:rPr>
        <w:t>三证合一营业执照（副本）或事业单位法人证书（副本）复印件</w:t>
      </w:r>
    </w:p>
    <w:p>
      <w:pPr>
        <w:pStyle w:val="22"/>
        <w:numPr>
          <w:ilvl w:val="0"/>
          <w:numId w:val="5"/>
        </w:numPr>
        <w:ind w:firstLineChars="0"/>
      </w:pPr>
      <w:r>
        <w:rPr>
          <w:rFonts w:hint="eastAsia"/>
        </w:rPr>
        <w:t>法定代表人授权委托书（格式）</w:t>
      </w:r>
    </w:p>
    <w:p>
      <w:pPr>
        <w:pStyle w:val="22"/>
        <w:numPr>
          <w:ilvl w:val="0"/>
          <w:numId w:val="5"/>
        </w:numPr>
        <w:ind w:firstLineChars="0"/>
      </w:pPr>
      <w:r>
        <w:rPr>
          <w:rFonts w:hint="eastAsia"/>
        </w:rPr>
        <w:t>政府采购领域诚信承诺书（格式）</w:t>
      </w:r>
    </w:p>
    <w:p>
      <w:pPr>
        <w:pStyle w:val="22"/>
        <w:numPr>
          <w:ilvl w:val="0"/>
          <w:numId w:val="5"/>
        </w:numPr>
        <w:ind w:firstLineChars="0"/>
      </w:pPr>
      <w:r>
        <w:rPr>
          <w:rFonts w:hint="eastAsia"/>
        </w:rPr>
        <w:t>法律、行政法规规定的其他条件</w:t>
      </w:r>
    </w:p>
    <w:p>
      <w:pPr>
        <w:pStyle w:val="19"/>
        <w:ind w:firstLine="562"/>
      </w:pPr>
      <w:bookmarkStart w:id="46" w:name="_Toc17594"/>
      <w:r>
        <w:rPr>
          <w:rFonts w:hint="eastAsia"/>
        </w:rPr>
        <w:t>三、商务文件</w:t>
      </w:r>
      <w:bookmarkEnd w:id="46"/>
    </w:p>
    <w:p>
      <w:pPr>
        <w:pStyle w:val="22"/>
        <w:ind w:firstLine="480"/>
      </w:pPr>
      <w:r>
        <w:rPr>
          <w:rFonts w:hint="eastAsia"/>
        </w:rPr>
        <w:t>（一）投标函（格式）</w:t>
      </w:r>
    </w:p>
    <w:p>
      <w:pPr>
        <w:pStyle w:val="22"/>
        <w:ind w:firstLine="480"/>
      </w:pPr>
      <w:r>
        <w:rPr>
          <w:rFonts w:hint="eastAsia"/>
        </w:rPr>
        <w:t>（二）中小企业声明函（格式）</w:t>
      </w:r>
    </w:p>
    <w:p>
      <w:pPr>
        <w:pStyle w:val="22"/>
        <w:ind w:firstLine="480"/>
      </w:pPr>
      <w:r>
        <w:rPr>
          <w:rFonts w:hint="eastAsia"/>
        </w:rPr>
        <w:t>（三）售后服务</w:t>
      </w:r>
    </w:p>
    <w:p>
      <w:pPr>
        <w:pStyle w:val="19"/>
        <w:ind w:firstLine="562"/>
      </w:pPr>
      <w:bookmarkStart w:id="47" w:name="_Toc916"/>
      <w:r>
        <w:rPr>
          <w:rFonts w:hint="eastAsia"/>
        </w:rPr>
        <w:t>四、技术文件</w:t>
      </w:r>
      <w:bookmarkEnd w:id="47"/>
    </w:p>
    <w:p>
      <w:pPr>
        <w:pStyle w:val="22"/>
        <w:ind w:firstLine="480"/>
      </w:pPr>
      <w:r>
        <w:rPr>
          <w:rFonts w:hint="eastAsia"/>
        </w:rPr>
        <w:t>（一）技术参数响应/偏离表</w:t>
      </w:r>
    </w:p>
    <w:p>
      <w:pPr>
        <w:pStyle w:val="22"/>
        <w:ind w:firstLine="480"/>
      </w:pPr>
      <w:r>
        <w:rPr>
          <w:rFonts w:hint="eastAsia"/>
        </w:rPr>
        <w:t>（二）同类项目业绩介绍</w:t>
      </w:r>
    </w:p>
    <w:p>
      <w:pPr>
        <w:pStyle w:val="19"/>
        <w:ind w:firstLine="562"/>
      </w:pPr>
      <w:bookmarkStart w:id="48" w:name="_Toc2535"/>
      <w:r>
        <w:rPr>
          <w:rFonts w:hint="eastAsia"/>
        </w:rPr>
        <w:t>五、其他文件</w:t>
      </w:r>
      <w:bookmarkEnd w:id="48"/>
    </w:p>
    <w:p>
      <w:pPr>
        <w:pStyle w:val="22"/>
        <w:ind w:firstLine="480"/>
      </w:pPr>
      <w:r>
        <w:rPr>
          <w:rFonts w:hint="eastAsia"/>
        </w:rPr>
        <w:t>其他与项目有关的资料（结合评分表自附）</w:t>
      </w:r>
    </w:p>
    <w:p>
      <w:pPr>
        <w:pStyle w:val="22"/>
        <w:ind w:firstLine="0" w:firstLineChars="0"/>
        <w:rPr>
          <w:rFonts w:ascii="方正小标宋简体" w:hAnsi="宋体" w:eastAsia="方正小标宋简体" w:cs="Courier New"/>
          <w:kern w:val="0"/>
          <w:sz w:val="44"/>
          <w:szCs w:val="44"/>
        </w:rPr>
      </w:pPr>
    </w:p>
    <w:p>
      <w:pPr>
        <w:pStyle w:val="22"/>
        <w:ind w:firstLine="0" w:firstLineChars="0"/>
        <w:rPr>
          <w:rFonts w:ascii="方正小标宋简体" w:hAnsi="宋体" w:eastAsia="方正小标宋简体" w:cs="Courier New"/>
          <w:kern w:val="0"/>
          <w:sz w:val="44"/>
          <w:szCs w:val="44"/>
        </w:rPr>
      </w:pPr>
    </w:p>
    <w:p>
      <w:pPr>
        <w:pStyle w:val="22"/>
        <w:ind w:firstLine="0" w:firstLineChars="0"/>
        <w:rPr>
          <w:rFonts w:ascii="方正小标宋简体" w:hAnsi="宋体" w:eastAsia="方正小标宋简体" w:cs="Courier New"/>
          <w:kern w:val="0"/>
          <w:sz w:val="44"/>
          <w:szCs w:val="44"/>
        </w:rPr>
      </w:pPr>
    </w:p>
    <w:p>
      <w:pPr>
        <w:pStyle w:val="22"/>
        <w:ind w:firstLine="0" w:firstLineChars="0"/>
        <w:rPr>
          <w:rFonts w:ascii="方正小标宋简体" w:hAnsi="宋体" w:eastAsia="方正小标宋简体" w:cs="Courier New"/>
          <w:kern w:val="0"/>
          <w:sz w:val="44"/>
          <w:szCs w:val="44"/>
        </w:rPr>
      </w:pPr>
    </w:p>
    <w:p>
      <w:pPr>
        <w:pStyle w:val="22"/>
        <w:ind w:firstLine="0" w:firstLineChars="0"/>
        <w:rPr>
          <w:rFonts w:ascii="方正小标宋简体" w:hAnsi="宋体" w:eastAsia="方正小标宋简体" w:cs="Courier New"/>
          <w:kern w:val="0"/>
          <w:sz w:val="44"/>
          <w:szCs w:val="44"/>
        </w:rPr>
      </w:pPr>
    </w:p>
    <w:p>
      <w:pPr>
        <w:pStyle w:val="22"/>
        <w:ind w:firstLine="0" w:firstLineChars="0"/>
        <w:jc w:val="center"/>
      </w:pPr>
      <w:r>
        <w:rPr>
          <w:rFonts w:hint="eastAsia" w:ascii="方正小标宋简体" w:hAnsi="宋体" w:eastAsia="方正小标宋简体" w:cs="Courier New"/>
          <w:kern w:val="0"/>
          <w:sz w:val="44"/>
          <w:szCs w:val="44"/>
        </w:rPr>
        <w:t>克拉玛依市政务服务和公共资源交易中心</w:t>
      </w:r>
    </w:p>
    <w:p>
      <w:pPr>
        <w:tabs>
          <w:tab w:val="left" w:pos="1260"/>
        </w:tabs>
        <w:ind w:firstLine="0" w:firstLineChars="0"/>
        <w:jc w:val="center"/>
        <w:rPr>
          <w:rFonts w:ascii="方正小标宋简体" w:hAnsi="宋体" w:eastAsia="方正小标宋简体" w:cs="Courier New"/>
          <w:b/>
          <w:color w:val="000000"/>
          <w:sz w:val="21"/>
          <w:szCs w:val="21"/>
        </w:rPr>
      </w:pPr>
    </w:p>
    <w:p>
      <w:pPr>
        <w:tabs>
          <w:tab w:val="left" w:pos="1260"/>
        </w:tabs>
        <w:ind w:firstLine="0" w:firstLineChars="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1680" w:firstLineChars="60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招标项目名称：</w:t>
      </w:r>
    </w:p>
    <w:p>
      <w:pPr>
        <w:ind w:firstLine="0" w:firstLineChars="0"/>
        <w:rPr>
          <w:rFonts w:ascii="方正小标宋简体" w:hAnsi="宋体" w:eastAsia="方正小标宋简体" w:cs="Courier New"/>
          <w:color w:val="000000"/>
          <w:sz w:val="28"/>
          <w:szCs w:val="28"/>
        </w:rPr>
      </w:pPr>
    </w:p>
    <w:p>
      <w:pPr>
        <w:ind w:firstLine="1680" w:firstLineChars="60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招标项目编号：</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3220" w:firstLineChars="1150"/>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投标人名称：</w:t>
      </w:r>
    </w:p>
    <w:p>
      <w:pPr>
        <w:tabs>
          <w:tab w:val="left" w:pos="4635"/>
        </w:tabs>
        <w:ind w:firstLine="0" w:firstLineChars="0"/>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日期：     年  月   日</w:t>
      </w: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pStyle w:val="22"/>
        <w:ind w:firstLine="480"/>
        <w:rPr>
          <w:szCs w:val="21"/>
        </w:rPr>
      </w:pPr>
    </w:p>
    <w:p>
      <w:pPr>
        <w:pStyle w:val="34"/>
        <w:ind w:firstLine="723"/>
        <w:rPr>
          <w:color w:val="000000"/>
        </w:rPr>
      </w:pPr>
      <w:r>
        <w:rPr>
          <w:rFonts w:hint="eastAsia"/>
        </w:rPr>
        <w:t>一、经济文件</w:t>
      </w:r>
    </w:p>
    <w:p>
      <w:pPr>
        <w:pStyle w:val="35"/>
        <w:rPr>
          <w:rFonts w:hAnsi="宋体"/>
          <w:color w:val="000000"/>
          <w:sz w:val="28"/>
          <w:szCs w:val="28"/>
        </w:rPr>
      </w:pPr>
      <w:r>
        <w:rPr>
          <w:rFonts w:hint="eastAsia"/>
        </w:rPr>
        <w:t>（一）开标一览表</w:t>
      </w:r>
    </w:p>
    <w:p>
      <w:pPr>
        <w:pStyle w:val="22"/>
        <w:ind w:firstLine="480"/>
      </w:pPr>
      <w:r>
        <w:rPr>
          <w:rFonts w:hint="eastAsia"/>
        </w:rPr>
        <w:t>招标项目名称：</w:t>
      </w:r>
    </w:p>
    <w:p>
      <w:pPr>
        <w:pStyle w:val="22"/>
        <w:ind w:firstLine="480"/>
      </w:pPr>
      <w:r>
        <w:rPr>
          <w:rFonts w:hint="eastAsia"/>
        </w:rPr>
        <w:t>招标项目编号：</w:t>
      </w:r>
    </w:p>
    <w:tbl>
      <w:tblPr>
        <w:tblStyle w:val="14"/>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投标人名称</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投标设备品牌及型号</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投标总价（大写）：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投标总价（小写）：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备注：</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p>
        </w:tc>
      </w:tr>
    </w:tbl>
    <w:p>
      <w:pPr>
        <w:pStyle w:val="22"/>
        <w:ind w:firstLine="482"/>
      </w:pPr>
      <w:r>
        <w:rPr>
          <w:rFonts w:hint="eastAsia"/>
          <w:b/>
        </w:rPr>
        <w:t>注：</w:t>
      </w:r>
      <w:r>
        <w:rPr>
          <w:rFonts w:hint="eastAsia"/>
        </w:rPr>
        <w:t>包括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31"/>
        <w:ind w:firstLine="480"/>
        <w:rPr>
          <w:rFonts w:ascii="仿宋" w:hAnsi="仿宋"/>
        </w:rPr>
      </w:pPr>
    </w:p>
    <w:p>
      <w:pPr>
        <w:pStyle w:val="31"/>
        <w:ind w:firstLine="480"/>
        <w:rPr>
          <w:rFonts w:ascii="仿宋" w:hAnsi="仿宋"/>
        </w:rPr>
      </w:pPr>
    </w:p>
    <w:p>
      <w:pPr>
        <w:ind w:right="600" w:firstLine="240" w:firstLineChars="100"/>
        <w:jc w:val="center"/>
        <w:rPr>
          <w:rFonts w:ascii="仿宋" w:hAnsi="仿宋" w:eastAsia="仿宋"/>
          <w:sz w:val="24"/>
          <w:szCs w:val="24"/>
        </w:rPr>
      </w:pPr>
      <w:r>
        <w:rPr>
          <w:rFonts w:hint="eastAsia" w:ascii="仿宋" w:hAnsi="仿宋" w:eastAsia="仿宋"/>
          <w:sz w:val="24"/>
          <w:szCs w:val="24"/>
        </w:rPr>
        <w:t>投标人：(盖章)</w:t>
      </w:r>
    </w:p>
    <w:p>
      <w:pPr>
        <w:ind w:right="480" w:firstLine="0" w:firstLineChars="0"/>
        <w:rPr>
          <w:rFonts w:ascii="仿宋" w:hAnsi="仿宋" w:eastAsia="仿宋"/>
          <w:sz w:val="24"/>
          <w:szCs w:val="24"/>
        </w:rPr>
      </w:pPr>
    </w:p>
    <w:p>
      <w:pPr>
        <w:ind w:right="480" w:firstLine="240" w:firstLineChars="100"/>
        <w:jc w:val="center"/>
        <w:rPr>
          <w:rFonts w:ascii="仿宋" w:hAnsi="仿宋" w:eastAsia="仿宋"/>
          <w:sz w:val="24"/>
          <w:szCs w:val="24"/>
        </w:rPr>
      </w:pPr>
      <w:r>
        <w:rPr>
          <w:rFonts w:hint="eastAsia" w:ascii="仿宋" w:hAnsi="仿宋" w:eastAsia="仿宋"/>
          <w:sz w:val="24"/>
          <w:szCs w:val="24"/>
        </w:rPr>
        <w:t>法人代表或授权代表：(签字或盖章)</w:t>
      </w:r>
    </w:p>
    <w:p>
      <w:pPr>
        <w:ind w:firstLine="240" w:firstLineChars="100"/>
        <w:jc w:val="right"/>
        <w:rPr>
          <w:rFonts w:ascii="仿宋" w:hAnsi="仿宋" w:eastAsia="仿宋"/>
          <w:sz w:val="24"/>
          <w:szCs w:val="24"/>
        </w:rPr>
      </w:pPr>
    </w:p>
    <w:p>
      <w:pPr>
        <w:tabs>
          <w:tab w:val="left" w:pos="4635"/>
        </w:tabs>
        <w:ind w:right="480" w:firstLine="480"/>
        <w:jc w:val="center"/>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rPr>
        <w:t>年  月  日</w:t>
      </w:r>
    </w:p>
    <w:p>
      <w:pPr>
        <w:tabs>
          <w:tab w:val="left" w:pos="4635"/>
        </w:tabs>
        <w:ind w:right="480" w:firstLine="720"/>
        <w:jc w:val="center"/>
        <w:rPr>
          <w:rFonts w:ascii="仿宋" w:hAnsi="仿宋" w:eastAsia="仿宋"/>
          <w:sz w:val="24"/>
          <w:szCs w:val="24"/>
        </w:rPr>
      </w:pPr>
      <w:r>
        <w:rPr>
          <w:rFonts w:hint="eastAsia" w:ascii="方正小标宋简体" w:hAnsi="仿宋" w:eastAsia="方正小标宋简体"/>
          <w:bCs/>
          <w:sz w:val="36"/>
          <w:szCs w:val="36"/>
        </w:rPr>
        <w:t>（二）分项报价明细表</w:t>
      </w:r>
    </w:p>
    <w:p>
      <w:pPr>
        <w:pStyle w:val="22"/>
        <w:ind w:firstLine="480"/>
      </w:pPr>
      <w:r>
        <w:rPr>
          <w:rFonts w:hint="eastAsia"/>
        </w:rPr>
        <w:t>招标项目名称：</w:t>
      </w:r>
    </w:p>
    <w:p>
      <w:pPr>
        <w:pStyle w:val="22"/>
        <w:ind w:firstLine="480"/>
      </w:pPr>
      <w:r>
        <w:rPr>
          <w:rFonts w:hint="eastAsia"/>
        </w:rPr>
        <w:t>招标项目编号：</w:t>
      </w:r>
    </w:p>
    <w:tbl>
      <w:tblPr>
        <w:tblStyle w:val="14"/>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27"/>
        <w:gridCol w:w="2034"/>
        <w:gridCol w:w="1184"/>
        <w:gridCol w:w="1332"/>
        <w:gridCol w:w="111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序号</w:t>
            </w:r>
          </w:p>
        </w:tc>
        <w:tc>
          <w:tcPr>
            <w:tcW w:w="152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分项名称</w:t>
            </w:r>
          </w:p>
        </w:tc>
        <w:tc>
          <w:tcPr>
            <w:tcW w:w="203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品牌、规格型号、主要技术参数</w:t>
            </w:r>
          </w:p>
        </w:tc>
        <w:tc>
          <w:tcPr>
            <w:tcW w:w="118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制造商</w:t>
            </w:r>
          </w:p>
        </w:tc>
        <w:tc>
          <w:tcPr>
            <w:tcW w:w="1332"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数量</w:t>
            </w:r>
          </w:p>
        </w:tc>
        <w:tc>
          <w:tcPr>
            <w:tcW w:w="111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单价</w:t>
            </w:r>
          </w:p>
        </w:tc>
        <w:tc>
          <w:tcPr>
            <w:tcW w:w="1395" w:type="dxa"/>
            <w:tcBorders>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bCs/>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21"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 w:hAnsi="仿宋" w:eastAsia="仿宋"/>
                <w:bCs/>
                <w:color w:val="000000"/>
                <w:sz w:val="24"/>
                <w:szCs w:val="24"/>
              </w:rPr>
            </w:pPr>
            <w:r>
              <w:rPr>
                <w:rFonts w:ascii="仿宋" w:hAnsi="仿宋" w:eastAsia="仿宋"/>
                <w:bCs/>
                <w:color w:val="000000"/>
                <w:sz w:val="24"/>
                <w:szCs w:val="24"/>
              </w:rPr>
              <w:t>总报价：人民币</w:t>
            </w:r>
            <w:r>
              <w:rPr>
                <w:rFonts w:hint="eastAsia" w:ascii="仿宋" w:hAnsi="仿宋" w:eastAsia="仿宋"/>
                <w:bCs/>
                <w:color w:val="000000"/>
                <w:sz w:val="24"/>
                <w:szCs w:val="24"/>
              </w:rPr>
              <w:t xml:space="preserve">     元。（以上各合计项与报价一览表中的对应项均一致相符，如不一致以开标一览表为准）</w:t>
            </w:r>
          </w:p>
        </w:tc>
      </w:tr>
    </w:tbl>
    <w:p>
      <w:pPr>
        <w:pStyle w:val="22"/>
        <w:ind w:firstLine="480"/>
        <w:rPr>
          <w:lang w:val="en-GB"/>
        </w:rPr>
      </w:pPr>
      <w:r>
        <w:rPr>
          <w:rFonts w:hint="eastAsia"/>
        </w:rPr>
        <w:t>注：1)</w:t>
      </w:r>
      <w:r>
        <w:rPr>
          <w:rFonts w:hint="eastAsia"/>
          <w:lang w:val="en-GB"/>
        </w:rPr>
        <w:t>以上内容必须与《开标一览表》一致；</w:t>
      </w:r>
    </w:p>
    <w:p>
      <w:pPr>
        <w:pStyle w:val="22"/>
        <w:ind w:firstLine="960" w:firstLineChars="400"/>
        <w:rPr>
          <w:lang w:val="en-GB"/>
        </w:rPr>
      </w:pPr>
      <w:r>
        <w:rPr>
          <w:rFonts w:hint="eastAsia"/>
          <w:kern w:val="0"/>
        </w:rPr>
        <w:t>2)对于</w:t>
      </w:r>
      <w:r>
        <w:rPr>
          <w:rFonts w:hint="eastAsia"/>
          <w:snapToGrid w:val="0"/>
          <w:kern w:val="0"/>
        </w:rPr>
        <w:t>报价免费的项目必须标明“免费”；</w:t>
      </w:r>
    </w:p>
    <w:p>
      <w:pPr>
        <w:pStyle w:val="22"/>
        <w:ind w:firstLine="960" w:firstLineChars="400"/>
        <w:rPr>
          <w:lang w:val="en-GB"/>
        </w:rPr>
      </w:pPr>
      <w:r>
        <w:rPr>
          <w:rFonts w:hint="eastAsia"/>
          <w:snapToGrid w:val="0"/>
          <w:kern w:val="0"/>
        </w:rPr>
        <w:t>3)所有根据合同或其它原因应由投标人支付的税款和其它应交纳的费用都要包括在投标人提交的投标价格中；</w:t>
      </w:r>
    </w:p>
    <w:p>
      <w:pPr>
        <w:pStyle w:val="22"/>
        <w:ind w:firstLine="960" w:firstLineChars="400"/>
        <w:rPr>
          <w:lang w:val="en-GB"/>
        </w:rPr>
      </w:pPr>
      <w:r>
        <w:rPr>
          <w:rFonts w:hint="eastAsia" w:cs="Courier New"/>
          <w:snapToGrid w:val="0"/>
          <w:kern w:val="0"/>
        </w:rPr>
        <w:t>4)应包含货</w:t>
      </w:r>
      <w:r>
        <w:rPr>
          <w:rFonts w:hint="eastAsia" w:cs="Courier New"/>
          <w:kern w:val="0"/>
        </w:rPr>
        <w:t>物运至最终目的地的运输、保险和伴随货物服务的其他所有费用。</w:t>
      </w: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2"/>
        <w:ind w:firstLine="480"/>
        <w:rPr>
          <w:u w:val="single"/>
        </w:rPr>
      </w:pPr>
      <w:r>
        <w:rPr>
          <w:rFonts w:hint="eastAsia"/>
        </w:rPr>
        <w:t>投标人名称（盖章）：</w:t>
      </w:r>
    </w:p>
    <w:p>
      <w:pPr>
        <w:pStyle w:val="22"/>
        <w:ind w:firstLine="480"/>
        <w:rPr>
          <w:rFonts w:ascii="方正小标宋简体" w:hAnsi="宋体" w:eastAsia="方正小标宋简体"/>
          <w:sz w:val="28"/>
          <w:szCs w:val="28"/>
        </w:rPr>
        <w:sectPr>
          <w:pgSz w:w="11907" w:h="16840"/>
          <w:pgMar w:top="1440" w:right="1077" w:bottom="1440" w:left="1077" w:header="964" w:footer="992" w:gutter="0"/>
          <w:cols w:space="425" w:num="1"/>
          <w:docGrid w:linePitch="354" w:charSpace="0"/>
        </w:sectPr>
      </w:pPr>
      <w:r>
        <w:rPr>
          <w:rFonts w:hint="eastAsia"/>
        </w:rPr>
        <w:t>日期：   年   月</w:t>
      </w:r>
    </w:p>
    <w:p>
      <w:pPr>
        <w:pStyle w:val="34"/>
        <w:ind w:firstLine="723"/>
        <w:rPr>
          <w:rFonts w:hAnsi="宋体"/>
          <w:color w:val="000000"/>
          <w:sz w:val="28"/>
          <w:szCs w:val="28"/>
        </w:rPr>
      </w:pPr>
      <w:r>
        <w:t>二、资格文件</w:t>
      </w:r>
    </w:p>
    <w:p>
      <w:pPr>
        <w:pStyle w:val="35"/>
        <w:rPr>
          <w:rFonts w:ascii="仿宋" w:eastAsia="仿宋"/>
          <w:b/>
        </w:rPr>
      </w:pPr>
      <w:r>
        <w:rPr>
          <w:rFonts w:hint="eastAsia"/>
        </w:rPr>
        <w:t>（一）自查表</w:t>
      </w:r>
    </w:p>
    <w:p>
      <w:pPr>
        <w:pStyle w:val="35"/>
        <w:rPr>
          <w:sz w:val="32"/>
          <w:szCs w:val="32"/>
        </w:rPr>
      </w:pPr>
      <w:r>
        <w:rPr>
          <w:rFonts w:hint="eastAsia"/>
          <w:sz w:val="32"/>
          <w:szCs w:val="32"/>
        </w:rPr>
        <w:t>资格性/符合性自查表</w:t>
      </w:r>
    </w:p>
    <w:tbl>
      <w:tblPr>
        <w:tblStyle w:val="14"/>
        <w:tblW w:w="9883"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91"/>
        <w:gridCol w:w="3531"/>
        <w:gridCol w:w="2257"/>
        <w:gridCol w:w="260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4" w:hRule="atLeast"/>
        </w:trPr>
        <w:tc>
          <w:tcPr>
            <w:tcW w:w="149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hint="eastAsia" w:ascii="仿宋" w:hAnsi="仿宋" w:eastAsia="仿宋"/>
                <w:b/>
                <w:bCs/>
                <w:color w:val="000000"/>
                <w:spacing w:val="10"/>
                <w:sz w:val="24"/>
                <w:szCs w:val="24"/>
              </w:rPr>
              <w:t>招标</w:t>
            </w:r>
            <w:r>
              <w:rPr>
                <w:rFonts w:ascii="仿宋" w:hAnsi="仿宋" w:eastAsia="仿宋"/>
                <w:b/>
                <w:bCs/>
                <w:color w:val="000000"/>
                <w:spacing w:val="10"/>
                <w:sz w:val="24"/>
                <w:szCs w:val="24"/>
              </w:rPr>
              <w:t>文件要求</w:t>
            </w:r>
            <w:r>
              <w:rPr>
                <w:rFonts w:ascii="仿宋" w:hAnsi="仿宋" w:eastAsia="仿宋"/>
                <w:color w:val="000000"/>
                <w:sz w:val="24"/>
                <w:szCs w:val="24"/>
              </w:rPr>
              <w:br w:type="textWrapping"/>
            </w:r>
            <w:r>
              <w:rPr>
                <w:rFonts w:ascii="仿宋" w:hAnsi="仿宋" w:eastAsia="仿宋"/>
                <w:color w:val="000000"/>
                <w:sz w:val="24"/>
                <w:szCs w:val="24"/>
              </w:rPr>
              <w:t>（详见《资格性和符合性审查表》各项）</w:t>
            </w: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符合性审查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bl>
    <w:p>
      <w:pPr>
        <w:pStyle w:val="22"/>
        <w:ind w:firstLine="480"/>
        <w:sectPr>
          <w:pgSz w:w="11907" w:h="16840"/>
          <w:pgMar w:top="1440" w:right="1077" w:bottom="1440" w:left="1077" w:header="964" w:footer="992" w:gutter="0"/>
          <w:cols w:space="425" w:num="1"/>
          <w:docGrid w:linePitch="354" w:charSpace="0"/>
        </w:sectPr>
      </w:pPr>
      <w:r>
        <w:rPr>
          <w:rFonts w:hint="eastAsia"/>
        </w:rPr>
        <w:t>注：以上材料将作为投标人有效性审核的重要内容之一，投标人必须严格按照其内容及序列要求在投标文件中对应如实提供，对资格性和符合性证明文件的任何缺漏和不符合项将会直接导致无效投标！投标人根据自查结论在对应的□打“√”。</w:t>
      </w:r>
    </w:p>
    <w:p>
      <w:pPr>
        <w:pStyle w:val="35"/>
        <w:rPr>
          <w:rFonts w:ascii="仿宋" w:eastAsia="仿宋"/>
          <w:sz w:val="24"/>
          <w:szCs w:val="24"/>
        </w:rPr>
      </w:pPr>
      <w:r>
        <w:rPr>
          <w:rFonts w:hint="eastAsia"/>
        </w:rPr>
        <w:t>“必须满足的技术参数或服务标准”条款自查表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5384"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“必须满足的技术参数或服务标准”条款</w:t>
            </w:r>
          </w:p>
        </w:tc>
        <w:tc>
          <w:tcPr>
            <w:tcW w:w="2641"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i/>
                <w:iCs/>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6"/>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bl>
    <w:p>
      <w:pPr>
        <w:pStyle w:val="22"/>
        <w:ind w:firstLine="480"/>
        <w:rPr>
          <w:lang w:val="en-GB"/>
        </w:rPr>
      </w:pPr>
      <w:r>
        <w:rPr>
          <w:rFonts w:hint="eastAsia"/>
          <w:lang w:val="en-GB"/>
        </w:rPr>
        <w:t>注：1.此表内容必须与投标文件中所介绍的内容一致。</w:t>
      </w: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560"/>
        <w:rPr>
          <w:rFonts w:ascii="方正小标宋简体" w:eastAsia="方正小标宋简体"/>
          <w:color w:val="FF0000"/>
          <w:sz w:val="28"/>
          <w:szCs w:val="28"/>
        </w:rPr>
      </w:pPr>
      <w:r>
        <w:rPr>
          <w:rFonts w:hint="eastAsia" w:ascii="方正小标宋简体" w:eastAsia="方正小标宋简体"/>
          <w:sz w:val="28"/>
          <w:szCs w:val="28"/>
        </w:rPr>
        <w:t>（二）三证合一营业执照（副本）或事业单位法人证书（副本）复印件</w:t>
      </w:r>
    </w:p>
    <w:p>
      <w:pPr>
        <w:pStyle w:val="22"/>
        <w:ind w:firstLine="480"/>
        <w:sectPr>
          <w:pgSz w:w="11907" w:h="16840"/>
          <w:pgMar w:top="1440" w:right="1077" w:bottom="1440" w:left="1077" w:header="964" w:footer="992" w:gutter="0"/>
          <w:cols w:space="425" w:num="1"/>
          <w:docGrid w:linePitch="354" w:charSpace="0"/>
        </w:sectPr>
      </w:pPr>
    </w:p>
    <w:p>
      <w:pPr>
        <w:pStyle w:val="35"/>
      </w:pPr>
      <w:r>
        <w:rPr>
          <w:rFonts w:hint="eastAsia"/>
        </w:rPr>
        <w:t>（三）法定代表人授权委托书（格式）</w:t>
      </w:r>
    </w:p>
    <w:p>
      <w:pPr>
        <w:pStyle w:val="35"/>
        <w:ind w:firstLine="1440" w:firstLineChars="600"/>
        <w:jc w:val="both"/>
        <w:rPr>
          <w:rFonts w:ascii="仿宋" w:eastAsia="仿宋"/>
          <w:sz w:val="24"/>
          <w:szCs w:val="24"/>
        </w:rPr>
      </w:pPr>
    </w:p>
    <w:p>
      <w:pPr>
        <w:pStyle w:val="35"/>
        <w:ind w:firstLine="1440" w:firstLineChars="600"/>
        <w:jc w:val="both"/>
        <w:rPr>
          <w:rFonts w:ascii="仿宋" w:eastAsia="仿宋"/>
          <w:sz w:val="24"/>
          <w:szCs w:val="24"/>
          <w:u w:val="single"/>
        </w:rPr>
      </w:pPr>
      <w:r>
        <w:rPr>
          <w:rFonts w:hint="eastAsia" w:ascii="仿宋" w:eastAsia="仿宋"/>
          <w:sz w:val="24"/>
          <w:szCs w:val="24"/>
        </w:rPr>
        <w:t>招标项目名称：</w:t>
      </w:r>
    </w:p>
    <w:p>
      <w:pPr>
        <w:pStyle w:val="35"/>
        <w:ind w:firstLine="1440" w:firstLineChars="600"/>
        <w:jc w:val="both"/>
        <w:rPr>
          <w:rFonts w:ascii="仿宋" w:eastAsia="仿宋"/>
          <w:sz w:val="24"/>
          <w:szCs w:val="24"/>
        </w:rPr>
      </w:pPr>
    </w:p>
    <w:p>
      <w:pPr>
        <w:pStyle w:val="7"/>
        <w:ind w:firstLine="480"/>
        <w:jc w:val="left"/>
        <w:rPr>
          <w:rFonts w:ascii="仿宋" w:hAnsi="仿宋" w:eastAsia="仿宋"/>
          <w:sz w:val="24"/>
          <w:szCs w:val="24"/>
        </w:rPr>
      </w:pPr>
      <w:r>
        <w:rPr>
          <w:rFonts w:hint="eastAsia" w:ascii="仿宋" w:hAnsi="仿宋" w:eastAsia="仿宋"/>
          <w:sz w:val="24"/>
          <w:szCs w:val="24"/>
        </w:rPr>
        <w:t>致：（采购机构名称）：</w:t>
      </w:r>
    </w:p>
    <w:p>
      <w:pPr>
        <w:pStyle w:val="7"/>
        <w:ind w:firstLine="480"/>
        <w:jc w:val="left"/>
        <w:rPr>
          <w:rFonts w:ascii="仿宋" w:hAnsi="仿宋" w:eastAsia="仿宋"/>
          <w:sz w:val="24"/>
          <w:szCs w:val="24"/>
        </w:rPr>
      </w:pPr>
      <w:r>
        <w:rPr>
          <w:rFonts w:hint="eastAsia" w:ascii="仿宋" w:hAnsi="仿宋" w:eastAsia="仿宋"/>
          <w:sz w:val="24"/>
          <w:szCs w:val="24"/>
        </w:rPr>
        <w:t>（投标人法定代表人名称）是（投标人名称）的法定代表人，特授权（被授权人姓名及身份证代码）代表我单位全权办理上述项目的投标、签约等具体工作，并签署全部有关文件、协议及合同。</w:t>
      </w:r>
    </w:p>
    <w:p>
      <w:pPr>
        <w:pStyle w:val="7"/>
        <w:ind w:firstLine="480"/>
        <w:jc w:val="left"/>
        <w:rPr>
          <w:rFonts w:ascii="仿宋" w:hAnsi="仿宋" w:eastAsia="仿宋"/>
          <w:sz w:val="24"/>
          <w:szCs w:val="24"/>
        </w:rPr>
      </w:pPr>
      <w:r>
        <w:rPr>
          <w:rFonts w:hint="eastAsia" w:ascii="仿宋" w:hAnsi="仿宋" w:eastAsia="仿宋"/>
          <w:sz w:val="24"/>
          <w:szCs w:val="24"/>
        </w:rPr>
        <w:t>我单位对被授权人的签字负全部责任。</w:t>
      </w:r>
    </w:p>
    <w:p>
      <w:pPr>
        <w:pStyle w:val="7"/>
        <w:ind w:firstLine="480"/>
        <w:jc w:val="left"/>
        <w:rPr>
          <w:rFonts w:ascii="仿宋" w:hAnsi="仿宋" w:eastAsia="仿宋"/>
          <w:sz w:val="24"/>
          <w:szCs w:val="24"/>
        </w:rPr>
      </w:pPr>
      <w:r>
        <w:rPr>
          <w:rFonts w:hint="eastAsia" w:ascii="仿宋" w:hAnsi="仿宋" w:eastAsia="仿宋"/>
          <w:sz w:val="24"/>
          <w:szCs w:val="24"/>
        </w:rPr>
        <w:t>在撤消授权的书面通知以前，本授权书一直有效。被授权人在授权书有效期内签署的所有文件不因授权的撤消而失效。</w:t>
      </w:r>
    </w:p>
    <w:p>
      <w:pPr>
        <w:pStyle w:val="7"/>
        <w:ind w:firstLine="480"/>
        <w:jc w:val="left"/>
        <w:rPr>
          <w:rFonts w:ascii="仿宋" w:hAnsi="仿宋" w:eastAsia="仿宋"/>
          <w:sz w:val="24"/>
          <w:szCs w:val="24"/>
        </w:rPr>
      </w:pPr>
    </w:p>
    <w:p>
      <w:pPr>
        <w:pStyle w:val="7"/>
        <w:ind w:firstLine="480"/>
        <w:jc w:val="left"/>
        <w:rPr>
          <w:rFonts w:ascii="仿宋" w:hAnsi="仿宋" w:eastAsia="仿宋"/>
          <w:sz w:val="24"/>
          <w:szCs w:val="24"/>
        </w:rPr>
      </w:pPr>
      <w:r>
        <w:rPr>
          <w:rFonts w:hint="eastAsia" w:ascii="仿宋" w:hAnsi="仿宋" w:eastAsia="仿宋"/>
          <w:sz w:val="24"/>
          <w:szCs w:val="24"/>
        </w:rPr>
        <w:t>被授权人：                        投标人法定代表人：</w:t>
      </w:r>
    </w:p>
    <w:p>
      <w:pPr>
        <w:pStyle w:val="7"/>
        <w:ind w:firstLine="480"/>
        <w:jc w:val="left"/>
        <w:rPr>
          <w:rFonts w:ascii="仿宋" w:hAnsi="仿宋" w:eastAsia="仿宋"/>
          <w:sz w:val="24"/>
          <w:szCs w:val="24"/>
        </w:rPr>
      </w:pPr>
      <w:r>
        <w:rPr>
          <w:rFonts w:hint="eastAsia" w:ascii="仿宋" w:hAnsi="仿宋" w:eastAsia="仿宋"/>
          <w:sz w:val="24"/>
          <w:szCs w:val="24"/>
        </w:rPr>
        <w:t>（签字或盖章）                      （签字或盖章）</w:t>
      </w:r>
    </w:p>
    <w:p>
      <w:pPr>
        <w:pStyle w:val="7"/>
        <w:ind w:firstLine="480"/>
        <w:jc w:val="left"/>
        <w:rPr>
          <w:rFonts w:ascii="仿宋" w:hAnsi="仿宋" w:eastAsia="仿宋"/>
          <w:sz w:val="24"/>
          <w:szCs w:val="24"/>
        </w:rPr>
      </w:pP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附：被授权人身份证正反面复印件。</w:t>
      </w:r>
    </w:p>
    <w:p>
      <w:pPr>
        <w:pStyle w:val="7"/>
        <w:ind w:firstLine="480"/>
        <w:jc w:val="left"/>
        <w:rPr>
          <w:rFonts w:ascii="仿宋" w:hAnsi="仿宋" w:eastAsia="仿宋"/>
          <w:sz w:val="24"/>
          <w:szCs w:val="24"/>
        </w:rPr>
      </w:pPr>
    </w:p>
    <w:p>
      <w:pPr>
        <w:pStyle w:val="7"/>
        <w:ind w:right="480" w:firstLine="480"/>
        <w:jc w:val="center"/>
        <w:rPr>
          <w:rFonts w:ascii="仿宋" w:hAnsi="仿宋" w:eastAsia="仿宋"/>
          <w:sz w:val="24"/>
          <w:szCs w:val="24"/>
        </w:rPr>
      </w:pPr>
      <w:r>
        <w:rPr>
          <w:rFonts w:hint="eastAsia" w:ascii="仿宋" w:hAnsi="仿宋" w:eastAsia="仿宋"/>
          <w:sz w:val="24"/>
          <w:szCs w:val="24"/>
        </w:rPr>
        <w:t>（投标人公章）</w:t>
      </w:r>
    </w:p>
    <w:p>
      <w:pPr>
        <w:pStyle w:val="7"/>
        <w:ind w:firstLine="480"/>
        <w:jc w:val="center"/>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rPr>
        <w:t xml:space="preserve">                                年   月   日</w:t>
      </w:r>
    </w:p>
    <w:p>
      <w:pPr>
        <w:adjustRightInd w:val="0"/>
        <w:snapToGrid w:val="0"/>
        <w:spacing w:line="360" w:lineRule="auto"/>
        <w:ind w:firstLine="0" w:firstLineChars="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adjustRightInd w:val="0"/>
        <w:snapToGrid w:val="0"/>
        <w:ind w:firstLine="480"/>
        <w:rPr>
          <w:rFonts w:ascii="仿宋_GB2312" w:eastAsia="仿宋_GB2312"/>
          <w:sz w:val="24"/>
          <w:szCs w:val="24"/>
          <w:u w:val="single"/>
        </w:rPr>
      </w:pPr>
      <w:r>
        <w:rPr>
          <w:rFonts w:hint="eastAsia" w:ascii="仿宋_GB2312" w:eastAsia="仿宋_GB2312"/>
          <w:sz w:val="24"/>
          <w:szCs w:val="24"/>
        </w:rPr>
        <w:t>(单位名称或个人)，</w:t>
      </w:r>
    </w:p>
    <w:p>
      <w:pPr>
        <w:adjustRightInd w:val="0"/>
        <w:snapToGrid w:val="0"/>
        <w:ind w:firstLine="480"/>
        <w:rPr>
          <w:rFonts w:ascii="仿宋_GB2312" w:eastAsia="仿宋_GB2312"/>
          <w:sz w:val="24"/>
          <w:szCs w:val="24"/>
        </w:rPr>
      </w:pPr>
      <w:r>
        <w:rPr>
          <w:rFonts w:hint="eastAsia" w:ascii="仿宋_GB2312" w:eastAsia="仿宋_GB2312"/>
          <w:sz w:val="24"/>
          <w:szCs w:val="24"/>
        </w:rPr>
        <w:t>统一社会信用代码（个人身份证号）是具备《政府采购法》第二十二条件的投标人，本单位在参加克拉玛依地区政府采购活动时，承诺如下：</w:t>
      </w:r>
    </w:p>
    <w:p>
      <w:pPr>
        <w:adjustRightInd w:val="0"/>
        <w:snapToGrid w:val="0"/>
        <w:ind w:firstLine="480"/>
        <w:rPr>
          <w:rFonts w:ascii="仿宋_GB2312" w:eastAsia="仿宋_GB2312"/>
          <w:sz w:val="24"/>
          <w:szCs w:val="24"/>
        </w:rPr>
      </w:pPr>
      <w:r>
        <w:rPr>
          <w:rFonts w:hint="eastAsia" w:ascii="仿宋_GB2312" w:eastAsia="仿宋_GB2312"/>
          <w:sz w:val="24"/>
          <w:szCs w:val="24"/>
        </w:rPr>
        <w:t>（一）严格遵守国家法律、法规和规章，全面履行应尽的责任和义务。</w:t>
      </w:r>
    </w:p>
    <w:p>
      <w:pPr>
        <w:adjustRightInd w:val="0"/>
        <w:snapToGrid w:val="0"/>
        <w:ind w:firstLine="480"/>
        <w:rPr>
          <w:rFonts w:ascii="仿宋_GB2312" w:eastAsia="仿宋_GB2312"/>
          <w:sz w:val="24"/>
          <w:szCs w:val="24"/>
        </w:rPr>
      </w:pPr>
      <w:r>
        <w:rPr>
          <w:rFonts w:hint="eastAsia" w:ascii="仿宋_GB2312" w:eastAsia="仿宋_GB2312"/>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ind w:firstLine="480"/>
        <w:rPr>
          <w:rFonts w:ascii="仿宋_GB2312" w:eastAsia="仿宋_GB2312"/>
          <w:sz w:val="24"/>
          <w:szCs w:val="24"/>
        </w:rPr>
      </w:pPr>
      <w:r>
        <w:rPr>
          <w:rFonts w:hint="eastAsia" w:ascii="仿宋_GB2312" w:eastAsia="仿宋_GB2312"/>
          <w:sz w:val="24"/>
          <w:szCs w:val="24"/>
        </w:rPr>
        <w:t>（三）承诺本单位（个人）自觉接受行政管理部门、行业组织、社会公众、新闻舆论的监督。</w:t>
      </w:r>
    </w:p>
    <w:p>
      <w:pPr>
        <w:adjustRightInd w:val="0"/>
        <w:snapToGrid w:val="0"/>
        <w:ind w:firstLine="480"/>
        <w:rPr>
          <w:rFonts w:ascii="仿宋_GB2312" w:eastAsia="仿宋_GB2312"/>
          <w:sz w:val="24"/>
          <w:szCs w:val="24"/>
        </w:rPr>
      </w:pPr>
      <w:r>
        <w:rPr>
          <w:rFonts w:hint="eastAsia" w:ascii="仿宋_GB2312" w:eastAsia="仿宋_GB2312"/>
          <w:sz w:val="24"/>
          <w:szCs w:val="24"/>
        </w:rPr>
        <w:t>（四）承诺本单位（个人）将按照信用管理要求，按照规定通过克拉玛依诚信网向社会公示信用信息。</w:t>
      </w:r>
    </w:p>
    <w:p>
      <w:pPr>
        <w:adjustRightInd w:val="0"/>
        <w:snapToGrid w:val="0"/>
        <w:ind w:firstLine="480"/>
        <w:rPr>
          <w:rFonts w:ascii="仿宋_GB2312" w:eastAsia="仿宋_GB2312"/>
          <w:sz w:val="24"/>
          <w:szCs w:val="24"/>
        </w:rPr>
      </w:pPr>
      <w:r>
        <w:rPr>
          <w:rFonts w:hint="eastAsia" w:ascii="仿宋_GB2312" w:eastAsia="仿宋_GB2312"/>
          <w:sz w:val="24"/>
          <w:szCs w:val="24"/>
        </w:rPr>
        <w:t>（五）承诺本单位（个人）不制假售假、商标侵权、虚假宣传、违约毁约、价格欺诈、垄断和不正当竞争，守合同、重信用，维护经营者、消费者的合法权益。</w:t>
      </w:r>
    </w:p>
    <w:p>
      <w:pPr>
        <w:adjustRightInd w:val="0"/>
        <w:snapToGrid w:val="0"/>
        <w:ind w:firstLine="480"/>
        <w:rPr>
          <w:rFonts w:ascii="仿宋_GB2312" w:eastAsia="仿宋_GB2312"/>
          <w:sz w:val="24"/>
          <w:szCs w:val="24"/>
        </w:rPr>
      </w:pPr>
      <w:r>
        <w:rPr>
          <w:rFonts w:hint="eastAsia" w:ascii="仿宋_GB2312" w:eastAsia="仿宋_GB2312"/>
          <w:sz w:val="24"/>
          <w:szCs w:val="24"/>
        </w:rPr>
        <w:t>（六）失信主体承诺本单位（个人）依法依规接受处罚、主动积极整改、不再触犯相关法律法规、今后全面做到履约守信等。</w:t>
      </w:r>
    </w:p>
    <w:p>
      <w:pPr>
        <w:adjustRightInd w:val="0"/>
        <w:snapToGrid w:val="0"/>
        <w:ind w:firstLine="480"/>
        <w:rPr>
          <w:rFonts w:ascii="仿宋_GB2312" w:eastAsia="仿宋_GB2312"/>
          <w:sz w:val="24"/>
          <w:szCs w:val="24"/>
        </w:rPr>
      </w:pPr>
      <w:r>
        <w:rPr>
          <w:rFonts w:hint="eastAsia" w:ascii="仿宋_GB2312" w:eastAsia="仿宋_GB2312"/>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ind w:firstLine="480"/>
        <w:rPr>
          <w:rFonts w:ascii="仿宋_GB2312" w:eastAsia="仿宋_GB2312"/>
          <w:sz w:val="24"/>
          <w:szCs w:val="24"/>
        </w:rPr>
      </w:pPr>
    </w:p>
    <w:p>
      <w:pPr>
        <w:adjustRightInd w:val="0"/>
        <w:snapToGrid w:val="0"/>
        <w:ind w:firstLine="480"/>
        <w:rPr>
          <w:rFonts w:ascii="仿宋_GB2312" w:eastAsia="仿宋_GB2312"/>
          <w:sz w:val="24"/>
          <w:szCs w:val="24"/>
          <w:u w:val="single"/>
        </w:rPr>
      </w:pPr>
    </w:p>
    <w:p>
      <w:pPr>
        <w:adjustRightInd w:val="0"/>
        <w:snapToGrid w:val="0"/>
        <w:ind w:firstLine="2880" w:firstLineChars="1200"/>
        <w:rPr>
          <w:rFonts w:ascii="仿宋_GB2312" w:eastAsia="仿宋_GB2312"/>
          <w:sz w:val="24"/>
          <w:szCs w:val="24"/>
        </w:rPr>
      </w:pPr>
      <w:r>
        <w:rPr>
          <w:rFonts w:hint="eastAsia" w:ascii="仿宋_GB2312" w:eastAsia="仿宋_GB2312"/>
          <w:sz w:val="24"/>
          <w:szCs w:val="24"/>
        </w:rPr>
        <w:t>单位名称或个人(公章或签名)</w:t>
      </w:r>
    </w:p>
    <w:p>
      <w:pPr>
        <w:adjustRightInd w:val="0"/>
        <w:snapToGrid w:val="0"/>
        <w:ind w:firstLine="2880" w:firstLineChars="1200"/>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_GB2312" w:eastAsia="仿宋_GB2312"/>
          <w:sz w:val="24"/>
          <w:szCs w:val="24"/>
        </w:rPr>
        <w:t xml:space="preserve">     年   月   日</w:t>
      </w:r>
      <w:r>
        <w:rPr>
          <w:rFonts w:ascii="方正小标宋简体" w:hAnsi="仿宋" w:eastAsia="方正小标宋简体"/>
          <w:sz w:val="44"/>
          <w:szCs w:val="44"/>
        </w:rPr>
        <w:br w:type="page"/>
      </w:r>
    </w:p>
    <w:p>
      <w:pPr>
        <w:pStyle w:val="7"/>
        <w:ind w:firstLine="0" w:firstLineChars="0"/>
        <w:rPr>
          <w:rFonts w:ascii="仿宋" w:hAnsi="仿宋" w:eastAsia="仿宋"/>
          <w:sz w:val="24"/>
          <w:szCs w:val="24"/>
        </w:rPr>
      </w:pPr>
    </w:p>
    <w:p>
      <w:pPr>
        <w:pStyle w:val="22"/>
        <w:ind w:firstLine="560"/>
        <w:rPr>
          <w:rFonts w:ascii="方正小标宋简体" w:eastAsia="方正小标宋简体"/>
          <w:sz w:val="28"/>
          <w:szCs w:val="28"/>
        </w:rPr>
      </w:pPr>
      <w:r>
        <w:rPr>
          <w:rFonts w:hint="eastAsia" w:ascii="方正小标宋简体" w:eastAsia="方正小标宋简体"/>
          <w:sz w:val="28"/>
          <w:szCs w:val="28"/>
        </w:rPr>
        <w:t>（五）法律、行政法规规定的其他条件</w:t>
      </w:r>
    </w:p>
    <w:p>
      <w:pPr>
        <w:pStyle w:val="22"/>
        <w:ind w:firstLine="560"/>
        <w:rPr>
          <w:rFonts w:ascii="方正小标宋简体" w:eastAsia="方正小标宋简体"/>
          <w:sz w:val="28"/>
          <w:szCs w:val="28"/>
        </w:rPr>
      </w:pPr>
    </w:p>
    <w:p>
      <w:pPr>
        <w:pStyle w:val="22"/>
        <w:ind w:firstLine="560"/>
        <w:rPr>
          <w:rFonts w:ascii="方正小标宋简体" w:eastAsia="方正小标宋简体"/>
          <w:sz w:val="28"/>
          <w:szCs w:val="28"/>
        </w:rPr>
      </w:pPr>
    </w:p>
    <w:p>
      <w:pPr>
        <w:widowControl/>
        <w:spacing w:line="600" w:lineRule="exact"/>
        <w:ind w:firstLine="560"/>
        <w:jc w:val="center"/>
        <w:rPr>
          <w:rFonts w:ascii="方正小标宋简体" w:hAnsi="仿宋" w:eastAsia="方正小标宋简体" w:cs="宋体"/>
          <w:color w:val="000000"/>
          <w:kern w:val="24"/>
          <w:sz w:val="28"/>
          <w:szCs w:val="28"/>
        </w:rPr>
      </w:pPr>
      <w:r>
        <w:rPr>
          <w:rFonts w:ascii="方正小标宋简体" w:eastAsia="方正小标宋简体"/>
          <w:sz w:val="28"/>
          <w:szCs w:val="28"/>
        </w:rPr>
        <w:br w:type="page"/>
      </w:r>
    </w:p>
    <w:p>
      <w:pPr>
        <w:pStyle w:val="22"/>
        <w:ind w:firstLine="560"/>
        <w:rPr>
          <w:rFonts w:ascii="方正小标宋简体" w:eastAsia="方正小标宋简体"/>
          <w:sz w:val="28"/>
          <w:szCs w:val="28"/>
        </w:rPr>
      </w:pPr>
    </w:p>
    <w:p>
      <w:pPr>
        <w:pStyle w:val="34"/>
        <w:ind w:firstLine="723"/>
        <w:rPr>
          <w:sz w:val="28"/>
          <w:szCs w:val="28"/>
        </w:rPr>
      </w:pPr>
      <w:r>
        <w:rPr>
          <w:rFonts w:hint="eastAsia"/>
        </w:rPr>
        <w:t>三、商务文件</w:t>
      </w:r>
    </w:p>
    <w:p>
      <w:pPr>
        <w:pStyle w:val="35"/>
        <w:rPr>
          <w:rFonts w:ascii="仿宋" w:eastAsia="仿宋"/>
          <w:b/>
        </w:rPr>
      </w:pPr>
      <w:r>
        <w:rPr>
          <w:rFonts w:hint="eastAsia"/>
        </w:rPr>
        <w:t>（一）投  标  函</w:t>
      </w:r>
    </w:p>
    <w:p>
      <w:pPr>
        <w:pStyle w:val="7"/>
        <w:spacing w:line="50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克拉玛依市政务服务和公共资源交易中心</w:t>
      </w:r>
    </w:p>
    <w:p>
      <w:pPr>
        <w:pStyle w:val="7"/>
        <w:spacing w:line="500" w:lineRule="exact"/>
        <w:ind w:firstLine="480"/>
        <w:jc w:val="left"/>
        <w:rPr>
          <w:rFonts w:ascii="仿宋" w:hAnsi="仿宋" w:eastAsia="仿宋"/>
          <w:sz w:val="24"/>
          <w:szCs w:val="24"/>
        </w:rPr>
      </w:pPr>
      <w:r>
        <w:rPr>
          <w:rFonts w:hint="eastAsia" w:ascii="仿宋" w:hAnsi="仿宋" w:eastAsia="仿宋"/>
          <w:sz w:val="24"/>
          <w:szCs w:val="24"/>
        </w:rPr>
        <w:t>根据贵方项目的招标文件（编号），正式授权下述签字人（姓名和职务）代表投标人的名称），提交下述文件：</w:t>
      </w:r>
    </w:p>
    <w:p>
      <w:pPr>
        <w:spacing w:line="500" w:lineRule="exact"/>
        <w:ind w:firstLine="480"/>
        <w:rPr>
          <w:rFonts w:ascii="仿宋" w:hAnsi="仿宋" w:eastAsia="仿宋"/>
          <w:sz w:val="24"/>
          <w:szCs w:val="24"/>
        </w:rPr>
      </w:pPr>
      <w:r>
        <w:rPr>
          <w:rFonts w:hint="eastAsia" w:ascii="仿宋" w:hAnsi="仿宋" w:eastAsia="仿宋"/>
          <w:sz w:val="24"/>
          <w:szCs w:val="24"/>
        </w:rPr>
        <w:t>（1）投标函；</w:t>
      </w:r>
    </w:p>
    <w:p>
      <w:pPr>
        <w:spacing w:line="500" w:lineRule="exact"/>
        <w:ind w:firstLine="480"/>
        <w:rPr>
          <w:rFonts w:ascii="仿宋" w:hAnsi="仿宋" w:eastAsia="仿宋"/>
          <w:sz w:val="24"/>
          <w:szCs w:val="24"/>
        </w:rPr>
      </w:pPr>
      <w:r>
        <w:rPr>
          <w:rFonts w:hint="eastAsia" w:ascii="仿宋" w:hAnsi="仿宋" w:eastAsia="仿宋"/>
          <w:sz w:val="24"/>
          <w:szCs w:val="24"/>
        </w:rPr>
        <w:t>（2）服务承诺</w:t>
      </w:r>
    </w:p>
    <w:p>
      <w:pPr>
        <w:spacing w:line="50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7"/>
        <w:spacing w:line="50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7"/>
        <w:spacing w:line="50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7"/>
        <w:spacing w:line="50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7"/>
        <w:spacing w:line="50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3、我们同意在投标人须知规定的截止日期起遵循本投标文件，并在投标人须知规定的有效期满之前均具有约束力，并有可能中标。</w:t>
      </w:r>
    </w:p>
    <w:p>
      <w:pPr>
        <w:pStyle w:val="7"/>
        <w:spacing w:line="50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7"/>
        <w:spacing w:line="50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7"/>
        <w:spacing w:line="50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7"/>
        <w:spacing w:line="500" w:lineRule="exact"/>
        <w:ind w:firstLine="480"/>
        <w:rPr>
          <w:rFonts w:ascii="仿宋" w:hAnsi="仿宋" w:eastAsia="仿宋"/>
          <w:sz w:val="24"/>
          <w:szCs w:val="24"/>
        </w:rPr>
      </w:pP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7"/>
        <w:spacing w:line="40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spacing w:line="400" w:lineRule="exact"/>
        <w:ind w:firstLine="480"/>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spacing w:line="360" w:lineRule="auto"/>
        <w:ind w:firstLine="720"/>
        <w:jc w:val="center"/>
        <w:rPr>
          <w:rFonts w:ascii="方正小标宋简体" w:hAnsi="仿宋" w:eastAsia="方正小标宋简体"/>
          <w:bCs/>
          <w:kern w:val="36"/>
          <w:sz w:val="36"/>
          <w:szCs w:val="36"/>
        </w:rPr>
      </w:pPr>
    </w:p>
    <w:p>
      <w:pPr>
        <w:spacing w:line="360" w:lineRule="auto"/>
        <w:ind w:firstLine="720"/>
        <w:jc w:val="center"/>
        <w:rPr>
          <w:rFonts w:ascii="方正小标宋简体" w:hAnsi="仿宋" w:eastAsia="方正小标宋简体"/>
          <w:bCs/>
          <w:kern w:val="36"/>
          <w:sz w:val="36"/>
          <w:szCs w:val="36"/>
        </w:rPr>
      </w:pPr>
      <w:r>
        <w:rPr>
          <w:rFonts w:hint="eastAsia" w:ascii="方正小标宋简体" w:hAnsi="仿宋" w:eastAsia="方正小标宋简体"/>
          <w:bCs/>
          <w:kern w:val="36"/>
          <w:sz w:val="36"/>
          <w:szCs w:val="36"/>
        </w:rPr>
        <w:t>（二）中小企业声明函（货物）</w:t>
      </w:r>
    </w:p>
    <w:p>
      <w:pPr>
        <w:spacing w:line="360" w:lineRule="auto"/>
        <w:ind w:firstLine="48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（项目名称）采购活动，提供的货物全部由符合政策要求的中小企业制造。相关企业（含联合体中的中小企业、签订分包意向协议的中小企业）的具体情况如下：</w:t>
      </w:r>
    </w:p>
    <w:p>
      <w:pPr>
        <w:spacing w:line="360" w:lineRule="auto"/>
        <w:ind w:firstLine="48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（招标文件中明确的所属行业）；制造商为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（招标文件中明确的所属行业）；制造商为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jc w:val="left"/>
        <w:rPr>
          <w:rFonts w:ascii="仿宋" w:hAnsi="仿宋" w:eastAsia="仿宋" w:cs="宋体"/>
          <w:sz w:val="24"/>
        </w:rPr>
      </w:pPr>
      <w:r>
        <w:rPr>
          <w:rFonts w:hint="eastAsia" w:ascii="仿宋" w:hAnsi="仿宋" w:eastAsia="仿宋" w:cs="宋体"/>
          <w:sz w:val="24"/>
        </w:rPr>
        <w:t>……</w:t>
      </w:r>
    </w:p>
    <w:p>
      <w:pPr>
        <w:spacing w:line="360" w:lineRule="auto"/>
        <w:ind w:firstLine="48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7"/>
        <w:ind w:firstLine="480"/>
        <w:rPr>
          <w:rFonts w:ascii="仿宋" w:hAnsi="仿宋" w:eastAsia="仿宋"/>
          <w:sz w:val="24"/>
          <w:szCs w:val="24"/>
        </w:rPr>
        <w:sectPr>
          <w:pgSz w:w="11907" w:h="16840"/>
          <w:pgMar w:top="1440" w:right="1077" w:bottom="1440" w:left="1077" w:header="964" w:footer="992" w:gutter="0"/>
          <w:cols w:space="425" w:num="1"/>
          <w:docGrid w:linePitch="354" w:charSpace="0"/>
        </w:sectPr>
      </w:pPr>
    </w:p>
    <w:p>
      <w:pPr>
        <w:pStyle w:val="35"/>
        <w:rPr>
          <w:rFonts w:ascii="仿宋" w:eastAsia="仿宋"/>
          <w:sz w:val="24"/>
          <w:szCs w:val="24"/>
        </w:rPr>
      </w:pPr>
      <w:r>
        <w:rPr>
          <w:rFonts w:hint="eastAsia"/>
        </w:rPr>
        <w:t>（三）售后服务（格式自定）</w:t>
      </w:r>
    </w:p>
    <w:p>
      <w:pPr>
        <w:ind w:firstLine="480"/>
        <w:jc w:val="center"/>
        <w:rPr>
          <w:rFonts w:ascii="方正小标宋简体" w:hAnsi="仿宋" w:eastAsia="方正小标宋简体"/>
          <w:sz w:val="24"/>
          <w:szCs w:val="24"/>
        </w:rPr>
      </w:pPr>
      <w:r>
        <w:rPr>
          <w:rFonts w:hint="eastAsia" w:ascii="方正小标宋简体" w:hAnsi="仿宋" w:eastAsia="方正小标宋简体"/>
          <w:sz w:val="24"/>
          <w:szCs w:val="24"/>
        </w:rPr>
        <w:t>（以下内容可参考）</w:t>
      </w:r>
    </w:p>
    <w:p>
      <w:pPr>
        <w:pStyle w:val="35"/>
      </w:pPr>
      <w:r>
        <w:rPr>
          <w:rFonts w:hint="eastAsia"/>
        </w:rPr>
        <w:t>拟任执行管理及技术人员情况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981"/>
        <w:gridCol w:w="1099"/>
        <w:gridCol w:w="2654"/>
        <w:gridCol w:w="731"/>
        <w:gridCol w:w="73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160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职责分工</w:t>
            </w:r>
          </w:p>
        </w:tc>
        <w:tc>
          <w:tcPr>
            <w:tcW w:w="9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姓名</w:t>
            </w:r>
          </w:p>
        </w:tc>
        <w:tc>
          <w:tcPr>
            <w:tcW w:w="1099" w:type="dxa"/>
            <w:tcBorders>
              <w:top w:val="single" w:color="auto" w:sz="4" w:space="0"/>
              <w:left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现职务</w:t>
            </w:r>
          </w:p>
        </w:tc>
        <w:tc>
          <w:tcPr>
            <w:tcW w:w="2654"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731"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职称</w:t>
            </w:r>
          </w:p>
        </w:tc>
        <w:tc>
          <w:tcPr>
            <w:tcW w:w="731"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专业工龄</w:t>
            </w:r>
          </w:p>
        </w:tc>
        <w:tc>
          <w:tcPr>
            <w:tcW w:w="1643"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总负责人</w:t>
            </w:r>
          </w:p>
        </w:tc>
        <w:tc>
          <w:tcPr>
            <w:tcW w:w="981"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top w:val="single" w:color="auto" w:sz="4" w:space="0"/>
              <w:left w:val="single" w:color="auto" w:sz="4" w:space="0"/>
              <w:bottom w:val="nil"/>
            </w:tcBorders>
            <w:vAlign w:val="center"/>
          </w:tcPr>
          <w:p>
            <w:pPr>
              <w:spacing w:line="320" w:lineRule="exact"/>
              <w:ind w:firstLine="0" w:firstLineChars="0"/>
              <w:rPr>
                <w:rFonts w:ascii="仿宋" w:hAnsi="仿宋" w:eastAsia="仿宋"/>
                <w:sz w:val="24"/>
                <w:szCs w:val="24"/>
              </w:rPr>
            </w:pPr>
          </w:p>
        </w:tc>
        <w:tc>
          <w:tcPr>
            <w:tcW w:w="2654"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restart"/>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bl>
    <w:p>
      <w:pPr>
        <w:pStyle w:val="22"/>
        <w:ind w:firstLine="480"/>
        <w:rPr>
          <w:lang w:val="en-GB"/>
        </w:rPr>
      </w:pPr>
      <w:r>
        <w:rPr>
          <w:rFonts w:hint="eastAsia"/>
          <w:lang w:val="en-GB"/>
        </w:rPr>
        <w:t>注：根据评审表的要求提交相应资料。</w:t>
      </w:r>
    </w:p>
    <w:p>
      <w:pPr>
        <w:pStyle w:val="35"/>
      </w:pPr>
    </w:p>
    <w:p>
      <w:pPr>
        <w:pStyle w:val="35"/>
      </w:pPr>
    </w:p>
    <w:p>
      <w:pPr>
        <w:pStyle w:val="35"/>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7"/>
        <w:ind w:firstLine="480"/>
        <w:rPr>
          <w:rFonts w:ascii="仿宋" w:hAnsi="仿宋" w:eastAsia="仿宋"/>
          <w:sz w:val="24"/>
          <w:szCs w:val="24"/>
          <w:lang w:val="en-GB"/>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lang w:val="en-GB"/>
        </w:rPr>
        <w:t>7.培训计划。</w:t>
      </w:r>
    </w:p>
    <w:p>
      <w:pPr>
        <w:pStyle w:val="34"/>
        <w:ind w:firstLine="723"/>
        <w:rPr>
          <w:rFonts w:ascii="仿宋" w:eastAsia="仿宋"/>
          <w:sz w:val="24"/>
          <w:szCs w:val="24"/>
          <w:lang w:val="en-GB"/>
        </w:rPr>
      </w:pPr>
      <w:r>
        <w:rPr>
          <w:rFonts w:hint="eastAsia"/>
        </w:rPr>
        <w:t>四、技术文件</w:t>
      </w:r>
    </w:p>
    <w:p>
      <w:pPr>
        <w:pStyle w:val="35"/>
      </w:pPr>
      <w:r>
        <w:rPr>
          <w:rFonts w:hint="eastAsia"/>
        </w:rPr>
        <w:t>技术参数响应表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9"/>
        <w:gridCol w:w="3793"/>
        <w:gridCol w:w="2172"/>
        <w:gridCol w:w="7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819"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规格/要求</w:t>
            </w:r>
          </w:p>
        </w:tc>
        <w:tc>
          <w:tcPr>
            <w:tcW w:w="3793"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投标/响应实际参数</w:t>
            </w:r>
          </w:p>
          <w:p>
            <w:pPr>
              <w:spacing w:line="320" w:lineRule="exact"/>
              <w:ind w:firstLine="0" w:firstLineChars="0"/>
              <w:rPr>
                <w:rFonts w:ascii="仿宋" w:hAnsi="仿宋" w:eastAsia="仿宋"/>
                <w:b/>
                <w:color w:val="000000"/>
                <w:sz w:val="24"/>
                <w:szCs w:val="24"/>
              </w:rPr>
            </w:pPr>
            <w:r>
              <w:rPr>
                <w:rFonts w:hint="eastAsia" w:ascii="仿宋" w:hAnsi="仿宋" w:eastAsia="仿宋"/>
                <w:b/>
                <w:bCs/>
                <w:color w:val="000000"/>
                <w:sz w:val="24"/>
                <w:szCs w:val="24"/>
              </w:rPr>
              <w:t>(投标人应按响应货物/服务实际数据填写，不能复制要求)</w:t>
            </w:r>
          </w:p>
        </w:tc>
        <w:tc>
          <w:tcPr>
            <w:tcW w:w="2172"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是否偏离（无偏离/正偏离/负偏离）</w:t>
            </w:r>
          </w:p>
        </w:tc>
        <w:tc>
          <w:tcPr>
            <w:tcW w:w="756"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偏离简述</w:t>
            </w:r>
          </w:p>
        </w:tc>
        <w:tc>
          <w:tcPr>
            <w:tcW w:w="1310"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5</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6</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p>
        </w:tc>
      </w:tr>
    </w:tbl>
    <w:p>
      <w:pPr>
        <w:pStyle w:val="22"/>
        <w:ind w:firstLine="480"/>
      </w:pPr>
      <w:r>
        <w:rPr>
          <w:rFonts w:hint="eastAsia"/>
        </w:rPr>
        <w:t>注：投标人响应采购需求应具体、明确，含糊不清、不确切或伪造、编造证明材料的，按照不完全响应或者完全不响应处理。构成提供虚假材料的，移送监管部门</w:t>
      </w:r>
      <w:bookmarkStart w:id="49" w:name="_Toc278274494"/>
    </w:p>
    <w:p>
      <w:pPr>
        <w:pStyle w:val="35"/>
      </w:pPr>
      <w:r>
        <w:rPr>
          <w:rFonts w:hint="eastAsia"/>
        </w:rPr>
        <w:t>同类项目业绩介绍</w:t>
      </w:r>
      <w:bookmarkEnd w:id="4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31"/>
        <w:gridCol w:w="3215"/>
        <w:gridCol w:w="1209"/>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531"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215"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项目名称及</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20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实施</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92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bl>
    <w:p>
      <w:pPr>
        <w:pStyle w:val="22"/>
        <w:ind w:firstLine="480"/>
        <w:sectPr>
          <w:pgSz w:w="11907" w:h="16840"/>
          <w:pgMar w:top="1440" w:right="1077" w:bottom="1440" w:left="1077" w:header="964" w:footer="992" w:gutter="0"/>
          <w:cols w:space="425" w:num="1"/>
          <w:docGrid w:linePitch="354" w:charSpace="0"/>
        </w:sectPr>
      </w:pPr>
      <w:r>
        <w:t>注：根据评审表的要求提交相应资料</w:t>
      </w:r>
      <w:r>
        <w:rPr>
          <w:rFonts w:hint="eastAsia"/>
        </w:rPr>
        <w:t>。</w:t>
      </w:r>
    </w:p>
    <w:p>
      <w:pPr>
        <w:pStyle w:val="22"/>
        <w:ind w:firstLine="720"/>
      </w:pPr>
      <w:r>
        <w:rPr>
          <w:rFonts w:hint="eastAsia" w:ascii="方正小标宋简体" w:eastAsia="方正小标宋简体"/>
          <w:sz w:val="36"/>
          <w:szCs w:val="36"/>
        </w:rPr>
        <w:t>五、其他</w:t>
      </w:r>
    </w:p>
    <w:p>
      <w:pPr>
        <w:pStyle w:val="22"/>
        <w:ind w:firstLine="560"/>
        <w:rPr>
          <w:rFonts w:ascii="方正小标宋简体" w:eastAsia="方正小标宋简体"/>
          <w:sz w:val="28"/>
          <w:szCs w:val="28"/>
        </w:rPr>
      </w:pPr>
      <w:r>
        <w:rPr>
          <w:rFonts w:hint="eastAsia" w:ascii="方正小标宋简体" w:eastAsia="方正小标宋简体"/>
          <w:sz w:val="28"/>
          <w:szCs w:val="28"/>
        </w:rPr>
        <w:t>其他与项目有关的资料（结合评分表自附）</w:t>
      </w:r>
    </w:p>
    <w:p>
      <w:pPr>
        <w:pStyle w:val="22"/>
        <w:ind w:firstLine="560"/>
        <w:rPr>
          <w:rFonts w:ascii="方正小标宋简体" w:eastAsia="方正小标宋简体"/>
          <w:sz w:val="28"/>
          <w:szCs w:val="28"/>
        </w:rPr>
      </w:pPr>
    </w:p>
    <w:p>
      <w:pPr>
        <w:pStyle w:val="22"/>
        <w:ind w:firstLine="560"/>
        <w:rPr>
          <w:rFonts w:ascii="方正小标宋简体" w:eastAsia="方正小标宋简体"/>
          <w:sz w:val="28"/>
          <w:szCs w:val="28"/>
        </w:rPr>
      </w:pPr>
    </w:p>
    <w:p>
      <w:pPr>
        <w:pStyle w:val="22"/>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7" w:h="16840"/>
      <w:pgMar w:top="1440" w:right="1077" w:bottom="1440" w:left="1077" w:header="964" w:footer="992" w:gutter="0"/>
      <w:cols w:space="425" w:num="1"/>
      <w:docGrid w:linePitch="35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BB3A0"/>
    <w:multiLevelType w:val="singleLevel"/>
    <w:tmpl w:val="933BB3A0"/>
    <w:lvl w:ilvl="0" w:tentative="0">
      <w:start w:val="1"/>
      <w:numFmt w:val="decimal"/>
      <w:lvlText w:val="%1."/>
      <w:lvlJc w:val="left"/>
      <w:pPr>
        <w:tabs>
          <w:tab w:val="left" w:pos="312"/>
        </w:tabs>
      </w:pPr>
    </w:lvl>
  </w:abstractNum>
  <w:abstractNum w:abstractNumId="1">
    <w:nsid w:val="98C25FC6"/>
    <w:multiLevelType w:val="singleLevel"/>
    <w:tmpl w:val="98C25FC6"/>
    <w:lvl w:ilvl="0" w:tentative="0">
      <w:start w:val="3"/>
      <w:numFmt w:val="chineseCounting"/>
      <w:lvlText w:val="(%1)"/>
      <w:lvlJc w:val="left"/>
      <w:pPr>
        <w:tabs>
          <w:tab w:val="left" w:pos="312"/>
        </w:tabs>
      </w:pPr>
      <w:rPr>
        <w:rFonts w:hint="eastAsia"/>
      </w:rPr>
    </w:lvl>
  </w:abstractNum>
  <w:abstractNum w:abstractNumId="2">
    <w:nsid w:val="BCF30FC4"/>
    <w:multiLevelType w:val="singleLevel"/>
    <w:tmpl w:val="BCF30FC4"/>
    <w:lvl w:ilvl="0" w:tentative="0">
      <w:start w:val="2"/>
      <w:numFmt w:val="chineseCounting"/>
      <w:suff w:val="space"/>
      <w:lvlText w:val="第%1篇"/>
      <w:lvlJc w:val="left"/>
      <w:rPr>
        <w:rFonts w:hint="eastAsia"/>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CD0A57"/>
    <w:multiLevelType w:val="multilevel"/>
    <w:tmpl w:val="75CD0A5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1"/>
  <w:drawingGridHorizontalSpacing w:val="130"/>
  <w:drawingGridVerticalSpacing w:val="17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05"/>
    <w:rsid w:val="00001AB7"/>
    <w:rsid w:val="0001394E"/>
    <w:rsid w:val="00015F4E"/>
    <w:rsid w:val="00016D3A"/>
    <w:rsid w:val="0002245E"/>
    <w:rsid w:val="00031A3C"/>
    <w:rsid w:val="00040C05"/>
    <w:rsid w:val="00050116"/>
    <w:rsid w:val="000554C3"/>
    <w:rsid w:val="00062941"/>
    <w:rsid w:val="00071091"/>
    <w:rsid w:val="000A3B3C"/>
    <w:rsid w:val="000B0005"/>
    <w:rsid w:val="000B08E6"/>
    <w:rsid w:val="000C2672"/>
    <w:rsid w:val="000D1540"/>
    <w:rsid w:val="000D32EC"/>
    <w:rsid w:val="000E2AC3"/>
    <w:rsid w:val="000F672D"/>
    <w:rsid w:val="000F6CD0"/>
    <w:rsid w:val="00110E75"/>
    <w:rsid w:val="00124457"/>
    <w:rsid w:val="00126B53"/>
    <w:rsid w:val="00135B78"/>
    <w:rsid w:val="00137FCE"/>
    <w:rsid w:val="001451C3"/>
    <w:rsid w:val="001451D0"/>
    <w:rsid w:val="0015008F"/>
    <w:rsid w:val="00153488"/>
    <w:rsid w:val="00156E8D"/>
    <w:rsid w:val="00193EB9"/>
    <w:rsid w:val="001A4C8B"/>
    <w:rsid w:val="001A7362"/>
    <w:rsid w:val="001B4B4C"/>
    <w:rsid w:val="001B7644"/>
    <w:rsid w:val="001C02FD"/>
    <w:rsid w:val="001C668F"/>
    <w:rsid w:val="001C6881"/>
    <w:rsid w:val="001D516C"/>
    <w:rsid w:val="001D6990"/>
    <w:rsid w:val="001E51A7"/>
    <w:rsid w:val="0020137C"/>
    <w:rsid w:val="00213512"/>
    <w:rsid w:val="00216104"/>
    <w:rsid w:val="00221981"/>
    <w:rsid w:val="00236A1A"/>
    <w:rsid w:val="002373A9"/>
    <w:rsid w:val="00254E91"/>
    <w:rsid w:val="0029320A"/>
    <w:rsid w:val="002A08F5"/>
    <w:rsid w:val="002A7B86"/>
    <w:rsid w:val="002B0E2E"/>
    <w:rsid w:val="002C1B37"/>
    <w:rsid w:val="002D4117"/>
    <w:rsid w:val="002E77ED"/>
    <w:rsid w:val="002F2070"/>
    <w:rsid w:val="002F6C39"/>
    <w:rsid w:val="0030431B"/>
    <w:rsid w:val="003072E5"/>
    <w:rsid w:val="003149B9"/>
    <w:rsid w:val="00314AE4"/>
    <w:rsid w:val="00321FDF"/>
    <w:rsid w:val="003236D3"/>
    <w:rsid w:val="00327597"/>
    <w:rsid w:val="00333598"/>
    <w:rsid w:val="00333EB3"/>
    <w:rsid w:val="003342B2"/>
    <w:rsid w:val="003446A8"/>
    <w:rsid w:val="00347C2D"/>
    <w:rsid w:val="003609D0"/>
    <w:rsid w:val="0036423B"/>
    <w:rsid w:val="00372F4E"/>
    <w:rsid w:val="003748A8"/>
    <w:rsid w:val="0037739A"/>
    <w:rsid w:val="00380274"/>
    <w:rsid w:val="00380883"/>
    <w:rsid w:val="003825D5"/>
    <w:rsid w:val="0038528B"/>
    <w:rsid w:val="0039667D"/>
    <w:rsid w:val="003968BD"/>
    <w:rsid w:val="003970F4"/>
    <w:rsid w:val="003B40C6"/>
    <w:rsid w:val="003B4F8A"/>
    <w:rsid w:val="003C2A85"/>
    <w:rsid w:val="003C65D3"/>
    <w:rsid w:val="003D0C65"/>
    <w:rsid w:val="003E2C5E"/>
    <w:rsid w:val="003E77D0"/>
    <w:rsid w:val="003F70CA"/>
    <w:rsid w:val="00402736"/>
    <w:rsid w:val="004042C5"/>
    <w:rsid w:val="00411645"/>
    <w:rsid w:val="00412A00"/>
    <w:rsid w:val="004168E1"/>
    <w:rsid w:val="004241F8"/>
    <w:rsid w:val="00424CAE"/>
    <w:rsid w:val="004329F7"/>
    <w:rsid w:val="00441CF6"/>
    <w:rsid w:val="00454EDD"/>
    <w:rsid w:val="004624CE"/>
    <w:rsid w:val="00462961"/>
    <w:rsid w:val="00467C79"/>
    <w:rsid w:val="00485385"/>
    <w:rsid w:val="00492402"/>
    <w:rsid w:val="004B0F32"/>
    <w:rsid w:val="004B3503"/>
    <w:rsid w:val="004B3FA7"/>
    <w:rsid w:val="004B5E24"/>
    <w:rsid w:val="004C7F1B"/>
    <w:rsid w:val="004D7E05"/>
    <w:rsid w:val="004E0978"/>
    <w:rsid w:val="004F280D"/>
    <w:rsid w:val="00505507"/>
    <w:rsid w:val="0051414F"/>
    <w:rsid w:val="0052029C"/>
    <w:rsid w:val="00531A6F"/>
    <w:rsid w:val="0053791B"/>
    <w:rsid w:val="00545D1A"/>
    <w:rsid w:val="00552682"/>
    <w:rsid w:val="0055562D"/>
    <w:rsid w:val="00563310"/>
    <w:rsid w:val="00572B95"/>
    <w:rsid w:val="005766CB"/>
    <w:rsid w:val="005816BA"/>
    <w:rsid w:val="00583888"/>
    <w:rsid w:val="005872FF"/>
    <w:rsid w:val="005949C5"/>
    <w:rsid w:val="005A15C8"/>
    <w:rsid w:val="005A339F"/>
    <w:rsid w:val="005A5879"/>
    <w:rsid w:val="005A7935"/>
    <w:rsid w:val="005C3681"/>
    <w:rsid w:val="005C445B"/>
    <w:rsid w:val="005C675D"/>
    <w:rsid w:val="005D038F"/>
    <w:rsid w:val="005E048C"/>
    <w:rsid w:val="005E6DD3"/>
    <w:rsid w:val="005F1103"/>
    <w:rsid w:val="005F2646"/>
    <w:rsid w:val="00607102"/>
    <w:rsid w:val="00621F54"/>
    <w:rsid w:val="00623997"/>
    <w:rsid w:val="006326E6"/>
    <w:rsid w:val="006378CD"/>
    <w:rsid w:val="00640F99"/>
    <w:rsid w:val="006416A6"/>
    <w:rsid w:val="00645A9E"/>
    <w:rsid w:val="00650095"/>
    <w:rsid w:val="00664B2D"/>
    <w:rsid w:val="00666403"/>
    <w:rsid w:val="00687FC1"/>
    <w:rsid w:val="006A1F9D"/>
    <w:rsid w:val="006A4703"/>
    <w:rsid w:val="006B0054"/>
    <w:rsid w:val="006C6115"/>
    <w:rsid w:val="006D3651"/>
    <w:rsid w:val="006D5285"/>
    <w:rsid w:val="006E60B0"/>
    <w:rsid w:val="006F0D43"/>
    <w:rsid w:val="0071301C"/>
    <w:rsid w:val="00717FF2"/>
    <w:rsid w:val="007272F5"/>
    <w:rsid w:val="007331A8"/>
    <w:rsid w:val="00734997"/>
    <w:rsid w:val="00740542"/>
    <w:rsid w:val="00744E51"/>
    <w:rsid w:val="00746BA2"/>
    <w:rsid w:val="0076286D"/>
    <w:rsid w:val="00777772"/>
    <w:rsid w:val="00782EE9"/>
    <w:rsid w:val="007A6726"/>
    <w:rsid w:val="007A6880"/>
    <w:rsid w:val="007A6F71"/>
    <w:rsid w:val="007C568A"/>
    <w:rsid w:val="007D586F"/>
    <w:rsid w:val="007E0438"/>
    <w:rsid w:val="007F652B"/>
    <w:rsid w:val="007F72F4"/>
    <w:rsid w:val="00800BA6"/>
    <w:rsid w:val="00800BC2"/>
    <w:rsid w:val="0080117C"/>
    <w:rsid w:val="00802170"/>
    <w:rsid w:val="008058A5"/>
    <w:rsid w:val="00806239"/>
    <w:rsid w:val="0081174D"/>
    <w:rsid w:val="00822DC9"/>
    <w:rsid w:val="00832CAF"/>
    <w:rsid w:val="00833B44"/>
    <w:rsid w:val="00835860"/>
    <w:rsid w:val="00841144"/>
    <w:rsid w:val="00842F3A"/>
    <w:rsid w:val="00853E63"/>
    <w:rsid w:val="00860454"/>
    <w:rsid w:val="008A09B9"/>
    <w:rsid w:val="008A582E"/>
    <w:rsid w:val="008B1B39"/>
    <w:rsid w:val="008C053B"/>
    <w:rsid w:val="008D05F4"/>
    <w:rsid w:val="008D4FC0"/>
    <w:rsid w:val="008E0CC0"/>
    <w:rsid w:val="008E778F"/>
    <w:rsid w:val="00905448"/>
    <w:rsid w:val="00905F23"/>
    <w:rsid w:val="00910464"/>
    <w:rsid w:val="0091172B"/>
    <w:rsid w:val="00917D3F"/>
    <w:rsid w:val="00920A1A"/>
    <w:rsid w:val="00927FAA"/>
    <w:rsid w:val="00933323"/>
    <w:rsid w:val="0093355B"/>
    <w:rsid w:val="00937090"/>
    <w:rsid w:val="009373E6"/>
    <w:rsid w:val="0094780F"/>
    <w:rsid w:val="00950353"/>
    <w:rsid w:val="009572F5"/>
    <w:rsid w:val="00957707"/>
    <w:rsid w:val="00961740"/>
    <w:rsid w:val="00963923"/>
    <w:rsid w:val="00963C93"/>
    <w:rsid w:val="009646FA"/>
    <w:rsid w:val="00984455"/>
    <w:rsid w:val="0099065B"/>
    <w:rsid w:val="009A1BD1"/>
    <w:rsid w:val="009C43EE"/>
    <w:rsid w:val="009D7577"/>
    <w:rsid w:val="00A00F60"/>
    <w:rsid w:val="00A033AE"/>
    <w:rsid w:val="00A06B94"/>
    <w:rsid w:val="00A13968"/>
    <w:rsid w:val="00A23A08"/>
    <w:rsid w:val="00A33843"/>
    <w:rsid w:val="00A5113F"/>
    <w:rsid w:val="00A54983"/>
    <w:rsid w:val="00A57D7E"/>
    <w:rsid w:val="00A57FBC"/>
    <w:rsid w:val="00A65D1D"/>
    <w:rsid w:val="00A7290F"/>
    <w:rsid w:val="00A758A6"/>
    <w:rsid w:val="00A93FE2"/>
    <w:rsid w:val="00AA3B64"/>
    <w:rsid w:val="00AB6BB2"/>
    <w:rsid w:val="00AB7180"/>
    <w:rsid w:val="00AC3378"/>
    <w:rsid w:val="00AC3BDA"/>
    <w:rsid w:val="00AD582E"/>
    <w:rsid w:val="00AD6C00"/>
    <w:rsid w:val="00AE2C38"/>
    <w:rsid w:val="00AE3D33"/>
    <w:rsid w:val="00AF02C8"/>
    <w:rsid w:val="00AF2AE4"/>
    <w:rsid w:val="00AF2CDA"/>
    <w:rsid w:val="00AF33D2"/>
    <w:rsid w:val="00AF5AED"/>
    <w:rsid w:val="00B04762"/>
    <w:rsid w:val="00B10183"/>
    <w:rsid w:val="00B214F7"/>
    <w:rsid w:val="00B23655"/>
    <w:rsid w:val="00B23F26"/>
    <w:rsid w:val="00B27177"/>
    <w:rsid w:val="00B33CB9"/>
    <w:rsid w:val="00B50309"/>
    <w:rsid w:val="00B61EA2"/>
    <w:rsid w:val="00B7501B"/>
    <w:rsid w:val="00B814B6"/>
    <w:rsid w:val="00B82584"/>
    <w:rsid w:val="00B83608"/>
    <w:rsid w:val="00B841AD"/>
    <w:rsid w:val="00BA26F6"/>
    <w:rsid w:val="00BB3FA7"/>
    <w:rsid w:val="00BB471A"/>
    <w:rsid w:val="00BC2BF5"/>
    <w:rsid w:val="00BD675D"/>
    <w:rsid w:val="00BD6FA7"/>
    <w:rsid w:val="00BE1F97"/>
    <w:rsid w:val="00BE31E1"/>
    <w:rsid w:val="00BE7C15"/>
    <w:rsid w:val="00BF19FC"/>
    <w:rsid w:val="00BF259B"/>
    <w:rsid w:val="00BF421E"/>
    <w:rsid w:val="00C0738E"/>
    <w:rsid w:val="00C07B80"/>
    <w:rsid w:val="00C10B72"/>
    <w:rsid w:val="00C2034A"/>
    <w:rsid w:val="00C304FE"/>
    <w:rsid w:val="00C3084F"/>
    <w:rsid w:val="00C3493E"/>
    <w:rsid w:val="00C376C0"/>
    <w:rsid w:val="00C43341"/>
    <w:rsid w:val="00C44719"/>
    <w:rsid w:val="00C508ED"/>
    <w:rsid w:val="00C537C5"/>
    <w:rsid w:val="00C57AB8"/>
    <w:rsid w:val="00C669C7"/>
    <w:rsid w:val="00C73B3B"/>
    <w:rsid w:val="00C74481"/>
    <w:rsid w:val="00C77225"/>
    <w:rsid w:val="00C8765D"/>
    <w:rsid w:val="00C87759"/>
    <w:rsid w:val="00CA3B7F"/>
    <w:rsid w:val="00CA5A6F"/>
    <w:rsid w:val="00CB0862"/>
    <w:rsid w:val="00CB24D9"/>
    <w:rsid w:val="00CB71DC"/>
    <w:rsid w:val="00CD5D31"/>
    <w:rsid w:val="00CE169A"/>
    <w:rsid w:val="00CF23DF"/>
    <w:rsid w:val="00CF48C9"/>
    <w:rsid w:val="00D00AE2"/>
    <w:rsid w:val="00D3193A"/>
    <w:rsid w:val="00D35532"/>
    <w:rsid w:val="00D42E5A"/>
    <w:rsid w:val="00D50159"/>
    <w:rsid w:val="00D52079"/>
    <w:rsid w:val="00D77DC2"/>
    <w:rsid w:val="00D801E1"/>
    <w:rsid w:val="00D82B75"/>
    <w:rsid w:val="00D86E1C"/>
    <w:rsid w:val="00D963D7"/>
    <w:rsid w:val="00DA557F"/>
    <w:rsid w:val="00DA6738"/>
    <w:rsid w:val="00DB6590"/>
    <w:rsid w:val="00DC504F"/>
    <w:rsid w:val="00DD1FDC"/>
    <w:rsid w:val="00DE374D"/>
    <w:rsid w:val="00DE4FBA"/>
    <w:rsid w:val="00E05421"/>
    <w:rsid w:val="00E209DB"/>
    <w:rsid w:val="00E302C7"/>
    <w:rsid w:val="00E37F56"/>
    <w:rsid w:val="00E43058"/>
    <w:rsid w:val="00E46E6C"/>
    <w:rsid w:val="00E52F24"/>
    <w:rsid w:val="00E57EEF"/>
    <w:rsid w:val="00E66A11"/>
    <w:rsid w:val="00E72ED9"/>
    <w:rsid w:val="00E80AE3"/>
    <w:rsid w:val="00E93C5D"/>
    <w:rsid w:val="00E9698E"/>
    <w:rsid w:val="00E976C1"/>
    <w:rsid w:val="00EA4103"/>
    <w:rsid w:val="00EA5739"/>
    <w:rsid w:val="00EB0002"/>
    <w:rsid w:val="00EB2848"/>
    <w:rsid w:val="00EC25C6"/>
    <w:rsid w:val="00EC4345"/>
    <w:rsid w:val="00EC5521"/>
    <w:rsid w:val="00EC64C5"/>
    <w:rsid w:val="00EC7A46"/>
    <w:rsid w:val="00ED799B"/>
    <w:rsid w:val="00EF00BA"/>
    <w:rsid w:val="00EF550C"/>
    <w:rsid w:val="00EF6C41"/>
    <w:rsid w:val="00F11642"/>
    <w:rsid w:val="00F30219"/>
    <w:rsid w:val="00F34708"/>
    <w:rsid w:val="00F371C6"/>
    <w:rsid w:val="00F639B9"/>
    <w:rsid w:val="00F728DB"/>
    <w:rsid w:val="00F763A9"/>
    <w:rsid w:val="00F83657"/>
    <w:rsid w:val="00F91FE3"/>
    <w:rsid w:val="00F926F0"/>
    <w:rsid w:val="00F9296A"/>
    <w:rsid w:val="00F94FFC"/>
    <w:rsid w:val="00F964BE"/>
    <w:rsid w:val="00FA025D"/>
    <w:rsid w:val="00FA7A6D"/>
    <w:rsid w:val="00FB74CE"/>
    <w:rsid w:val="00FC094E"/>
    <w:rsid w:val="00FD0B28"/>
    <w:rsid w:val="00FD0E27"/>
    <w:rsid w:val="00FE2B1F"/>
    <w:rsid w:val="00FE62B6"/>
    <w:rsid w:val="00FF5A1D"/>
    <w:rsid w:val="00FF7C73"/>
    <w:rsid w:val="01501D6C"/>
    <w:rsid w:val="033027D5"/>
    <w:rsid w:val="033D0179"/>
    <w:rsid w:val="07C71D94"/>
    <w:rsid w:val="091C76FA"/>
    <w:rsid w:val="09944C6E"/>
    <w:rsid w:val="1288368D"/>
    <w:rsid w:val="192F5360"/>
    <w:rsid w:val="2269723B"/>
    <w:rsid w:val="3BD20D0F"/>
    <w:rsid w:val="4005299F"/>
    <w:rsid w:val="40491D46"/>
    <w:rsid w:val="40983756"/>
    <w:rsid w:val="40EB3F2B"/>
    <w:rsid w:val="41B44D10"/>
    <w:rsid w:val="41FD3FD5"/>
    <w:rsid w:val="45ED3FB8"/>
    <w:rsid w:val="47073FC1"/>
    <w:rsid w:val="484D3586"/>
    <w:rsid w:val="54737157"/>
    <w:rsid w:val="5DB43942"/>
    <w:rsid w:val="5FEA42D1"/>
    <w:rsid w:val="60A53C68"/>
    <w:rsid w:val="62895C29"/>
    <w:rsid w:val="63877C1D"/>
    <w:rsid w:val="6A3C48E1"/>
    <w:rsid w:val="6D0D1CCC"/>
    <w:rsid w:val="6E56369A"/>
    <w:rsid w:val="730F6502"/>
    <w:rsid w:val="7555247B"/>
    <w:rsid w:val="7CF31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4">
    <w:name w:val="Normal Indent"/>
    <w:basedOn w:val="1"/>
    <w:link w:val="25"/>
    <w:qFormat/>
    <w:uiPriority w:val="0"/>
    <w:pPr>
      <w:adjustRightInd w:val="0"/>
      <w:ind w:firstLine="420"/>
      <w:jc w:val="left"/>
      <w:textAlignment w:val="baseline"/>
    </w:pPr>
    <w:rPr>
      <w:sz w:val="24"/>
    </w:rPr>
  </w:style>
  <w:style w:type="paragraph" w:styleId="5">
    <w:name w:val="Body Text Indent"/>
    <w:basedOn w:val="1"/>
    <w:link w:val="24"/>
    <w:qFormat/>
    <w:uiPriority w:val="0"/>
    <w:pPr>
      <w:spacing w:line="520" w:lineRule="exact"/>
      <w:ind w:left="570"/>
    </w:pPr>
    <w:rPr>
      <w:rFonts w:ascii="方正仿宋简体" w:hAnsi="创艺简仿宋" w:eastAsia="方正仿宋简体"/>
      <w:sz w:val="24"/>
    </w:rPr>
  </w:style>
  <w:style w:type="paragraph" w:styleId="6">
    <w:name w:val="toc 5"/>
    <w:basedOn w:val="1"/>
    <w:next w:val="1"/>
    <w:semiHidden/>
    <w:unhideWhenUsed/>
    <w:qFormat/>
    <w:uiPriority w:val="39"/>
    <w:pPr>
      <w:ind w:left="1680" w:leftChars="800"/>
    </w:pPr>
  </w:style>
  <w:style w:type="paragraph" w:styleId="7">
    <w:name w:val="Plain Text"/>
    <w:basedOn w:val="1"/>
    <w:link w:val="33"/>
    <w:qFormat/>
    <w:uiPriority w:val="0"/>
    <w:rPr>
      <w:rFonts w:ascii="宋体" w:hAnsi="Courier New"/>
    </w:rPr>
  </w:style>
  <w:style w:type="paragraph" w:styleId="8">
    <w:name w:val="Date"/>
    <w:basedOn w:val="1"/>
    <w:next w:val="1"/>
    <w:link w:val="28"/>
    <w:qFormat/>
    <w:uiPriority w:val="0"/>
    <w:rPr>
      <w:rFonts w:ascii="宋体" w:hAnsi="宋体"/>
      <w:sz w:val="24"/>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38"/>
    <w:semiHidden/>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right" w:leader="dot" w:pos="9402"/>
      </w:tabs>
      <w:spacing w:before="120" w:after="120"/>
      <w:ind w:firstLine="560"/>
      <w:jc w:val="left"/>
    </w:pPr>
    <w:rPr>
      <w:rFonts w:ascii="Calibri" w:hAnsi="Calibri" w:cs="Calibri"/>
      <w:b/>
      <w:bCs/>
      <w:caps/>
      <w:sz w:val="20"/>
    </w:rPr>
  </w:style>
  <w:style w:type="paragraph" w:styleId="13">
    <w:name w:val="toc 2"/>
    <w:basedOn w:val="1"/>
    <w:next w:val="1"/>
    <w:qFormat/>
    <w:uiPriority w:val="39"/>
    <w:pPr>
      <w:ind w:left="260"/>
      <w:jc w:val="left"/>
    </w:pPr>
    <w:rPr>
      <w:rFonts w:ascii="Calibri" w:hAnsi="Calibri" w:cs="Calibri"/>
      <w:smallCaps/>
      <w:sz w:val="20"/>
    </w:rPr>
  </w:style>
  <w:style w:type="character" w:styleId="16">
    <w:name w:val="Hyperlink"/>
    <w:basedOn w:val="15"/>
    <w:qFormat/>
    <w:uiPriority w:val="99"/>
    <w:rPr>
      <w:color w:val="0000FF"/>
      <w:u w:val="single"/>
    </w:rPr>
  </w:style>
  <w:style w:type="paragraph" w:customStyle="1" w:styleId="17">
    <w:name w:val="采购一级"/>
    <w:link w:val="18"/>
    <w:qFormat/>
    <w:uiPriority w:val="0"/>
    <w:pPr>
      <w:spacing w:line="560" w:lineRule="exact"/>
      <w:contextualSpacing/>
      <w:jc w:val="center"/>
      <w:outlineLvl w:val="0"/>
    </w:pPr>
    <w:rPr>
      <w:rFonts w:ascii="方正小标宋简体" w:hAnsi="仿宋" w:eastAsia="方正小标宋简体" w:cs="宋体"/>
      <w:b/>
      <w:color w:val="000000"/>
      <w:kern w:val="44"/>
      <w:sz w:val="36"/>
      <w:szCs w:val="36"/>
      <w:lang w:val="en-US" w:eastAsia="zh-CN" w:bidi="ar-SA"/>
    </w:rPr>
  </w:style>
  <w:style w:type="character" w:customStyle="1" w:styleId="18">
    <w:name w:val="采购一级 Char"/>
    <w:basedOn w:val="15"/>
    <w:link w:val="17"/>
    <w:qFormat/>
    <w:uiPriority w:val="0"/>
    <w:rPr>
      <w:rFonts w:ascii="方正小标宋简体" w:eastAsia="方正小标宋简体"/>
      <w:b/>
      <w:kern w:val="44"/>
      <w:sz w:val="36"/>
      <w:szCs w:val="36"/>
    </w:rPr>
  </w:style>
  <w:style w:type="paragraph" w:customStyle="1" w:styleId="19">
    <w:name w:val="采购二级"/>
    <w:link w:val="21"/>
    <w:qFormat/>
    <w:uiPriority w:val="0"/>
    <w:pPr>
      <w:autoSpaceDE w:val="0"/>
      <w:autoSpaceDN w:val="0"/>
      <w:spacing w:line="560" w:lineRule="exact"/>
      <w:ind w:firstLine="200" w:firstLineChars="200"/>
      <w:jc w:val="both"/>
      <w:outlineLvl w:val="1"/>
    </w:pPr>
    <w:rPr>
      <w:rFonts w:ascii="仿宋" w:hAnsi="仿宋" w:eastAsia="仿宋" w:cs="宋体"/>
      <w:b/>
      <w:color w:val="000000"/>
      <w:kern w:val="24"/>
      <w:sz w:val="28"/>
      <w:szCs w:val="32"/>
      <w:lang w:val="en-US" w:eastAsia="zh-CN" w:bidi="ar-SA"/>
    </w:rPr>
  </w:style>
  <w:style w:type="character" w:customStyle="1" w:styleId="20">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21">
    <w:name w:val="采购二级 Char"/>
    <w:basedOn w:val="15"/>
    <w:link w:val="19"/>
    <w:qFormat/>
    <w:uiPriority w:val="0"/>
    <w:rPr>
      <w:b/>
      <w:sz w:val="28"/>
      <w:szCs w:val="32"/>
    </w:rPr>
  </w:style>
  <w:style w:type="paragraph" w:customStyle="1" w:styleId="22">
    <w:name w:val="采购正文"/>
    <w:link w:val="23"/>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3">
    <w:name w:val="采购正文 Char"/>
    <w:basedOn w:val="15"/>
    <w:link w:val="22"/>
    <w:qFormat/>
    <w:uiPriority w:val="0"/>
  </w:style>
  <w:style w:type="character" w:customStyle="1" w:styleId="24">
    <w:name w:val="正文文本缩进 字符"/>
    <w:basedOn w:val="15"/>
    <w:link w:val="5"/>
    <w:qFormat/>
    <w:uiPriority w:val="0"/>
    <w:rPr>
      <w:rFonts w:ascii="方正仿宋简体" w:hAnsi="创艺简仿宋" w:eastAsia="方正仿宋简体" w:cs="Times New Roman"/>
      <w:color w:val="auto"/>
      <w:kern w:val="2"/>
      <w:szCs w:val="20"/>
    </w:rPr>
  </w:style>
  <w:style w:type="character" w:customStyle="1" w:styleId="25">
    <w:name w:val="正文缩进 字符"/>
    <w:link w:val="4"/>
    <w:qFormat/>
    <w:uiPriority w:val="0"/>
    <w:rPr>
      <w:rFonts w:ascii="Times New Roman" w:hAnsi="Times New Roman" w:eastAsia="楷体_GB2312" w:cs="Times New Roman"/>
      <w:color w:val="auto"/>
      <w:kern w:val="2"/>
      <w:szCs w:val="20"/>
    </w:rPr>
  </w:style>
  <w:style w:type="character" w:customStyle="1" w:styleId="26">
    <w:name w:val="批注框文本 字符"/>
    <w:basedOn w:val="15"/>
    <w:link w:val="9"/>
    <w:semiHidden/>
    <w:qFormat/>
    <w:uiPriority w:val="99"/>
    <w:rPr>
      <w:rFonts w:ascii="Times New Roman" w:hAnsi="Times New Roman" w:eastAsia="楷体_GB2312" w:cs="Times New Roman"/>
      <w:color w:val="auto"/>
      <w:kern w:val="2"/>
      <w:sz w:val="18"/>
      <w:szCs w:val="18"/>
    </w:rPr>
  </w:style>
  <w:style w:type="character" w:customStyle="1" w:styleId="27">
    <w:name w:val="页眉 字符"/>
    <w:basedOn w:val="15"/>
    <w:link w:val="11"/>
    <w:qFormat/>
    <w:uiPriority w:val="99"/>
    <w:rPr>
      <w:rFonts w:ascii="Times New Roman" w:hAnsi="Times New Roman" w:eastAsia="楷体_GB2312" w:cs="Times New Roman"/>
      <w:color w:val="auto"/>
      <w:kern w:val="2"/>
      <w:sz w:val="18"/>
      <w:szCs w:val="20"/>
    </w:rPr>
  </w:style>
  <w:style w:type="character" w:customStyle="1" w:styleId="28">
    <w:name w:val="日期 字符"/>
    <w:basedOn w:val="15"/>
    <w:link w:val="8"/>
    <w:qFormat/>
    <w:uiPriority w:val="0"/>
    <w:rPr>
      <w:rFonts w:ascii="宋体" w:hAnsi="宋体" w:eastAsia="楷体_GB2312" w:cs="Times New Roman"/>
      <w:color w:val="auto"/>
      <w:kern w:val="2"/>
      <w:szCs w:val="20"/>
    </w:rPr>
  </w:style>
  <w:style w:type="paragraph" w:customStyle="1" w:styleId="29">
    <w:name w:val="图例"/>
    <w:basedOn w:val="1"/>
    <w:qFormat/>
    <w:uiPriority w:val="0"/>
    <w:pPr>
      <w:spacing w:before="120" w:after="120" w:line="360" w:lineRule="auto"/>
      <w:jc w:val="center"/>
    </w:pPr>
    <w:rPr>
      <w:rFonts w:eastAsia="仿宋_GB2312"/>
      <w:b/>
      <w:sz w:val="24"/>
    </w:rPr>
  </w:style>
  <w:style w:type="character" w:customStyle="1" w:styleId="30">
    <w:name w:val="纯文本 Char New"/>
    <w:link w:val="31"/>
    <w:qFormat/>
    <w:uiPriority w:val="0"/>
    <w:rPr>
      <w:rFonts w:ascii="宋体" w:hAnsi="Courier New"/>
      <w:kern w:val="2"/>
    </w:rPr>
  </w:style>
  <w:style w:type="paragraph" w:customStyle="1" w:styleId="31">
    <w:name w:val="纯文本1"/>
    <w:basedOn w:val="1"/>
    <w:link w:val="30"/>
    <w:qFormat/>
    <w:uiPriority w:val="0"/>
    <w:rPr>
      <w:rFonts w:ascii="宋体" w:hAnsi="Courier New" w:eastAsia="仿宋" w:cs="宋体"/>
      <w:color w:val="000000"/>
      <w:sz w:val="24"/>
      <w:szCs w:val="24"/>
    </w:rPr>
  </w:style>
  <w:style w:type="paragraph" w:customStyle="1" w:styleId="3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3">
    <w:name w:val="纯文本 字符"/>
    <w:basedOn w:val="15"/>
    <w:link w:val="7"/>
    <w:qFormat/>
    <w:uiPriority w:val="0"/>
    <w:rPr>
      <w:rFonts w:ascii="宋体" w:hAnsi="Courier New" w:eastAsia="楷体_GB2312" w:cs="Times New Roman"/>
      <w:color w:val="auto"/>
      <w:kern w:val="2"/>
      <w:sz w:val="26"/>
      <w:szCs w:val="20"/>
    </w:rPr>
  </w:style>
  <w:style w:type="paragraph" w:customStyle="1" w:styleId="34">
    <w:name w:val="投标一级"/>
    <w:link w:val="36"/>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5">
    <w:name w:val="投标二级"/>
    <w:link w:val="37"/>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6">
    <w:name w:val="投标一级 Char"/>
    <w:basedOn w:val="15"/>
    <w:link w:val="34"/>
    <w:qFormat/>
    <w:uiPriority w:val="0"/>
    <w:rPr>
      <w:rFonts w:ascii="方正小标宋简体" w:eastAsia="方正小标宋简体" w:cs="Times New Roman"/>
      <w:b/>
      <w:color w:val="auto"/>
      <w:kern w:val="36"/>
      <w:sz w:val="36"/>
      <w:szCs w:val="36"/>
    </w:rPr>
  </w:style>
  <w:style w:type="character" w:customStyle="1" w:styleId="37">
    <w:name w:val="投标二级 Char"/>
    <w:basedOn w:val="15"/>
    <w:link w:val="35"/>
    <w:qFormat/>
    <w:uiPriority w:val="0"/>
    <w:rPr>
      <w:rFonts w:ascii="方正小标宋简体" w:eastAsia="方正小标宋简体" w:cs="Times New Roman"/>
      <w:bCs/>
      <w:color w:val="auto"/>
      <w:kern w:val="36"/>
      <w:sz w:val="36"/>
      <w:szCs w:val="36"/>
    </w:rPr>
  </w:style>
  <w:style w:type="character" w:customStyle="1" w:styleId="38">
    <w:name w:val="页脚 字符"/>
    <w:basedOn w:val="15"/>
    <w:link w:val="10"/>
    <w:semiHidden/>
    <w:qFormat/>
    <w:uiPriority w:val="99"/>
    <w:rPr>
      <w:rFonts w:ascii="Times New Roman" w:hAnsi="Times New Roman" w:eastAsia="楷体_GB2312" w:cs="Times New Roman"/>
      <w:color w:val="auto"/>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3.png"/><Relationship Id="rId24" Type="http://schemas.openxmlformats.org/officeDocument/2006/relationships/image" Target="media/image12.jpe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DF694-C3B1-4E87-BA6F-577F1BEF01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4242</Words>
  <Characters>24185</Characters>
  <Lines>201</Lines>
  <Paragraphs>56</Paragraphs>
  <TotalTime>43</TotalTime>
  <ScaleCrop>false</ScaleCrop>
  <LinksUpToDate>false</LinksUpToDate>
  <CharactersWithSpaces>28371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2022-05-26T10:01:00Z</dcterms:created>
  <dc:creator>Admin</dc:creator>
  <cp:lastModifiedBy>user</cp:lastModifiedBy>
  <dcterms:modified xsi:type="dcterms:W3CDTF">2022-05-27T03:44:31Z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