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0" w:line="360" w:lineRule="auto"/>
        <w:jc w:val="center"/>
        <w:rPr>
          <w:rFonts w:ascii="仿宋" w:hAnsi="仿宋" w:eastAsia="仿宋"/>
          <w:color w:val="000000"/>
          <w:sz w:val="48"/>
        </w:rPr>
      </w:pPr>
      <w:bookmarkStart w:id="0" w:name="_Toc82497891"/>
      <w:bookmarkStart w:id="1" w:name="_Toc56170377"/>
      <w:bookmarkStart w:id="2" w:name="_Toc55990499"/>
      <w:bookmarkStart w:id="3" w:name="_Toc55990498"/>
      <w:r>
        <w:rPr>
          <w:rFonts w:hint="eastAsia" w:ascii="仿宋" w:hAnsi="仿宋" w:eastAsia="仿宋"/>
          <w:color w:val="000000"/>
          <w:sz w:val="120"/>
          <w:szCs w:val="120"/>
        </w:rPr>
        <w:t>磋 商 文 件</w:t>
      </w:r>
    </w:p>
    <w:p>
      <w:pPr>
        <w:pStyle w:val="27"/>
        <w:spacing w:beforeLines="550" w:line="360" w:lineRule="auto"/>
        <w:ind w:firstLine="720"/>
        <w:rPr>
          <w:rFonts w:hint="default" w:ascii="仿宋" w:hAnsi="仿宋" w:eastAsia="仿宋"/>
          <w:sz w:val="36"/>
          <w:szCs w:val="36"/>
          <w:lang w:val="en-US" w:eastAsia="zh-CN"/>
        </w:rPr>
      </w:pPr>
      <w:r>
        <w:rPr>
          <w:rFonts w:hint="eastAsia" w:ascii="仿宋" w:hAnsi="仿宋" w:eastAsia="仿宋"/>
          <w:sz w:val="36"/>
          <w:szCs w:val="36"/>
        </w:rPr>
        <w:t>项目编号：</w:t>
      </w:r>
      <w:r>
        <w:rPr>
          <w:rFonts w:hint="eastAsia" w:ascii="仿宋" w:hAnsi="仿宋" w:eastAsia="仿宋"/>
          <w:sz w:val="36"/>
          <w:szCs w:val="36"/>
          <w:lang w:eastAsia="zh-CN"/>
        </w:rPr>
        <w:t>ZKGSF(ZB)-20221117</w:t>
      </w:r>
      <w:r>
        <w:rPr>
          <w:rFonts w:hint="eastAsia" w:ascii="仿宋" w:hAnsi="仿宋" w:eastAsia="仿宋"/>
          <w:sz w:val="36"/>
          <w:szCs w:val="36"/>
          <w:lang w:val="en-US" w:eastAsia="zh-CN"/>
        </w:rPr>
        <w:t>-2</w:t>
      </w:r>
    </w:p>
    <w:p>
      <w:pPr>
        <w:pStyle w:val="27"/>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项目名称：新疆医科大学附属肿瘤医院放疗机房辐射防护项目</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二次</w:t>
      </w:r>
      <w:r>
        <w:rPr>
          <w:rFonts w:hint="eastAsia" w:ascii="仿宋" w:hAnsi="仿宋" w:eastAsia="仿宋" w:cs="仿宋"/>
          <w:sz w:val="36"/>
          <w:szCs w:val="36"/>
          <w:lang w:eastAsia="zh-CN"/>
        </w:rPr>
        <w:t>）</w:t>
      </w: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采 购 人：新疆医科大学附属肿瘤医院</w:t>
      </w: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地    址：乌鲁木齐市新市区苏州东街789号</w:t>
      </w: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联 系 人：向征</w:t>
      </w: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联系电话：0991-7819055</w:t>
      </w:r>
    </w:p>
    <w:p>
      <w:pPr>
        <w:pStyle w:val="27"/>
        <w:spacing w:line="360" w:lineRule="auto"/>
        <w:ind w:firstLine="720"/>
        <w:rPr>
          <w:rFonts w:ascii="仿宋" w:hAnsi="仿宋" w:eastAsia="仿宋" w:cs="仿宋"/>
          <w:sz w:val="36"/>
          <w:szCs w:val="36"/>
        </w:rPr>
      </w:pP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采购代理：中科高盛咨询集团有限公司</w:t>
      </w:r>
    </w:p>
    <w:p>
      <w:pPr>
        <w:pStyle w:val="27"/>
        <w:spacing w:line="360" w:lineRule="auto"/>
        <w:ind w:left="2534" w:leftChars="341" w:hanging="1818" w:hangingChars="505"/>
        <w:rPr>
          <w:rFonts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联 系 人：何勋</w:t>
      </w: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联系电话：13659965991</w:t>
      </w:r>
    </w:p>
    <w:p>
      <w:r>
        <w:br w:type="page"/>
      </w:r>
    </w:p>
    <w:bookmarkEnd w:id="0"/>
    <w:bookmarkEnd w:id="1"/>
    <w:bookmarkEnd w:id="2"/>
    <w:bookmarkEnd w:id="3"/>
    <w:sdt>
      <w:sdtPr>
        <w:rPr>
          <w:rFonts w:ascii="宋体" w:hAnsi="宋体"/>
        </w:rPr>
        <w:id w:val="147472259"/>
        <w:docPartObj>
          <w:docPartGallery w:val="Table of Contents"/>
          <w:docPartUnique/>
        </w:docPartObj>
      </w:sdtPr>
      <w:sdtEndPr>
        <w:rPr>
          <w:rFonts w:hint="eastAsia" w:ascii="仿宋" w:hAnsi="仿宋" w:eastAsia="仿宋"/>
          <w:color w:val="000000"/>
        </w:rPr>
      </w:sdtEndPr>
      <w:sdtContent>
        <w:p>
          <w:pPr>
            <w:jc w:val="center"/>
          </w:pPr>
          <w:r>
            <w:rPr>
              <w:rFonts w:ascii="宋体" w:hAnsi="宋体"/>
              <w:b/>
              <w:bCs/>
              <w:sz w:val="28"/>
              <w:szCs w:val="24"/>
            </w:rPr>
            <w:t>目</w:t>
          </w:r>
          <w:r>
            <w:rPr>
              <w:rFonts w:hint="eastAsia" w:ascii="宋体" w:hAnsi="宋体"/>
              <w:b/>
              <w:bCs/>
              <w:sz w:val="28"/>
              <w:szCs w:val="24"/>
            </w:rPr>
            <w:t xml:space="preserve">   </w:t>
          </w:r>
          <w:r>
            <w:rPr>
              <w:rFonts w:ascii="宋体" w:hAnsi="宋体"/>
              <w:b/>
              <w:bCs/>
              <w:sz w:val="28"/>
              <w:szCs w:val="24"/>
            </w:rPr>
            <w:t>录</w:t>
          </w:r>
        </w:p>
        <w:p>
          <w:pPr>
            <w:pStyle w:val="17"/>
            <w:tabs>
              <w:tab w:val="right" w:leader="dot" w:pos="8306"/>
            </w:tabs>
            <w:spacing w:line="400" w:lineRule="exact"/>
            <w:ind w:firstLine="0" w:firstLineChars="0"/>
            <w:rPr>
              <w:rFonts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fldChar w:fldCharType="begin"/>
          </w:r>
          <w:r>
            <w:instrText xml:space="preserve"> HYPERLINK \l "_Toc28475" </w:instrText>
          </w:r>
          <w: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"_Toc25500" </w:instrText>
          </w:r>
          <w: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"_Toc105" </w:instrText>
          </w:r>
          <w: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"_Toc9701" </w:instrText>
          </w:r>
          <w: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"_Toc17589" </w:instrText>
          </w:r>
          <w: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"_Toc29097" </w:instrText>
          </w:r>
          <w: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"_Toc26897" </w:instrText>
          </w:r>
          <w: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"_Toc30907" </w:instrText>
          </w:r>
          <w: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"_Toc22021" </w:instrText>
          </w:r>
          <w: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"_Toc3968" </w:instrText>
          </w:r>
          <w: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"_Toc19574" </w:instrText>
          </w:r>
          <w:r>
            <w:fldChar w:fldCharType="separate"/>
          </w:r>
          <w:r>
            <w:rPr>
              <w:rFonts w:hint="eastAsia" w:ascii="仿宋" w:hAnsi="仿宋" w:eastAsia="仿宋" w:cs="仿宋"/>
              <w:sz w:val="24"/>
              <w:szCs w:val="24"/>
            </w:rPr>
            <w:t>八、授予合同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 </w:instrText>
          </w:r>
          <w:r>
            <w:fldChar w:fldCharType="separate"/>
          </w:r>
          <w:r>
            <w:rPr>
              <w:rFonts w:hint="eastAsia" w:ascii="仿宋" w:hAnsi="仿宋" w:eastAsia="仿宋" w:cs="仿宋"/>
              <w:sz w:val="24"/>
              <w:szCs w:val="24"/>
            </w:rPr>
            <w:t>九、买方授标时更改采购货物数量的权利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"_Toc27059" </w:instrText>
          </w:r>
          <w:r>
            <w:fldChar w:fldCharType="separate"/>
          </w:r>
          <w:r>
            <w:rPr>
              <w:rFonts w:hint="eastAsia" w:ascii="仿宋" w:hAnsi="仿宋" w:eastAsia="仿宋" w:cs="仿宋"/>
              <w:sz w:val="24"/>
              <w:szCs w:val="24"/>
            </w:rPr>
            <w:t>十、其他事项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"_Toc413" </w:instrText>
          </w:r>
          <w: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"_Toc21747" </w:instrText>
          </w:r>
          <w: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"_Toc6245" </w:instrText>
          </w:r>
          <w: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"_Toc10657" </w:instrText>
          </w:r>
          <w: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"_Toc26466" </w:instrText>
          </w:r>
          <w: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"_Toc3373" </w:instrText>
          </w:r>
          <w: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"_Toc9301" </w:instrText>
          </w:r>
          <w: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"_Toc5174" </w:instrText>
          </w:r>
          <w: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"_Toc30642" </w:instrText>
          </w:r>
          <w: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"_Toc31315" </w:instrText>
          </w:r>
          <w: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"_Toc22501" </w:instrText>
          </w:r>
          <w:r>
            <w:fldChar w:fldCharType="separate"/>
          </w:r>
          <w:r>
            <w:rPr>
              <w:rFonts w:hint="eastAsia" w:ascii="仿宋" w:hAnsi="仿宋" w:eastAsia="仿宋" w:cs="仿宋"/>
              <w:sz w:val="24"/>
              <w:szCs w:val="24"/>
            </w:rPr>
            <w:t>附件八、磋商一览表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"_Toc2236" </w:instrText>
          </w:r>
          <w:r>
            <w:fldChar w:fldCharType="separate"/>
          </w:r>
          <w:r>
            <w:rPr>
              <w:rFonts w:hint="eastAsia" w:ascii="仿宋" w:hAnsi="仿宋" w:eastAsia="仿宋" w:cs="仿宋"/>
              <w:sz w:val="24"/>
              <w:szCs w:val="24"/>
            </w:rPr>
            <w:t>附件九、磋商产品名称、数量、规格分项报价表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"_Toc27579" </w:instrText>
          </w:r>
          <w: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"_Toc11172" </w:instrText>
          </w:r>
          <w: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pPr>
          <w:r>
            <w:fldChar w:fldCharType="begin"/>
          </w:r>
          <w:r>
            <w:instrText xml:space="preserve"> HYPERLINK \l "_Toc5354" </w:instrText>
          </w:r>
          <w:r>
            <w:fldChar w:fldCharType="separate"/>
          </w:r>
          <w:r>
            <w:rPr>
              <w:rFonts w:hint="eastAsia" w:ascii="仿宋" w:hAnsi="仿宋" w:eastAsia="仿宋" w:cs="仿宋"/>
              <w:sz w:val="24"/>
              <w:szCs w:val="24"/>
            </w:rPr>
            <w:t>附件十二、磋商产品近三年同类产品销售业绩表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296"/>
            </w:tabs>
            <w:spacing w:line="360" w:lineRule="auto"/>
            <w:ind w:left="0" w:leftChars="0"/>
            <w:rPr>
              <w:rFonts w:ascii="仿宋" w:hAnsi="仿宋" w:eastAsia="仿宋"/>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6"/>
      </w:pPr>
      <w:bookmarkStart w:id="4" w:name="_Toc28475"/>
      <w:bookmarkStart w:id="5" w:name="_Toc61184620"/>
      <w:r>
        <w:rPr>
          <w:rFonts w:hint="eastAsia"/>
        </w:rPr>
        <w:t>第一章、磋商公告</w:t>
      </w:r>
      <w:bookmarkEnd w:id="4"/>
      <w:bookmarkEnd w:id="5"/>
    </w:p>
    <w:p>
      <w:pPr>
        <w:pStyle w:val="26"/>
        <w:snapToGrid w:val="0"/>
        <w:spacing w:line="360" w:lineRule="auto"/>
        <w:ind w:firstLine="560" w:firstLineChars="200"/>
        <w:jc w:val="both"/>
        <w:rPr>
          <w:rFonts w:hint="default" w:ascii="仿宋" w:hAnsi="仿宋" w:eastAsia="仿宋"/>
          <w:sz w:val="28"/>
          <w:lang w:val="en-US"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ZKGSF(ZB)-20221117</w:t>
      </w:r>
      <w:r>
        <w:rPr>
          <w:rFonts w:hint="eastAsia" w:ascii="仿宋" w:hAnsi="仿宋" w:eastAsia="仿宋"/>
          <w:sz w:val="28"/>
          <w:lang w:val="en-US" w:eastAsia="zh-CN"/>
        </w:rPr>
        <w:t>-2</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6"/>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磋商项目概况：直线加速器机房辐射防护</w:t>
      </w:r>
      <w:r>
        <w:rPr>
          <w:rFonts w:hint="eastAsia" w:ascii="仿宋" w:hAnsi="仿宋" w:eastAsia="仿宋"/>
          <w:sz w:val="28"/>
          <w:highlight w:val="none"/>
        </w:rPr>
        <w:t>门</w:t>
      </w:r>
      <w:r>
        <w:rPr>
          <w:rFonts w:hint="eastAsia" w:ascii="仿宋" w:hAnsi="仿宋" w:eastAsia="仿宋"/>
          <w:sz w:val="28"/>
          <w:highlight w:val="none"/>
          <w:lang w:val="en-US" w:eastAsia="zh-CN"/>
        </w:rPr>
        <w:t>1个</w:t>
      </w:r>
      <w:r>
        <w:rPr>
          <w:rFonts w:hint="eastAsia" w:ascii="仿宋" w:hAnsi="仿宋" w:eastAsia="仿宋"/>
          <w:sz w:val="28"/>
        </w:rPr>
        <w:t>，预算30万元。</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1、符合《中华人民共和国政府采购法》第二十二条款规定；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2、所投产品生产厂商，需注册于中华人民共和国境内，具有独立法人资格；</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3、具有履行合同所必需的专业技术能力；</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4、具有良好的商业信誉和健全的财务制度，出具的银行征信报告；</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5、本项目不接受联合体投标。</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rPr>
        <w:t>2022</w:t>
      </w:r>
      <w:r>
        <w:rPr>
          <w:rFonts w:hint="eastAsia" w:ascii="仿宋" w:hAnsi="仿宋" w:eastAsia="仿宋"/>
          <w:sz w:val="28"/>
        </w:rPr>
        <w:t>年</w:t>
      </w:r>
      <w:r>
        <w:rPr>
          <w:rFonts w:hint="eastAsia" w:ascii="仿宋" w:hAnsi="仿宋" w:eastAsia="仿宋"/>
          <w:sz w:val="28"/>
          <w:u w:val="single"/>
          <w:lang w:val="en-US" w:eastAsia="zh-CN"/>
        </w:rPr>
        <w:t>6</w:t>
      </w:r>
      <w:r>
        <w:rPr>
          <w:rFonts w:hint="eastAsia" w:ascii="仿宋" w:hAnsi="仿宋" w:eastAsia="仿宋"/>
          <w:sz w:val="28"/>
        </w:rPr>
        <w:t>月</w:t>
      </w:r>
      <w:r>
        <w:rPr>
          <w:rFonts w:hint="eastAsia" w:ascii="仿宋" w:hAnsi="仿宋" w:eastAsia="仿宋"/>
          <w:sz w:val="28"/>
          <w:u w:val="single"/>
          <w:lang w:val="en-US" w:eastAsia="zh-CN"/>
        </w:rPr>
        <w:t>6</w:t>
      </w:r>
      <w:r>
        <w:rPr>
          <w:rFonts w:hint="eastAsia" w:ascii="仿宋" w:hAnsi="仿宋" w:eastAsia="仿宋"/>
          <w:sz w:val="28"/>
        </w:rPr>
        <w:t>日-2022年</w:t>
      </w:r>
      <w:r>
        <w:rPr>
          <w:rFonts w:hint="eastAsia" w:ascii="仿宋" w:hAnsi="仿宋" w:eastAsia="仿宋"/>
          <w:sz w:val="28"/>
          <w:u w:val="single"/>
          <w:lang w:val="en-US" w:eastAsia="zh-CN"/>
        </w:rPr>
        <w:t>6</w:t>
      </w:r>
      <w:r>
        <w:rPr>
          <w:rFonts w:hint="eastAsia" w:ascii="仿宋" w:hAnsi="仿宋" w:eastAsia="仿宋"/>
          <w:sz w:val="28"/>
        </w:rPr>
        <w:t>月</w:t>
      </w:r>
      <w:r>
        <w:rPr>
          <w:rFonts w:hint="eastAsia" w:ascii="仿宋" w:hAnsi="仿宋" w:eastAsia="仿宋"/>
          <w:sz w:val="28"/>
          <w:u w:val="single"/>
          <w:lang w:val="en-US" w:eastAsia="zh-CN"/>
        </w:rPr>
        <w:t>10</w:t>
      </w:r>
      <w:r>
        <w:rPr>
          <w:rFonts w:hint="eastAsia" w:ascii="仿宋" w:hAnsi="仿宋" w:eastAsia="仿宋"/>
          <w:sz w:val="28"/>
        </w:rPr>
        <w:t>日</w:t>
      </w:r>
      <w:bookmarkEnd w:id="6"/>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rPr>
        <w:t>3</w:t>
      </w:r>
      <w:r>
        <w:rPr>
          <w:rFonts w:ascii="仿宋" w:hAnsi="仿宋" w:eastAsia="仿宋"/>
          <w:sz w:val="28"/>
        </w:rPr>
        <w:t>：</w:t>
      </w:r>
      <w:r>
        <w:rPr>
          <w:rFonts w:hint="eastAsia" w:ascii="仿宋" w:hAnsi="仿宋" w:eastAsia="仿宋"/>
          <w:sz w:val="28"/>
        </w:rPr>
        <w:t>3</w:t>
      </w:r>
      <w:r>
        <w:rPr>
          <w:rFonts w:ascii="仿宋" w:hAnsi="仿宋" w:eastAsia="仿宋"/>
          <w:sz w:val="28"/>
        </w:rPr>
        <w:t>0，下午：1</w:t>
      </w:r>
      <w:r>
        <w:rPr>
          <w:rFonts w:hint="eastAsia" w:ascii="仿宋" w:hAnsi="仿宋" w:eastAsia="仿宋"/>
          <w:sz w:val="28"/>
        </w:rPr>
        <w:t>5</w:t>
      </w:r>
      <w:r>
        <w:rPr>
          <w:rFonts w:ascii="仿宋" w:hAnsi="仿宋" w:eastAsia="仿宋"/>
          <w:sz w:val="28"/>
        </w:rPr>
        <w:t>：</w:t>
      </w:r>
      <w:r>
        <w:rPr>
          <w:rFonts w:hint="eastAsia" w:ascii="仿宋" w:hAnsi="仿宋" w:eastAsia="仿宋"/>
          <w:sz w:val="28"/>
        </w:rPr>
        <w:t>3</w:t>
      </w:r>
      <w:r>
        <w:rPr>
          <w:rFonts w:ascii="仿宋" w:hAnsi="仿宋" w:eastAsia="仿宋"/>
          <w:sz w:val="28"/>
        </w:rPr>
        <w:t>0-1</w:t>
      </w:r>
      <w:r>
        <w:rPr>
          <w:rFonts w:hint="eastAsia" w:ascii="仿宋" w:hAnsi="仿宋" w:eastAsia="仿宋"/>
          <w:sz w:val="28"/>
        </w:rPr>
        <w:t>8</w:t>
      </w:r>
      <w:r>
        <w:rPr>
          <w:rFonts w:ascii="仿宋" w:hAnsi="仿宋" w:eastAsia="仿宋"/>
          <w:sz w:val="28"/>
        </w:rPr>
        <w:t>：</w:t>
      </w:r>
      <w:r>
        <w:rPr>
          <w:rFonts w:hint="eastAsia" w:ascii="仿宋" w:hAnsi="仿宋" w:eastAsia="仿宋"/>
          <w:sz w:val="28"/>
        </w:rPr>
        <w:t>3</w:t>
      </w:r>
      <w:r>
        <w:rPr>
          <w:rFonts w:ascii="仿宋" w:hAnsi="仿宋" w:eastAsia="仿宋"/>
          <w:sz w:val="28"/>
        </w:rPr>
        <w:t>0</w:t>
      </w:r>
    </w:p>
    <w:p>
      <w:pPr>
        <w:pStyle w:val="26"/>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u w:val="single"/>
        </w:rPr>
        <w:t>2022年</w:t>
      </w:r>
      <w:r>
        <w:rPr>
          <w:rFonts w:hint="eastAsia" w:ascii="仿宋" w:hAnsi="仿宋" w:eastAsia="仿宋"/>
          <w:sz w:val="28"/>
          <w:u w:val="single"/>
          <w:lang w:val="en-US" w:eastAsia="zh-CN"/>
        </w:rPr>
        <w:t>6</w:t>
      </w:r>
      <w:r>
        <w:rPr>
          <w:rFonts w:hint="eastAsia" w:ascii="仿宋" w:hAnsi="仿宋" w:eastAsia="仿宋"/>
          <w:sz w:val="28"/>
          <w:u w:val="single"/>
        </w:rPr>
        <w:t>月</w:t>
      </w:r>
      <w:r>
        <w:rPr>
          <w:rFonts w:hint="eastAsia" w:ascii="仿宋" w:hAnsi="仿宋" w:eastAsia="仿宋"/>
          <w:sz w:val="28"/>
          <w:u w:val="single"/>
          <w:lang w:val="en-US" w:eastAsia="zh-CN"/>
        </w:rPr>
        <w:t>17</w:t>
      </w:r>
      <w:r>
        <w:rPr>
          <w:rFonts w:hint="eastAsia" w:ascii="仿宋" w:hAnsi="仿宋" w:eastAsia="仿宋"/>
          <w:sz w:val="28"/>
          <w:u w:val="single"/>
        </w:rPr>
        <w:t>日</w:t>
      </w:r>
      <w:r>
        <w:rPr>
          <w:rFonts w:hint="eastAsia" w:ascii="仿宋" w:hAnsi="仿宋" w:eastAsia="仿宋"/>
          <w:sz w:val="28"/>
          <w:u w:val="single"/>
          <w:lang w:val="en-US" w:eastAsia="zh-CN"/>
        </w:rPr>
        <w:t>11</w:t>
      </w:r>
      <w:r>
        <w:rPr>
          <w:rFonts w:hint="eastAsia" w:ascii="仿宋" w:hAnsi="仿宋" w:eastAsia="仿宋"/>
          <w:sz w:val="28"/>
          <w:u w:val="single"/>
        </w:rPr>
        <w:t>时00分</w:t>
      </w:r>
      <w:r>
        <w:rPr>
          <w:rFonts w:hint="eastAsia" w:ascii="仿宋" w:hAnsi="仿宋" w:eastAsia="仿宋"/>
          <w:sz w:val="28"/>
        </w:rPr>
        <w:t>（北京时间）</w:t>
      </w:r>
      <w:bookmarkEnd w:id="8"/>
    </w:p>
    <w:p>
      <w:pPr>
        <w:pStyle w:val="26"/>
        <w:snapToGrid w:val="0"/>
        <w:spacing w:line="360" w:lineRule="auto"/>
        <w:ind w:firstLine="560" w:firstLineChars="200"/>
        <w:jc w:val="both"/>
        <w:rPr>
          <w:rFonts w:ascii="仿宋" w:hAnsi="仿宋" w:eastAsia="仿宋"/>
          <w:sz w:val="28"/>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u w:val="single"/>
        </w:rPr>
        <w:t>2022年</w:t>
      </w:r>
      <w:r>
        <w:rPr>
          <w:rFonts w:hint="eastAsia" w:ascii="仿宋" w:hAnsi="仿宋" w:eastAsia="仿宋"/>
          <w:sz w:val="28"/>
          <w:u w:val="single"/>
          <w:lang w:val="en-US" w:eastAsia="zh-CN"/>
        </w:rPr>
        <w:t>6</w:t>
      </w:r>
      <w:r>
        <w:rPr>
          <w:rFonts w:hint="eastAsia" w:ascii="仿宋" w:hAnsi="仿宋" w:eastAsia="仿宋"/>
          <w:sz w:val="28"/>
          <w:u w:val="single"/>
        </w:rPr>
        <w:t>月</w:t>
      </w:r>
      <w:r>
        <w:rPr>
          <w:rFonts w:hint="eastAsia" w:ascii="仿宋" w:hAnsi="仿宋" w:eastAsia="仿宋"/>
          <w:sz w:val="28"/>
          <w:u w:val="single"/>
          <w:lang w:val="en-US" w:eastAsia="zh-CN"/>
        </w:rPr>
        <w:t>17</w:t>
      </w:r>
      <w:r>
        <w:rPr>
          <w:rFonts w:hint="eastAsia" w:ascii="仿宋" w:hAnsi="仿宋" w:eastAsia="仿宋"/>
          <w:sz w:val="28"/>
          <w:u w:val="single"/>
        </w:rPr>
        <w:t>日</w:t>
      </w:r>
      <w:r>
        <w:rPr>
          <w:rFonts w:hint="eastAsia" w:ascii="仿宋" w:hAnsi="仿宋" w:eastAsia="仿宋"/>
          <w:sz w:val="28"/>
          <w:u w:val="single"/>
          <w:lang w:val="en-US" w:eastAsia="zh-CN"/>
        </w:rPr>
        <w:t>11</w:t>
      </w:r>
      <w:r>
        <w:rPr>
          <w:rFonts w:hint="eastAsia" w:ascii="仿宋" w:hAnsi="仿宋" w:eastAsia="仿宋"/>
          <w:sz w:val="28"/>
          <w:u w:val="single"/>
        </w:rPr>
        <w:t>时00分</w:t>
      </w:r>
      <w:r>
        <w:rPr>
          <w:rFonts w:hint="eastAsia" w:ascii="仿宋" w:hAnsi="仿宋" w:eastAsia="仿宋"/>
          <w:sz w:val="28"/>
        </w:rPr>
        <w:t>（北京时间）</w:t>
      </w:r>
    </w:p>
    <w:p>
      <w:pPr>
        <w:pStyle w:val="26"/>
        <w:snapToGrid w:val="0"/>
        <w:spacing w:line="360" w:lineRule="auto"/>
        <w:ind w:firstLine="560" w:firstLineChars="200"/>
        <w:jc w:val="both"/>
        <w:rPr>
          <w:rFonts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26"/>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6"/>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6"/>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1.采购人信息</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称：新疆医科大学附属肿瘤医院</w:t>
      </w:r>
    </w:p>
    <w:p>
      <w:pPr>
        <w:pStyle w:val="26"/>
        <w:snapToGrid w:val="0"/>
        <w:spacing w:line="360" w:lineRule="auto"/>
        <w:ind w:firstLine="560"/>
        <w:rPr>
          <w:rFonts w:ascii="仿宋" w:hAnsi="仿宋" w:eastAsia="仿宋"/>
          <w:sz w:val="28"/>
          <w:szCs w:val="22"/>
        </w:rPr>
      </w:pPr>
      <w:r>
        <w:rPr>
          <w:rFonts w:hint="eastAsia" w:ascii="仿宋" w:hAnsi="仿宋" w:eastAsia="仿宋"/>
          <w:sz w:val="28"/>
          <w:szCs w:val="22"/>
        </w:rPr>
        <w:t>地 址：乌鲁木齐市苏州东街789号</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联系方式：0991-7819055</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2.采购代理机构信息</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称：中科高盛咨询集团有限公司</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3.项目联系方式</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项目联系人：何勋</w:t>
      </w:r>
    </w:p>
    <w:p>
      <w:pPr>
        <w:pStyle w:val="26"/>
        <w:snapToGrid w:val="0"/>
        <w:spacing w:line="360" w:lineRule="auto"/>
        <w:ind w:firstLine="560"/>
        <w:jc w:val="both"/>
        <w:rPr>
          <w:rFonts w:ascii="仿宋" w:hAnsi="仿宋" w:eastAsia="仿宋"/>
          <w:sz w:val="28"/>
        </w:rPr>
      </w:pPr>
      <w:r>
        <w:rPr>
          <w:rFonts w:hint="eastAsia" w:ascii="仿宋" w:hAnsi="仿宋" w:eastAsia="仿宋"/>
          <w:sz w:val="28"/>
          <w:szCs w:val="22"/>
        </w:rPr>
        <w:t>电 话：13659965991</w:t>
      </w:r>
    </w:p>
    <w:p>
      <w:pPr>
        <w:pStyle w:val="6"/>
      </w:pPr>
      <w:r>
        <w:rPr>
          <w:rFonts w:hint="eastAsia"/>
        </w:rPr>
        <w:br w:type="page"/>
      </w:r>
      <w:bookmarkStart w:id="9" w:name="_Toc56170378"/>
      <w:bookmarkStart w:id="10" w:name="_Toc25500"/>
      <w:bookmarkStart w:id="11" w:name="_Toc55990500"/>
      <w:bookmarkStart w:id="12" w:name="_Toc61184621"/>
      <w:bookmarkStart w:id="13" w:name="_Toc5896489"/>
      <w:bookmarkStart w:id="14" w:name="_Toc399523005"/>
      <w:r>
        <w:rPr>
          <w:rFonts w:hint="eastAsia"/>
        </w:rPr>
        <w:t>第二章、磋商须知</w:t>
      </w:r>
      <w:bookmarkEnd w:id="9"/>
      <w:bookmarkEnd w:id="10"/>
      <w:bookmarkEnd w:id="11"/>
      <w:bookmarkEnd w:id="12"/>
      <w:bookmarkEnd w:id="13"/>
    </w:p>
    <w:p>
      <w:pPr>
        <w:pStyle w:val="8"/>
      </w:pPr>
      <w:bookmarkStart w:id="15" w:name="_Toc61184622"/>
      <w:bookmarkStart w:id="16" w:name="_Toc56170379"/>
      <w:bookmarkStart w:id="17" w:name="_Toc105"/>
      <w:r>
        <w:rPr>
          <w:rFonts w:hint="eastAsia"/>
        </w:rPr>
        <w:t>磋商须知前附表</w:t>
      </w:r>
      <w:bookmarkEnd w:id="15"/>
      <w:bookmarkEnd w:id="16"/>
      <w:bookmarkEnd w:id="17"/>
    </w:p>
    <w:tbl>
      <w:tblPr>
        <w:tblStyle w:val="20"/>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vAlign w:val="center"/>
          </w:tcPr>
          <w:p>
            <w:pPr>
              <w:pStyle w:val="27"/>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8820" w:type="dxa"/>
            <w:vAlign w:val="center"/>
          </w:tcPr>
          <w:p>
            <w:pPr>
              <w:pStyle w:val="27"/>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vAlign w:val="center"/>
          </w:tcPr>
          <w:p>
            <w:pPr>
              <w:pStyle w:val="27"/>
              <w:spacing w:line="360" w:lineRule="auto"/>
              <w:ind w:firstLine="0" w:firstLineChars="0"/>
              <w:jc w:val="left"/>
              <w:rPr>
                <w:rFonts w:ascii="仿宋" w:hAnsi="仿宋" w:eastAsia="仿宋" w:cs="仿宋"/>
                <w:color w:val="000000"/>
                <w:kern w:val="0"/>
                <w:sz w:val="24"/>
                <w:szCs w:val="24"/>
              </w:rPr>
            </w:pPr>
            <w:r>
              <w:rPr>
                <w:rFonts w:hint="eastAsia" w:ascii="仿宋" w:hAnsi="仿宋" w:eastAsia="仿宋"/>
                <w:color w:val="000000"/>
                <w:sz w:val="24"/>
                <w:szCs w:val="24"/>
              </w:rPr>
              <w:t>项目名称：新疆医科大学附属肿瘤医院放疗机房辐射防护项目</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二次</w:t>
            </w:r>
            <w:r>
              <w:rPr>
                <w:rFonts w:hint="eastAsia" w:ascii="仿宋" w:hAnsi="仿宋" w:eastAsia="仿宋"/>
                <w:color w:val="000000"/>
                <w:sz w:val="24"/>
                <w:szCs w:val="24"/>
                <w:lang w:eastAsia="zh-CN"/>
              </w:rPr>
              <w:t>）</w:t>
            </w:r>
          </w:p>
          <w:p>
            <w:pPr>
              <w:pStyle w:val="27"/>
              <w:spacing w:line="360" w:lineRule="auto"/>
              <w:ind w:firstLine="0" w:firstLineChars="0"/>
              <w:jc w:val="left"/>
              <w:rPr>
                <w:rFonts w:hint="default" w:ascii="仿宋" w:hAnsi="仿宋" w:eastAsia="仿宋"/>
                <w:color w:val="000000"/>
                <w:sz w:val="24"/>
                <w:szCs w:val="24"/>
                <w:lang w:val="en-US"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ZKGSF(ZB)-20221117</w:t>
            </w:r>
            <w:r>
              <w:rPr>
                <w:rFonts w:hint="eastAsia" w:ascii="仿宋" w:hAnsi="仿宋" w:eastAsia="仿宋"/>
                <w:color w:val="000000"/>
                <w:sz w:val="24"/>
                <w:szCs w:val="24"/>
                <w:lang w:val="en-US" w:eastAsia="zh-CN"/>
              </w:rPr>
              <w:t>-2</w:t>
            </w:r>
          </w:p>
          <w:p>
            <w:pPr>
              <w:pStyle w:val="27"/>
              <w:spacing w:line="360" w:lineRule="auto"/>
              <w:ind w:firstLine="0" w:firstLineChars="0"/>
              <w:jc w:val="left"/>
              <w:rPr>
                <w:rFonts w:hint="default" w:ascii="仿宋" w:hAnsi="仿宋" w:eastAsia="仿宋"/>
                <w:sz w:val="24"/>
                <w:szCs w:val="24"/>
                <w:lang w:val="en-US" w:eastAsia="zh-CN"/>
              </w:rPr>
            </w:pPr>
            <w:r>
              <w:rPr>
                <w:rFonts w:hint="eastAsia" w:ascii="仿宋" w:hAnsi="仿宋" w:eastAsia="仿宋"/>
                <w:color w:val="000000"/>
                <w:sz w:val="24"/>
                <w:szCs w:val="24"/>
              </w:rPr>
              <w:t>磋商内容：直线加速器机房辐射防护门</w:t>
            </w:r>
            <w:r>
              <w:rPr>
                <w:rFonts w:hint="eastAsia" w:ascii="仿宋" w:hAnsi="仿宋" w:eastAsia="仿宋"/>
                <w:color w:val="000000"/>
                <w:sz w:val="24"/>
                <w:szCs w:val="24"/>
                <w:lang w:val="en-US" w:eastAsia="zh-CN"/>
              </w:rPr>
              <w:t>1个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8820" w:type="dxa"/>
            <w:vAlign w:val="center"/>
          </w:tcPr>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b/>
                <w:bCs/>
                <w:color w:val="000000"/>
                <w:sz w:val="24"/>
                <w:szCs w:val="24"/>
              </w:rPr>
              <w:t>项目预算金额：预算30万元，最高限价30万元。（本项目为交钥匙工程，报价为含材料、制作、运输、安装、调试、售后服务、税金等全部费用）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8820" w:type="dxa"/>
            <w:vAlign w:val="center"/>
          </w:tcPr>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联系人：向征</w:t>
            </w:r>
          </w:p>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联系电话：0991-7819055</w:t>
            </w:r>
          </w:p>
          <w:p>
            <w:pPr>
              <w:pStyle w:val="27"/>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4</w:t>
            </w:r>
          </w:p>
        </w:tc>
        <w:tc>
          <w:tcPr>
            <w:tcW w:w="8820" w:type="dxa"/>
            <w:vAlign w:val="center"/>
          </w:tcPr>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7"/>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5</w:t>
            </w:r>
          </w:p>
        </w:tc>
        <w:tc>
          <w:tcPr>
            <w:tcW w:w="8820" w:type="dxa"/>
            <w:vAlign w:val="center"/>
          </w:tcPr>
          <w:p>
            <w:pPr>
              <w:pStyle w:val="27"/>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rPr>
              <w:t>3,000.</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元（大写：叁仟元整）；</w:t>
            </w:r>
          </w:p>
          <w:p>
            <w:pPr>
              <w:pStyle w:val="27"/>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7"/>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7"/>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7"/>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6</w:t>
            </w:r>
          </w:p>
        </w:tc>
        <w:tc>
          <w:tcPr>
            <w:tcW w:w="8820" w:type="dxa"/>
            <w:vAlign w:val="center"/>
          </w:tcPr>
          <w:p>
            <w:pPr>
              <w:pStyle w:val="26"/>
              <w:snapToGrid w:val="0"/>
              <w:spacing w:line="360" w:lineRule="auto"/>
              <w:rPr>
                <w:rFonts w:ascii="仿宋" w:hAnsi="仿宋" w:eastAsia="仿宋"/>
                <w:szCs w:val="24"/>
              </w:rPr>
            </w:pPr>
            <w:r>
              <w:rPr>
                <w:rFonts w:hint="eastAsia" w:ascii="仿宋" w:hAnsi="仿宋" w:eastAsia="仿宋"/>
                <w:szCs w:val="24"/>
              </w:rPr>
              <w:t>供应商资格要求：</w:t>
            </w:r>
          </w:p>
          <w:p>
            <w:pPr>
              <w:pStyle w:val="26"/>
              <w:snapToGrid w:val="0"/>
              <w:spacing w:line="360" w:lineRule="auto"/>
              <w:ind w:firstLine="560"/>
              <w:rPr>
                <w:rFonts w:ascii="仿宋" w:hAnsi="仿宋" w:eastAsia="仿宋"/>
                <w:szCs w:val="24"/>
              </w:rPr>
            </w:pPr>
            <w:r>
              <w:rPr>
                <w:rFonts w:hint="eastAsia" w:ascii="仿宋" w:hAnsi="仿宋" w:eastAsia="仿宋"/>
                <w:szCs w:val="24"/>
              </w:rPr>
              <w:t>1、符合《中华人民共和国政府采购法》第二十二条款规定；</w:t>
            </w:r>
          </w:p>
          <w:p>
            <w:pPr>
              <w:pStyle w:val="26"/>
              <w:snapToGrid w:val="0"/>
              <w:spacing w:line="360" w:lineRule="auto"/>
              <w:ind w:firstLine="560"/>
              <w:rPr>
                <w:rFonts w:ascii="仿宋" w:hAnsi="仿宋" w:eastAsia="仿宋"/>
                <w:szCs w:val="24"/>
              </w:rPr>
            </w:pPr>
            <w:r>
              <w:rPr>
                <w:rFonts w:hint="eastAsia" w:ascii="仿宋" w:hAnsi="仿宋" w:eastAsia="仿宋"/>
                <w:szCs w:val="24"/>
              </w:rPr>
              <w:t>2、所投产品生产厂商，需注册于中华人民共和国境内，具有独立法人资格；</w:t>
            </w:r>
          </w:p>
          <w:p>
            <w:pPr>
              <w:pStyle w:val="26"/>
              <w:snapToGrid w:val="0"/>
              <w:spacing w:line="360" w:lineRule="auto"/>
              <w:ind w:firstLine="560"/>
              <w:rPr>
                <w:rFonts w:ascii="仿宋" w:hAnsi="仿宋" w:eastAsia="仿宋"/>
                <w:szCs w:val="24"/>
              </w:rPr>
            </w:pPr>
            <w:r>
              <w:rPr>
                <w:rFonts w:hint="eastAsia" w:ascii="仿宋" w:hAnsi="仿宋" w:eastAsia="仿宋"/>
                <w:szCs w:val="24"/>
              </w:rPr>
              <w:t>3、具有履行合同所必需的专业技术能力；</w:t>
            </w:r>
          </w:p>
          <w:p>
            <w:pPr>
              <w:pStyle w:val="26"/>
              <w:snapToGrid w:val="0"/>
              <w:spacing w:line="360" w:lineRule="auto"/>
              <w:ind w:firstLine="560"/>
              <w:rPr>
                <w:rFonts w:ascii="仿宋" w:hAnsi="仿宋" w:eastAsia="仿宋"/>
                <w:szCs w:val="24"/>
              </w:rPr>
            </w:pPr>
            <w:r>
              <w:rPr>
                <w:rFonts w:hint="eastAsia" w:ascii="仿宋" w:hAnsi="仿宋" w:eastAsia="仿宋"/>
                <w:szCs w:val="24"/>
              </w:rPr>
              <w:t>4、具有良好的商业信誉和健全的财务制度，出具的银行征信报告；</w:t>
            </w:r>
          </w:p>
          <w:p>
            <w:pPr>
              <w:pStyle w:val="26"/>
              <w:snapToGrid w:val="0"/>
              <w:spacing w:line="360" w:lineRule="auto"/>
              <w:ind w:firstLine="560"/>
              <w:rPr>
                <w:rFonts w:ascii="仿宋" w:hAnsi="仿宋" w:eastAsia="仿宋"/>
                <w:szCs w:val="24"/>
              </w:rPr>
            </w:pPr>
            <w:r>
              <w:rPr>
                <w:rFonts w:hint="eastAsia" w:ascii="仿宋" w:hAnsi="仿宋" w:eastAsia="仿宋"/>
                <w:szCs w:val="24"/>
              </w:rPr>
              <w:t>5、本项目不接受联合体投标。</w:t>
            </w:r>
          </w:p>
          <w:p>
            <w:pPr>
              <w:pStyle w:val="26"/>
              <w:snapToGrid w:val="0"/>
              <w:spacing w:line="360" w:lineRule="auto"/>
              <w:rPr>
                <w:rFonts w:ascii="仿宋" w:hAnsi="仿宋" w:eastAsia="仿宋"/>
                <w:b/>
                <w:bCs/>
                <w:szCs w:val="24"/>
              </w:rPr>
            </w:pPr>
            <w:r>
              <w:rPr>
                <w:rFonts w:hint="eastAsia" w:ascii="仿宋" w:hAnsi="仿宋" w:eastAsia="仿宋"/>
                <w:b/>
                <w:bCs/>
                <w:szCs w:val="24"/>
              </w:rPr>
              <w:t>以下资格证明文件开标时单独提供一份，以备采购人查验：</w:t>
            </w:r>
          </w:p>
          <w:p>
            <w:pPr>
              <w:pStyle w:val="26"/>
              <w:snapToGrid w:val="0"/>
              <w:spacing w:line="360" w:lineRule="auto"/>
              <w:ind w:firstLine="560"/>
              <w:rPr>
                <w:rFonts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6"/>
              <w:snapToGrid w:val="0"/>
              <w:spacing w:line="360" w:lineRule="auto"/>
              <w:ind w:firstLine="560"/>
              <w:rPr>
                <w:rFonts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6"/>
              <w:snapToGrid w:val="0"/>
              <w:spacing w:line="360" w:lineRule="auto"/>
              <w:ind w:firstLine="560"/>
              <w:rPr>
                <w:rFonts w:ascii="仿宋" w:hAnsi="仿宋" w:eastAsia="仿宋"/>
                <w:b/>
                <w:bCs/>
                <w:szCs w:val="24"/>
              </w:rPr>
            </w:pPr>
            <w:r>
              <w:rPr>
                <w:rFonts w:hint="eastAsia" w:ascii="仿宋" w:hAnsi="仿宋" w:eastAsia="仿宋"/>
                <w:b/>
                <w:bCs/>
                <w:szCs w:val="24"/>
              </w:rPr>
              <w:t>（3） 磋商保证金缴纳凭证。（加盖公章的复印件）</w:t>
            </w:r>
          </w:p>
          <w:p>
            <w:pPr>
              <w:pStyle w:val="26"/>
              <w:snapToGrid w:val="0"/>
              <w:spacing w:line="360" w:lineRule="auto"/>
              <w:ind w:firstLine="560"/>
              <w:rPr>
                <w:rFonts w:hint="eastAsia" w:ascii="仿宋" w:hAnsi="仿宋" w:eastAsia="仿宋"/>
                <w:b/>
                <w:bCs/>
                <w:szCs w:val="24"/>
              </w:rPr>
            </w:pPr>
            <w:r>
              <w:rPr>
                <w:rFonts w:hint="eastAsia" w:ascii="仿宋" w:hAnsi="仿宋" w:eastAsia="仿宋"/>
                <w:b/>
                <w:bCs/>
                <w:szCs w:val="24"/>
              </w:rPr>
              <w:t>（4） 参加政府采购活动近三年内在经营活动中没有重大违法记录的书面声明。（原件）</w:t>
            </w:r>
          </w:p>
          <w:p>
            <w:pPr>
              <w:pStyle w:val="26"/>
              <w:snapToGrid w:val="0"/>
              <w:spacing w:line="360" w:lineRule="auto"/>
              <w:ind w:firstLine="560"/>
              <w:rPr>
                <w:rFonts w:hint="default" w:ascii="仿宋" w:hAnsi="仿宋" w:eastAsia="仿宋"/>
                <w:b/>
                <w:bCs/>
                <w:szCs w:val="24"/>
                <w:lang w:val="en-US" w:eastAsia="zh-CN"/>
              </w:rPr>
            </w:pPr>
            <w:r>
              <w:rPr>
                <w:rFonts w:hint="eastAsia" w:ascii="仿宋" w:hAnsi="仿宋" w:eastAsia="仿宋"/>
                <w:b/>
                <w:bCs/>
                <w:szCs w:val="24"/>
                <w:lang w:eastAsia="zh-CN"/>
              </w:rPr>
              <w:t>（</w:t>
            </w:r>
            <w:r>
              <w:rPr>
                <w:rFonts w:hint="eastAsia" w:ascii="仿宋" w:hAnsi="仿宋" w:eastAsia="仿宋"/>
                <w:b/>
                <w:bCs/>
                <w:szCs w:val="24"/>
                <w:lang w:val="en-US" w:eastAsia="zh-CN"/>
              </w:rPr>
              <w:t>5</w:t>
            </w:r>
            <w:r>
              <w:rPr>
                <w:rFonts w:hint="eastAsia" w:ascii="仿宋" w:hAnsi="仿宋" w:eastAsia="仿宋"/>
                <w:b/>
                <w:bCs/>
                <w:szCs w:val="24"/>
                <w:lang w:eastAsia="zh-CN"/>
              </w:rPr>
              <w:t>）</w:t>
            </w:r>
            <w:r>
              <w:rPr>
                <w:rFonts w:hint="eastAsia" w:ascii="仿宋" w:hAnsi="仿宋" w:eastAsia="仿宋"/>
                <w:b/>
                <w:bCs/>
                <w:szCs w:val="24"/>
                <w:lang w:val="en-US" w:eastAsia="zh-CN"/>
              </w:rPr>
              <w:t xml:space="preserve"> 中小企业声明函。</w:t>
            </w:r>
            <w:r>
              <w:rPr>
                <w:rFonts w:hint="eastAsia" w:ascii="仿宋" w:hAnsi="仿宋" w:eastAsia="仿宋"/>
                <w:b/>
                <w:bCs/>
                <w:szCs w:val="24"/>
              </w:rPr>
              <w:t>（原件）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7</w:t>
            </w:r>
          </w:p>
        </w:tc>
        <w:tc>
          <w:tcPr>
            <w:tcW w:w="8820" w:type="dxa"/>
            <w:vAlign w:val="center"/>
          </w:tcPr>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8</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9</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2022年6月17日11时00分（北京时间）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10</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rPr>
              <w:t>贰</w:t>
            </w:r>
            <w:r>
              <w:rPr>
                <w:rFonts w:hint="eastAsia" w:ascii="仿宋" w:hAnsi="仿宋" w:eastAsia="仿宋"/>
                <w:color w:val="000000"/>
                <w:sz w:val="24"/>
                <w:szCs w:val="24"/>
              </w:rPr>
              <w:t>份。</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11</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新疆乌鲁木齐市水磨沟区绿地中心</w:t>
            </w:r>
            <w:bookmarkStart w:id="94" w:name="_GoBack"/>
            <w:bookmarkEnd w:id="94"/>
            <w:r>
              <w:rPr>
                <w:rFonts w:hint="eastAsia" w:ascii="仿宋" w:hAnsi="仿宋" w:eastAsia="仿宋"/>
                <w:b/>
                <w:bCs/>
                <w:color w:val="000000"/>
                <w:sz w:val="24"/>
                <w:szCs w:val="24"/>
              </w:rPr>
              <w:t>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2022年6月17日11时00分（北京时间）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14</w:t>
            </w:r>
          </w:p>
        </w:tc>
        <w:tc>
          <w:tcPr>
            <w:tcW w:w="8820" w:type="dxa"/>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b/>
                <w:bCs/>
                <w:color w:val="000000"/>
                <w:sz w:val="24"/>
                <w:szCs w:val="24"/>
              </w:rPr>
              <w:t>建设地点：医院放疗楼负二层加速器机房内</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rPr>
              <w:t>具体情况请各投标方投标前自行去放疗楼勘察</w:t>
            </w:r>
            <w:r>
              <w:rPr>
                <w:rFonts w:hint="eastAsia" w:ascii="仿宋" w:hAnsi="仿宋" w:eastAsia="仿宋"/>
                <w:b/>
                <w:bCs/>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jc w:val="center"/>
        </w:trPr>
        <w:tc>
          <w:tcPr>
            <w:tcW w:w="824"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15</w:t>
            </w:r>
          </w:p>
        </w:tc>
        <w:tc>
          <w:tcPr>
            <w:tcW w:w="8820" w:type="dxa"/>
            <w:vAlign w:val="center"/>
          </w:tcPr>
          <w:p>
            <w:pPr>
              <w:snapToGrid w:val="0"/>
              <w:spacing w:line="360" w:lineRule="auto"/>
              <w:jc w:val="left"/>
              <w:rPr>
                <w:rFonts w:ascii="仿宋" w:hAnsi="仿宋" w:eastAsia="仿宋"/>
                <w:sz w:val="24"/>
                <w:szCs w:val="24"/>
              </w:rPr>
            </w:pPr>
            <w:r>
              <w:rPr>
                <w:rFonts w:hint="eastAsia" w:ascii="仿宋" w:hAnsi="仿宋" w:eastAsia="仿宋"/>
                <w:b/>
                <w:bCs/>
                <w:sz w:val="24"/>
                <w:szCs w:val="24"/>
              </w:rPr>
              <w:t>计划工期：30日历日。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16</w:t>
            </w:r>
          </w:p>
        </w:tc>
        <w:tc>
          <w:tcPr>
            <w:tcW w:w="8820" w:type="dxa"/>
            <w:vAlign w:val="center"/>
          </w:tcPr>
          <w:p>
            <w:pPr>
              <w:snapToGrid w:val="0"/>
              <w:spacing w:line="360" w:lineRule="auto"/>
              <w:jc w:val="left"/>
              <w:rPr>
                <w:rFonts w:ascii="仿宋" w:hAnsi="仿宋" w:eastAsia="仿宋"/>
                <w:b/>
                <w:bCs/>
                <w:sz w:val="24"/>
                <w:szCs w:val="24"/>
              </w:rPr>
            </w:pPr>
            <w:r>
              <w:rPr>
                <w:rFonts w:hint="eastAsia" w:ascii="仿宋" w:hAnsi="仿宋" w:eastAsia="仿宋"/>
                <w:b/>
                <w:bCs/>
                <w:sz w:val="24"/>
                <w:szCs w:val="24"/>
              </w:rPr>
              <w:t>质量要求：合格，符合国家质量验收标准。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17</w:t>
            </w:r>
          </w:p>
        </w:tc>
        <w:tc>
          <w:tcPr>
            <w:tcW w:w="8820" w:type="dxa"/>
            <w:vAlign w:val="center"/>
          </w:tcPr>
          <w:p>
            <w:pPr>
              <w:snapToGrid w:val="0"/>
              <w:spacing w:line="360" w:lineRule="auto"/>
              <w:jc w:val="left"/>
              <w:rPr>
                <w:rFonts w:ascii="仿宋" w:hAnsi="仿宋" w:eastAsia="仿宋"/>
                <w:color w:val="FF0000"/>
                <w:sz w:val="24"/>
                <w:szCs w:val="24"/>
              </w:rPr>
            </w:pPr>
            <w:r>
              <w:rPr>
                <w:rFonts w:hint="eastAsia" w:ascii="仿宋" w:hAnsi="仿宋" w:eastAsia="仿宋"/>
                <w:b/>
                <w:bCs/>
                <w:color w:val="000000"/>
                <w:sz w:val="24"/>
                <w:szCs w:val="24"/>
              </w:rPr>
              <w:t>付款方式：货到安装验收合格后支付合同额的90%，剩余10%待质保期满后无息支付。（如设备验收不合格医院有权拒绝付款并要求退货）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18</w:t>
            </w:r>
          </w:p>
        </w:tc>
        <w:tc>
          <w:tcPr>
            <w:tcW w:w="8820" w:type="dxa"/>
            <w:vAlign w:val="center"/>
          </w:tcPr>
          <w:p>
            <w:pPr>
              <w:snapToGrid w:val="0"/>
              <w:spacing w:line="360" w:lineRule="auto"/>
              <w:jc w:val="left"/>
              <w:rPr>
                <w:rFonts w:ascii="仿宋" w:hAnsi="仿宋" w:eastAsia="仿宋"/>
                <w:b/>
                <w:bCs/>
                <w:sz w:val="24"/>
                <w:szCs w:val="24"/>
              </w:rPr>
            </w:pPr>
            <w:r>
              <w:rPr>
                <w:rFonts w:hint="eastAsia" w:ascii="仿宋" w:hAnsi="仿宋" w:eastAsia="仿宋"/>
                <w:b/>
                <w:bCs/>
                <w:sz w:val="24"/>
                <w:szCs w:val="24"/>
              </w:rPr>
              <w:t>质保期：机房防护门保修期≥1年。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19</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20</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w:t>
            </w:r>
            <w:r>
              <w:rPr>
                <w:rFonts w:hint="eastAsia" w:ascii="仿宋" w:hAnsi="仿宋" w:eastAsia="仿宋" w:cs="仿宋_GB2312"/>
                <w:sz w:val="24"/>
                <w:szCs w:val="24"/>
                <w:lang w:val="en-US" w:eastAsia="zh-CN"/>
              </w:rPr>
              <w:t>-20</w:t>
            </w:r>
            <w:r>
              <w:rPr>
                <w:rFonts w:hint="eastAsia" w:ascii="仿宋" w:hAnsi="仿宋" w:eastAsia="仿宋" w:cs="仿宋_GB2312"/>
                <w:sz w:val="24"/>
                <w:szCs w:val="24"/>
              </w:rPr>
              <w:t>%的扣除，用扣除后的价格参与评审，本项目具体扣除比例为</w:t>
            </w:r>
            <w:r>
              <w:rPr>
                <w:rFonts w:hint="eastAsia" w:ascii="仿宋" w:hAnsi="仿宋" w:eastAsia="仿宋" w:cs="仿宋_GB2312"/>
                <w:sz w:val="24"/>
                <w:szCs w:val="24"/>
                <w:lang w:val="en-US" w:eastAsia="zh-CN"/>
              </w:rPr>
              <w:t>10</w:t>
            </w:r>
            <w:r>
              <w:rPr>
                <w:rFonts w:hint="eastAsia" w:ascii="仿宋" w:hAnsi="仿宋" w:eastAsia="仿宋" w:cs="仿宋_GB2312"/>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21</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22</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25</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项目联系人：何勋</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电话：13659965991</w:t>
            </w:r>
          </w:p>
        </w:tc>
      </w:tr>
    </w:tbl>
    <w:p>
      <w:pPr>
        <w:rPr>
          <w:rFonts w:ascii="仿宋" w:hAnsi="仿宋" w:eastAsia="仿宋"/>
        </w:rPr>
      </w:pPr>
    </w:p>
    <w:p>
      <w:bookmarkStart w:id="18" w:name="_Toc56170380"/>
      <w:bookmarkStart w:id="19" w:name="_Toc61184623"/>
      <w:r>
        <w:rPr>
          <w:rFonts w:hint="eastAsia"/>
        </w:rPr>
        <w:br w:type="page"/>
      </w:r>
    </w:p>
    <w:p>
      <w:pPr>
        <w:pStyle w:val="8"/>
      </w:pPr>
      <w:bookmarkStart w:id="20" w:name="_Toc9701"/>
      <w:r>
        <w:rPr>
          <w:rFonts w:hint="eastAsia"/>
        </w:rPr>
        <w:t>一、总 则</w:t>
      </w:r>
      <w:bookmarkEnd w:id="18"/>
      <w:bookmarkEnd w:id="19"/>
      <w:bookmarkEnd w:id="20"/>
    </w:p>
    <w:p>
      <w:pPr>
        <w:pStyle w:val="26"/>
        <w:spacing w:line="360" w:lineRule="auto"/>
        <w:ind w:firstLine="562"/>
        <w:jc w:val="both"/>
        <w:rPr>
          <w:rFonts w:ascii="仿宋" w:hAnsi="仿宋" w:eastAsia="仿宋"/>
          <w:sz w:val="28"/>
        </w:rPr>
      </w:pPr>
      <w:r>
        <w:rPr>
          <w:rFonts w:hint="eastAsia" w:ascii="仿宋" w:hAnsi="仿宋" w:eastAsia="仿宋"/>
          <w:sz w:val="28"/>
        </w:rPr>
        <w:t>1. 合格的供应商</w:t>
      </w:r>
    </w:p>
    <w:p>
      <w:pPr>
        <w:pStyle w:val="26"/>
        <w:spacing w:line="360" w:lineRule="auto"/>
        <w:ind w:firstLine="562"/>
        <w:jc w:val="both"/>
        <w:rPr>
          <w:rFonts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6"/>
        <w:spacing w:line="360" w:lineRule="auto"/>
        <w:ind w:firstLine="562"/>
        <w:rPr>
          <w:rFonts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6"/>
        <w:spacing w:line="360" w:lineRule="auto"/>
        <w:ind w:firstLine="562"/>
        <w:jc w:val="both"/>
        <w:rPr>
          <w:rFonts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6"/>
        <w:spacing w:line="360" w:lineRule="auto"/>
        <w:ind w:firstLine="562"/>
        <w:jc w:val="both"/>
        <w:rPr>
          <w:rFonts w:ascii="仿宋" w:hAnsi="仿宋" w:eastAsia="仿宋"/>
          <w:sz w:val="28"/>
        </w:rPr>
      </w:pPr>
      <w:r>
        <w:rPr>
          <w:rFonts w:hint="eastAsia" w:ascii="仿宋" w:hAnsi="仿宋" w:eastAsia="仿宋"/>
          <w:sz w:val="28"/>
        </w:rPr>
        <w:t>1.4 本项目不接受联合体投标。</w:t>
      </w:r>
    </w:p>
    <w:p>
      <w:pPr>
        <w:pStyle w:val="26"/>
        <w:spacing w:line="360" w:lineRule="auto"/>
        <w:ind w:firstLine="562"/>
        <w:jc w:val="both"/>
        <w:rPr>
          <w:rFonts w:ascii="仿宋" w:hAnsi="仿宋" w:eastAsia="仿宋"/>
          <w:sz w:val="28"/>
        </w:rPr>
      </w:pPr>
      <w:r>
        <w:rPr>
          <w:rFonts w:hint="eastAsia" w:ascii="仿宋" w:hAnsi="仿宋" w:eastAsia="仿宋"/>
          <w:sz w:val="28"/>
        </w:rPr>
        <w:t>1.5 不符合1.1、1.2、1.3、1.4条款规定的供应商，其磋商将被拒绝。</w:t>
      </w:r>
    </w:p>
    <w:p>
      <w:pPr>
        <w:pStyle w:val="26"/>
        <w:spacing w:line="360" w:lineRule="auto"/>
        <w:ind w:firstLine="560"/>
        <w:jc w:val="both"/>
        <w:rPr>
          <w:rFonts w:ascii="仿宋" w:hAnsi="仿宋" w:eastAsia="仿宋"/>
          <w:sz w:val="28"/>
        </w:rPr>
      </w:pPr>
      <w:r>
        <w:rPr>
          <w:rFonts w:hint="eastAsia" w:ascii="仿宋" w:hAnsi="仿宋" w:eastAsia="仿宋"/>
          <w:sz w:val="28"/>
        </w:rPr>
        <w:t>2. 定义</w:t>
      </w:r>
    </w:p>
    <w:p>
      <w:pPr>
        <w:pStyle w:val="26"/>
        <w:spacing w:line="360" w:lineRule="auto"/>
        <w:ind w:firstLine="560"/>
        <w:jc w:val="both"/>
        <w:rPr>
          <w:rFonts w:ascii="仿宋" w:hAnsi="仿宋" w:eastAsia="仿宋"/>
          <w:sz w:val="28"/>
        </w:rPr>
      </w:pPr>
      <w:r>
        <w:rPr>
          <w:rFonts w:hint="eastAsia" w:ascii="仿宋" w:hAnsi="仿宋" w:eastAsia="仿宋"/>
          <w:sz w:val="28"/>
        </w:rPr>
        <w:t>2.1“采购代理机构”系指中科高盛咨询集团有限公司</w:t>
      </w:r>
    </w:p>
    <w:p>
      <w:pPr>
        <w:pStyle w:val="26"/>
        <w:spacing w:line="360" w:lineRule="auto"/>
        <w:ind w:firstLine="560"/>
        <w:jc w:val="both"/>
        <w:rPr>
          <w:rFonts w:ascii="仿宋" w:hAnsi="仿宋" w:eastAsia="仿宋"/>
          <w:sz w:val="28"/>
        </w:rPr>
      </w:pPr>
      <w:r>
        <w:rPr>
          <w:rFonts w:hint="eastAsia" w:ascii="仿宋" w:hAnsi="仿宋" w:eastAsia="仿宋"/>
          <w:sz w:val="28"/>
        </w:rPr>
        <w:t>2.2“供应商”系指向采购代理机构提交响应文件的货物制造商、经销商。</w:t>
      </w:r>
    </w:p>
    <w:p>
      <w:pPr>
        <w:pStyle w:val="26"/>
        <w:spacing w:line="360" w:lineRule="auto"/>
        <w:ind w:firstLine="560"/>
        <w:jc w:val="both"/>
        <w:rPr>
          <w:rFonts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6"/>
        <w:spacing w:line="360" w:lineRule="auto"/>
        <w:ind w:firstLine="560"/>
        <w:jc w:val="both"/>
        <w:rPr>
          <w:rFonts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6"/>
        <w:spacing w:line="360" w:lineRule="auto"/>
        <w:ind w:firstLine="560"/>
        <w:jc w:val="both"/>
        <w:rPr>
          <w:rFonts w:ascii="仿宋" w:hAnsi="仿宋" w:eastAsia="仿宋"/>
          <w:sz w:val="28"/>
        </w:rPr>
      </w:pPr>
      <w:r>
        <w:rPr>
          <w:rFonts w:hint="eastAsia" w:ascii="仿宋" w:hAnsi="仿宋" w:eastAsia="仿宋"/>
          <w:sz w:val="28"/>
        </w:rPr>
        <w:t>2.5“卖方”系指提供合同货物和服务的经济实体。本次磋商指有关成交供应商。</w:t>
      </w:r>
    </w:p>
    <w:p>
      <w:pPr>
        <w:pStyle w:val="26"/>
        <w:spacing w:line="360" w:lineRule="auto"/>
        <w:ind w:firstLine="561"/>
        <w:jc w:val="both"/>
        <w:rPr>
          <w:rFonts w:ascii="仿宋" w:hAnsi="仿宋" w:eastAsia="仿宋"/>
          <w:sz w:val="28"/>
        </w:rPr>
      </w:pPr>
      <w:r>
        <w:rPr>
          <w:rFonts w:hint="eastAsia" w:ascii="仿宋" w:hAnsi="仿宋" w:eastAsia="仿宋"/>
          <w:sz w:val="28"/>
        </w:rPr>
        <w:t>2.6“买方”系指购买货物和服务的单位，即为本次磋商的采购人。</w:t>
      </w:r>
    </w:p>
    <w:p>
      <w:pPr>
        <w:pStyle w:val="26"/>
        <w:spacing w:line="360" w:lineRule="auto"/>
        <w:ind w:firstLine="561"/>
        <w:jc w:val="both"/>
        <w:rPr>
          <w:rFonts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6"/>
        <w:spacing w:line="360" w:lineRule="auto"/>
        <w:ind w:firstLine="561"/>
        <w:rPr>
          <w:rFonts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6"/>
        <w:spacing w:line="360" w:lineRule="auto"/>
        <w:ind w:firstLine="561"/>
        <w:rPr>
          <w:rFonts w:ascii="仿宋" w:hAnsi="仿宋" w:eastAsia="仿宋"/>
          <w:sz w:val="28"/>
        </w:rPr>
      </w:pPr>
      <w:r>
        <w:rPr>
          <w:rFonts w:hint="eastAsia" w:ascii="仿宋" w:hAnsi="仿宋" w:eastAsia="仿宋"/>
          <w:sz w:val="28"/>
        </w:rPr>
        <w:t>3. 其他要求</w:t>
      </w:r>
    </w:p>
    <w:p>
      <w:pPr>
        <w:pStyle w:val="26"/>
        <w:spacing w:line="360" w:lineRule="auto"/>
        <w:ind w:firstLine="561"/>
        <w:rPr>
          <w:rFonts w:ascii="仿宋" w:hAnsi="仿宋" w:eastAsia="仿宋"/>
          <w:sz w:val="28"/>
        </w:rPr>
      </w:pPr>
      <w:r>
        <w:rPr>
          <w:rFonts w:hint="eastAsia" w:ascii="仿宋" w:hAnsi="仿宋" w:eastAsia="仿宋"/>
          <w:sz w:val="28"/>
        </w:rPr>
        <w:t>3.1 供应商应自行承担所有与本次磋商有关的费用，而不论磋商的结果如何。</w:t>
      </w:r>
    </w:p>
    <w:p>
      <w:pPr>
        <w:pStyle w:val="26"/>
        <w:spacing w:line="360" w:lineRule="auto"/>
        <w:ind w:firstLine="561"/>
        <w:rPr>
          <w:rFonts w:ascii="仿宋" w:hAnsi="仿宋" w:eastAsia="仿宋"/>
          <w:sz w:val="28"/>
        </w:rPr>
      </w:pPr>
      <w:r>
        <w:rPr>
          <w:rFonts w:hint="eastAsia" w:ascii="仿宋" w:hAnsi="仿宋" w:eastAsia="仿宋"/>
          <w:sz w:val="28"/>
        </w:rPr>
        <w:t>3.2 政府采购政策支持</w:t>
      </w:r>
    </w:p>
    <w:p>
      <w:pPr>
        <w:pStyle w:val="26"/>
        <w:spacing w:line="360" w:lineRule="auto"/>
        <w:ind w:firstLine="561"/>
        <w:rPr>
          <w:rFonts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6"/>
        <w:spacing w:line="360" w:lineRule="auto"/>
        <w:ind w:firstLine="561"/>
        <w:rPr>
          <w:rFonts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6"/>
        <w:spacing w:line="360" w:lineRule="auto"/>
        <w:ind w:firstLine="561"/>
        <w:rPr>
          <w:rFonts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8"/>
        <w:spacing w:line="360" w:lineRule="auto"/>
      </w:pPr>
      <w:bookmarkStart w:id="21" w:name="_Toc17589"/>
      <w:bookmarkStart w:id="22" w:name="_Toc61184624"/>
      <w:bookmarkStart w:id="23" w:name="_Toc56170381"/>
      <w:r>
        <w:rPr>
          <w:rFonts w:hint="eastAsia"/>
        </w:rPr>
        <w:t>二、磋商文件</w:t>
      </w:r>
      <w:bookmarkEnd w:id="21"/>
      <w:bookmarkEnd w:id="22"/>
      <w:bookmarkEnd w:id="23"/>
    </w:p>
    <w:p>
      <w:pPr>
        <w:pStyle w:val="26"/>
        <w:spacing w:line="360" w:lineRule="auto"/>
        <w:ind w:firstLine="560"/>
        <w:jc w:val="both"/>
        <w:rPr>
          <w:rFonts w:ascii="仿宋" w:hAnsi="仿宋" w:eastAsia="仿宋"/>
          <w:sz w:val="28"/>
        </w:rPr>
      </w:pPr>
      <w:r>
        <w:rPr>
          <w:rFonts w:hint="eastAsia" w:ascii="仿宋" w:hAnsi="仿宋" w:eastAsia="仿宋"/>
          <w:sz w:val="28"/>
        </w:rPr>
        <w:t>4. 磋商文件</w:t>
      </w:r>
    </w:p>
    <w:p>
      <w:pPr>
        <w:pStyle w:val="26"/>
        <w:spacing w:line="360" w:lineRule="auto"/>
        <w:ind w:firstLine="560"/>
        <w:jc w:val="both"/>
        <w:rPr>
          <w:rFonts w:ascii="仿宋" w:hAnsi="仿宋" w:eastAsia="仿宋"/>
          <w:sz w:val="28"/>
        </w:rPr>
      </w:pPr>
      <w:r>
        <w:rPr>
          <w:rFonts w:hint="eastAsia" w:ascii="仿宋" w:hAnsi="仿宋" w:eastAsia="仿宋"/>
          <w:sz w:val="28"/>
        </w:rPr>
        <w:t>4.1 磋商文件用以阐明所需货物和服务、磋商程序和合同条款。包括：</w:t>
      </w:r>
    </w:p>
    <w:p>
      <w:pPr>
        <w:pStyle w:val="26"/>
        <w:spacing w:line="360" w:lineRule="auto"/>
        <w:ind w:firstLine="560"/>
        <w:jc w:val="both"/>
        <w:rPr>
          <w:rFonts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6"/>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6"/>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6"/>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6"/>
        <w:spacing w:line="360" w:lineRule="auto"/>
        <w:ind w:firstLine="560"/>
        <w:jc w:val="both"/>
        <w:rPr>
          <w:rFonts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6"/>
        <w:spacing w:line="360" w:lineRule="auto"/>
        <w:ind w:firstLine="560"/>
        <w:jc w:val="both"/>
        <w:rPr>
          <w:rFonts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6"/>
        <w:spacing w:line="360" w:lineRule="auto"/>
        <w:ind w:firstLine="560"/>
        <w:jc w:val="both"/>
        <w:rPr>
          <w:rFonts w:ascii="仿宋" w:hAnsi="仿宋" w:eastAsia="仿宋"/>
          <w:sz w:val="28"/>
        </w:rPr>
      </w:pPr>
      <w:r>
        <w:rPr>
          <w:rFonts w:hint="eastAsia" w:ascii="仿宋" w:hAnsi="仿宋" w:eastAsia="仿宋"/>
          <w:sz w:val="28"/>
        </w:rPr>
        <w:t>5. 磋商文件的澄清和修改</w:t>
      </w:r>
    </w:p>
    <w:p>
      <w:pPr>
        <w:pStyle w:val="26"/>
        <w:spacing w:line="360" w:lineRule="auto"/>
        <w:ind w:firstLine="560"/>
        <w:jc w:val="both"/>
        <w:rPr>
          <w:rFonts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8"/>
        <w:spacing w:line="360" w:lineRule="auto"/>
      </w:pPr>
      <w:bookmarkStart w:id="24" w:name="_Toc29097"/>
      <w:bookmarkStart w:id="25" w:name="_Toc56170382"/>
      <w:bookmarkStart w:id="26" w:name="_Toc61184625"/>
      <w:r>
        <w:rPr>
          <w:rFonts w:hint="eastAsia"/>
        </w:rPr>
        <w:t>三、响应文件的编制</w:t>
      </w:r>
      <w:bookmarkEnd w:id="24"/>
      <w:bookmarkEnd w:id="25"/>
      <w:bookmarkEnd w:id="26"/>
    </w:p>
    <w:p>
      <w:pPr>
        <w:pStyle w:val="26"/>
        <w:spacing w:line="360" w:lineRule="auto"/>
        <w:ind w:firstLine="560"/>
        <w:jc w:val="both"/>
        <w:rPr>
          <w:rFonts w:ascii="仿宋" w:hAnsi="仿宋" w:eastAsia="仿宋"/>
          <w:sz w:val="28"/>
        </w:rPr>
      </w:pPr>
      <w:r>
        <w:rPr>
          <w:rFonts w:hint="eastAsia" w:ascii="仿宋" w:hAnsi="仿宋" w:eastAsia="仿宋"/>
          <w:sz w:val="28"/>
        </w:rPr>
        <w:t>6. 响应文件的编写</w:t>
      </w:r>
    </w:p>
    <w:p>
      <w:pPr>
        <w:pStyle w:val="26"/>
        <w:spacing w:line="360" w:lineRule="auto"/>
        <w:ind w:firstLine="560"/>
        <w:jc w:val="both"/>
        <w:rPr>
          <w:rFonts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6"/>
        <w:spacing w:line="360" w:lineRule="auto"/>
        <w:ind w:firstLine="560"/>
        <w:jc w:val="both"/>
        <w:rPr>
          <w:rFonts w:ascii="仿宋" w:hAnsi="仿宋" w:eastAsia="仿宋"/>
          <w:sz w:val="28"/>
        </w:rPr>
      </w:pPr>
      <w:r>
        <w:rPr>
          <w:rFonts w:hint="eastAsia" w:ascii="仿宋" w:hAnsi="仿宋" w:eastAsia="仿宋"/>
          <w:sz w:val="28"/>
        </w:rPr>
        <w:t>7. 响应文件的语言及计量单位</w:t>
      </w:r>
    </w:p>
    <w:p>
      <w:pPr>
        <w:pStyle w:val="26"/>
        <w:spacing w:line="360" w:lineRule="auto"/>
        <w:ind w:firstLine="560"/>
        <w:jc w:val="both"/>
        <w:rPr>
          <w:rFonts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6"/>
        <w:spacing w:line="360" w:lineRule="auto"/>
        <w:ind w:firstLine="560"/>
        <w:jc w:val="both"/>
        <w:rPr>
          <w:rFonts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6"/>
        <w:spacing w:line="360" w:lineRule="auto"/>
        <w:ind w:firstLine="560"/>
        <w:jc w:val="both"/>
        <w:rPr>
          <w:rFonts w:ascii="仿宋" w:hAnsi="仿宋" w:eastAsia="仿宋"/>
          <w:sz w:val="28"/>
        </w:rPr>
      </w:pPr>
      <w:r>
        <w:rPr>
          <w:rFonts w:hint="eastAsia" w:ascii="仿宋" w:hAnsi="仿宋" w:eastAsia="仿宋"/>
          <w:sz w:val="28"/>
        </w:rPr>
        <w:t>8. 响应文件构成</w:t>
      </w:r>
    </w:p>
    <w:p>
      <w:pPr>
        <w:pStyle w:val="26"/>
        <w:spacing w:line="360" w:lineRule="auto"/>
        <w:ind w:firstLine="560"/>
        <w:jc w:val="both"/>
        <w:rPr>
          <w:rFonts w:ascii="仿宋" w:hAnsi="仿宋" w:eastAsia="仿宋"/>
          <w:sz w:val="28"/>
        </w:rPr>
      </w:pPr>
      <w:r>
        <w:rPr>
          <w:rFonts w:hint="eastAsia" w:ascii="仿宋" w:hAnsi="仿宋" w:eastAsia="仿宋"/>
          <w:sz w:val="28"/>
        </w:rPr>
        <w:t>8.1 供应商编写的响应文件应按下列顺序及内容提供：</w:t>
      </w:r>
    </w:p>
    <w:p>
      <w:pPr>
        <w:pStyle w:val="26"/>
        <w:spacing w:line="360" w:lineRule="auto"/>
        <w:ind w:firstLine="560"/>
        <w:jc w:val="both"/>
        <w:rPr>
          <w:rFonts w:ascii="仿宋" w:hAnsi="仿宋" w:eastAsia="仿宋"/>
          <w:b/>
          <w:bCs/>
          <w:sz w:val="28"/>
        </w:rPr>
      </w:pPr>
      <w:r>
        <w:rPr>
          <w:rFonts w:hint="eastAsia" w:ascii="仿宋" w:hAnsi="仿宋" w:eastAsia="仿宋"/>
          <w:b/>
          <w:bCs/>
          <w:sz w:val="28"/>
        </w:rPr>
        <w:t>8.1.1 资格证明文件（以下文件必须在有效期内）</w:t>
      </w:r>
    </w:p>
    <w:p>
      <w:pPr>
        <w:pStyle w:val="26"/>
        <w:spacing w:line="360" w:lineRule="auto"/>
        <w:ind w:firstLine="562"/>
        <w:jc w:val="both"/>
        <w:rPr>
          <w:rFonts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6"/>
        <w:spacing w:line="360" w:lineRule="auto"/>
        <w:ind w:firstLine="562"/>
        <w:jc w:val="both"/>
        <w:rPr>
          <w:rFonts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6"/>
        <w:spacing w:line="360" w:lineRule="auto"/>
        <w:ind w:firstLine="562"/>
        <w:jc w:val="both"/>
        <w:rPr>
          <w:rFonts w:ascii="仿宋" w:hAnsi="仿宋" w:eastAsia="仿宋"/>
          <w:sz w:val="28"/>
        </w:rPr>
      </w:pPr>
      <w:r>
        <w:rPr>
          <w:rFonts w:hint="eastAsia" w:ascii="仿宋" w:hAnsi="仿宋" w:eastAsia="仿宋"/>
          <w:sz w:val="28"/>
        </w:rPr>
        <w:t>8.1.2 商务响应文件</w:t>
      </w:r>
    </w:p>
    <w:p>
      <w:pPr>
        <w:pStyle w:val="26"/>
        <w:spacing w:line="360" w:lineRule="auto"/>
        <w:ind w:firstLine="560"/>
        <w:jc w:val="both"/>
        <w:rPr>
          <w:rFonts w:ascii="仿宋" w:hAnsi="仿宋" w:eastAsia="仿宋"/>
          <w:sz w:val="28"/>
        </w:rPr>
      </w:pPr>
      <w:r>
        <w:rPr>
          <w:rFonts w:hint="eastAsia" w:ascii="仿宋" w:hAnsi="仿宋" w:eastAsia="仿宋"/>
          <w:sz w:val="28"/>
        </w:rPr>
        <w:t>（1） 响应文件</w:t>
      </w:r>
    </w:p>
    <w:p>
      <w:pPr>
        <w:pStyle w:val="26"/>
        <w:spacing w:line="360" w:lineRule="auto"/>
        <w:ind w:firstLine="562"/>
        <w:jc w:val="both"/>
        <w:rPr>
          <w:rFonts w:ascii="仿宋" w:hAnsi="仿宋" w:eastAsia="仿宋"/>
          <w:sz w:val="28"/>
        </w:rPr>
      </w:pPr>
      <w:r>
        <w:rPr>
          <w:rFonts w:hint="eastAsia" w:ascii="仿宋" w:hAnsi="仿宋" w:eastAsia="仿宋"/>
          <w:sz w:val="28"/>
        </w:rPr>
        <w:t>（2） 磋商一览表</w:t>
      </w:r>
    </w:p>
    <w:p>
      <w:pPr>
        <w:pStyle w:val="26"/>
        <w:spacing w:line="360" w:lineRule="auto"/>
        <w:ind w:firstLine="562" w:firstLineChars="201"/>
        <w:jc w:val="both"/>
        <w:rPr>
          <w:rFonts w:ascii="仿宋" w:hAnsi="仿宋" w:eastAsia="仿宋"/>
          <w:sz w:val="28"/>
        </w:rPr>
      </w:pPr>
      <w:r>
        <w:rPr>
          <w:rFonts w:hint="eastAsia" w:ascii="仿宋" w:hAnsi="仿宋" w:eastAsia="仿宋"/>
          <w:sz w:val="28"/>
        </w:rPr>
        <w:t>（3） 磋商报价明细表</w:t>
      </w:r>
    </w:p>
    <w:p>
      <w:pPr>
        <w:pStyle w:val="26"/>
        <w:spacing w:line="360" w:lineRule="auto"/>
        <w:ind w:firstLine="548" w:firstLineChars="196"/>
        <w:jc w:val="both"/>
        <w:rPr>
          <w:rFonts w:ascii="仿宋" w:hAnsi="仿宋" w:eastAsia="仿宋"/>
          <w:sz w:val="28"/>
        </w:rPr>
      </w:pPr>
      <w:r>
        <w:rPr>
          <w:rFonts w:hint="eastAsia" w:ascii="仿宋" w:hAnsi="仿宋" w:eastAsia="仿宋"/>
          <w:sz w:val="28"/>
        </w:rPr>
        <w:t>（4） 商务条款偏离表</w:t>
      </w:r>
    </w:p>
    <w:p>
      <w:pPr>
        <w:pStyle w:val="26"/>
        <w:spacing w:line="360" w:lineRule="auto"/>
        <w:ind w:firstLine="548" w:firstLineChars="196"/>
        <w:jc w:val="both"/>
        <w:rPr>
          <w:rFonts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6"/>
        <w:spacing w:line="360" w:lineRule="auto"/>
        <w:ind w:firstLine="548" w:firstLineChars="196"/>
        <w:jc w:val="both"/>
        <w:rPr>
          <w:rFonts w:ascii="仿宋" w:hAnsi="仿宋" w:eastAsia="仿宋"/>
          <w:sz w:val="28"/>
        </w:rPr>
      </w:pPr>
      <w:r>
        <w:rPr>
          <w:rFonts w:hint="eastAsia" w:ascii="仿宋" w:hAnsi="仿宋" w:eastAsia="仿宋"/>
          <w:sz w:val="28"/>
        </w:rPr>
        <w:t>（6） 售后服务承诺书及培训计划</w:t>
      </w:r>
    </w:p>
    <w:p>
      <w:pPr>
        <w:pStyle w:val="27"/>
        <w:spacing w:line="360" w:lineRule="auto"/>
        <w:ind w:firstLine="560"/>
        <w:rPr>
          <w:rFonts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7"/>
        <w:spacing w:line="360" w:lineRule="auto"/>
        <w:ind w:firstLine="560"/>
        <w:rPr>
          <w:rFonts w:ascii="仿宋" w:hAnsi="仿宋" w:eastAsia="仿宋"/>
          <w:color w:val="000000"/>
        </w:rPr>
      </w:pPr>
      <w:r>
        <w:rPr>
          <w:rFonts w:hint="eastAsia" w:ascii="仿宋" w:hAnsi="仿宋" w:eastAsia="仿宋"/>
          <w:color w:val="000000"/>
        </w:rPr>
        <w:t>（8） 供应商认为有必要提供的声明及文件资料</w:t>
      </w:r>
    </w:p>
    <w:p>
      <w:pPr>
        <w:pStyle w:val="26"/>
        <w:spacing w:line="360" w:lineRule="auto"/>
        <w:ind w:firstLine="560"/>
        <w:jc w:val="both"/>
        <w:rPr>
          <w:rFonts w:ascii="仿宋" w:hAnsi="仿宋" w:eastAsia="仿宋"/>
          <w:sz w:val="28"/>
        </w:rPr>
      </w:pPr>
      <w:r>
        <w:rPr>
          <w:rFonts w:hint="eastAsia" w:ascii="仿宋" w:hAnsi="仿宋" w:eastAsia="仿宋"/>
          <w:sz w:val="28"/>
        </w:rPr>
        <w:t>8.1.3 响应文件</w:t>
      </w:r>
    </w:p>
    <w:p>
      <w:pPr>
        <w:pStyle w:val="26"/>
        <w:spacing w:line="360" w:lineRule="auto"/>
        <w:ind w:firstLine="420" w:firstLineChars="150"/>
        <w:jc w:val="both"/>
        <w:rPr>
          <w:rFonts w:ascii="仿宋" w:hAnsi="仿宋" w:eastAsia="仿宋"/>
          <w:sz w:val="28"/>
        </w:rPr>
      </w:pPr>
      <w:r>
        <w:rPr>
          <w:rFonts w:hint="eastAsia" w:ascii="仿宋" w:hAnsi="仿宋" w:eastAsia="仿宋"/>
          <w:sz w:val="28"/>
        </w:rPr>
        <w:t>（1） 产品的详细技术参数说明</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6"/>
        <w:snapToGrid w:val="0"/>
        <w:spacing w:line="360" w:lineRule="auto"/>
        <w:ind w:firstLine="560" w:firstLineChars="200"/>
        <w:rPr>
          <w:rFonts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（3） 备品备件及专用工具清单</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（4） 产品样册、说明书、图纸技术资料及产品质量获奖荣誉证书复印件</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（5） 供应商认为有必要提供的声明及完整文件或支持资料。</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9. 响应文件格式</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6"/>
        <w:spacing w:line="360" w:lineRule="auto"/>
        <w:ind w:firstLine="560"/>
        <w:jc w:val="both"/>
        <w:rPr>
          <w:rFonts w:ascii="仿宋" w:hAnsi="仿宋" w:eastAsia="仿宋"/>
          <w:sz w:val="28"/>
        </w:rPr>
      </w:pPr>
      <w:r>
        <w:rPr>
          <w:rFonts w:hint="eastAsia" w:ascii="仿宋" w:hAnsi="仿宋" w:eastAsia="仿宋"/>
          <w:sz w:val="28"/>
        </w:rPr>
        <w:t>10. 磋商报价</w:t>
      </w:r>
    </w:p>
    <w:p>
      <w:pPr>
        <w:pStyle w:val="26"/>
        <w:spacing w:line="360" w:lineRule="auto"/>
        <w:ind w:firstLine="560"/>
        <w:jc w:val="both"/>
        <w:rPr>
          <w:rFonts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6"/>
        <w:spacing w:line="360" w:lineRule="auto"/>
        <w:ind w:firstLine="567"/>
        <w:jc w:val="both"/>
        <w:rPr>
          <w:rFonts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6"/>
        <w:spacing w:line="360" w:lineRule="auto"/>
        <w:ind w:firstLine="562"/>
        <w:rPr>
          <w:rFonts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6"/>
        <w:spacing w:line="360" w:lineRule="auto"/>
        <w:ind w:firstLine="560"/>
        <w:jc w:val="both"/>
        <w:rPr>
          <w:rFonts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6"/>
        <w:spacing w:line="360" w:lineRule="auto"/>
        <w:ind w:firstLine="560"/>
        <w:jc w:val="both"/>
        <w:rPr>
          <w:rFonts w:ascii="仿宋" w:hAnsi="仿宋" w:eastAsia="仿宋"/>
          <w:sz w:val="28"/>
        </w:rPr>
      </w:pPr>
      <w:r>
        <w:rPr>
          <w:rFonts w:hint="eastAsia" w:ascii="仿宋" w:hAnsi="仿宋" w:eastAsia="仿宋"/>
          <w:sz w:val="28"/>
        </w:rPr>
        <w:t>10.3.2 磋商文件中特别要求的零、备件费用。</w:t>
      </w:r>
    </w:p>
    <w:p>
      <w:pPr>
        <w:pStyle w:val="26"/>
        <w:spacing w:line="360" w:lineRule="auto"/>
        <w:ind w:firstLine="560"/>
        <w:jc w:val="both"/>
        <w:rPr>
          <w:rFonts w:ascii="仿宋" w:hAnsi="仿宋" w:eastAsia="仿宋"/>
          <w:sz w:val="28"/>
        </w:rPr>
      </w:pPr>
      <w:r>
        <w:rPr>
          <w:rFonts w:hint="eastAsia" w:ascii="仿宋" w:hAnsi="仿宋" w:eastAsia="仿宋"/>
          <w:sz w:val="28"/>
        </w:rPr>
        <w:t>10.3.3 分项报价明细表中特别要求的安装、调试、运输及培训费用。</w:t>
      </w:r>
    </w:p>
    <w:p>
      <w:pPr>
        <w:pStyle w:val="26"/>
        <w:spacing w:line="360" w:lineRule="auto"/>
        <w:ind w:firstLine="560"/>
        <w:jc w:val="both"/>
        <w:rPr>
          <w:rFonts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6"/>
        <w:spacing w:line="360" w:lineRule="auto"/>
        <w:ind w:firstLine="560"/>
        <w:jc w:val="both"/>
        <w:rPr>
          <w:rFonts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6"/>
        <w:spacing w:line="360" w:lineRule="auto"/>
        <w:ind w:firstLine="560"/>
        <w:jc w:val="both"/>
        <w:rPr>
          <w:rFonts w:ascii="仿宋" w:hAnsi="仿宋" w:eastAsia="仿宋"/>
          <w:sz w:val="28"/>
        </w:rPr>
      </w:pPr>
      <w:r>
        <w:rPr>
          <w:rFonts w:hint="eastAsia" w:ascii="仿宋" w:hAnsi="仿宋" w:eastAsia="仿宋"/>
          <w:sz w:val="28"/>
        </w:rPr>
        <w:t>11. 磋商货币</w:t>
      </w:r>
    </w:p>
    <w:p>
      <w:pPr>
        <w:pStyle w:val="26"/>
        <w:spacing w:line="360" w:lineRule="auto"/>
        <w:ind w:firstLine="560"/>
        <w:jc w:val="both"/>
        <w:rPr>
          <w:rFonts w:ascii="仿宋" w:hAnsi="仿宋" w:eastAsia="仿宋"/>
          <w:sz w:val="28"/>
        </w:rPr>
      </w:pPr>
      <w:r>
        <w:rPr>
          <w:rFonts w:hint="eastAsia" w:ascii="仿宋" w:hAnsi="仿宋" w:eastAsia="仿宋"/>
          <w:sz w:val="28"/>
        </w:rPr>
        <w:t>11.1 本次磋商货币为人民币。</w:t>
      </w:r>
    </w:p>
    <w:p>
      <w:pPr>
        <w:pStyle w:val="26"/>
        <w:spacing w:line="360" w:lineRule="auto"/>
        <w:ind w:firstLine="560"/>
        <w:jc w:val="both"/>
        <w:rPr>
          <w:rFonts w:ascii="仿宋" w:hAnsi="仿宋" w:eastAsia="仿宋"/>
          <w:sz w:val="28"/>
        </w:rPr>
      </w:pPr>
      <w:r>
        <w:rPr>
          <w:rFonts w:hint="eastAsia" w:ascii="仿宋" w:hAnsi="仿宋" w:eastAsia="仿宋"/>
          <w:sz w:val="28"/>
        </w:rPr>
        <w:t>12. 证明供应商合格和资格的文件</w:t>
      </w:r>
    </w:p>
    <w:p>
      <w:pPr>
        <w:pStyle w:val="26"/>
        <w:spacing w:line="360" w:lineRule="auto"/>
        <w:ind w:firstLine="560"/>
        <w:jc w:val="both"/>
        <w:rPr>
          <w:rFonts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6"/>
        <w:spacing w:line="360" w:lineRule="auto"/>
        <w:ind w:firstLine="560"/>
        <w:jc w:val="both"/>
        <w:rPr>
          <w:rFonts w:ascii="仿宋" w:hAnsi="仿宋" w:eastAsia="仿宋"/>
          <w:sz w:val="28"/>
        </w:rPr>
      </w:pPr>
      <w:r>
        <w:rPr>
          <w:rFonts w:hint="eastAsia" w:ascii="仿宋" w:hAnsi="仿宋" w:eastAsia="仿宋"/>
          <w:sz w:val="28"/>
        </w:rPr>
        <w:t>12.2 供应商应填写并提交磋商文件所要求的资格证明类文件。</w:t>
      </w:r>
    </w:p>
    <w:p>
      <w:pPr>
        <w:pStyle w:val="26"/>
        <w:spacing w:line="360" w:lineRule="auto"/>
        <w:ind w:firstLine="560"/>
        <w:jc w:val="both"/>
        <w:rPr>
          <w:rFonts w:ascii="仿宋" w:hAnsi="仿宋" w:eastAsia="仿宋"/>
          <w:sz w:val="28"/>
        </w:rPr>
      </w:pPr>
      <w:r>
        <w:rPr>
          <w:rFonts w:hint="eastAsia" w:ascii="仿宋" w:hAnsi="仿宋" w:eastAsia="仿宋"/>
          <w:sz w:val="28"/>
        </w:rPr>
        <w:t>13. 证明货物的合格性和符合磋商文件规定的文件</w:t>
      </w:r>
    </w:p>
    <w:p>
      <w:pPr>
        <w:pStyle w:val="26"/>
        <w:spacing w:line="360" w:lineRule="auto"/>
        <w:ind w:firstLine="560"/>
        <w:jc w:val="both"/>
        <w:rPr>
          <w:rFonts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6"/>
        <w:spacing w:line="360" w:lineRule="auto"/>
        <w:ind w:firstLine="560"/>
        <w:rPr>
          <w:rFonts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6"/>
        <w:spacing w:line="360" w:lineRule="auto"/>
        <w:ind w:firstLine="560"/>
        <w:rPr>
          <w:rFonts w:ascii="仿宋" w:hAnsi="仿宋" w:eastAsia="仿宋"/>
          <w:sz w:val="28"/>
        </w:rPr>
      </w:pPr>
      <w:r>
        <w:rPr>
          <w:rFonts w:hint="eastAsia" w:ascii="仿宋" w:hAnsi="仿宋" w:eastAsia="仿宋"/>
          <w:sz w:val="28"/>
        </w:rPr>
        <w:t>13.3 证明货物的合格性和符合磋商文件规定的文件应包括下列内容：</w:t>
      </w:r>
    </w:p>
    <w:p>
      <w:pPr>
        <w:pStyle w:val="26"/>
        <w:spacing w:line="360" w:lineRule="auto"/>
        <w:ind w:firstLine="560"/>
        <w:jc w:val="both"/>
        <w:rPr>
          <w:rFonts w:ascii="仿宋" w:hAnsi="仿宋" w:eastAsia="仿宋"/>
          <w:sz w:val="28"/>
        </w:rPr>
      </w:pPr>
      <w:r>
        <w:rPr>
          <w:rFonts w:hint="eastAsia" w:ascii="仿宋" w:hAnsi="仿宋" w:eastAsia="仿宋"/>
          <w:sz w:val="28"/>
        </w:rPr>
        <w:t>13.3.1 磋商货物的试（检）验报告、鉴定证书（复印件）；</w:t>
      </w:r>
    </w:p>
    <w:p>
      <w:pPr>
        <w:pStyle w:val="26"/>
        <w:spacing w:line="360" w:lineRule="auto"/>
        <w:ind w:firstLine="560"/>
        <w:jc w:val="both"/>
        <w:rPr>
          <w:rFonts w:ascii="仿宋" w:hAnsi="仿宋" w:eastAsia="仿宋"/>
          <w:sz w:val="28"/>
        </w:rPr>
      </w:pPr>
      <w:r>
        <w:rPr>
          <w:rFonts w:hint="eastAsia" w:ascii="仿宋" w:hAnsi="仿宋" w:eastAsia="仿宋"/>
          <w:sz w:val="28"/>
        </w:rPr>
        <w:t>13.3.2 执行的制造、验收标准；</w:t>
      </w:r>
    </w:p>
    <w:p>
      <w:pPr>
        <w:pStyle w:val="26"/>
        <w:spacing w:line="360" w:lineRule="auto"/>
        <w:ind w:firstLine="560"/>
        <w:jc w:val="both"/>
        <w:rPr>
          <w:rFonts w:ascii="仿宋" w:hAnsi="仿宋" w:eastAsia="仿宋"/>
          <w:sz w:val="28"/>
        </w:rPr>
      </w:pPr>
      <w:r>
        <w:rPr>
          <w:rFonts w:hint="eastAsia" w:ascii="仿宋" w:hAnsi="仿宋" w:eastAsia="仿宋"/>
          <w:sz w:val="28"/>
        </w:rPr>
        <w:t>13.3.3 荣获产品质量、生产管理等方面的荣誉证书（复印件）；</w:t>
      </w:r>
    </w:p>
    <w:p>
      <w:pPr>
        <w:pStyle w:val="26"/>
        <w:spacing w:line="360" w:lineRule="auto"/>
        <w:ind w:firstLine="560"/>
        <w:jc w:val="both"/>
        <w:rPr>
          <w:rFonts w:ascii="仿宋" w:hAnsi="仿宋" w:eastAsia="仿宋"/>
          <w:sz w:val="28"/>
        </w:rPr>
      </w:pPr>
      <w:r>
        <w:rPr>
          <w:rFonts w:hint="eastAsia" w:ascii="仿宋" w:hAnsi="仿宋" w:eastAsia="仿宋"/>
          <w:sz w:val="28"/>
        </w:rPr>
        <w:t>13.3.4 有关的产品样册、手册、图纸和资料；</w:t>
      </w:r>
    </w:p>
    <w:p>
      <w:pPr>
        <w:pStyle w:val="26"/>
        <w:spacing w:line="360" w:lineRule="auto"/>
        <w:ind w:firstLine="560"/>
        <w:jc w:val="both"/>
        <w:rPr>
          <w:rFonts w:ascii="仿宋" w:hAnsi="仿宋" w:eastAsia="仿宋"/>
          <w:sz w:val="28"/>
        </w:rPr>
      </w:pPr>
      <w:r>
        <w:rPr>
          <w:rFonts w:hint="eastAsia" w:ascii="仿宋" w:hAnsi="仿宋" w:eastAsia="仿宋"/>
          <w:sz w:val="28"/>
        </w:rPr>
        <w:t>13.3.5 供应商认为有必要提供的其它证明文件；</w:t>
      </w:r>
    </w:p>
    <w:p>
      <w:pPr>
        <w:pStyle w:val="26"/>
        <w:spacing w:line="360" w:lineRule="auto"/>
        <w:ind w:firstLine="560"/>
        <w:jc w:val="both"/>
        <w:rPr>
          <w:rFonts w:ascii="仿宋" w:hAnsi="仿宋" w:eastAsia="仿宋"/>
          <w:sz w:val="28"/>
        </w:rPr>
      </w:pPr>
      <w:r>
        <w:rPr>
          <w:rFonts w:hint="eastAsia" w:ascii="仿宋" w:hAnsi="仿宋" w:eastAsia="仿宋"/>
          <w:sz w:val="28"/>
        </w:rPr>
        <w:t>14. 响应文件的有效期</w:t>
      </w:r>
    </w:p>
    <w:p>
      <w:pPr>
        <w:pStyle w:val="26"/>
        <w:spacing w:line="360" w:lineRule="auto"/>
        <w:ind w:firstLine="560"/>
        <w:jc w:val="both"/>
        <w:rPr>
          <w:rFonts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6"/>
        <w:spacing w:line="360" w:lineRule="auto"/>
        <w:ind w:firstLine="560"/>
        <w:jc w:val="both"/>
        <w:rPr>
          <w:rFonts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6"/>
        <w:spacing w:line="360" w:lineRule="auto"/>
        <w:ind w:firstLine="560"/>
        <w:jc w:val="both"/>
        <w:rPr>
          <w:rFonts w:ascii="仿宋" w:hAnsi="仿宋" w:eastAsia="仿宋"/>
          <w:sz w:val="28"/>
        </w:rPr>
      </w:pPr>
      <w:r>
        <w:rPr>
          <w:rFonts w:hint="eastAsia" w:ascii="仿宋" w:hAnsi="仿宋" w:eastAsia="仿宋"/>
          <w:sz w:val="28"/>
        </w:rPr>
        <w:t>15. 响应文件的书写要求、签署及份数。</w:t>
      </w:r>
    </w:p>
    <w:p>
      <w:pPr>
        <w:pStyle w:val="26"/>
        <w:spacing w:line="360" w:lineRule="auto"/>
        <w:ind w:firstLine="560"/>
        <w:jc w:val="both"/>
        <w:rPr>
          <w:rFonts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15.6 供应商可根据磋商内容的具体需要自行编制其它文件一式4份分别纳入响应文件正副本中。</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15.7 响应文件的纸质版装订必须采用胶粘本，不允许任何活页形式装订（非胶粘方式装订的响应文件一律视同活页装订），活页方式装订视为磋商无效。</w:t>
      </w:r>
    </w:p>
    <w:p>
      <w:pPr>
        <w:pStyle w:val="26"/>
        <w:spacing w:line="360" w:lineRule="auto"/>
        <w:ind w:firstLine="560"/>
        <w:rPr>
          <w:rFonts w:ascii="仿宋" w:hAnsi="仿宋" w:eastAsia="仿宋"/>
          <w:sz w:val="28"/>
        </w:rPr>
      </w:pPr>
      <w:r>
        <w:rPr>
          <w:rFonts w:hint="eastAsia" w:ascii="仿宋" w:hAnsi="仿宋" w:eastAsia="仿宋"/>
          <w:sz w:val="28"/>
        </w:rPr>
        <w:t>16. 磋商保证金</w:t>
      </w:r>
    </w:p>
    <w:p>
      <w:pPr>
        <w:pStyle w:val="26"/>
        <w:spacing w:line="360" w:lineRule="auto"/>
        <w:ind w:firstLine="560"/>
        <w:rPr>
          <w:rFonts w:ascii="仿宋" w:hAnsi="仿宋" w:eastAsia="仿宋"/>
          <w:sz w:val="28"/>
        </w:rPr>
      </w:pPr>
      <w:r>
        <w:rPr>
          <w:rFonts w:hint="eastAsia" w:ascii="仿宋" w:hAnsi="仿宋" w:eastAsia="仿宋"/>
          <w:sz w:val="28"/>
        </w:rPr>
        <w:t>16.1磋商保证金金额见磋商须知前附表。</w:t>
      </w:r>
    </w:p>
    <w:p>
      <w:pPr>
        <w:pStyle w:val="26"/>
        <w:spacing w:line="360" w:lineRule="auto"/>
        <w:ind w:firstLine="560"/>
        <w:rPr>
          <w:rFonts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6"/>
        <w:spacing w:line="360" w:lineRule="auto"/>
        <w:ind w:firstLine="560"/>
        <w:rPr>
          <w:rFonts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6"/>
        <w:spacing w:line="360" w:lineRule="auto"/>
        <w:ind w:firstLine="560"/>
        <w:rPr>
          <w:rFonts w:ascii="仿宋" w:hAnsi="仿宋" w:eastAsia="仿宋"/>
          <w:sz w:val="28"/>
        </w:rPr>
      </w:pPr>
      <w:r>
        <w:rPr>
          <w:rFonts w:hint="eastAsia" w:ascii="仿宋" w:hAnsi="仿宋" w:eastAsia="仿宋"/>
          <w:sz w:val="28"/>
        </w:rPr>
        <w:t>16.4 磋商保证金的退还</w:t>
      </w:r>
    </w:p>
    <w:p>
      <w:pPr>
        <w:pStyle w:val="26"/>
        <w:spacing w:line="360" w:lineRule="auto"/>
        <w:ind w:firstLine="560"/>
        <w:rPr>
          <w:rFonts w:ascii="仿宋" w:hAnsi="仿宋" w:eastAsia="仿宋"/>
          <w:sz w:val="28"/>
        </w:rPr>
      </w:pPr>
      <w:r>
        <w:rPr>
          <w:rFonts w:hint="eastAsia" w:ascii="仿宋" w:hAnsi="仿宋" w:eastAsia="仿宋"/>
          <w:sz w:val="28"/>
        </w:rPr>
        <w:t>在该项目磋商公示期满后，五个工作日内退还原账户。</w:t>
      </w:r>
    </w:p>
    <w:p>
      <w:pPr>
        <w:pStyle w:val="26"/>
        <w:spacing w:line="360" w:lineRule="auto"/>
        <w:ind w:firstLine="560"/>
        <w:rPr>
          <w:rFonts w:ascii="仿宋" w:hAnsi="仿宋" w:eastAsia="仿宋"/>
          <w:sz w:val="28"/>
        </w:rPr>
      </w:pPr>
      <w:r>
        <w:rPr>
          <w:rFonts w:hint="eastAsia" w:ascii="仿宋" w:hAnsi="仿宋" w:eastAsia="仿宋"/>
          <w:sz w:val="28"/>
        </w:rPr>
        <w:t>16.5 发生以下情况磋商保证金可能被没收：</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16.5.1 如果供应商在磋商有效期内撤销响应文件；</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16.5.2 如果供应商串通磋商的；</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16.5.3 如果成交供应商未能做到：</w:t>
      </w:r>
    </w:p>
    <w:p>
      <w:pPr>
        <w:pStyle w:val="27"/>
        <w:spacing w:line="360" w:lineRule="auto"/>
        <w:ind w:firstLine="560"/>
        <w:rPr>
          <w:rFonts w:ascii="仿宋" w:hAnsi="仿宋" w:eastAsia="仿宋"/>
          <w:color w:val="000000"/>
        </w:rPr>
      </w:pPr>
      <w:r>
        <w:rPr>
          <w:rFonts w:hint="eastAsia" w:ascii="仿宋" w:hAnsi="仿宋" w:eastAsia="仿宋"/>
          <w:color w:val="000000"/>
        </w:rPr>
        <w:t>a. 按29条规定签定合同；</w:t>
      </w:r>
    </w:p>
    <w:p>
      <w:pPr>
        <w:pStyle w:val="27"/>
        <w:spacing w:line="360" w:lineRule="auto"/>
        <w:ind w:firstLine="560"/>
        <w:rPr>
          <w:rFonts w:ascii="仿宋" w:hAnsi="仿宋" w:eastAsia="仿宋"/>
          <w:color w:val="000000"/>
        </w:rPr>
      </w:pPr>
      <w:r>
        <w:rPr>
          <w:rFonts w:hint="eastAsia" w:ascii="仿宋" w:hAnsi="仿宋" w:eastAsia="仿宋"/>
          <w:color w:val="000000"/>
        </w:rPr>
        <w:t>b. 第32条有关缴纳成交服务费的规定；</w:t>
      </w:r>
    </w:p>
    <w:p>
      <w:pPr>
        <w:pStyle w:val="27"/>
        <w:spacing w:line="360" w:lineRule="auto"/>
        <w:ind w:firstLine="560"/>
        <w:rPr>
          <w:rFonts w:ascii="仿宋" w:hAnsi="仿宋" w:eastAsia="仿宋"/>
          <w:color w:val="000000"/>
        </w:rPr>
      </w:pPr>
      <w:r>
        <w:rPr>
          <w:rFonts w:hint="eastAsia" w:ascii="仿宋" w:hAnsi="仿宋" w:eastAsia="仿宋"/>
          <w:color w:val="000000"/>
        </w:rPr>
        <w:t>c. 按磋商文件要求提交合同履约保证金的。</w:t>
      </w:r>
    </w:p>
    <w:p>
      <w:pPr>
        <w:pStyle w:val="8"/>
        <w:spacing w:line="360" w:lineRule="auto"/>
      </w:pPr>
      <w:bookmarkStart w:id="27" w:name="_Toc56170383"/>
      <w:bookmarkStart w:id="28" w:name="_Toc61184626"/>
      <w:bookmarkStart w:id="29" w:name="_Toc26897"/>
      <w:r>
        <w:rPr>
          <w:rFonts w:hint="eastAsia"/>
        </w:rPr>
        <w:t>四、响应文件的递交</w:t>
      </w:r>
      <w:bookmarkEnd w:id="27"/>
      <w:bookmarkEnd w:id="28"/>
      <w:bookmarkEnd w:id="29"/>
    </w:p>
    <w:p>
      <w:pPr>
        <w:pStyle w:val="26"/>
        <w:spacing w:line="360" w:lineRule="auto"/>
        <w:ind w:firstLine="560"/>
        <w:jc w:val="both"/>
        <w:rPr>
          <w:rFonts w:ascii="仿宋" w:hAnsi="仿宋" w:eastAsia="仿宋"/>
          <w:sz w:val="28"/>
        </w:rPr>
      </w:pPr>
      <w:r>
        <w:rPr>
          <w:rFonts w:hint="eastAsia" w:ascii="仿宋" w:hAnsi="仿宋" w:eastAsia="仿宋"/>
          <w:sz w:val="28"/>
        </w:rPr>
        <w:t>17. 响应文件的密封与标记</w:t>
      </w:r>
    </w:p>
    <w:p>
      <w:pPr>
        <w:pStyle w:val="26"/>
        <w:spacing w:line="360" w:lineRule="auto"/>
        <w:ind w:firstLine="560"/>
        <w:jc w:val="both"/>
        <w:rPr>
          <w:rFonts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6"/>
        <w:spacing w:line="360" w:lineRule="auto"/>
        <w:ind w:firstLine="562"/>
        <w:jc w:val="both"/>
        <w:rPr>
          <w:rFonts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17.3 所有响应文件信袋封口处均应加贴封条，封条上应写明：</w:t>
      </w:r>
    </w:p>
    <w:p>
      <w:pPr>
        <w:pStyle w:val="26"/>
        <w:snapToGrid w:val="0"/>
        <w:spacing w:line="360" w:lineRule="auto"/>
        <w:ind w:firstLine="560" w:firstLineChars="200"/>
        <w:rPr>
          <w:rFonts w:ascii="仿宋" w:hAnsi="仿宋" w:eastAsia="仿宋"/>
          <w:sz w:val="28"/>
        </w:rPr>
      </w:pPr>
      <w:r>
        <w:rPr>
          <w:rFonts w:hint="eastAsia" w:ascii="仿宋" w:hAnsi="仿宋" w:eastAsia="仿宋"/>
          <w:sz w:val="28"/>
        </w:rPr>
        <w:t>⑴采购代理机构单位：中科高盛咨询集团有限公司</w:t>
      </w:r>
    </w:p>
    <w:p>
      <w:pPr>
        <w:pStyle w:val="26"/>
        <w:snapToGrid w:val="0"/>
        <w:spacing w:line="360" w:lineRule="auto"/>
        <w:ind w:firstLine="560" w:firstLineChars="200"/>
        <w:rPr>
          <w:rFonts w:ascii="仿宋" w:hAnsi="仿宋" w:eastAsia="仿宋"/>
          <w:sz w:val="28"/>
        </w:rPr>
      </w:pPr>
      <w:r>
        <w:rPr>
          <w:rFonts w:hint="eastAsia" w:ascii="仿宋" w:hAnsi="仿宋" w:eastAsia="仿宋"/>
          <w:sz w:val="28"/>
        </w:rPr>
        <w:t xml:space="preserve">⑵项目名称： </w:t>
      </w:r>
    </w:p>
    <w:p>
      <w:pPr>
        <w:pStyle w:val="26"/>
        <w:snapToGrid w:val="0"/>
        <w:spacing w:line="360" w:lineRule="auto"/>
        <w:ind w:firstLine="560" w:firstLineChars="200"/>
        <w:rPr>
          <w:rFonts w:ascii="仿宋" w:hAnsi="仿宋" w:eastAsia="仿宋"/>
          <w:sz w:val="28"/>
        </w:rPr>
      </w:pPr>
      <w:r>
        <w:rPr>
          <w:rFonts w:hint="eastAsia" w:ascii="仿宋" w:hAnsi="仿宋" w:eastAsia="仿宋"/>
          <w:sz w:val="28"/>
        </w:rPr>
        <w:t>⑶磋商编号：</w:t>
      </w:r>
    </w:p>
    <w:p>
      <w:pPr>
        <w:pStyle w:val="26"/>
        <w:snapToGrid w:val="0"/>
        <w:spacing w:line="360" w:lineRule="auto"/>
        <w:ind w:firstLine="560" w:firstLineChars="200"/>
        <w:rPr>
          <w:rFonts w:ascii="仿宋" w:hAnsi="仿宋" w:eastAsia="仿宋"/>
          <w:sz w:val="28"/>
        </w:rPr>
      </w:pPr>
      <w:r>
        <w:rPr>
          <w:rFonts w:hint="eastAsia" w:ascii="仿宋" w:hAnsi="仿宋" w:eastAsia="仿宋"/>
          <w:sz w:val="28"/>
        </w:rPr>
        <w:t>⑷磋商企业名称和地址：</w:t>
      </w:r>
    </w:p>
    <w:p>
      <w:pPr>
        <w:pStyle w:val="26"/>
        <w:snapToGrid w:val="0"/>
        <w:spacing w:line="360" w:lineRule="auto"/>
        <w:ind w:firstLine="560" w:firstLineChars="200"/>
        <w:rPr>
          <w:rFonts w:ascii="仿宋" w:hAnsi="仿宋" w:eastAsia="仿宋"/>
          <w:sz w:val="28"/>
        </w:rPr>
      </w:pPr>
      <w:r>
        <w:rPr>
          <w:rFonts w:hint="eastAsia" w:ascii="仿宋" w:hAnsi="仿宋" w:eastAsia="仿宋"/>
          <w:sz w:val="28"/>
        </w:rPr>
        <w:t>⑸注明“磋商截止时间前不准启封”，“正本”，“副本”。</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18. 响应文件递交的截止日期</w:t>
      </w:r>
    </w:p>
    <w:p>
      <w:pPr>
        <w:pStyle w:val="26"/>
        <w:spacing w:line="360" w:lineRule="auto"/>
        <w:ind w:firstLine="560" w:firstLineChars="200"/>
        <w:jc w:val="both"/>
        <w:rPr>
          <w:rFonts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6"/>
        <w:spacing w:line="360" w:lineRule="auto"/>
        <w:ind w:firstLine="560"/>
        <w:jc w:val="both"/>
        <w:rPr>
          <w:rFonts w:ascii="仿宋" w:hAnsi="仿宋" w:eastAsia="仿宋"/>
          <w:sz w:val="28"/>
        </w:rPr>
      </w:pPr>
      <w:r>
        <w:rPr>
          <w:rFonts w:hint="eastAsia" w:ascii="仿宋" w:hAnsi="仿宋" w:eastAsia="仿宋"/>
          <w:sz w:val="28"/>
        </w:rPr>
        <w:t>18.2 超过磋商文件规定的磋商截止时间送达的响应文件将不予接受。</w:t>
      </w:r>
    </w:p>
    <w:p>
      <w:pPr>
        <w:pStyle w:val="26"/>
        <w:spacing w:line="360" w:lineRule="auto"/>
        <w:ind w:firstLine="560"/>
        <w:jc w:val="both"/>
        <w:rPr>
          <w:rFonts w:ascii="仿宋" w:hAnsi="仿宋" w:eastAsia="仿宋"/>
          <w:sz w:val="28"/>
        </w:rPr>
      </w:pPr>
      <w:r>
        <w:rPr>
          <w:rFonts w:hint="eastAsia" w:ascii="仿宋" w:hAnsi="仿宋" w:eastAsia="仿宋"/>
          <w:sz w:val="28"/>
        </w:rPr>
        <w:t>19. 响应文件的修改、撤回和撤销</w:t>
      </w:r>
    </w:p>
    <w:p>
      <w:pPr>
        <w:pStyle w:val="28"/>
        <w:spacing w:before="156" w:line="360" w:lineRule="auto"/>
        <w:ind w:firstLine="560"/>
        <w:rPr>
          <w:rFonts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8"/>
        <w:spacing w:before="156" w:line="360" w:lineRule="auto"/>
        <w:ind w:firstLine="560"/>
        <w:rPr>
          <w:rFonts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8"/>
        <w:spacing w:before="156" w:line="360" w:lineRule="auto"/>
        <w:ind w:firstLine="560"/>
        <w:rPr>
          <w:rFonts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8"/>
        <w:spacing w:before="156" w:line="360" w:lineRule="auto"/>
        <w:ind w:firstLine="560"/>
        <w:jc w:val="both"/>
        <w:rPr>
          <w:rFonts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8"/>
        <w:spacing w:line="360" w:lineRule="auto"/>
        <w:ind w:firstLine="560"/>
        <w:jc w:val="both"/>
        <w:rPr>
          <w:rFonts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8"/>
        <w:spacing w:line="360" w:lineRule="auto"/>
        <w:ind w:firstLine="560"/>
        <w:jc w:val="both"/>
        <w:rPr>
          <w:rFonts w:ascii="仿宋" w:hAnsi="仿宋" w:eastAsia="仿宋"/>
          <w:sz w:val="28"/>
        </w:rPr>
      </w:pPr>
      <w:r>
        <w:rPr>
          <w:rFonts w:hint="eastAsia" w:ascii="仿宋" w:hAnsi="仿宋" w:eastAsia="仿宋"/>
          <w:sz w:val="28"/>
        </w:rPr>
        <w:t>⑴ 不同供应商的响应文件由同一单位或者个人编制;</w:t>
      </w:r>
    </w:p>
    <w:p>
      <w:pPr>
        <w:pStyle w:val="28"/>
        <w:spacing w:line="360" w:lineRule="auto"/>
        <w:ind w:firstLine="560"/>
        <w:jc w:val="both"/>
        <w:rPr>
          <w:rFonts w:ascii="仿宋" w:hAnsi="仿宋" w:eastAsia="仿宋"/>
          <w:sz w:val="28"/>
        </w:rPr>
      </w:pPr>
      <w:r>
        <w:rPr>
          <w:rFonts w:hint="eastAsia" w:ascii="仿宋" w:hAnsi="仿宋" w:eastAsia="仿宋"/>
          <w:sz w:val="28"/>
        </w:rPr>
        <w:t>⑵ 不同供应商委托同一单位或者个人办理磋商事宜;</w:t>
      </w:r>
    </w:p>
    <w:p>
      <w:pPr>
        <w:pStyle w:val="28"/>
        <w:spacing w:line="360" w:lineRule="auto"/>
        <w:ind w:firstLine="560"/>
        <w:jc w:val="both"/>
        <w:rPr>
          <w:rFonts w:ascii="仿宋" w:hAnsi="仿宋" w:eastAsia="仿宋"/>
          <w:sz w:val="28"/>
        </w:rPr>
      </w:pPr>
      <w:r>
        <w:rPr>
          <w:rFonts w:hint="eastAsia" w:ascii="仿宋" w:hAnsi="仿宋" w:eastAsia="仿宋"/>
          <w:sz w:val="28"/>
        </w:rPr>
        <w:t>⑶ 不同供应商的响应文件载明的项目管理成员或者联系人员为同一人;</w:t>
      </w:r>
    </w:p>
    <w:p>
      <w:pPr>
        <w:pStyle w:val="28"/>
        <w:spacing w:line="360" w:lineRule="auto"/>
        <w:ind w:firstLine="560"/>
        <w:jc w:val="both"/>
        <w:rPr>
          <w:rFonts w:ascii="仿宋" w:hAnsi="仿宋" w:eastAsia="仿宋"/>
          <w:sz w:val="28"/>
        </w:rPr>
      </w:pPr>
      <w:r>
        <w:rPr>
          <w:rFonts w:hint="eastAsia" w:ascii="仿宋" w:hAnsi="仿宋" w:eastAsia="仿宋"/>
          <w:sz w:val="28"/>
        </w:rPr>
        <w:t>⑷ 不同供应商的响应文件异常一致或者磋商报价呈规律性差异;</w:t>
      </w:r>
    </w:p>
    <w:p>
      <w:pPr>
        <w:pStyle w:val="28"/>
        <w:spacing w:line="360" w:lineRule="auto"/>
        <w:ind w:firstLine="560"/>
        <w:jc w:val="both"/>
        <w:rPr>
          <w:rFonts w:ascii="仿宋" w:hAnsi="仿宋" w:eastAsia="仿宋"/>
          <w:sz w:val="28"/>
        </w:rPr>
      </w:pPr>
      <w:r>
        <w:rPr>
          <w:rFonts w:hint="eastAsia" w:ascii="仿宋" w:hAnsi="仿宋" w:eastAsia="仿宋"/>
          <w:sz w:val="28"/>
        </w:rPr>
        <w:t>⑸ 不同供应商的响应文件相互混装;</w:t>
      </w:r>
    </w:p>
    <w:p>
      <w:pPr>
        <w:pStyle w:val="28"/>
        <w:spacing w:line="360" w:lineRule="auto"/>
        <w:ind w:firstLine="560"/>
        <w:jc w:val="both"/>
        <w:rPr>
          <w:rFonts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8"/>
        <w:spacing w:line="360" w:lineRule="auto"/>
      </w:pPr>
      <w:bookmarkStart w:id="30" w:name="_Toc61184627"/>
      <w:bookmarkStart w:id="31" w:name="_Toc30907"/>
      <w:bookmarkStart w:id="32" w:name="_Toc56170384"/>
      <w:r>
        <w:rPr>
          <w:rFonts w:hint="eastAsia"/>
        </w:rPr>
        <w:t>五、磋商</w:t>
      </w:r>
      <w:bookmarkEnd w:id="30"/>
      <w:bookmarkEnd w:id="31"/>
      <w:bookmarkEnd w:id="32"/>
    </w:p>
    <w:p>
      <w:pPr>
        <w:pStyle w:val="28"/>
        <w:spacing w:line="360" w:lineRule="auto"/>
        <w:ind w:firstLine="560"/>
        <w:jc w:val="both"/>
        <w:rPr>
          <w:rFonts w:ascii="仿宋" w:hAnsi="仿宋" w:eastAsia="仿宋"/>
          <w:sz w:val="28"/>
        </w:rPr>
      </w:pPr>
      <w:r>
        <w:rPr>
          <w:rFonts w:hint="eastAsia" w:ascii="仿宋" w:hAnsi="仿宋" w:eastAsia="仿宋"/>
          <w:sz w:val="28"/>
        </w:rPr>
        <w:t>21. 磋商</w:t>
      </w:r>
    </w:p>
    <w:p>
      <w:pPr>
        <w:pStyle w:val="26"/>
        <w:spacing w:line="360" w:lineRule="auto"/>
        <w:ind w:left="1" w:firstLine="562" w:firstLineChars="201"/>
        <w:jc w:val="both"/>
        <w:rPr>
          <w:rFonts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6"/>
        <w:spacing w:line="360" w:lineRule="auto"/>
        <w:ind w:firstLine="560"/>
        <w:jc w:val="both"/>
        <w:rPr>
          <w:rFonts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rPr>
        <w:t>磋商须知前附表中第六款中要求的资格证明文件，以备采购人对其资格进行审查。</w:t>
      </w:r>
    </w:p>
    <w:p>
      <w:pPr>
        <w:pStyle w:val="26"/>
        <w:spacing w:line="360" w:lineRule="auto"/>
        <w:ind w:firstLine="560"/>
        <w:jc w:val="both"/>
        <w:rPr>
          <w:rFonts w:ascii="仿宋" w:hAnsi="仿宋" w:eastAsia="仿宋"/>
          <w:sz w:val="28"/>
        </w:rPr>
      </w:pPr>
      <w:r>
        <w:rPr>
          <w:rFonts w:hint="eastAsia" w:ascii="仿宋" w:hAnsi="仿宋" w:eastAsia="仿宋"/>
          <w:b/>
          <w:bCs/>
          <w:sz w:val="28"/>
        </w:rPr>
        <w:t>21.3 依据《政府采购非招标采购方式管理办法》（财政部74号令）的规定，竞争性磋商项目不举行开标会及唱标环节。</w:t>
      </w:r>
    </w:p>
    <w:p>
      <w:pPr>
        <w:pStyle w:val="26"/>
        <w:spacing w:line="360" w:lineRule="auto"/>
        <w:ind w:firstLine="560"/>
        <w:jc w:val="both"/>
        <w:rPr>
          <w:rFonts w:ascii="仿宋" w:hAnsi="仿宋" w:eastAsia="仿宋"/>
          <w:sz w:val="28"/>
        </w:rPr>
      </w:pPr>
    </w:p>
    <w:p>
      <w:pPr>
        <w:pStyle w:val="8"/>
        <w:spacing w:line="360" w:lineRule="auto"/>
      </w:pPr>
      <w:bookmarkStart w:id="33" w:name="_Toc61184628"/>
      <w:bookmarkStart w:id="34" w:name="_Toc22021"/>
      <w:bookmarkStart w:id="35" w:name="_Toc56170385"/>
      <w:r>
        <w:rPr>
          <w:rFonts w:hint="eastAsia"/>
        </w:rPr>
        <w:t>六、资格审查</w:t>
      </w:r>
      <w:bookmarkEnd w:id="33"/>
      <w:bookmarkEnd w:id="34"/>
      <w:bookmarkEnd w:id="35"/>
    </w:p>
    <w:p>
      <w:pPr>
        <w:pStyle w:val="26"/>
        <w:spacing w:line="360" w:lineRule="auto"/>
        <w:ind w:firstLine="561"/>
        <w:rPr>
          <w:rFonts w:ascii="仿宋" w:hAnsi="仿宋" w:eastAsia="仿宋"/>
          <w:b/>
          <w:bCs/>
          <w:sz w:val="28"/>
        </w:rPr>
      </w:pPr>
      <w:r>
        <w:rPr>
          <w:rFonts w:hint="eastAsia" w:ascii="仿宋" w:hAnsi="仿宋" w:eastAsia="仿宋"/>
          <w:b/>
          <w:bCs/>
          <w:sz w:val="28"/>
        </w:rPr>
        <w:t>22. 资格审查</w:t>
      </w:r>
    </w:p>
    <w:p>
      <w:pPr>
        <w:pStyle w:val="26"/>
        <w:spacing w:line="360" w:lineRule="auto"/>
        <w:ind w:firstLine="561"/>
        <w:rPr>
          <w:rFonts w:ascii="仿宋" w:hAnsi="仿宋" w:eastAsia="仿宋"/>
          <w:b/>
          <w:bCs/>
          <w:sz w:val="28"/>
        </w:rPr>
      </w:pPr>
      <w:r>
        <w:rPr>
          <w:rFonts w:hint="eastAsia" w:ascii="仿宋" w:hAnsi="仿宋" w:eastAsia="仿宋"/>
          <w:b/>
          <w:bCs/>
          <w:sz w:val="28"/>
        </w:rPr>
        <w:t>22.1 结束后，采购人按照本章第8.1.1条中规定的内容对各供应商的响应文件进行资格审查。资格审查不合格的，其磋商无效。</w:t>
      </w:r>
    </w:p>
    <w:p>
      <w:pPr>
        <w:pStyle w:val="26"/>
        <w:spacing w:line="360" w:lineRule="auto"/>
        <w:ind w:firstLine="561"/>
        <w:rPr>
          <w:rFonts w:ascii="仿宋" w:hAnsi="仿宋" w:eastAsia="仿宋"/>
          <w:sz w:val="28"/>
        </w:rPr>
      </w:pPr>
      <w:r>
        <w:rPr>
          <w:rFonts w:hint="eastAsia" w:ascii="仿宋" w:hAnsi="仿宋" w:eastAsia="仿宋"/>
          <w:b/>
          <w:bCs/>
          <w:sz w:val="28"/>
        </w:rPr>
        <w:t>22.2 合格供应商不足三家的，不进行磋商。</w:t>
      </w:r>
    </w:p>
    <w:p>
      <w:pPr>
        <w:pStyle w:val="8"/>
        <w:spacing w:line="360" w:lineRule="auto"/>
      </w:pPr>
      <w:bookmarkStart w:id="36" w:name="_Toc3968"/>
      <w:bookmarkStart w:id="37" w:name="_Toc61184629"/>
      <w:bookmarkStart w:id="38" w:name="_Toc56170386"/>
      <w:r>
        <w:rPr>
          <w:rFonts w:hint="eastAsia"/>
        </w:rPr>
        <w:t>七、磋商和定标</w:t>
      </w:r>
      <w:bookmarkEnd w:id="36"/>
      <w:bookmarkEnd w:id="37"/>
      <w:bookmarkEnd w:id="38"/>
    </w:p>
    <w:p>
      <w:pPr>
        <w:pStyle w:val="26"/>
        <w:spacing w:line="360" w:lineRule="auto"/>
        <w:ind w:firstLine="560"/>
        <w:jc w:val="both"/>
        <w:rPr>
          <w:rFonts w:ascii="仿宋" w:hAnsi="仿宋" w:eastAsia="仿宋"/>
          <w:sz w:val="28"/>
        </w:rPr>
      </w:pPr>
      <w:r>
        <w:rPr>
          <w:rFonts w:hint="eastAsia" w:ascii="仿宋" w:hAnsi="仿宋" w:eastAsia="仿宋"/>
          <w:sz w:val="28"/>
        </w:rPr>
        <w:t>23. 磋商原则</w:t>
      </w:r>
    </w:p>
    <w:p>
      <w:pPr>
        <w:pStyle w:val="26"/>
        <w:spacing w:line="360" w:lineRule="auto"/>
        <w:ind w:firstLine="560"/>
        <w:jc w:val="both"/>
        <w:rPr>
          <w:rFonts w:ascii="仿宋" w:hAnsi="仿宋" w:eastAsia="仿宋"/>
          <w:sz w:val="28"/>
        </w:rPr>
      </w:pPr>
      <w:r>
        <w:rPr>
          <w:rFonts w:hint="eastAsia" w:ascii="仿宋" w:hAnsi="仿宋" w:eastAsia="仿宋"/>
          <w:sz w:val="28"/>
        </w:rPr>
        <w:t>23.1 本项目的磋商遵循公平、公正、科学、择优的原则。</w:t>
      </w:r>
    </w:p>
    <w:p>
      <w:pPr>
        <w:pStyle w:val="26"/>
        <w:spacing w:line="360" w:lineRule="auto"/>
        <w:ind w:firstLine="560"/>
        <w:jc w:val="both"/>
        <w:rPr>
          <w:rFonts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6"/>
        <w:spacing w:line="360" w:lineRule="auto"/>
        <w:ind w:firstLine="560"/>
        <w:jc w:val="both"/>
        <w:rPr>
          <w:rFonts w:ascii="仿宋" w:hAnsi="仿宋" w:eastAsia="仿宋"/>
          <w:sz w:val="28"/>
        </w:rPr>
      </w:pPr>
      <w:r>
        <w:rPr>
          <w:rFonts w:hint="eastAsia" w:ascii="仿宋" w:hAnsi="仿宋" w:eastAsia="仿宋"/>
          <w:sz w:val="28"/>
        </w:rPr>
        <w:t>23.3 不徇私情，不明招暗定。</w:t>
      </w:r>
    </w:p>
    <w:p>
      <w:pPr>
        <w:pStyle w:val="26"/>
        <w:spacing w:line="360" w:lineRule="auto"/>
        <w:ind w:firstLine="560"/>
        <w:jc w:val="both"/>
        <w:rPr>
          <w:rFonts w:ascii="仿宋" w:hAnsi="仿宋" w:eastAsia="仿宋"/>
          <w:sz w:val="28"/>
        </w:rPr>
      </w:pPr>
      <w:r>
        <w:rPr>
          <w:rFonts w:hint="eastAsia" w:ascii="仿宋" w:hAnsi="仿宋" w:eastAsia="仿宋"/>
          <w:sz w:val="28"/>
        </w:rPr>
        <w:t>23.4 资格审查合格的供应商，均有同等机会参加竞争。</w:t>
      </w:r>
    </w:p>
    <w:p>
      <w:pPr>
        <w:pStyle w:val="26"/>
        <w:spacing w:line="360" w:lineRule="auto"/>
        <w:ind w:firstLine="560"/>
        <w:jc w:val="both"/>
        <w:rPr>
          <w:rFonts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6"/>
        <w:spacing w:line="360" w:lineRule="auto"/>
        <w:ind w:firstLine="560"/>
        <w:jc w:val="both"/>
        <w:rPr>
          <w:rFonts w:ascii="仿宋" w:hAnsi="仿宋" w:eastAsia="仿宋"/>
          <w:sz w:val="28"/>
        </w:rPr>
      </w:pPr>
      <w:r>
        <w:rPr>
          <w:rFonts w:hint="eastAsia" w:ascii="仿宋" w:hAnsi="仿宋" w:eastAsia="仿宋"/>
          <w:sz w:val="28"/>
        </w:rPr>
        <w:t>24. 磋商方法</w:t>
      </w:r>
    </w:p>
    <w:p>
      <w:pPr>
        <w:pStyle w:val="26"/>
        <w:spacing w:line="360" w:lineRule="auto"/>
        <w:ind w:firstLine="560"/>
        <w:jc w:val="both"/>
        <w:rPr>
          <w:rFonts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6"/>
        <w:spacing w:line="360" w:lineRule="auto"/>
        <w:ind w:firstLine="560"/>
        <w:jc w:val="both"/>
        <w:rPr>
          <w:rFonts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6"/>
        <w:spacing w:line="360" w:lineRule="auto"/>
        <w:ind w:firstLine="560"/>
        <w:jc w:val="both"/>
        <w:rPr>
          <w:rFonts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6"/>
        <w:spacing w:line="360" w:lineRule="auto"/>
        <w:ind w:firstLine="560"/>
        <w:jc w:val="both"/>
        <w:rPr>
          <w:rFonts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6"/>
        <w:spacing w:line="360" w:lineRule="auto"/>
        <w:ind w:firstLine="562"/>
        <w:jc w:val="both"/>
        <w:rPr>
          <w:rFonts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6"/>
        <w:spacing w:line="360" w:lineRule="auto"/>
        <w:ind w:firstLine="562"/>
        <w:jc w:val="both"/>
        <w:rPr>
          <w:rFonts w:ascii="仿宋" w:hAnsi="仿宋" w:eastAsia="仿宋"/>
          <w:sz w:val="28"/>
        </w:rPr>
      </w:pPr>
      <w:r>
        <w:rPr>
          <w:rFonts w:hint="eastAsia" w:ascii="仿宋" w:hAnsi="仿宋" w:eastAsia="仿宋"/>
          <w:sz w:val="28"/>
        </w:rPr>
        <w:t>24.5.1 只有通过符合性审查的响应文件才可进入详细评审阶段。</w:t>
      </w:r>
    </w:p>
    <w:p>
      <w:pPr>
        <w:pStyle w:val="26"/>
        <w:spacing w:line="360" w:lineRule="auto"/>
        <w:ind w:firstLine="562"/>
        <w:jc w:val="both"/>
        <w:rPr>
          <w:rFonts w:ascii="仿宋" w:hAnsi="仿宋" w:eastAsia="仿宋"/>
          <w:sz w:val="28"/>
        </w:rPr>
      </w:pPr>
      <w:r>
        <w:rPr>
          <w:rFonts w:hint="eastAsia" w:ascii="仿宋" w:hAnsi="仿宋" w:eastAsia="仿宋"/>
          <w:sz w:val="28"/>
        </w:rPr>
        <w:t>24.5.2 详细评审分为商务评审（含磋商报价得分计算）和技术评审两个部分。</w:t>
      </w:r>
    </w:p>
    <w:p>
      <w:pPr>
        <w:pStyle w:val="26"/>
        <w:spacing w:line="360" w:lineRule="auto"/>
        <w:ind w:firstLine="560"/>
        <w:jc w:val="both"/>
        <w:rPr>
          <w:rFonts w:ascii="仿宋" w:hAnsi="仿宋" w:eastAsia="仿宋"/>
          <w:sz w:val="28"/>
        </w:rPr>
      </w:pPr>
      <w:r>
        <w:rPr>
          <w:rFonts w:hint="eastAsia" w:ascii="仿宋" w:hAnsi="仿宋" w:eastAsia="仿宋"/>
          <w:sz w:val="28"/>
        </w:rPr>
        <w:t>24.6 符合性审查</w:t>
      </w:r>
    </w:p>
    <w:p>
      <w:pPr>
        <w:pStyle w:val="26"/>
        <w:spacing w:line="360" w:lineRule="auto"/>
        <w:ind w:firstLine="560"/>
        <w:jc w:val="both"/>
        <w:rPr>
          <w:rFonts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6"/>
        <w:spacing w:line="360" w:lineRule="auto"/>
        <w:ind w:firstLine="560" w:firstLineChars="200"/>
        <w:jc w:val="both"/>
        <w:rPr>
          <w:rFonts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7"/>
        <w:spacing w:line="360" w:lineRule="auto"/>
        <w:ind w:firstLine="560"/>
        <w:rPr>
          <w:rFonts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9"/>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 详细评审</w:t>
      </w:r>
    </w:p>
    <w:p>
      <w:pPr>
        <w:pStyle w:val="29"/>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9"/>
        <w:spacing w:line="360" w:lineRule="auto"/>
        <w:ind w:firstLine="560"/>
        <w:jc w:val="left"/>
        <w:rPr>
          <w:rFonts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9"/>
        <w:spacing w:line="360" w:lineRule="auto"/>
        <w:ind w:firstLine="560"/>
        <w:jc w:val="both"/>
        <w:rPr>
          <w:rFonts w:ascii="仿宋" w:hAnsi="仿宋" w:eastAsia="仿宋"/>
          <w:b w:val="0"/>
          <w:color w:val="000000"/>
          <w:sz w:val="28"/>
        </w:rPr>
      </w:pPr>
      <w:r>
        <w:rPr>
          <w:rFonts w:hint="eastAsia" w:ascii="仿宋" w:hAnsi="仿宋" w:eastAsia="仿宋"/>
          <w:b w:val="0"/>
          <w:color w:val="000000"/>
          <w:sz w:val="28"/>
        </w:rPr>
        <w:t>具体分值见下表：</w:t>
      </w:r>
    </w:p>
    <w:p>
      <w:pPr>
        <w:pStyle w:val="29"/>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20"/>
        <w:tblpPr w:leftFromText="180" w:rightFromText="180" w:vertAnchor="text" w:horzAnchor="page" w:tblpXSpec="center" w:tblpY="5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97" w:type="dxa"/>
            <w:vMerge w:val="restart"/>
            <w:tcBorders>
              <w:top w:val="single" w:color="auto" w:sz="4" w:space="0"/>
              <w:left w:val="single" w:color="auto" w:sz="4" w:space="0"/>
              <w:bottom w:val="single" w:color="auto" w:sz="4" w:space="0"/>
              <w:right w:val="single" w:color="auto" w:sz="4" w:space="0"/>
            </w:tcBorders>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97" w:type="dxa"/>
            <w:vMerge w:val="continue"/>
            <w:tcBorders>
              <w:left w:val="single" w:color="auto" w:sz="4" w:space="0"/>
              <w:right w:val="single" w:color="auto" w:sz="4" w:space="0"/>
            </w:tcBorders>
            <w:vAlign w:val="center"/>
          </w:tcPr>
          <w:p>
            <w:pPr>
              <w:pStyle w:val="34"/>
              <w:spacing w:line="360" w:lineRule="auto"/>
              <w:rPr>
                <w:rFonts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rPr>
                <w:rFonts w:ascii="仿宋" w:hAnsi="仿宋" w:eastAsia="仿宋"/>
                <w:b w:val="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jc w:val="left"/>
              <w:rPr>
                <w:rFonts w:ascii="仿宋" w:hAnsi="仿宋" w:eastAsia="仿宋"/>
                <w:b w:val="0"/>
                <w:kern w:val="0"/>
                <w:sz w:val="24"/>
                <w:szCs w:val="24"/>
              </w:rPr>
            </w:pPr>
            <w:r>
              <w:rPr>
                <w:rFonts w:hint="eastAsia" w:ascii="仿宋" w:hAnsi="仿宋" w:eastAsia="仿宋"/>
                <w:b w:val="0"/>
                <w:kern w:val="0"/>
                <w:sz w:val="24"/>
                <w:szCs w:val="24"/>
              </w:rPr>
              <w:t>生产厂家业绩（2019年1月1日至今），每项1分，最多</w:t>
            </w:r>
            <w:r>
              <w:rPr>
                <w:rFonts w:hint="eastAsia" w:ascii="仿宋" w:hAnsi="仿宋" w:eastAsia="仿宋"/>
                <w:b w:val="0"/>
                <w:kern w:val="0"/>
                <w:sz w:val="24"/>
                <w:szCs w:val="24"/>
                <w:lang w:val="en-US" w:eastAsia="zh-CN"/>
              </w:rPr>
              <w:t>得</w:t>
            </w:r>
            <w:r>
              <w:rPr>
                <w:rFonts w:hint="eastAsia" w:ascii="仿宋" w:hAnsi="仿宋" w:eastAsia="仿宋"/>
                <w:b w:val="0"/>
                <w:kern w:val="0"/>
                <w:sz w:val="24"/>
                <w:szCs w:val="24"/>
              </w:rPr>
              <w:t>8分。</w:t>
            </w:r>
          </w:p>
          <w:p>
            <w:pPr>
              <w:pStyle w:val="29"/>
              <w:snapToGrid w:val="0"/>
              <w:spacing w:line="360" w:lineRule="auto"/>
              <w:ind w:firstLine="0" w:firstLineChars="0"/>
              <w:jc w:val="left"/>
              <w:rPr>
                <w:rFonts w:ascii="仿宋" w:hAnsi="仿宋" w:eastAsia="仿宋"/>
                <w:b w:val="0"/>
                <w:kern w:val="0"/>
                <w:sz w:val="24"/>
                <w:szCs w:val="24"/>
              </w:rPr>
            </w:pPr>
            <w:r>
              <w:rPr>
                <w:rFonts w:hint="eastAsia" w:ascii="仿宋" w:hAnsi="仿宋" w:eastAsia="仿宋"/>
                <w:b w:val="0"/>
                <w:kern w:val="0"/>
                <w:sz w:val="24"/>
                <w:szCs w:val="24"/>
              </w:rPr>
              <w:t>以合同或者成交通知书为准，未提供证明资料或无效的，不计分。</w:t>
            </w:r>
          </w:p>
        </w:tc>
      </w:tr>
    </w:tbl>
    <w:p>
      <w:pPr>
        <w:pStyle w:val="29"/>
        <w:spacing w:beforeLines="50"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20"/>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ascii="仿宋" w:hAnsi="仿宋" w:eastAsia="仿宋" w:cs="宋体"/>
                <w:kern w:val="0"/>
                <w:sz w:val="24"/>
                <w:szCs w:val="24"/>
              </w:rPr>
            </w:pPr>
            <w:r>
              <w:rPr>
                <w:rFonts w:hint="eastAsia" w:ascii="仿宋" w:hAnsi="仿宋" w:eastAsia="仿宋" w:cs="宋体"/>
                <w:b/>
                <w:bCs/>
                <w:kern w:val="0"/>
                <w:sz w:val="24"/>
                <w:szCs w:val="24"/>
              </w:rPr>
              <w:t>星号</w:t>
            </w:r>
            <w:r>
              <w:rPr>
                <w:rFonts w:hint="eastAsia" w:ascii="仿宋" w:hAnsi="仿宋" w:eastAsia="仿宋"/>
                <w:b/>
                <w:color w:val="000000"/>
                <w:sz w:val="22"/>
                <w:szCs w:val="22"/>
              </w:rPr>
              <w:t>“</w:t>
            </w:r>
            <w:r>
              <w:rPr>
                <w:rFonts w:hint="eastAsia" w:ascii="仿宋" w:hAnsi="仿宋" w:eastAsia="仿宋" w:cs="仿宋"/>
                <w:sz w:val="22"/>
                <w:szCs w:val="22"/>
              </w:rPr>
              <w:t>★</w:t>
            </w:r>
            <w:r>
              <w:rPr>
                <w:rFonts w:hint="eastAsia" w:ascii="仿宋" w:hAnsi="仿宋" w:eastAsia="仿宋"/>
                <w:b/>
                <w:color w:val="000000"/>
                <w:sz w:val="22"/>
                <w:szCs w:val="22"/>
              </w:rPr>
              <w:t>”</w:t>
            </w:r>
            <w:r>
              <w:rPr>
                <w:rFonts w:hint="eastAsia" w:ascii="仿宋" w:hAnsi="仿宋" w:eastAsia="仿宋" w:cs="宋体"/>
                <w:b/>
                <w:bCs/>
                <w:kern w:val="0"/>
                <w:sz w:val="24"/>
                <w:szCs w:val="24"/>
              </w:rPr>
              <w:t>技术条款（如有）为不可偏离项，如有偏离按未对招标文件进行实质性响应处理。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vAlign w:val="center"/>
          </w:tcPr>
          <w:p>
            <w:pPr>
              <w:pStyle w:val="34"/>
              <w:snapToGrid w:val="0"/>
              <w:spacing w:line="360" w:lineRule="auto"/>
              <w:rPr>
                <w:rFonts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根据所投产品的可靠性、稳定性打分，优：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根据所投产品的可操作、可维护性打分，优：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vAlign w:val="center"/>
          </w:tcPr>
          <w:p>
            <w:pPr>
              <w:pStyle w:val="34"/>
              <w:snapToGrid w:val="0"/>
              <w:spacing w:line="360" w:lineRule="auto"/>
              <w:rPr>
                <w:rFonts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根据所投产品的</w:t>
            </w:r>
            <w:r>
              <w:rPr>
                <w:rFonts w:hint="eastAsia" w:ascii="仿宋" w:hAnsi="仿宋" w:eastAsia="仿宋"/>
                <w:sz w:val="24"/>
                <w:szCs w:val="24"/>
              </w:rPr>
              <w:t>技术先进性、实用性打分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本项目将对小型和微型企业产品的价格给予</w:t>
      </w:r>
      <w:r>
        <w:rPr>
          <w:rFonts w:hint="eastAsia" w:ascii="仿宋" w:hAnsi="仿宋" w:eastAsia="仿宋"/>
          <w:color w:val="000000"/>
          <w:sz w:val="28"/>
          <w:lang w:val="en-US" w:eastAsia="zh-CN"/>
        </w:rPr>
        <w:t>10</w:t>
      </w:r>
      <w:r>
        <w:rPr>
          <w:rFonts w:hint="eastAsia" w:ascii="仿宋" w:hAnsi="仿宋" w:eastAsia="仿宋"/>
          <w:color w:val="000000"/>
          <w:sz w:val="28"/>
        </w:rPr>
        <w:t>%的扣除，用扣除后的价格参与评审打分。</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w:t>
      </w:r>
      <w:r>
        <w:rPr>
          <w:rFonts w:hint="eastAsia" w:ascii="仿宋" w:hAnsi="仿宋" w:eastAsia="仿宋" w:cs="仿宋_GB2312"/>
          <w:color w:val="000000"/>
          <w:sz w:val="28"/>
          <w:szCs w:val="28"/>
          <w:lang w:val="en-US" w:eastAsia="zh-CN"/>
        </w:rPr>
        <w:t>10</w:t>
      </w:r>
      <w:r>
        <w:rPr>
          <w:rFonts w:hint="eastAsia" w:ascii="仿宋" w:hAnsi="仿宋" w:eastAsia="仿宋" w:cs="仿宋_GB2312"/>
          <w:color w:val="000000"/>
          <w:sz w:val="28"/>
          <w:szCs w:val="28"/>
        </w:rPr>
        <w:t>%）+供应商报价中不属于小型和微型企业产品的价格部分；否则，其磋商价=磋商报价。</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w:t>
      </w:r>
      <w:r>
        <w:rPr>
          <w:rFonts w:hint="eastAsia" w:ascii="仿宋" w:hAnsi="仿宋" w:eastAsia="仿宋"/>
          <w:color w:val="000000"/>
          <w:sz w:val="28"/>
          <w:lang w:val="en-US" w:eastAsia="zh-CN"/>
        </w:rPr>
        <w:t>10</w:t>
      </w:r>
      <w:r>
        <w:rPr>
          <w:rFonts w:hint="eastAsia" w:ascii="仿宋" w:hAnsi="仿宋" w:eastAsia="仿宋"/>
          <w:color w:val="000000"/>
          <w:sz w:val="28"/>
        </w:rPr>
        <w:t>%的扣除，用扣除后的价格参与价格分的评审。</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6"/>
        <w:spacing w:line="360" w:lineRule="auto"/>
        <w:ind w:firstLine="560" w:firstLineChars="200"/>
        <w:jc w:val="both"/>
        <w:rPr>
          <w:rFonts w:ascii="仿宋" w:hAnsi="仿宋" w:eastAsia="仿宋"/>
          <w:kern w:val="2"/>
          <w:sz w:val="28"/>
        </w:rPr>
      </w:pPr>
      <w:r>
        <w:rPr>
          <w:rFonts w:hint="eastAsia" w:ascii="仿宋" w:hAnsi="仿宋" w:eastAsia="仿宋"/>
          <w:kern w:val="2"/>
          <w:sz w:val="28"/>
        </w:rPr>
        <w:t>27. 成交通知</w:t>
      </w:r>
    </w:p>
    <w:p>
      <w:pPr>
        <w:pStyle w:val="26"/>
        <w:spacing w:line="360" w:lineRule="auto"/>
        <w:ind w:firstLine="560" w:firstLineChars="200"/>
        <w:jc w:val="both"/>
        <w:rPr>
          <w:rFonts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6"/>
        <w:spacing w:line="360" w:lineRule="auto"/>
        <w:ind w:firstLine="560" w:firstLineChars="200"/>
        <w:jc w:val="both"/>
        <w:rPr>
          <w:rFonts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6"/>
        <w:spacing w:line="360" w:lineRule="auto"/>
        <w:ind w:firstLine="560" w:firstLineChars="200"/>
        <w:jc w:val="both"/>
        <w:rPr>
          <w:rFonts w:ascii="仿宋" w:hAnsi="仿宋" w:eastAsia="仿宋"/>
          <w:kern w:val="2"/>
          <w:sz w:val="28"/>
        </w:rPr>
      </w:pPr>
      <w:r>
        <w:rPr>
          <w:rFonts w:hint="eastAsia" w:ascii="仿宋" w:hAnsi="仿宋" w:eastAsia="仿宋"/>
          <w:kern w:val="2"/>
          <w:sz w:val="28"/>
        </w:rPr>
        <w:t>28. 拒绝某些或所有磋商的权力。</w:t>
      </w:r>
    </w:p>
    <w:p>
      <w:pPr>
        <w:pStyle w:val="26"/>
        <w:spacing w:line="360" w:lineRule="auto"/>
        <w:ind w:firstLine="560" w:firstLineChars="200"/>
        <w:jc w:val="both"/>
        <w:rPr>
          <w:rFonts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8"/>
        <w:spacing w:line="360" w:lineRule="auto"/>
      </w:pPr>
      <w:bookmarkStart w:id="39" w:name="_Toc56170387"/>
      <w:bookmarkStart w:id="40" w:name="_Toc19574"/>
      <w:bookmarkStart w:id="41" w:name="_Toc61184630"/>
      <w:r>
        <w:rPr>
          <w:rFonts w:hint="eastAsia"/>
        </w:rPr>
        <w:t>八、授予合同</w:t>
      </w:r>
      <w:bookmarkEnd w:id="39"/>
      <w:bookmarkEnd w:id="40"/>
      <w:bookmarkEnd w:id="41"/>
    </w:p>
    <w:p>
      <w:pPr>
        <w:pStyle w:val="26"/>
        <w:spacing w:line="360" w:lineRule="auto"/>
        <w:ind w:firstLine="560" w:firstLineChars="200"/>
        <w:jc w:val="both"/>
        <w:rPr>
          <w:rFonts w:ascii="仿宋" w:hAnsi="仿宋" w:eastAsia="仿宋"/>
          <w:sz w:val="28"/>
        </w:rPr>
      </w:pPr>
      <w:r>
        <w:rPr>
          <w:rFonts w:hint="eastAsia" w:ascii="仿宋" w:hAnsi="仿宋" w:eastAsia="仿宋"/>
          <w:sz w:val="28"/>
        </w:rPr>
        <w:t>29. 签订合同</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29.5 合同履约保证金的形式为银行保函，另有约定的，按照约定条件执行。</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30. 合同的组成</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30.1 下列文件均为经济合同不可分割的组成部分：</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30.1.1 磋商文件及其附件、补遗文件；</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 xml:space="preserve">30.1.2 成交供应商的响应文件及其他附件； </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30.1.3 经确认的答疑记录；</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30.1.4 成交通知书。</w:t>
      </w:r>
    </w:p>
    <w:p>
      <w:pPr>
        <w:pStyle w:val="8"/>
        <w:spacing w:line="360" w:lineRule="auto"/>
      </w:pPr>
      <w:bookmarkStart w:id="42" w:name="_Toc275"/>
      <w:bookmarkStart w:id="43" w:name="_Toc56170388"/>
      <w:bookmarkStart w:id="44" w:name="_Toc61184631"/>
      <w:r>
        <w:rPr>
          <w:rFonts w:hint="eastAsia"/>
        </w:rPr>
        <w:t>九、买方授标时更改采购货物数量的权利</w:t>
      </w:r>
      <w:bookmarkEnd w:id="42"/>
      <w:bookmarkEnd w:id="43"/>
      <w:bookmarkEnd w:id="44"/>
    </w:p>
    <w:p>
      <w:pPr>
        <w:pStyle w:val="27"/>
        <w:spacing w:before="100" w:after="50" w:line="360" w:lineRule="auto"/>
        <w:ind w:firstLine="560"/>
        <w:rPr>
          <w:rFonts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8"/>
        <w:spacing w:line="360" w:lineRule="auto"/>
      </w:pPr>
      <w:bookmarkStart w:id="45" w:name="_Toc61184632"/>
      <w:bookmarkStart w:id="46" w:name="_Toc27059"/>
      <w:bookmarkStart w:id="47" w:name="_Toc56170389"/>
      <w:r>
        <w:rPr>
          <w:rFonts w:hint="eastAsia"/>
        </w:rPr>
        <w:t>十、其他事项</w:t>
      </w:r>
      <w:bookmarkEnd w:id="45"/>
      <w:bookmarkEnd w:id="46"/>
      <w:bookmarkEnd w:id="47"/>
    </w:p>
    <w:p>
      <w:pPr>
        <w:pStyle w:val="26"/>
        <w:spacing w:line="360" w:lineRule="auto"/>
        <w:ind w:firstLine="560" w:firstLineChars="200"/>
        <w:rPr>
          <w:rFonts w:ascii="仿宋" w:hAnsi="仿宋" w:eastAsia="仿宋"/>
          <w:sz w:val="28"/>
        </w:rPr>
      </w:pPr>
      <w:r>
        <w:rPr>
          <w:rFonts w:hint="eastAsia" w:ascii="仿宋" w:hAnsi="仿宋" w:eastAsia="仿宋"/>
          <w:sz w:val="28"/>
        </w:rPr>
        <w:t>32.  代理服务费</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所有与本标书有关的函电通讯地址联系见磋商须知前附表序号24</w:t>
      </w:r>
    </w:p>
    <w:bookmarkEnd w:id="14"/>
    <w:p>
      <w:pPr>
        <w:pStyle w:val="6"/>
      </w:pPr>
      <w:r>
        <w:rPr>
          <w:rFonts w:cs="Times New Roman"/>
          <w:szCs w:val="20"/>
        </w:rPr>
        <w:br w:type="page"/>
      </w:r>
      <w:bookmarkStart w:id="48" w:name="_Toc61184633"/>
      <w:bookmarkStart w:id="49" w:name="_Toc55990501"/>
      <w:bookmarkStart w:id="50" w:name="_Toc56170390"/>
      <w:bookmarkStart w:id="51" w:name="_Toc413"/>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4"/>
          <w:szCs w:val="24"/>
        </w:rPr>
      </w:pPr>
      <w:r>
        <w:rPr>
          <w:rFonts w:hint="eastAsia" w:ascii="仿宋" w:hAnsi="仿宋" w:eastAsia="仿宋"/>
          <w:b/>
          <w:color w:val="000000"/>
          <w:sz w:val="22"/>
          <w:szCs w:val="22"/>
        </w:rPr>
        <w:t>星号“</w:t>
      </w:r>
      <w:r>
        <w:rPr>
          <w:rFonts w:hint="eastAsia" w:ascii="仿宋" w:hAnsi="仿宋" w:eastAsia="仿宋" w:cs="仿宋"/>
          <w:sz w:val="22"/>
          <w:szCs w:val="22"/>
        </w:rPr>
        <w:t>★</w:t>
      </w:r>
      <w:r>
        <w:rPr>
          <w:rFonts w:hint="eastAsia" w:ascii="仿宋" w:hAnsi="仿宋" w:eastAsia="仿宋"/>
          <w:b/>
          <w:color w:val="000000"/>
          <w:sz w:val="22"/>
          <w:szCs w:val="22"/>
        </w:rPr>
        <w:t>”技术条款（如有）为不可偏离项，如有偏离按未对招标文件进行实质性响应处理</w:t>
      </w:r>
      <w:r>
        <w:rPr>
          <w:rFonts w:hint="eastAsia"/>
          <w:b/>
          <w:sz w:val="22"/>
          <w:szCs w:val="22"/>
        </w:rPr>
        <w:t>。</w:t>
      </w:r>
    </w:p>
    <w:p>
      <w:pPr>
        <w:jc w:val="center"/>
        <w:rPr>
          <w:rFonts w:ascii="仿宋" w:hAnsi="仿宋" w:eastAsia="仿宋" w:cs="仿宋"/>
          <w:sz w:val="28"/>
          <w:szCs w:val="28"/>
        </w:rPr>
      </w:pPr>
      <w:r>
        <w:rPr>
          <w:rFonts w:hint="eastAsia" w:ascii="仿宋" w:hAnsi="仿宋" w:eastAsia="仿宋" w:cs="仿宋"/>
          <w:b/>
          <w:kern w:val="1"/>
          <w:sz w:val="28"/>
          <w:szCs w:val="28"/>
        </w:rPr>
        <w:t>防护工程招标要求</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、总体要求：</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★本项目实行固定总价合同包干。即按照招标要求包工期、包质量、保修等的承包方式。</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★本项目为交钥匙工程，报价为含材料、制作、运输、安装、调试、售后服务、税金等全部费用。</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★施工完成后由施工方协助我院联系有相关资质的职业卫生技术服务机构做职业卫生验收检测工作，出具检测报告书，费用由施工方承担。</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★机房防护门保修期≥1年。</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★投标方</w:t>
      </w:r>
      <w:r>
        <w:rPr>
          <w:rFonts w:ascii="仿宋" w:hAnsi="仿宋" w:eastAsia="仿宋" w:cs="仿宋"/>
          <w:sz w:val="28"/>
          <w:szCs w:val="28"/>
        </w:rPr>
        <w:t>需提供以往销售的加速器防护门的</w:t>
      </w:r>
      <w:r>
        <w:rPr>
          <w:rFonts w:hint="eastAsia" w:ascii="仿宋" w:hAnsi="仿宋" w:eastAsia="仿宋" w:cs="仿宋"/>
          <w:sz w:val="28"/>
          <w:szCs w:val="28"/>
        </w:rPr>
        <w:t>检测报告</w:t>
      </w:r>
      <w:r>
        <w:rPr>
          <w:rFonts w:ascii="仿宋" w:hAnsi="仿宋" w:eastAsia="仿宋" w:cs="仿宋"/>
          <w:sz w:val="28"/>
          <w:szCs w:val="28"/>
        </w:rPr>
        <w:t>。</w:t>
      </w:r>
    </w:p>
    <w:p>
      <w:pPr>
        <w:tabs>
          <w:tab w:val="left" w:pos="3210"/>
        </w:tabs>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★投标方</w:t>
      </w:r>
      <w:r>
        <w:rPr>
          <w:rFonts w:ascii="仿宋" w:hAnsi="仿宋" w:eastAsia="仿宋" w:cs="仿宋"/>
          <w:sz w:val="28"/>
          <w:szCs w:val="28"/>
        </w:rPr>
        <w:t>需提供本次投标产品（</w:t>
      </w:r>
      <w:r>
        <w:rPr>
          <w:rFonts w:hint="eastAsia" w:ascii="仿宋" w:hAnsi="仿宋" w:eastAsia="仿宋" w:cs="仿宋"/>
          <w:sz w:val="28"/>
          <w:szCs w:val="28"/>
        </w:rPr>
        <w:t>加速器</w:t>
      </w:r>
      <w:r>
        <w:rPr>
          <w:rFonts w:ascii="仿宋" w:hAnsi="仿宋" w:eastAsia="仿宋" w:cs="仿宋"/>
          <w:sz w:val="28"/>
          <w:szCs w:val="28"/>
        </w:rPr>
        <w:t>防护门）</w:t>
      </w:r>
      <w:r>
        <w:rPr>
          <w:rFonts w:hint="eastAsia" w:ascii="仿宋" w:hAnsi="仿宋" w:eastAsia="仿宋" w:cs="仿宋"/>
          <w:sz w:val="28"/>
          <w:szCs w:val="28"/>
        </w:rPr>
        <w:t>的</w:t>
      </w:r>
      <w:r>
        <w:rPr>
          <w:rFonts w:ascii="仿宋" w:hAnsi="仿宋" w:eastAsia="仿宋" w:cs="仿宋"/>
          <w:sz w:val="28"/>
          <w:szCs w:val="28"/>
        </w:rPr>
        <w:t>设计图纸和详细资料、样册等信息。</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、技术规范要求</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法律、法规、规章</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(1)《中华人民共和国职业病防治法》，中华人民共和国主席令，第60号（2002）；</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(2)《放射性同位素与射线装置安全和防护条例》，中华人民共和国国务院，第449号令（2005）；</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(3)《放射诊疗管理规定》，中华人民共和国卫生部令，第46号（2006）；</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(4)《建设项目职业病危害分类管理办法》，中华人民共和国卫生部令，第49号（2006）；</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(5)《放射工作人员职业健康管理办法》，中华人民共和国卫生部令， 第55号（2007）。</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(6)《职业病目录》，卫法监发[2002]108号</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(7) GBZ128-2002《职业外照射个人剂量监测规范》；</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(8) GBZ130-2002《医用X射线诊断卫生防护标准》；</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(9) GBZ/T146-2002《医疗照射放射防护名词术语》；</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(10) GBZ/T149-2002《医学放射工作人员的卫生防护培训规范》；</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(11) GBZ158-2003《工作场所职业病危害警示标识》；</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(12) GBZ176-2006《医用诊断X射线个人防护材料及用品标准》；</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(13)</w:t>
      </w:r>
      <w:r>
        <w:rPr>
          <w:rFonts w:ascii="仿宋" w:hAnsi="仿宋" w:eastAsia="仿宋" w:cs="仿宋"/>
          <w:sz w:val="28"/>
          <w:szCs w:val="28"/>
        </w:rPr>
        <w:t xml:space="preserve"> </w:t>
      </w:r>
      <w:r>
        <w:rPr>
          <w:rFonts w:hint="eastAsia" w:ascii="仿宋" w:hAnsi="仿宋" w:eastAsia="仿宋" w:cs="仿宋"/>
          <w:sz w:val="28"/>
          <w:szCs w:val="28"/>
        </w:rPr>
        <w:t>GBZ179-2006《医疗照射放射防护基本要求》；</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(14) GBZ/T181-2006《建设项目职业病危害放射防护评价报告编制规范》。</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主要标准、规范</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(1) GB 18871-2002《电离辐射防护与辐射源安全基本标准》；</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(2) GBZ 1-2010《工业企业设计卫生标准》。</w:t>
      </w:r>
    </w:p>
    <w:p>
      <w:pPr>
        <w:tabs>
          <w:tab w:val="left" w:pos="3210"/>
        </w:tabs>
        <w:spacing w:line="360" w:lineRule="auto"/>
        <w:ind w:firstLine="420" w:firstLineChars="150"/>
        <w:rPr>
          <w:rFonts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、项目基本情况</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本项目直线加速器防护门，位于放疗楼负二层，具体情况请各投标方投标</w:t>
      </w:r>
      <w:r>
        <w:rPr>
          <w:rFonts w:ascii="仿宋" w:hAnsi="仿宋" w:eastAsia="仿宋" w:cs="仿宋"/>
          <w:sz w:val="28"/>
          <w:szCs w:val="28"/>
        </w:rPr>
        <w:t>前</w:t>
      </w:r>
      <w:r>
        <w:rPr>
          <w:rFonts w:hint="eastAsia" w:ascii="仿宋" w:hAnsi="仿宋" w:eastAsia="仿宋" w:cs="仿宋"/>
          <w:sz w:val="28"/>
          <w:szCs w:val="28"/>
        </w:rPr>
        <w:t>自行去放疗楼勘察。</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、招标采购重型防护门技术要求</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1、具备</w:t>
      </w:r>
      <w:r>
        <w:rPr>
          <w:rFonts w:ascii="仿宋" w:hAnsi="仿宋" w:eastAsia="仿宋" w:cs="仿宋"/>
          <w:sz w:val="28"/>
          <w:szCs w:val="28"/>
        </w:rPr>
        <w:t>防高能</w:t>
      </w:r>
      <w:r>
        <w:rPr>
          <w:rFonts w:hint="eastAsia" w:ascii="仿宋" w:hAnsi="仿宋" w:eastAsia="仿宋" w:cs="仿宋"/>
          <w:sz w:val="28"/>
          <w:szCs w:val="28"/>
        </w:rPr>
        <w:t>X线</w:t>
      </w:r>
      <w:r>
        <w:rPr>
          <w:rFonts w:ascii="仿宋" w:hAnsi="仿宋" w:eastAsia="仿宋" w:cs="仿宋"/>
          <w:sz w:val="28"/>
          <w:szCs w:val="28"/>
        </w:rPr>
        <w:t>（</w:t>
      </w:r>
      <w:r>
        <w:rPr>
          <w:rFonts w:hint="eastAsia" w:ascii="仿宋" w:hAnsi="仿宋" w:eastAsia="仿宋" w:cs="仿宋"/>
          <w:sz w:val="28"/>
          <w:szCs w:val="28"/>
        </w:rPr>
        <w:t>1</w:t>
      </w:r>
      <w:r>
        <w:rPr>
          <w:rFonts w:ascii="仿宋" w:hAnsi="仿宋" w:eastAsia="仿宋" w:cs="仿宋"/>
          <w:sz w:val="28"/>
          <w:szCs w:val="28"/>
        </w:rPr>
        <w:t>0MV）</w:t>
      </w:r>
      <w:r>
        <w:rPr>
          <w:rFonts w:hint="eastAsia" w:ascii="仿宋" w:hAnsi="仿宋" w:eastAsia="仿宋" w:cs="仿宋"/>
          <w:sz w:val="28"/>
          <w:szCs w:val="28"/>
        </w:rPr>
        <w:t>功能</w:t>
      </w:r>
      <w:r>
        <w:rPr>
          <w:rFonts w:ascii="仿宋" w:hAnsi="仿宋" w:eastAsia="仿宋" w:cs="仿宋"/>
          <w:sz w:val="28"/>
          <w:szCs w:val="28"/>
        </w:rPr>
        <w:t>；</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、具备防中子线（</w:t>
      </w:r>
      <w:r>
        <w:rPr>
          <w:rFonts w:hint="eastAsia" w:ascii="仿宋" w:hAnsi="仿宋" w:eastAsia="仿宋" w:cs="仿宋"/>
          <w:sz w:val="28"/>
          <w:szCs w:val="28"/>
        </w:rPr>
        <w:t>1</w:t>
      </w:r>
      <w:r>
        <w:rPr>
          <w:rFonts w:ascii="仿宋" w:hAnsi="仿宋" w:eastAsia="仿宋" w:cs="仿宋"/>
          <w:sz w:val="28"/>
          <w:szCs w:val="28"/>
        </w:rPr>
        <w:t>8</w:t>
      </w:r>
      <w:r>
        <w:rPr>
          <w:rFonts w:hint="eastAsia" w:ascii="仿宋" w:hAnsi="仿宋" w:eastAsia="仿宋" w:cs="仿宋"/>
          <w:sz w:val="28"/>
          <w:szCs w:val="28"/>
        </w:rPr>
        <w:t>MeV</w:t>
      </w:r>
      <w:r>
        <w:rPr>
          <w:rFonts w:ascii="仿宋" w:hAnsi="仿宋" w:eastAsia="仿宋" w:cs="仿宋"/>
          <w:sz w:val="28"/>
          <w:szCs w:val="28"/>
        </w:rPr>
        <w:t>）</w:t>
      </w:r>
      <w:r>
        <w:rPr>
          <w:rFonts w:hint="eastAsia" w:ascii="仿宋" w:hAnsi="仿宋" w:eastAsia="仿宋" w:cs="仿宋"/>
          <w:sz w:val="28"/>
          <w:szCs w:val="28"/>
        </w:rPr>
        <w:t>功能</w:t>
      </w:r>
      <w:r>
        <w:rPr>
          <w:rFonts w:ascii="仿宋" w:hAnsi="仿宋" w:eastAsia="仿宋" w:cs="仿宋"/>
          <w:sz w:val="28"/>
          <w:szCs w:val="28"/>
        </w:rPr>
        <w:t>；</w:t>
      </w:r>
    </w:p>
    <w:p>
      <w:pPr>
        <w:tabs>
          <w:tab w:val="left" w:pos="3210"/>
        </w:tabs>
        <w:spacing w:line="360" w:lineRule="auto"/>
        <w:ind w:firstLine="420" w:firstLineChars="150"/>
        <w:rPr>
          <w:rFonts w:ascii="仿宋" w:hAnsi="仿宋" w:eastAsia="仿宋" w:cs="仿宋"/>
          <w:sz w:val="28"/>
          <w:szCs w:val="28"/>
        </w:rPr>
      </w:pPr>
      <w:r>
        <w:rPr>
          <w:rFonts w:ascii="仿宋" w:hAnsi="仿宋" w:eastAsia="仿宋" w:cs="仿宋"/>
          <w:sz w:val="28"/>
          <w:szCs w:val="28"/>
        </w:rPr>
        <w:t>3、具备防</w:t>
      </w:r>
      <w:r>
        <w:rPr>
          <w:rFonts w:hint="eastAsia" w:ascii="仿宋" w:hAnsi="仿宋" w:eastAsia="仿宋" w:cs="仿宋"/>
          <w:sz w:val="28"/>
          <w:szCs w:val="28"/>
        </w:rPr>
        <w:t>碰撞</w:t>
      </w:r>
      <w:r>
        <w:rPr>
          <w:rFonts w:ascii="仿宋" w:hAnsi="仿宋" w:eastAsia="仿宋" w:cs="仿宋"/>
          <w:sz w:val="28"/>
          <w:szCs w:val="28"/>
        </w:rPr>
        <w:t>、防夹保护功能；</w:t>
      </w:r>
    </w:p>
    <w:p>
      <w:pPr>
        <w:tabs>
          <w:tab w:val="left" w:pos="3210"/>
        </w:tabs>
        <w:spacing w:line="360" w:lineRule="auto"/>
        <w:ind w:firstLine="420" w:firstLineChars="15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、防护门尺寸：2</w:t>
      </w:r>
      <w:r>
        <w:rPr>
          <w:rFonts w:ascii="仿宋" w:hAnsi="仿宋" w:eastAsia="仿宋" w:cs="仿宋"/>
          <w:sz w:val="28"/>
          <w:szCs w:val="28"/>
        </w:rPr>
        <w:t>4</w:t>
      </w:r>
      <w:r>
        <w:rPr>
          <w:rFonts w:hint="eastAsia" w:ascii="仿宋" w:hAnsi="仿宋" w:eastAsia="仿宋" w:cs="仿宋"/>
          <w:sz w:val="28"/>
          <w:szCs w:val="28"/>
        </w:rPr>
        <w:t>00*</w:t>
      </w:r>
      <w:r>
        <w:rPr>
          <w:rFonts w:ascii="仿宋" w:hAnsi="仿宋" w:eastAsia="仿宋" w:cs="仿宋"/>
          <w:sz w:val="28"/>
          <w:szCs w:val="28"/>
        </w:rPr>
        <w:t>1900</w:t>
      </w:r>
      <w:r>
        <w:rPr>
          <w:rFonts w:hint="eastAsia" w:ascii="仿宋" w:hAnsi="仿宋" w:eastAsia="仿宋" w:cs="仿宋"/>
          <w:sz w:val="28"/>
          <w:szCs w:val="28"/>
        </w:rPr>
        <w:t>mm；</w:t>
      </w:r>
    </w:p>
    <w:p>
      <w:pPr>
        <w:tabs>
          <w:tab w:val="left" w:pos="3210"/>
        </w:tabs>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5</w:t>
      </w:r>
      <w:r>
        <w:rPr>
          <w:rFonts w:ascii="仿宋" w:hAnsi="仿宋" w:eastAsia="仿宋" w:cs="仿宋"/>
          <w:sz w:val="28"/>
          <w:szCs w:val="28"/>
        </w:rPr>
        <w:t>、防护门采用下承重方式；</w:t>
      </w:r>
    </w:p>
    <w:p>
      <w:pPr>
        <w:tabs>
          <w:tab w:val="left" w:pos="3210"/>
        </w:tabs>
        <w:spacing w:line="360" w:lineRule="auto"/>
        <w:ind w:firstLine="420" w:firstLineChars="150"/>
        <w:rPr>
          <w:rFonts w:ascii="仿宋" w:hAnsi="仿宋" w:eastAsia="仿宋" w:cs="仿宋"/>
          <w:sz w:val="28"/>
          <w:szCs w:val="28"/>
        </w:rPr>
      </w:pPr>
      <w:r>
        <w:rPr>
          <w:rFonts w:ascii="仿宋" w:hAnsi="仿宋" w:eastAsia="仿宋" w:cs="仿宋"/>
          <w:sz w:val="28"/>
          <w:szCs w:val="28"/>
        </w:rPr>
        <w:t>6、防护门采用液压油泵驱动方式或电动方式；</w:t>
      </w:r>
    </w:p>
    <w:p>
      <w:pPr>
        <w:tabs>
          <w:tab w:val="left" w:pos="3210"/>
        </w:tabs>
        <w:spacing w:line="360" w:lineRule="auto"/>
        <w:ind w:firstLine="420" w:firstLineChars="150"/>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防护门</w:t>
      </w:r>
      <w:r>
        <w:rPr>
          <w:rFonts w:ascii="仿宋" w:hAnsi="仿宋" w:eastAsia="仿宋" w:cs="仿宋"/>
          <w:sz w:val="28"/>
          <w:szCs w:val="28"/>
        </w:rPr>
        <w:t>内部结构合理、牢固，</w:t>
      </w:r>
      <w:r>
        <w:rPr>
          <w:rFonts w:hint="eastAsia" w:ascii="仿宋" w:hAnsi="仿宋" w:eastAsia="仿宋" w:cs="仿宋"/>
          <w:sz w:val="28"/>
          <w:szCs w:val="28"/>
        </w:rPr>
        <w:t>防火</w:t>
      </w:r>
      <w:r>
        <w:rPr>
          <w:rFonts w:ascii="仿宋" w:hAnsi="仿宋" w:eastAsia="仿宋" w:cs="仿宋"/>
          <w:sz w:val="28"/>
          <w:szCs w:val="28"/>
        </w:rPr>
        <w:t>、防腐处理可靠。</w:t>
      </w:r>
      <w:r>
        <w:rPr>
          <w:rFonts w:hint="eastAsia" w:ascii="仿宋" w:hAnsi="仿宋" w:eastAsia="仿宋" w:cs="仿宋"/>
          <w:sz w:val="28"/>
          <w:szCs w:val="28"/>
        </w:rPr>
        <w:t>表面</w:t>
      </w:r>
      <w:r>
        <w:rPr>
          <w:rFonts w:ascii="仿宋" w:hAnsi="仿宋" w:eastAsia="仿宋" w:cs="仿宋"/>
          <w:sz w:val="28"/>
          <w:szCs w:val="28"/>
        </w:rPr>
        <w:t>采用不锈钢，</w:t>
      </w:r>
      <w:r>
        <w:rPr>
          <w:rFonts w:hint="eastAsia" w:ascii="仿宋" w:hAnsi="仿宋" w:eastAsia="仿宋" w:cs="仿宋"/>
          <w:sz w:val="28"/>
          <w:szCs w:val="28"/>
        </w:rPr>
        <w:t>表面平整</w:t>
      </w:r>
      <w:r>
        <w:rPr>
          <w:rFonts w:ascii="仿宋" w:hAnsi="仿宋" w:eastAsia="仿宋" w:cs="仿宋"/>
          <w:sz w:val="28"/>
          <w:szCs w:val="28"/>
        </w:rPr>
        <w:t>、美观；</w:t>
      </w:r>
    </w:p>
    <w:p>
      <w:pPr>
        <w:tabs>
          <w:tab w:val="left" w:pos="3210"/>
        </w:tabs>
        <w:spacing w:line="360" w:lineRule="auto"/>
        <w:ind w:firstLine="420" w:firstLineChars="150"/>
        <w:rPr>
          <w:rFonts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具有射线</w:t>
      </w:r>
      <w:r>
        <w:rPr>
          <w:rFonts w:ascii="仿宋" w:hAnsi="仿宋" w:eastAsia="仿宋" w:cs="仿宋"/>
          <w:sz w:val="28"/>
          <w:szCs w:val="28"/>
        </w:rPr>
        <w:t>出束</w:t>
      </w:r>
      <w:r>
        <w:rPr>
          <w:rFonts w:hint="eastAsia" w:ascii="仿宋" w:hAnsi="仿宋" w:eastAsia="仿宋" w:cs="仿宋"/>
          <w:sz w:val="28"/>
          <w:szCs w:val="28"/>
        </w:rPr>
        <w:t>指示</w:t>
      </w:r>
      <w:r>
        <w:rPr>
          <w:rFonts w:ascii="仿宋" w:hAnsi="仿宋" w:eastAsia="仿宋" w:cs="仿宋"/>
          <w:sz w:val="28"/>
          <w:szCs w:val="28"/>
        </w:rPr>
        <w:t>功能；</w:t>
      </w:r>
    </w:p>
    <w:p>
      <w:pPr>
        <w:tabs>
          <w:tab w:val="left" w:pos="3210"/>
        </w:tabs>
        <w:spacing w:line="360" w:lineRule="auto"/>
        <w:ind w:firstLine="420" w:firstLineChars="150"/>
        <w:rPr>
          <w:rFonts w:ascii="仿宋" w:hAnsi="仿宋" w:eastAsia="仿宋" w:cs="仿宋"/>
          <w:sz w:val="28"/>
          <w:szCs w:val="28"/>
        </w:rPr>
      </w:pPr>
      <w:r>
        <w:rPr>
          <w:rFonts w:ascii="仿宋" w:hAnsi="仿宋" w:eastAsia="仿宋" w:cs="仿宋"/>
          <w:sz w:val="28"/>
          <w:szCs w:val="28"/>
        </w:rPr>
        <w:t>9、门的正面具有</w:t>
      </w:r>
      <w:r>
        <w:rPr>
          <w:rFonts w:hint="eastAsia" w:ascii="仿宋" w:hAnsi="仿宋" w:eastAsia="仿宋" w:cs="仿宋"/>
          <w:sz w:val="28"/>
          <w:szCs w:val="28"/>
        </w:rPr>
        <w:t>电离辐射</w:t>
      </w:r>
      <w:r>
        <w:rPr>
          <w:rFonts w:ascii="仿宋" w:hAnsi="仿宋" w:eastAsia="仿宋" w:cs="仿宋"/>
          <w:sz w:val="28"/>
          <w:szCs w:val="28"/>
        </w:rPr>
        <w:t>警示标识；</w:t>
      </w:r>
    </w:p>
    <w:p>
      <w:pPr>
        <w:tabs>
          <w:tab w:val="left" w:pos="3210"/>
        </w:tabs>
        <w:spacing w:line="360" w:lineRule="auto"/>
        <w:ind w:firstLine="420" w:firstLineChars="150"/>
        <w:rPr>
          <w:rFonts w:ascii="仿宋" w:hAnsi="仿宋" w:eastAsia="仿宋" w:cs="仿宋"/>
          <w:sz w:val="28"/>
          <w:szCs w:val="28"/>
        </w:rPr>
      </w:pPr>
      <w:r>
        <w:rPr>
          <w:rFonts w:ascii="仿宋" w:hAnsi="仿宋" w:eastAsia="仿宋" w:cs="仿宋"/>
          <w:sz w:val="28"/>
          <w:szCs w:val="28"/>
        </w:rPr>
        <w:t>10、</w:t>
      </w:r>
      <w:r>
        <w:rPr>
          <w:rFonts w:hint="eastAsia" w:ascii="仿宋" w:hAnsi="仿宋" w:eastAsia="仿宋" w:cs="仿宋"/>
          <w:sz w:val="28"/>
          <w:szCs w:val="28"/>
        </w:rPr>
        <w:t>具有</w:t>
      </w:r>
      <w:r>
        <w:rPr>
          <w:rFonts w:ascii="仿宋" w:hAnsi="仿宋" w:eastAsia="仿宋" w:cs="仿宋"/>
          <w:sz w:val="28"/>
          <w:szCs w:val="28"/>
        </w:rPr>
        <w:t>在</w:t>
      </w:r>
      <w:r>
        <w:rPr>
          <w:rFonts w:hint="eastAsia" w:ascii="仿宋" w:hAnsi="仿宋" w:eastAsia="仿宋" w:cs="仿宋"/>
          <w:sz w:val="28"/>
          <w:szCs w:val="28"/>
        </w:rPr>
        <w:t>停电异常情况下，紧急手动开门装置。</w:t>
      </w:r>
    </w:p>
    <w:p>
      <w:pPr>
        <w:spacing w:line="400" w:lineRule="exact"/>
        <w:rPr>
          <w:rFonts w:ascii="仿宋" w:hAnsi="仿宋" w:eastAsia="仿宋" w:cs="仿宋"/>
          <w:sz w:val="28"/>
          <w:szCs w:val="28"/>
        </w:rPr>
      </w:pPr>
      <w:r>
        <w:rPr>
          <w:rFonts w:hint="eastAsia" w:ascii="仿宋" w:hAnsi="仿宋" w:eastAsia="仿宋" w:cs="仿宋"/>
          <w:sz w:val="28"/>
          <w:szCs w:val="28"/>
        </w:rPr>
        <w:br w:type="page"/>
      </w:r>
    </w:p>
    <w:p>
      <w:pPr>
        <w:pStyle w:val="6"/>
        <w:ind w:left="0" w:firstLine="0"/>
        <w:rPr>
          <w:sz w:val="28"/>
        </w:rPr>
      </w:pPr>
      <w:bookmarkStart w:id="52" w:name="_Toc56170391"/>
      <w:bookmarkStart w:id="53" w:name="_Toc21747"/>
      <w:bookmarkStart w:id="54" w:name="_Toc61184634"/>
      <w:bookmarkStart w:id="55" w:name="_Toc55990502"/>
      <w:r>
        <w:rPr>
          <w:rFonts w:hint="eastAsia"/>
        </w:rPr>
        <w:t>第四章、合同</w:t>
      </w:r>
      <w:bookmarkEnd w:id="52"/>
      <w:bookmarkEnd w:id="53"/>
      <w:bookmarkEnd w:id="54"/>
      <w:bookmarkEnd w:id="55"/>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合同编号：</w:t>
      </w:r>
    </w:p>
    <w:p>
      <w:pPr>
        <w:spacing w:line="560" w:lineRule="exact"/>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r>
        <w:rPr>
          <w:rFonts w:ascii="仿宋" w:hAnsi="仿宋" w:eastAsia="仿宋"/>
          <w:color w:val="000000"/>
          <w:sz w:val="24"/>
        </w:rPr>
        <w:t xml:space="preserve"> </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20"/>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规格</w:t>
            </w:r>
          </w:p>
          <w:p>
            <w:pPr>
              <w:spacing w:line="520" w:lineRule="exact"/>
              <w:jc w:val="center"/>
              <w:rPr>
                <w:rFonts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技术</w:t>
            </w:r>
          </w:p>
          <w:p>
            <w:pPr>
              <w:spacing w:line="520" w:lineRule="exact"/>
              <w:jc w:val="center"/>
              <w:rPr>
                <w:rFonts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jc w:val="center"/>
              <w:rPr>
                <w:rFonts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rPr>
                <w:rFonts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0</w:t>
      </w:r>
      <w:r>
        <w:rPr>
          <w:rFonts w:hint="eastAsia" w:ascii="仿宋" w:hAnsi="仿宋" w:eastAsia="仿宋"/>
          <w:color w:val="000000"/>
          <w:sz w:val="24"/>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szCs w:val="24"/>
        </w:rPr>
        <w:t>1、</w:t>
      </w:r>
      <w:r>
        <w:rPr>
          <w:rFonts w:hint="eastAsia" w:ascii="仿宋" w:hAnsi="仿宋" w:eastAsia="仿宋"/>
          <w:color w:val="000000"/>
          <w:sz w:val="24"/>
        </w:rPr>
        <w:t>货到经甲方书面验收合格后运行壹个月，付总货款的90%，为（大写：  元整，小写：￥  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2、质保金为10%，即（大写：  元整，小写：￥  元），验收合格之日起质保期满后无息支付；</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 xml:space="preserve"> 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5、</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6、</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ascii="仿宋" w:hAnsi="仿宋" w:eastAsia="仿宋"/>
          <w:color w:val="000000"/>
          <w:sz w:val="24"/>
        </w:rPr>
      </w:pPr>
    </w:p>
    <w:p>
      <w:pPr>
        <w:spacing w:line="520" w:lineRule="exact"/>
        <w:rPr>
          <w:rFonts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ascii="仿宋" w:hAnsi="仿宋" w:eastAsia="仿宋"/>
          <w:color w:val="000000"/>
          <w:sz w:val="24"/>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6"/>
      </w:pPr>
      <w:r>
        <w:rPr>
          <w:rFonts w:hint="eastAsia"/>
        </w:rPr>
        <w:br w:type="page"/>
      </w:r>
      <w:bookmarkStart w:id="56" w:name="_Toc56170392"/>
      <w:bookmarkStart w:id="57" w:name="_Toc6245"/>
      <w:bookmarkStart w:id="58" w:name="_Toc61184635"/>
      <w:r>
        <w:rPr>
          <w:rFonts w:hint="eastAsia"/>
        </w:rPr>
        <w:t>第五章、响应文件格式</w:t>
      </w:r>
      <w:bookmarkEnd w:id="56"/>
      <w:bookmarkEnd w:id="57"/>
      <w:bookmarkEnd w:id="58"/>
    </w:p>
    <w:p>
      <w:pPr>
        <w:pStyle w:val="28"/>
        <w:spacing w:line="360" w:lineRule="auto"/>
        <w:ind w:firstLine="1400" w:firstLineChars="200"/>
        <w:jc w:val="both"/>
        <w:rPr>
          <w:rFonts w:ascii="仿宋" w:hAnsi="仿宋" w:eastAsia="仿宋"/>
          <w:sz w:val="70"/>
        </w:rPr>
      </w:pPr>
    </w:p>
    <w:p>
      <w:pPr>
        <w:spacing w:line="360" w:lineRule="auto"/>
        <w:jc w:val="center"/>
        <w:rPr>
          <w:rFonts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ascii="仿宋" w:hAnsi="仿宋" w:eastAsia="仿宋"/>
          <w:color w:val="000000"/>
          <w:sz w:val="72"/>
        </w:rPr>
      </w:pPr>
    </w:p>
    <w:p>
      <w:pPr>
        <w:spacing w:line="360" w:lineRule="auto"/>
        <w:jc w:val="center"/>
        <w:rPr>
          <w:rFonts w:ascii="仿宋" w:hAnsi="仿宋" w:eastAsia="仿宋"/>
          <w:color w:val="000000"/>
        </w:rPr>
      </w:pPr>
      <w:r>
        <w:rPr>
          <w:rFonts w:hint="eastAsia" w:ascii="仿宋" w:hAnsi="仿宋" w:eastAsia="仿宋"/>
          <w:color w:val="000000"/>
          <w:sz w:val="72"/>
        </w:rPr>
        <w:t>响应文件</w:t>
      </w:r>
    </w:p>
    <w:p>
      <w:pPr>
        <w:spacing w:line="360" w:lineRule="auto"/>
        <w:rPr>
          <w:rFonts w:ascii="仿宋" w:hAnsi="仿宋" w:eastAsia="仿宋"/>
          <w:color w:val="000000"/>
        </w:rPr>
      </w:pPr>
    </w:p>
    <w:p>
      <w:pPr>
        <w:spacing w:line="360" w:lineRule="auto"/>
        <w:ind w:firstLine="420"/>
        <w:rPr>
          <w:rFonts w:ascii="仿宋" w:hAnsi="仿宋" w:eastAsia="仿宋"/>
          <w:color w:val="000000"/>
        </w:rPr>
      </w:pP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rPr>
      </w:pPr>
      <w:r>
        <w:rPr>
          <w:rFonts w:hint="eastAsia" w:ascii="仿宋" w:hAnsi="仿宋" w:eastAsia="仿宋"/>
          <w:color w:val="000000"/>
          <w:sz w:val="44"/>
        </w:rPr>
        <w:t>供应商代表：</w:t>
      </w:r>
    </w:p>
    <w:p>
      <w:pPr>
        <w:spacing w:line="360" w:lineRule="auto"/>
        <w:ind w:firstLine="640"/>
        <w:rPr>
          <w:rFonts w:ascii="仿宋" w:hAnsi="仿宋" w:eastAsia="仿宋"/>
          <w:color w:val="000000"/>
          <w:sz w:val="32"/>
        </w:rPr>
      </w:pPr>
    </w:p>
    <w:p>
      <w:pPr>
        <w:spacing w:line="360" w:lineRule="auto"/>
        <w:ind w:firstLine="640"/>
        <w:rPr>
          <w:rFonts w:ascii="仿宋" w:hAnsi="仿宋" w:eastAsia="仿宋"/>
          <w:color w:val="000000"/>
          <w:sz w:val="32"/>
        </w:rPr>
      </w:pPr>
    </w:p>
    <w:p>
      <w:pPr>
        <w:spacing w:line="360" w:lineRule="auto"/>
        <w:ind w:firstLine="720"/>
        <w:jc w:val="center"/>
        <w:rPr>
          <w:rFonts w:ascii="仿宋" w:hAnsi="仿宋" w:eastAsia="仿宋"/>
          <w:color w:val="000000"/>
          <w:sz w:val="36"/>
        </w:rPr>
      </w:pPr>
      <w:r>
        <w:rPr>
          <w:rFonts w:hint="eastAsia" w:ascii="仿宋" w:hAnsi="仿宋" w:eastAsia="仿宋"/>
          <w:color w:val="000000"/>
          <w:sz w:val="36"/>
        </w:rPr>
        <w:t>年      月      日</w:t>
      </w:r>
    </w:p>
    <w:p>
      <w:pPr>
        <w:pStyle w:val="8"/>
      </w:pPr>
      <w:r>
        <w:rPr>
          <w:rFonts w:hint="eastAsia"/>
          <w:sz w:val="36"/>
        </w:rPr>
        <w:br w:type="page"/>
      </w:r>
      <w:bookmarkStart w:id="59" w:name="_Toc10657"/>
      <w:bookmarkStart w:id="60" w:name="_Toc56170393"/>
      <w:bookmarkStart w:id="61" w:name="_Toc61184636"/>
      <w:r>
        <w:rPr>
          <w:rFonts w:hint="eastAsia"/>
        </w:rPr>
        <w:t>附件一、投标书</w:t>
      </w:r>
      <w:bookmarkEnd w:id="59"/>
      <w:bookmarkEnd w:id="60"/>
      <w:bookmarkEnd w:id="61"/>
    </w:p>
    <w:p>
      <w:pPr>
        <w:pStyle w:val="29"/>
        <w:spacing w:line="360" w:lineRule="auto"/>
        <w:ind w:firstLine="0" w:firstLineChars="0"/>
        <w:jc w:val="both"/>
        <w:rPr>
          <w:rFonts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ascii="仿宋" w:hAnsi="仿宋" w:eastAsia="仿宋"/>
          <w:color w:val="000000"/>
        </w:rPr>
      </w:pPr>
    </w:p>
    <w:p>
      <w:pPr>
        <w:spacing w:line="360" w:lineRule="auto"/>
        <w:ind w:firstLine="560"/>
        <w:rPr>
          <w:rFonts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ascii="仿宋" w:hAnsi="仿宋" w:eastAsia="仿宋"/>
          <w:color w:val="000000"/>
          <w:sz w:val="28"/>
        </w:rPr>
      </w:pPr>
      <w:r>
        <w:rPr>
          <w:rFonts w:hint="eastAsia" w:ascii="仿宋" w:hAnsi="仿宋" w:eastAsia="仿宋"/>
          <w:color w:val="000000"/>
          <w:sz w:val="28"/>
        </w:rPr>
        <w:t>（9）其它。</w:t>
      </w:r>
    </w:p>
    <w:p>
      <w:pPr>
        <w:spacing w:line="360" w:lineRule="auto"/>
        <w:ind w:firstLine="560"/>
        <w:rPr>
          <w:rFonts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ascii="仿宋" w:hAnsi="仿宋" w:eastAsia="仿宋"/>
          <w:color w:val="000000"/>
          <w:sz w:val="28"/>
        </w:rPr>
      </w:pPr>
      <w:r>
        <w:rPr>
          <w:rFonts w:hint="eastAsia" w:ascii="仿宋" w:hAnsi="仿宋" w:eastAsia="仿宋"/>
          <w:color w:val="000000"/>
          <w:sz w:val="28"/>
        </w:rPr>
        <w:t>单       位：</w:t>
      </w:r>
    </w:p>
    <w:p>
      <w:pPr>
        <w:spacing w:line="360" w:lineRule="auto"/>
        <w:ind w:firstLine="560"/>
        <w:rPr>
          <w:rFonts w:ascii="仿宋" w:hAnsi="仿宋" w:eastAsia="仿宋"/>
          <w:color w:val="000000"/>
          <w:sz w:val="28"/>
        </w:rPr>
      </w:pPr>
      <w:r>
        <w:rPr>
          <w:rFonts w:hint="eastAsia" w:ascii="仿宋" w:hAnsi="仿宋" w:eastAsia="仿宋"/>
          <w:color w:val="000000"/>
          <w:sz w:val="28"/>
        </w:rPr>
        <w:t>地       址：</w:t>
      </w:r>
    </w:p>
    <w:p>
      <w:pPr>
        <w:spacing w:line="360" w:lineRule="auto"/>
        <w:ind w:firstLine="560"/>
        <w:rPr>
          <w:rFonts w:ascii="仿宋" w:hAnsi="仿宋" w:eastAsia="仿宋"/>
          <w:color w:val="000000"/>
          <w:sz w:val="28"/>
        </w:rPr>
      </w:pPr>
      <w:r>
        <w:rPr>
          <w:rFonts w:hint="eastAsia" w:ascii="仿宋" w:hAnsi="仿宋" w:eastAsia="仿宋"/>
          <w:color w:val="000000"/>
          <w:sz w:val="28"/>
        </w:rPr>
        <w:t>电       话：</w:t>
      </w:r>
    </w:p>
    <w:p>
      <w:pPr>
        <w:spacing w:line="360" w:lineRule="auto"/>
        <w:ind w:firstLine="560"/>
        <w:rPr>
          <w:rFonts w:ascii="仿宋" w:hAnsi="仿宋" w:eastAsia="仿宋"/>
          <w:color w:val="000000"/>
          <w:sz w:val="28"/>
        </w:rPr>
      </w:pPr>
      <w:r>
        <w:rPr>
          <w:rFonts w:hint="eastAsia" w:ascii="仿宋" w:hAnsi="仿宋" w:eastAsia="仿宋"/>
          <w:color w:val="000000"/>
          <w:sz w:val="28"/>
        </w:rPr>
        <w:t>传       真：</w:t>
      </w:r>
    </w:p>
    <w:p>
      <w:pPr>
        <w:spacing w:line="360" w:lineRule="auto"/>
        <w:ind w:firstLine="560"/>
        <w:rPr>
          <w:rFonts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ascii="仿宋" w:hAnsi="仿宋" w:eastAsia="仿宋"/>
          <w:color w:val="000000"/>
          <w:sz w:val="28"/>
        </w:rPr>
      </w:pPr>
    </w:p>
    <w:p>
      <w:pPr>
        <w:spacing w:line="360" w:lineRule="auto"/>
        <w:ind w:firstLine="560"/>
        <w:rPr>
          <w:rFonts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ascii="仿宋" w:hAnsi="仿宋" w:eastAsia="仿宋"/>
          <w:color w:val="000000"/>
          <w:sz w:val="28"/>
        </w:rPr>
      </w:pPr>
    </w:p>
    <w:p>
      <w:pPr>
        <w:spacing w:line="360" w:lineRule="auto"/>
        <w:ind w:firstLine="4877" w:firstLineChars="1742"/>
        <w:rPr>
          <w:rFonts w:ascii="仿宋" w:hAnsi="仿宋" w:eastAsia="仿宋"/>
          <w:color w:val="000000"/>
          <w:sz w:val="28"/>
        </w:rPr>
      </w:pPr>
      <w:r>
        <w:rPr>
          <w:rFonts w:hint="eastAsia" w:ascii="仿宋" w:hAnsi="仿宋" w:eastAsia="仿宋"/>
          <w:color w:val="000000"/>
          <w:sz w:val="28"/>
        </w:rPr>
        <w:t>年   月    日</w:t>
      </w:r>
    </w:p>
    <w:p>
      <w:pPr>
        <w:pStyle w:val="8"/>
      </w:pPr>
      <w:r>
        <w:rPr>
          <w:rFonts w:hint="eastAsia"/>
        </w:rPr>
        <w:br w:type="page"/>
      </w:r>
      <w:bookmarkStart w:id="62" w:name="_Toc61184637"/>
      <w:bookmarkStart w:id="63" w:name="_Toc56170394"/>
      <w:bookmarkStart w:id="64" w:name="_Toc26466"/>
      <w:r>
        <w:rPr>
          <w:rFonts w:hint="eastAsia"/>
        </w:rPr>
        <w:t>附件二、</w:t>
      </w:r>
      <w:r>
        <w:t>法定代表人资格证明书</w:t>
      </w:r>
      <w:bookmarkEnd w:id="62"/>
      <w:bookmarkEnd w:id="63"/>
      <w:bookmarkEnd w:id="64"/>
    </w:p>
    <w:p>
      <w:pPr>
        <w:spacing w:line="360" w:lineRule="auto"/>
        <w:rPr>
          <w:rFonts w:ascii="仿宋" w:hAnsi="仿宋" w:eastAsia="仿宋"/>
          <w:color w:val="000000"/>
          <w:szCs w:val="21"/>
        </w:rPr>
      </w:pPr>
    </w:p>
    <w:p>
      <w:pPr>
        <w:pStyle w:val="27"/>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r>
        <w:rPr>
          <w:rFonts w:ascii="仿宋" w:hAnsi="仿宋" w:eastAsia="仿宋"/>
          <w:color w:val="000000"/>
        </w:rPr>
        <w:t>特此证明</w:t>
      </w:r>
    </w:p>
    <w:p>
      <w:pPr>
        <w:pStyle w:val="27"/>
        <w:spacing w:line="360" w:lineRule="auto"/>
        <w:ind w:firstLine="560"/>
        <w:rPr>
          <w:rFonts w:ascii="仿宋" w:hAnsi="仿宋" w:eastAsia="仿宋"/>
          <w:color w:val="000000"/>
        </w:rPr>
      </w:pPr>
      <w:r>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path/>
            <v:fill on="f" focussize="0,0"/>
            <v:stroke weight="1pt" color="#000000" joinstyle="miter"/>
            <v:imagedata o:title=""/>
            <o:lock v:ext="edit"/>
            <v:textbox>
              <w:txbxContent>
                <w:p>
                  <w:pPr>
                    <w:pStyle w:val="27"/>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2054" o:spid="_x0000_s2054"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path/>
            <v:fill on="f" focussize="0,0"/>
            <v:stroke weight="1pt" color="#000000" joinstyle="miter"/>
            <v:imagedata o:title=""/>
            <o:lock v:ext="edit"/>
            <v:textbox>
              <w:txbxContent>
                <w:p>
                  <w:pPr>
                    <w:pStyle w:val="27"/>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p>
    <w:p>
      <w:pPr>
        <w:pStyle w:val="27"/>
        <w:spacing w:line="360" w:lineRule="auto"/>
        <w:ind w:firstLine="560"/>
        <w:jc w:val="left"/>
        <w:rPr>
          <w:rFonts w:ascii="仿宋" w:hAnsi="仿宋" w:eastAsia="仿宋"/>
          <w:color w:val="000000"/>
        </w:rPr>
      </w:pP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p>
    <w:p>
      <w:pPr>
        <w:pStyle w:val="27"/>
        <w:spacing w:line="360" w:lineRule="auto"/>
        <w:ind w:firstLine="4200" w:firstLineChars="1500"/>
        <w:rPr>
          <w:rFonts w:ascii="仿宋" w:hAnsi="仿宋" w:eastAsia="仿宋"/>
          <w:color w:val="000000"/>
        </w:rPr>
      </w:pPr>
    </w:p>
    <w:p>
      <w:pPr>
        <w:pStyle w:val="27"/>
        <w:spacing w:line="360" w:lineRule="auto"/>
        <w:ind w:firstLine="4200" w:firstLineChars="1500"/>
        <w:rPr>
          <w:rFonts w:ascii="仿宋" w:hAnsi="仿宋" w:eastAsia="仿宋"/>
          <w:color w:val="000000"/>
        </w:rPr>
      </w:pPr>
    </w:p>
    <w:p>
      <w:pPr>
        <w:pStyle w:val="27"/>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7"/>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7"/>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spacing w:line="360" w:lineRule="auto"/>
        <w:rPr>
          <w:szCs w:val="21"/>
        </w:rPr>
      </w:pPr>
      <w:r>
        <w:br w:type="page"/>
      </w:r>
      <w:bookmarkStart w:id="65" w:name="_Toc3373"/>
      <w:bookmarkStart w:id="66" w:name="_Toc61184638"/>
      <w:bookmarkStart w:id="67" w:name="_Toc56170395"/>
      <w:r>
        <w:rPr>
          <w:rFonts w:hint="eastAsia"/>
        </w:rPr>
        <w:t>附件三、法定代表人</w:t>
      </w:r>
      <w:r>
        <w:t>授权委托书</w:t>
      </w:r>
      <w:bookmarkEnd w:id="65"/>
      <w:bookmarkEnd w:id="66"/>
      <w:bookmarkEnd w:id="67"/>
    </w:p>
    <w:p>
      <w:pPr>
        <w:pStyle w:val="27"/>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本项目投标文件</w:t>
      </w:r>
      <w:r>
        <w:rPr>
          <w:rFonts w:ascii="仿宋" w:hAnsi="仿宋" w:eastAsia="仿宋"/>
          <w:color w:val="000000"/>
        </w:rPr>
        <w:t>的法定代表人授权委托代理人，全权代表我</w:t>
      </w:r>
      <w:r>
        <w:rPr>
          <w:rFonts w:hint="eastAsia" w:ascii="仿宋" w:hAnsi="仿宋" w:eastAsia="仿宋"/>
          <w:color w:val="000000"/>
        </w:rPr>
        <w:t>单位处理本次磋商的有关事宜。代理人所签署的一切有关文件，我单位均予承认。</w:t>
      </w:r>
    </w:p>
    <w:p>
      <w:pPr>
        <w:pStyle w:val="27"/>
        <w:spacing w:line="360" w:lineRule="auto"/>
        <w:ind w:firstLine="560"/>
        <w:rPr>
          <w:rFonts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7"/>
        <w:spacing w:line="360" w:lineRule="auto"/>
        <w:ind w:firstLine="560"/>
        <w:rPr>
          <w:rFonts w:ascii="仿宋" w:hAnsi="仿宋" w:eastAsia="仿宋"/>
          <w:color w:val="000000"/>
        </w:rPr>
      </w:pPr>
      <w:r>
        <w:pict>
          <v:roundrect id="_x0000_s2053" o:spid="_x0000_s2053"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path/>
            <v:fill on="f" focussize="0,0"/>
            <v:stroke weight="1pt" color="#000000" joinstyle="miter"/>
            <v:imagedata o:title=""/>
            <o:lock v:ext="edit"/>
            <v:textbox>
              <w:txbxContent>
                <w:p>
                  <w:pPr>
                    <w:pStyle w:val="27"/>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2052" o:spid="_x0000_s2052"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path/>
            <v:fill on="f" focussize="0,0"/>
            <v:stroke weight="1pt" color="#000000" joinstyle="miter"/>
            <v:imagedata o:title=""/>
            <o:lock v:ext="edit"/>
            <v:textbox>
              <w:txbxContent>
                <w:p>
                  <w:pPr>
                    <w:pStyle w:val="27"/>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r>
        <w:rPr>
          <w:rFonts w:ascii="仿宋" w:hAnsi="仿宋" w:eastAsia="仿宋"/>
          <w:color w:val="000000"/>
        </w:rPr>
        <w:t xml:space="preserve"> </w:t>
      </w: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r>
        <w:pict>
          <v:roundrect id="_x0000_s2051" o:spid="_x0000_s2051"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path/>
            <v:fill on="f" focussize="0,0"/>
            <v:stroke weight="1pt" color="#000000" joinstyle="miter"/>
            <v:imagedata o:title=""/>
            <o:lock v:ext="edit"/>
            <v:textbox>
              <w:txbxContent>
                <w:p>
                  <w:pPr>
                    <w:pStyle w:val="27"/>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v:textbox>
          </v:roundrect>
        </w:pict>
      </w:r>
      <w:r>
        <w:pict>
          <v:roundrect id="_x0000_s2050" o:spid="_x0000_s2050"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path/>
            <v:fill on="f" focussize="0,0"/>
            <v:stroke weight="1pt" color="#000000" joinstyle="miter"/>
            <v:imagedata o:title=""/>
            <o:lock v:ext="edit"/>
            <v:textbox>
              <w:txbxContent>
                <w:p>
                  <w:pPr>
                    <w:pStyle w:val="27"/>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v:textbox>
          </v:roundrect>
        </w:pict>
      </w: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p>
    <w:p>
      <w:pPr>
        <w:pStyle w:val="27"/>
        <w:spacing w:line="360" w:lineRule="auto"/>
        <w:ind w:firstLine="0" w:firstLineChars="0"/>
        <w:rPr>
          <w:rFonts w:ascii="仿宋" w:hAnsi="仿宋" w:eastAsia="仿宋"/>
          <w:color w:val="000000"/>
        </w:rPr>
      </w:pPr>
    </w:p>
    <w:p>
      <w:pPr>
        <w:pStyle w:val="27"/>
        <w:spacing w:line="360" w:lineRule="auto"/>
        <w:ind w:firstLine="0" w:firstLineChars="0"/>
        <w:rPr>
          <w:rFonts w:ascii="仿宋" w:hAnsi="仿宋" w:eastAsia="仿宋"/>
          <w:color w:val="000000"/>
        </w:rPr>
      </w:pPr>
    </w:p>
    <w:p>
      <w:pPr>
        <w:pStyle w:val="27"/>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7"/>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7"/>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7"/>
        <w:spacing w:line="360" w:lineRule="auto"/>
        <w:ind w:firstLine="560"/>
        <w:rPr>
          <w:rFonts w:ascii="仿宋" w:hAnsi="仿宋" w:eastAsia="仿宋"/>
          <w:color w:val="000000"/>
        </w:rPr>
      </w:pPr>
    </w:p>
    <w:p>
      <w:pPr>
        <w:pStyle w:val="8"/>
      </w:pPr>
      <w:r>
        <w:br w:type="page"/>
      </w:r>
      <w:bookmarkStart w:id="68" w:name="_Toc9301"/>
      <w:bookmarkStart w:id="69" w:name="_Toc56170396"/>
      <w:bookmarkStart w:id="70" w:name="_Toc61184639"/>
      <w:r>
        <w:rPr>
          <w:rFonts w:hint="eastAsia"/>
        </w:rPr>
        <w:t>附件四、关于磋商文件的声明函</w:t>
      </w:r>
      <w:bookmarkEnd w:id="68"/>
      <w:bookmarkEnd w:id="69"/>
      <w:bookmarkEnd w:id="70"/>
    </w:p>
    <w:p>
      <w:pPr>
        <w:adjustRightInd w:val="0"/>
        <w:snapToGrid w:val="0"/>
        <w:spacing w:line="360" w:lineRule="auto"/>
        <w:ind w:firstLine="560" w:firstLineChars="200"/>
        <w:rPr>
          <w:rFonts w:ascii="仿宋" w:hAnsi="仿宋" w:eastAsia="仿宋"/>
          <w:color w:val="000000"/>
          <w:sz w:val="28"/>
          <w:szCs w:val="28"/>
        </w:rPr>
      </w:pPr>
    </w:p>
    <w:p>
      <w:pPr>
        <w:pStyle w:val="27"/>
        <w:spacing w:line="360" w:lineRule="auto"/>
        <w:ind w:firstLine="560"/>
        <w:rPr>
          <w:rFonts w:ascii="仿宋" w:hAnsi="仿宋" w:eastAsia="仿宋"/>
          <w:color w:val="000000"/>
        </w:rPr>
      </w:pPr>
      <w:r>
        <w:rPr>
          <w:rFonts w:hint="eastAsia" w:ascii="仿宋" w:hAnsi="仿宋" w:eastAsia="仿宋"/>
          <w:color w:val="000000"/>
        </w:rPr>
        <w:t>致：中科高盛咨询集团有限公司：</w:t>
      </w:r>
    </w:p>
    <w:p>
      <w:pPr>
        <w:pStyle w:val="27"/>
        <w:spacing w:line="360" w:lineRule="auto"/>
        <w:ind w:firstLine="560"/>
        <w:rPr>
          <w:rFonts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项目，提交下述文件并声明全部说明是真实的和正确的。下述签字人将就下述文件中存在的虚假或不真实内容对磋商代理机构和采购人承担法律责任。</w:t>
      </w:r>
    </w:p>
    <w:p>
      <w:pPr>
        <w:pStyle w:val="27"/>
        <w:spacing w:line="360" w:lineRule="auto"/>
        <w:ind w:firstLine="560"/>
        <w:rPr>
          <w:rFonts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7"/>
        <w:spacing w:line="360" w:lineRule="auto"/>
        <w:ind w:firstLine="560"/>
        <w:rPr>
          <w:rFonts w:ascii="仿宋" w:hAnsi="仿宋" w:eastAsia="仿宋"/>
          <w:color w:val="000000"/>
        </w:rPr>
      </w:pPr>
      <w:r>
        <w:rPr>
          <w:rFonts w:hint="eastAsia" w:ascii="仿宋" w:hAnsi="仿宋" w:eastAsia="仿宋"/>
          <w:color w:val="000000"/>
        </w:rPr>
        <w:t>2）下述签字人证明本资格文件中的内容是真实的和正确的。</w:t>
      </w:r>
    </w:p>
    <w:p>
      <w:pPr>
        <w:pStyle w:val="27"/>
        <w:spacing w:line="360" w:lineRule="auto"/>
        <w:ind w:firstLine="560"/>
        <w:rPr>
          <w:rFonts w:ascii="仿宋" w:hAnsi="仿宋" w:eastAsia="仿宋"/>
          <w:color w:val="000000"/>
        </w:rPr>
      </w:pPr>
      <w:r>
        <w:rPr>
          <w:rFonts w:hint="eastAsia" w:ascii="仿宋" w:hAnsi="仿宋" w:eastAsia="仿宋"/>
          <w:color w:val="000000"/>
        </w:rPr>
        <w:t>下述签字人知道，采购人可能要求其提供进一步的资格材料并同意按采购人的要求提交。</w:t>
      </w:r>
    </w:p>
    <w:p>
      <w:pPr>
        <w:pStyle w:val="27"/>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7"/>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7"/>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pPr>
      <w:r>
        <w:rPr>
          <w:rFonts w:hint="eastAsia"/>
        </w:rPr>
        <w:br w:type="page"/>
      </w:r>
      <w:bookmarkStart w:id="71" w:name="_Toc5174"/>
      <w:bookmarkStart w:id="72" w:name="_Toc61184640"/>
      <w:bookmarkStart w:id="73" w:name="_Toc56170397"/>
      <w:r>
        <w:rPr>
          <w:rFonts w:hint="eastAsia"/>
        </w:rPr>
        <w:t>附件五、诚信磋商承诺书</w:t>
      </w:r>
      <w:bookmarkEnd w:id="71"/>
      <w:bookmarkEnd w:id="72"/>
      <w:bookmarkEnd w:id="73"/>
    </w:p>
    <w:p>
      <w:pPr>
        <w:pStyle w:val="27"/>
        <w:spacing w:line="360" w:lineRule="auto"/>
        <w:ind w:firstLine="560"/>
        <w:rPr>
          <w:rFonts w:ascii="仿宋" w:hAnsi="仿宋" w:eastAsia="仿宋"/>
          <w:color w:val="000000"/>
        </w:rPr>
      </w:pPr>
      <w:r>
        <w:rPr>
          <w:rFonts w:hint="eastAsia" w:ascii="仿宋" w:hAnsi="仿宋" w:eastAsia="仿宋"/>
          <w:color w:val="000000"/>
        </w:rPr>
        <w:t>本人以企业法定代表人的身份郑重承诺：</w:t>
      </w:r>
    </w:p>
    <w:p>
      <w:pPr>
        <w:pStyle w:val="27"/>
        <w:spacing w:line="360" w:lineRule="auto"/>
        <w:ind w:firstLine="560"/>
        <w:rPr>
          <w:rFonts w:ascii="仿宋" w:hAnsi="仿宋" w:eastAsia="仿宋"/>
          <w:color w:val="000000"/>
        </w:rPr>
      </w:pPr>
      <w:r>
        <w:rPr>
          <w:rFonts w:hint="eastAsia" w:ascii="仿宋" w:hAnsi="仿宋" w:eastAsia="仿宋"/>
          <w:color w:val="000000"/>
        </w:rPr>
        <w:t>一、磋商文件中所提供的一切材料都是真实、有效、合法的；</w:t>
      </w:r>
    </w:p>
    <w:p>
      <w:pPr>
        <w:pStyle w:val="27"/>
        <w:spacing w:line="360" w:lineRule="auto"/>
        <w:ind w:firstLine="560"/>
        <w:rPr>
          <w:rFonts w:ascii="仿宋" w:hAnsi="仿宋" w:eastAsia="仿宋"/>
          <w:color w:val="000000"/>
        </w:rPr>
      </w:pPr>
      <w:r>
        <w:rPr>
          <w:rFonts w:hint="eastAsia" w:ascii="仿宋" w:hAnsi="仿宋" w:eastAsia="仿宋"/>
          <w:color w:val="000000"/>
        </w:rPr>
        <w:t>二、不以他人名义磋商或者以其他方式弄虚作假，骗取成交；</w:t>
      </w:r>
    </w:p>
    <w:p>
      <w:pPr>
        <w:pStyle w:val="27"/>
        <w:spacing w:line="360" w:lineRule="auto"/>
        <w:ind w:firstLine="560"/>
        <w:rPr>
          <w:rFonts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7"/>
        <w:spacing w:line="360" w:lineRule="auto"/>
        <w:ind w:firstLine="560"/>
        <w:rPr>
          <w:rFonts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7"/>
        <w:spacing w:line="360" w:lineRule="auto"/>
        <w:ind w:firstLine="560"/>
        <w:rPr>
          <w:rFonts w:ascii="仿宋" w:hAnsi="仿宋" w:eastAsia="仿宋"/>
          <w:color w:val="000000"/>
        </w:rPr>
      </w:pPr>
      <w:r>
        <w:rPr>
          <w:rFonts w:hint="eastAsia" w:ascii="仿宋" w:hAnsi="仿宋" w:eastAsia="仿宋"/>
          <w:color w:val="000000"/>
        </w:rPr>
        <w:t>五、不向采购人或者磋商委员会成员行贿以牟取成交；</w:t>
      </w:r>
    </w:p>
    <w:p>
      <w:pPr>
        <w:pStyle w:val="27"/>
        <w:spacing w:line="360" w:lineRule="auto"/>
        <w:ind w:firstLine="560"/>
        <w:rPr>
          <w:rFonts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7"/>
        <w:spacing w:line="360" w:lineRule="auto"/>
        <w:ind w:firstLine="560"/>
        <w:rPr>
          <w:rFonts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7"/>
        <w:spacing w:line="360" w:lineRule="auto"/>
        <w:ind w:firstLine="560"/>
        <w:rPr>
          <w:rFonts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7"/>
        <w:spacing w:line="360" w:lineRule="auto"/>
        <w:ind w:firstLine="560"/>
        <w:rPr>
          <w:rFonts w:ascii="仿宋" w:hAnsi="仿宋" w:eastAsia="仿宋"/>
          <w:color w:val="000000"/>
        </w:rPr>
      </w:pPr>
      <w:r>
        <w:rPr>
          <w:rFonts w:hint="eastAsia" w:ascii="仿宋" w:hAnsi="仿宋" w:eastAsia="仿宋"/>
          <w:color w:val="000000"/>
        </w:rPr>
        <w:t>供应商：（公章）</w:t>
      </w:r>
    </w:p>
    <w:p>
      <w:pPr>
        <w:pStyle w:val="27"/>
        <w:spacing w:line="360" w:lineRule="auto"/>
        <w:ind w:firstLine="560"/>
        <w:rPr>
          <w:rFonts w:ascii="仿宋" w:hAnsi="仿宋" w:eastAsia="仿宋"/>
          <w:color w:val="000000"/>
        </w:rPr>
      </w:pPr>
      <w:r>
        <w:rPr>
          <w:rFonts w:hint="eastAsia" w:ascii="仿宋" w:hAnsi="仿宋" w:eastAsia="仿宋"/>
          <w:color w:val="000000"/>
        </w:rPr>
        <w:t>法定代表人：（签字）       法定代表授权委托人：（签字）</w:t>
      </w:r>
    </w:p>
    <w:p>
      <w:pPr>
        <w:pStyle w:val="8"/>
      </w:pPr>
      <w:r>
        <w:rPr>
          <w:rFonts w:hint="eastAsia"/>
          <w:szCs w:val="28"/>
        </w:rPr>
        <w:br w:type="page"/>
      </w:r>
      <w:bookmarkStart w:id="74" w:name="_Toc435087575"/>
      <w:bookmarkStart w:id="75" w:name="_Toc61184641"/>
      <w:bookmarkStart w:id="76" w:name="_Toc56170398"/>
      <w:bookmarkStart w:id="77" w:name="_Toc30642"/>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7"/>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8"/>
        <w:rPr>
          <w:rFonts w:cs="sans-serif"/>
          <w:sz w:val="19"/>
          <w:szCs w:val="19"/>
        </w:rPr>
      </w:pPr>
      <w:r>
        <w:br w:type="page"/>
      </w:r>
      <w:bookmarkStart w:id="78" w:name="_Toc31315"/>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7"/>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7"/>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12"/>
        <w:rPr>
          <w:rFonts w:ascii="仿宋" w:hAnsi="仿宋" w:eastAsia="仿宋"/>
        </w:rPr>
      </w:pPr>
    </w:p>
    <w:p>
      <w:pPr>
        <w:pStyle w:val="27"/>
        <w:spacing w:line="360" w:lineRule="auto"/>
        <w:ind w:firstLine="560"/>
        <w:rPr>
          <w:rFonts w:ascii="仿宋" w:hAnsi="仿宋" w:eastAsia="仿宋"/>
          <w:color w:val="000000"/>
        </w:rPr>
      </w:pPr>
    </w:p>
    <w:p>
      <w:pPr>
        <w:spacing w:line="360" w:lineRule="auto"/>
        <w:ind w:firstLine="622"/>
        <w:rPr>
          <w:rFonts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pStyle w:val="8"/>
        <w:spacing w:line="360" w:lineRule="auto"/>
      </w:pPr>
      <w:bookmarkStart w:id="79" w:name="_Toc22501"/>
      <w:bookmarkStart w:id="80" w:name="_Toc61184642"/>
      <w:bookmarkStart w:id="81" w:name="_Toc56170399"/>
      <w:r>
        <w:rPr>
          <w:rFonts w:hint="eastAsia"/>
        </w:rPr>
        <w:t>附件八、磋商一览表</w:t>
      </w:r>
      <w:bookmarkEnd w:id="79"/>
      <w:bookmarkEnd w:id="80"/>
      <w:bookmarkEnd w:id="81"/>
    </w:p>
    <w:p>
      <w:pPr>
        <w:tabs>
          <w:tab w:val="center" w:pos="7115"/>
          <w:tab w:val="right" w:pos="14230"/>
        </w:tabs>
        <w:spacing w:line="360" w:lineRule="auto"/>
        <w:ind w:firstLine="140" w:firstLineChars="50"/>
        <w:rPr>
          <w:rFonts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0"/>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2324"/>
        <w:gridCol w:w="2324"/>
        <w:gridCol w:w="2324"/>
        <w:gridCol w:w="2324"/>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atLeast"/>
          <w:jc w:val="center"/>
        </w:trPr>
        <w:tc>
          <w:tcPr>
            <w:tcW w:w="2610"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磋商内容</w:t>
            </w:r>
          </w:p>
        </w:tc>
        <w:tc>
          <w:tcPr>
            <w:tcW w:w="2324"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规格型号</w:t>
            </w:r>
          </w:p>
        </w:tc>
        <w:tc>
          <w:tcPr>
            <w:tcW w:w="2324"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品牌/产地</w:t>
            </w:r>
          </w:p>
        </w:tc>
        <w:tc>
          <w:tcPr>
            <w:tcW w:w="2324"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数量</w:t>
            </w:r>
          </w:p>
        </w:tc>
        <w:tc>
          <w:tcPr>
            <w:tcW w:w="2324"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单价（元）</w:t>
            </w:r>
          </w:p>
        </w:tc>
        <w:tc>
          <w:tcPr>
            <w:tcW w:w="2328"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atLeast"/>
          <w:jc w:val="center"/>
        </w:trPr>
        <w:tc>
          <w:tcPr>
            <w:tcW w:w="2610" w:type="dxa"/>
            <w:tcBorders>
              <w:bottom w:val="single" w:color="auto" w:sz="4" w:space="0"/>
            </w:tcBorders>
            <w:vAlign w:val="center"/>
          </w:tcPr>
          <w:p>
            <w:pPr>
              <w:snapToGrid w:val="0"/>
              <w:spacing w:line="360" w:lineRule="auto"/>
              <w:jc w:val="center"/>
              <w:rPr>
                <w:rFonts w:ascii="仿宋" w:hAnsi="仿宋" w:eastAsia="仿宋"/>
                <w:color w:val="000000"/>
                <w:sz w:val="28"/>
                <w:szCs w:val="28"/>
              </w:rPr>
            </w:pPr>
          </w:p>
        </w:tc>
        <w:tc>
          <w:tcPr>
            <w:tcW w:w="2324" w:type="dxa"/>
            <w:tcBorders>
              <w:bottom w:val="single" w:color="auto" w:sz="4" w:space="0"/>
            </w:tcBorders>
            <w:vAlign w:val="center"/>
          </w:tcPr>
          <w:p>
            <w:pPr>
              <w:snapToGrid w:val="0"/>
              <w:spacing w:line="360" w:lineRule="auto"/>
              <w:jc w:val="center"/>
              <w:rPr>
                <w:rFonts w:ascii="仿宋" w:hAnsi="仿宋" w:eastAsia="仿宋"/>
                <w:color w:val="000000"/>
                <w:sz w:val="28"/>
                <w:szCs w:val="28"/>
              </w:rPr>
            </w:pPr>
          </w:p>
        </w:tc>
        <w:tc>
          <w:tcPr>
            <w:tcW w:w="2324" w:type="dxa"/>
            <w:tcBorders>
              <w:bottom w:val="single" w:color="auto" w:sz="4" w:space="0"/>
            </w:tcBorders>
            <w:vAlign w:val="center"/>
          </w:tcPr>
          <w:p>
            <w:pPr>
              <w:snapToGrid w:val="0"/>
              <w:spacing w:line="360" w:lineRule="auto"/>
              <w:jc w:val="center"/>
              <w:rPr>
                <w:rFonts w:ascii="仿宋" w:hAnsi="仿宋" w:eastAsia="仿宋"/>
                <w:color w:val="000000"/>
                <w:sz w:val="28"/>
                <w:szCs w:val="28"/>
              </w:rPr>
            </w:pPr>
          </w:p>
        </w:tc>
        <w:tc>
          <w:tcPr>
            <w:tcW w:w="2324" w:type="dxa"/>
            <w:tcBorders>
              <w:bottom w:val="single" w:color="auto" w:sz="4" w:space="0"/>
            </w:tcBorders>
            <w:vAlign w:val="center"/>
          </w:tcPr>
          <w:p>
            <w:pPr>
              <w:snapToGrid w:val="0"/>
              <w:spacing w:line="360" w:lineRule="auto"/>
              <w:jc w:val="center"/>
              <w:rPr>
                <w:rFonts w:ascii="仿宋" w:hAnsi="仿宋" w:eastAsia="仿宋"/>
                <w:color w:val="000000"/>
                <w:sz w:val="28"/>
                <w:szCs w:val="28"/>
              </w:rPr>
            </w:pPr>
          </w:p>
        </w:tc>
        <w:tc>
          <w:tcPr>
            <w:tcW w:w="2324" w:type="dxa"/>
            <w:tcBorders>
              <w:bottom w:val="single" w:color="auto" w:sz="4" w:space="0"/>
              <w:right w:val="single" w:color="auto" w:sz="4" w:space="0"/>
            </w:tcBorders>
            <w:vAlign w:val="center"/>
          </w:tcPr>
          <w:p>
            <w:pPr>
              <w:snapToGrid w:val="0"/>
              <w:spacing w:line="360" w:lineRule="auto"/>
              <w:jc w:val="center"/>
              <w:rPr>
                <w:rFonts w:ascii="仿宋" w:hAnsi="仿宋" w:eastAsia="仿宋"/>
                <w:color w:val="000000"/>
                <w:sz w:val="28"/>
                <w:szCs w:val="28"/>
              </w:rPr>
            </w:pPr>
          </w:p>
        </w:tc>
        <w:tc>
          <w:tcPr>
            <w:tcW w:w="232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atLeast"/>
          <w:jc w:val="center"/>
        </w:trPr>
        <w:tc>
          <w:tcPr>
            <w:tcW w:w="2610"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5"/>
            <w:vAlign w:val="center"/>
          </w:tcPr>
          <w:p>
            <w:pPr>
              <w:spacing w:line="360" w:lineRule="auto"/>
              <w:jc w:val="left"/>
              <w:rPr>
                <w:rFonts w:ascii="仿宋" w:hAnsi="仿宋" w:eastAsia="仿宋"/>
                <w:color w:val="000000"/>
                <w:sz w:val="28"/>
                <w:szCs w:val="28"/>
              </w:rPr>
            </w:pPr>
            <w:r>
              <w:rPr>
                <w:rFonts w:hint="eastAsia" w:ascii="仿宋" w:hAnsi="仿宋" w:eastAsia="仿宋"/>
                <w:color w:val="000000"/>
                <w:sz w:val="28"/>
                <w:szCs w:val="28"/>
              </w:rPr>
              <w:t xml:space="preserve">小写：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atLeast"/>
          <w:jc w:val="center"/>
        </w:trPr>
        <w:tc>
          <w:tcPr>
            <w:tcW w:w="2610"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工期</w:t>
            </w:r>
          </w:p>
        </w:tc>
        <w:tc>
          <w:tcPr>
            <w:tcW w:w="11624" w:type="dxa"/>
            <w:gridSpan w:val="5"/>
            <w:vAlign w:val="center"/>
          </w:tcPr>
          <w:p>
            <w:pPr>
              <w:spacing w:line="360" w:lineRule="auto"/>
              <w:jc w:val="left"/>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atLeast"/>
          <w:jc w:val="center"/>
        </w:trPr>
        <w:tc>
          <w:tcPr>
            <w:tcW w:w="2610"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质保期</w:t>
            </w:r>
          </w:p>
        </w:tc>
        <w:tc>
          <w:tcPr>
            <w:tcW w:w="11624" w:type="dxa"/>
            <w:gridSpan w:val="5"/>
            <w:vAlign w:val="center"/>
          </w:tcPr>
          <w:p>
            <w:pPr>
              <w:spacing w:line="360" w:lineRule="auto"/>
              <w:jc w:val="left"/>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atLeast"/>
          <w:jc w:val="center"/>
        </w:trPr>
        <w:tc>
          <w:tcPr>
            <w:tcW w:w="2610"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其他</w:t>
            </w:r>
          </w:p>
        </w:tc>
        <w:tc>
          <w:tcPr>
            <w:tcW w:w="11624" w:type="dxa"/>
            <w:gridSpan w:val="5"/>
            <w:tcBorders>
              <w:bottom w:val="single" w:color="auto" w:sz="4" w:space="0"/>
            </w:tcBorders>
            <w:vAlign w:val="center"/>
          </w:tcPr>
          <w:p>
            <w:pPr>
              <w:spacing w:line="360" w:lineRule="auto"/>
              <w:jc w:val="left"/>
              <w:rPr>
                <w:rFonts w:ascii="仿宋" w:hAnsi="仿宋" w:eastAsia="仿宋"/>
                <w:color w:val="000000"/>
                <w:sz w:val="28"/>
                <w:szCs w:val="28"/>
              </w:rPr>
            </w:pPr>
          </w:p>
        </w:tc>
      </w:tr>
    </w:tbl>
    <w:p>
      <w:pPr>
        <w:spacing w:line="360" w:lineRule="auto"/>
        <w:ind w:firstLine="537" w:firstLineChars="192"/>
        <w:rPr>
          <w:rFonts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3、详细清单参照附件九自制。</w:t>
      </w:r>
    </w:p>
    <w:p>
      <w:pPr>
        <w:pStyle w:val="8"/>
      </w:pPr>
      <w:r>
        <w:rPr>
          <w:rFonts w:hint="eastAsia"/>
        </w:rPr>
        <w:br w:type="page"/>
      </w:r>
      <w:bookmarkStart w:id="82" w:name="_Toc2236"/>
      <w:bookmarkStart w:id="83" w:name="_Toc56170400"/>
      <w:bookmarkStart w:id="84" w:name="_Toc61184643"/>
      <w:r>
        <w:rPr>
          <w:rFonts w:hint="eastAsia"/>
        </w:rPr>
        <w:t>附件九、磋商产品名称、数量、规格分项报价表</w:t>
      </w:r>
      <w:bookmarkEnd w:id="82"/>
      <w:bookmarkEnd w:id="83"/>
      <w:bookmarkEnd w:id="84"/>
    </w:p>
    <w:p>
      <w:pPr>
        <w:pStyle w:val="27"/>
        <w:spacing w:afterLines="50" w:line="440" w:lineRule="exact"/>
        <w:ind w:firstLine="560"/>
        <w:rPr>
          <w:rFonts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0"/>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名 称</w:t>
            </w:r>
          </w:p>
        </w:tc>
        <w:tc>
          <w:tcPr>
            <w:tcW w:w="153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规格型号</w:t>
            </w:r>
          </w:p>
        </w:tc>
        <w:tc>
          <w:tcPr>
            <w:tcW w:w="1398"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数量（标明单位）</w:t>
            </w:r>
          </w:p>
        </w:tc>
        <w:tc>
          <w:tcPr>
            <w:tcW w:w="165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63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合价（元）</w:t>
            </w:r>
          </w:p>
        </w:tc>
        <w:tc>
          <w:tcPr>
            <w:tcW w:w="216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w:t>
            </w:r>
          </w:p>
        </w:tc>
        <w:tc>
          <w:tcPr>
            <w:tcW w:w="364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2</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3</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4</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5</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6</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7</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vAlign w:val="center"/>
          </w:tcPr>
          <w:p>
            <w:pPr>
              <w:spacing w:line="360" w:lineRule="auto"/>
              <w:ind w:firstLine="480"/>
              <w:jc w:val="center"/>
              <w:rPr>
                <w:rFonts w:ascii="仿宋" w:hAnsi="仿宋" w:eastAsia="仿宋"/>
                <w:color w:val="000000"/>
                <w:sz w:val="24"/>
                <w:szCs w:val="24"/>
              </w:rPr>
            </w:pPr>
          </w:p>
        </w:tc>
      </w:tr>
    </w:tbl>
    <w:p>
      <w:pPr>
        <w:spacing w:beforeLines="50" w:line="360" w:lineRule="auto"/>
        <w:ind w:firstLine="560" w:firstLineChars="200"/>
        <w:rPr>
          <w:rFonts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3"/>
        <w:spacing w:line="360" w:lineRule="auto"/>
        <w:ind w:right="-15" w:firstLine="1120" w:firstLineChars="400"/>
        <w:rPr>
          <w:rFonts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pPr>
      <w:r>
        <w:br w:type="page"/>
      </w:r>
      <w:bookmarkStart w:id="85" w:name="_Toc61184644"/>
      <w:bookmarkStart w:id="86" w:name="_Toc56170401"/>
      <w:bookmarkStart w:id="87" w:name="_Toc27579"/>
      <w:r>
        <w:rPr>
          <w:rFonts w:hint="eastAsia"/>
        </w:rPr>
        <w:t>附件十、技术规格偏离表</w:t>
      </w:r>
      <w:bookmarkEnd w:id="85"/>
      <w:bookmarkEnd w:id="86"/>
      <w:bookmarkEnd w:id="87"/>
    </w:p>
    <w:tbl>
      <w:tblPr>
        <w:tblStyle w:val="20"/>
        <w:tblW w:w="0" w:type="auto"/>
        <w:jc w:val="center"/>
        <w:tblLayout w:type="fixed"/>
        <w:tblCellMar>
          <w:top w:w="0" w:type="dxa"/>
          <w:left w:w="108" w:type="dxa"/>
          <w:bottom w:w="0" w:type="dxa"/>
          <w:right w:w="108" w:type="dxa"/>
        </w:tblCellMar>
      </w:tblPr>
      <w:tblGrid>
        <w:gridCol w:w="918"/>
        <w:gridCol w:w="3762"/>
        <w:gridCol w:w="3583"/>
        <w:gridCol w:w="3342"/>
        <w:gridCol w:w="2435"/>
      </w:tblGrid>
      <w:tr>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562"/>
        <w:rPr>
          <w:rFonts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pPr>
      <w:r>
        <w:rPr>
          <w:rFonts w:hint="eastAsia"/>
          <w:sz w:val="42"/>
        </w:rPr>
        <w:br w:type="page"/>
      </w:r>
      <w:bookmarkStart w:id="88" w:name="_Toc11172"/>
      <w:bookmarkStart w:id="89" w:name="_Toc61184645"/>
      <w:bookmarkStart w:id="90" w:name="_Toc56170402"/>
      <w:r>
        <w:rPr>
          <w:rFonts w:hint="eastAsia"/>
        </w:rPr>
        <w:t>附件十一、商务条款偏离表</w:t>
      </w:r>
      <w:bookmarkEnd w:id="88"/>
      <w:bookmarkEnd w:id="89"/>
      <w:bookmarkEnd w:id="90"/>
    </w:p>
    <w:tbl>
      <w:tblPr>
        <w:tblStyle w:val="20"/>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pPr>
      <w:r>
        <w:rPr>
          <w:rFonts w:hint="eastAsia"/>
        </w:rPr>
        <w:br w:type="page"/>
      </w:r>
      <w:bookmarkStart w:id="91" w:name="_Toc5354"/>
      <w:bookmarkStart w:id="92" w:name="_Toc61184646"/>
      <w:bookmarkStart w:id="93" w:name="_Toc56170403"/>
      <w:r>
        <w:rPr>
          <w:rFonts w:hint="eastAsia"/>
        </w:rPr>
        <w:t>附件十二、磋商产品近三年同类产品销售业绩表</w:t>
      </w:r>
      <w:bookmarkEnd w:id="91"/>
      <w:bookmarkEnd w:id="92"/>
      <w:bookmarkEnd w:id="93"/>
    </w:p>
    <w:tbl>
      <w:tblPr>
        <w:tblStyle w:val="20"/>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137" w:firstLineChars="49"/>
        <w:rPr>
          <w:rFonts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0000009F" w:csb1="0000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6" o:spid="_x0000_s307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20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19"/>
        <w:tab w:val="clear" w:pos="4153"/>
      </w:tabs>
    </w:pPr>
    <w:r>
      <w:pict>
        <v:shape id="_x0000_s3078" o:spid="_x0000_s3078"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path/>
          <v:fill on="f" focussize="0,0"/>
          <v:stroke on="f" weight="1.25pt"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pict>
        <v:shape id="_x0000_s3077" o:spid="_x0000_s3077"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path/>
          <v:fill on="f" focussize="0,0"/>
          <v:stroke on="f" weight="1.25pt" joinstyle="miter"/>
          <v:imagedata o:title=""/>
          <o:lock v:ext="edit"/>
          <v:textbox inset="0mm,0mm,0mm,0mm" style="mso-fit-shape-to-text:t;">
            <w:txbxContent>
              <w:p>
                <w:pPr>
                  <w:pStyle w:val="15"/>
                </w:pPr>
              </w:p>
            </w:txbxContent>
          </v:textbox>
        </v:shape>
      </w:pic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19"/>
        <w:tab w:val="clear" w:pos="4153"/>
      </w:tabs>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51</w:t>
                </w:r>
                <w:r>
                  <w:fldChar w:fldCharType="end"/>
                </w:r>
              </w:p>
            </w:txbxContent>
          </v:textbox>
        </v:shape>
      </w:pict>
    </w: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path/>
          <v:fill on="f" focussize="0,0"/>
          <v:stroke on="f" weight="1.25pt" joinstyle="miter"/>
          <v:imagedata o:title=""/>
          <o:lock v:ext="edit"/>
          <v:textbox inset="0mm,0mm,0mm,0mm" style="mso-fit-shape-to-text:t;">
            <w:txbxContent>
              <w:p>
                <w:pPr>
                  <w:pStyle w:val="15"/>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3"/>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10"/>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liMDc2ZjMyNTJmNDhmMzdiNmNhZGU4MzFiNzkzYmMifQ=="/>
  </w:docVars>
  <w:rsids>
    <w:rsidRoot w:val="00077980"/>
    <w:rsid w:val="00077980"/>
    <w:rsid w:val="008C255C"/>
    <w:rsid w:val="008F08CE"/>
    <w:rsid w:val="009120D1"/>
    <w:rsid w:val="00AA3460"/>
    <w:rsid w:val="00CD1788"/>
    <w:rsid w:val="00E40206"/>
    <w:rsid w:val="00FD16FA"/>
    <w:rsid w:val="016E0475"/>
    <w:rsid w:val="01CC2A72"/>
    <w:rsid w:val="026262C0"/>
    <w:rsid w:val="02650493"/>
    <w:rsid w:val="02706F9F"/>
    <w:rsid w:val="02A30234"/>
    <w:rsid w:val="02CB1CF7"/>
    <w:rsid w:val="035D1F6C"/>
    <w:rsid w:val="035D3297"/>
    <w:rsid w:val="035E2B6B"/>
    <w:rsid w:val="035E6419"/>
    <w:rsid w:val="036A7762"/>
    <w:rsid w:val="036D3DE7"/>
    <w:rsid w:val="03767EB5"/>
    <w:rsid w:val="03E27385"/>
    <w:rsid w:val="04BA216D"/>
    <w:rsid w:val="050D4B2E"/>
    <w:rsid w:val="055752FB"/>
    <w:rsid w:val="05663F59"/>
    <w:rsid w:val="056B16EE"/>
    <w:rsid w:val="05DA5BDB"/>
    <w:rsid w:val="06061E9B"/>
    <w:rsid w:val="0642797C"/>
    <w:rsid w:val="064F49ED"/>
    <w:rsid w:val="06F4757A"/>
    <w:rsid w:val="073F2CB4"/>
    <w:rsid w:val="07415441"/>
    <w:rsid w:val="076C4A0F"/>
    <w:rsid w:val="079851F1"/>
    <w:rsid w:val="07FE7A63"/>
    <w:rsid w:val="081A742F"/>
    <w:rsid w:val="0849203C"/>
    <w:rsid w:val="08CB1718"/>
    <w:rsid w:val="09425929"/>
    <w:rsid w:val="09661D2F"/>
    <w:rsid w:val="097E7AC3"/>
    <w:rsid w:val="09AC5E32"/>
    <w:rsid w:val="09B039F5"/>
    <w:rsid w:val="0A183EA3"/>
    <w:rsid w:val="0A4C26EB"/>
    <w:rsid w:val="0A9926DB"/>
    <w:rsid w:val="0AD54619"/>
    <w:rsid w:val="0ADC3A6F"/>
    <w:rsid w:val="0BB55228"/>
    <w:rsid w:val="0BF5180D"/>
    <w:rsid w:val="0C174F86"/>
    <w:rsid w:val="0C4F740C"/>
    <w:rsid w:val="0C7E427E"/>
    <w:rsid w:val="0CB41A4E"/>
    <w:rsid w:val="0D0C3638"/>
    <w:rsid w:val="0D3D1A44"/>
    <w:rsid w:val="0D452426"/>
    <w:rsid w:val="0DA73361"/>
    <w:rsid w:val="0DB30434"/>
    <w:rsid w:val="0DC11B23"/>
    <w:rsid w:val="0DFE5677"/>
    <w:rsid w:val="0E08085D"/>
    <w:rsid w:val="0E163352"/>
    <w:rsid w:val="0E7A447D"/>
    <w:rsid w:val="0EDB1514"/>
    <w:rsid w:val="0F161444"/>
    <w:rsid w:val="0F606C81"/>
    <w:rsid w:val="1019116F"/>
    <w:rsid w:val="102C0516"/>
    <w:rsid w:val="10AC5ADF"/>
    <w:rsid w:val="119A0D13"/>
    <w:rsid w:val="11C444E1"/>
    <w:rsid w:val="11CF7681"/>
    <w:rsid w:val="1211524D"/>
    <w:rsid w:val="127A47E3"/>
    <w:rsid w:val="128A3E26"/>
    <w:rsid w:val="13574F11"/>
    <w:rsid w:val="139776B8"/>
    <w:rsid w:val="13B05556"/>
    <w:rsid w:val="13BA5F08"/>
    <w:rsid w:val="13E67B05"/>
    <w:rsid w:val="14961306"/>
    <w:rsid w:val="14BB5FF2"/>
    <w:rsid w:val="15000AF5"/>
    <w:rsid w:val="15506288"/>
    <w:rsid w:val="15603CAA"/>
    <w:rsid w:val="15F27892"/>
    <w:rsid w:val="161F262E"/>
    <w:rsid w:val="16410357"/>
    <w:rsid w:val="164B02B8"/>
    <w:rsid w:val="164B44BB"/>
    <w:rsid w:val="16917C7C"/>
    <w:rsid w:val="1736249E"/>
    <w:rsid w:val="17575DF8"/>
    <w:rsid w:val="177171E7"/>
    <w:rsid w:val="17B80644"/>
    <w:rsid w:val="182A7068"/>
    <w:rsid w:val="183879D7"/>
    <w:rsid w:val="184B770B"/>
    <w:rsid w:val="185B1B37"/>
    <w:rsid w:val="18761063"/>
    <w:rsid w:val="18963552"/>
    <w:rsid w:val="18BA78F3"/>
    <w:rsid w:val="1934019F"/>
    <w:rsid w:val="198C3CCE"/>
    <w:rsid w:val="19C534ED"/>
    <w:rsid w:val="19EA4D01"/>
    <w:rsid w:val="19EC0A79"/>
    <w:rsid w:val="1A1B1B9C"/>
    <w:rsid w:val="1A6950D1"/>
    <w:rsid w:val="1A92241C"/>
    <w:rsid w:val="1B0A6D70"/>
    <w:rsid w:val="1B1572B6"/>
    <w:rsid w:val="1B476B6D"/>
    <w:rsid w:val="1B650AE3"/>
    <w:rsid w:val="1B970EB9"/>
    <w:rsid w:val="1BBC2159"/>
    <w:rsid w:val="1BEF2AA3"/>
    <w:rsid w:val="1C2E5AE7"/>
    <w:rsid w:val="1CBA09BB"/>
    <w:rsid w:val="1CBD485A"/>
    <w:rsid w:val="1CE95F19"/>
    <w:rsid w:val="1DE420B1"/>
    <w:rsid w:val="1E1037B0"/>
    <w:rsid w:val="1E296254"/>
    <w:rsid w:val="1E496813"/>
    <w:rsid w:val="1EA336D1"/>
    <w:rsid w:val="1F257F94"/>
    <w:rsid w:val="1F5F5CCC"/>
    <w:rsid w:val="1F9C0B2D"/>
    <w:rsid w:val="1FD359B9"/>
    <w:rsid w:val="20945F1C"/>
    <w:rsid w:val="20A43AB4"/>
    <w:rsid w:val="20C35BA6"/>
    <w:rsid w:val="21063CC7"/>
    <w:rsid w:val="211F14D8"/>
    <w:rsid w:val="214A3A41"/>
    <w:rsid w:val="214B077B"/>
    <w:rsid w:val="21555156"/>
    <w:rsid w:val="217838C3"/>
    <w:rsid w:val="21996F9D"/>
    <w:rsid w:val="220D1A27"/>
    <w:rsid w:val="22332029"/>
    <w:rsid w:val="22353D7E"/>
    <w:rsid w:val="22641DC5"/>
    <w:rsid w:val="22A4563B"/>
    <w:rsid w:val="22CF0F38"/>
    <w:rsid w:val="22D947ED"/>
    <w:rsid w:val="231E77CA"/>
    <w:rsid w:val="2333183B"/>
    <w:rsid w:val="233B75FE"/>
    <w:rsid w:val="23797C9C"/>
    <w:rsid w:val="238D506A"/>
    <w:rsid w:val="23B243CA"/>
    <w:rsid w:val="240063DE"/>
    <w:rsid w:val="240A66CC"/>
    <w:rsid w:val="242A39A5"/>
    <w:rsid w:val="242B4894"/>
    <w:rsid w:val="24464391"/>
    <w:rsid w:val="24470618"/>
    <w:rsid w:val="247E0DB7"/>
    <w:rsid w:val="24D93DCA"/>
    <w:rsid w:val="24E94CB4"/>
    <w:rsid w:val="251B2213"/>
    <w:rsid w:val="25895BF3"/>
    <w:rsid w:val="25DD2143"/>
    <w:rsid w:val="26451C3D"/>
    <w:rsid w:val="278E7BCD"/>
    <w:rsid w:val="27C70E35"/>
    <w:rsid w:val="280301F6"/>
    <w:rsid w:val="28052165"/>
    <w:rsid w:val="282615FA"/>
    <w:rsid w:val="284B1061"/>
    <w:rsid w:val="284E5D2C"/>
    <w:rsid w:val="296A3769"/>
    <w:rsid w:val="298962E5"/>
    <w:rsid w:val="29A9603F"/>
    <w:rsid w:val="29C80E82"/>
    <w:rsid w:val="29F4021C"/>
    <w:rsid w:val="2A024B59"/>
    <w:rsid w:val="2A4C2202"/>
    <w:rsid w:val="2A4E4E38"/>
    <w:rsid w:val="2AA34D40"/>
    <w:rsid w:val="2ABD3574"/>
    <w:rsid w:val="2AD613E0"/>
    <w:rsid w:val="2B0100FD"/>
    <w:rsid w:val="2B766148"/>
    <w:rsid w:val="2BAC1E16"/>
    <w:rsid w:val="2C086E09"/>
    <w:rsid w:val="2C132D5C"/>
    <w:rsid w:val="2C3312DC"/>
    <w:rsid w:val="2CB6302F"/>
    <w:rsid w:val="2CC17B44"/>
    <w:rsid w:val="2D605355"/>
    <w:rsid w:val="2D831DB3"/>
    <w:rsid w:val="2D9967F0"/>
    <w:rsid w:val="2DED4BDD"/>
    <w:rsid w:val="2DFE26D1"/>
    <w:rsid w:val="2E7A0E8C"/>
    <w:rsid w:val="2E884DBD"/>
    <w:rsid w:val="2EA80FBB"/>
    <w:rsid w:val="2EEE52BA"/>
    <w:rsid w:val="2F1A5892"/>
    <w:rsid w:val="2F2D7712"/>
    <w:rsid w:val="2F486C10"/>
    <w:rsid w:val="2F686266"/>
    <w:rsid w:val="2F8135BA"/>
    <w:rsid w:val="2FBF4BA7"/>
    <w:rsid w:val="2FC21513"/>
    <w:rsid w:val="2FCE2CA3"/>
    <w:rsid w:val="2FF9733C"/>
    <w:rsid w:val="302A3C52"/>
    <w:rsid w:val="303350A5"/>
    <w:rsid w:val="30750EFB"/>
    <w:rsid w:val="30DD4D5C"/>
    <w:rsid w:val="315106F8"/>
    <w:rsid w:val="31AE5714"/>
    <w:rsid w:val="3220355E"/>
    <w:rsid w:val="32357157"/>
    <w:rsid w:val="32430FFB"/>
    <w:rsid w:val="3316539F"/>
    <w:rsid w:val="337E053C"/>
    <w:rsid w:val="33A627BA"/>
    <w:rsid w:val="33A67A93"/>
    <w:rsid w:val="34396F40"/>
    <w:rsid w:val="345E036E"/>
    <w:rsid w:val="34A373C7"/>
    <w:rsid w:val="34B667EF"/>
    <w:rsid w:val="34C5399E"/>
    <w:rsid w:val="35040F15"/>
    <w:rsid w:val="352944D8"/>
    <w:rsid w:val="353A2B32"/>
    <w:rsid w:val="36525CB0"/>
    <w:rsid w:val="366B28AD"/>
    <w:rsid w:val="36854DDA"/>
    <w:rsid w:val="368C4D1E"/>
    <w:rsid w:val="36AA33F6"/>
    <w:rsid w:val="36AB19CF"/>
    <w:rsid w:val="36F17277"/>
    <w:rsid w:val="36FC05A5"/>
    <w:rsid w:val="377A31D5"/>
    <w:rsid w:val="377F4883"/>
    <w:rsid w:val="378F7F37"/>
    <w:rsid w:val="37FA6DF6"/>
    <w:rsid w:val="380B2468"/>
    <w:rsid w:val="381476C1"/>
    <w:rsid w:val="38993021"/>
    <w:rsid w:val="389C6737"/>
    <w:rsid w:val="38D13BA5"/>
    <w:rsid w:val="38F55962"/>
    <w:rsid w:val="390E38AF"/>
    <w:rsid w:val="39333B77"/>
    <w:rsid w:val="39737051"/>
    <w:rsid w:val="39751D74"/>
    <w:rsid w:val="39926718"/>
    <w:rsid w:val="39E11825"/>
    <w:rsid w:val="3A122237"/>
    <w:rsid w:val="3A2C539B"/>
    <w:rsid w:val="3A3F02FA"/>
    <w:rsid w:val="3A83468A"/>
    <w:rsid w:val="3A875BD0"/>
    <w:rsid w:val="3ACE7FFB"/>
    <w:rsid w:val="3B023801"/>
    <w:rsid w:val="3B0C7FB1"/>
    <w:rsid w:val="3B36643D"/>
    <w:rsid w:val="3B451022"/>
    <w:rsid w:val="3B4B164C"/>
    <w:rsid w:val="3B7121C5"/>
    <w:rsid w:val="3BBE2933"/>
    <w:rsid w:val="3BD55452"/>
    <w:rsid w:val="3C1F5AB4"/>
    <w:rsid w:val="3C4D6CFE"/>
    <w:rsid w:val="3C9E57AB"/>
    <w:rsid w:val="3CC53369"/>
    <w:rsid w:val="3CE066B1"/>
    <w:rsid w:val="3D581806"/>
    <w:rsid w:val="3E154EC6"/>
    <w:rsid w:val="3E3C1720"/>
    <w:rsid w:val="3E473A5B"/>
    <w:rsid w:val="3E644066"/>
    <w:rsid w:val="3EA03A5D"/>
    <w:rsid w:val="3EE36CFB"/>
    <w:rsid w:val="3F5B3E28"/>
    <w:rsid w:val="3F9A7199"/>
    <w:rsid w:val="3F9F3D14"/>
    <w:rsid w:val="3FCE4D5F"/>
    <w:rsid w:val="4004626D"/>
    <w:rsid w:val="4016514E"/>
    <w:rsid w:val="404103AF"/>
    <w:rsid w:val="40555873"/>
    <w:rsid w:val="40A551BD"/>
    <w:rsid w:val="40BC08F6"/>
    <w:rsid w:val="41344930"/>
    <w:rsid w:val="41B415CD"/>
    <w:rsid w:val="42100EF9"/>
    <w:rsid w:val="4222702A"/>
    <w:rsid w:val="4249585C"/>
    <w:rsid w:val="427F3012"/>
    <w:rsid w:val="42B02335"/>
    <w:rsid w:val="42FA167F"/>
    <w:rsid w:val="43350757"/>
    <w:rsid w:val="43917E18"/>
    <w:rsid w:val="439726E0"/>
    <w:rsid w:val="440C3942"/>
    <w:rsid w:val="441E5028"/>
    <w:rsid w:val="44367955"/>
    <w:rsid w:val="444430DC"/>
    <w:rsid w:val="44752B04"/>
    <w:rsid w:val="448C3718"/>
    <w:rsid w:val="4497145E"/>
    <w:rsid w:val="44B607EB"/>
    <w:rsid w:val="44EC1164"/>
    <w:rsid w:val="450A2833"/>
    <w:rsid w:val="456B4783"/>
    <w:rsid w:val="457B22C6"/>
    <w:rsid w:val="45A242FC"/>
    <w:rsid w:val="46671304"/>
    <w:rsid w:val="46A130D7"/>
    <w:rsid w:val="46D558C1"/>
    <w:rsid w:val="46FD564A"/>
    <w:rsid w:val="474858DB"/>
    <w:rsid w:val="47CC7A54"/>
    <w:rsid w:val="4803505C"/>
    <w:rsid w:val="480D1A37"/>
    <w:rsid w:val="480D2BCC"/>
    <w:rsid w:val="481652EC"/>
    <w:rsid w:val="487C5A0C"/>
    <w:rsid w:val="489C088E"/>
    <w:rsid w:val="49044BE8"/>
    <w:rsid w:val="491868E5"/>
    <w:rsid w:val="493023AB"/>
    <w:rsid w:val="49612D0A"/>
    <w:rsid w:val="49FC5FB9"/>
    <w:rsid w:val="4AB92B2D"/>
    <w:rsid w:val="4ABA40F8"/>
    <w:rsid w:val="4AD90754"/>
    <w:rsid w:val="4AFD3876"/>
    <w:rsid w:val="4B334AC2"/>
    <w:rsid w:val="4B347B1E"/>
    <w:rsid w:val="4B49722A"/>
    <w:rsid w:val="4B887DA7"/>
    <w:rsid w:val="4BB74194"/>
    <w:rsid w:val="4BD96800"/>
    <w:rsid w:val="4BDF6255"/>
    <w:rsid w:val="4C356D7A"/>
    <w:rsid w:val="4C4F6AC2"/>
    <w:rsid w:val="4CF52547"/>
    <w:rsid w:val="4D221AE1"/>
    <w:rsid w:val="4D9A2275"/>
    <w:rsid w:val="4E2974E8"/>
    <w:rsid w:val="4E41243B"/>
    <w:rsid w:val="4E6A1991"/>
    <w:rsid w:val="4E821322"/>
    <w:rsid w:val="4F097282"/>
    <w:rsid w:val="4F5211AD"/>
    <w:rsid w:val="4FBE01E7"/>
    <w:rsid w:val="4FE13ED5"/>
    <w:rsid w:val="4FE614EB"/>
    <w:rsid w:val="500938CD"/>
    <w:rsid w:val="501469D3"/>
    <w:rsid w:val="50AD1252"/>
    <w:rsid w:val="50DB6B76"/>
    <w:rsid w:val="50E824C2"/>
    <w:rsid w:val="50FA27B7"/>
    <w:rsid w:val="51612D17"/>
    <w:rsid w:val="518E1E3B"/>
    <w:rsid w:val="519136D9"/>
    <w:rsid w:val="51B15B29"/>
    <w:rsid w:val="52225098"/>
    <w:rsid w:val="524052BE"/>
    <w:rsid w:val="5285323E"/>
    <w:rsid w:val="52A64F62"/>
    <w:rsid w:val="53281E1B"/>
    <w:rsid w:val="533624D2"/>
    <w:rsid w:val="5338205E"/>
    <w:rsid w:val="538708F0"/>
    <w:rsid w:val="539F0036"/>
    <w:rsid w:val="53F84770"/>
    <w:rsid w:val="540256B8"/>
    <w:rsid w:val="54141C5F"/>
    <w:rsid w:val="545A24A8"/>
    <w:rsid w:val="54832FED"/>
    <w:rsid w:val="54851111"/>
    <w:rsid w:val="54E002D6"/>
    <w:rsid w:val="55050F25"/>
    <w:rsid w:val="55250926"/>
    <w:rsid w:val="553D4883"/>
    <w:rsid w:val="556C161A"/>
    <w:rsid w:val="559248AA"/>
    <w:rsid w:val="55A43901"/>
    <w:rsid w:val="561645C0"/>
    <w:rsid w:val="563D201C"/>
    <w:rsid w:val="568630E0"/>
    <w:rsid w:val="56953D97"/>
    <w:rsid w:val="56AB52C9"/>
    <w:rsid w:val="56DB1DE0"/>
    <w:rsid w:val="56F07805"/>
    <w:rsid w:val="57487C6A"/>
    <w:rsid w:val="580F3680"/>
    <w:rsid w:val="581C0165"/>
    <w:rsid w:val="583E4D05"/>
    <w:rsid w:val="584009C4"/>
    <w:rsid w:val="585F62DF"/>
    <w:rsid w:val="58937D37"/>
    <w:rsid w:val="58F41482"/>
    <w:rsid w:val="59101387"/>
    <w:rsid w:val="59390EB0"/>
    <w:rsid w:val="59627D3C"/>
    <w:rsid w:val="596F535C"/>
    <w:rsid w:val="59C32FE7"/>
    <w:rsid w:val="5A590CCA"/>
    <w:rsid w:val="5A607F12"/>
    <w:rsid w:val="5A715E56"/>
    <w:rsid w:val="5A7476F4"/>
    <w:rsid w:val="5A902780"/>
    <w:rsid w:val="5A9B2ED2"/>
    <w:rsid w:val="5AA71877"/>
    <w:rsid w:val="5B8322E4"/>
    <w:rsid w:val="5B9524A0"/>
    <w:rsid w:val="5BA23B75"/>
    <w:rsid w:val="5BA35E47"/>
    <w:rsid w:val="5BCF72D8"/>
    <w:rsid w:val="5BF64864"/>
    <w:rsid w:val="5C46556A"/>
    <w:rsid w:val="5C7F2045"/>
    <w:rsid w:val="5CA01070"/>
    <w:rsid w:val="5CA70254"/>
    <w:rsid w:val="5CC3039C"/>
    <w:rsid w:val="5CCA18C6"/>
    <w:rsid w:val="5CF04846"/>
    <w:rsid w:val="5CF5541A"/>
    <w:rsid w:val="5D1642F8"/>
    <w:rsid w:val="5D395350"/>
    <w:rsid w:val="5D531309"/>
    <w:rsid w:val="5D813CAD"/>
    <w:rsid w:val="5E102984"/>
    <w:rsid w:val="5E1B7F6C"/>
    <w:rsid w:val="5F9864B1"/>
    <w:rsid w:val="5FB76A00"/>
    <w:rsid w:val="5FC11EAC"/>
    <w:rsid w:val="5FF8339D"/>
    <w:rsid w:val="602A454A"/>
    <w:rsid w:val="6034358B"/>
    <w:rsid w:val="603E4A2C"/>
    <w:rsid w:val="603E705D"/>
    <w:rsid w:val="604E31CC"/>
    <w:rsid w:val="60670BE1"/>
    <w:rsid w:val="609861B7"/>
    <w:rsid w:val="60991337"/>
    <w:rsid w:val="60C9330E"/>
    <w:rsid w:val="60F511E1"/>
    <w:rsid w:val="61040118"/>
    <w:rsid w:val="612E5943"/>
    <w:rsid w:val="615A2B49"/>
    <w:rsid w:val="617F52FC"/>
    <w:rsid w:val="6189617B"/>
    <w:rsid w:val="61B40C7C"/>
    <w:rsid w:val="61F555BE"/>
    <w:rsid w:val="62447A52"/>
    <w:rsid w:val="625E3351"/>
    <w:rsid w:val="629569CE"/>
    <w:rsid w:val="62991FE0"/>
    <w:rsid w:val="62A03565"/>
    <w:rsid w:val="62F6339C"/>
    <w:rsid w:val="631B1054"/>
    <w:rsid w:val="632443AD"/>
    <w:rsid w:val="634A23DF"/>
    <w:rsid w:val="63612F0B"/>
    <w:rsid w:val="63747EBF"/>
    <w:rsid w:val="63F031E6"/>
    <w:rsid w:val="63FD17A1"/>
    <w:rsid w:val="641D4612"/>
    <w:rsid w:val="647A3D59"/>
    <w:rsid w:val="64852841"/>
    <w:rsid w:val="64A56F02"/>
    <w:rsid w:val="64C9520C"/>
    <w:rsid w:val="64E154E8"/>
    <w:rsid w:val="64F311AE"/>
    <w:rsid w:val="65136487"/>
    <w:rsid w:val="652A557F"/>
    <w:rsid w:val="652E506F"/>
    <w:rsid w:val="660E1EAC"/>
    <w:rsid w:val="6632293D"/>
    <w:rsid w:val="66AF2510"/>
    <w:rsid w:val="66E15D4B"/>
    <w:rsid w:val="66F34A87"/>
    <w:rsid w:val="67006EDF"/>
    <w:rsid w:val="6773145F"/>
    <w:rsid w:val="67D5211A"/>
    <w:rsid w:val="67DA4BE8"/>
    <w:rsid w:val="67ED7463"/>
    <w:rsid w:val="67F13D08"/>
    <w:rsid w:val="67F51E74"/>
    <w:rsid w:val="681F5B80"/>
    <w:rsid w:val="68347765"/>
    <w:rsid w:val="68554C9A"/>
    <w:rsid w:val="68570199"/>
    <w:rsid w:val="68A5389A"/>
    <w:rsid w:val="68C10EA3"/>
    <w:rsid w:val="68D24D14"/>
    <w:rsid w:val="68E00D76"/>
    <w:rsid w:val="68F65621"/>
    <w:rsid w:val="69276BA6"/>
    <w:rsid w:val="692F726B"/>
    <w:rsid w:val="69B67D29"/>
    <w:rsid w:val="6A4840D5"/>
    <w:rsid w:val="6B000621"/>
    <w:rsid w:val="6B301415"/>
    <w:rsid w:val="6B310C5C"/>
    <w:rsid w:val="6B505DF2"/>
    <w:rsid w:val="6B633598"/>
    <w:rsid w:val="6BAF2C82"/>
    <w:rsid w:val="6C007B08"/>
    <w:rsid w:val="6C0A2425"/>
    <w:rsid w:val="6CA74FAC"/>
    <w:rsid w:val="6CCB5BDC"/>
    <w:rsid w:val="6CCE77A2"/>
    <w:rsid w:val="6D021C4A"/>
    <w:rsid w:val="6D5533B5"/>
    <w:rsid w:val="6D5C063D"/>
    <w:rsid w:val="6D8C67ED"/>
    <w:rsid w:val="6DDD7632"/>
    <w:rsid w:val="6DFC1228"/>
    <w:rsid w:val="6E0D5D64"/>
    <w:rsid w:val="6E576D5E"/>
    <w:rsid w:val="6E6209A0"/>
    <w:rsid w:val="6E6445B1"/>
    <w:rsid w:val="6FE41F3E"/>
    <w:rsid w:val="70136948"/>
    <w:rsid w:val="70326B63"/>
    <w:rsid w:val="704679F6"/>
    <w:rsid w:val="705E4690"/>
    <w:rsid w:val="709D579F"/>
    <w:rsid w:val="70DA254F"/>
    <w:rsid w:val="713C1616"/>
    <w:rsid w:val="7175580A"/>
    <w:rsid w:val="719B5108"/>
    <w:rsid w:val="71D62D16"/>
    <w:rsid w:val="72001B41"/>
    <w:rsid w:val="720E38B7"/>
    <w:rsid w:val="720F6228"/>
    <w:rsid w:val="7229553C"/>
    <w:rsid w:val="72505422"/>
    <w:rsid w:val="72E2393D"/>
    <w:rsid w:val="72F47B8C"/>
    <w:rsid w:val="73153D21"/>
    <w:rsid w:val="73DE5EB2"/>
    <w:rsid w:val="74772A21"/>
    <w:rsid w:val="749141B2"/>
    <w:rsid w:val="74AF5B6B"/>
    <w:rsid w:val="74EF6108"/>
    <w:rsid w:val="74FF7EF2"/>
    <w:rsid w:val="75074A0A"/>
    <w:rsid w:val="750854FE"/>
    <w:rsid w:val="75173E4F"/>
    <w:rsid w:val="758B2449"/>
    <w:rsid w:val="75906C53"/>
    <w:rsid w:val="759D45A2"/>
    <w:rsid w:val="76453822"/>
    <w:rsid w:val="766E65AC"/>
    <w:rsid w:val="766F3739"/>
    <w:rsid w:val="767174E1"/>
    <w:rsid w:val="7682346D"/>
    <w:rsid w:val="76A41635"/>
    <w:rsid w:val="76BB26B6"/>
    <w:rsid w:val="76DB3C4B"/>
    <w:rsid w:val="770C1DC2"/>
    <w:rsid w:val="772F6434"/>
    <w:rsid w:val="77443A25"/>
    <w:rsid w:val="77CF0947"/>
    <w:rsid w:val="77D22CDD"/>
    <w:rsid w:val="77EC1587"/>
    <w:rsid w:val="780E314F"/>
    <w:rsid w:val="78236D41"/>
    <w:rsid w:val="782F4F2E"/>
    <w:rsid w:val="783C7F04"/>
    <w:rsid w:val="7866291A"/>
    <w:rsid w:val="78681753"/>
    <w:rsid w:val="78857244"/>
    <w:rsid w:val="78BE00B5"/>
    <w:rsid w:val="792151BF"/>
    <w:rsid w:val="79627585"/>
    <w:rsid w:val="79746AF1"/>
    <w:rsid w:val="79BC0A44"/>
    <w:rsid w:val="79D12015"/>
    <w:rsid w:val="7A1563A6"/>
    <w:rsid w:val="7A613399"/>
    <w:rsid w:val="7A801BCA"/>
    <w:rsid w:val="7AB34C00"/>
    <w:rsid w:val="7AE00A15"/>
    <w:rsid w:val="7B281593"/>
    <w:rsid w:val="7B713AB0"/>
    <w:rsid w:val="7B875186"/>
    <w:rsid w:val="7BB35E76"/>
    <w:rsid w:val="7BB4541E"/>
    <w:rsid w:val="7BE4235C"/>
    <w:rsid w:val="7C1D5AC8"/>
    <w:rsid w:val="7C5A7F0B"/>
    <w:rsid w:val="7C5B09E8"/>
    <w:rsid w:val="7CC3033B"/>
    <w:rsid w:val="7CEC5AE4"/>
    <w:rsid w:val="7D000293"/>
    <w:rsid w:val="7DA63EE4"/>
    <w:rsid w:val="7E617E0B"/>
    <w:rsid w:val="7E7230C0"/>
    <w:rsid w:val="7ED00AED"/>
    <w:rsid w:val="7EF53E05"/>
    <w:rsid w:val="7EFA244C"/>
    <w:rsid w:val="7F2D5F40"/>
    <w:rsid w:val="7F363046"/>
    <w:rsid w:val="7F623E3B"/>
    <w:rsid w:val="7FBC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1"/>
    <w:basedOn w:val="7"/>
    <w:next w:val="1"/>
    <w:qFormat/>
    <w:uiPriority w:val="0"/>
    <w:pPr>
      <w:spacing w:line="360" w:lineRule="auto"/>
    </w:pPr>
    <w:rPr>
      <w:rFonts w:ascii="仿宋" w:hAnsi="仿宋" w:eastAsia="仿宋"/>
      <w:color w:val="000000"/>
      <w:sz w:val="36"/>
    </w:rPr>
  </w:style>
  <w:style w:type="paragraph" w:styleId="8">
    <w:name w:val="heading 2"/>
    <w:basedOn w:val="9"/>
    <w:next w:val="1"/>
    <w:qFormat/>
    <w:uiPriority w:val="0"/>
    <w:pPr>
      <w:spacing w:beforeLines="0" w:afterLines="0" w:line="520" w:lineRule="exact"/>
      <w:outlineLvl w:val="1"/>
    </w:pPr>
    <w:rPr>
      <w:rFonts w:ascii="仿宋" w:hAnsi="仿宋" w:eastAsia="仿宋" w:cs="宋体"/>
      <w:b w:val="0"/>
      <w:color w:val="000000"/>
      <w:kern w:val="0"/>
      <w:sz w:val="28"/>
      <w:szCs w:val="24"/>
    </w:rPr>
  </w:style>
  <w:style w:type="paragraph" w:styleId="10">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pPr>
    <w:rPr>
      <w:lang w:bidi="zh-CN"/>
    </w:rPr>
  </w:style>
  <w:style w:type="paragraph" w:styleId="3">
    <w:name w:val="Body Text Indent"/>
    <w:basedOn w:val="1"/>
    <w:next w:val="4"/>
    <w:unhideWhenUsed/>
    <w:qFormat/>
    <w:uiPriority w:val="0"/>
    <w:pPr>
      <w:autoSpaceDE w:val="0"/>
      <w:autoSpaceDN w:val="0"/>
      <w:spacing w:after="120"/>
      <w:ind w:left="420"/>
    </w:pPr>
    <w:rPr>
      <w:szCs w:val="24"/>
      <w:lang w:val="zh-CN"/>
    </w:rPr>
  </w:style>
  <w:style w:type="paragraph" w:styleId="4">
    <w:name w:val="envelope return"/>
    <w:basedOn w:val="1"/>
    <w:unhideWhenUsed/>
    <w:qFormat/>
    <w:uiPriority w:val="0"/>
    <w:pPr>
      <w:snapToGrid w:val="0"/>
    </w:pPr>
    <w:rPr>
      <w:rFonts w:ascii="Arial" w:hAnsi="Arial"/>
    </w:rPr>
  </w:style>
  <w:style w:type="paragraph" w:styleId="5">
    <w:name w:val="List"/>
    <w:basedOn w:val="1"/>
    <w:qFormat/>
    <w:uiPriority w:val="0"/>
    <w:pPr>
      <w:ind w:left="420" w:hanging="420"/>
    </w:pPr>
    <w:rPr>
      <w:rFonts w:ascii="Arial" w:hAnsi="Arial" w:eastAsia="楷体_GB2312"/>
      <w:sz w:val="28"/>
    </w:rPr>
  </w:style>
  <w:style w:type="paragraph" w:styleId="7">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9">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11">
    <w:name w:val="toa heading"/>
    <w:basedOn w:val="1"/>
    <w:next w:val="1"/>
    <w:qFormat/>
    <w:uiPriority w:val="0"/>
    <w:pPr>
      <w:spacing w:before="120"/>
    </w:pPr>
    <w:rPr>
      <w:rFonts w:ascii="Arial" w:hAnsi="Arial" w:cs="Arial"/>
      <w:sz w:val="24"/>
    </w:rPr>
  </w:style>
  <w:style w:type="paragraph" w:styleId="12">
    <w:name w:val="Body Text"/>
    <w:basedOn w:val="1"/>
    <w:qFormat/>
    <w:uiPriority w:val="0"/>
    <w:rPr>
      <w:sz w:val="24"/>
      <w:szCs w:val="24"/>
    </w:rPr>
  </w:style>
  <w:style w:type="paragraph" w:styleId="13">
    <w:name w:val="Plain Text"/>
    <w:basedOn w:val="1"/>
    <w:qFormat/>
    <w:uiPriority w:val="0"/>
    <w:rPr>
      <w:rFonts w:ascii="宋体" w:hAnsi="Courier New"/>
      <w:sz w:val="11"/>
    </w:rPr>
  </w:style>
  <w:style w:type="paragraph" w:styleId="14">
    <w:name w:val="Balloon Text"/>
    <w:basedOn w:val="1"/>
    <w:link w:val="39"/>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before="120" w:after="120" w:line="360" w:lineRule="auto"/>
      <w:ind w:firstLine="200" w:firstLineChars="200"/>
      <w:jc w:val="left"/>
    </w:pPr>
    <w:rPr>
      <w:b/>
      <w:bCs/>
      <w:caps/>
      <w:sz w:val="20"/>
    </w:rPr>
  </w:style>
  <w:style w:type="paragraph" w:styleId="18">
    <w:name w:val="toc 2"/>
    <w:basedOn w:val="1"/>
    <w:next w:val="1"/>
    <w:qFormat/>
    <w:uiPriority w:val="39"/>
    <w:pPr>
      <w:ind w:left="100" w:leftChars="100"/>
      <w:jc w:val="left"/>
    </w:pPr>
    <w:rPr>
      <w:rFonts w:ascii="Arial" w:hAnsi="Arial"/>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Emphasis"/>
    <w:qFormat/>
    <w:uiPriority w:val="0"/>
    <w:rPr>
      <w:i/>
      <w:iCs/>
    </w:rPr>
  </w:style>
  <w:style w:type="character" w:styleId="24">
    <w:name w:val="Hyperlink"/>
    <w:qFormat/>
    <w:uiPriority w:val="99"/>
    <w:rPr>
      <w:color w:val="333333"/>
      <w:u w:val="none"/>
    </w:rPr>
  </w:style>
  <w:style w:type="paragraph" w:customStyle="1" w:styleId="25">
    <w:name w:val="_Style 2"/>
    <w:basedOn w:val="1"/>
    <w:next w:val="1"/>
    <w:qFormat/>
    <w:uiPriority w:val="99"/>
    <w:pPr>
      <w:ind w:firstLine="420" w:firstLineChars="200"/>
    </w:pPr>
    <w:rPr>
      <w:szCs w:val="24"/>
    </w:rPr>
  </w:style>
  <w:style w:type="paragraph" w:customStyle="1" w:styleId="26">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7">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0">
    <w:name w:val="列出段落1"/>
    <w:basedOn w:val="1"/>
    <w:qFormat/>
    <w:uiPriority w:val="34"/>
    <w:pPr>
      <w:ind w:firstLine="420" w:firstLineChars="200"/>
    </w:pPr>
    <w:rPr>
      <w:szCs w:val="21"/>
    </w:rPr>
  </w:style>
  <w:style w:type="paragraph" w:customStyle="1" w:styleId="31">
    <w:name w:val="正文缩进1"/>
    <w:basedOn w:val="1"/>
    <w:qFormat/>
    <w:uiPriority w:val="0"/>
    <w:pPr>
      <w:ind w:firstLine="420"/>
    </w:pPr>
    <w:rPr>
      <w:rFonts w:ascii="Times New Roman" w:hAnsi="Times New Roman"/>
    </w:rPr>
  </w:style>
  <w:style w:type="paragraph" w:customStyle="1" w:styleId="32">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3">
    <w:name w:val="7）页眉页脚"/>
    <w:qFormat/>
    <w:uiPriority w:val="0"/>
    <w:rPr>
      <w:rFonts w:ascii="仿宋_GB2312" w:eastAsia="仿宋_GB2312"/>
      <w:b/>
      <w:i/>
      <w:sz w:val="18"/>
      <w:vertAlign w:val="baseline"/>
    </w:rPr>
  </w:style>
  <w:style w:type="paragraph" w:customStyle="1" w:styleId="34">
    <w:name w:val="答复表头"/>
    <w:basedOn w:val="35"/>
    <w:next w:val="1"/>
    <w:qFormat/>
    <w:uiPriority w:val="0"/>
    <w:pPr>
      <w:tabs>
        <w:tab w:val="left" w:pos="480"/>
      </w:tabs>
    </w:pPr>
    <w:rPr>
      <w:b/>
    </w:rPr>
  </w:style>
  <w:style w:type="paragraph" w:customStyle="1" w:styleId="35">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6">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7">
    <w:name w:val="List Paragraph"/>
    <w:basedOn w:val="1"/>
    <w:qFormat/>
    <w:uiPriority w:val="99"/>
    <w:pPr>
      <w:ind w:firstLine="420" w:firstLineChars="200"/>
    </w:pPr>
    <w:rPr>
      <w:szCs w:val="24"/>
    </w:rPr>
  </w:style>
  <w:style w:type="character" w:customStyle="1" w:styleId="38">
    <w:name w:val="font101"/>
    <w:basedOn w:val="22"/>
    <w:qFormat/>
    <w:uiPriority w:val="0"/>
    <w:rPr>
      <w:rFonts w:hint="eastAsia" w:ascii="黑体" w:hAnsi="宋体" w:eastAsia="黑体" w:cs="黑体"/>
      <w:color w:val="000000"/>
      <w:sz w:val="20"/>
      <w:szCs w:val="20"/>
      <w:u w:val="none"/>
    </w:rPr>
  </w:style>
  <w:style w:type="character" w:customStyle="1" w:styleId="39">
    <w:name w:val="批注框文本 Char"/>
    <w:basedOn w:val="22"/>
    <w:link w:val="1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customShpInfo spid="_x0000_s3078"/>
    <customShpInfo spid="_x0000_s3077"/>
    <customShpInfo spid="_x0000_s3073"/>
    <customShpInfo spid="_x0000_s3075"/>
    <customShpInfo spid="_x0000_s3074"/>
    <customShpInfo spid="_x0000_s1026"/>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24920</Words>
  <Characters>26260</Characters>
  <Lines>219</Lines>
  <Paragraphs>61</Paragraphs>
  <TotalTime>0</TotalTime>
  <ScaleCrop>false</ScaleCrop>
  <LinksUpToDate>false</LinksUpToDate>
  <CharactersWithSpaces>28487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2022-06-02T06:10:30Z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7C2F16EED52E4191B732E9AB9CBA4BE9</vt:lpwstr>
  </property>
</Properties>
</file>