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400" w:lineRule="atLeast"/>
        <w:jc w:val="center"/>
        <w:rPr>
          <w:rFonts w:hint="eastAsia" w:ascii="仿宋" w:hAnsi="仿宋" w:eastAsia="仿宋" w:cs="仿宋"/>
          <w:b/>
          <w:color w:val="auto"/>
          <w:sz w:val="24"/>
          <w:szCs w:val="24"/>
        </w:rPr>
      </w:pPr>
      <w:bookmarkStart w:id="0" w:name="_Toc130180922"/>
      <w:bookmarkStart w:id="1" w:name="_Toc130180841"/>
      <w:bookmarkStart w:id="2" w:name="_Toc130180736"/>
    </w:p>
    <w:p>
      <w:pPr>
        <w:pStyle w:val="5"/>
        <w:jc w:val="center"/>
        <w:rPr>
          <w:rFonts w:hint="eastAsia" w:ascii="仿宋" w:hAnsi="仿宋" w:eastAsia="仿宋" w:cs="仿宋"/>
          <w:color w:val="auto"/>
          <w:sz w:val="48"/>
          <w:szCs w:val="44"/>
          <w:lang w:eastAsia="zh-CN"/>
        </w:rPr>
      </w:pPr>
      <w:r>
        <w:rPr>
          <w:rFonts w:hint="eastAsia" w:ascii="仿宋" w:hAnsi="仿宋" w:eastAsia="仿宋" w:cs="仿宋"/>
          <w:color w:val="auto"/>
          <w:sz w:val="48"/>
          <w:szCs w:val="44"/>
          <w:lang w:eastAsia="zh-CN"/>
        </w:rPr>
        <w:t>特克斯县中医医院污水处理及在线监测运维采购项目二次</w:t>
      </w:r>
    </w:p>
    <w:p>
      <w:pPr>
        <w:pStyle w:val="5"/>
        <w:jc w:val="center"/>
        <w:rPr>
          <w:rFonts w:hint="eastAsia" w:ascii="仿宋" w:hAnsi="仿宋" w:eastAsia="仿宋" w:cs="仿宋"/>
          <w:color w:val="auto"/>
          <w:sz w:val="52"/>
          <w:szCs w:val="52"/>
          <w:highlight w:val="none"/>
          <w:lang w:eastAsia="zh-CN"/>
        </w:rPr>
      </w:pPr>
    </w:p>
    <w:p>
      <w:pPr>
        <w:pStyle w:val="5"/>
        <w:jc w:val="center"/>
        <w:rPr>
          <w:rFonts w:hint="eastAsia" w:ascii="仿宋" w:hAnsi="仿宋" w:eastAsia="仿宋" w:cs="仿宋"/>
          <w:b/>
          <w:color w:val="auto"/>
          <w:sz w:val="24"/>
          <w:szCs w:val="24"/>
        </w:rPr>
      </w:pPr>
      <w:r>
        <w:rPr>
          <w:rFonts w:hint="eastAsia" w:ascii="仿宋" w:hAnsi="仿宋" w:eastAsia="仿宋" w:cs="仿宋"/>
          <w:color w:val="auto"/>
          <w:sz w:val="52"/>
          <w:szCs w:val="52"/>
          <w:highlight w:val="none"/>
          <w:lang w:eastAsia="zh-CN"/>
        </w:rPr>
        <w:t>磋商</w:t>
      </w:r>
      <w:r>
        <w:rPr>
          <w:rFonts w:hint="eastAsia" w:ascii="仿宋" w:hAnsi="仿宋" w:eastAsia="仿宋" w:cs="仿宋"/>
          <w:color w:val="auto"/>
          <w:sz w:val="52"/>
          <w:szCs w:val="52"/>
        </w:rPr>
        <w:t>文件</w:t>
      </w:r>
    </w:p>
    <w:p>
      <w:pPr>
        <w:pStyle w:val="14"/>
        <w:spacing w:line="400" w:lineRule="atLeast"/>
        <w:rPr>
          <w:rFonts w:hint="eastAsia" w:ascii="仿宋" w:hAnsi="仿宋" w:eastAsia="仿宋" w:cs="仿宋"/>
          <w:b/>
          <w:color w:val="auto"/>
          <w:sz w:val="24"/>
          <w:szCs w:val="24"/>
        </w:rPr>
      </w:pPr>
    </w:p>
    <w:p>
      <w:pPr>
        <w:pStyle w:val="14"/>
        <w:spacing w:line="400" w:lineRule="atLeast"/>
        <w:rPr>
          <w:rFonts w:hint="eastAsia" w:ascii="仿宋" w:hAnsi="仿宋" w:eastAsia="仿宋" w:cs="仿宋"/>
          <w:b/>
          <w:color w:val="auto"/>
          <w:sz w:val="24"/>
          <w:szCs w:val="24"/>
        </w:rPr>
      </w:pPr>
    </w:p>
    <w:p>
      <w:pPr>
        <w:pStyle w:val="14"/>
        <w:spacing w:line="400" w:lineRule="atLeast"/>
        <w:rPr>
          <w:rFonts w:hint="eastAsia" w:ascii="仿宋" w:hAnsi="仿宋" w:eastAsia="仿宋" w:cs="仿宋"/>
          <w:b/>
          <w:color w:val="auto"/>
          <w:sz w:val="24"/>
          <w:szCs w:val="24"/>
        </w:rPr>
      </w:pPr>
    </w:p>
    <w:p>
      <w:pPr>
        <w:pStyle w:val="14"/>
        <w:spacing w:line="400" w:lineRule="atLeast"/>
        <w:rPr>
          <w:rFonts w:hint="eastAsia" w:ascii="仿宋" w:hAnsi="仿宋" w:eastAsia="仿宋" w:cs="仿宋"/>
          <w:b/>
          <w:color w:val="auto"/>
          <w:sz w:val="24"/>
          <w:szCs w:val="24"/>
        </w:rPr>
      </w:pPr>
    </w:p>
    <w:p>
      <w:pPr>
        <w:pStyle w:val="14"/>
        <w:spacing w:line="400" w:lineRule="atLeast"/>
        <w:ind w:left="0" w:leftChars="0" w:firstLine="321" w:firstLineChars="1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lang w:eastAsia="zh-CN"/>
        </w:rPr>
        <w:t>HYYL-</w:t>
      </w:r>
      <w:bookmarkStart w:id="480" w:name="_GoBack"/>
      <w:r>
        <w:rPr>
          <w:rFonts w:hint="eastAsia" w:ascii="仿宋" w:hAnsi="仿宋" w:eastAsia="仿宋" w:cs="仿宋"/>
          <w:b/>
          <w:color w:val="auto"/>
          <w:sz w:val="32"/>
          <w:szCs w:val="32"/>
          <w:lang w:eastAsia="zh-CN"/>
        </w:rPr>
        <w:t>20</w:t>
      </w:r>
      <w:bookmarkEnd w:id="480"/>
      <w:r>
        <w:rPr>
          <w:rFonts w:hint="eastAsia" w:ascii="仿宋" w:hAnsi="仿宋" w:eastAsia="仿宋" w:cs="仿宋"/>
          <w:b/>
          <w:color w:val="auto"/>
          <w:sz w:val="32"/>
          <w:szCs w:val="32"/>
          <w:lang w:eastAsia="zh-CN"/>
        </w:rPr>
        <w:t>22-062 </w:t>
      </w:r>
    </w:p>
    <w:p>
      <w:pPr>
        <w:pStyle w:val="14"/>
        <w:spacing w:line="400" w:lineRule="atLeast"/>
        <w:rPr>
          <w:rFonts w:hint="eastAsia" w:ascii="仿宋" w:hAnsi="仿宋" w:eastAsia="仿宋" w:cs="仿宋"/>
          <w:b/>
          <w:color w:val="auto"/>
          <w:sz w:val="32"/>
          <w:szCs w:val="32"/>
        </w:rPr>
      </w:pPr>
    </w:p>
    <w:p>
      <w:pPr>
        <w:pStyle w:val="14"/>
        <w:spacing w:line="400" w:lineRule="atLeast"/>
        <w:ind w:left="1925" w:leftChars="152" w:hanging="1606" w:hangingChars="500"/>
        <w:rPr>
          <w:rFonts w:hint="eastAsia" w:ascii="仿宋" w:hAnsi="仿宋" w:eastAsia="仿宋" w:cs="仿宋"/>
          <w:b/>
          <w:color w:val="auto"/>
          <w:sz w:val="32"/>
          <w:szCs w:val="32"/>
        </w:rPr>
      </w:pPr>
      <w:r>
        <w:rPr>
          <w:rFonts w:hint="eastAsia" w:ascii="仿宋" w:hAnsi="仿宋" w:eastAsia="仿宋" w:cs="仿宋"/>
          <w:b/>
          <w:color w:val="auto"/>
          <w:sz w:val="32"/>
          <w:szCs w:val="32"/>
        </w:rPr>
        <w:t>项目名称：</w:t>
      </w:r>
      <w:r>
        <w:rPr>
          <w:rFonts w:hint="eastAsia" w:ascii="仿宋" w:hAnsi="仿宋" w:eastAsia="仿宋" w:cs="仿宋"/>
          <w:b/>
          <w:color w:val="auto"/>
          <w:sz w:val="32"/>
          <w:szCs w:val="32"/>
          <w:lang w:eastAsia="zh-CN"/>
        </w:rPr>
        <w:t>特克斯县中医医院污水处理及在线监测运维采购项目二次</w:t>
      </w:r>
      <w:r>
        <w:rPr>
          <w:rFonts w:hint="eastAsia" w:ascii="仿宋" w:hAnsi="仿宋" w:eastAsia="仿宋" w:cs="仿宋"/>
          <w:b/>
          <w:color w:val="auto"/>
          <w:sz w:val="32"/>
          <w:szCs w:val="32"/>
        </w:rPr>
        <w:t xml:space="preserve"> </w:t>
      </w:r>
    </w:p>
    <w:p>
      <w:pPr>
        <w:pStyle w:val="14"/>
        <w:spacing w:line="400" w:lineRule="atLeast"/>
        <w:ind w:firstLine="929" w:firstLineChars="0"/>
        <w:rPr>
          <w:rFonts w:hint="eastAsia" w:ascii="仿宋" w:hAnsi="仿宋" w:eastAsia="仿宋" w:cs="仿宋"/>
          <w:b/>
          <w:color w:val="auto"/>
          <w:sz w:val="32"/>
          <w:szCs w:val="32"/>
        </w:rPr>
      </w:pPr>
    </w:p>
    <w:p>
      <w:pPr>
        <w:pStyle w:val="14"/>
        <w:spacing w:line="400" w:lineRule="atLeast"/>
        <w:ind w:left="0" w:leftChars="0" w:firstLine="321" w:firstLineChars="100"/>
        <w:rPr>
          <w:rFonts w:hint="eastAsia" w:ascii="仿宋" w:hAnsi="仿宋" w:eastAsia="仿宋" w:cs="仿宋"/>
          <w:b/>
          <w:color w:val="auto"/>
          <w:sz w:val="32"/>
          <w:szCs w:val="32"/>
        </w:rPr>
      </w:pPr>
      <w:r>
        <w:rPr>
          <w:rFonts w:hint="eastAsia" w:ascii="仿宋" w:hAnsi="仿宋" w:eastAsia="仿宋" w:cs="仿宋"/>
          <w:b/>
          <w:color w:val="auto"/>
          <w:sz w:val="32"/>
          <w:szCs w:val="32"/>
        </w:rPr>
        <w:t>委托单位：</w:t>
      </w:r>
      <w:r>
        <w:rPr>
          <w:rFonts w:hint="eastAsia" w:ascii="仿宋" w:hAnsi="仿宋" w:eastAsia="仿宋" w:cs="仿宋"/>
          <w:b/>
          <w:color w:val="auto"/>
          <w:sz w:val="32"/>
          <w:szCs w:val="32"/>
          <w:lang w:eastAsia="zh-CN"/>
        </w:rPr>
        <w:t>特克斯县中医医院</w:t>
      </w:r>
      <w:r>
        <w:rPr>
          <w:rFonts w:hint="eastAsia" w:ascii="仿宋" w:hAnsi="仿宋" w:eastAsia="仿宋" w:cs="仿宋"/>
          <w:b/>
          <w:color w:val="auto"/>
          <w:sz w:val="32"/>
          <w:szCs w:val="32"/>
        </w:rPr>
        <w:t xml:space="preserve">             </w:t>
      </w:r>
    </w:p>
    <w:p>
      <w:pPr>
        <w:pStyle w:val="14"/>
        <w:spacing w:line="400" w:lineRule="atLeast"/>
        <w:rPr>
          <w:rFonts w:hint="eastAsia" w:ascii="仿宋" w:hAnsi="仿宋" w:eastAsia="仿宋" w:cs="仿宋"/>
          <w:b/>
          <w:color w:val="auto"/>
          <w:sz w:val="32"/>
          <w:szCs w:val="32"/>
        </w:rPr>
      </w:pPr>
    </w:p>
    <w:p>
      <w:pPr>
        <w:pStyle w:val="14"/>
        <w:spacing w:line="400" w:lineRule="atLeast"/>
        <w:ind w:left="0" w:leftChars="0" w:firstLine="321" w:firstLineChars="1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采购代理：</w:t>
      </w:r>
      <w:r>
        <w:rPr>
          <w:rFonts w:hint="eastAsia" w:ascii="仿宋" w:hAnsi="仿宋" w:eastAsia="仿宋" w:cs="仿宋"/>
          <w:b/>
          <w:color w:val="auto"/>
          <w:sz w:val="32"/>
          <w:szCs w:val="32"/>
          <w:lang w:eastAsia="zh-CN"/>
        </w:rPr>
        <w:t>新疆华域建设工程项目管理咨询有限公司</w:t>
      </w:r>
    </w:p>
    <w:p>
      <w:pPr>
        <w:spacing w:line="400" w:lineRule="atLeast"/>
        <w:jc w:val="center"/>
        <w:rPr>
          <w:rFonts w:hint="eastAsia" w:ascii="仿宋" w:hAnsi="仿宋" w:eastAsia="仿宋" w:cs="仿宋"/>
          <w:b/>
          <w:color w:val="auto"/>
          <w:sz w:val="24"/>
          <w:szCs w:val="24"/>
        </w:rPr>
      </w:pPr>
    </w:p>
    <w:p>
      <w:pPr>
        <w:pStyle w:val="2"/>
        <w:ind w:left="0" w:leftChars="0" w:firstLine="0" w:firstLineChars="0"/>
        <w:rPr>
          <w:rFonts w:hint="eastAsia" w:ascii="仿宋" w:hAnsi="仿宋" w:eastAsia="仿宋" w:cs="仿宋"/>
          <w:b/>
          <w:color w:val="auto"/>
          <w:sz w:val="24"/>
          <w:szCs w:val="24"/>
        </w:rPr>
      </w:pPr>
    </w:p>
    <w:p>
      <w:pPr>
        <w:pStyle w:val="3"/>
        <w:rPr>
          <w:rFonts w:hint="eastAsia" w:ascii="仿宋" w:hAnsi="仿宋" w:eastAsia="仿宋" w:cs="仿宋"/>
          <w:color w:val="auto"/>
        </w:rPr>
      </w:pPr>
    </w:p>
    <w:p>
      <w:pPr>
        <w:pStyle w:val="2"/>
        <w:jc w:val="cente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2022年6月</w:t>
      </w:r>
    </w:p>
    <w:p>
      <w:pPr>
        <w:pStyle w:val="4"/>
        <w:keepLines w:val="0"/>
        <w:numPr>
          <w:ilvl w:val="0"/>
          <w:numId w:val="2"/>
        </w:numPr>
        <w:spacing w:before="0" w:after="0" w:line="360" w:lineRule="auto"/>
        <w:ind w:right="-441" w:rightChars="-210"/>
        <w:jc w:val="center"/>
        <w:rPr>
          <w:rFonts w:hint="eastAsia" w:ascii="仿宋" w:hAnsi="仿宋" w:eastAsia="仿宋" w:cs="仿宋"/>
          <w:color w:val="auto"/>
        </w:rPr>
      </w:pPr>
      <w:r>
        <w:rPr>
          <w:rFonts w:hint="eastAsia" w:ascii="仿宋" w:hAnsi="仿宋" w:eastAsia="仿宋" w:cs="仿宋"/>
          <w:color w:val="auto"/>
          <w:kern w:val="2"/>
          <w:sz w:val="48"/>
          <w:szCs w:val="48"/>
        </w:rPr>
        <w:t xml:space="preserve"> </w:t>
      </w:r>
      <w:r>
        <w:rPr>
          <w:rFonts w:hint="eastAsia" w:ascii="仿宋" w:hAnsi="仿宋" w:eastAsia="仿宋" w:cs="仿宋"/>
          <w:color w:val="auto"/>
          <w:kern w:val="2"/>
          <w:sz w:val="48"/>
          <w:szCs w:val="48"/>
          <w:lang w:val="en-US" w:eastAsia="zh-CN"/>
        </w:rPr>
        <w:t>项目公告</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right="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特克斯县中医医院污水处理及在线监测运维采购项目二次</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color w:val="auto"/>
          <w:sz w:val="27"/>
          <w:szCs w:val="27"/>
        </w:rPr>
      </w:pPr>
      <w:r>
        <w:rPr>
          <w:rStyle w:val="25"/>
          <w:rFonts w:ascii="黑体" w:hAnsi="宋体" w:eastAsia="黑体" w:cs="黑体"/>
          <w:color w:val="auto"/>
          <w:sz w:val="27"/>
          <w:szCs w:val="27"/>
        </w:rPr>
        <w:t>一、</w:t>
      </w:r>
      <w:r>
        <w:rPr>
          <w:rStyle w:val="25"/>
          <w:rFonts w:hint="eastAsia" w:ascii="黑体" w:hAnsi="宋体" w:eastAsia="黑体" w:cs="黑体"/>
          <w:color w:val="auto"/>
          <w:sz w:val="27"/>
          <w:szCs w:val="27"/>
          <w:lang w:eastAsia="zh-CN"/>
        </w:rPr>
        <w:t>项目基本情况</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项目编号：HYYL-2022-062</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1888" w:leftChars="256" w:hanging="1350" w:hangingChars="50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项目名称：特克斯县中医医院污水处理及在线监测运维采购项目二次</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采购方式：竞争性磋商</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 xml:space="preserve">     预算金额（元）：170000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 xml:space="preserve">最高限价（元）：170000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color w:val="auto"/>
        </w:rPr>
      </w:pPr>
      <w:r>
        <w:rPr>
          <w:rFonts w:hint="eastAsia" w:ascii="仿宋" w:hAnsi="仿宋" w:eastAsia="仿宋" w:cs="仿宋"/>
          <w:color w:val="auto"/>
          <w:sz w:val="27"/>
          <w:szCs w:val="27"/>
        </w:rPr>
        <w:t>采购需求：</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rPr>
        <w:t>   </w:t>
      </w: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标项一:</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1888" w:leftChars="256" w:hanging="1350" w:hangingChars="50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标项名称: </w:t>
      </w:r>
      <w:r>
        <w:rPr>
          <w:rFonts w:hint="eastAsia" w:ascii="仿宋" w:hAnsi="仿宋" w:eastAsia="仿宋" w:cs="仿宋"/>
          <w:color w:val="auto"/>
          <w:sz w:val="27"/>
          <w:szCs w:val="27"/>
          <w:lang w:val="en-US" w:eastAsia="zh-CN"/>
        </w:rPr>
        <w:t>特克斯县中医医院污水处理及在线监测运维采购项目二次</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数量:</w:t>
      </w:r>
      <w:r>
        <w:rPr>
          <w:rFonts w:hint="eastAsia" w:ascii="仿宋" w:hAnsi="仿宋" w:eastAsia="仿宋" w:cs="仿宋"/>
          <w:color w:val="auto"/>
          <w:sz w:val="27"/>
          <w:szCs w:val="27"/>
          <w:lang w:val="en-US" w:eastAsia="zh-CN"/>
        </w:rPr>
        <w:t>1</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170000</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单位：批</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1888" w:leftChars="256" w:hanging="1350" w:hangingChars="50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shd w:val="clear" w:color="auto" w:fill="auto"/>
        </w:rPr>
        <w:t>简要规格描述：</w:t>
      </w:r>
      <w:r>
        <w:rPr>
          <w:rFonts w:hint="eastAsia" w:ascii="仿宋" w:hAnsi="仿宋" w:eastAsia="仿宋" w:cs="仿宋"/>
          <w:color w:val="auto"/>
          <w:sz w:val="27"/>
          <w:szCs w:val="27"/>
          <w:lang w:val="en-US" w:eastAsia="zh-CN"/>
        </w:rPr>
        <w:t>特克斯县中医医院污水处理及在线监测运维采购项目二次</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7"/>
          <w:szCs w:val="27"/>
          <w:lang w:val="en-US" w:eastAsia="zh-CN"/>
        </w:rPr>
      </w:pP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lang w:val="en-US" w:eastAsia="zh-CN"/>
        </w:rPr>
        <w:t>一年</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color w:val="auto"/>
        </w:rPr>
      </w:pPr>
      <w:r>
        <w:rPr>
          <w:rFonts w:hint="eastAsia" w:ascii="仿宋" w:hAnsi="仿宋" w:eastAsia="仿宋" w:cs="仿宋"/>
          <w:color w:val="auto"/>
          <w:sz w:val="27"/>
          <w:szCs w:val="27"/>
        </w:rPr>
        <w:t>本项目（否）接受联合体投标。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Style w:val="25"/>
          <w:rFonts w:ascii="黑体" w:hAnsi="宋体" w:eastAsia="黑体" w:cs="黑体"/>
          <w:color w:val="auto"/>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8"/>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2.落实政府采购政策需满足的资格要求：</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1</w:t>
      </w:r>
      <w:r>
        <w:rPr>
          <w:rFonts w:hint="eastAsia" w:ascii="仿宋" w:hAnsi="仿宋" w:eastAsia="仿宋" w:cs="仿宋"/>
          <w:color w:val="auto"/>
          <w:sz w:val="27"/>
          <w:szCs w:val="27"/>
        </w:rPr>
        <w:t>）满足《中华人民共和国政府采购法》第二十二条的相关规定；</w:t>
      </w:r>
    </w:p>
    <w:p>
      <w:pPr>
        <w:pStyle w:val="18"/>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2</w:t>
      </w:r>
      <w:r>
        <w:rPr>
          <w:rFonts w:hint="eastAsia" w:ascii="仿宋" w:hAnsi="仿宋" w:eastAsia="仿宋" w:cs="仿宋"/>
          <w:color w:val="auto"/>
          <w:sz w:val="27"/>
          <w:szCs w:val="27"/>
        </w:rPr>
        <w:t>）</w:t>
      </w:r>
      <w:r>
        <w:rPr>
          <w:rFonts w:hint="eastAsia" w:ascii="仿宋" w:hAnsi="仿宋" w:eastAsia="仿宋"/>
          <w:sz w:val="27"/>
          <w:szCs w:val="27"/>
        </w:rPr>
        <w:t>具有有效的营业执照且经营范围内包含此次采购内容</w:t>
      </w:r>
      <w:r>
        <w:rPr>
          <w:rFonts w:hint="eastAsia" w:ascii="仿宋" w:hAnsi="仿宋" w:eastAsia="仿宋" w:cs="仿宋"/>
          <w:color w:val="auto"/>
          <w:sz w:val="27"/>
          <w:szCs w:val="27"/>
        </w:rPr>
        <w:t>；</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）具有独立承担民事责任的能力；</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4</w:t>
      </w:r>
      <w:r>
        <w:rPr>
          <w:rFonts w:hint="eastAsia" w:ascii="仿宋_GB2312" w:hAnsi="宋体" w:eastAsia="仿宋_GB2312"/>
          <w:sz w:val="28"/>
          <w:szCs w:val="28"/>
        </w:rPr>
        <w:t>）具有履行合同所必需的设备和专业技术能力；</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5</w:t>
      </w:r>
      <w:r>
        <w:rPr>
          <w:rFonts w:hint="eastAsia" w:ascii="仿宋_GB2312" w:hAnsi="宋体" w:eastAsia="仿宋_GB2312"/>
          <w:sz w:val="28"/>
          <w:szCs w:val="28"/>
        </w:rPr>
        <w:t>）有依法缴纳税收和社会保障资金的良好记录；</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6</w:t>
      </w:r>
      <w:r>
        <w:rPr>
          <w:rFonts w:hint="eastAsia" w:ascii="仿宋_GB2312" w:hAnsi="宋体" w:eastAsia="仿宋_GB2312"/>
          <w:sz w:val="28"/>
          <w:szCs w:val="28"/>
        </w:rPr>
        <w:t>）参加政府采购活动前三年内，在经营活动中没有重大违法记录；</w:t>
      </w:r>
    </w:p>
    <w:p>
      <w:pPr>
        <w:spacing w:line="500" w:lineRule="exact"/>
        <w:ind w:firstLine="560" w:firstLineChars="200"/>
        <w:rPr>
          <w:rFonts w:hint="eastAsia" w:ascii="仿宋" w:hAnsi="仿宋" w:eastAsia="仿宋" w:cs="仿宋"/>
          <w:color w:val="auto"/>
          <w:sz w:val="27"/>
          <w:szCs w:val="27"/>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7</w:t>
      </w:r>
      <w:r>
        <w:rPr>
          <w:rFonts w:hint="eastAsia" w:ascii="仿宋_GB2312" w:hAnsi="宋体" w:eastAsia="仿宋_GB2312"/>
          <w:sz w:val="28"/>
          <w:szCs w:val="28"/>
        </w:rPr>
        <w:t>）法律、行政法规规定的其他条件。</w:t>
      </w:r>
    </w:p>
    <w:p>
      <w:pPr>
        <w:pStyle w:val="18"/>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8</w:t>
      </w:r>
      <w:r>
        <w:rPr>
          <w:rFonts w:hint="eastAsia" w:ascii="仿宋" w:hAnsi="仿宋" w:eastAsia="仿宋" w:cs="仿宋"/>
          <w:color w:val="auto"/>
          <w:sz w:val="27"/>
          <w:szCs w:val="27"/>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8"/>
        <w:spacing w:line="360" w:lineRule="exact"/>
        <w:ind w:firstLine="540" w:firstLineChars="2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本项目不接受联合体投标。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7"/>
          <w:szCs w:val="27"/>
        </w:rPr>
      </w:pPr>
      <w:r>
        <w:rPr>
          <w:rStyle w:val="25"/>
          <w:rFonts w:ascii="黑体" w:hAnsi="宋体" w:eastAsia="黑体" w:cs="黑体"/>
          <w:color w:val="auto"/>
          <w:sz w:val="27"/>
          <w:szCs w:val="27"/>
        </w:rPr>
        <w:t>三、获取招标文件</w:t>
      </w:r>
      <w:r>
        <w:rPr>
          <w:rFonts w:ascii="黑体" w:hAnsi="宋体" w:eastAsia="黑体" w:cs="黑体"/>
          <w:color w:val="auto"/>
          <w:sz w:val="27"/>
          <w:szCs w:val="27"/>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color w:val="auto"/>
        </w:rPr>
      </w:pPr>
      <w:r>
        <w:rPr>
          <w:rFonts w:hint="eastAsia" w:ascii="仿宋" w:hAnsi="仿宋" w:eastAsia="仿宋" w:cs="仿宋"/>
          <w:color w:val="auto"/>
          <w:sz w:val="27"/>
          <w:szCs w:val="27"/>
        </w:rPr>
        <w:t xml:space="preserve">    </w:t>
      </w:r>
      <w:r>
        <w:rPr>
          <w:rFonts w:hint="eastAsia" w:ascii="仿宋" w:hAnsi="仿宋" w:eastAsia="仿宋" w:cs="仿宋"/>
          <w:color w:val="auto"/>
          <w:sz w:val="27"/>
          <w:szCs w:val="27"/>
          <w:u w:val="none"/>
        </w:rPr>
        <w:t>时间：</w:t>
      </w:r>
      <w:r>
        <w:rPr>
          <w:rFonts w:hint="eastAsia" w:ascii="仿宋" w:hAnsi="仿宋" w:eastAsia="仿宋" w:cs="仿宋"/>
          <w:i w:val="0"/>
          <w:iCs w:val="0"/>
          <w:caps w:val="0"/>
          <w:spacing w:val="0"/>
          <w:sz w:val="27"/>
          <w:szCs w:val="27"/>
        </w:rPr>
        <w:t>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06</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08</w:t>
      </w:r>
      <w:r>
        <w:rPr>
          <w:rFonts w:hint="eastAsia" w:ascii="仿宋" w:hAnsi="仿宋" w:eastAsia="仿宋" w:cs="仿宋"/>
          <w:i w:val="0"/>
          <w:iCs w:val="0"/>
          <w:caps w:val="0"/>
          <w:spacing w:val="0"/>
          <w:sz w:val="27"/>
          <w:szCs w:val="27"/>
        </w:rPr>
        <w:t>日至202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06</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14</w:t>
      </w:r>
      <w:r>
        <w:rPr>
          <w:rFonts w:hint="eastAsia" w:ascii="仿宋" w:hAnsi="仿宋" w:eastAsia="仿宋" w:cs="仿宋"/>
          <w:i w:val="0"/>
          <w:iCs w:val="0"/>
          <w:caps w:val="0"/>
          <w:spacing w:val="0"/>
          <w:sz w:val="27"/>
          <w:szCs w:val="27"/>
        </w:rPr>
        <w:t>日，每天上午10:00至14:00，下午1</w:t>
      </w:r>
      <w:r>
        <w:rPr>
          <w:rFonts w:hint="eastAsia" w:ascii="仿宋" w:hAnsi="仿宋" w:eastAsia="仿宋" w:cs="仿宋"/>
          <w:i w:val="0"/>
          <w:iCs w:val="0"/>
          <w:caps w:val="0"/>
          <w:spacing w:val="0"/>
          <w:sz w:val="27"/>
          <w:szCs w:val="27"/>
          <w:lang w:val="en-US" w:eastAsia="zh-CN"/>
        </w:rPr>
        <w:t>6</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0至</w:t>
      </w:r>
      <w:r>
        <w:rPr>
          <w:rFonts w:hint="eastAsia" w:ascii="仿宋" w:hAnsi="仿宋" w:eastAsia="仿宋" w:cs="仿宋"/>
          <w:i w:val="0"/>
          <w:iCs w:val="0"/>
          <w:caps w:val="0"/>
          <w:spacing w:val="0"/>
          <w:sz w:val="27"/>
          <w:szCs w:val="27"/>
          <w:lang w:val="en-US" w:eastAsia="zh-CN"/>
        </w:rPr>
        <w:t>20</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0（北京时间，法定节假日除外）</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地点：伊宁市经济合作区北京路一品墅新房大厦10楼1004号</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方式：</w:t>
      </w:r>
      <w:r>
        <w:rPr>
          <w:rFonts w:hint="eastAsia" w:ascii="仿宋" w:hAnsi="仿宋" w:eastAsia="仿宋" w:cs="仿宋"/>
          <w:color w:val="auto"/>
          <w:sz w:val="27"/>
          <w:szCs w:val="27"/>
          <w:lang w:val="en-US" w:eastAsia="zh-CN"/>
        </w:rPr>
        <w:t>现场获取</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售价（元）：</w:t>
      </w:r>
      <w:r>
        <w:rPr>
          <w:rFonts w:hint="eastAsia" w:ascii="仿宋" w:hAnsi="仿宋" w:eastAsia="仿宋" w:cs="仿宋"/>
          <w:color w:val="auto"/>
          <w:sz w:val="27"/>
          <w:szCs w:val="27"/>
          <w:lang w:val="en-US" w:eastAsia="zh-CN"/>
        </w:rPr>
        <w:t>2</w:t>
      </w:r>
      <w:r>
        <w:rPr>
          <w:rFonts w:hint="eastAsia" w:ascii="仿宋" w:hAnsi="仿宋" w:eastAsia="仿宋" w:cs="仿宋"/>
          <w:color w:val="auto"/>
          <w:sz w:val="27"/>
          <w:szCs w:val="27"/>
        </w:rPr>
        <w:t>00</w:t>
      </w:r>
      <w:r>
        <w:rPr>
          <w:rFonts w:hint="eastAsia" w:ascii="仿宋" w:hAnsi="仿宋" w:eastAsia="仿宋" w:cs="仿宋"/>
          <w:color w:val="auto"/>
        </w:rPr>
        <w:t> </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7"/>
          <w:szCs w:val="27"/>
        </w:rPr>
      </w:pPr>
      <w:r>
        <w:rPr>
          <w:rStyle w:val="25"/>
          <w:rFonts w:ascii="黑体" w:hAnsi="宋体" w:eastAsia="黑体" w:cs="黑体"/>
          <w:color w:val="auto"/>
          <w:sz w:val="27"/>
          <w:szCs w:val="27"/>
        </w:rPr>
        <w:t>四、提交投标文件截止时间、开标时间和地点</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w:t>
      </w:r>
      <w:r>
        <w:rPr>
          <w:rFonts w:hint="eastAsia" w:ascii="仿宋" w:hAnsi="仿宋" w:eastAsia="仿宋" w:cs="仿宋"/>
          <w:color w:val="auto"/>
          <w:sz w:val="27"/>
          <w:szCs w:val="27"/>
          <w:u w:val="none"/>
        </w:rPr>
        <w:t xml:space="preserve"> 提交投标文件截止时间：202</w:t>
      </w:r>
      <w:r>
        <w:rPr>
          <w:rFonts w:hint="eastAsia" w:ascii="仿宋" w:hAnsi="仿宋" w:eastAsia="仿宋" w:cs="仿宋"/>
          <w:color w:val="auto"/>
          <w:sz w:val="27"/>
          <w:szCs w:val="27"/>
          <w:u w:val="none"/>
          <w:lang w:val="en-US" w:eastAsia="zh-CN"/>
        </w:rPr>
        <w:t>2</w:t>
      </w:r>
      <w:r>
        <w:rPr>
          <w:rFonts w:hint="eastAsia" w:ascii="仿宋" w:hAnsi="仿宋" w:eastAsia="仿宋" w:cs="仿宋"/>
          <w:color w:val="auto"/>
          <w:sz w:val="27"/>
          <w:szCs w:val="27"/>
          <w:u w:val="none"/>
        </w:rPr>
        <w:t>年</w:t>
      </w:r>
      <w:r>
        <w:rPr>
          <w:rFonts w:hint="eastAsia" w:ascii="仿宋" w:hAnsi="仿宋" w:eastAsia="仿宋" w:cs="仿宋"/>
          <w:color w:val="auto"/>
          <w:sz w:val="27"/>
          <w:szCs w:val="27"/>
          <w:u w:val="none"/>
          <w:lang w:val="en-US" w:eastAsia="zh-CN"/>
        </w:rPr>
        <w:t>06</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21</w:t>
      </w:r>
      <w:r>
        <w:rPr>
          <w:rFonts w:hint="eastAsia" w:ascii="仿宋" w:hAnsi="仿宋" w:eastAsia="仿宋" w:cs="仿宋"/>
          <w:color w:val="auto"/>
          <w:sz w:val="27"/>
          <w:szCs w:val="27"/>
          <w:u w:val="none"/>
        </w:rPr>
        <w:t>日 1</w:t>
      </w:r>
      <w:r>
        <w:rPr>
          <w:rFonts w:hint="eastAsia" w:ascii="仿宋" w:hAnsi="仿宋" w:eastAsia="仿宋" w:cs="仿宋"/>
          <w:color w:val="auto"/>
          <w:sz w:val="27"/>
          <w:szCs w:val="27"/>
          <w:u w:val="none"/>
          <w:lang w:val="en-US" w:eastAsia="zh-CN"/>
        </w:rPr>
        <w:t>1</w:t>
      </w:r>
      <w:r>
        <w:rPr>
          <w:rFonts w:hint="eastAsia" w:ascii="仿宋" w:hAnsi="仿宋" w:eastAsia="仿宋" w:cs="仿宋"/>
          <w:color w:val="auto"/>
          <w:sz w:val="27"/>
          <w:szCs w:val="27"/>
          <w:u w:val="none"/>
        </w:rPr>
        <w:t>:</w:t>
      </w:r>
      <w:r>
        <w:rPr>
          <w:rFonts w:hint="eastAsia" w:ascii="仿宋" w:hAnsi="仿宋" w:eastAsia="仿宋" w:cs="仿宋"/>
          <w:color w:val="auto"/>
          <w:sz w:val="27"/>
          <w:szCs w:val="27"/>
          <w:u w:val="none"/>
          <w:lang w:val="en-US" w:eastAsia="zh-CN"/>
        </w:rPr>
        <w:t>0</w:t>
      </w:r>
      <w:r>
        <w:rPr>
          <w:rFonts w:hint="eastAsia" w:ascii="仿宋" w:hAnsi="仿宋" w:eastAsia="仿宋" w:cs="仿宋"/>
          <w:color w:val="auto"/>
          <w:sz w:val="27"/>
          <w:szCs w:val="27"/>
          <w:u w:val="none"/>
        </w:rPr>
        <w:t>0（北京时间）</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w:t>
      </w:r>
      <w:r>
        <w:rPr>
          <w:rFonts w:hint="eastAsia" w:ascii="仿宋" w:hAnsi="仿宋" w:eastAsia="仿宋" w:cs="仿宋"/>
          <w:color w:val="auto"/>
          <w:sz w:val="27"/>
          <w:szCs w:val="27"/>
          <w:u w:val="none"/>
        </w:rPr>
        <w:t xml:space="preserve"> 投标地点：</w:t>
      </w:r>
      <w:r>
        <w:rPr>
          <w:rFonts w:hint="eastAsia" w:ascii="仿宋" w:hAnsi="仿宋" w:eastAsia="仿宋" w:cs="仿宋"/>
          <w:color w:val="auto"/>
          <w:sz w:val="27"/>
          <w:szCs w:val="27"/>
        </w:rPr>
        <w:t>伊宁市经济合作区北京路一品墅新房大厦10楼1004号</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u w:val="none"/>
        </w:rPr>
        <w:t>    开标时间：202</w:t>
      </w:r>
      <w:r>
        <w:rPr>
          <w:rFonts w:hint="eastAsia" w:ascii="仿宋" w:hAnsi="仿宋" w:eastAsia="仿宋" w:cs="仿宋"/>
          <w:color w:val="auto"/>
          <w:sz w:val="27"/>
          <w:szCs w:val="27"/>
          <w:u w:val="none"/>
          <w:lang w:val="en-US" w:eastAsia="zh-CN"/>
        </w:rPr>
        <w:t>2</w:t>
      </w:r>
      <w:r>
        <w:rPr>
          <w:rFonts w:hint="eastAsia" w:ascii="仿宋" w:hAnsi="仿宋" w:eastAsia="仿宋" w:cs="仿宋"/>
          <w:color w:val="auto"/>
          <w:sz w:val="27"/>
          <w:szCs w:val="27"/>
          <w:u w:val="none"/>
        </w:rPr>
        <w:t>年</w:t>
      </w:r>
      <w:r>
        <w:rPr>
          <w:rFonts w:hint="eastAsia" w:ascii="仿宋" w:hAnsi="仿宋" w:eastAsia="仿宋" w:cs="仿宋"/>
          <w:color w:val="auto"/>
          <w:sz w:val="27"/>
          <w:szCs w:val="27"/>
          <w:u w:val="none"/>
          <w:lang w:val="en-US" w:eastAsia="zh-CN"/>
        </w:rPr>
        <w:t>06</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21</w:t>
      </w:r>
      <w:r>
        <w:rPr>
          <w:rFonts w:hint="eastAsia" w:ascii="仿宋" w:hAnsi="仿宋" w:eastAsia="仿宋" w:cs="仿宋"/>
          <w:color w:val="auto"/>
          <w:sz w:val="27"/>
          <w:szCs w:val="27"/>
          <w:u w:val="none"/>
        </w:rPr>
        <w:t>日 1</w:t>
      </w:r>
      <w:r>
        <w:rPr>
          <w:rFonts w:hint="eastAsia" w:ascii="仿宋" w:hAnsi="仿宋" w:eastAsia="仿宋" w:cs="仿宋"/>
          <w:color w:val="auto"/>
          <w:sz w:val="27"/>
          <w:szCs w:val="27"/>
          <w:u w:val="none"/>
          <w:lang w:val="en-US" w:eastAsia="zh-CN"/>
        </w:rPr>
        <w:t>1</w:t>
      </w:r>
      <w:r>
        <w:rPr>
          <w:rFonts w:hint="eastAsia" w:ascii="仿宋" w:hAnsi="仿宋" w:eastAsia="仿宋" w:cs="仿宋"/>
          <w:color w:val="auto"/>
          <w:sz w:val="27"/>
          <w:szCs w:val="27"/>
          <w:u w:val="none"/>
        </w:rPr>
        <w:t>:</w:t>
      </w:r>
      <w:r>
        <w:rPr>
          <w:rFonts w:hint="eastAsia" w:ascii="仿宋" w:hAnsi="仿宋" w:eastAsia="仿宋" w:cs="仿宋"/>
          <w:color w:val="auto"/>
          <w:sz w:val="27"/>
          <w:szCs w:val="27"/>
          <w:u w:val="none"/>
          <w:lang w:val="en-US" w:eastAsia="zh-CN"/>
        </w:rPr>
        <w:t>0</w:t>
      </w:r>
      <w:r>
        <w:rPr>
          <w:rFonts w:hint="eastAsia" w:ascii="仿宋" w:hAnsi="仿宋" w:eastAsia="仿宋" w:cs="仿宋"/>
          <w:color w:val="auto"/>
          <w:sz w:val="27"/>
          <w:szCs w:val="27"/>
          <w:u w:val="none"/>
        </w:rPr>
        <w:t>0（北京时间）</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u w:val="none"/>
        </w:rPr>
        <w:t>    开标地点：</w:t>
      </w:r>
      <w:r>
        <w:rPr>
          <w:rFonts w:hint="eastAsia" w:ascii="仿宋" w:hAnsi="仿宋" w:eastAsia="仿宋" w:cs="仿宋"/>
          <w:color w:val="auto"/>
          <w:sz w:val="27"/>
          <w:szCs w:val="27"/>
        </w:rPr>
        <w:t>伊宁市经济合作区北京路一品墅新房大厦10楼1004号</w:t>
      </w:r>
      <w:r>
        <w:rPr>
          <w:rFonts w:hint="eastAsia" w:ascii="仿宋" w:hAnsi="仿宋" w:eastAsia="仿宋" w:cs="仿宋"/>
          <w:color w:val="auto"/>
        </w:rPr>
        <w:t>  </w:t>
      </w:r>
    </w:p>
    <w:p>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31"/>
          <w:szCs w:val="31"/>
        </w:rPr>
      </w:pPr>
      <w:r>
        <w:rPr>
          <w:rStyle w:val="25"/>
          <w:rFonts w:ascii="黑体" w:hAnsi="宋体" w:eastAsia="黑体" w:cs="黑体"/>
          <w:color w:val="auto"/>
          <w:sz w:val="27"/>
          <w:szCs w:val="27"/>
        </w:rPr>
        <w:t>公告期限</w:t>
      </w:r>
      <w:r>
        <w:rPr>
          <w:rFonts w:ascii="黑体" w:hAnsi="宋体" w:eastAsia="黑体" w:cs="黑体"/>
          <w:color w:val="auto"/>
          <w:sz w:val="31"/>
          <w:szCs w:val="31"/>
        </w:rPr>
        <w:t>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自本公告发布之日起</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rPr>
        <w:t>个工作日。</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7"/>
          <w:szCs w:val="27"/>
        </w:rPr>
      </w:pPr>
      <w:r>
        <w:rPr>
          <w:rStyle w:val="25"/>
          <w:rFonts w:ascii="黑体" w:hAnsi="宋体" w:eastAsia="黑体" w:cs="黑体"/>
          <w:color w:val="auto"/>
          <w:sz w:val="27"/>
          <w:szCs w:val="27"/>
        </w:rPr>
        <w:t>六、其他补充事宜</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lang w:eastAsia="zh-CN"/>
        </w:rPr>
        <w:t> </w:t>
      </w:r>
      <w:r>
        <w:rPr>
          <w:rFonts w:hint="eastAsia" w:ascii="仿宋" w:hAnsi="仿宋" w:eastAsia="仿宋" w:cs="仿宋"/>
          <w:color w:val="auto"/>
          <w:sz w:val="27"/>
          <w:szCs w:val="27"/>
          <w:lang w:val="en-US" w:eastAsia="zh-CN"/>
        </w:rPr>
        <w:t>获取招标文件时</w:t>
      </w:r>
      <w:r>
        <w:rPr>
          <w:rFonts w:hint="eastAsia" w:ascii="仿宋" w:hAnsi="仿宋" w:eastAsia="仿宋" w:cs="仿宋"/>
          <w:color w:val="auto"/>
          <w:sz w:val="27"/>
          <w:szCs w:val="27"/>
        </w:rPr>
        <w:t>须提供的证明材料：法定代表人授权委托书、委托人身份证、营业执照、</w:t>
      </w:r>
      <w:r>
        <w:rPr>
          <w:rFonts w:hint="eastAsia" w:ascii="仿宋" w:hAnsi="仿宋" w:eastAsia="仿宋" w:cs="仿宋"/>
          <w:i w:val="0"/>
          <w:iCs w:val="0"/>
          <w:caps w:val="0"/>
          <w:spacing w:val="0"/>
          <w:sz w:val="27"/>
          <w:szCs w:val="27"/>
        </w:rPr>
        <w:t>提供近</w:t>
      </w:r>
      <w:r>
        <w:rPr>
          <w:rFonts w:hint="eastAsia" w:ascii="仿宋" w:hAnsi="仿宋" w:eastAsia="仿宋" w:cs="仿宋"/>
          <w:i w:val="0"/>
          <w:iCs w:val="0"/>
          <w:caps w:val="0"/>
          <w:spacing w:val="0"/>
          <w:sz w:val="27"/>
          <w:szCs w:val="27"/>
          <w:lang w:eastAsia="zh-CN"/>
        </w:rPr>
        <w:t>三个月</w:t>
      </w:r>
      <w:r>
        <w:rPr>
          <w:rFonts w:hint="eastAsia" w:ascii="仿宋" w:hAnsi="仿宋" w:eastAsia="仿宋" w:cs="仿宋"/>
          <w:i w:val="0"/>
          <w:iCs w:val="0"/>
          <w:caps w:val="0"/>
          <w:spacing w:val="0"/>
          <w:sz w:val="27"/>
          <w:szCs w:val="27"/>
        </w:rPr>
        <w:t>（202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月-202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5</w:t>
      </w:r>
      <w:r>
        <w:rPr>
          <w:rFonts w:hint="eastAsia" w:ascii="仿宋" w:hAnsi="仿宋" w:eastAsia="仿宋" w:cs="仿宋"/>
          <w:i w:val="0"/>
          <w:iCs w:val="0"/>
          <w:caps w:val="0"/>
          <w:spacing w:val="0"/>
          <w:sz w:val="27"/>
          <w:szCs w:val="27"/>
        </w:rPr>
        <w:t>月）缴纳税收证明及投标单位和被授权人的社保缴纳证明、</w:t>
      </w:r>
      <w:r>
        <w:rPr>
          <w:rFonts w:hint="eastAsia" w:ascii="仿宋" w:hAnsi="仿宋" w:eastAsia="仿宋" w:cs="仿宋"/>
          <w:color w:val="auto"/>
          <w:sz w:val="27"/>
          <w:szCs w:val="27"/>
        </w:rPr>
        <w:t>“信用中国”网站（www.creditchina.gov.cn）、“中国政府采购网”（www.ccgp.gov.cn）查询结果截图（日期必须在发布公告日期之后）。</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color w:val="auto"/>
          <w:sz w:val="27"/>
          <w:szCs w:val="27"/>
          <w:lang w:eastAsia="zh-CN"/>
        </w:rPr>
      </w:pPr>
      <w:r>
        <w:rPr>
          <w:rFonts w:hint="eastAsia" w:ascii="仿宋" w:hAnsi="仿宋" w:eastAsia="仿宋" w:cs="仿宋"/>
          <w:b/>
          <w:bCs/>
          <w:color w:val="auto"/>
          <w:sz w:val="27"/>
          <w:szCs w:val="27"/>
          <w:lang w:eastAsia="zh-CN"/>
        </w:rPr>
        <w:t>注明：以上证件资料需携带原件备查,资料不全不予</w:t>
      </w:r>
      <w:r>
        <w:rPr>
          <w:rFonts w:hint="eastAsia" w:ascii="仿宋" w:hAnsi="仿宋" w:eastAsia="仿宋" w:cs="仿宋"/>
          <w:b/>
          <w:bCs/>
          <w:color w:val="auto"/>
          <w:sz w:val="27"/>
          <w:szCs w:val="27"/>
          <w:lang w:val="en-US" w:eastAsia="zh-CN"/>
        </w:rPr>
        <w:t>购买</w:t>
      </w:r>
      <w:r>
        <w:rPr>
          <w:rFonts w:hint="eastAsia" w:ascii="仿宋" w:hAnsi="仿宋" w:eastAsia="仿宋" w:cs="仿宋"/>
          <w:b/>
          <w:bCs/>
          <w:color w:val="auto"/>
          <w:sz w:val="27"/>
          <w:szCs w:val="27"/>
          <w:lang w:eastAsia="zh-CN"/>
        </w:rPr>
        <w:t>。并提供加盖投标单位公章的复印件</w:t>
      </w:r>
      <w:r>
        <w:rPr>
          <w:rFonts w:hint="eastAsia" w:ascii="仿宋" w:hAnsi="仿宋" w:eastAsia="仿宋" w:cs="仿宋"/>
          <w:b/>
          <w:bCs/>
          <w:color w:val="auto"/>
          <w:sz w:val="27"/>
          <w:szCs w:val="27"/>
          <w:lang w:val="en-US" w:eastAsia="zh-CN"/>
        </w:rPr>
        <w:t>三</w:t>
      </w:r>
      <w:r>
        <w:rPr>
          <w:rFonts w:hint="eastAsia" w:ascii="仿宋" w:hAnsi="仿宋" w:eastAsia="仿宋" w:cs="仿宋"/>
          <w:b/>
          <w:bCs/>
          <w:color w:val="auto"/>
          <w:sz w:val="27"/>
          <w:szCs w:val="27"/>
          <w:lang w:eastAsia="zh-CN"/>
        </w:rPr>
        <w:t>份。</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31"/>
          <w:szCs w:val="31"/>
        </w:rPr>
      </w:pPr>
      <w:r>
        <w:rPr>
          <w:rStyle w:val="25"/>
          <w:rFonts w:ascii="黑体" w:hAnsi="宋体" w:eastAsia="黑体" w:cs="黑体"/>
          <w:color w:val="auto"/>
          <w:sz w:val="27"/>
          <w:szCs w:val="27"/>
        </w:rPr>
        <w:t>七、对本次采购提出询问，请按以下方式联系</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1.采购人信息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lang w:eastAsia="zh-CN"/>
        </w:rPr>
      </w:pPr>
      <w:r>
        <w:rPr>
          <w:rFonts w:hint="eastAsia" w:ascii="仿宋" w:hAnsi="仿宋" w:eastAsia="仿宋" w:cs="仿宋"/>
          <w:i w:val="0"/>
          <w:iCs w:val="0"/>
          <w:caps w:val="0"/>
          <w:spacing w:val="0"/>
          <w:sz w:val="27"/>
          <w:szCs w:val="27"/>
        </w:rPr>
        <w:t>名 称：</w:t>
      </w:r>
      <w:r>
        <w:rPr>
          <w:rStyle w:val="28"/>
          <w:rFonts w:hint="eastAsia" w:ascii="仿宋" w:hAnsi="仿宋" w:eastAsia="仿宋" w:cs="仿宋"/>
          <w:i w:val="0"/>
          <w:iCs w:val="0"/>
          <w:caps w:val="0"/>
          <w:spacing w:val="0"/>
          <w:sz w:val="27"/>
          <w:szCs w:val="27"/>
        </w:rPr>
        <w:t>特克斯县</w:t>
      </w:r>
      <w:r>
        <w:rPr>
          <w:rStyle w:val="28"/>
          <w:rFonts w:hint="eastAsia" w:ascii="仿宋" w:hAnsi="仿宋" w:eastAsia="仿宋" w:cs="仿宋"/>
          <w:i w:val="0"/>
          <w:iCs w:val="0"/>
          <w:caps w:val="0"/>
          <w:spacing w:val="0"/>
          <w:sz w:val="27"/>
          <w:szCs w:val="27"/>
          <w:lang w:val="en-US" w:eastAsia="zh-CN"/>
        </w:rPr>
        <w:t>中医医院</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地 址：特克斯县</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lang w:eastAsia="zh-CN"/>
        </w:rPr>
      </w:pPr>
      <w:r>
        <w:rPr>
          <w:rFonts w:hint="eastAsia" w:ascii="仿宋" w:hAnsi="仿宋" w:eastAsia="仿宋" w:cs="仿宋"/>
          <w:i w:val="0"/>
          <w:iCs w:val="0"/>
          <w:caps w:val="0"/>
          <w:spacing w:val="0"/>
          <w:sz w:val="27"/>
          <w:szCs w:val="27"/>
          <w:lang w:val="en-US" w:eastAsia="zh-CN"/>
        </w:rPr>
        <w:t xml:space="preserve">联系人：崔主任    </w:t>
      </w:r>
      <w:r>
        <w:rPr>
          <w:rFonts w:hint="eastAsia" w:ascii="仿宋" w:hAnsi="仿宋" w:eastAsia="仿宋" w:cs="仿宋"/>
          <w:i w:val="0"/>
          <w:iCs w:val="0"/>
          <w:caps w:val="0"/>
          <w:spacing w:val="0"/>
          <w:sz w:val="27"/>
          <w:szCs w:val="27"/>
        </w:rPr>
        <w:t>联系方式：</w:t>
      </w:r>
      <w:r>
        <w:rPr>
          <w:rFonts w:hint="eastAsia" w:ascii="仿宋" w:hAnsi="仿宋" w:eastAsia="仿宋" w:cs="仿宋"/>
          <w:i w:val="0"/>
          <w:iCs w:val="0"/>
          <w:caps w:val="0"/>
          <w:spacing w:val="0"/>
          <w:sz w:val="27"/>
          <w:szCs w:val="27"/>
          <w:lang w:val="en-US" w:eastAsia="zh-CN"/>
        </w:rPr>
        <w:t>199 9091 5628</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2.采购代理机构信息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名 称：新疆华域建设工程项目管理咨询有限公司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地 址：伊宁市经济合作区北京路一品墅新房大厦10楼1004号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3.项目联系方式</w:t>
      </w:r>
    </w:p>
    <w:p>
      <w:pPr>
        <w:ind w:firstLine="540" w:firstLineChars="200"/>
        <w:rPr>
          <w:rFonts w:hint="default" w:eastAsia="仿宋"/>
          <w:sz w:val="27"/>
          <w:szCs w:val="27"/>
          <w:lang w:val="en-US" w:eastAsia="zh-CN"/>
        </w:rPr>
      </w:pPr>
      <w:r>
        <w:rPr>
          <w:rFonts w:hint="eastAsia" w:ascii="仿宋" w:hAnsi="仿宋" w:eastAsia="仿宋" w:cs="仿宋"/>
          <w:i w:val="0"/>
          <w:iCs w:val="0"/>
          <w:caps w:val="0"/>
          <w:spacing w:val="0"/>
          <w:sz w:val="27"/>
          <w:szCs w:val="27"/>
        </w:rPr>
        <w:t>项目联系人：</w:t>
      </w:r>
      <w:r>
        <w:rPr>
          <w:rFonts w:hint="eastAsia" w:ascii="仿宋" w:hAnsi="仿宋" w:eastAsia="仿宋" w:cs="仿宋"/>
          <w:i w:val="0"/>
          <w:iCs w:val="0"/>
          <w:caps w:val="0"/>
          <w:spacing w:val="0"/>
          <w:sz w:val="27"/>
          <w:szCs w:val="27"/>
          <w:lang w:val="en-US" w:eastAsia="zh-CN"/>
        </w:rPr>
        <w:t xml:space="preserve">廖清钦     </w:t>
      </w:r>
      <w:r>
        <w:rPr>
          <w:rFonts w:hint="eastAsia" w:ascii="仿宋" w:hAnsi="仿宋" w:eastAsia="仿宋" w:cs="仿宋"/>
          <w:i w:val="0"/>
          <w:iCs w:val="0"/>
          <w:caps w:val="0"/>
          <w:spacing w:val="0"/>
          <w:sz w:val="27"/>
          <w:szCs w:val="27"/>
        </w:rPr>
        <w:t>电 话：18196949061</w:t>
      </w:r>
    </w:p>
    <w:p>
      <w:pPr>
        <w:rPr>
          <w:rFonts w:hint="eastAsia" w:ascii="仿宋" w:hAnsi="仿宋" w:eastAsia="仿宋" w:cs="仿宋"/>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7"/>
          <w:szCs w:val="27"/>
          <w:u w:val="none"/>
          <w:lang w:val="en-US" w:eastAsia="zh-CN"/>
        </w:rPr>
      </w:pPr>
    </w:p>
    <w:p>
      <w:pPr>
        <w:pStyle w:val="4"/>
        <w:keepLines w:val="0"/>
        <w:spacing w:before="0" w:after="0" w:line="360" w:lineRule="auto"/>
        <w:ind w:right="-441" w:rightChars="-210"/>
        <w:jc w:val="center"/>
        <w:rPr>
          <w:rFonts w:hint="eastAsia" w:ascii="仿宋" w:hAnsi="仿宋" w:eastAsia="仿宋" w:cs="仿宋"/>
          <w:color w:val="auto"/>
          <w:kern w:val="2"/>
          <w:sz w:val="48"/>
          <w:szCs w:val="48"/>
        </w:rPr>
      </w:pPr>
      <w:bookmarkStart w:id="3" w:name="_Toc14165"/>
    </w:p>
    <w:p>
      <w:pPr>
        <w:rPr>
          <w:rFonts w:hint="eastAsia" w:ascii="仿宋" w:hAnsi="仿宋" w:eastAsia="仿宋" w:cs="仿宋"/>
          <w:color w:val="auto"/>
          <w:kern w:val="2"/>
          <w:sz w:val="48"/>
          <w:szCs w:val="48"/>
        </w:rPr>
      </w:pPr>
    </w:p>
    <w:p>
      <w:pPr>
        <w:pStyle w:val="19"/>
        <w:rPr>
          <w:rFonts w:hint="eastAsia" w:ascii="仿宋" w:hAnsi="仿宋" w:eastAsia="仿宋" w:cs="仿宋"/>
          <w:color w:val="auto"/>
          <w:kern w:val="2"/>
          <w:sz w:val="48"/>
          <w:szCs w:val="48"/>
        </w:rPr>
      </w:pPr>
    </w:p>
    <w:p>
      <w:pPr>
        <w:pStyle w:val="19"/>
        <w:rPr>
          <w:rFonts w:hint="eastAsia" w:ascii="仿宋" w:hAnsi="仿宋" w:eastAsia="仿宋" w:cs="仿宋"/>
          <w:color w:val="auto"/>
          <w:kern w:val="2"/>
          <w:sz w:val="48"/>
          <w:szCs w:val="48"/>
        </w:rPr>
      </w:pPr>
    </w:p>
    <w:p>
      <w:pPr>
        <w:pStyle w:val="19"/>
        <w:ind w:left="0" w:leftChars="0" w:firstLine="0" w:firstLineChars="0"/>
        <w:rPr>
          <w:rFonts w:hint="eastAsia" w:ascii="仿宋" w:hAnsi="仿宋" w:eastAsia="仿宋" w:cs="仿宋"/>
          <w:color w:val="auto"/>
        </w:rPr>
      </w:pPr>
    </w:p>
    <w:p>
      <w:pPr>
        <w:pStyle w:val="4"/>
        <w:keepLines w:val="0"/>
        <w:spacing w:before="0" w:after="0" w:line="360" w:lineRule="auto"/>
        <w:ind w:right="-441" w:rightChars="-210"/>
        <w:jc w:val="center"/>
        <w:rPr>
          <w:rFonts w:hint="eastAsia" w:ascii="仿宋" w:hAnsi="仿宋" w:eastAsia="仿宋" w:cs="仿宋"/>
          <w:b w:val="0"/>
          <w:bCs w:val="0"/>
          <w:color w:val="auto"/>
          <w:sz w:val="32"/>
        </w:rPr>
      </w:pPr>
      <w:r>
        <w:rPr>
          <w:rFonts w:hint="eastAsia" w:ascii="仿宋" w:hAnsi="仿宋" w:eastAsia="仿宋" w:cs="仿宋"/>
          <w:color w:val="auto"/>
          <w:kern w:val="2"/>
          <w:sz w:val="48"/>
          <w:szCs w:val="48"/>
        </w:rPr>
        <w:t>第二章  投标人须知</w:t>
      </w:r>
      <w:bookmarkEnd w:id="0"/>
      <w:bookmarkEnd w:id="1"/>
      <w:bookmarkEnd w:id="2"/>
      <w:bookmarkEnd w:id="3"/>
      <w:bookmarkStart w:id="4" w:name="_Toc226521692"/>
      <w:bookmarkStart w:id="5" w:name="_Toc185747578"/>
      <w:bookmarkStart w:id="6" w:name="_Toc19085"/>
      <w:bookmarkStart w:id="7" w:name="_Toc279046865"/>
      <w:bookmarkStart w:id="8" w:name="_Toc245203880"/>
      <w:bookmarkStart w:id="9" w:name="_Toc226966680"/>
      <w:bookmarkStart w:id="10" w:name="_Toc277758485"/>
      <w:bookmarkStart w:id="11" w:name="_Toc243923367"/>
      <w:bookmarkStart w:id="12" w:name="_Toc209258272"/>
      <w:bookmarkStart w:id="13" w:name="_Toc191353014"/>
      <w:bookmarkStart w:id="14" w:name="_Toc278958158"/>
      <w:bookmarkStart w:id="15" w:name="_Toc243743353"/>
      <w:bookmarkStart w:id="16" w:name="_Toc271105676"/>
      <w:bookmarkStart w:id="17" w:name="_Toc272350606"/>
      <w:bookmarkStart w:id="18" w:name="_Toc49135195"/>
      <w:bookmarkStart w:id="19" w:name="_Toc49082409"/>
    </w:p>
    <w:p>
      <w:pPr>
        <w:pStyle w:val="4"/>
        <w:keepLines w:val="0"/>
        <w:spacing w:before="0" w:after="0" w:line="360" w:lineRule="auto"/>
        <w:ind w:right="-441" w:rightChars="-210"/>
        <w:jc w:val="center"/>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rPr>
        <w:t>投标人须知</w:t>
      </w:r>
      <w:r>
        <w:rPr>
          <w:rFonts w:hint="eastAsia" w:ascii="仿宋" w:hAnsi="仿宋" w:eastAsia="仿宋" w:cs="仿宋"/>
          <w:b w:val="0"/>
          <w:bCs w:val="0"/>
          <w:color w:val="auto"/>
          <w:sz w:val="32"/>
          <w:lang w:eastAsia="zh-CN"/>
        </w:rPr>
        <w:t>前附表</w:t>
      </w:r>
    </w:p>
    <w:tbl>
      <w:tblPr>
        <w:tblStyle w:val="21"/>
        <w:tblW w:w="9438" w:type="dxa"/>
        <w:tblInd w:w="-5" w:type="dxa"/>
        <w:tblLayout w:type="fixed"/>
        <w:tblCellMar>
          <w:top w:w="0" w:type="dxa"/>
          <w:left w:w="0" w:type="dxa"/>
          <w:bottom w:w="0" w:type="dxa"/>
          <w:right w:w="0" w:type="dxa"/>
        </w:tblCellMar>
      </w:tblPr>
      <w:tblGrid>
        <w:gridCol w:w="1571"/>
        <w:gridCol w:w="7867"/>
      </w:tblGrid>
      <w:tr>
        <w:tblPrEx>
          <w:tblCellMar>
            <w:top w:w="0" w:type="dxa"/>
            <w:left w:w="0" w:type="dxa"/>
            <w:bottom w:w="0" w:type="dxa"/>
            <w:right w:w="0" w:type="dxa"/>
          </w:tblCellMar>
        </w:tblPrEx>
        <w:trPr>
          <w:trHeight w:val="785"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采购项目名称</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特克斯县中医医院污水处理及在线监测运维采购项目二次</w:t>
            </w:r>
          </w:p>
        </w:tc>
      </w:tr>
      <w:tr>
        <w:tblPrEx>
          <w:tblCellMar>
            <w:top w:w="0" w:type="dxa"/>
            <w:left w:w="0" w:type="dxa"/>
            <w:bottom w:w="0" w:type="dxa"/>
            <w:right w:w="0" w:type="dxa"/>
          </w:tblCellMar>
        </w:tblPrEx>
        <w:trPr>
          <w:trHeight w:val="523"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   购   人</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特克斯县中医医院</w:t>
            </w:r>
          </w:p>
        </w:tc>
      </w:tr>
      <w:tr>
        <w:tblPrEx>
          <w:tblCellMar>
            <w:top w:w="0" w:type="dxa"/>
            <w:left w:w="0" w:type="dxa"/>
            <w:bottom w:w="0" w:type="dxa"/>
            <w:right w:w="0" w:type="dxa"/>
          </w:tblCellMar>
        </w:tblPrEx>
        <w:trPr>
          <w:trHeight w:val="529"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采购代理机构</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新疆华域建设工程项目管理咨询有限公司</w:t>
            </w:r>
          </w:p>
        </w:tc>
      </w:tr>
      <w:tr>
        <w:tblPrEx>
          <w:tblCellMar>
            <w:top w:w="0" w:type="dxa"/>
            <w:left w:w="0" w:type="dxa"/>
            <w:bottom w:w="0" w:type="dxa"/>
            <w:right w:w="0" w:type="dxa"/>
          </w:tblCellMar>
        </w:tblPrEx>
        <w:trPr>
          <w:trHeight w:val="562"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磋商文</w:t>
            </w:r>
            <w:r>
              <w:rPr>
                <w:rFonts w:hint="eastAsia" w:ascii="仿宋" w:hAnsi="仿宋" w:eastAsia="仿宋" w:cs="仿宋"/>
                <w:color w:val="auto"/>
                <w:sz w:val="24"/>
                <w:szCs w:val="24"/>
                <w:lang w:val="en-US" w:eastAsia="zh-CN"/>
              </w:rPr>
              <w:t>件编号</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HYYL-2022-062</w:t>
            </w:r>
          </w:p>
        </w:tc>
      </w:tr>
      <w:tr>
        <w:tblPrEx>
          <w:tblCellMar>
            <w:top w:w="0" w:type="dxa"/>
            <w:left w:w="0" w:type="dxa"/>
            <w:bottom w:w="0" w:type="dxa"/>
            <w:right w:w="0" w:type="dxa"/>
          </w:tblCellMar>
        </w:tblPrEx>
        <w:trPr>
          <w:trHeight w:val="587" w:hRule="exac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6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资金到位情况</w:t>
            </w:r>
          </w:p>
        </w:tc>
        <w:tc>
          <w:tcPr>
            <w:tcW w:w="7867" w:type="dxa"/>
            <w:tcBorders>
              <w:top w:val="single" w:color="auto" w:sz="4" w:space="0"/>
              <w:left w:val="single" w:color="auto" w:sz="6" w:space="0"/>
              <w:bottom w:val="single" w:color="auto" w:sz="6" w:space="0"/>
              <w:right w:val="single" w:color="000000" w:sz="6"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已到位</w:t>
            </w:r>
          </w:p>
        </w:tc>
      </w:tr>
      <w:tr>
        <w:tblPrEx>
          <w:tblCellMar>
            <w:top w:w="0" w:type="dxa"/>
            <w:left w:w="0" w:type="dxa"/>
            <w:bottom w:w="0" w:type="dxa"/>
            <w:right w:w="0" w:type="dxa"/>
          </w:tblCellMar>
        </w:tblPrEx>
        <w:trPr>
          <w:trHeight w:val="561"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购</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内</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容</w:t>
            </w:r>
          </w:p>
        </w:tc>
        <w:tc>
          <w:tcPr>
            <w:tcW w:w="7867" w:type="dxa"/>
            <w:tcBorders>
              <w:top w:val="single" w:color="auto" w:sz="6" w:space="0"/>
              <w:left w:val="nil"/>
              <w:bottom w:val="single" w:color="auto" w:sz="4" w:space="0"/>
              <w:right w:val="single" w:color="000000"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污水处理及在线监测运维进行采购</w:t>
            </w:r>
          </w:p>
        </w:tc>
      </w:tr>
      <w:tr>
        <w:tblPrEx>
          <w:tblCellMar>
            <w:top w:w="0" w:type="dxa"/>
            <w:left w:w="0" w:type="dxa"/>
            <w:bottom w:w="0" w:type="dxa"/>
            <w:right w:w="0" w:type="dxa"/>
          </w:tblCellMar>
        </w:tblPrEx>
        <w:trPr>
          <w:trHeight w:val="884"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tabs>
                <w:tab w:val="left" w:pos="437"/>
              </w:tabs>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投标供应</w:t>
            </w:r>
          </w:p>
          <w:p>
            <w:pPr>
              <w:tabs>
                <w:tab w:val="left" w:pos="437"/>
              </w:tabs>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商资格要求</w:t>
            </w:r>
          </w:p>
          <w:p>
            <w:pPr>
              <w:tabs>
                <w:tab w:val="left" w:pos="437"/>
              </w:tabs>
              <w:spacing w:line="500" w:lineRule="exact"/>
              <w:jc w:val="center"/>
              <w:rPr>
                <w:rFonts w:hint="eastAsia" w:ascii="仿宋" w:hAnsi="仿宋" w:eastAsia="仿宋" w:cs="仿宋"/>
                <w:color w:val="auto"/>
                <w:sz w:val="24"/>
                <w:szCs w:val="24"/>
                <w:highlight w:val="none"/>
                <w:lang w:val="zh-CN"/>
              </w:rPr>
            </w:pPr>
          </w:p>
        </w:tc>
        <w:tc>
          <w:tcPr>
            <w:tcW w:w="7867" w:type="dxa"/>
            <w:tcBorders>
              <w:top w:val="single" w:color="auto" w:sz="6" w:space="0"/>
              <w:left w:val="nil"/>
              <w:bottom w:val="single" w:color="auto" w:sz="4" w:space="0"/>
              <w:right w:val="single" w:color="000000" w:sz="6" w:space="0"/>
            </w:tcBorders>
            <w:noWrap w:val="0"/>
            <w:vAlign w:val="center"/>
          </w:tcPr>
          <w:p>
            <w:pPr>
              <w:pStyle w:val="18"/>
              <w:spacing w:line="36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1.本项目的特定资格要求：</w:t>
            </w:r>
          </w:p>
          <w:p>
            <w:pPr>
              <w:pStyle w:val="18"/>
              <w:spacing w:line="36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（1）满足《中华人民共和国政府采购法》第二十二条的相关规定；</w:t>
            </w:r>
          </w:p>
          <w:p>
            <w:pPr>
              <w:pStyle w:val="18"/>
              <w:spacing w:line="36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（2）具有有效的营业执照且经营范围内包含此次采购内容；</w:t>
            </w:r>
          </w:p>
          <w:p>
            <w:pPr>
              <w:spacing w:line="5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（3）具有独立承担民事责任的能力；</w:t>
            </w:r>
          </w:p>
          <w:p>
            <w:pPr>
              <w:spacing w:line="5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（4）具有履行合同所必需的设备和专业技术能力；</w:t>
            </w:r>
          </w:p>
          <w:p>
            <w:pPr>
              <w:spacing w:line="5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（5）有依法缴纳税收和社会保障资金的良好记录；</w:t>
            </w:r>
          </w:p>
          <w:p>
            <w:pPr>
              <w:spacing w:line="5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（6）参加政府采购活动前三年内，在经营活动中没有重大违法记录；</w:t>
            </w:r>
          </w:p>
          <w:p>
            <w:pPr>
              <w:spacing w:line="50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（7）法律、行政法规规定的其他条件。</w:t>
            </w:r>
          </w:p>
          <w:p>
            <w:pPr>
              <w:pStyle w:val="18"/>
              <w:spacing w:line="36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8"/>
              <w:spacing w:line="360" w:lineRule="exact"/>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kern w:val="2"/>
                <w:sz w:val="24"/>
                <w:szCs w:val="24"/>
                <w:lang w:val="en-US" w:eastAsia="zh-CN" w:bidi="ar-SA"/>
              </w:rPr>
              <w:t>2.本项目不接受联合体投标。</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ind w:firstLine="240" w:firstLineChars="1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服务地点</w:t>
            </w:r>
          </w:p>
        </w:tc>
        <w:tc>
          <w:tcPr>
            <w:tcW w:w="7867" w:type="dxa"/>
            <w:tcBorders>
              <w:top w:val="single" w:color="auto" w:sz="4" w:space="0"/>
              <w:left w:val="nil"/>
              <w:right w:val="single" w:color="000000" w:sz="6" w:space="0"/>
            </w:tcBorders>
            <w:noWrap w:val="0"/>
            <w:vAlign w:val="center"/>
          </w:tcPr>
          <w:p>
            <w:pPr>
              <w:spacing w:line="500" w:lineRule="exact"/>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采购人指定定点</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合同履约期限</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一年</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 保 期</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r>
      <w:tr>
        <w:tblPrEx>
          <w:tblCellMar>
            <w:top w:w="0" w:type="dxa"/>
            <w:left w:w="0" w:type="dxa"/>
            <w:bottom w:w="0" w:type="dxa"/>
            <w:right w:w="0" w:type="dxa"/>
          </w:tblCellMar>
        </w:tblPrEx>
        <w:trPr>
          <w:trHeight w:val="556"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投标保证金</w:t>
            </w:r>
          </w:p>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形式及相关须知</w:t>
            </w:r>
          </w:p>
        </w:tc>
        <w:tc>
          <w:tcPr>
            <w:tcW w:w="7867" w:type="dxa"/>
            <w:tcBorders>
              <w:top w:val="single" w:color="auto" w:sz="6" w:space="0"/>
              <w:left w:val="nil"/>
              <w:bottom w:val="single" w:color="auto" w:sz="6" w:space="0"/>
              <w:right w:val="single" w:color="000000" w:sz="6" w:space="0"/>
            </w:tcBorders>
            <w:noWrap w:val="0"/>
            <w:vAlign w:val="center"/>
          </w:tcPr>
          <w:p>
            <w:pPr>
              <w:pStyle w:val="14"/>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保证金要求提供，数额不得超过采购项目预算金额的2%，本项目的投标保证金为：</w:t>
            </w:r>
            <w:r>
              <w:rPr>
                <w:rFonts w:hint="eastAsia" w:ascii="仿宋" w:hAnsi="仿宋" w:eastAsia="仿宋" w:cs="仿宋"/>
                <w:color w:val="auto"/>
                <w:sz w:val="24"/>
                <w:szCs w:val="24"/>
                <w:u w:val="single"/>
                <w:lang w:val="en-US" w:eastAsia="zh-CN"/>
              </w:rPr>
              <w:t>3000</w:t>
            </w:r>
            <w:r>
              <w:rPr>
                <w:rFonts w:hint="eastAsia" w:ascii="仿宋" w:hAnsi="仿宋" w:eastAsia="仿宋" w:cs="仿宋"/>
                <w:b/>
                <w:bCs/>
                <w:color w:val="auto"/>
                <w:sz w:val="24"/>
                <w:szCs w:val="24"/>
                <w:u w:val="single"/>
              </w:rPr>
              <w:t>元（大写：</w:t>
            </w:r>
            <w:r>
              <w:rPr>
                <w:rFonts w:hint="eastAsia" w:ascii="仿宋" w:hAnsi="仿宋" w:eastAsia="仿宋" w:cs="仿宋"/>
                <w:b/>
                <w:bCs/>
                <w:color w:val="auto"/>
                <w:sz w:val="24"/>
                <w:szCs w:val="24"/>
                <w:u w:val="single"/>
                <w:lang w:val="en-US" w:eastAsia="zh-CN"/>
              </w:rPr>
              <w:t>叁仟元整</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提交方式为</w:t>
            </w:r>
            <w:r>
              <w:rPr>
                <w:rFonts w:hint="eastAsia" w:ascii="仿宋" w:hAnsi="仿宋" w:eastAsia="仿宋" w:cs="仿宋"/>
                <w:color w:val="auto"/>
                <w:sz w:val="24"/>
                <w:szCs w:val="24"/>
                <w:u w:val="single"/>
              </w:rPr>
              <w:t>投标人基本账户以网银或银行电汇形式</w:t>
            </w:r>
            <w:r>
              <w:rPr>
                <w:rFonts w:hint="eastAsia" w:ascii="仿宋" w:hAnsi="仿宋" w:eastAsia="仿宋" w:cs="仿宋"/>
                <w:color w:val="auto"/>
                <w:sz w:val="24"/>
                <w:szCs w:val="24"/>
              </w:rPr>
              <w:t>，在投标截止时间之前汇至本公司账户，否则其响应文件将被拒绝评审，投标人提交投标保证金应充分考虑资金在途时间。</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账户信息：新疆华域建设工程项目管理咨询有限公司伊犁分公司  </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开户行：中国工商银行股份有限公司伊宁阿</w:t>
            </w:r>
            <w:r>
              <w:rPr>
                <w:rFonts w:hint="eastAsia" w:ascii="仿宋" w:hAnsi="仿宋" w:eastAsia="仿宋" w:cs="仿宋"/>
                <w:color w:val="auto"/>
                <w:sz w:val="24"/>
                <w:szCs w:val="24"/>
                <w:lang w:val="en-US" w:eastAsia="zh-CN"/>
              </w:rPr>
              <w:t>合</w:t>
            </w:r>
            <w:r>
              <w:rPr>
                <w:rFonts w:hint="eastAsia" w:ascii="仿宋" w:hAnsi="仿宋" w:eastAsia="仿宋" w:cs="仿宋"/>
                <w:color w:val="auto"/>
                <w:sz w:val="24"/>
                <w:szCs w:val="24"/>
              </w:rPr>
              <w:t>买提江街支行</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银行账号：3006023109200131786</w:t>
            </w:r>
          </w:p>
          <w:p>
            <w:pPr>
              <w:spacing w:line="500" w:lineRule="exact"/>
              <w:jc w:val="left"/>
              <w:rPr>
                <w:rFonts w:hint="eastAsia" w:ascii="仿宋" w:hAnsi="仿宋" w:eastAsia="仿宋" w:cs="仿宋"/>
                <w:color w:val="auto"/>
                <w:sz w:val="24"/>
                <w:szCs w:val="24"/>
                <w:highlight w:val="red"/>
                <w:lang w:val="zh-CN"/>
              </w:rPr>
            </w:pPr>
            <w:r>
              <w:rPr>
                <w:rFonts w:hint="eastAsia" w:ascii="仿宋" w:hAnsi="仿宋" w:eastAsia="仿宋" w:cs="仿宋"/>
                <w:color w:val="auto"/>
                <w:sz w:val="24"/>
                <w:szCs w:val="24"/>
              </w:rPr>
              <w:t>注：以电汇方式递交投标保证金须在电汇凭据附言栏中写明项目编号、包号及用途(保证金)，由于未按要求注明信息而导致的一切后果由投标人承担。</w:t>
            </w:r>
          </w:p>
        </w:tc>
      </w:tr>
      <w:tr>
        <w:tblPrEx>
          <w:tblCellMar>
            <w:top w:w="0" w:type="dxa"/>
            <w:left w:w="0" w:type="dxa"/>
            <w:bottom w:w="0" w:type="dxa"/>
            <w:right w:w="0" w:type="dxa"/>
          </w:tblCellMar>
        </w:tblPrEx>
        <w:trPr>
          <w:trHeight w:val="49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付款方式</w:t>
            </w:r>
          </w:p>
        </w:tc>
        <w:tc>
          <w:tcPr>
            <w:tcW w:w="7867" w:type="dxa"/>
            <w:tcBorders>
              <w:top w:val="single" w:color="auto" w:sz="6" w:space="0"/>
              <w:left w:val="nil"/>
              <w:bottom w:val="single" w:color="auto" w:sz="6" w:space="0"/>
              <w:right w:val="single" w:color="000000" w:sz="6" w:space="0"/>
            </w:tcBorders>
            <w:noWrap w:val="0"/>
            <w:vAlign w:val="top"/>
          </w:tcPr>
          <w:p>
            <w:pPr>
              <w:spacing w:line="3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后期与甲方签订合同为准</w:t>
            </w:r>
          </w:p>
        </w:tc>
      </w:tr>
      <w:tr>
        <w:tblPrEx>
          <w:tblCellMar>
            <w:top w:w="0" w:type="dxa"/>
            <w:left w:w="0" w:type="dxa"/>
            <w:bottom w:w="0" w:type="dxa"/>
            <w:right w:w="0" w:type="dxa"/>
          </w:tblCellMar>
        </w:tblPrEx>
        <w:trPr>
          <w:trHeight w:val="256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投标文件份数</w:t>
            </w:r>
          </w:p>
        </w:tc>
        <w:tc>
          <w:tcPr>
            <w:tcW w:w="7867" w:type="dxa"/>
            <w:tcBorders>
              <w:top w:val="single" w:color="auto" w:sz="6" w:space="0"/>
              <w:left w:val="nil"/>
              <w:bottom w:val="single" w:color="auto" w:sz="6" w:space="0"/>
              <w:right w:val="single" w:color="000000" w:sz="6" w:space="0"/>
            </w:tcBorders>
            <w:noWrap w:val="0"/>
            <w:vAlign w:val="top"/>
          </w:tcPr>
          <w:p>
            <w:pPr>
              <w:pStyle w:val="45"/>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投标文件的数量：正本1份、副本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p>
          <w:p>
            <w:pPr>
              <w:pStyle w:val="45"/>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投标报价单的数量：1份（单独密封）</w:t>
            </w:r>
          </w:p>
          <w:p>
            <w:pPr>
              <w:pStyle w:val="45"/>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电子版投标文件：1份(□扫描件，☑ Word，可多选，以U盘形式提交，单独密封)</w:t>
            </w:r>
          </w:p>
          <w:p>
            <w:pPr>
              <w:spacing w:line="360" w:lineRule="exact"/>
              <w:jc w:val="left"/>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（注：装订形式：不得采用活页、拉杆等方式，必须采用胶装，否则按废标处理）</w:t>
            </w:r>
          </w:p>
        </w:tc>
      </w:tr>
      <w:tr>
        <w:tblPrEx>
          <w:tblCellMar>
            <w:top w:w="0" w:type="dxa"/>
            <w:left w:w="0" w:type="dxa"/>
            <w:bottom w:w="0" w:type="dxa"/>
            <w:right w:w="0" w:type="dxa"/>
          </w:tblCellMar>
        </w:tblPrEx>
        <w:trPr>
          <w:trHeight w:val="914"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投标文件递交地点</w:t>
            </w:r>
          </w:p>
        </w:tc>
        <w:tc>
          <w:tcPr>
            <w:tcW w:w="7867" w:type="dxa"/>
            <w:tcBorders>
              <w:top w:val="nil"/>
              <w:left w:val="nil"/>
              <w:bottom w:val="single" w:color="auto" w:sz="6" w:space="0"/>
              <w:right w:val="single" w:color="000000" w:sz="6" w:space="0"/>
            </w:tcBorders>
            <w:noWrap w:val="0"/>
            <w:vAlign w:val="center"/>
          </w:tcPr>
          <w:p>
            <w:pPr>
              <w:spacing w:line="360" w:lineRule="exact"/>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伊宁市经济合作区北京路一品墅新房大厦10楼1004号</w:t>
            </w:r>
          </w:p>
        </w:tc>
      </w:tr>
      <w:tr>
        <w:tblPrEx>
          <w:tblCellMar>
            <w:top w:w="0" w:type="dxa"/>
            <w:left w:w="0" w:type="dxa"/>
            <w:bottom w:w="0" w:type="dxa"/>
            <w:right w:w="0" w:type="dxa"/>
          </w:tblCellMar>
        </w:tblPrEx>
        <w:trPr>
          <w:trHeight w:val="695" w:hRule="exact"/>
        </w:trPr>
        <w:tc>
          <w:tcPr>
            <w:tcW w:w="1571" w:type="dxa"/>
            <w:tcBorders>
              <w:top w:val="nil"/>
              <w:left w:val="single" w:color="auto" w:sz="6" w:space="0"/>
              <w:bottom w:val="single" w:color="auto" w:sz="4"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投标文件截止时间</w:t>
            </w:r>
          </w:p>
        </w:tc>
        <w:tc>
          <w:tcPr>
            <w:tcW w:w="7867" w:type="dxa"/>
            <w:tcBorders>
              <w:top w:val="nil"/>
              <w:left w:val="nil"/>
              <w:bottom w:val="single" w:color="auto" w:sz="4" w:space="0"/>
              <w:right w:val="single" w:color="000000" w:sz="6"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478"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329"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投标人必备资质（开标查验）</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开标时须携带：</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1、企业营业执照副本原件；</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、“信用中国”（www.creditchina.gov.cn）和“中国政府采购网”（www.ccgp.gov.cn）网站上未被列入失信被执行人、重大税收违法案件当事人名单以及政府采购严重违法失信行为记录名单的网页打印件（网页打印件须自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color w:val="auto"/>
                <w:sz w:val="24"/>
                <w:szCs w:val="24"/>
                <w:lang w:val="en-US" w:eastAsia="zh-CN"/>
              </w:rPr>
              <w:t>磋商</w:t>
            </w:r>
            <w:r>
              <w:rPr>
                <w:rFonts w:hint="eastAsia" w:ascii="仿宋" w:hAnsi="仿宋" w:eastAsia="仿宋" w:cs="仿宋"/>
                <w:b/>
                <w:color w:val="auto"/>
                <w:sz w:val="24"/>
                <w:szCs w:val="24"/>
              </w:rPr>
              <w:t>文件发布之日起至投标截止时间从上述网站中打印）（加盖公章）；</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、法定代表人参加时提供：身份证原件，或委托代理人参加时提供：身份证原件、授权委托书原件；</w:t>
            </w:r>
          </w:p>
          <w:p>
            <w:pPr>
              <w:pStyle w:val="2"/>
              <w:ind w:firstLine="482" w:firstLineChars="200"/>
              <w:rPr>
                <w:rFonts w:hint="eastAsia" w:ascii="仿宋" w:hAnsi="仿宋" w:eastAsia="仿宋" w:cs="仿宋"/>
                <w:lang w:val="en-US" w:eastAsia="zh-CN"/>
              </w:rPr>
            </w:pPr>
            <w:r>
              <w:rPr>
                <w:rFonts w:hint="eastAsia" w:ascii="仿宋" w:hAnsi="仿宋" w:eastAsia="仿宋" w:cs="仿宋"/>
                <w:b/>
                <w:color w:val="auto"/>
                <w:sz w:val="24"/>
                <w:szCs w:val="24"/>
                <w:lang w:val="en-US" w:eastAsia="zh-CN"/>
              </w:rPr>
              <w:t>4、提供近三个月（2022年3月-2022年5月）缴纳税收证明及投标单位和被授权人的社保缴纳证明；</w:t>
            </w:r>
          </w:p>
          <w:p>
            <w:pPr>
              <w:pStyle w:val="2"/>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5、投标保证金收据。</w:t>
            </w:r>
          </w:p>
          <w:p>
            <w:pPr>
              <w:pStyle w:val="2"/>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注：无法提供以上资料的投标人为无效投标人，其投标文件不予开封并退回投标人。</w:t>
            </w:r>
          </w:p>
        </w:tc>
      </w:tr>
      <w:tr>
        <w:tblPrEx>
          <w:tblCellMar>
            <w:top w:w="0" w:type="dxa"/>
            <w:left w:w="0" w:type="dxa"/>
            <w:bottom w:w="0" w:type="dxa"/>
            <w:right w:w="0" w:type="dxa"/>
          </w:tblCellMar>
        </w:tblPrEx>
        <w:trPr>
          <w:trHeight w:val="27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答疑</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若有代理公司将在投标截止前5日通知各投标人</w:t>
            </w:r>
          </w:p>
          <w:p>
            <w:pPr>
              <w:numPr>
                <w:ilvl w:val="0"/>
                <w:numId w:val="4"/>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若没有则不召开答疑会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highlight w:val="none"/>
                <w:u w:val="none"/>
                <w:lang w:val="zh-CN" w:eastAsia="zh-CN"/>
              </w:rPr>
              <w:t>磋商文件的澄清、修改及补正</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highlight w:val="none"/>
                <w:u w:val="none"/>
                <w:lang w:val="en-US" w:eastAsia="zh-CN"/>
              </w:rPr>
              <w:t>投标截止前5日书面e-mill通知所有投标人，其内容将作为投标文件的组成部分，时间不足5日将顺延。</w:t>
            </w:r>
          </w:p>
        </w:tc>
      </w:tr>
      <w:tr>
        <w:tblPrEx>
          <w:tblCellMar>
            <w:top w:w="0" w:type="dxa"/>
            <w:left w:w="0" w:type="dxa"/>
            <w:bottom w:w="0" w:type="dxa"/>
            <w:right w:w="0" w:type="dxa"/>
          </w:tblCellMar>
        </w:tblPrEx>
        <w:trPr>
          <w:trHeight w:val="3320"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节能、环保</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采购产品为最新《节能产品政府采购清单》内非标记★符号的节能产品及《环境标志产品政府采购清单》的产品：</w:t>
            </w:r>
          </w:p>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0" w:type="dxa"/>
            <w:bottom w:w="0" w:type="dxa"/>
            <w:right w:w="0" w:type="dxa"/>
          </w:tblCellMar>
        </w:tblPrEx>
        <w:trPr>
          <w:trHeight w:val="894" w:hRule="atLeast"/>
        </w:trPr>
        <w:tc>
          <w:tcPr>
            <w:tcW w:w="15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小、微企业</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1、给予小型和微型企业产品的价格给予6%-10%的扣除，用扣除后的价格参与评审，本项目具体扣除比例为6%。</w:t>
            </w:r>
          </w:p>
        </w:tc>
      </w:tr>
      <w:tr>
        <w:tblPrEx>
          <w:tblCellMar>
            <w:top w:w="0" w:type="dxa"/>
            <w:left w:w="0" w:type="dxa"/>
            <w:bottom w:w="0" w:type="dxa"/>
            <w:right w:w="0" w:type="dxa"/>
          </w:tblCellMar>
        </w:tblPrEx>
        <w:trPr>
          <w:trHeight w:val="1011"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2、中小企业在融资、投标保证、履约保证等方面有需求的，可查询当地政府采购管理部门相关政策，通过专业化的担保途径解决。</w:t>
            </w:r>
          </w:p>
        </w:tc>
      </w:tr>
      <w:tr>
        <w:tblPrEx>
          <w:tblCellMar>
            <w:top w:w="0" w:type="dxa"/>
            <w:left w:w="0" w:type="dxa"/>
            <w:bottom w:w="0" w:type="dxa"/>
            <w:right w:w="0" w:type="dxa"/>
          </w:tblCellMar>
        </w:tblPrEx>
        <w:trPr>
          <w:trHeight w:val="288"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低于成本价不正当竞争预防措施</w:t>
            </w:r>
          </w:p>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6"/>
        <w:keepLines/>
        <w:numPr>
          <w:ilvl w:val="0"/>
          <w:numId w:val="5"/>
        </w:numPr>
        <w:spacing w:before="260" w:after="260" w:line="400" w:lineRule="exact"/>
        <w:rPr>
          <w:rFonts w:hint="eastAsia" w:ascii="仿宋" w:hAnsi="仿宋" w:eastAsia="仿宋" w:cs="仿宋"/>
          <w:bCs w:val="0"/>
          <w:color w:val="auto"/>
          <w:sz w:val="28"/>
        </w:rPr>
      </w:pPr>
      <w:r>
        <w:rPr>
          <w:rFonts w:hint="eastAsia" w:ascii="仿宋" w:hAnsi="仿宋" w:eastAsia="仿宋" w:cs="仿宋"/>
          <w:bCs w:val="0"/>
          <w:color w:val="auto"/>
          <w:sz w:val="28"/>
          <w:lang w:val="en-US" w:eastAsia="zh-CN"/>
        </w:rPr>
        <w:t xml:space="preserve"> </w:t>
      </w:r>
      <w:r>
        <w:rPr>
          <w:rFonts w:hint="eastAsia" w:ascii="仿宋" w:hAnsi="仿宋" w:eastAsia="仿宋" w:cs="仿宋"/>
          <w:bCs w:val="0"/>
          <w:color w:val="auto"/>
          <w:sz w:val="28"/>
        </w:rPr>
        <w:t>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1"/>
          <w:numId w:val="5"/>
        </w:numPr>
        <w:tabs>
          <w:tab w:val="left" w:pos="525"/>
          <w:tab w:val="left" w:pos="630"/>
        </w:tabs>
        <w:spacing w:line="480" w:lineRule="auto"/>
        <w:outlineLvl w:val="3"/>
        <w:rPr>
          <w:rFonts w:hint="eastAsia" w:ascii="仿宋" w:hAnsi="仿宋" w:eastAsia="仿宋" w:cs="仿宋"/>
          <w:color w:val="auto"/>
          <w:sz w:val="24"/>
          <w:lang w:eastAsia="zh-CN"/>
        </w:rPr>
      </w:pPr>
      <w:r>
        <w:rPr>
          <w:rFonts w:hint="eastAsia" w:ascii="仿宋" w:hAnsi="仿宋" w:eastAsia="仿宋" w:cs="仿宋"/>
          <w:b/>
          <w:bCs/>
          <w:color w:val="auto"/>
          <w:sz w:val="24"/>
          <w:lang w:val="en-US" w:eastAsia="zh-CN"/>
        </w:rPr>
        <w:t>采购预算</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170000</w:t>
      </w:r>
      <w:r>
        <w:rPr>
          <w:rFonts w:hint="eastAsia" w:ascii="仿宋" w:hAnsi="仿宋" w:eastAsia="仿宋" w:cs="仿宋"/>
          <w:color w:val="auto"/>
          <w:sz w:val="24"/>
          <w:lang w:val="en-US" w:eastAsia="zh-CN"/>
        </w:rPr>
        <w:t>元。</w:t>
      </w:r>
    </w:p>
    <w:p>
      <w:pPr>
        <w:numPr>
          <w:ilvl w:val="1"/>
          <w:numId w:val="5"/>
        </w:numPr>
        <w:tabs>
          <w:tab w:val="left" w:pos="525"/>
          <w:tab w:val="left" w:pos="630"/>
        </w:tabs>
        <w:spacing w:line="480" w:lineRule="auto"/>
        <w:outlineLvl w:val="3"/>
        <w:rPr>
          <w:rFonts w:hint="eastAsia" w:ascii="仿宋" w:hAnsi="仿宋" w:eastAsia="仿宋" w:cs="仿宋"/>
          <w:color w:val="auto"/>
          <w:sz w:val="24"/>
        </w:rPr>
      </w:pPr>
      <w:r>
        <w:rPr>
          <w:rFonts w:hint="eastAsia" w:ascii="仿宋" w:hAnsi="仿宋" w:eastAsia="仿宋" w:cs="仿宋"/>
          <w:b/>
          <w:bCs/>
          <w:color w:val="auto"/>
          <w:sz w:val="24"/>
        </w:rPr>
        <w:t>适用范围</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依据《中华人民共和国政府采购法》、《中华人民共和国招标投标法》等有关法律法规制定本须知。</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采购人、招标代理机构、供应商及各方当事人适用本须知。</w:t>
      </w:r>
    </w:p>
    <w:p>
      <w:pPr>
        <w:numPr>
          <w:ilvl w:val="1"/>
          <w:numId w:val="5"/>
        </w:numPr>
        <w:tabs>
          <w:tab w:val="left" w:pos="525"/>
          <w:tab w:val="left" w:pos="630"/>
        </w:tabs>
        <w:spacing w:line="480" w:lineRule="auto"/>
        <w:outlineLvl w:val="3"/>
        <w:rPr>
          <w:rFonts w:hint="eastAsia" w:ascii="仿宋" w:hAnsi="仿宋" w:eastAsia="仿宋" w:cs="仿宋"/>
          <w:b/>
          <w:bCs/>
          <w:color w:val="auto"/>
          <w:sz w:val="24"/>
        </w:rPr>
      </w:pPr>
      <w:r>
        <w:rPr>
          <w:rFonts w:hint="eastAsia" w:ascii="仿宋" w:hAnsi="仿宋" w:eastAsia="仿宋" w:cs="仿宋"/>
          <w:b/>
          <w:bCs/>
          <w:color w:val="auto"/>
          <w:sz w:val="24"/>
        </w:rPr>
        <w:t>关于投标项目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rPr>
      </w:pPr>
      <w:r>
        <w:rPr>
          <w:rFonts w:hint="eastAsia" w:ascii="仿宋" w:hAnsi="仿宋" w:eastAsia="仿宋" w:cs="仿宋"/>
          <w:color w:val="auto"/>
          <w:sz w:val="24"/>
          <w:lang w:eastAsia="zh-CN"/>
        </w:rPr>
        <w:t>特克斯县中医医院污水处理及在线监测运维采购项目二次</w:t>
      </w:r>
      <w:r>
        <w:rPr>
          <w:rFonts w:hint="eastAsia" w:ascii="仿宋" w:hAnsi="仿宋" w:eastAsia="仿宋" w:cs="仿宋"/>
          <w:color w:val="auto"/>
          <w:sz w:val="24"/>
        </w:rPr>
        <w:t>。投标人必须对项目标段内容进行整体投标，不允许仅对其中部分内容进行投标。</w:t>
      </w:r>
    </w:p>
    <w:p>
      <w:pPr>
        <w:numPr>
          <w:ilvl w:val="1"/>
          <w:numId w:val="5"/>
        </w:numPr>
        <w:tabs>
          <w:tab w:val="left" w:pos="525"/>
          <w:tab w:val="left" w:pos="630"/>
        </w:tabs>
        <w:spacing w:line="480" w:lineRule="auto"/>
        <w:outlineLvl w:val="3"/>
        <w:rPr>
          <w:rFonts w:hint="eastAsia" w:ascii="仿宋" w:hAnsi="仿宋" w:eastAsia="仿宋" w:cs="仿宋"/>
          <w:b/>
          <w:bCs/>
          <w:color w:val="auto"/>
          <w:sz w:val="24"/>
        </w:rPr>
      </w:pPr>
      <w:r>
        <w:rPr>
          <w:rFonts w:hint="eastAsia" w:ascii="仿宋" w:hAnsi="仿宋" w:eastAsia="仿宋" w:cs="仿宋"/>
          <w:b/>
          <w:bCs/>
          <w:color w:val="auto"/>
          <w:sz w:val="24"/>
        </w:rPr>
        <w:t>关于定标方式</w:t>
      </w:r>
    </w:p>
    <w:p>
      <w:pPr>
        <w:spacing w:line="360" w:lineRule="auto"/>
        <w:ind w:firstLine="480" w:firstLineChars="200"/>
        <w:rPr>
          <w:rFonts w:hint="eastAsia" w:ascii="仿宋" w:hAnsi="仿宋" w:eastAsia="仿宋" w:cs="仿宋"/>
          <w:color w:val="auto"/>
        </w:rPr>
      </w:pPr>
      <w:r>
        <w:rPr>
          <w:rFonts w:hint="eastAsia" w:ascii="仿宋" w:hAnsi="仿宋" w:eastAsia="仿宋" w:cs="仿宋"/>
          <w:bCs/>
          <w:color w:val="auto"/>
          <w:sz w:val="24"/>
        </w:rPr>
        <w:t>磋商小组将根据需要决定对所有合格的磋商供应商在规定时间内进行第二次或多轮报价，最后报价将作为磋商小组评比的最终依据；采购人拒绝接受有选择性报价的投标。</w:t>
      </w:r>
    </w:p>
    <w:p>
      <w:pPr>
        <w:numPr>
          <w:ilvl w:val="1"/>
          <w:numId w:val="5"/>
        </w:numPr>
        <w:tabs>
          <w:tab w:val="left" w:pos="525"/>
          <w:tab w:val="left" w:pos="630"/>
        </w:tabs>
        <w:spacing w:line="480" w:lineRule="auto"/>
        <w:outlineLvl w:val="3"/>
        <w:rPr>
          <w:rFonts w:hint="eastAsia" w:ascii="仿宋" w:hAnsi="仿宋" w:eastAsia="仿宋" w:cs="仿宋"/>
          <w:b/>
          <w:bCs/>
          <w:color w:val="auto"/>
          <w:sz w:val="24"/>
        </w:rPr>
      </w:pPr>
      <w:r>
        <w:rPr>
          <w:rFonts w:hint="eastAsia" w:ascii="仿宋" w:hAnsi="仿宋" w:eastAsia="仿宋" w:cs="仿宋"/>
          <w:b/>
          <w:bCs/>
          <w:color w:val="auto"/>
          <w:sz w:val="24"/>
        </w:rPr>
        <w:t>定义</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采购人：是指</w:t>
      </w:r>
      <w:r>
        <w:rPr>
          <w:rFonts w:hint="eastAsia" w:ascii="仿宋" w:hAnsi="仿宋" w:eastAsia="仿宋" w:cs="仿宋"/>
          <w:b/>
          <w:bCs/>
          <w:color w:val="auto"/>
          <w:sz w:val="24"/>
          <w:lang w:eastAsia="zh-CN"/>
        </w:rPr>
        <w:t>特克斯县中医医院</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招标代理机构：是指</w:t>
      </w:r>
      <w:r>
        <w:rPr>
          <w:rFonts w:hint="eastAsia" w:ascii="仿宋" w:hAnsi="仿宋" w:eastAsia="仿宋" w:cs="仿宋"/>
          <w:b/>
          <w:bCs/>
          <w:color w:val="auto"/>
          <w:sz w:val="24"/>
          <w:lang w:eastAsia="zh-CN"/>
        </w:rPr>
        <w:t>新疆华域建设工程项目管理咨询有限公司</w:t>
      </w:r>
      <w:r>
        <w:rPr>
          <w:rFonts w:hint="eastAsia" w:ascii="仿宋" w:hAnsi="仿宋" w:eastAsia="仿宋" w:cs="仿宋"/>
          <w:color w:val="auto"/>
          <w:sz w:val="24"/>
        </w:rPr>
        <w:t xml:space="preserve"> 。</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投标人：是指向招标代理机构提交投标文件的</w:t>
      </w:r>
      <w:r>
        <w:rPr>
          <w:rFonts w:hint="eastAsia" w:ascii="仿宋" w:hAnsi="仿宋" w:eastAsia="仿宋" w:cs="仿宋"/>
          <w:b/>
          <w:bCs/>
          <w:color w:val="auto"/>
          <w:sz w:val="24"/>
        </w:rPr>
        <w:t>供应商</w:t>
      </w:r>
      <w:r>
        <w:rPr>
          <w:rFonts w:hint="eastAsia" w:ascii="仿宋" w:hAnsi="仿宋" w:eastAsia="仿宋" w:cs="仿宋"/>
          <w:b/>
          <w:bCs/>
          <w:color w:val="auto"/>
          <w:sz w:val="24"/>
          <w:lang w:val="en-US" w:eastAsia="zh-CN"/>
        </w:rPr>
        <w:t>(投标人一经报名应积极参加招标项目若不参加请于开标前三天向招标代理公司提交加盖单位公章弃标函若不提供该企业将被列入黑名单）</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中标人：是指经合法招、投标程序评选出来的</w:t>
      </w:r>
      <w:r>
        <w:rPr>
          <w:rFonts w:hint="eastAsia" w:ascii="仿宋" w:hAnsi="仿宋" w:eastAsia="仿宋" w:cs="仿宋"/>
          <w:b/>
          <w:bCs/>
          <w:color w:val="auto"/>
          <w:sz w:val="24"/>
        </w:rPr>
        <w:t>投标人</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货物、</w:t>
      </w:r>
      <w:r>
        <w:rPr>
          <w:rFonts w:hint="eastAsia" w:ascii="仿宋" w:hAnsi="仿宋" w:eastAsia="仿宋" w:cs="仿宋"/>
          <w:color w:val="auto"/>
          <w:sz w:val="24"/>
          <w:lang w:eastAsia="zh-CN"/>
        </w:rPr>
        <w:t>设备（货物）</w:t>
      </w:r>
      <w:r>
        <w:rPr>
          <w:rFonts w:hint="eastAsia" w:ascii="仿宋" w:hAnsi="仿宋" w:eastAsia="仿宋" w:cs="仿宋"/>
          <w:color w:val="auto"/>
          <w:sz w:val="24"/>
        </w:rPr>
        <w:t>：是指投标人按</w:t>
      </w:r>
      <w:r>
        <w:rPr>
          <w:rFonts w:hint="eastAsia" w:ascii="仿宋" w:hAnsi="仿宋" w:eastAsia="仿宋" w:cs="仿宋"/>
          <w:color w:val="auto"/>
          <w:sz w:val="24"/>
          <w:lang w:eastAsia="zh-CN"/>
        </w:rPr>
        <w:t>磋商</w:t>
      </w:r>
      <w:r>
        <w:rPr>
          <w:rFonts w:hint="eastAsia" w:ascii="仿宋" w:hAnsi="仿宋" w:eastAsia="仿宋" w:cs="仿宋"/>
          <w:color w:val="auto"/>
          <w:sz w:val="24"/>
        </w:rPr>
        <w:t>文件规定，须向采购人提供的</w:t>
      </w:r>
      <w:r>
        <w:rPr>
          <w:rFonts w:hint="eastAsia" w:ascii="仿宋" w:hAnsi="仿宋" w:eastAsia="仿宋" w:cs="仿宋"/>
          <w:color w:val="auto"/>
          <w:sz w:val="24"/>
          <w:lang w:eastAsia="zh-CN"/>
        </w:rPr>
        <w:t>设备（货物）</w:t>
      </w:r>
      <w:r>
        <w:rPr>
          <w:rFonts w:hint="eastAsia" w:ascii="仿宋" w:hAnsi="仿宋" w:eastAsia="仿宋" w:cs="仿宋"/>
          <w:color w:val="auto"/>
          <w:sz w:val="24"/>
        </w:rPr>
        <w:t>、备件、工具、手册及其它技术资料和材料。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服务：是指</w:t>
      </w:r>
      <w:r>
        <w:rPr>
          <w:rFonts w:hint="eastAsia" w:ascii="仿宋" w:hAnsi="仿宋" w:eastAsia="仿宋" w:cs="仿宋"/>
          <w:color w:val="auto"/>
          <w:sz w:val="24"/>
          <w:lang w:eastAsia="zh-CN"/>
        </w:rPr>
        <w:t>磋商</w:t>
      </w:r>
      <w:r>
        <w:rPr>
          <w:rFonts w:hint="eastAsia" w:ascii="仿宋" w:hAnsi="仿宋" w:eastAsia="仿宋" w:cs="仿宋"/>
          <w:color w:val="auto"/>
          <w:sz w:val="24"/>
        </w:rPr>
        <w:t>文件规定投标人须承担的有关服务。</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实质性响应：是指符合采购文件的要求、条款、条件和规定，且没有重大偏离或保留。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重大偏离或保留：是指投标文件中影响到采购文件规定的货物和服务质量或限制了采购人的权利/投标人的义务的规定，而认可该等规定偏离将影响到其他投标人的公平竞争地位。</w:t>
      </w:r>
    </w:p>
    <w:p>
      <w:pPr>
        <w:numPr>
          <w:ilvl w:val="2"/>
          <w:numId w:val="5"/>
        </w:numPr>
        <w:tabs>
          <w:tab w:val="left" w:pos="735"/>
          <w:tab w:val="left" w:pos="840"/>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lang w:val="en-US" w:eastAsia="zh-CN"/>
        </w:rPr>
        <w:t>合同履约期限</w:t>
      </w:r>
      <w:r>
        <w:rPr>
          <w:rFonts w:hint="eastAsia" w:ascii="仿宋" w:hAnsi="仿宋" w:eastAsia="仿宋" w:cs="仿宋"/>
          <w:color w:val="auto"/>
          <w:sz w:val="24"/>
        </w:rPr>
        <w:t>：是指签订采购合同之日起至按要求交货并通过验收的期限。</w:t>
      </w:r>
    </w:p>
    <w:p>
      <w:pPr>
        <w:numPr>
          <w:ilvl w:val="2"/>
          <w:numId w:val="5"/>
        </w:numPr>
        <w:tabs>
          <w:tab w:val="left" w:pos="735"/>
          <w:tab w:val="left" w:pos="840"/>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日期、天数、时间：无特别说明时是指公历日及北京时间。</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lang w:eastAsia="zh-CN"/>
        </w:rPr>
        <w:t>磋商</w:t>
      </w:r>
      <w:r>
        <w:rPr>
          <w:rFonts w:hint="eastAsia" w:ascii="仿宋" w:hAnsi="仿宋" w:eastAsia="仿宋" w:cs="仿宋"/>
          <w:color w:val="auto"/>
          <w:sz w:val="24"/>
        </w:rPr>
        <w:t>文件中的标题或题名仅起引导作用，而不应该作为对</w:t>
      </w:r>
      <w:r>
        <w:rPr>
          <w:rFonts w:hint="eastAsia" w:ascii="仿宋" w:hAnsi="仿宋" w:eastAsia="仿宋" w:cs="仿宋"/>
          <w:color w:val="auto"/>
          <w:sz w:val="24"/>
          <w:lang w:eastAsia="zh-CN"/>
        </w:rPr>
        <w:t>磋商</w:t>
      </w:r>
      <w:r>
        <w:rPr>
          <w:rFonts w:hint="eastAsia" w:ascii="仿宋" w:hAnsi="仿宋" w:eastAsia="仿宋" w:cs="仿宋"/>
          <w:color w:val="auto"/>
          <w:sz w:val="24"/>
        </w:rPr>
        <w:t>文件内容的理解或解释。</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0" w:name="_Toc264616629"/>
      <w:r>
        <w:rPr>
          <w:rFonts w:hint="eastAsia" w:ascii="仿宋" w:hAnsi="仿宋" w:eastAsia="仿宋" w:cs="仿宋"/>
          <w:b/>
          <w:color w:val="auto"/>
          <w:sz w:val="24"/>
        </w:rPr>
        <w:t>应遵循的原则</w:t>
      </w:r>
      <w:bookmarkEnd w:id="20"/>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遵循公开、公平、公正和诚实信用原则。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坚持价格合理、质量优先、服务优质原则。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利用法律手段强化竞争机制，贯彻统一、规范、简化、高效的要求。</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投标文件递交地点</w:t>
      </w:r>
      <w:r>
        <w:rPr>
          <w:rFonts w:hint="eastAsia" w:ascii="仿宋" w:hAnsi="仿宋" w:eastAsia="仿宋" w:cs="仿宋"/>
          <w:color w:val="auto"/>
          <w:sz w:val="24"/>
          <w:lang w:eastAsia="zh-CN"/>
        </w:rPr>
        <w:t>、</w:t>
      </w:r>
      <w:r>
        <w:rPr>
          <w:rFonts w:hint="eastAsia" w:ascii="仿宋" w:hAnsi="仿宋" w:eastAsia="仿宋" w:cs="仿宋"/>
          <w:color w:val="auto"/>
          <w:sz w:val="24"/>
        </w:rPr>
        <w:t>开标地点：</w:t>
      </w:r>
      <w:r>
        <w:rPr>
          <w:rFonts w:hint="eastAsia" w:ascii="仿宋" w:hAnsi="仿宋" w:eastAsia="仿宋" w:cs="仿宋"/>
          <w:color w:val="auto"/>
          <w:sz w:val="24"/>
          <w:lang w:eastAsia="zh-CN"/>
        </w:rPr>
        <w:t>伊宁市经济合作区北京路一品墅新房大厦10楼1004号</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合同的签订：《中标通知书》发出之日起次日与招标人签订合同</w:t>
      </w:r>
      <w:r>
        <w:rPr>
          <w:rFonts w:hint="eastAsia" w:ascii="仿宋" w:hAnsi="仿宋" w:eastAsia="仿宋" w:cs="仿宋"/>
          <w:color w:val="auto"/>
          <w:sz w:val="24"/>
          <w:lang w:eastAsia="zh-CN"/>
        </w:rPr>
        <w:t>。</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除非另有说明，本</w:t>
      </w:r>
      <w:r>
        <w:rPr>
          <w:rFonts w:hint="eastAsia" w:ascii="仿宋" w:hAnsi="仿宋" w:eastAsia="仿宋" w:cs="仿宋"/>
          <w:b/>
          <w:color w:val="auto"/>
          <w:sz w:val="24"/>
          <w:lang w:eastAsia="zh-CN"/>
        </w:rPr>
        <w:t>磋商</w:t>
      </w:r>
      <w:r>
        <w:rPr>
          <w:rFonts w:hint="eastAsia" w:ascii="仿宋" w:hAnsi="仿宋" w:eastAsia="仿宋" w:cs="仿宋"/>
          <w:b/>
          <w:color w:val="auto"/>
          <w:sz w:val="24"/>
        </w:rPr>
        <w:t>文件中所示的时间均指北京时间。以上工作时间计划如有变更，以招标代理机构另行书面通知为准。</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1" w:name="_Toc264616632"/>
      <w:r>
        <w:rPr>
          <w:rFonts w:hint="eastAsia" w:ascii="仿宋" w:hAnsi="仿宋" w:eastAsia="仿宋" w:cs="仿宋"/>
          <w:b/>
          <w:color w:val="auto"/>
          <w:sz w:val="24"/>
        </w:rPr>
        <w:t>合格的货物和服务</w:t>
      </w:r>
      <w:bookmarkEnd w:id="21"/>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投标人提供的所有货物及服务，其来源地均应为中华人民共和国或与中华人民共和国有官方贸易关系的国家或地区。</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投标人提供的所有货物和服务，其质量、技术等特征必须符合国家、行业现行的标准及采购人需求。</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采购人将拒绝接受不合格的货物和服务，由此产生的费用及相关后果均由投标人自行承担。</w:t>
      </w:r>
    </w:p>
    <w:p>
      <w:pPr>
        <w:numPr>
          <w:ilvl w:val="2"/>
          <w:numId w:val="5"/>
        </w:numPr>
        <w:tabs>
          <w:tab w:val="left" w:pos="735"/>
          <w:tab w:val="left" w:pos="1254"/>
        </w:tabs>
        <w:spacing w:line="360" w:lineRule="auto"/>
        <w:ind w:left="735" w:hanging="735"/>
        <w:rPr>
          <w:rFonts w:hint="eastAsia" w:ascii="仿宋" w:hAnsi="仿宋" w:eastAsia="仿宋" w:cs="仿宋"/>
          <w:b/>
          <w:color w:val="auto"/>
          <w:sz w:val="24"/>
        </w:rPr>
      </w:pPr>
      <w:r>
        <w:rPr>
          <w:rFonts w:hint="eastAsia" w:ascii="仿宋" w:hAnsi="仿宋" w:eastAsia="仿宋" w:cs="仿宋"/>
          <w:color w:val="auto"/>
          <w:sz w:val="24"/>
        </w:rPr>
        <w:t>投标人应保证本项目下提供的服务或其任何一部分不会因第三方依法享有的专利权、商标权或其他知识产权而产生法律纠纷；如果投标人不拥有相应的知识产权，则须在报价中包括合法获取该知识产权的相关费用，并在投标文件中附有相关证明文件；</w:t>
      </w:r>
      <w:r>
        <w:rPr>
          <w:rFonts w:hint="eastAsia" w:ascii="仿宋" w:hAnsi="仿宋" w:eastAsia="仿宋" w:cs="仿宋"/>
          <w:b/>
          <w:color w:val="auto"/>
          <w:sz w:val="24"/>
        </w:rPr>
        <w:t>如因第三方提出其专利权、商标权或其他知识产权的侵权之诉，则一切法律责任由投标人承担。</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2" w:name="_Toc264616633"/>
      <w:r>
        <w:rPr>
          <w:rFonts w:hint="eastAsia" w:ascii="仿宋" w:hAnsi="仿宋" w:eastAsia="仿宋" w:cs="仿宋"/>
          <w:b/>
          <w:color w:val="auto"/>
          <w:sz w:val="24"/>
        </w:rPr>
        <w:t>保密</w:t>
      </w:r>
      <w:bookmarkEnd w:id="22"/>
    </w:p>
    <w:p>
      <w:pPr>
        <w:pStyle w:val="14"/>
        <w:tabs>
          <w:tab w:val="left" w:pos="978"/>
        </w:tabs>
        <w:spacing w:after="60" w:afterLines="25"/>
        <w:ind w:left="2" w:leftChars="1" w:firstLine="480" w:firstLineChars="200"/>
        <w:rPr>
          <w:rFonts w:hint="eastAsia" w:ascii="仿宋" w:hAnsi="仿宋" w:eastAsia="仿宋" w:cs="仿宋"/>
          <w:color w:val="auto"/>
        </w:rPr>
      </w:pPr>
      <w:r>
        <w:rPr>
          <w:rFonts w:hint="eastAsia" w:ascii="仿宋" w:hAnsi="仿宋" w:eastAsia="仿宋" w:cs="仿宋"/>
          <w:color w:val="auto"/>
        </w:rPr>
        <w:t>招投标双方应分别为对方在投标文件和</w:t>
      </w:r>
      <w:r>
        <w:rPr>
          <w:rFonts w:hint="eastAsia" w:ascii="仿宋" w:hAnsi="仿宋" w:eastAsia="仿宋" w:cs="仿宋"/>
          <w:color w:val="auto"/>
          <w:lang w:eastAsia="zh-CN"/>
        </w:rPr>
        <w:t>磋商</w:t>
      </w:r>
      <w:r>
        <w:rPr>
          <w:rFonts w:hint="eastAsia" w:ascii="仿宋" w:hAnsi="仿宋" w:eastAsia="仿宋" w:cs="仿宋"/>
          <w:color w:val="auto"/>
        </w:rPr>
        <w:t>文件中涉及的商业和技术等秘密保密，违者应对由此造成的后果承担责任。投标方不得将参加此次投标活动的事实进行商业性宣传。</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3" w:name="_Toc264616636"/>
      <w:r>
        <w:rPr>
          <w:rFonts w:hint="eastAsia" w:ascii="仿宋" w:hAnsi="仿宋" w:eastAsia="仿宋" w:cs="仿宋"/>
          <w:b/>
          <w:color w:val="auto"/>
          <w:sz w:val="24"/>
        </w:rPr>
        <w:t>质疑与受理</w:t>
      </w:r>
      <w:bookmarkEnd w:id="23"/>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投标人有质疑时，应当以书面形式（加盖投标人公章）在质疑有效期限内向招标代理机构提交质疑书原件，逾期质疑无效。投标人以电话、传真或电邮形式提交的质疑书属于无效质疑。</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招标代理机构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招标代理机构在收到投标人的有效书面质疑后三个工作日内作出答复，但答复的内容不涉及商业秘密，质疑投标人对采购人、招标代理机构的质疑答复不满意，或采购人、招标代理机构未在规定期限内作出答复的，可以在答复期满后15个工作日内向同级政府采购监督管理部门提出投诉。</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4" w:name="_Toc264616637"/>
      <w:r>
        <w:rPr>
          <w:rFonts w:hint="eastAsia" w:ascii="仿宋" w:hAnsi="仿宋" w:eastAsia="仿宋" w:cs="仿宋"/>
          <w:b/>
          <w:color w:val="auto"/>
          <w:sz w:val="24"/>
        </w:rPr>
        <w:t>不得参与同一采购项目竞争的</w:t>
      </w:r>
      <w:bookmarkEnd w:id="24"/>
      <w:r>
        <w:rPr>
          <w:rFonts w:hint="eastAsia" w:ascii="仿宋" w:hAnsi="仿宋" w:eastAsia="仿宋" w:cs="仿宋"/>
          <w:b/>
          <w:color w:val="auto"/>
          <w:sz w:val="24"/>
        </w:rPr>
        <w:t>投标人</w:t>
      </w:r>
    </w:p>
    <w:p>
      <w:pPr>
        <w:adjustRightInd w:val="0"/>
        <w:snapToGrid w:val="0"/>
        <w:spacing w:line="360" w:lineRule="auto"/>
        <w:ind w:left="420" w:leftChars="200"/>
        <w:rPr>
          <w:rFonts w:hint="eastAsia" w:ascii="仿宋" w:hAnsi="仿宋" w:eastAsia="仿宋" w:cs="仿宋"/>
          <w:color w:val="auto"/>
          <w:sz w:val="24"/>
        </w:rPr>
      </w:pPr>
      <w:r>
        <w:rPr>
          <w:rFonts w:hint="eastAsia" w:ascii="仿宋" w:hAnsi="仿宋" w:eastAsia="仿宋" w:cs="仿宋"/>
          <w:color w:val="auto"/>
          <w:sz w:val="24"/>
        </w:rPr>
        <w:t>不同的投标人之间有下列情形之一的，不接受作为参与</w:t>
      </w:r>
      <w:r>
        <w:rPr>
          <w:rFonts w:hint="eastAsia" w:ascii="仿宋" w:hAnsi="仿宋" w:eastAsia="仿宋" w:cs="仿宋"/>
          <w:color w:val="auto"/>
          <w:sz w:val="24"/>
          <w:lang w:val="en-US" w:eastAsia="zh-CN"/>
        </w:rPr>
        <w:t>不</w:t>
      </w:r>
      <w:r>
        <w:rPr>
          <w:rFonts w:hint="eastAsia" w:ascii="仿宋" w:hAnsi="仿宋" w:eastAsia="仿宋" w:cs="仿宋"/>
          <w:color w:val="auto"/>
          <w:sz w:val="24"/>
        </w:rPr>
        <w:t>同竞争的投标人：</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彼此存在投资与被投资关系的；</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彼此的经营者、董事会（或同类管理机构）成员属于直系亲属或配偶关系的。</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5" w:name="_Toc264616638"/>
      <w:r>
        <w:rPr>
          <w:rFonts w:hint="eastAsia" w:ascii="仿宋" w:hAnsi="仿宋" w:eastAsia="仿宋" w:cs="仿宋"/>
          <w:b/>
          <w:color w:val="auto"/>
          <w:sz w:val="24"/>
        </w:rPr>
        <w:t>通知</w:t>
      </w:r>
      <w:bookmarkEnd w:id="25"/>
    </w:p>
    <w:p>
      <w:pPr>
        <w:tabs>
          <w:tab w:val="left" w:pos="900"/>
        </w:tabs>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对与本项目有关的通知，招标代理机构将以书面（包括书面材料、信函、传真、电报等，下同）或在本次</w:t>
      </w:r>
      <w:r>
        <w:rPr>
          <w:rFonts w:hint="eastAsia" w:ascii="仿宋" w:hAnsi="仿宋" w:eastAsia="仿宋" w:cs="仿宋"/>
          <w:color w:val="auto"/>
          <w:sz w:val="24"/>
          <w:lang w:eastAsia="zh-CN"/>
        </w:rPr>
        <w:t>磋商</w:t>
      </w:r>
      <w:r>
        <w:rPr>
          <w:rFonts w:hint="eastAsia" w:ascii="仿宋" w:hAnsi="仿宋" w:eastAsia="仿宋" w:cs="仿宋"/>
          <w:color w:val="auto"/>
          <w:sz w:val="24"/>
        </w:rPr>
        <w:t>公告刊登的媒体上以发布公告的形式，送达所有与通知有关的已领取了</w:t>
      </w:r>
      <w:r>
        <w:rPr>
          <w:rFonts w:hint="eastAsia" w:ascii="仿宋" w:hAnsi="仿宋" w:eastAsia="仿宋" w:cs="仿宋"/>
          <w:color w:val="auto"/>
          <w:sz w:val="24"/>
          <w:lang w:eastAsia="zh-CN"/>
        </w:rPr>
        <w:t>磋商</w:t>
      </w:r>
      <w:r>
        <w:rPr>
          <w:rFonts w:hint="eastAsia" w:ascii="仿宋" w:hAnsi="仿宋" w:eastAsia="仿宋" w:cs="仿宋"/>
          <w:color w:val="auto"/>
          <w:sz w:val="24"/>
        </w:rPr>
        <w:t>文件的投标人，邮箱及电话号码以投标人的登记为准。投标人应于收到通知的当日以书面方式予以回复确认。因投标人登记的电话及邮箱号码有误、电话及邮箱线路故障或其它任何意外情形，导致所发出的通知延迟送达或无法送达投标人，招标代理机构不承担责任。</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6" w:name="_Toc264616639"/>
      <w:r>
        <w:rPr>
          <w:rFonts w:hint="eastAsia" w:ascii="仿宋" w:hAnsi="仿宋" w:eastAsia="仿宋" w:cs="仿宋"/>
          <w:b/>
          <w:color w:val="auto"/>
          <w:sz w:val="24"/>
          <w:lang w:eastAsia="zh-CN"/>
        </w:rPr>
        <w:t>磋商</w:t>
      </w:r>
      <w:r>
        <w:rPr>
          <w:rFonts w:hint="eastAsia" w:ascii="仿宋" w:hAnsi="仿宋" w:eastAsia="仿宋" w:cs="仿宋"/>
          <w:b/>
          <w:color w:val="auto"/>
          <w:sz w:val="24"/>
        </w:rPr>
        <w:t>文件的解释权</w:t>
      </w:r>
      <w:bookmarkEnd w:id="26"/>
    </w:p>
    <w:p>
      <w:pPr>
        <w:tabs>
          <w:tab w:val="left" w:pos="8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文件的解释权归“</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lang w:val="en-US" w:eastAsia="zh-CN"/>
        </w:rPr>
        <w:t>或招标人</w:t>
      </w:r>
      <w:r>
        <w:rPr>
          <w:rFonts w:hint="eastAsia" w:ascii="仿宋" w:hAnsi="仿宋" w:eastAsia="仿宋" w:cs="仿宋"/>
          <w:color w:val="auto"/>
          <w:sz w:val="24"/>
        </w:rPr>
        <w:t xml:space="preserve"> ”所有。</w:t>
      </w:r>
    </w:p>
    <w:p>
      <w:pPr>
        <w:pStyle w:val="6"/>
        <w:keepLines/>
        <w:numPr>
          <w:ilvl w:val="0"/>
          <w:numId w:val="5"/>
        </w:numPr>
        <w:spacing w:before="260" w:after="260" w:line="400" w:lineRule="exact"/>
        <w:rPr>
          <w:rFonts w:hint="eastAsia" w:ascii="仿宋" w:hAnsi="仿宋" w:eastAsia="仿宋" w:cs="仿宋"/>
          <w:color w:val="auto"/>
        </w:rPr>
      </w:pPr>
      <w:bookmarkStart w:id="27" w:name="_Toc245203881"/>
      <w:bookmarkStart w:id="28" w:name="_Toc130697185"/>
      <w:bookmarkStart w:id="29" w:name="_Toc49135196"/>
      <w:bookmarkStart w:id="30" w:name="_Toc243743354"/>
      <w:bookmarkStart w:id="31" w:name="_Toc271105677"/>
      <w:bookmarkStart w:id="32" w:name="_Toc49082410"/>
      <w:bookmarkStart w:id="33" w:name="_Toc153615290"/>
      <w:bookmarkStart w:id="34" w:name="_Toc277758486"/>
      <w:bookmarkStart w:id="35" w:name="_Toc130695593"/>
      <w:bookmarkStart w:id="36" w:name="_Toc243923368"/>
      <w:bookmarkStart w:id="37" w:name="_Toc12078"/>
      <w:bookmarkStart w:id="38" w:name="_Toc226521693"/>
      <w:bookmarkStart w:id="39" w:name="_Toc191353015"/>
      <w:bookmarkStart w:id="40" w:name="_Toc279046866"/>
      <w:bookmarkStart w:id="41" w:name="_Toc209258273"/>
      <w:bookmarkStart w:id="42" w:name="_Toc185747579"/>
      <w:bookmarkStart w:id="43" w:name="_Toc226966681"/>
      <w:bookmarkStart w:id="44" w:name="_Toc278958159"/>
      <w:bookmarkStart w:id="45" w:name="_Toc272350607"/>
      <w:r>
        <w:rPr>
          <w:rFonts w:hint="eastAsia" w:ascii="仿宋" w:hAnsi="仿宋" w:eastAsia="仿宋" w:cs="仿宋"/>
          <w:color w:val="auto"/>
          <w:lang w:eastAsia="zh-CN"/>
        </w:rPr>
        <w:t>磋商</w:t>
      </w:r>
      <w:r>
        <w:rPr>
          <w:rFonts w:hint="eastAsia" w:ascii="仿宋" w:hAnsi="仿宋" w:eastAsia="仿宋" w:cs="仿宋"/>
          <w:color w:val="auto"/>
        </w:rPr>
        <w:t>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lang w:eastAsia="zh-CN"/>
        </w:rPr>
        <w:t>磋商</w:t>
      </w:r>
      <w:r>
        <w:rPr>
          <w:rFonts w:hint="eastAsia" w:ascii="仿宋" w:hAnsi="仿宋" w:eastAsia="仿宋" w:cs="仿宋"/>
          <w:b/>
          <w:bCs/>
          <w:color w:val="auto"/>
          <w:sz w:val="24"/>
        </w:rPr>
        <w:t>文件的组成</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（1）公告</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（2）投标人须知</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（3）采购人需求</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（4）政府采购合同</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（5）投标文件格式</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（6）附件：评标文件</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（7）根据</w:t>
      </w:r>
      <w:r>
        <w:rPr>
          <w:rFonts w:hint="eastAsia" w:ascii="仿宋" w:hAnsi="仿宋" w:eastAsia="仿宋" w:cs="仿宋"/>
          <w:color w:val="auto"/>
          <w:sz w:val="24"/>
          <w:lang w:eastAsia="zh-CN"/>
        </w:rPr>
        <w:t>磋商</w:t>
      </w:r>
      <w:r>
        <w:rPr>
          <w:rFonts w:hint="eastAsia" w:ascii="仿宋" w:hAnsi="仿宋" w:eastAsia="仿宋" w:cs="仿宋"/>
          <w:color w:val="auto"/>
          <w:sz w:val="24"/>
        </w:rPr>
        <w:t>文件规定发出的澄清、修改及补充文件（如有）；</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lang w:eastAsia="zh-CN"/>
        </w:rPr>
        <w:t>磋商</w:t>
      </w:r>
      <w:r>
        <w:rPr>
          <w:rFonts w:hint="eastAsia" w:ascii="仿宋" w:hAnsi="仿宋" w:eastAsia="仿宋" w:cs="仿宋"/>
          <w:b/>
          <w:bCs/>
          <w:color w:val="auto"/>
          <w:sz w:val="24"/>
        </w:rPr>
        <w:t>文件的澄清</w:t>
      </w:r>
    </w:p>
    <w:p>
      <w:pPr>
        <w:spacing w:line="360" w:lineRule="auto"/>
        <w:ind w:left="154" w:firstLine="444" w:firstLineChars="185"/>
        <w:rPr>
          <w:rFonts w:hint="eastAsia" w:ascii="仿宋" w:hAnsi="仿宋" w:eastAsia="仿宋" w:cs="仿宋"/>
          <w:color w:val="auto"/>
          <w:sz w:val="24"/>
        </w:rPr>
      </w:pPr>
      <w:r>
        <w:rPr>
          <w:rFonts w:hint="eastAsia" w:ascii="仿宋" w:hAnsi="仿宋" w:eastAsia="仿宋" w:cs="仿宋"/>
          <w:bCs/>
          <w:color w:val="auto"/>
          <w:sz w:val="24"/>
        </w:rPr>
        <w:t>投标人如对</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文件有任何疑问，均应以书面形式</w:t>
      </w:r>
      <w:r>
        <w:rPr>
          <w:rFonts w:hint="eastAsia" w:ascii="仿宋" w:hAnsi="仿宋" w:eastAsia="仿宋" w:cs="仿宋"/>
          <w:bCs/>
          <w:color w:val="auto"/>
          <w:sz w:val="24"/>
          <w:lang w:val="en-US" w:eastAsia="zh-CN"/>
        </w:rPr>
        <w:t>在投标截止前5日</w:t>
      </w:r>
      <w:r>
        <w:rPr>
          <w:rFonts w:hint="eastAsia" w:ascii="仿宋" w:hAnsi="仿宋" w:eastAsia="仿宋" w:cs="仿宋"/>
          <w:bCs/>
          <w:color w:val="auto"/>
          <w:sz w:val="24"/>
        </w:rPr>
        <w:t>（包括书面文字、电传、传真、电报等，应加盖公章）向招标代理机构提出澄清要求，</w:t>
      </w:r>
      <w:r>
        <w:rPr>
          <w:rFonts w:hint="eastAsia" w:ascii="仿宋" w:hAnsi="仿宋" w:eastAsia="仿宋" w:cs="仿宋"/>
          <w:color w:val="auto"/>
          <w:sz w:val="24"/>
        </w:rPr>
        <w:t>招标代理机构将用信函、传真、E-Mail等形式做出答复，招标代理机构认为有必要</w:t>
      </w:r>
      <w:r>
        <w:rPr>
          <w:rFonts w:hint="eastAsia" w:ascii="仿宋" w:hAnsi="仿宋" w:eastAsia="仿宋" w:cs="仿宋"/>
          <w:color w:val="auto"/>
          <w:sz w:val="24"/>
          <w:lang w:eastAsia="zh-CN"/>
        </w:rPr>
        <w:t>（对</w:t>
      </w:r>
      <w:r>
        <w:rPr>
          <w:rFonts w:hint="eastAsia" w:ascii="仿宋" w:hAnsi="仿宋" w:eastAsia="仿宋" w:cs="仿宋"/>
          <w:color w:val="auto"/>
          <w:sz w:val="24"/>
          <w:lang w:val="en-US" w:eastAsia="zh-CN"/>
        </w:rPr>
        <w:t>响应磋商文件有影响时）</w:t>
      </w:r>
      <w:r>
        <w:rPr>
          <w:rFonts w:hint="eastAsia" w:ascii="仿宋" w:hAnsi="仿宋" w:eastAsia="仿宋" w:cs="仿宋"/>
          <w:color w:val="auto"/>
          <w:sz w:val="24"/>
        </w:rPr>
        <w:t>可将答复内容分发给所有取得同一</w:t>
      </w:r>
      <w:r>
        <w:rPr>
          <w:rFonts w:hint="eastAsia" w:ascii="仿宋" w:hAnsi="仿宋" w:eastAsia="仿宋" w:cs="仿宋"/>
          <w:color w:val="auto"/>
          <w:sz w:val="24"/>
          <w:lang w:eastAsia="zh-CN"/>
        </w:rPr>
        <w:t>磋商</w:t>
      </w:r>
      <w:r>
        <w:rPr>
          <w:rFonts w:hint="eastAsia" w:ascii="仿宋" w:hAnsi="仿宋" w:eastAsia="仿宋" w:cs="仿宋"/>
          <w:color w:val="auto"/>
          <w:sz w:val="24"/>
        </w:rPr>
        <w:t>文件的投标人。</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lang w:eastAsia="zh-CN"/>
        </w:rPr>
        <w:t>磋商</w:t>
      </w:r>
      <w:r>
        <w:rPr>
          <w:rFonts w:hint="eastAsia" w:ascii="仿宋" w:hAnsi="仿宋" w:eastAsia="仿宋" w:cs="仿宋"/>
          <w:b/>
          <w:bCs/>
          <w:color w:val="auto"/>
          <w:sz w:val="24"/>
        </w:rPr>
        <w:t>文件的补充和修改</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对</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文件进行必要的补充</w:t>
      </w:r>
      <w:r>
        <w:rPr>
          <w:rFonts w:hint="eastAsia" w:ascii="仿宋" w:hAnsi="仿宋" w:eastAsia="仿宋" w:cs="仿宋"/>
          <w:color w:val="auto"/>
          <w:sz w:val="24"/>
        </w:rPr>
        <w:t>或</w:t>
      </w:r>
      <w:r>
        <w:rPr>
          <w:rFonts w:hint="eastAsia" w:ascii="仿宋" w:hAnsi="仿宋" w:eastAsia="仿宋" w:cs="仿宋"/>
          <w:bCs/>
          <w:color w:val="auto"/>
          <w:sz w:val="24"/>
        </w:rPr>
        <w:t>修改，代理公司将</w:t>
      </w:r>
      <w:r>
        <w:rPr>
          <w:rFonts w:hint="eastAsia" w:ascii="仿宋" w:hAnsi="仿宋" w:eastAsia="仿宋" w:cs="仿宋"/>
          <w:color w:val="auto"/>
          <w:sz w:val="24"/>
        </w:rPr>
        <w:t>于开标前</w:t>
      </w:r>
      <w:r>
        <w:rPr>
          <w:rFonts w:hint="eastAsia" w:ascii="仿宋" w:hAnsi="仿宋" w:eastAsia="仿宋" w:cs="仿宋"/>
          <w:color w:val="auto"/>
          <w:sz w:val="24"/>
          <w:lang w:val="en-US" w:eastAsia="zh-CN"/>
        </w:rPr>
        <w:t>5</w:t>
      </w:r>
      <w:r>
        <w:rPr>
          <w:rFonts w:hint="eastAsia" w:ascii="仿宋" w:hAnsi="仿宋" w:eastAsia="仿宋" w:cs="仿宋"/>
          <w:color w:val="auto"/>
          <w:sz w:val="24"/>
        </w:rPr>
        <w:t>天以书面或邮件的形式通知所有已获取</w:t>
      </w:r>
      <w:r>
        <w:rPr>
          <w:rFonts w:hint="eastAsia" w:ascii="仿宋" w:hAnsi="仿宋" w:eastAsia="仿宋" w:cs="仿宋"/>
          <w:color w:val="auto"/>
          <w:sz w:val="24"/>
          <w:lang w:eastAsia="zh-CN"/>
        </w:rPr>
        <w:t>磋商</w:t>
      </w:r>
      <w:r>
        <w:rPr>
          <w:rFonts w:hint="eastAsia" w:ascii="仿宋" w:hAnsi="仿宋" w:eastAsia="仿宋" w:cs="仿宋"/>
          <w:color w:val="auto"/>
          <w:sz w:val="24"/>
        </w:rPr>
        <w:t>文件的</w:t>
      </w:r>
      <w:r>
        <w:rPr>
          <w:rFonts w:hint="eastAsia" w:ascii="仿宋" w:hAnsi="仿宋" w:eastAsia="仿宋" w:cs="仿宋"/>
          <w:bCs/>
          <w:color w:val="auto"/>
          <w:sz w:val="24"/>
        </w:rPr>
        <w:t>投标人，</w:t>
      </w:r>
      <w:r>
        <w:rPr>
          <w:rFonts w:hint="eastAsia" w:ascii="仿宋" w:hAnsi="仿宋" w:eastAsia="仿宋" w:cs="仿宋"/>
          <w:color w:val="auto"/>
          <w:sz w:val="24"/>
        </w:rPr>
        <w:t>在收到</w:t>
      </w:r>
      <w:r>
        <w:rPr>
          <w:rFonts w:hint="eastAsia" w:ascii="仿宋" w:hAnsi="仿宋" w:eastAsia="仿宋" w:cs="仿宋"/>
          <w:bCs/>
          <w:color w:val="auto"/>
          <w:sz w:val="24"/>
        </w:rPr>
        <w:t>补充</w:t>
      </w:r>
      <w:r>
        <w:rPr>
          <w:rFonts w:hint="eastAsia" w:ascii="仿宋" w:hAnsi="仿宋" w:eastAsia="仿宋" w:cs="仿宋"/>
          <w:color w:val="auto"/>
          <w:sz w:val="24"/>
        </w:rPr>
        <w:t>或修改通知后应立即以书面形式予以确认，该</w:t>
      </w:r>
      <w:r>
        <w:rPr>
          <w:rFonts w:hint="eastAsia" w:ascii="仿宋" w:hAnsi="仿宋" w:eastAsia="仿宋" w:cs="仿宋"/>
          <w:bCs/>
          <w:color w:val="auto"/>
          <w:sz w:val="24"/>
        </w:rPr>
        <w:t>补充</w:t>
      </w:r>
      <w:r>
        <w:rPr>
          <w:rFonts w:hint="eastAsia" w:ascii="仿宋" w:hAnsi="仿宋" w:eastAsia="仿宋" w:cs="仿宋"/>
          <w:color w:val="auto"/>
          <w:sz w:val="24"/>
        </w:rPr>
        <w:t>或修改的内容为</w:t>
      </w:r>
      <w:r>
        <w:rPr>
          <w:rFonts w:hint="eastAsia" w:ascii="仿宋" w:hAnsi="仿宋" w:eastAsia="仿宋" w:cs="仿宋"/>
          <w:color w:val="auto"/>
          <w:sz w:val="24"/>
          <w:lang w:eastAsia="zh-CN"/>
        </w:rPr>
        <w:t>磋商</w:t>
      </w:r>
      <w:r>
        <w:rPr>
          <w:rFonts w:hint="eastAsia" w:ascii="仿宋" w:hAnsi="仿宋" w:eastAsia="仿宋" w:cs="仿宋"/>
          <w:color w:val="auto"/>
          <w:sz w:val="24"/>
        </w:rPr>
        <w:t>文件的组成部分；</w:t>
      </w:r>
      <w:r>
        <w:rPr>
          <w:rFonts w:hint="eastAsia" w:ascii="仿宋" w:hAnsi="仿宋" w:eastAsia="仿宋" w:cs="仿宋"/>
          <w:bCs/>
          <w:color w:val="auto"/>
          <w:sz w:val="24"/>
        </w:rPr>
        <w:t>补充</w:t>
      </w:r>
      <w:r>
        <w:rPr>
          <w:rFonts w:hint="eastAsia" w:ascii="仿宋" w:hAnsi="仿宋" w:eastAsia="仿宋" w:cs="仿宋"/>
          <w:color w:val="auto"/>
          <w:sz w:val="24"/>
        </w:rPr>
        <w:t>或修改不足</w:t>
      </w:r>
      <w:r>
        <w:rPr>
          <w:rFonts w:hint="eastAsia" w:ascii="仿宋" w:hAnsi="仿宋" w:eastAsia="仿宋" w:cs="仿宋"/>
          <w:color w:val="auto"/>
          <w:sz w:val="24"/>
          <w:lang w:val="en-US" w:eastAsia="zh-CN"/>
        </w:rPr>
        <w:t>5</w:t>
      </w:r>
      <w:r>
        <w:rPr>
          <w:rFonts w:hint="eastAsia" w:ascii="仿宋" w:hAnsi="仿宋" w:eastAsia="仿宋" w:cs="仿宋"/>
          <w:color w:val="auto"/>
          <w:sz w:val="24"/>
        </w:rPr>
        <w:t>天的，</w:t>
      </w:r>
      <w:r>
        <w:rPr>
          <w:rFonts w:hint="eastAsia" w:ascii="仿宋" w:hAnsi="仿宋" w:eastAsia="仿宋" w:cs="仿宋"/>
          <w:color w:val="auto"/>
          <w:sz w:val="24"/>
          <w:lang w:eastAsia="zh-CN"/>
        </w:rPr>
        <w:t>应顺延投标</w:t>
      </w:r>
      <w:r>
        <w:rPr>
          <w:rFonts w:hint="eastAsia" w:ascii="仿宋" w:hAnsi="仿宋" w:eastAsia="仿宋" w:cs="仿宋"/>
          <w:color w:val="auto"/>
          <w:sz w:val="24"/>
        </w:rPr>
        <w:t>截至时间。</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对于投标人澄清要求的回复，或者</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修改补充文件，招标机构均将以书面或邮件形式通知所有投标人。投标人在收到澄清或补充文件后应于24小时内，以书面或邮件形式予以确认，如澄清或补充文件发出后24小时内未收到投标人书面确认，则视为投标人已确认。</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lang w:eastAsia="zh-CN"/>
        </w:rPr>
        <w:t>磋商</w:t>
      </w:r>
      <w:r>
        <w:rPr>
          <w:rFonts w:hint="eastAsia" w:ascii="仿宋" w:hAnsi="仿宋" w:eastAsia="仿宋" w:cs="仿宋"/>
          <w:bCs/>
          <w:color w:val="auto"/>
          <w:sz w:val="24"/>
        </w:rPr>
        <w:t>过程中的一切修改文件或补充文件一旦确认后与</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文件具有同等法律效力，投标人有责任履行相应的义务。</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Cs/>
          <w:color w:val="auto"/>
          <w:sz w:val="24"/>
        </w:rPr>
        <w:t>为使潜在投标人有合理的时间理解</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文件的修改，招标代理机构可酌情推迟投标截止日期和开标时间，</w:t>
      </w:r>
      <w:r>
        <w:rPr>
          <w:rFonts w:hint="eastAsia" w:ascii="仿宋" w:hAnsi="仿宋" w:eastAsia="仿宋" w:cs="仿宋"/>
          <w:color w:val="auto"/>
          <w:sz w:val="24"/>
        </w:rPr>
        <w:t>但至少应当在规定的投标截止时间三日前，将变更时间书面通知所有</w:t>
      </w:r>
      <w:r>
        <w:rPr>
          <w:rFonts w:hint="eastAsia" w:ascii="仿宋" w:hAnsi="仿宋" w:eastAsia="仿宋" w:cs="仿宋"/>
          <w:color w:val="auto"/>
          <w:sz w:val="24"/>
          <w:lang w:eastAsia="zh-CN"/>
        </w:rPr>
        <w:t>磋商</w:t>
      </w:r>
      <w:r>
        <w:rPr>
          <w:rFonts w:hint="eastAsia" w:ascii="仿宋" w:hAnsi="仿宋" w:eastAsia="仿宋" w:cs="仿宋"/>
          <w:color w:val="auto"/>
          <w:sz w:val="24"/>
        </w:rPr>
        <w:t>文件收受人。</w:t>
      </w:r>
    </w:p>
    <w:p>
      <w:pPr>
        <w:pStyle w:val="6"/>
        <w:keepLines/>
        <w:numPr>
          <w:ilvl w:val="0"/>
          <w:numId w:val="5"/>
        </w:numPr>
        <w:spacing w:before="260" w:after="260" w:line="400" w:lineRule="exact"/>
        <w:rPr>
          <w:rFonts w:hint="eastAsia" w:ascii="仿宋" w:hAnsi="仿宋" w:eastAsia="仿宋" w:cs="仿宋"/>
          <w:color w:val="auto"/>
        </w:rPr>
      </w:pPr>
      <w:bookmarkStart w:id="46" w:name="_Toc153615291"/>
      <w:bookmarkStart w:id="47" w:name="_Toc130697186"/>
      <w:bookmarkStart w:id="48" w:name="_Toc49135197"/>
      <w:bookmarkStart w:id="49" w:name="_Toc130695594"/>
      <w:bookmarkStart w:id="50" w:name="_Toc49082411"/>
      <w:bookmarkStart w:id="51" w:name="_Toc243923369"/>
      <w:bookmarkStart w:id="52" w:name="_Toc226966682"/>
      <w:bookmarkStart w:id="53" w:name="_Toc243743355"/>
      <w:bookmarkStart w:id="54" w:name="_Toc278958160"/>
      <w:bookmarkStart w:id="55" w:name="_Toc279046867"/>
      <w:bookmarkStart w:id="56" w:name="_Toc209258274"/>
      <w:bookmarkStart w:id="57" w:name="_Toc271105678"/>
      <w:bookmarkStart w:id="58" w:name="_Toc226521694"/>
      <w:bookmarkStart w:id="59" w:name="_Toc272350608"/>
      <w:bookmarkStart w:id="60" w:name="_Toc245203882"/>
      <w:bookmarkStart w:id="61" w:name="_Toc277758487"/>
      <w:bookmarkStart w:id="62" w:name="_Toc191353016"/>
      <w:bookmarkStart w:id="63" w:name="_Toc185747580"/>
      <w:bookmarkStart w:id="64" w:name="_Toc24217"/>
      <w:r>
        <w:rPr>
          <w:rFonts w:hint="eastAsia" w:ascii="仿宋" w:hAnsi="仿宋" w:eastAsia="仿宋" w:cs="仿宋"/>
          <w:color w:val="auto"/>
        </w:rPr>
        <w:t>投标</w:t>
      </w:r>
      <w:bookmarkEnd w:id="46"/>
      <w:bookmarkEnd w:id="47"/>
      <w:bookmarkEnd w:id="48"/>
      <w:bookmarkEnd w:id="49"/>
      <w:bookmarkEnd w:id="50"/>
      <w:r>
        <w:rPr>
          <w:rFonts w:hint="eastAsia" w:ascii="仿宋" w:hAnsi="仿宋" w:eastAsia="仿宋" w:cs="仿宋"/>
          <w:color w:val="auto"/>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投标文件的编写</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投标人应仔细阅读</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文件的所有内容，按</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文件的要求制作并递交投标文件，并保证所提供的全部资料的真实性、准确性，以确保其投标对</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文件做出实质性响应；否则，将拒绝其投标。投标人在投标中提供不真实的材料，无论其材料是否重要，都将直接导致投标文件无效，并承担由此产生的法律责任。</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投标人须对本项目的全部货物及服务进行整体投标，不能对某一部分内容进行选择投标。任何只对其中一部分内容进行的投标都被视为无效投标。</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本项目不接受备选投标方案或备选的投标货物型号/规格，投标文件的报价只允许有一个报价，招标代理机构不接受有任何选择的报价</w:t>
      </w:r>
      <w:r>
        <w:rPr>
          <w:rFonts w:hint="eastAsia" w:ascii="仿宋" w:hAnsi="仿宋" w:eastAsia="仿宋" w:cs="仿宋"/>
          <w:bCs/>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
          <w:color w:val="auto"/>
          <w:sz w:val="24"/>
        </w:rPr>
      </w:pPr>
      <w:r>
        <w:rPr>
          <w:rFonts w:hint="eastAsia" w:ascii="仿宋" w:hAnsi="仿宋" w:eastAsia="仿宋" w:cs="仿宋"/>
          <w:b/>
          <w:color w:val="auto"/>
          <w:sz w:val="24"/>
        </w:rPr>
        <w:t>本项目投标报价</w:t>
      </w:r>
      <w:r>
        <w:rPr>
          <w:rFonts w:hint="eastAsia" w:ascii="仿宋" w:hAnsi="仿宋" w:eastAsia="仿宋" w:cs="仿宋"/>
          <w:b/>
          <w:color w:val="auto"/>
          <w:sz w:val="24"/>
          <w:lang w:val="en-US" w:eastAsia="zh-CN"/>
        </w:rPr>
        <w:t>应包含所有履约费用</w:t>
      </w:r>
      <w:r>
        <w:rPr>
          <w:rFonts w:hint="eastAsia" w:ascii="仿宋" w:hAnsi="仿宋" w:eastAsia="仿宋" w:cs="仿宋"/>
          <w:b/>
          <w:color w:val="auto"/>
          <w:sz w:val="24"/>
          <w:lang w:eastAsia="zh-CN"/>
        </w:rPr>
        <w:t>。</w:t>
      </w:r>
      <w:r>
        <w:rPr>
          <w:rFonts w:hint="eastAsia" w:ascii="仿宋" w:hAnsi="仿宋" w:eastAsia="仿宋" w:cs="仿宋"/>
          <w:b/>
          <w:color w:val="auto"/>
          <w:sz w:val="24"/>
        </w:rPr>
        <w:t>除本招标文件另有规定外，投标供应商应按招标文件所附相应的开标一览表格式标明拟提供</w:t>
      </w:r>
      <w:r>
        <w:rPr>
          <w:rFonts w:hint="eastAsia" w:ascii="仿宋" w:hAnsi="仿宋" w:eastAsia="仿宋" w:cs="仿宋"/>
          <w:b/>
          <w:color w:val="auto"/>
          <w:sz w:val="24"/>
          <w:lang w:val="en-US" w:eastAsia="zh-CN"/>
        </w:rPr>
        <w:t>货物</w:t>
      </w:r>
      <w:r>
        <w:rPr>
          <w:rFonts w:hint="eastAsia" w:ascii="仿宋" w:hAnsi="仿宋" w:eastAsia="仿宋" w:cs="仿宋"/>
          <w:b/>
          <w:color w:val="auto"/>
          <w:sz w:val="24"/>
        </w:rPr>
        <w:t>的总价</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合同履约期限、质保期等（以开标一览表格式为准）</w:t>
      </w:r>
      <w:r>
        <w:rPr>
          <w:rFonts w:hint="eastAsia" w:ascii="仿宋" w:hAnsi="仿宋" w:eastAsia="仿宋" w:cs="仿宋"/>
          <w:b/>
          <w:color w:val="auto"/>
          <w:sz w:val="24"/>
          <w:lang w:eastAsia="zh-CN"/>
        </w:rPr>
        <w:t>，任何有选择性的报价将不予接受，每种</w:t>
      </w:r>
      <w:r>
        <w:rPr>
          <w:rFonts w:hint="eastAsia" w:ascii="仿宋" w:hAnsi="仿宋" w:eastAsia="仿宋" w:cs="仿宋"/>
          <w:b/>
          <w:color w:val="auto"/>
          <w:sz w:val="24"/>
          <w:lang w:val="en-US" w:eastAsia="zh-CN"/>
        </w:rPr>
        <w:t>货物</w:t>
      </w:r>
      <w:r>
        <w:rPr>
          <w:rFonts w:hint="eastAsia" w:ascii="仿宋" w:hAnsi="仿宋" w:eastAsia="仿宋" w:cs="仿宋"/>
          <w:b/>
          <w:color w:val="auto"/>
          <w:sz w:val="24"/>
          <w:lang w:eastAsia="zh-CN"/>
        </w:rPr>
        <w:t>只允许有一个报价</w:t>
      </w:r>
      <w:r>
        <w:rPr>
          <w:rFonts w:hint="eastAsia" w:ascii="仿宋" w:hAnsi="仿宋" w:eastAsia="仿宋" w:cs="仿宋"/>
          <w:b/>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
          <w:color w:val="auto"/>
          <w:sz w:val="24"/>
        </w:rPr>
        <w:t>投标人应以人民币报价。投标人漏报的单价或每单价报价中漏报、少报的费用，视为此项费用已隐含在投标报价中，中标人不得再向采购人收取任何费用</w:t>
      </w:r>
      <w:r>
        <w:rPr>
          <w:rFonts w:hint="eastAsia" w:ascii="仿宋" w:hAnsi="仿宋" w:eastAsia="仿宋" w:cs="仿宋"/>
          <w:bCs/>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投标人须用人民币报价。当单价与数量的乘积与合价不一致时，以标出的单价与数量的乘积为准，单价小数点有明显错误除外。</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投标文件的组成</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投标文件应包括</w:t>
      </w:r>
      <w:r>
        <w:rPr>
          <w:rFonts w:hint="eastAsia" w:ascii="仿宋" w:hAnsi="仿宋" w:eastAsia="仿宋" w:cs="仿宋"/>
          <w:color w:val="auto"/>
          <w:sz w:val="24"/>
          <w:lang w:eastAsia="zh-CN"/>
        </w:rPr>
        <w:t>但不限于</w:t>
      </w:r>
      <w:r>
        <w:rPr>
          <w:rFonts w:hint="eastAsia" w:ascii="仿宋" w:hAnsi="仿宋" w:eastAsia="仿宋" w:cs="仿宋"/>
          <w:color w:val="auto"/>
          <w:sz w:val="24"/>
        </w:rPr>
        <w:t>以下部分（按以下顺序装订）：</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投标书</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投标人基本情况表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投标一览表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总体方案说明</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详细报价清单</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技术规格差异表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法定代表人证明书</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法定代表人授权委托书</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拟派本项目负责人及主要人员情况表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2019年</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月</w:t>
      </w:r>
      <w:r>
        <w:rPr>
          <w:rFonts w:hint="eastAsia" w:ascii="仿宋" w:hAnsi="仿宋" w:eastAsia="仿宋" w:cs="仿宋"/>
          <w:color w:val="auto"/>
          <w:sz w:val="24"/>
        </w:rPr>
        <w:t>至投标文件递交截止日前销售同类产品情况一览表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投标服务方案</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投标人资格文件声明函</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资格文件</w:t>
      </w:r>
    </w:p>
    <w:p>
      <w:pPr>
        <w:numPr>
          <w:ilvl w:val="2"/>
          <w:numId w:val="5"/>
        </w:numPr>
        <w:tabs>
          <w:tab w:val="left" w:pos="735"/>
          <w:tab w:val="left" w:pos="1254"/>
        </w:tabs>
        <w:spacing w:line="360" w:lineRule="auto"/>
        <w:ind w:left="735" w:hanging="735"/>
        <w:rPr>
          <w:rFonts w:hint="eastAsia" w:ascii="仿宋" w:hAnsi="仿宋" w:eastAsia="仿宋" w:cs="仿宋"/>
          <w:b/>
          <w:color w:val="auto"/>
          <w:sz w:val="24"/>
        </w:rPr>
      </w:pPr>
      <w:r>
        <w:rPr>
          <w:rFonts w:hint="eastAsia" w:ascii="仿宋" w:hAnsi="仿宋" w:eastAsia="仿宋" w:cs="仿宋"/>
          <w:b/>
          <w:color w:val="auto"/>
          <w:sz w:val="24"/>
        </w:rPr>
        <w:t>投标人必须编制完整的投标文件，按上述顺序编制目录及页码并装订成册，内容较多时可以分册装订。各册独立装订的投标文件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投标文件应装订牢固不可拆卸（如：胶订），如因装订不牢固导致的任何损失由投标人承担。</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投标人必须自行承担因其投标文件的任何错漏而导致的一切后果。</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投标文件的修改和撤回</w:t>
      </w:r>
    </w:p>
    <w:p>
      <w:pPr>
        <w:spacing w:line="360" w:lineRule="auto"/>
        <w:ind w:left="154" w:firstLine="444" w:firstLineChars="185"/>
        <w:rPr>
          <w:rFonts w:hint="eastAsia" w:ascii="仿宋" w:hAnsi="仿宋" w:eastAsia="仿宋" w:cs="仿宋"/>
          <w:color w:val="auto"/>
          <w:sz w:val="24"/>
        </w:rPr>
      </w:pPr>
      <w:r>
        <w:rPr>
          <w:rFonts w:hint="eastAsia" w:ascii="仿宋" w:hAnsi="仿宋" w:eastAsia="仿宋" w:cs="仿宋"/>
          <w:color w:val="auto"/>
          <w:sz w:val="24"/>
        </w:rPr>
        <w:t>在投标截止时间前投标人可以修改和</w:t>
      </w:r>
      <w:r>
        <w:rPr>
          <w:rFonts w:hint="eastAsia" w:ascii="仿宋" w:hAnsi="仿宋" w:eastAsia="仿宋" w:cs="仿宋"/>
          <w:bCs/>
          <w:color w:val="auto"/>
          <w:sz w:val="24"/>
        </w:rPr>
        <w:t>撤回</w:t>
      </w:r>
      <w:r>
        <w:rPr>
          <w:rFonts w:hint="eastAsia" w:ascii="仿宋" w:hAnsi="仿宋" w:eastAsia="仿宋" w:cs="仿宋"/>
          <w:color w:val="auto"/>
          <w:sz w:val="24"/>
        </w:rPr>
        <w:t>其投标文件，但必须以书面形式通知招标代理机构，投标截止后不得修改和</w:t>
      </w:r>
      <w:r>
        <w:rPr>
          <w:rFonts w:hint="eastAsia" w:ascii="仿宋" w:hAnsi="仿宋" w:eastAsia="仿宋" w:cs="仿宋"/>
          <w:bCs/>
          <w:color w:val="auto"/>
          <w:sz w:val="24"/>
        </w:rPr>
        <w:t>撤回</w:t>
      </w:r>
      <w:r>
        <w:rPr>
          <w:rFonts w:hint="eastAsia" w:ascii="仿宋" w:hAnsi="仿宋" w:eastAsia="仿宋" w:cs="仿宋"/>
          <w:color w:val="auto"/>
          <w:sz w:val="24"/>
        </w:rPr>
        <w:t>其投标文件。</w:t>
      </w:r>
    </w:p>
    <w:p>
      <w:pPr>
        <w:pStyle w:val="6"/>
        <w:keepLines/>
        <w:numPr>
          <w:ilvl w:val="0"/>
          <w:numId w:val="5"/>
        </w:numPr>
        <w:spacing w:before="260" w:after="260" w:line="400" w:lineRule="exact"/>
        <w:rPr>
          <w:rFonts w:hint="eastAsia" w:ascii="仿宋" w:hAnsi="仿宋" w:eastAsia="仿宋" w:cs="仿宋"/>
          <w:color w:val="auto"/>
          <w:sz w:val="28"/>
        </w:rPr>
      </w:pPr>
      <w:bookmarkStart w:id="65" w:name="_Toc243743356"/>
      <w:bookmarkStart w:id="66" w:name="_Toc245203883"/>
      <w:bookmarkStart w:id="67" w:name="_Toc191353017"/>
      <w:bookmarkStart w:id="68" w:name="_Toc271105679"/>
      <w:bookmarkStart w:id="69" w:name="_Toc272350609"/>
      <w:bookmarkStart w:id="70" w:name="_Toc279046868"/>
      <w:bookmarkStart w:id="71" w:name="_Toc278958161"/>
      <w:bookmarkStart w:id="72" w:name="_Toc185747581"/>
      <w:bookmarkStart w:id="73" w:name="_Toc243923370"/>
      <w:bookmarkStart w:id="74" w:name="_Toc226521695"/>
      <w:bookmarkStart w:id="75" w:name="_Toc15393"/>
      <w:bookmarkStart w:id="76" w:name="_Toc209258275"/>
      <w:bookmarkStart w:id="77" w:name="_Toc277758488"/>
      <w:bookmarkStart w:id="78" w:name="_Toc226966683"/>
      <w:bookmarkStart w:id="79" w:name="_Toc61327402"/>
      <w:bookmarkStart w:id="80" w:name="_Toc130695595"/>
      <w:bookmarkStart w:id="81" w:name="_Toc130697187"/>
      <w:bookmarkStart w:id="82" w:name="_Toc153615292"/>
      <w:r>
        <w:rPr>
          <w:rFonts w:hint="eastAsia" w:ascii="仿宋" w:hAnsi="仿宋" w:eastAsia="仿宋" w:cs="仿宋"/>
          <w:color w:val="auto"/>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rPr>
          <w:rFonts w:hint="eastAsia" w:ascii="仿宋" w:hAnsi="仿宋" w:eastAsia="仿宋" w:cs="仿宋"/>
          <w:color w:val="auto"/>
        </w:rPr>
      </w:pP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color w:val="auto"/>
        </w:rPr>
      </w:pPr>
      <w:r>
        <w:rPr>
          <w:rFonts w:hint="eastAsia" w:ascii="仿宋" w:hAnsi="仿宋" w:eastAsia="仿宋" w:cs="仿宋"/>
          <w:b/>
          <w:bCs/>
          <w:color w:val="auto"/>
          <w:sz w:val="24"/>
        </w:rPr>
        <w:t>投标细则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全部投标文件应一式</w:t>
      </w:r>
      <w:r>
        <w:rPr>
          <w:rFonts w:hint="eastAsia" w:ascii="仿宋" w:hAnsi="仿宋" w:eastAsia="仿宋" w:cs="仿宋"/>
          <w:color w:val="auto"/>
          <w:sz w:val="24"/>
          <w:lang w:val="en-US" w:eastAsia="zh-CN"/>
        </w:rPr>
        <w:t>2</w:t>
      </w:r>
      <w:r>
        <w:rPr>
          <w:rFonts w:hint="eastAsia" w:ascii="仿宋" w:hAnsi="仿宋" w:eastAsia="仿宋" w:cs="仿宋"/>
          <w:color w:val="auto"/>
          <w:sz w:val="24"/>
        </w:rPr>
        <w:t>份，</w:t>
      </w:r>
      <w:r>
        <w:rPr>
          <w:rFonts w:hint="eastAsia" w:ascii="仿宋" w:hAnsi="仿宋" w:eastAsia="仿宋" w:cs="仿宋"/>
          <w:color w:val="auto"/>
          <w:sz w:val="24"/>
          <w:lang w:val="en-US" w:eastAsia="zh-CN"/>
        </w:rPr>
        <w:t>允许</w:t>
      </w:r>
      <w:r>
        <w:rPr>
          <w:rFonts w:hint="eastAsia" w:ascii="仿宋" w:hAnsi="仿宋" w:eastAsia="仿宋" w:cs="仿宋"/>
          <w:color w:val="auto"/>
          <w:sz w:val="24"/>
          <w:lang w:eastAsia="zh-CN"/>
        </w:rPr>
        <w:t>双面打印。</w:t>
      </w:r>
      <w:r>
        <w:rPr>
          <w:rFonts w:hint="eastAsia" w:ascii="仿宋" w:hAnsi="仿宋" w:eastAsia="仿宋" w:cs="仿宋"/>
          <w:color w:val="auto"/>
          <w:sz w:val="24"/>
        </w:rPr>
        <w:t>电子投标文件一份（U盘）所有投标文件应用</w:t>
      </w:r>
      <w:r>
        <w:rPr>
          <w:rFonts w:hint="eastAsia" w:ascii="仿宋" w:hAnsi="仿宋" w:eastAsia="仿宋" w:cs="仿宋"/>
          <w:color w:val="auto"/>
          <w:sz w:val="24"/>
          <w:u w:val="single"/>
        </w:rPr>
        <w:t>A4</w:t>
      </w:r>
      <w:r>
        <w:rPr>
          <w:rFonts w:hint="eastAsia" w:ascii="仿宋" w:hAnsi="仿宋" w:eastAsia="仿宋" w:cs="仿宋"/>
          <w:color w:val="auto"/>
          <w:sz w:val="24"/>
        </w:rPr>
        <w:t>规格纸打印，并</w:t>
      </w:r>
      <w:r>
        <w:rPr>
          <w:rFonts w:hint="eastAsia" w:ascii="仿宋" w:hAnsi="仿宋" w:eastAsia="仿宋" w:cs="仿宋"/>
          <w:color w:val="auto"/>
          <w:sz w:val="24"/>
          <w:lang w:eastAsia="zh-CN"/>
        </w:rPr>
        <w:t>胶装</w:t>
      </w:r>
      <w:r>
        <w:rPr>
          <w:rFonts w:hint="eastAsia" w:ascii="仿宋" w:hAnsi="仿宋" w:eastAsia="仿宋" w:cs="仿宋"/>
          <w:color w:val="auto"/>
          <w:sz w:val="24"/>
        </w:rPr>
        <w:t>完好。其中正本</w:t>
      </w:r>
      <w:r>
        <w:rPr>
          <w:rFonts w:hint="eastAsia" w:ascii="仿宋" w:hAnsi="仿宋" w:eastAsia="仿宋" w:cs="仿宋"/>
          <w:b/>
          <w:color w:val="auto"/>
          <w:sz w:val="24"/>
          <w:u w:val="single"/>
        </w:rPr>
        <w:t xml:space="preserve"> 1</w:t>
      </w:r>
      <w:r>
        <w:rPr>
          <w:rFonts w:hint="eastAsia" w:ascii="仿宋" w:hAnsi="仿宋" w:eastAsia="仿宋" w:cs="仿宋"/>
          <w:color w:val="auto"/>
          <w:sz w:val="24"/>
        </w:rPr>
        <w:t>份</w:t>
      </w:r>
      <w:r>
        <w:rPr>
          <w:rFonts w:hint="eastAsia" w:ascii="仿宋" w:hAnsi="仿宋" w:eastAsia="仿宋" w:cs="仿宋"/>
          <w:color w:val="auto"/>
          <w:sz w:val="24"/>
          <w:lang w:eastAsia="zh-CN"/>
        </w:rPr>
        <w:t>，</w:t>
      </w:r>
      <w:r>
        <w:rPr>
          <w:rFonts w:hint="eastAsia" w:ascii="仿宋" w:hAnsi="仿宋" w:eastAsia="仿宋" w:cs="仿宋"/>
          <w:color w:val="auto"/>
          <w:sz w:val="24"/>
        </w:rPr>
        <w:t>副本</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rPr>
        <w:t>份，并注明“正本”和“副本”。如果正本与副本不符，应以正本为准。（</w:t>
      </w:r>
      <w:r>
        <w:rPr>
          <w:rFonts w:hint="eastAsia" w:ascii="仿宋" w:hAnsi="仿宋" w:eastAsia="仿宋" w:cs="仿宋"/>
          <w:b/>
          <w:bCs/>
          <w:color w:val="auto"/>
          <w:sz w:val="24"/>
          <w:shd w:val="clear" w:color="FFFFFF" w:fill="D9D9D9"/>
          <w:lang w:val="en-US" w:eastAsia="zh-CN"/>
        </w:rPr>
        <w:t>正本</w:t>
      </w:r>
      <w:r>
        <w:rPr>
          <w:rFonts w:hint="eastAsia" w:ascii="仿宋" w:hAnsi="仿宋" w:eastAsia="仿宋" w:cs="仿宋"/>
          <w:b/>
          <w:bCs/>
          <w:color w:val="auto"/>
          <w:sz w:val="24"/>
          <w:shd w:val="clear" w:color="FFFFFF" w:fill="D9D9D9"/>
        </w:rPr>
        <w:t>纸质投标文件</w:t>
      </w:r>
      <w:r>
        <w:rPr>
          <w:rFonts w:hint="eastAsia" w:ascii="仿宋" w:hAnsi="仿宋" w:eastAsia="仿宋" w:cs="仿宋"/>
          <w:b/>
          <w:bCs/>
          <w:color w:val="auto"/>
          <w:sz w:val="24"/>
          <w:shd w:val="clear" w:color="FFFFFF" w:fill="D9D9D9"/>
          <w:lang w:eastAsia="zh-CN"/>
        </w:rPr>
        <w:t>单独密封</w:t>
      </w:r>
      <w:r>
        <w:rPr>
          <w:rFonts w:hint="eastAsia" w:ascii="仿宋" w:hAnsi="仿宋" w:eastAsia="仿宋" w:cs="仿宋"/>
          <w:b/>
          <w:bCs/>
          <w:color w:val="auto"/>
          <w:sz w:val="24"/>
          <w:shd w:val="clear" w:color="FFFFFF" w:fill="D9D9D9"/>
          <w:lang w:val="en-US" w:eastAsia="zh-CN"/>
        </w:rPr>
        <w:t>一份</w:t>
      </w:r>
      <w:r>
        <w:rPr>
          <w:rFonts w:hint="eastAsia" w:ascii="仿宋" w:hAnsi="仿宋" w:eastAsia="仿宋" w:cs="仿宋"/>
          <w:b/>
          <w:bCs/>
          <w:color w:val="auto"/>
          <w:sz w:val="24"/>
          <w:shd w:val="clear" w:color="FFFFFF" w:fill="D9D9D9"/>
        </w:rPr>
        <w:t>，副本纸质投标文件</w:t>
      </w:r>
      <w:r>
        <w:rPr>
          <w:rFonts w:hint="eastAsia" w:ascii="仿宋" w:hAnsi="仿宋" w:eastAsia="仿宋" w:cs="仿宋"/>
          <w:b/>
          <w:bCs/>
          <w:color w:val="auto"/>
          <w:sz w:val="24"/>
          <w:shd w:val="clear" w:color="FFFFFF" w:fill="D9D9D9"/>
          <w:lang w:eastAsia="zh-CN"/>
        </w:rPr>
        <w:t>单独密封</w:t>
      </w:r>
      <w:r>
        <w:rPr>
          <w:rFonts w:hint="eastAsia" w:ascii="仿宋" w:hAnsi="仿宋" w:eastAsia="仿宋" w:cs="仿宋"/>
          <w:b/>
          <w:bCs/>
          <w:color w:val="auto"/>
          <w:sz w:val="24"/>
          <w:shd w:val="clear" w:color="FFFFFF" w:fill="D9D9D9"/>
          <w:lang w:val="en-US" w:eastAsia="zh-CN"/>
        </w:rPr>
        <w:t>一份，</w:t>
      </w:r>
      <w:r>
        <w:rPr>
          <w:rFonts w:hint="eastAsia" w:ascii="仿宋" w:hAnsi="仿宋" w:eastAsia="仿宋" w:cs="仿宋"/>
          <w:b/>
          <w:bCs/>
          <w:color w:val="auto"/>
          <w:sz w:val="24"/>
          <w:shd w:val="clear" w:color="FFFFFF" w:fill="D9D9D9"/>
        </w:rPr>
        <w:t>投标一览表</w:t>
      </w:r>
      <w:r>
        <w:rPr>
          <w:rFonts w:hint="eastAsia" w:ascii="仿宋" w:hAnsi="仿宋" w:eastAsia="仿宋" w:cs="仿宋"/>
          <w:b/>
          <w:bCs/>
          <w:color w:val="auto"/>
          <w:sz w:val="24"/>
          <w:shd w:val="clear" w:color="FFFFFF" w:fill="D9D9D9"/>
          <w:lang w:eastAsia="zh-CN"/>
        </w:rPr>
        <w:t>（单独密封一份，并且在标书中装订一份）</w:t>
      </w:r>
      <w:r>
        <w:rPr>
          <w:rFonts w:hint="eastAsia" w:ascii="仿宋" w:hAnsi="仿宋" w:eastAsia="仿宋" w:cs="仿宋"/>
          <w:b/>
          <w:bCs/>
          <w:color w:val="auto"/>
          <w:sz w:val="24"/>
          <w:shd w:val="clear" w:color="FFFFFF" w:fill="D9D9D9"/>
        </w:rPr>
        <w:t>及投标文件电子文档</w:t>
      </w:r>
      <w:r>
        <w:rPr>
          <w:rFonts w:hint="eastAsia" w:ascii="仿宋" w:hAnsi="仿宋" w:eastAsia="仿宋" w:cs="仿宋"/>
          <w:b/>
          <w:bCs/>
          <w:color w:val="auto"/>
          <w:sz w:val="24"/>
          <w:shd w:val="clear" w:color="FFFFFF" w:fill="D9D9D9"/>
          <w:lang w:eastAsia="zh-CN"/>
        </w:rPr>
        <w:t xml:space="preserve"> </w:t>
      </w:r>
      <w:r>
        <w:rPr>
          <w:rFonts w:hint="eastAsia" w:ascii="仿宋" w:hAnsi="仿宋" w:eastAsia="仿宋" w:cs="仿宋"/>
          <w:b/>
          <w:bCs/>
          <w:color w:val="auto"/>
          <w:sz w:val="24"/>
          <w:u w:val="single"/>
          <w:shd w:val="clear" w:color="FFFFFF" w:fill="D9D9D9"/>
          <w:lang w:eastAsia="zh-CN"/>
        </w:rPr>
        <w:t>1</w:t>
      </w:r>
      <w:r>
        <w:rPr>
          <w:rFonts w:hint="eastAsia" w:ascii="仿宋" w:hAnsi="仿宋" w:eastAsia="仿宋" w:cs="仿宋"/>
          <w:b/>
          <w:bCs/>
          <w:color w:val="auto"/>
          <w:sz w:val="24"/>
          <w:shd w:val="clear" w:color="FFFFFF" w:fill="D9D9D9"/>
          <w:lang w:eastAsia="zh-CN"/>
        </w:rPr>
        <w:t>份单独密封一份</w:t>
      </w:r>
      <w:r>
        <w:rPr>
          <w:rFonts w:hint="eastAsia" w:ascii="仿宋" w:hAnsi="仿宋" w:eastAsia="仿宋" w:cs="仿宋"/>
          <w:b/>
          <w:bCs/>
          <w:color w:val="auto"/>
          <w:sz w:val="24"/>
        </w:rPr>
        <w:t>，电子文件要求U盘，WORD格式，不留密码，无病毒，不压缩，内容应与投标人打印产生的纸质投标文件内容一致，如有不同，以纸质投标文件为准</w:t>
      </w:r>
      <w:r>
        <w:rPr>
          <w:rFonts w:hint="eastAsia" w:ascii="仿宋" w:hAnsi="仿宋" w:eastAsia="仿宋" w:cs="仿宋"/>
          <w:color w:val="auto"/>
          <w:sz w:val="24"/>
        </w:rPr>
        <w:t>。）投标文件应由投标人的合法授权代表正式签署，任何更改（如果有的话）应由原签署人签字。所有不完整的投标将被拒绝。投标人的全部投标文件正本均不退回，中标人的所有投标文件均不退回。投标人在投标过程中产生的一切费用，无论投标结果如何，均由投标人承担。</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投标人应对投标</w:t>
      </w:r>
      <w:r>
        <w:rPr>
          <w:rFonts w:hint="eastAsia" w:ascii="仿宋" w:hAnsi="仿宋" w:eastAsia="仿宋" w:cs="仿宋"/>
          <w:color w:val="auto"/>
          <w:sz w:val="24"/>
          <w:lang w:eastAsia="zh-CN"/>
        </w:rPr>
        <w:t>设备（货物）</w:t>
      </w:r>
      <w:r>
        <w:rPr>
          <w:rFonts w:hint="eastAsia" w:ascii="仿宋" w:hAnsi="仿宋" w:eastAsia="仿宋" w:cs="仿宋"/>
          <w:color w:val="auto"/>
          <w:sz w:val="24"/>
        </w:rPr>
        <w:t>提供完整的详细的技术说明，如投标人对指定的技术要求建议做任何改动，应在投标文件中清楚地注明。</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
          <w:bCs/>
          <w:color w:val="auto"/>
          <w:sz w:val="24"/>
        </w:rPr>
        <w:t>资格文件视为投标文件不可分割的一部份</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所有投标文件应在投标截止时间前送达投标、开标地点，并交予招标代理机构专责人员，任何迟于这个时间的投标将被拒绝。</w:t>
      </w:r>
    </w:p>
    <w:p>
      <w:pPr>
        <w:numPr>
          <w:ilvl w:val="2"/>
          <w:numId w:val="5"/>
        </w:numPr>
        <w:tabs>
          <w:tab w:val="left" w:pos="735"/>
          <w:tab w:val="left" w:pos="1254"/>
        </w:tabs>
        <w:spacing w:line="360" w:lineRule="auto"/>
        <w:ind w:left="735" w:hanging="735"/>
        <w:rPr>
          <w:rFonts w:hint="eastAsia" w:ascii="仿宋" w:hAnsi="仿宋" w:eastAsia="仿宋" w:cs="仿宋"/>
          <w:color w:val="auto"/>
        </w:rPr>
      </w:pPr>
      <w:r>
        <w:rPr>
          <w:rFonts w:hint="eastAsia" w:ascii="仿宋" w:hAnsi="仿宋" w:eastAsia="仿宋" w:cs="仿宋"/>
          <w:b/>
          <w:bCs/>
          <w:color w:val="auto"/>
          <w:sz w:val="24"/>
        </w:rPr>
        <w:t>所有投标文件必须封入密封完好的信封或包装，封口加盖投标单位公章。投标文件的正本和副本应分别封装</w:t>
      </w:r>
      <w:r>
        <w:rPr>
          <w:rFonts w:hint="eastAsia" w:ascii="仿宋" w:hAnsi="仿宋" w:eastAsia="仿宋" w:cs="仿宋"/>
          <w:color w:val="auto"/>
          <w:sz w:val="24"/>
        </w:rPr>
        <w:t>，并在每一信封或包装的封面上写明：</w:t>
      </w:r>
    </w:p>
    <w:tbl>
      <w:tblPr>
        <w:tblStyle w:val="21"/>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noWrap w:val="0"/>
            <w:vAlign w:val="top"/>
          </w:tcPr>
          <w:p>
            <w:pPr>
              <w:spacing w:line="360" w:lineRule="auto"/>
              <w:ind w:left="450"/>
              <w:jc w:val="right"/>
              <w:rPr>
                <w:rFonts w:hint="eastAsia" w:ascii="仿宋" w:hAnsi="仿宋" w:eastAsia="仿宋" w:cs="仿宋"/>
                <w:b/>
                <w:color w:val="auto"/>
                <w:sz w:val="24"/>
                <w:lang w:val="en-US" w:eastAsia="zh-CN"/>
              </w:rPr>
            </w:pPr>
            <w:r>
              <w:rPr>
                <w:rFonts w:hint="eastAsia" w:ascii="仿宋" w:hAnsi="仿宋" w:eastAsia="仿宋" w:cs="仿宋"/>
                <w:b/>
                <w:color w:val="auto"/>
                <w:sz w:val="24"/>
              </w:rPr>
              <w:t>正本/副本/</w:t>
            </w:r>
            <w:r>
              <w:rPr>
                <w:rFonts w:hint="eastAsia" w:ascii="仿宋" w:hAnsi="仿宋" w:eastAsia="仿宋" w:cs="仿宋"/>
                <w:b/>
                <w:color w:val="auto"/>
                <w:sz w:val="24"/>
                <w:lang w:val="en-US" w:eastAsia="zh-CN"/>
              </w:rPr>
              <w:t>投标一览表</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收件人名称：</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lang w:val="en-US" w:eastAsia="zh-CN"/>
              </w:rPr>
              <w:t>项目</w:t>
            </w:r>
            <w:r>
              <w:rPr>
                <w:rFonts w:hint="eastAsia" w:ascii="仿宋" w:hAnsi="仿宋" w:eastAsia="仿宋" w:cs="仿宋"/>
                <w:color w:val="auto"/>
                <w:sz w:val="24"/>
              </w:rPr>
              <w:t>编号：</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 xml:space="preserve"> </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投标人名称：</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投标人地址：</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联系人：</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联系电话：</w:t>
            </w:r>
          </w:p>
          <w:p>
            <w:pPr>
              <w:spacing w:line="420" w:lineRule="exact"/>
              <w:ind w:left="448"/>
              <w:rPr>
                <w:rFonts w:hint="eastAsia" w:ascii="仿宋" w:hAnsi="仿宋" w:eastAsia="仿宋" w:cs="仿宋"/>
                <w:b/>
                <w:color w:val="auto"/>
                <w:sz w:val="24"/>
              </w:rPr>
            </w:pPr>
            <w:r>
              <w:rPr>
                <w:rFonts w:hint="eastAsia" w:ascii="仿宋" w:hAnsi="仿宋" w:eastAsia="仿宋" w:cs="仿宋"/>
                <w:b/>
                <w:color w:val="auto"/>
                <w:sz w:val="24"/>
              </w:rPr>
              <w:t>于“     年   月   日   时  分”之前不准启封（即投标截止时间）</w:t>
            </w:r>
          </w:p>
        </w:tc>
      </w:tr>
    </w:tbl>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招标代理机构对不可抗力事件造成的投标文件的损坏、丢失不承担任何责任。</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招标代理机构不接受电报、电话、电传、传真投标。</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投标有效期</w:t>
      </w:r>
    </w:p>
    <w:p>
      <w:pPr>
        <w:spacing w:line="360" w:lineRule="auto"/>
        <w:ind w:firstLine="597" w:firstLineChars="249"/>
        <w:rPr>
          <w:rFonts w:hint="eastAsia" w:ascii="仿宋" w:hAnsi="仿宋" w:eastAsia="仿宋" w:cs="仿宋"/>
          <w:color w:val="auto"/>
          <w:sz w:val="24"/>
        </w:rPr>
      </w:pPr>
      <w:r>
        <w:rPr>
          <w:rFonts w:hint="eastAsia" w:ascii="仿宋" w:hAnsi="仿宋" w:eastAsia="仿宋" w:cs="仿宋"/>
          <w:color w:val="auto"/>
          <w:sz w:val="24"/>
        </w:rPr>
        <w:t>从投标截止日起，投标有效期为</w:t>
      </w:r>
      <w:r>
        <w:rPr>
          <w:rFonts w:hint="eastAsia" w:ascii="仿宋" w:hAnsi="仿宋" w:eastAsia="仿宋" w:cs="仿宋"/>
          <w:color w:val="auto"/>
          <w:sz w:val="24"/>
          <w:lang w:val="en-US" w:eastAsia="zh-CN"/>
        </w:rPr>
        <w:t>6</w:t>
      </w:r>
      <w:r>
        <w:rPr>
          <w:rFonts w:hint="eastAsia" w:ascii="仿宋" w:hAnsi="仿宋" w:eastAsia="仿宋" w:cs="仿宋"/>
          <w:color w:val="auto"/>
          <w:sz w:val="24"/>
        </w:rPr>
        <w:t>0天（日历天）。在特殊情况下，招标代理机构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6"/>
        <w:keepLines/>
        <w:numPr>
          <w:ilvl w:val="0"/>
          <w:numId w:val="5"/>
        </w:numPr>
        <w:spacing w:before="260" w:after="260" w:line="400" w:lineRule="exact"/>
        <w:rPr>
          <w:rFonts w:hint="eastAsia" w:ascii="仿宋" w:hAnsi="仿宋" w:eastAsia="仿宋" w:cs="仿宋"/>
          <w:color w:val="auto"/>
          <w:sz w:val="28"/>
        </w:rPr>
      </w:pPr>
      <w:bookmarkStart w:id="83" w:name="_Toc226966684"/>
      <w:bookmarkStart w:id="84" w:name="_Toc243743357"/>
      <w:bookmarkStart w:id="85" w:name="_Toc277758489"/>
      <w:bookmarkStart w:id="86" w:name="_Toc272350611"/>
      <w:bookmarkStart w:id="87" w:name="_Toc271105681"/>
      <w:bookmarkStart w:id="88" w:name="_Toc245203885"/>
      <w:bookmarkStart w:id="89" w:name="_Toc5409"/>
      <w:bookmarkStart w:id="90" w:name="_Toc185747582"/>
      <w:bookmarkStart w:id="91" w:name="_Toc191353018"/>
      <w:bookmarkStart w:id="92" w:name="_Toc226521696"/>
      <w:bookmarkStart w:id="93" w:name="_Toc279046869"/>
      <w:bookmarkStart w:id="94" w:name="_Toc278958162"/>
      <w:bookmarkStart w:id="95" w:name="_Toc209258276"/>
      <w:bookmarkStart w:id="96" w:name="_Toc243923371"/>
      <w:r>
        <w:rPr>
          <w:rFonts w:hint="eastAsia" w:ascii="仿宋" w:hAnsi="仿宋" w:eastAsia="仿宋" w:cs="仿宋"/>
          <w:color w:val="auto"/>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开标</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开标在</w:t>
      </w:r>
      <w:r>
        <w:rPr>
          <w:rFonts w:hint="eastAsia" w:ascii="仿宋" w:hAnsi="仿宋" w:eastAsia="仿宋" w:cs="仿宋"/>
          <w:b w:val="0"/>
          <w:bCs/>
          <w:color w:val="auto"/>
          <w:sz w:val="24"/>
          <w:lang w:eastAsia="zh-CN"/>
        </w:rPr>
        <w:t>磋商</w:t>
      </w:r>
      <w:r>
        <w:rPr>
          <w:rFonts w:hint="eastAsia" w:ascii="仿宋" w:hAnsi="仿宋" w:eastAsia="仿宋" w:cs="仿宋"/>
          <w:b w:val="0"/>
          <w:bCs/>
          <w:color w:val="auto"/>
          <w:sz w:val="24"/>
        </w:rPr>
        <w:t>文件确定的投标文件递交截止时间的同一时间公开进行，开标地点为</w:t>
      </w:r>
      <w:r>
        <w:rPr>
          <w:rFonts w:hint="eastAsia" w:ascii="仿宋" w:hAnsi="仿宋" w:eastAsia="仿宋" w:cs="仿宋"/>
          <w:b w:val="0"/>
          <w:bCs/>
          <w:color w:val="auto"/>
          <w:sz w:val="24"/>
          <w:lang w:eastAsia="zh-CN"/>
        </w:rPr>
        <w:t>磋商</w:t>
      </w:r>
      <w:r>
        <w:rPr>
          <w:rFonts w:hint="eastAsia" w:ascii="仿宋" w:hAnsi="仿宋" w:eastAsia="仿宋" w:cs="仿宋"/>
          <w:b w:val="0"/>
          <w:bCs/>
          <w:color w:val="auto"/>
          <w:sz w:val="24"/>
        </w:rPr>
        <w:t>文件预先确定的地点。</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开标由招标代理机构主持，邀请所有投标人参加。</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投标人代表必须持本人身份证参加开标会，如投标人代表非法定代表人，还应持法定代表人授权书。</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开标时，由投标人或者其推选的代表检查投标文件的密封情况，或由采购人委托的公证机构检查并公证。经确认无误后，进入评标环节。</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在</w:t>
      </w:r>
      <w:r>
        <w:rPr>
          <w:rFonts w:hint="eastAsia" w:ascii="仿宋" w:hAnsi="仿宋" w:eastAsia="仿宋" w:cs="仿宋"/>
          <w:b w:val="0"/>
          <w:bCs/>
          <w:color w:val="auto"/>
          <w:sz w:val="24"/>
          <w:lang w:eastAsia="zh-CN"/>
        </w:rPr>
        <w:t>磋商</w:t>
      </w:r>
      <w:r>
        <w:rPr>
          <w:rFonts w:hint="eastAsia" w:ascii="仿宋" w:hAnsi="仿宋" w:eastAsia="仿宋" w:cs="仿宋"/>
          <w:b w:val="0"/>
          <w:bCs/>
          <w:color w:val="auto"/>
          <w:sz w:val="24"/>
        </w:rPr>
        <w:t>文件要求提交投标文件的截止时间前收到的所有经检查合格的投标文件少于三家时，则招标失败，招标代理机构将重新招标。</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评标</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评标委员会</w:t>
      </w:r>
    </w:p>
    <w:p>
      <w:pPr>
        <w:numPr>
          <w:ilvl w:val="0"/>
          <w:numId w:val="7"/>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依法组建评标委员会。评标委员会由</w:t>
      </w:r>
      <w:r>
        <w:rPr>
          <w:rFonts w:hint="eastAsia" w:ascii="仿宋" w:hAnsi="仿宋" w:eastAsia="仿宋" w:cs="仿宋"/>
          <w:b/>
          <w:bCs/>
          <w:color w:val="auto"/>
          <w:sz w:val="24"/>
          <w:u w:val="single"/>
          <w:lang w:val="en-US" w:eastAsia="zh-CN"/>
        </w:rPr>
        <w:t>5</w:t>
      </w:r>
      <w:r>
        <w:rPr>
          <w:rFonts w:hint="eastAsia" w:ascii="仿宋" w:hAnsi="仿宋" w:eastAsia="仿宋" w:cs="仿宋"/>
          <w:bCs/>
          <w:color w:val="auto"/>
          <w:sz w:val="24"/>
        </w:rPr>
        <w:t>人组成，其中采购人代表</w:t>
      </w:r>
      <w:r>
        <w:rPr>
          <w:rFonts w:hint="eastAsia" w:ascii="仿宋" w:hAnsi="仿宋" w:eastAsia="仿宋" w:cs="仿宋"/>
          <w:b/>
          <w:color w:val="auto"/>
          <w:sz w:val="24"/>
          <w:u w:val="single"/>
        </w:rPr>
        <w:t>1</w:t>
      </w:r>
      <w:r>
        <w:rPr>
          <w:rFonts w:hint="eastAsia" w:ascii="仿宋" w:hAnsi="仿宋" w:eastAsia="仿宋" w:cs="仿宋"/>
          <w:bCs/>
          <w:color w:val="auto"/>
          <w:sz w:val="24"/>
        </w:rPr>
        <w:t>名，其余</w:t>
      </w:r>
      <w:r>
        <w:rPr>
          <w:rFonts w:hint="eastAsia" w:ascii="仿宋" w:hAnsi="仿宋" w:eastAsia="仿宋" w:cs="仿宋"/>
          <w:b/>
          <w:bCs/>
          <w:color w:val="auto"/>
          <w:sz w:val="24"/>
          <w:u w:val="single"/>
          <w:lang w:val="en-US" w:eastAsia="zh-CN"/>
        </w:rPr>
        <w:t>4</w:t>
      </w:r>
      <w:r>
        <w:rPr>
          <w:rFonts w:hint="eastAsia" w:ascii="仿宋" w:hAnsi="仿宋" w:eastAsia="仿宋" w:cs="仿宋"/>
          <w:bCs/>
          <w:color w:val="auto"/>
          <w:sz w:val="24"/>
        </w:rPr>
        <w:t>名评标委员均从专家库中随机抽取产生。</w:t>
      </w:r>
    </w:p>
    <w:p>
      <w:pPr>
        <w:numPr>
          <w:ilvl w:val="0"/>
          <w:numId w:val="7"/>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评标委员会将只对确定为实质上响应</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文件要求的投标文件，即通过符合性审查的投标文件进行评价和比较，</w:t>
      </w:r>
      <w:r>
        <w:rPr>
          <w:rFonts w:hint="eastAsia" w:ascii="仿宋" w:hAnsi="仿宋" w:eastAsia="仿宋" w:cs="仿宋"/>
          <w:b/>
          <w:color w:val="auto"/>
          <w:sz w:val="24"/>
        </w:rPr>
        <w:t>响应的依据是</w:t>
      </w:r>
      <w:r>
        <w:rPr>
          <w:rFonts w:hint="eastAsia" w:ascii="仿宋" w:hAnsi="仿宋" w:eastAsia="仿宋" w:cs="仿宋"/>
          <w:b/>
          <w:color w:val="auto"/>
          <w:sz w:val="24"/>
          <w:lang w:eastAsia="zh-CN"/>
        </w:rPr>
        <w:t>磋商</w:t>
      </w:r>
      <w:r>
        <w:rPr>
          <w:rFonts w:hint="eastAsia" w:ascii="仿宋" w:hAnsi="仿宋" w:eastAsia="仿宋" w:cs="仿宋"/>
          <w:b/>
          <w:color w:val="auto"/>
          <w:sz w:val="24"/>
        </w:rPr>
        <w:t>文件本身的内容，而不寻求其它证据</w:t>
      </w:r>
      <w:r>
        <w:rPr>
          <w:rFonts w:hint="eastAsia" w:ascii="仿宋" w:hAnsi="仿宋" w:eastAsia="仿宋" w:cs="仿宋"/>
          <w:bCs/>
          <w:color w:val="auto"/>
          <w:sz w:val="24"/>
        </w:rPr>
        <w:t>。</w:t>
      </w:r>
      <w:r>
        <w:rPr>
          <w:rFonts w:hint="eastAsia" w:ascii="仿宋" w:hAnsi="仿宋" w:eastAsia="仿宋" w:cs="仿宋"/>
          <w:b/>
          <w:color w:val="auto"/>
          <w:sz w:val="24"/>
        </w:rPr>
        <w:t>实质上响应的投标应该是与</w:t>
      </w:r>
      <w:r>
        <w:rPr>
          <w:rFonts w:hint="eastAsia" w:ascii="仿宋" w:hAnsi="仿宋" w:eastAsia="仿宋" w:cs="仿宋"/>
          <w:b/>
          <w:color w:val="auto"/>
          <w:sz w:val="24"/>
          <w:lang w:eastAsia="zh-CN"/>
        </w:rPr>
        <w:t>磋商</w:t>
      </w:r>
      <w:r>
        <w:rPr>
          <w:rFonts w:hint="eastAsia" w:ascii="仿宋" w:hAnsi="仿宋" w:eastAsia="仿宋" w:cs="仿宋"/>
          <w:b/>
          <w:color w:val="auto"/>
          <w:sz w:val="24"/>
        </w:rPr>
        <w:t>文件要求的全部主要条款、条件和规格相符，没有重大偏离的投标</w:t>
      </w:r>
      <w:r>
        <w:rPr>
          <w:rFonts w:hint="eastAsia" w:ascii="仿宋" w:hAnsi="仿宋" w:eastAsia="仿宋" w:cs="仿宋"/>
          <w:bCs/>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评标原则</w:t>
      </w:r>
    </w:p>
    <w:p>
      <w:pPr>
        <w:numPr>
          <w:ilvl w:val="0"/>
          <w:numId w:val="8"/>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评标遵循公平、公正、科学、择优的原则。</w:t>
      </w:r>
    </w:p>
    <w:p>
      <w:pPr>
        <w:numPr>
          <w:ilvl w:val="0"/>
          <w:numId w:val="8"/>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确定中标人的评标准则是：能够最大限度满足</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文件中规定的各项综合评价标准。评标委员会没有义务接受最低报价的投标。</w:t>
      </w:r>
    </w:p>
    <w:p>
      <w:pPr>
        <w:numPr>
          <w:ilvl w:val="0"/>
          <w:numId w:val="8"/>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评标委员会有权根据有关规定否决所有投标。</w:t>
      </w:r>
    </w:p>
    <w:p>
      <w:pPr>
        <w:numPr>
          <w:ilvl w:val="2"/>
          <w:numId w:val="5"/>
        </w:numPr>
        <w:tabs>
          <w:tab w:val="left" w:pos="735"/>
          <w:tab w:val="left" w:pos="1254"/>
        </w:tabs>
        <w:spacing w:line="360" w:lineRule="auto"/>
        <w:ind w:left="735" w:hanging="735"/>
        <w:rPr>
          <w:rFonts w:hint="eastAsia" w:ascii="仿宋" w:hAnsi="仿宋" w:eastAsia="仿宋" w:cs="仿宋"/>
          <w:bCs/>
          <w:color w:val="auto"/>
        </w:rPr>
      </w:pPr>
      <w:r>
        <w:rPr>
          <w:rFonts w:hint="eastAsia" w:ascii="仿宋" w:hAnsi="仿宋" w:eastAsia="仿宋" w:cs="仿宋"/>
          <w:bCs/>
          <w:color w:val="auto"/>
          <w:sz w:val="24"/>
        </w:rPr>
        <w:t>评标过程的保密性</w:t>
      </w:r>
    </w:p>
    <w:p>
      <w:pPr>
        <w:numPr>
          <w:ilvl w:val="0"/>
          <w:numId w:val="9"/>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开标后，直至向中标的投标人授予合同时止，凡与审查、澄清、评价和比较投标有关的资料以及授标意见等，均不得向投标人及与评标无关的其他人透露。</w:t>
      </w:r>
    </w:p>
    <w:p>
      <w:pPr>
        <w:numPr>
          <w:ilvl w:val="0"/>
          <w:numId w:val="9"/>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在评标过程中，如果投标人试图在投标文件审查、澄清、比较及授予合同方面向评标委员会及采购人施加任何影响，其投标将被拒绝。</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投标文件的澄清</w:t>
      </w:r>
    </w:p>
    <w:p>
      <w:pPr>
        <w:numPr>
          <w:ilvl w:val="0"/>
          <w:numId w:val="10"/>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除评标委员会主动要求澄清外，从开标后至授予合同期间，任何投标人均不得就与其投标相关的任何问题与评标委员会联系。</w:t>
      </w:r>
    </w:p>
    <w:p>
      <w:pPr>
        <w:numPr>
          <w:ilvl w:val="0"/>
          <w:numId w:val="10"/>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评标程序及方法（详见评标文件）</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评标分</w:t>
      </w:r>
      <w:r>
        <w:rPr>
          <w:rFonts w:hint="eastAsia" w:ascii="仿宋" w:hAnsi="仿宋" w:eastAsia="仿宋" w:cs="仿宋"/>
          <w:b/>
          <w:color w:val="auto"/>
          <w:sz w:val="24"/>
        </w:rPr>
        <w:t>两个阶段进行：投标文件符合性审查和投标文件详细评审</w:t>
      </w:r>
      <w:r>
        <w:rPr>
          <w:rFonts w:hint="eastAsia" w:ascii="仿宋" w:hAnsi="仿宋" w:eastAsia="仿宋" w:cs="仿宋"/>
          <w:bCs/>
          <w:color w:val="auto"/>
          <w:sz w:val="24"/>
        </w:rPr>
        <w:t>。各评委首先对各投标文件进行符合性审查，投标人只有完全通过符合性审查，才能进入下一阶段的详细评审，否则视为无效投标。</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（一）符合性审查</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评标委员会将根据</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文件的规定，对各投标文件进行符合性审查。</w:t>
      </w:r>
    </w:p>
    <w:p>
      <w:pPr>
        <w:spacing w:line="360" w:lineRule="auto"/>
        <w:ind w:firstLine="480" w:firstLineChars="200"/>
        <w:rPr>
          <w:rFonts w:hint="eastAsia" w:ascii="仿宋" w:hAnsi="仿宋" w:eastAsia="仿宋" w:cs="仿宋"/>
          <w:b/>
          <w:color w:val="auto"/>
          <w:sz w:val="24"/>
        </w:rPr>
      </w:pPr>
      <w:r>
        <w:rPr>
          <w:rFonts w:hint="eastAsia" w:ascii="仿宋" w:hAnsi="仿宋" w:eastAsia="仿宋" w:cs="仿宋"/>
          <w:bCs/>
          <w:color w:val="auto"/>
          <w:sz w:val="24"/>
        </w:rPr>
        <w:t>（1）</w:t>
      </w:r>
      <w:r>
        <w:rPr>
          <w:rFonts w:hint="eastAsia" w:ascii="仿宋" w:hAnsi="仿宋" w:eastAsia="仿宋" w:cs="仿宋"/>
          <w:b/>
          <w:bCs/>
          <w:color w:val="auto"/>
          <w:sz w:val="24"/>
        </w:rPr>
        <w:t>投</w:t>
      </w:r>
      <w:r>
        <w:rPr>
          <w:rFonts w:hint="eastAsia" w:ascii="仿宋" w:hAnsi="仿宋" w:eastAsia="仿宋" w:cs="仿宋"/>
          <w:b/>
          <w:color w:val="auto"/>
          <w:sz w:val="24"/>
        </w:rPr>
        <w:t>标文件出现下列情况之一时将被认定为无效投标：</w:t>
      </w:r>
    </w:p>
    <w:p>
      <w:pPr>
        <w:spacing w:line="500" w:lineRule="exact"/>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(一)未按照招标文件的规定提交投标保证金的;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(二)投标文件未按招标文件要求签署、盖章的;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(三)不具备招标文件中规定的资格要求的;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(四)报价超过招标文件中规定的预算金额或者最高限价的;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(五)投标文件含有采购人不能接受的附加条件的;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(六)法律、法规和招标文件规定的其他无效情形。</w:t>
      </w:r>
    </w:p>
    <w:p>
      <w:pPr>
        <w:spacing w:line="360" w:lineRule="auto"/>
        <w:ind w:firstLine="480" w:firstLineChars="200"/>
        <w:rPr>
          <w:rFonts w:hint="eastAsia" w:ascii="仿宋" w:hAnsi="仿宋" w:eastAsia="仿宋" w:cs="仿宋"/>
          <w:b/>
          <w:color w:val="auto"/>
          <w:sz w:val="24"/>
        </w:rPr>
      </w:pPr>
      <w:r>
        <w:rPr>
          <w:rFonts w:hint="eastAsia" w:ascii="仿宋" w:hAnsi="仿宋" w:eastAsia="仿宋" w:cs="仿宋"/>
          <w:bCs/>
          <w:color w:val="auto"/>
          <w:sz w:val="24"/>
        </w:rPr>
        <w:t>（2）</w:t>
      </w:r>
      <w:r>
        <w:rPr>
          <w:rFonts w:hint="eastAsia" w:ascii="仿宋" w:hAnsi="仿宋" w:eastAsia="仿宋" w:cs="仿宋"/>
          <w:b/>
          <w:color w:val="auto"/>
          <w:sz w:val="24"/>
        </w:rPr>
        <w:t>评标过程中投标文件出现下列情况之一时，对该投标文件作废标处理：</w:t>
      </w:r>
    </w:p>
    <w:p>
      <w:pPr>
        <w:spacing w:line="360" w:lineRule="auto"/>
        <w:ind w:firstLine="480" w:firstLineChars="200"/>
        <w:rPr>
          <w:rFonts w:hint="eastAsia" w:ascii="仿宋" w:hAnsi="仿宋" w:eastAsia="仿宋" w:cs="仿宋"/>
          <w:color w:val="auto"/>
          <w:sz w:val="24"/>
        </w:rPr>
      </w:pPr>
      <w:bookmarkStart w:id="97" w:name="_Toc167617728"/>
      <w:bookmarkStart w:id="98" w:name="_Toc179614238"/>
      <w:r>
        <w:rPr>
          <w:rFonts w:hint="eastAsia" w:ascii="仿宋" w:hAnsi="仿宋" w:eastAsia="仿宋" w:cs="仿宋"/>
          <w:color w:val="auto"/>
          <w:sz w:val="24"/>
        </w:rPr>
        <w:t>1）投标人以他人的名义投标、串通投标、以行贿手段谋取中标或者以其他弄虚作假方式投标的；</w:t>
      </w:r>
      <w:bookmarkEnd w:id="97"/>
      <w:bookmarkEnd w:id="98"/>
    </w:p>
    <w:p>
      <w:pPr>
        <w:spacing w:line="360" w:lineRule="auto"/>
        <w:ind w:firstLine="480" w:firstLineChars="200"/>
        <w:rPr>
          <w:rFonts w:hint="eastAsia" w:ascii="仿宋" w:hAnsi="仿宋" w:eastAsia="仿宋" w:cs="仿宋"/>
          <w:color w:val="auto"/>
          <w:sz w:val="24"/>
        </w:rPr>
      </w:pPr>
      <w:bookmarkStart w:id="99" w:name="_Toc179614239"/>
      <w:bookmarkStart w:id="100" w:name="_Toc167617729"/>
      <w:r>
        <w:rPr>
          <w:rFonts w:hint="eastAsia" w:ascii="仿宋" w:hAnsi="仿宋" w:eastAsia="仿宋" w:cs="仿宋"/>
          <w:color w:val="auto"/>
          <w:sz w:val="24"/>
        </w:rPr>
        <w:t>2）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的；</w:t>
      </w:r>
      <w:bookmarkEnd w:id="99"/>
      <w:bookmarkEnd w:id="100"/>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sz w:val="24"/>
        </w:rPr>
        <w:t>被评委会确定为投标文件无效标或废标的，其投标文件即被视为不能通过符合性审查，不得参与技术、商务和经济的评审。</w:t>
      </w:r>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bCs/>
          <w:color w:val="auto"/>
          <w:sz w:val="24"/>
        </w:rPr>
        <w:t>（二）详细评审</w:t>
      </w:r>
    </w:p>
    <w:p>
      <w:pPr>
        <w:spacing w:line="360" w:lineRule="auto"/>
        <w:ind w:firstLine="480" w:firstLineChars="200"/>
        <w:rPr>
          <w:rFonts w:hint="eastAsia" w:ascii="仿宋" w:hAnsi="仿宋" w:eastAsia="仿宋" w:cs="仿宋"/>
          <w:b/>
          <w:bCs/>
          <w:color w:val="auto"/>
          <w:sz w:val="24"/>
        </w:rPr>
      </w:pPr>
      <w:r>
        <w:rPr>
          <w:rFonts w:hint="eastAsia" w:ascii="仿宋" w:hAnsi="仿宋" w:eastAsia="仿宋" w:cs="仿宋"/>
          <w:bCs/>
          <w:color w:val="auto"/>
          <w:sz w:val="24"/>
        </w:rPr>
        <w:t>（1）对</w:t>
      </w:r>
      <w:r>
        <w:rPr>
          <w:rFonts w:hint="eastAsia" w:ascii="仿宋" w:hAnsi="仿宋" w:eastAsia="仿宋" w:cs="仿宋"/>
          <w:color w:val="auto"/>
          <w:sz w:val="24"/>
        </w:rPr>
        <w:t>通过符合性审查投标文件，按</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文件的要求进行</w:t>
      </w:r>
      <w:r>
        <w:rPr>
          <w:rFonts w:hint="eastAsia" w:ascii="仿宋" w:hAnsi="仿宋" w:eastAsia="仿宋" w:cs="仿宋"/>
          <w:b/>
          <w:bCs/>
          <w:color w:val="auto"/>
          <w:sz w:val="24"/>
        </w:rPr>
        <w:t>技术、商务和经济的评审。</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（2）评</w:t>
      </w:r>
      <w:r>
        <w:rPr>
          <w:rFonts w:hint="eastAsia" w:ascii="仿宋" w:hAnsi="仿宋" w:eastAsia="仿宋" w:cs="仿宋"/>
          <w:color w:val="auto"/>
          <w:sz w:val="24"/>
        </w:rPr>
        <w:t>审方法</w:t>
      </w:r>
      <w:r>
        <w:rPr>
          <w:rFonts w:hint="eastAsia" w:ascii="仿宋" w:hAnsi="仿宋" w:eastAsia="仿宋" w:cs="仿宋"/>
          <w:bCs/>
          <w:color w:val="auto"/>
          <w:sz w:val="24"/>
        </w:rPr>
        <w:t>采</w:t>
      </w:r>
      <w:r>
        <w:rPr>
          <w:rFonts w:hint="eastAsia" w:ascii="仿宋" w:hAnsi="仿宋" w:eastAsia="仿宋" w:cs="仿宋"/>
          <w:color w:val="auto"/>
          <w:sz w:val="24"/>
        </w:rPr>
        <w:t>用综合评分法</w:t>
      </w:r>
      <w:r>
        <w:rPr>
          <w:rFonts w:hint="eastAsia" w:ascii="仿宋" w:hAnsi="仿宋" w:eastAsia="仿宋" w:cs="仿宋"/>
          <w:bCs/>
          <w:color w:val="auto"/>
          <w:sz w:val="24"/>
        </w:rPr>
        <w:t>。</w:t>
      </w:r>
      <w:r>
        <w:rPr>
          <w:rFonts w:hint="eastAsia" w:ascii="仿宋" w:hAnsi="仿宋" w:eastAsia="仿宋" w:cs="仿宋"/>
          <w:color w:val="auto"/>
          <w:sz w:val="24"/>
        </w:rPr>
        <w:t>技术部分、商务部分、经济部分权重详见评标文件。评标委员会根据投标人综合得分高低排定名次并推荐候选中标单位。</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相关注意事项</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（1）评标是招标工作的重要环节，评标工作由评标委员会独立进行。评标委员会将遵照评标原则，公正、平等的对待所有投标人。</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（2）在开标、评标期间，投标人不得向评委询问评标情况，不得进行旨在影响评标结果的活动。</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（3）为保证定标的公正性，在评标过程中，评委不得与投标人私下交换意见。在招标工作结束后，凡与评标过程有接触的任何人，不得将评标情况扩散给与评标无关的人员。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sz w:val="24"/>
        </w:rPr>
        <w:t>（4）评标委员会不直接向落标方解释落标原因，不退回投标文件。</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定标</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Cs/>
          <w:color w:val="auto"/>
          <w:sz w:val="24"/>
        </w:rPr>
        <w:t>评标委员会提出评标书面报告和推荐中标意见报采购人确认。确认后由采购人、招标代理机构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Cs/>
          <w:color w:val="auto"/>
          <w:sz w:val="24"/>
        </w:rPr>
        <w:t>最终澄清完成后，由招标代理机构向中标人发出《中标通知书》，并同时将中标结果以网上公告的方式通知所有未中标的投标人。</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签约</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中标人应当在《中标通知书》发出之日起</w:t>
      </w:r>
      <w:r>
        <w:rPr>
          <w:rFonts w:hint="eastAsia" w:ascii="仿宋" w:hAnsi="仿宋" w:eastAsia="仿宋" w:cs="仿宋"/>
          <w:bCs/>
          <w:color w:val="auto"/>
          <w:sz w:val="24"/>
          <w:lang w:eastAsia="zh-CN"/>
        </w:rPr>
        <w:t>次日</w:t>
      </w:r>
      <w:r>
        <w:rPr>
          <w:rFonts w:hint="eastAsia" w:ascii="仿宋" w:hAnsi="仿宋" w:eastAsia="仿宋" w:cs="仿宋"/>
          <w:bCs/>
          <w:color w:val="auto"/>
          <w:sz w:val="24"/>
        </w:rPr>
        <w:t>与招标人签订合同。</w:t>
      </w:r>
    </w:p>
    <w:p>
      <w:pPr>
        <w:numPr>
          <w:ilvl w:val="2"/>
          <w:numId w:val="5"/>
        </w:numPr>
        <w:tabs>
          <w:tab w:val="left" w:pos="735"/>
          <w:tab w:val="left" w:pos="1254"/>
        </w:tabs>
        <w:spacing w:line="360" w:lineRule="auto"/>
        <w:ind w:left="735" w:hanging="735"/>
        <w:rPr>
          <w:rFonts w:hint="eastAsia" w:ascii="仿宋" w:hAnsi="仿宋" w:eastAsia="仿宋" w:cs="仿宋"/>
          <w:color w:val="auto"/>
        </w:rPr>
      </w:pPr>
      <w:r>
        <w:rPr>
          <w:rFonts w:hint="eastAsia" w:ascii="仿宋" w:hAnsi="仿宋" w:eastAsia="仿宋" w:cs="仿宋"/>
          <w:bCs/>
          <w:color w:val="auto"/>
          <w:sz w:val="24"/>
        </w:rPr>
        <w:t>招标</w:t>
      </w:r>
      <w:r>
        <w:rPr>
          <w:rFonts w:hint="eastAsia" w:ascii="仿宋" w:hAnsi="仿宋" w:eastAsia="仿宋" w:cs="仿宋"/>
          <w:color w:val="auto"/>
          <w:sz w:val="24"/>
        </w:rPr>
        <w:t>人不得向中标人提出任何不合理的要求，作为签订合同的条件，不得与中标人私下订立背离合同实质性内容的协议。</w:t>
      </w:r>
    </w:p>
    <w:p>
      <w:pPr>
        <w:pStyle w:val="6"/>
        <w:keepLines/>
        <w:numPr>
          <w:ilvl w:val="0"/>
          <w:numId w:val="5"/>
        </w:numPr>
        <w:spacing w:before="260" w:after="260" w:line="400" w:lineRule="exact"/>
        <w:rPr>
          <w:rFonts w:hint="eastAsia" w:ascii="仿宋" w:hAnsi="仿宋" w:eastAsia="仿宋" w:cs="仿宋"/>
          <w:color w:val="auto"/>
          <w:sz w:val="28"/>
        </w:rPr>
      </w:pPr>
      <w:bookmarkStart w:id="101" w:name="_Toc185747583"/>
      <w:bookmarkStart w:id="102" w:name="_Toc226966685"/>
      <w:bookmarkStart w:id="103" w:name="_Toc191353019"/>
      <w:bookmarkStart w:id="104" w:name="_Toc272350612"/>
      <w:bookmarkStart w:id="105" w:name="_Toc243923372"/>
      <w:bookmarkStart w:id="106" w:name="_Toc243743358"/>
      <w:bookmarkStart w:id="107" w:name="_Toc271105682"/>
      <w:bookmarkStart w:id="108" w:name="_Toc209258277"/>
      <w:bookmarkStart w:id="109" w:name="_Toc226521697"/>
      <w:bookmarkStart w:id="110" w:name="_Toc279046870"/>
      <w:bookmarkStart w:id="111" w:name="_Toc22157"/>
      <w:bookmarkStart w:id="112" w:name="_Toc278958163"/>
      <w:bookmarkStart w:id="113" w:name="_Toc277758490"/>
      <w:bookmarkStart w:id="114" w:name="_Toc245203886"/>
      <w:r>
        <w:rPr>
          <w:rFonts w:hint="eastAsia" w:ascii="仿宋" w:hAnsi="仿宋" w:eastAsia="仿宋" w:cs="仿宋"/>
          <w:color w:val="auto"/>
          <w:sz w:val="28"/>
        </w:rPr>
        <w:t>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before="50" w:after="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中标人须向招标代理机构交纳的招标服务费，收费标准按国家计委颁布的《招标代理服务收费管理暂行办法》（计价格[2002]1980号）执行。本项目类型为</w:t>
      </w:r>
      <w:r>
        <w:rPr>
          <w:rFonts w:hint="eastAsia" w:ascii="仿宋" w:hAnsi="仿宋" w:eastAsia="仿宋" w:cs="仿宋"/>
          <w:b/>
          <w:color w:val="auto"/>
          <w:sz w:val="24"/>
          <w:lang w:val="en-US" w:eastAsia="zh-CN"/>
        </w:rPr>
        <w:t>服务</w:t>
      </w:r>
      <w:r>
        <w:rPr>
          <w:rFonts w:hint="eastAsia" w:ascii="仿宋" w:hAnsi="仿宋" w:eastAsia="仿宋" w:cs="仿宋"/>
          <w:b/>
          <w:color w:val="auto"/>
          <w:sz w:val="24"/>
        </w:rPr>
        <w:t>类</w:t>
      </w:r>
      <w:r>
        <w:rPr>
          <w:rFonts w:hint="eastAsia" w:ascii="仿宋" w:hAnsi="仿宋" w:eastAsia="仿宋" w:cs="仿宋"/>
          <w:color w:val="auto"/>
          <w:sz w:val="24"/>
        </w:rPr>
        <w:t>：</w:t>
      </w:r>
    </w:p>
    <w:p>
      <w:pPr>
        <w:numPr>
          <w:ilvl w:val="0"/>
          <w:numId w:val="11"/>
        </w:numPr>
        <w:spacing w:line="360" w:lineRule="auto"/>
        <w:ind w:right="-317" w:rightChars="-151"/>
        <w:rPr>
          <w:rFonts w:hint="eastAsia" w:ascii="仿宋" w:hAnsi="仿宋" w:eastAsia="仿宋" w:cs="仿宋"/>
          <w:bCs/>
          <w:color w:val="auto"/>
          <w:sz w:val="24"/>
        </w:rPr>
      </w:pPr>
      <w:r>
        <w:rPr>
          <w:rFonts w:hint="eastAsia" w:ascii="仿宋" w:hAnsi="仿宋" w:eastAsia="仿宋" w:cs="仿宋"/>
          <w:bCs/>
          <w:color w:val="auto"/>
          <w:sz w:val="24"/>
        </w:rPr>
        <w:t>以《中标通知书》确定的中标总金额作为收费的计算基数，按差额定率累进法计算；</w:t>
      </w:r>
    </w:p>
    <w:p>
      <w:pPr>
        <w:numPr>
          <w:ilvl w:val="0"/>
          <w:numId w:val="11"/>
        </w:numPr>
        <w:spacing w:line="360" w:lineRule="auto"/>
        <w:rPr>
          <w:rFonts w:hint="eastAsia" w:ascii="仿宋" w:hAnsi="仿宋" w:eastAsia="仿宋" w:cs="仿宋"/>
          <w:color w:val="auto"/>
          <w:sz w:val="24"/>
        </w:rPr>
      </w:pPr>
      <w:r>
        <w:rPr>
          <w:rFonts w:hint="eastAsia" w:ascii="仿宋" w:hAnsi="仿宋" w:eastAsia="仿宋" w:cs="仿宋"/>
          <w:bCs/>
          <w:color w:val="auto"/>
          <w:sz w:val="24"/>
        </w:rPr>
        <w:t>币种与《中标通知书》的币种相同。</w:t>
      </w:r>
    </w:p>
    <w:p>
      <w:pPr>
        <w:numPr>
          <w:ilvl w:val="0"/>
          <w:numId w:val="11"/>
        </w:numPr>
        <w:spacing w:line="360" w:lineRule="auto"/>
        <w:rPr>
          <w:rFonts w:hint="eastAsia" w:ascii="仿宋" w:hAnsi="仿宋" w:eastAsia="仿宋" w:cs="仿宋"/>
          <w:b/>
          <w:bCs/>
          <w:color w:val="auto"/>
          <w:sz w:val="28"/>
        </w:rPr>
        <w:sectPr>
          <w:footerReference r:id="rId5" w:type="first"/>
          <w:headerReference r:id="rId3" w:type="default"/>
          <w:footerReference r:id="rId4" w:type="default"/>
          <w:type w:val="nextColumn"/>
          <w:pgSz w:w="11906" w:h="16838"/>
          <w:pgMar w:top="1191" w:right="1418" w:bottom="1191" w:left="1418" w:header="737" w:footer="737" w:gutter="0"/>
          <w:pgNumType w:fmt="decimal" w:start="1"/>
          <w:cols w:space="720" w:num="1"/>
          <w:docGrid w:linePitch="312" w:charSpace="0"/>
        </w:sectPr>
      </w:pPr>
      <w:r>
        <w:rPr>
          <w:rFonts w:hint="eastAsia" w:ascii="仿宋" w:hAnsi="仿宋" w:eastAsia="仿宋" w:cs="仿宋"/>
          <w:color w:val="auto"/>
          <w:sz w:val="24"/>
        </w:rPr>
        <w:t>中标人中标后，必须按规定向招标代理机构直接缴交采购服务费。</w:t>
      </w:r>
    </w:p>
    <w:p>
      <w:pPr>
        <w:pStyle w:val="4"/>
        <w:keepLines w:val="0"/>
        <w:numPr>
          <w:ilvl w:val="0"/>
          <w:numId w:val="2"/>
        </w:numPr>
        <w:spacing w:before="0" w:after="0" w:line="360" w:lineRule="auto"/>
        <w:ind w:left="0" w:leftChars="0" w:right="-441" w:rightChars="-210" w:firstLine="0" w:firstLineChars="0"/>
        <w:jc w:val="center"/>
        <w:rPr>
          <w:rFonts w:hint="eastAsia" w:ascii="仿宋" w:hAnsi="仿宋" w:eastAsia="仿宋" w:cs="仿宋"/>
          <w:color w:val="auto"/>
          <w:kern w:val="2"/>
          <w:sz w:val="48"/>
          <w:szCs w:val="48"/>
          <w:highlight w:val="none"/>
        </w:rPr>
      </w:pPr>
      <w:bookmarkStart w:id="115" w:name="_Toc2420"/>
      <w:bookmarkStart w:id="116" w:name="_Toc130180737"/>
      <w:bookmarkStart w:id="117" w:name="_Toc130180842"/>
      <w:bookmarkStart w:id="118" w:name="_Toc130180923"/>
      <w:r>
        <w:rPr>
          <w:rFonts w:hint="eastAsia" w:ascii="仿宋" w:hAnsi="仿宋" w:eastAsia="仿宋" w:cs="仿宋"/>
          <w:color w:val="auto"/>
          <w:kern w:val="2"/>
          <w:sz w:val="48"/>
          <w:szCs w:val="48"/>
          <w:highlight w:val="none"/>
        </w:rPr>
        <w:t xml:space="preserve"> 采购人需求</w:t>
      </w:r>
      <w:bookmarkEnd w:id="115"/>
      <w:bookmarkEnd w:id="116"/>
      <w:bookmarkEnd w:id="117"/>
      <w:bookmarkEnd w:id="118"/>
    </w:p>
    <w:p>
      <w:pPr>
        <w:widowControl/>
        <w:spacing w:before="100" w:beforeAutospacing="1" w:after="100" w:afterAutospacing="1" w:line="360" w:lineRule="auto"/>
        <w:jc w:val="center"/>
        <w:rPr>
          <w:rFonts w:hint="eastAsia" w:ascii="仿宋" w:hAnsi="仿宋" w:eastAsia="仿宋" w:cs="仿宋"/>
          <w:b w:val="0"/>
          <w:bCs/>
          <w:kern w:val="0"/>
          <w:sz w:val="36"/>
          <w:szCs w:val="36"/>
          <w:lang w:val="en-US" w:eastAsia="zh-CN"/>
        </w:rPr>
      </w:pPr>
      <w:bookmarkStart w:id="119" w:name="_Toc31409"/>
      <w:bookmarkStart w:id="120" w:name="_Toc130180843"/>
      <w:bookmarkStart w:id="121" w:name="_Toc130180738"/>
      <w:bookmarkStart w:id="122" w:name="_Toc130180924"/>
      <w:r>
        <w:rPr>
          <w:rFonts w:hint="eastAsia" w:ascii="仿宋" w:hAnsi="仿宋" w:eastAsia="仿宋" w:cs="仿宋"/>
          <w:b w:val="0"/>
          <w:bCs/>
          <w:kern w:val="0"/>
          <w:sz w:val="36"/>
          <w:szCs w:val="36"/>
          <w:lang w:val="en-US" w:eastAsia="zh-CN"/>
        </w:rPr>
        <w:t>特克斯县中医医院水污染源处理</w:t>
      </w:r>
    </w:p>
    <w:p>
      <w:pPr>
        <w:widowControl/>
        <w:spacing w:before="100" w:beforeAutospacing="1" w:after="100" w:afterAutospacing="1" w:line="360" w:lineRule="auto"/>
        <w:jc w:val="center"/>
        <w:rPr>
          <w:rFonts w:hint="eastAsia" w:ascii="仿宋" w:hAnsi="仿宋" w:eastAsia="仿宋" w:cs="仿宋"/>
          <w:b w:val="0"/>
          <w:bCs/>
          <w:sz w:val="44"/>
          <w:szCs w:val="44"/>
          <w:lang w:eastAsia="zh-CN"/>
        </w:rPr>
      </w:pPr>
      <w:r>
        <w:rPr>
          <w:rFonts w:hint="eastAsia" w:ascii="仿宋" w:hAnsi="仿宋" w:eastAsia="仿宋" w:cs="仿宋"/>
          <w:b w:val="0"/>
          <w:bCs/>
          <w:kern w:val="0"/>
          <w:sz w:val="36"/>
          <w:szCs w:val="36"/>
          <w:lang w:val="en-US" w:eastAsia="zh-CN"/>
        </w:rPr>
        <w:t>及在线自动监测设备运营</w:t>
      </w:r>
      <w:r>
        <w:rPr>
          <w:rFonts w:hint="eastAsia" w:ascii="仿宋" w:hAnsi="仿宋" w:eastAsia="仿宋" w:cs="仿宋"/>
          <w:b w:val="0"/>
          <w:bCs/>
          <w:kern w:val="0"/>
          <w:sz w:val="36"/>
          <w:szCs w:val="36"/>
        </w:rPr>
        <w:t>维护</w:t>
      </w:r>
      <w:r>
        <w:rPr>
          <w:rFonts w:hint="eastAsia" w:ascii="仿宋" w:hAnsi="仿宋" w:eastAsia="仿宋" w:cs="仿宋"/>
          <w:b w:val="0"/>
          <w:bCs/>
          <w:kern w:val="0"/>
          <w:sz w:val="36"/>
          <w:szCs w:val="36"/>
          <w:lang w:val="en-US" w:eastAsia="zh-CN"/>
        </w:rPr>
        <w:t>方案</w:t>
      </w:r>
    </w:p>
    <w:p>
      <w:pPr>
        <w:spacing w:line="360" w:lineRule="auto"/>
        <w:jc w:val="center"/>
        <w:rPr>
          <w:rFonts w:hint="eastAsia" w:ascii="仿宋" w:hAnsi="仿宋" w:eastAsia="仿宋" w:cs="仿宋"/>
          <w:b w:val="0"/>
          <w:bCs/>
          <w:sz w:val="44"/>
          <w:szCs w:val="44"/>
        </w:rPr>
      </w:pPr>
    </w:p>
    <w:p>
      <w:pPr>
        <w:spacing w:line="360" w:lineRule="auto"/>
        <w:jc w:val="center"/>
        <w:rPr>
          <w:rFonts w:hint="eastAsia" w:ascii="仿宋" w:hAnsi="仿宋" w:eastAsia="仿宋" w:cs="仿宋"/>
          <w:b w:val="0"/>
          <w:bCs/>
          <w:sz w:val="44"/>
          <w:szCs w:val="44"/>
        </w:rPr>
      </w:pPr>
    </w:p>
    <w:p>
      <w:pPr>
        <w:spacing w:line="360" w:lineRule="auto"/>
        <w:jc w:val="center"/>
        <w:rPr>
          <w:rFonts w:hint="eastAsia" w:ascii="仿宋" w:hAnsi="仿宋" w:eastAsia="仿宋" w:cs="仿宋"/>
          <w:b w:val="0"/>
          <w:bCs/>
          <w:sz w:val="44"/>
          <w:szCs w:val="44"/>
        </w:rPr>
      </w:pPr>
    </w:p>
    <w:p>
      <w:pPr>
        <w:spacing w:line="360" w:lineRule="auto"/>
        <w:jc w:val="center"/>
        <w:rPr>
          <w:rFonts w:hint="eastAsia" w:ascii="仿宋" w:hAnsi="仿宋" w:eastAsia="仿宋" w:cs="仿宋"/>
          <w:b w:val="0"/>
          <w:bCs/>
          <w:sz w:val="44"/>
          <w:szCs w:val="44"/>
        </w:rPr>
      </w:pPr>
    </w:p>
    <w:p>
      <w:pPr>
        <w:spacing w:line="360" w:lineRule="auto"/>
        <w:jc w:val="both"/>
        <w:rPr>
          <w:rFonts w:hint="eastAsia" w:ascii="仿宋" w:hAnsi="仿宋" w:eastAsia="仿宋" w:cs="仿宋"/>
          <w:b w:val="0"/>
          <w:bCs/>
          <w:sz w:val="44"/>
          <w:szCs w:val="44"/>
        </w:rPr>
      </w:pPr>
    </w:p>
    <w:p>
      <w:pPr>
        <w:spacing w:line="360" w:lineRule="auto"/>
        <w:jc w:val="center"/>
        <w:rPr>
          <w:rFonts w:hint="eastAsia" w:ascii="仿宋" w:hAnsi="仿宋" w:eastAsia="仿宋" w:cs="仿宋"/>
          <w:b w:val="0"/>
          <w:bCs/>
          <w:sz w:val="44"/>
          <w:szCs w:val="44"/>
        </w:rPr>
      </w:pPr>
    </w:p>
    <w:p>
      <w:pPr>
        <w:spacing w:line="360" w:lineRule="auto"/>
        <w:jc w:val="center"/>
        <w:rPr>
          <w:rFonts w:hint="eastAsia" w:ascii="仿宋" w:hAnsi="仿宋" w:eastAsia="仿宋" w:cs="仿宋"/>
          <w:b w:val="0"/>
          <w:bCs/>
          <w:sz w:val="44"/>
          <w:szCs w:val="44"/>
        </w:rPr>
      </w:pPr>
    </w:p>
    <w:p>
      <w:pPr>
        <w:rPr>
          <w:rFonts w:hint="eastAsia" w:ascii="仿宋" w:hAnsi="仿宋" w:eastAsia="仿宋" w:cs="仿宋"/>
          <w:b w:val="0"/>
          <w:bCs/>
          <w:sz w:val="44"/>
          <w:szCs w:val="44"/>
        </w:rPr>
      </w:pPr>
    </w:p>
    <w:p>
      <w:pPr>
        <w:spacing w:line="360" w:lineRule="auto"/>
        <w:jc w:val="both"/>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br w:type="page"/>
      </w:r>
      <w:r>
        <w:rPr>
          <w:rFonts w:hint="eastAsia" w:ascii="仿宋" w:hAnsi="仿宋" w:eastAsia="仿宋" w:cs="仿宋"/>
          <w:b w:val="0"/>
          <w:bCs/>
          <w:sz w:val="28"/>
          <w:szCs w:val="28"/>
          <w:lang w:val="en-US" w:eastAsia="zh-CN"/>
        </w:rPr>
        <w:t>一、</w:t>
      </w:r>
      <w:r>
        <w:rPr>
          <w:rFonts w:hint="eastAsia" w:ascii="仿宋" w:hAnsi="仿宋" w:eastAsia="仿宋" w:cs="仿宋"/>
          <w:b w:val="0"/>
          <w:bCs/>
          <w:sz w:val="28"/>
          <w:szCs w:val="28"/>
        </w:rPr>
        <w:t>概述</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1.1目标</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1.1.1总体目标</w:t>
      </w:r>
    </w:p>
    <w:p>
      <w:pPr>
        <w:spacing w:line="36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确保污染源</w:t>
      </w:r>
      <w:r>
        <w:rPr>
          <w:rFonts w:hint="eastAsia" w:ascii="仿宋" w:hAnsi="仿宋" w:eastAsia="仿宋" w:cs="仿宋"/>
          <w:b w:val="0"/>
          <w:bCs/>
          <w:sz w:val="24"/>
          <w:szCs w:val="24"/>
          <w:lang w:val="en-US" w:eastAsia="zh-CN"/>
        </w:rPr>
        <w:t>处理设施及</w:t>
      </w:r>
      <w:r>
        <w:rPr>
          <w:rFonts w:hint="eastAsia" w:ascii="仿宋" w:hAnsi="仿宋" w:eastAsia="仿宋" w:cs="仿宋"/>
          <w:b w:val="0"/>
          <w:bCs/>
          <w:sz w:val="24"/>
          <w:szCs w:val="24"/>
        </w:rPr>
        <w:t>在线</w:t>
      </w:r>
      <w:r>
        <w:rPr>
          <w:rFonts w:hint="eastAsia" w:ascii="仿宋" w:hAnsi="仿宋" w:eastAsia="仿宋" w:cs="仿宋"/>
          <w:b w:val="0"/>
          <w:bCs/>
          <w:sz w:val="24"/>
          <w:szCs w:val="24"/>
          <w:lang w:val="en-US" w:eastAsia="zh-CN"/>
        </w:rPr>
        <w:t>监测设备</w:t>
      </w:r>
      <w:r>
        <w:rPr>
          <w:rFonts w:hint="eastAsia" w:ascii="仿宋" w:hAnsi="仿宋" w:eastAsia="仿宋" w:cs="仿宋"/>
          <w:b w:val="0"/>
          <w:bCs/>
          <w:sz w:val="24"/>
          <w:szCs w:val="24"/>
        </w:rPr>
        <w:t>正常运行，</w:t>
      </w:r>
      <w:r>
        <w:rPr>
          <w:rFonts w:hint="eastAsia" w:ascii="仿宋" w:hAnsi="仿宋" w:eastAsia="仿宋" w:cs="仿宋"/>
          <w:b w:val="0"/>
          <w:bCs/>
          <w:sz w:val="24"/>
          <w:szCs w:val="24"/>
          <w:lang w:val="en-US" w:eastAsia="zh-CN"/>
        </w:rPr>
        <w:t>确保数据准确可靠达标排放</w:t>
      </w:r>
      <w:r>
        <w:rPr>
          <w:rFonts w:hint="eastAsia" w:ascii="仿宋" w:hAnsi="仿宋" w:eastAsia="仿宋" w:cs="仿宋"/>
          <w:b w:val="0"/>
          <w:bCs/>
          <w:sz w:val="24"/>
          <w:szCs w:val="24"/>
        </w:rPr>
        <w:t>。</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1.1.2具体目标:</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污水处理设施的稳定性：按环保要求及排放标准，根据现场实际情况及时调整工艺参数，使污水处理后数据合理达标。</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2)监测数据完整性:按</w:t>
      </w:r>
      <w:r>
        <w:rPr>
          <w:rFonts w:hint="eastAsia" w:ascii="仿宋" w:hAnsi="仿宋" w:eastAsia="仿宋" w:cs="仿宋"/>
          <w:b w:val="0"/>
          <w:bCs/>
          <w:sz w:val="24"/>
          <w:szCs w:val="24"/>
          <w:lang w:val="en-US" w:eastAsia="zh-CN"/>
        </w:rPr>
        <w:t>环保</w:t>
      </w:r>
      <w:r>
        <w:rPr>
          <w:rFonts w:hint="eastAsia" w:ascii="仿宋" w:hAnsi="仿宋" w:eastAsia="仿宋" w:cs="仿宋"/>
          <w:b w:val="0"/>
          <w:bCs/>
          <w:sz w:val="24"/>
          <w:szCs w:val="24"/>
        </w:rPr>
        <w:t>相关规定，将在线监测数据完整上传至</w:t>
      </w:r>
      <w:r>
        <w:rPr>
          <w:rFonts w:hint="eastAsia" w:ascii="仿宋" w:hAnsi="仿宋" w:eastAsia="仿宋" w:cs="仿宋"/>
          <w:b w:val="0"/>
          <w:bCs/>
          <w:sz w:val="24"/>
          <w:szCs w:val="24"/>
          <w:lang w:val="en-US" w:eastAsia="zh-CN"/>
        </w:rPr>
        <w:t>当地</w:t>
      </w:r>
      <w:r>
        <w:rPr>
          <w:rFonts w:hint="eastAsia" w:ascii="仿宋" w:hAnsi="仿宋" w:eastAsia="仿宋" w:cs="仿宋"/>
          <w:b w:val="0"/>
          <w:bCs/>
          <w:sz w:val="24"/>
          <w:szCs w:val="24"/>
        </w:rPr>
        <w:t>环保局的监控平台，在线监测系统的各类设备运转率及数据传输率(特别是主分析仪设备)应达到上级环保部门的要求。</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)监测数据准确性:主动配合环境监测部门定期比对，确保在线监测数据的准确率符合</w:t>
      </w:r>
      <w:r>
        <w:rPr>
          <w:rFonts w:hint="eastAsia" w:ascii="仿宋" w:hAnsi="仿宋" w:eastAsia="仿宋" w:cs="仿宋"/>
          <w:b w:val="0"/>
          <w:bCs/>
          <w:sz w:val="24"/>
          <w:szCs w:val="24"/>
          <w:lang w:val="en-US" w:eastAsia="zh-CN"/>
        </w:rPr>
        <w:t>环保标准</w:t>
      </w:r>
      <w:r>
        <w:rPr>
          <w:rFonts w:hint="eastAsia" w:ascii="仿宋" w:hAnsi="仿宋" w:eastAsia="仿宋" w:cs="仿宋"/>
          <w:b w:val="0"/>
          <w:bCs/>
          <w:sz w:val="24"/>
          <w:szCs w:val="24"/>
        </w:rPr>
        <w:t>要求，使监</w:t>
      </w:r>
      <w:r>
        <w:rPr>
          <w:rFonts w:hint="eastAsia" w:ascii="仿宋" w:hAnsi="仿宋" w:eastAsia="仿宋" w:cs="仿宋"/>
          <w:b w:val="0"/>
          <w:bCs/>
          <w:sz w:val="24"/>
          <w:szCs w:val="24"/>
          <w:lang w:val="en-US" w:eastAsia="zh-CN"/>
        </w:rPr>
        <w:t>测数据准确性保持在允许误差范围之内。</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)运维档案完整性:建立完整的运维技术档案，确保各级环保部门及甲方可通过调阅运维技术档案，了解该</w:t>
      </w:r>
      <w:r>
        <w:rPr>
          <w:rFonts w:hint="eastAsia" w:ascii="仿宋" w:hAnsi="仿宋" w:eastAsia="仿宋" w:cs="仿宋"/>
          <w:b w:val="0"/>
          <w:bCs/>
          <w:sz w:val="24"/>
          <w:szCs w:val="24"/>
          <w:lang w:val="en-US" w:eastAsia="zh-CN"/>
        </w:rPr>
        <w:t>污水处理设施及</w:t>
      </w:r>
      <w:r>
        <w:rPr>
          <w:rFonts w:hint="eastAsia" w:ascii="仿宋" w:hAnsi="仿宋" w:eastAsia="仿宋" w:cs="仿宋"/>
          <w:b w:val="0"/>
          <w:bCs/>
          <w:sz w:val="24"/>
          <w:szCs w:val="24"/>
        </w:rPr>
        <w:t>在线监测系统的使用、维修、停运、性能检验、水样比对等全部历史资料，进而对在线监测系统的运行情况做出正确评估，合同期满后全部完整的移交</w:t>
      </w:r>
      <w:r>
        <w:rPr>
          <w:rFonts w:hint="eastAsia" w:ascii="仿宋" w:hAnsi="仿宋" w:eastAsia="仿宋" w:cs="仿宋"/>
          <w:b w:val="0"/>
          <w:bCs/>
          <w:sz w:val="24"/>
          <w:szCs w:val="24"/>
          <w:lang w:val="en-US" w:eastAsia="zh-CN"/>
        </w:rPr>
        <w:t>给甲方。</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1.2制定依据</w:t>
      </w:r>
    </w:p>
    <w:p>
      <w:pPr>
        <w:pStyle w:val="17"/>
        <w:tabs>
          <w:tab w:val="left" w:pos="502"/>
        </w:tabs>
        <w:rPr>
          <w:rFonts w:hint="eastAsia" w:ascii="仿宋" w:hAnsi="仿宋" w:eastAsia="仿宋" w:cs="仿宋"/>
          <w:sz w:val="24"/>
          <w:szCs w:val="24"/>
        </w:rPr>
      </w:pPr>
      <w:r>
        <w:rPr>
          <w:rFonts w:hint="eastAsia" w:ascii="仿宋" w:hAnsi="仿宋" w:eastAsia="仿宋" w:cs="仿宋"/>
          <w:sz w:val="24"/>
          <w:szCs w:val="24"/>
        </w:rPr>
        <w:t>GB18466-2005《医疗机构水污染物排放标准》</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HJ/T 353-2019《水污染源在线监测系统（CODCr、 NH3-N 等） 安装技术规范》</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HJ/T 354-2019《水污染源在线监测系统（CODCr、 NH3-N 等） 验收技术规范》</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HJ/T 355-2019《水污染源在线监测系统（CODCr、 NH3-N 等） 运行技术规范》</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HJ 356-2019 水污染源在线监测系统（CODCr、NH3-N等）数据有效性判别技术规范</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HJ 377-2019《化学需氧量（CODCr） 水质在线自动监测仪技术要求及检测法》</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HJ 101-2019《氨氮水质自动分析仪技术要求》</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HJ/T212—2017《污染源在线自动监控(监测)系统传输标准》</w:t>
      </w:r>
    </w:p>
    <w:p>
      <w:pPr>
        <w:spacing w:line="360" w:lineRule="auto"/>
        <w:jc w:val="both"/>
        <w:rPr>
          <w:rFonts w:hint="eastAsia" w:ascii="仿宋" w:hAnsi="仿宋" w:eastAsia="仿宋" w:cs="仿宋"/>
          <w:b w:val="0"/>
          <w:bCs/>
          <w:sz w:val="28"/>
          <w:szCs w:val="28"/>
          <w:lang w:val="en-US" w:eastAsia="zh-CN"/>
        </w:rPr>
      </w:pPr>
    </w:p>
    <w:p>
      <w:pPr>
        <w:spacing w:line="360" w:lineRule="auto"/>
        <w:jc w:val="both"/>
        <w:rPr>
          <w:rFonts w:hint="eastAsia" w:ascii="仿宋" w:hAnsi="仿宋" w:eastAsia="仿宋" w:cs="仿宋"/>
          <w:b w:val="0"/>
          <w:bCs/>
          <w:sz w:val="28"/>
          <w:szCs w:val="28"/>
          <w:lang w:val="en-US" w:eastAsia="zh-CN"/>
        </w:rPr>
      </w:pPr>
    </w:p>
    <w:p>
      <w:pPr>
        <w:spacing w:line="360" w:lineRule="auto"/>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二、运营范围</w:t>
      </w:r>
    </w:p>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lang w:val="en-US" w:eastAsia="zh-CN"/>
        </w:rPr>
        <w:t>特克斯县中医医院污水处理设备及在线自动监测设备具体信息如下：</w:t>
      </w:r>
    </w:p>
    <w:tbl>
      <w:tblPr>
        <w:tblStyle w:val="22"/>
        <w:tblW w:w="6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196"/>
        <w:gridCol w:w="954"/>
        <w:gridCol w:w="146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序号</w:t>
            </w:r>
          </w:p>
        </w:tc>
        <w:tc>
          <w:tcPr>
            <w:tcW w:w="2196"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设备名称</w:t>
            </w:r>
          </w:p>
        </w:tc>
        <w:tc>
          <w:tcPr>
            <w:tcW w:w="954"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数量</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投用时间</w:t>
            </w: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w:t>
            </w:r>
          </w:p>
        </w:tc>
        <w:tc>
          <w:tcPr>
            <w:tcW w:w="2196"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污水处理设施</w:t>
            </w:r>
          </w:p>
        </w:tc>
        <w:tc>
          <w:tcPr>
            <w:tcW w:w="954"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1套</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预处理标准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2</w:t>
            </w:r>
          </w:p>
        </w:tc>
        <w:tc>
          <w:tcPr>
            <w:tcW w:w="2196"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position w:val="1"/>
                <w:sz w:val="24"/>
                <w:szCs w:val="24"/>
              </w:rPr>
              <w:t>COD</w:t>
            </w:r>
            <w:r>
              <w:rPr>
                <w:rFonts w:hint="eastAsia" w:ascii="仿宋" w:hAnsi="仿宋" w:eastAsia="仿宋" w:cs="仿宋"/>
                <w:b w:val="0"/>
                <w:bCs/>
                <w:sz w:val="24"/>
                <w:szCs w:val="24"/>
              </w:rPr>
              <w:t>Cr</w:t>
            </w:r>
            <w:r>
              <w:rPr>
                <w:rFonts w:hint="eastAsia" w:ascii="仿宋" w:hAnsi="仿宋" w:eastAsia="仿宋" w:cs="仿宋"/>
                <w:b w:val="0"/>
                <w:bCs/>
                <w:sz w:val="24"/>
                <w:szCs w:val="24"/>
                <w:lang w:val="en-US" w:eastAsia="zh-CN"/>
              </w:rPr>
              <w:t>在线监测仪</w:t>
            </w:r>
          </w:p>
        </w:tc>
        <w:tc>
          <w:tcPr>
            <w:tcW w:w="954"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1台</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3</w:t>
            </w:r>
          </w:p>
        </w:tc>
        <w:tc>
          <w:tcPr>
            <w:tcW w:w="2196"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氨氮在线监测仪</w:t>
            </w:r>
          </w:p>
        </w:tc>
        <w:tc>
          <w:tcPr>
            <w:tcW w:w="954"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1台</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4</w:t>
            </w:r>
          </w:p>
        </w:tc>
        <w:tc>
          <w:tcPr>
            <w:tcW w:w="2196"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超声波明渠流量计</w:t>
            </w:r>
          </w:p>
        </w:tc>
        <w:tc>
          <w:tcPr>
            <w:tcW w:w="954"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1台</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5</w:t>
            </w:r>
          </w:p>
        </w:tc>
        <w:tc>
          <w:tcPr>
            <w:tcW w:w="2196"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PH计</w:t>
            </w:r>
          </w:p>
        </w:tc>
        <w:tc>
          <w:tcPr>
            <w:tcW w:w="954"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1台</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6</w:t>
            </w:r>
          </w:p>
        </w:tc>
        <w:tc>
          <w:tcPr>
            <w:tcW w:w="2196"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数据采集仪</w:t>
            </w:r>
          </w:p>
        </w:tc>
        <w:tc>
          <w:tcPr>
            <w:tcW w:w="954"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1台</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7</w:t>
            </w:r>
          </w:p>
        </w:tc>
        <w:tc>
          <w:tcPr>
            <w:tcW w:w="2196"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水质自动采样器</w:t>
            </w:r>
          </w:p>
        </w:tc>
        <w:tc>
          <w:tcPr>
            <w:tcW w:w="954" w:type="dxa"/>
            <w:noWrap w:val="0"/>
            <w:vAlign w:val="top"/>
          </w:tcPr>
          <w:p>
            <w:pPr>
              <w:spacing w:line="360" w:lineRule="auto"/>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1台</w:t>
            </w:r>
          </w:p>
        </w:tc>
        <w:tc>
          <w:tcPr>
            <w:tcW w:w="1463"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c>
          <w:tcPr>
            <w:tcW w:w="1479" w:type="dxa"/>
            <w:noWrap w:val="0"/>
            <w:vAlign w:val="top"/>
          </w:tcPr>
          <w:p>
            <w:pPr>
              <w:spacing w:line="360" w:lineRule="auto"/>
              <w:jc w:val="both"/>
              <w:rPr>
                <w:rFonts w:hint="eastAsia" w:ascii="仿宋" w:hAnsi="仿宋" w:eastAsia="仿宋" w:cs="仿宋"/>
                <w:b w:val="0"/>
                <w:bCs/>
                <w:sz w:val="24"/>
                <w:szCs w:val="24"/>
                <w:vertAlign w:val="baseline"/>
                <w:lang w:val="en-US" w:eastAsia="zh-CN"/>
              </w:rPr>
            </w:pPr>
          </w:p>
        </w:tc>
      </w:tr>
    </w:tbl>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2.</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运营模式</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2.</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.1各方责任与义务</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2.</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.1.1甲方及排污企业</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1)为</w:t>
      </w:r>
      <w:r>
        <w:rPr>
          <w:rFonts w:hint="eastAsia" w:ascii="仿宋" w:hAnsi="仿宋" w:eastAsia="仿宋" w:cs="仿宋"/>
          <w:b w:val="0"/>
          <w:bCs/>
          <w:sz w:val="24"/>
          <w:szCs w:val="24"/>
          <w:lang w:val="en-US" w:eastAsia="zh-CN"/>
        </w:rPr>
        <w:t>污水处理设施及在线</w:t>
      </w:r>
      <w:r>
        <w:rPr>
          <w:rFonts w:hint="eastAsia" w:ascii="仿宋" w:hAnsi="仿宋" w:eastAsia="仿宋" w:cs="仿宋"/>
          <w:b w:val="0"/>
          <w:bCs/>
          <w:sz w:val="24"/>
          <w:szCs w:val="24"/>
        </w:rPr>
        <w:t>自动监测设备的正常运转提供必要的条件保证(如正常供电、空调、防雷、防盗、防火等)。</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2)负责提供</w:t>
      </w:r>
      <w:r>
        <w:rPr>
          <w:rFonts w:hint="eastAsia" w:ascii="仿宋" w:hAnsi="仿宋" w:eastAsia="仿宋" w:cs="仿宋"/>
          <w:b w:val="0"/>
          <w:bCs/>
          <w:sz w:val="24"/>
          <w:szCs w:val="24"/>
          <w:lang w:val="en-US" w:eastAsia="zh-CN"/>
        </w:rPr>
        <w:t>污水处理设施及</w:t>
      </w:r>
      <w:r>
        <w:rPr>
          <w:rFonts w:hint="eastAsia" w:ascii="仿宋" w:hAnsi="仿宋" w:eastAsia="仿宋" w:cs="仿宋"/>
          <w:b w:val="0"/>
          <w:bCs/>
          <w:sz w:val="24"/>
          <w:szCs w:val="24"/>
        </w:rPr>
        <w:t>自动监设备运转的场地场所，负责</w:t>
      </w:r>
      <w:r>
        <w:rPr>
          <w:rFonts w:hint="eastAsia" w:ascii="仿宋" w:hAnsi="仿宋" w:eastAsia="仿宋" w:cs="仿宋"/>
          <w:b w:val="0"/>
          <w:bCs/>
          <w:sz w:val="24"/>
          <w:szCs w:val="24"/>
          <w:lang w:val="en-US" w:eastAsia="zh-CN"/>
        </w:rPr>
        <w:t>污水处理设施及</w:t>
      </w:r>
      <w:r>
        <w:rPr>
          <w:rFonts w:hint="eastAsia" w:ascii="仿宋" w:hAnsi="仿宋" w:eastAsia="仿宋" w:cs="仿宋"/>
          <w:b w:val="0"/>
          <w:bCs/>
          <w:sz w:val="24"/>
          <w:szCs w:val="24"/>
        </w:rPr>
        <w:t>自动监测设备的安全保护工作。</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3)负责为乙方提供设备所需试剂配置的场所和器具。</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2.</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.1.2乙方责任与义务</w:t>
      </w:r>
    </w:p>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1)乙方提供水质污染源</w:t>
      </w:r>
      <w:r>
        <w:rPr>
          <w:rFonts w:hint="eastAsia" w:ascii="仿宋" w:hAnsi="仿宋" w:eastAsia="仿宋" w:cs="仿宋"/>
          <w:b w:val="0"/>
          <w:bCs/>
          <w:sz w:val="24"/>
          <w:szCs w:val="24"/>
          <w:lang w:val="en-US" w:eastAsia="zh-CN"/>
        </w:rPr>
        <w:t>处理设施及</w:t>
      </w:r>
      <w:r>
        <w:rPr>
          <w:rFonts w:hint="eastAsia" w:ascii="仿宋" w:hAnsi="仿宋" w:eastAsia="仿宋" w:cs="仿宋"/>
          <w:b w:val="0"/>
          <w:bCs/>
          <w:sz w:val="24"/>
          <w:szCs w:val="24"/>
        </w:rPr>
        <w:t>在线连续自动监测设备运营维护服务，设备所有权归排污企业所有，若确实需要更换主体设备时，设备所有权依然归属排污企业</w:t>
      </w:r>
      <w:r>
        <w:rPr>
          <w:rFonts w:hint="eastAsia" w:ascii="仿宋" w:hAnsi="仿宋" w:eastAsia="仿宋" w:cs="仿宋"/>
          <w:b w:val="0"/>
          <w:bCs/>
          <w:sz w:val="24"/>
          <w:szCs w:val="24"/>
          <w:lang w:eastAsia="zh-CN"/>
        </w:rPr>
        <w:t>。</w:t>
      </w:r>
    </w:p>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2)承担委托责任，负责水质污染源</w:t>
      </w:r>
      <w:r>
        <w:rPr>
          <w:rFonts w:hint="eastAsia" w:ascii="仿宋" w:hAnsi="仿宋" w:eastAsia="仿宋" w:cs="仿宋"/>
          <w:b w:val="0"/>
          <w:bCs/>
          <w:sz w:val="24"/>
          <w:szCs w:val="24"/>
          <w:lang w:val="en-US" w:eastAsia="zh-CN"/>
        </w:rPr>
        <w:t>处理设施及在线</w:t>
      </w:r>
      <w:r>
        <w:rPr>
          <w:rFonts w:hint="eastAsia" w:ascii="仿宋" w:hAnsi="仿宋" w:eastAsia="仿宋" w:cs="仿宋"/>
          <w:b w:val="0"/>
          <w:bCs/>
          <w:sz w:val="24"/>
          <w:szCs w:val="24"/>
        </w:rPr>
        <w:t>自动监测设备的日常运行、维护、检修、换件、耗材更换等事项，保证水质污染源</w:t>
      </w:r>
      <w:r>
        <w:rPr>
          <w:rFonts w:hint="eastAsia" w:ascii="仿宋" w:hAnsi="仿宋" w:eastAsia="仿宋" w:cs="仿宋"/>
          <w:b w:val="0"/>
          <w:bCs/>
          <w:sz w:val="24"/>
          <w:szCs w:val="24"/>
          <w:lang w:val="en-US" w:eastAsia="zh-CN"/>
        </w:rPr>
        <w:t>处理设施及</w:t>
      </w:r>
      <w:r>
        <w:rPr>
          <w:rFonts w:hint="eastAsia" w:ascii="仿宋" w:hAnsi="仿宋" w:eastAsia="仿宋" w:cs="仿宋"/>
          <w:b w:val="0"/>
          <w:bCs/>
          <w:sz w:val="24"/>
          <w:szCs w:val="24"/>
        </w:rPr>
        <w:t>自动监测设备的正常运转，监测及传输工作正常开展(废液由甲方处理，药剂</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备件由乙方提供)</w:t>
      </w:r>
      <w:r>
        <w:rPr>
          <w:rFonts w:hint="eastAsia" w:ascii="仿宋" w:hAnsi="仿宋" w:eastAsia="仿宋" w:cs="仿宋"/>
          <w:b w:val="0"/>
          <w:bCs/>
          <w:sz w:val="24"/>
          <w:szCs w:val="24"/>
          <w:lang w:eastAsia="zh-CN"/>
        </w:rPr>
        <w:t>。</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3)乙方负责每周进行一次水质污染源</w:t>
      </w:r>
      <w:r>
        <w:rPr>
          <w:rFonts w:hint="eastAsia" w:ascii="仿宋" w:hAnsi="仿宋" w:eastAsia="仿宋" w:cs="仿宋"/>
          <w:b w:val="0"/>
          <w:bCs/>
          <w:sz w:val="24"/>
          <w:szCs w:val="24"/>
          <w:lang w:val="en-US" w:eastAsia="zh-CN"/>
        </w:rPr>
        <w:t>处理设施及</w:t>
      </w:r>
      <w:r>
        <w:rPr>
          <w:rFonts w:hint="eastAsia" w:ascii="仿宋" w:hAnsi="仿宋" w:eastAsia="仿宋" w:cs="仿宋"/>
          <w:b w:val="0"/>
          <w:bCs/>
          <w:sz w:val="24"/>
          <w:szCs w:val="24"/>
        </w:rPr>
        <w:t>自动监测设备运行状态检査，设备出现问题原则上按照</w:t>
      </w:r>
      <w:r>
        <w:rPr>
          <w:rFonts w:hint="eastAsia" w:ascii="仿宋" w:hAnsi="仿宋" w:eastAsia="仿宋" w:cs="仿宋"/>
          <w:kern w:val="0"/>
          <w:sz w:val="24"/>
          <w:szCs w:val="24"/>
        </w:rPr>
        <w:t>HJ/T 355-2019《水污染源在线监测系统（CODCr、 NH3-N 等） 运行技术规范》</w:t>
      </w:r>
      <w:r>
        <w:rPr>
          <w:rFonts w:hint="eastAsia" w:ascii="仿宋" w:hAnsi="仿宋" w:eastAsia="仿宋" w:cs="仿宋"/>
          <w:b w:val="0"/>
          <w:bCs/>
          <w:sz w:val="24"/>
          <w:szCs w:val="24"/>
        </w:rPr>
        <w:t>规定的时间内给予解决，超出此时间范围则向上级环保部门及时递交故障和解决问题的专项报告(报告同时提供给甲方备案)。</w:t>
      </w:r>
    </w:p>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4)乙方定期进行水质污染源</w:t>
      </w:r>
      <w:r>
        <w:rPr>
          <w:rFonts w:hint="eastAsia" w:ascii="仿宋" w:hAnsi="仿宋" w:eastAsia="仿宋" w:cs="仿宋"/>
          <w:b w:val="0"/>
          <w:bCs/>
          <w:sz w:val="24"/>
          <w:szCs w:val="24"/>
          <w:lang w:val="en-US" w:eastAsia="zh-CN"/>
        </w:rPr>
        <w:t>处理设施及</w:t>
      </w:r>
      <w:r>
        <w:rPr>
          <w:rFonts w:hint="eastAsia" w:ascii="仿宋" w:hAnsi="仿宋" w:eastAsia="仿宋" w:cs="仿宋"/>
          <w:b w:val="0"/>
          <w:bCs/>
          <w:sz w:val="24"/>
          <w:szCs w:val="24"/>
        </w:rPr>
        <w:t>自动监测设备现场巡检，进行必要的校准、维护、维修、耗材更换工作，以保证自动监测设备准确可靠运行。</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5)乙方按自动监测设备运行要求定期对系统进行校准，保证系统数据的准确有效。乙方制定操作及维修规范和日常保养制度，建立日常运行记录和设备台帐，建立相应的质量保证</w:t>
      </w:r>
      <w:r>
        <w:rPr>
          <w:rFonts w:hint="eastAsia" w:ascii="仿宋" w:hAnsi="仿宋" w:eastAsia="仿宋" w:cs="仿宋"/>
          <w:b w:val="0"/>
          <w:bCs/>
          <w:sz w:val="24"/>
          <w:szCs w:val="24"/>
          <w:lang w:val="en-US" w:eastAsia="zh-CN"/>
        </w:rPr>
        <w:t>体系，并接受环境保护部门的台账检查。</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6)设立固定的运营维护人员负责运行维护工作，向甲方提供运行人员的信息。</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7)乙方备有必要的耗材与配件及交通工具，以保障维修及时。</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8)乙方接受环保职能部门及甲方的监督、检査、考核，及时汇报重大事故或系统严重故障的情况。</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9)服务终止时，乙方保证委托运营的</w:t>
      </w:r>
      <w:r>
        <w:rPr>
          <w:rFonts w:hint="eastAsia" w:ascii="仿宋" w:hAnsi="仿宋" w:eastAsia="仿宋" w:cs="仿宋"/>
          <w:b w:val="0"/>
          <w:bCs/>
          <w:sz w:val="24"/>
          <w:szCs w:val="24"/>
        </w:rPr>
        <w:t>水质污染源</w:t>
      </w:r>
      <w:r>
        <w:rPr>
          <w:rFonts w:hint="eastAsia" w:ascii="仿宋" w:hAnsi="仿宋" w:eastAsia="仿宋" w:cs="仿宋"/>
          <w:b w:val="0"/>
          <w:bCs/>
          <w:sz w:val="24"/>
          <w:szCs w:val="24"/>
          <w:lang w:val="en-US" w:eastAsia="zh-CN"/>
        </w:rPr>
        <w:t>处理设施及在线系统处于完整、完好状态，所有运营期内的台账、档案资料齐全，须经甲方验收确认后方可终止。</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2.1.2运营承包方式与运营费用的核算</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1)运营承包方式</w:t>
      </w:r>
    </w:p>
    <w:p>
      <w:pPr>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乙方负责甲方</w:t>
      </w:r>
      <w:r>
        <w:rPr>
          <w:rFonts w:hint="eastAsia" w:ascii="仿宋" w:hAnsi="仿宋" w:eastAsia="仿宋" w:cs="仿宋"/>
          <w:b w:val="0"/>
          <w:bCs/>
          <w:sz w:val="24"/>
          <w:szCs w:val="24"/>
        </w:rPr>
        <w:t>水质污染源</w:t>
      </w:r>
      <w:r>
        <w:rPr>
          <w:rFonts w:hint="eastAsia" w:ascii="仿宋" w:hAnsi="仿宋" w:eastAsia="仿宋" w:cs="仿宋"/>
          <w:b w:val="0"/>
          <w:bCs/>
          <w:sz w:val="24"/>
          <w:szCs w:val="24"/>
          <w:lang w:val="en-US" w:eastAsia="zh-CN"/>
        </w:rPr>
        <w:t>处理设施及在线自动监测系统的日常维护、运营、维修耗材、校准、管理等工作，确保</w:t>
      </w:r>
      <w:r>
        <w:rPr>
          <w:rFonts w:hint="eastAsia" w:ascii="仿宋" w:hAnsi="仿宋" w:eastAsia="仿宋" w:cs="仿宋"/>
          <w:b w:val="0"/>
          <w:bCs/>
          <w:sz w:val="24"/>
          <w:szCs w:val="24"/>
        </w:rPr>
        <w:t>污染源</w:t>
      </w:r>
      <w:r>
        <w:rPr>
          <w:rFonts w:hint="eastAsia" w:ascii="仿宋" w:hAnsi="仿宋" w:eastAsia="仿宋" w:cs="仿宋"/>
          <w:b w:val="0"/>
          <w:bCs/>
          <w:sz w:val="24"/>
          <w:szCs w:val="24"/>
          <w:lang w:val="en-US" w:eastAsia="zh-CN"/>
        </w:rPr>
        <w:t>处理设施及在线监测系统的正常运转，确保数据准确可靠，确保配合环保部门落实节能减排任务。</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2.2人力资源配置</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2.2.1人员构成</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乙方安排一名服务工程师提供服务，每周定期巡检一次。</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2.2.2素质要求</w:t>
      </w:r>
    </w:p>
    <w:p>
      <w:pPr>
        <w:numPr>
          <w:ilvl w:val="0"/>
          <w:numId w:val="12"/>
        </w:num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有较强的敬业精神、科学的工作态度和相互配合的优良作风。</w:t>
      </w:r>
    </w:p>
    <w:p>
      <w:pPr>
        <w:numPr>
          <w:ilvl w:val="0"/>
          <w:numId w:val="12"/>
        </w:numPr>
        <w:spacing w:line="360" w:lineRule="auto"/>
        <w:ind w:left="0" w:leftChars="0" w:firstLine="0" w:firstLine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运营维护人员应对整个系统具有全面的了解和较强组织能力。</w:t>
      </w:r>
    </w:p>
    <w:p>
      <w:pPr>
        <w:numPr>
          <w:ilvl w:val="0"/>
          <w:numId w:val="12"/>
        </w:numPr>
        <w:spacing w:line="360" w:lineRule="auto"/>
        <w:ind w:left="0" w:leftChars="0" w:firstLine="0" w:firstLine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岗位人员对本专业应具有足够的技术知识和一定实际工作能力。</w:t>
      </w:r>
    </w:p>
    <w:p>
      <w:pPr>
        <w:numPr>
          <w:ilvl w:val="0"/>
          <w:numId w:val="12"/>
        </w:numPr>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b w:val="0"/>
          <w:bCs/>
          <w:sz w:val="24"/>
          <w:szCs w:val="24"/>
          <w:lang w:val="en-US" w:eastAsia="zh-CN"/>
        </w:rPr>
        <w:t>能熟练掌握仪器设备的操作和使用，能迅速判断和及时排除故障。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5)必须接受严格的技术培训和考核，并持有水质设备运维资格证书。</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2.2.3安全措施</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1)乙方接受安全生产监督职能部门及甲方检査和指导，采取必要的安全防护措施，消除事故隐患。乙方接受甲方及排污单位组织的安全教育培训。乙方要保证作业安全，如发生责任事故，一切后果由责任方承担。</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2)乙方严格遵守甲方及排污单位的各项安全规章制度。</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乙方在作业过程中必须认真执行国家《安全生产管理条例》及有关法律、法规、标准、安全操作规程及甲方相关安全管理制度和规定等。对违反以上要求造成人身伤害、火灾爆炸等一切事故，乙方承担全部责任及人身伤害赔偿;对甲方、第三人造成人员和财产损失的，乙方应当根据事故损失承担全部赔偿责任。事故损失计算由甲方及相关部门依据相关管理规定计算，并由双方确认，但仅包括直接损失。</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4)乙方在厂区作业期间，未经甲方及排污单位同意，乙方作业人员不允许到无关场所或进入生产区域厂房，否则由此造成的人身伤害和财产损失，由乙方担一切赔偿责任。</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5)对于甲方及排污单位现场不具备安全作业条件时，乙方应及时通知甲方及排污单位整改，整改后，乙方继续作业。</w:t>
      </w:r>
    </w:p>
    <w:p>
      <w:pPr>
        <w:spacing w:line="360" w:lineRule="auto"/>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三、日常运营管理</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3.1运营服务实施前提及要求</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1)污水处理设施的支持运行，是污水达标排放的前提和保证。</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2）在线监控系统的建立是为了强化对水污染源排放的监督管理，实行市场化运营是系统稳定运行的基本保证。</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3)在线监控系统由各企业按照环保局要求规范化安装，并有固定、规范监测用户，固定资产归安装单位所有</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4)运营方负责在线监控系统设备维修，维护管理工作。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5)按收费标准收取或支付在线监测系统运行管理、维护费用。</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6)在线监控系统安装完，经环保局主管部门验收合格后，我公司运营机构签订运行管理维护合同，以确保系统正常运行。</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7)各单位必须保障本单位在线监控系统的基本条件(水电)，并提供各种设备的安全保障。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8)我公司运营机构保证为各企业提供及时、全面、优质的运营服务。</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3.2工作人员巡检工作管理制度</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为了进一步保证水质污染源处理设施及在线监控设备正常运行，确保污水处理达标、在线自动监测仪器数据的准确，现对在线工作人员巡检规定如下：</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1)在线工作人员必须严格按照每周巡检工作周期计划表制定每天工作内容，合理安排，并认真执行，防止盲目性。</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2)维护工作人员在保证正常有序的巡检运作时，如有公司紧急通知或用户紧急告知设备故障时，必须迅速反应并于24小时内保证到位，及时排除突发设备故障，做到用户需要第一。</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3)在线工作人员在日常巡检工作进行中必须做到:</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工作态度认真</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操作程序规范</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情况记录清楚</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工票填写正确。</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4)维护工作人员在每次巡检完工后，必须及时填写本公司“巡检工作情况记录单”，并由对方用户单位管理人员签字确认。</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5)维护工作人员必须在每次巡检工作时，凡遇到设备严重故障必须更换零部件时，务必在工票内容格里写明零件名称、数量及原因，便于专人来统计汇总，信息反馈与质量分析。</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6)化验人员必须认真配制好标准仪器药液，确保监测数据正确。</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7)维护工作人员预先预先准备第二天巡检所需药液的种类与数量，保证在线巡检工作的正常运转。</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8)为了进一步加强化验配液的工作责任性，化验配液人员必须每次配液后，认真填写好“在线配液记录”。</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9)做到安全工作第一，在更换仪器药剂、硫酸操作时，务必穿带有关劳防用品，车辆出勤，集中思想，认真驾驶，注意交通安全，防止一切意外事故发生。</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以上每次记录由服务专人填写；汇总统计表由专人填写;做好维护工作原始记录工作和保管工作。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3.3设备巡检操作程序</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3.3.1目的</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为了进一步加强设备专业化运行的规范服务，坚持用户第一、质量第一的宗旨，确保处理设施与在线监测仪器的正常运转与数据准确。</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3.3.2操作程序</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1)检查仪器站房</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站房门窗的完好性和安全性是否符合规定；</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房屋的顶面和室内是否发现渗漏现象；</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室内照明、空调、换气扇等用电设备是否正常。</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仪器、设备检查</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检查仪器、设备是否正常工作运转；</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仪器各类化学药剂的定期更换；</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数据采集的工作数据联通情况是否正常。</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做好站房室内外工作；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做好仪器外观清洁工作；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做好站房内及周边清洁卫生工作。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5)填写设备巡检工作单，并由用户专人签名确认。</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3.4运行与日常维护</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1）定期检查处理设备水泵等工作情况；</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2）定期检查污泥活性；</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3）定期对氨氮及化学需氧量( CODCR)水质在线监测仪的零点和量程进行校正。</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2)每周一次对监测系统进行现场维护，现场维护内容包括:</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检查各台自动分析仪及辅助设备的运行状态和主要技术参数，判断运行是否正常。</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检査泵取水情况，检査内部管路是否通畅，仪器自动清洗装置是否运行正常，检查各自动分析仪的进样水管和排水管是否清洁，必要时进行清洗。定期清洗水泵和过滤网。</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检站房内电路系统、通讯系统是否正常。</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检查各仪器标准溶液和试剂是否在有效使用期内，按相关要求定期更换标准溶液和分析试剂。</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观察数椐采集传输仪运行情况，并检査连接处有无损坏，对数据进行抽样检査，对比自动分析仪、数据采集传输仪及上位机接收到的数据是否一致。</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3)每月现场维护内容包括:</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风机、原水泵、污泥回流泵、消化液回流泵等检查维修；</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污泥中菌种活性检查并添加营养液；</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化学需氧量( CODCR)水质在线自动监测仪:检查内部试管是否污染，必要时进行清洗。</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氨氮水质自动分析仪:仪器管路进行保养、清洁。</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每月的现场维护内容还包括对在线监测仪器进行一次保养，对水泵和取水管路、配水和进水系统、仪器分析系统进行维护。对数据存储/控制系统工作状态进行一次检查，对自动分析仪进行一次日常校验。检査监测仪器接地情况，检查监测用房防雷措施。</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4)每3个月至少检查化学需氧( CODCR)、氨氮水质在线自动监测仪的水样导管、排水导管、活塞和密封圈，必要时进行更换，检査氨氮水质自动分析仪气敏电极膜，必要时进行更换。</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5)每3个月进行现场校验，现场校验可采用自动校准或手动校准。现场校验内容包括重复性试验、零点漂移和量程漂移试验。</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6)其他预防性维护</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保持机房、实验室、监测用房(监控箱)的清洁，保持设备的清洁，避免仪器振动，保证监测用房内的温度、湿度满足仪器正常运行的需求。保持各仪器管路通畅，出水正常，无漏液。对电源控制器、空调等辅助设备要进行经常性检查。</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此处未提及的维护内容，按相关仪器说明书的要求进行仪器维护保养、易耗品的定期更换工作。</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操作人员在对系统进行日常维护时，应作好巡检记录，巡检记录应包含该系统运行状况、系统辅助设备运行状况、系统校准工作等必检项目和记录，以及仪器使用说明书中规定的其他检查项目和校准、维护保养、维修记录。</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8)仪器废液应送相关单位妥善处理。</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仪器的检修在线监测设备需要停用、拆除或者更换的，应当事先报经环境保护有关部门批准。我公司运营机构发现故障或接到故障通知，承诺在24小时内赶到现场进行处理。对于一些容易诊断的故障，如电磁阀控制失灵、膜裂损、气路堵塞、数据仪死机等，可携带工具或者备件到现场进行针对性维修，此类故障维修时间不应超过8小时，对不易诊断和维修的仪器故障，若72小时内无法排除，应安装备用仪器.</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仪器经过维修后，在正常使用和运行之前应确保维修内容全部完成，性能通过检测程序，按国家有关技术规定对仪器进行校准检查。若监测仪器进行了更换，在正常使用和运行之前应对仪器进行一次校验和比对实验，校验和比对试验方法按照环保标准要求进行校验及比对。</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若数据存储/控制仪发生故障，应在24小时内修复或更换，并保证已采集的数据不丢失我公司运营机构作为第三方运行的机构，备有足够的备品备件及备仪器用，对其使用情况进行定期清点，并根据实际需要进行増购，以不断调整和补充各种备品备件及备用仪器的存储数量。</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3.5技术档案</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3.5.1技术档案内容</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1)仪器的生产厂家、系统的安装单位和竣工验收记录。</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2)监测仪器校准、零点和量程漂移、重复性、实际水样比对和质控样试验的例行记录。</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3)监测(监控)仪器的运行调试报告、例行检査、维护保养记录。</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4)检测机构的检定或校验记录。</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5)仪器设备的检修、易耗品的定期更换记录。</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6)各种仪器的操作、使用、维护规范。</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3.52技术档案基本要求</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1)档案中的表格应采用统一的标准表格。</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2)记录应清晰、完整，现场记录应在现场及时填写，有专业维护人员的签字。可从技术档案中查阅和了解仪器设备的使用、维修和性能检验等全部历史资料，以对运行的各台仪器设备做出正确评价。</w:t>
      </w:r>
    </w:p>
    <w:p>
      <w:pPr>
        <w:spacing w:line="360" w:lineRule="auto"/>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3)与仪器相关的记录可放置在现场，所有记录均应妥善保存。</w:t>
      </w:r>
    </w:p>
    <w:p>
      <w:pPr>
        <w:pStyle w:val="30"/>
        <w:widowControl/>
        <w:numPr>
          <w:ilvl w:val="0"/>
          <w:numId w:val="0"/>
        </w:numPr>
        <w:spacing w:line="360" w:lineRule="auto"/>
        <w:jc w:val="both"/>
        <w:rPr>
          <w:rFonts w:hint="eastAsia" w:ascii="仿宋" w:hAnsi="仿宋" w:eastAsia="仿宋" w:cs="仿宋"/>
          <w:color w:val="auto"/>
          <w:kern w:val="2"/>
          <w:sz w:val="48"/>
          <w:szCs w:val="48"/>
        </w:rPr>
      </w:pPr>
    </w:p>
    <w:p>
      <w:pPr>
        <w:pStyle w:val="30"/>
        <w:widowControl/>
        <w:numPr>
          <w:ilvl w:val="0"/>
          <w:numId w:val="0"/>
        </w:numPr>
        <w:spacing w:line="360" w:lineRule="auto"/>
        <w:jc w:val="both"/>
        <w:rPr>
          <w:rFonts w:hint="eastAsia" w:ascii="仿宋" w:hAnsi="仿宋" w:eastAsia="仿宋" w:cs="仿宋"/>
          <w:color w:val="auto"/>
          <w:kern w:val="2"/>
          <w:sz w:val="48"/>
          <w:szCs w:val="48"/>
        </w:rPr>
      </w:pPr>
    </w:p>
    <w:p>
      <w:pPr>
        <w:pStyle w:val="30"/>
        <w:widowControl/>
        <w:numPr>
          <w:ilvl w:val="0"/>
          <w:numId w:val="0"/>
        </w:numPr>
        <w:spacing w:line="360" w:lineRule="auto"/>
        <w:jc w:val="both"/>
        <w:rPr>
          <w:rFonts w:hint="eastAsia" w:ascii="仿宋" w:hAnsi="仿宋" w:eastAsia="仿宋" w:cs="仿宋"/>
          <w:color w:val="auto"/>
          <w:kern w:val="2"/>
          <w:sz w:val="48"/>
          <w:szCs w:val="48"/>
        </w:rPr>
      </w:pPr>
    </w:p>
    <w:p>
      <w:pPr>
        <w:pStyle w:val="30"/>
        <w:widowControl/>
        <w:numPr>
          <w:ilvl w:val="0"/>
          <w:numId w:val="0"/>
        </w:numPr>
        <w:spacing w:line="360" w:lineRule="auto"/>
        <w:jc w:val="both"/>
        <w:rPr>
          <w:rFonts w:hint="eastAsia" w:ascii="仿宋" w:hAnsi="仿宋" w:eastAsia="仿宋" w:cs="仿宋"/>
          <w:color w:val="auto"/>
          <w:kern w:val="2"/>
          <w:sz w:val="48"/>
          <w:szCs w:val="48"/>
        </w:rPr>
      </w:pPr>
    </w:p>
    <w:p>
      <w:pPr>
        <w:pStyle w:val="4"/>
        <w:keepLines w:val="0"/>
        <w:numPr>
          <w:ilvl w:val="0"/>
          <w:numId w:val="2"/>
        </w:numPr>
        <w:spacing w:before="0" w:after="0" w:line="360" w:lineRule="auto"/>
        <w:ind w:left="0" w:leftChars="0" w:right="-441" w:rightChars="-210" w:firstLine="0" w:firstLineChars="0"/>
        <w:jc w:val="center"/>
        <w:rPr>
          <w:rFonts w:hint="eastAsia" w:ascii="仿宋" w:hAnsi="仿宋" w:eastAsia="仿宋" w:cs="仿宋"/>
          <w:color w:val="auto"/>
          <w:kern w:val="2"/>
          <w:sz w:val="48"/>
          <w:szCs w:val="48"/>
        </w:rPr>
      </w:pPr>
      <w:r>
        <w:rPr>
          <w:rFonts w:hint="eastAsia" w:ascii="仿宋" w:hAnsi="仿宋" w:eastAsia="仿宋" w:cs="仿宋"/>
          <w:color w:val="auto"/>
          <w:kern w:val="2"/>
          <w:sz w:val="48"/>
          <w:szCs w:val="48"/>
        </w:rPr>
        <w:t xml:space="preserve"> 采购合同</w:t>
      </w:r>
      <w:bookmarkEnd w:id="119"/>
      <w:bookmarkEnd w:id="120"/>
      <w:bookmarkEnd w:id="121"/>
      <w:bookmarkEnd w:id="122"/>
    </w:p>
    <w:p>
      <w:pPr>
        <w:spacing w:line="360" w:lineRule="auto"/>
        <w:jc w:val="center"/>
        <w:rPr>
          <w:rFonts w:hint="eastAsia" w:ascii="仿宋" w:hAnsi="仿宋" w:eastAsia="仿宋" w:cs="仿宋"/>
          <w:color w:val="auto"/>
        </w:rPr>
      </w:pP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 xml:space="preserve">仅供参考 </w:t>
      </w:r>
      <w:r>
        <w:rPr>
          <w:rFonts w:hint="eastAsia" w:ascii="仿宋" w:hAnsi="仿宋" w:eastAsia="仿宋" w:cs="仿宋"/>
          <w:b/>
          <w:bCs/>
          <w:color w:val="auto"/>
          <w:lang w:eastAsia="zh-CN"/>
        </w:rPr>
        <w:t>）</w:t>
      </w:r>
      <w:bookmarkStart w:id="123" w:name="_Toc130180844"/>
      <w:bookmarkStart w:id="124" w:name="_Toc130180739"/>
      <w:bookmarkStart w:id="125" w:name="_Toc130180925"/>
      <w:bookmarkStart w:id="126" w:name="_Toc31345"/>
    </w:p>
    <w:p>
      <w:pPr>
        <w:pStyle w:val="4"/>
        <w:tabs>
          <w:tab w:val="left" w:pos="0"/>
        </w:tabs>
        <w:autoSpaceDE w:val="0"/>
        <w:autoSpaceDN w:val="0"/>
        <w:adjustRightInd w:val="0"/>
        <w:spacing w:before="0" w:after="0" w:line="240" w:lineRule="atLeast"/>
        <w:rPr>
          <w:rFonts w:hint="eastAsia" w:ascii="仿宋" w:hAnsi="仿宋" w:eastAsia="仿宋" w:cs="仿宋"/>
          <w:sz w:val="28"/>
          <w:szCs w:val="28"/>
        </w:rPr>
      </w:pPr>
      <w:bookmarkStart w:id="127" w:name="_Toc4796"/>
      <w:bookmarkStart w:id="128" w:name="_Toc6865"/>
      <w:bookmarkStart w:id="129" w:name="_Toc4337"/>
      <w:bookmarkStart w:id="130" w:name="_Toc515647833"/>
      <w:r>
        <w:rPr>
          <w:rFonts w:hint="eastAsia" w:ascii="仿宋" w:hAnsi="仿宋" w:eastAsia="仿宋" w:cs="仿宋"/>
          <w:b w:val="0"/>
          <w:bCs w:val="0"/>
          <w:sz w:val="28"/>
          <w:szCs w:val="28"/>
        </w:rPr>
        <w:t>政府采购合同</w:t>
      </w:r>
      <w:bookmarkEnd w:id="127"/>
      <w:bookmarkEnd w:id="128"/>
      <w:bookmarkEnd w:id="129"/>
      <w:bookmarkEnd w:id="130"/>
      <w:bookmarkStart w:id="131" w:name="_Hlt487972895"/>
      <w:bookmarkEnd w:id="131"/>
      <w:bookmarkStart w:id="132" w:name="_Toc216513788"/>
      <w:bookmarkStart w:id="133" w:name="_Toc487900382"/>
    </w:p>
    <w:bookmarkEnd w:id="132"/>
    <w:bookmarkEnd w:id="133"/>
    <w:p>
      <w:pPr>
        <w:spacing w:line="240" w:lineRule="atLeast"/>
        <w:rPr>
          <w:rFonts w:hint="eastAsia" w:ascii="仿宋" w:hAnsi="仿宋" w:eastAsia="仿宋" w:cs="仿宋"/>
          <w:b/>
          <w:kern w:val="44"/>
          <w:sz w:val="28"/>
          <w:szCs w:val="28"/>
        </w:rPr>
      </w:pPr>
    </w:p>
    <w:p>
      <w:pPr>
        <w:spacing w:line="240" w:lineRule="atLeast"/>
        <w:ind w:left="-567" w:leftChars="-270" w:firstLine="540"/>
        <w:jc w:val="center"/>
        <w:rPr>
          <w:rFonts w:hint="eastAsia" w:ascii="仿宋" w:hAnsi="仿宋" w:eastAsia="仿宋" w:cs="仿宋"/>
          <w:kern w:val="44"/>
          <w:sz w:val="28"/>
          <w:szCs w:val="28"/>
        </w:rPr>
      </w:pPr>
      <w:r>
        <w:rPr>
          <w:rFonts w:hint="eastAsia" w:ascii="仿宋" w:hAnsi="仿宋" w:eastAsia="仿宋" w:cs="仿宋"/>
          <w:kern w:val="44"/>
          <w:sz w:val="28"/>
          <w:szCs w:val="28"/>
        </w:rPr>
        <w:t>请参照政府采购合同参考范本订立采购合同。</w:t>
      </w:r>
    </w:p>
    <w:p>
      <w:pPr>
        <w:spacing w:line="240" w:lineRule="atLeast"/>
        <w:rPr>
          <w:rFonts w:hint="eastAsia" w:ascii="仿宋" w:hAnsi="仿宋" w:eastAsia="仿宋" w:cs="仿宋"/>
          <w:sz w:val="28"/>
          <w:szCs w:val="28"/>
        </w:rPr>
      </w:pPr>
    </w:p>
    <w:p>
      <w:pPr>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480" w:lineRule="auto"/>
        <w:rPr>
          <w:rFonts w:hint="eastAsia" w:ascii="仿宋" w:hAnsi="仿宋" w:eastAsia="仿宋" w:cs="仿宋"/>
          <w:b/>
          <w:sz w:val="28"/>
          <w:szCs w:val="28"/>
        </w:rPr>
      </w:pPr>
    </w:p>
    <w:p>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政府采购合同</w:t>
      </w:r>
    </w:p>
    <w:p>
      <w:pPr>
        <w:pStyle w:val="55"/>
        <w:ind w:firstLine="0"/>
        <w:rPr>
          <w:rFonts w:hint="eastAsia" w:ascii="仿宋" w:hAnsi="仿宋" w:eastAsia="仿宋" w:cs="仿宋"/>
          <w:sz w:val="28"/>
          <w:szCs w:val="28"/>
        </w:rPr>
      </w:pPr>
    </w:p>
    <w:p>
      <w:pPr>
        <w:pStyle w:val="55"/>
        <w:ind w:firstLine="0"/>
        <w:rPr>
          <w:rFonts w:hint="eastAsia" w:ascii="仿宋" w:hAnsi="仿宋" w:eastAsia="仿宋" w:cs="仿宋"/>
          <w:sz w:val="28"/>
          <w:szCs w:val="28"/>
        </w:rPr>
      </w:pPr>
    </w:p>
    <w:p>
      <w:pPr>
        <w:pStyle w:val="55"/>
        <w:ind w:firstLine="0"/>
        <w:rPr>
          <w:rFonts w:hint="eastAsia" w:ascii="仿宋" w:hAnsi="仿宋" w:eastAsia="仿宋" w:cs="仿宋"/>
          <w:sz w:val="28"/>
          <w:szCs w:val="28"/>
        </w:rPr>
      </w:pPr>
    </w:p>
    <w:p>
      <w:pPr>
        <w:pStyle w:val="55"/>
        <w:ind w:firstLine="0"/>
        <w:rPr>
          <w:rFonts w:hint="eastAsia" w:ascii="仿宋" w:hAnsi="仿宋" w:eastAsia="仿宋" w:cs="仿宋"/>
          <w:sz w:val="28"/>
          <w:szCs w:val="28"/>
        </w:rPr>
      </w:pPr>
    </w:p>
    <w:p>
      <w:pPr>
        <w:spacing w:before="120" w:line="22" w:lineRule="atLeast"/>
        <w:rPr>
          <w:rFonts w:hint="eastAsia" w:ascii="仿宋" w:hAnsi="仿宋" w:eastAsia="仿宋" w:cs="仿宋"/>
          <w:sz w:val="28"/>
          <w:szCs w:val="28"/>
        </w:rPr>
      </w:pPr>
    </w:p>
    <w:p>
      <w:pPr>
        <w:spacing w:before="120" w:line="22" w:lineRule="atLeast"/>
        <w:ind w:left="96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p>
      <w:pPr>
        <w:spacing w:before="120" w:line="22" w:lineRule="atLeast"/>
        <w:ind w:left="960"/>
        <w:rPr>
          <w:rFonts w:hint="eastAsia" w:ascii="仿宋" w:hAnsi="仿宋" w:eastAsia="仿宋" w:cs="仿宋"/>
          <w:sz w:val="28"/>
          <w:szCs w:val="28"/>
          <w:u w:val="single"/>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                                       </w:t>
      </w:r>
    </w:p>
    <w:p>
      <w:pPr>
        <w:spacing w:before="120" w:line="22" w:lineRule="atLeast"/>
        <w:rPr>
          <w:rFonts w:hint="eastAsia" w:ascii="仿宋" w:hAnsi="仿宋" w:eastAsia="仿宋" w:cs="仿宋"/>
          <w:sz w:val="28"/>
          <w:szCs w:val="28"/>
        </w:rPr>
      </w:pPr>
    </w:p>
    <w:p>
      <w:pPr>
        <w:spacing w:before="120" w:line="22" w:lineRule="atLeast"/>
        <w:ind w:left="960"/>
        <w:rPr>
          <w:rFonts w:hint="eastAsia" w:ascii="仿宋" w:hAnsi="仿宋" w:eastAsia="仿宋" w:cs="仿宋"/>
          <w:sz w:val="28"/>
          <w:szCs w:val="28"/>
          <w:u w:val="single"/>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p>
    <w:p>
      <w:pPr>
        <w:spacing w:before="120" w:line="22" w:lineRule="atLeast"/>
        <w:rPr>
          <w:rFonts w:hint="eastAsia" w:ascii="仿宋" w:hAnsi="仿宋" w:eastAsia="仿宋" w:cs="仿宋"/>
          <w:sz w:val="28"/>
          <w:szCs w:val="28"/>
        </w:rPr>
      </w:pPr>
    </w:p>
    <w:p>
      <w:pPr>
        <w:spacing w:before="120" w:line="22" w:lineRule="atLeast"/>
        <w:ind w:firstLine="1120" w:firstLineChars="400"/>
        <w:rPr>
          <w:rFonts w:hint="eastAsia" w:ascii="仿宋" w:hAnsi="仿宋" w:eastAsia="仿宋" w:cs="仿宋"/>
          <w:sz w:val="28"/>
          <w:szCs w:val="28"/>
          <w:u w:val="single"/>
        </w:rPr>
      </w:pPr>
      <w:r>
        <w:rPr>
          <w:rFonts w:hint="eastAsia" w:ascii="仿宋" w:hAnsi="仿宋" w:eastAsia="仿宋" w:cs="仿宋"/>
          <w:sz w:val="28"/>
          <w:szCs w:val="28"/>
        </w:rPr>
        <w:t>签订地：</w:t>
      </w:r>
      <w:r>
        <w:rPr>
          <w:rFonts w:hint="eastAsia" w:ascii="仿宋" w:hAnsi="仿宋" w:eastAsia="仿宋" w:cs="仿宋"/>
          <w:sz w:val="28"/>
          <w:szCs w:val="28"/>
          <w:u w:val="single"/>
        </w:rPr>
        <w:t xml:space="preserve">                                     </w:t>
      </w:r>
    </w:p>
    <w:p>
      <w:pPr>
        <w:spacing w:before="120" w:line="22" w:lineRule="atLeast"/>
        <w:rPr>
          <w:rFonts w:hint="eastAsia" w:ascii="仿宋" w:hAnsi="仿宋" w:eastAsia="仿宋" w:cs="仿宋"/>
          <w:sz w:val="28"/>
          <w:szCs w:val="28"/>
        </w:rPr>
      </w:pPr>
    </w:p>
    <w:p>
      <w:pPr>
        <w:spacing w:before="120" w:line="22" w:lineRule="atLeast"/>
        <w:ind w:firstLine="1120" w:firstLineChars="400"/>
        <w:rPr>
          <w:rFonts w:hint="eastAsia" w:ascii="仿宋" w:hAnsi="仿宋" w:eastAsia="仿宋" w:cs="仿宋"/>
          <w:sz w:val="28"/>
          <w:szCs w:val="28"/>
          <w:u w:val="single"/>
        </w:rPr>
      </w:pPr>
      <w:r>
        <w:rPr>
          <w:rFonts w:hint="eastAsia" w:ascii="仿宋" w:hAnsi="仿宋" w:eastAsia="仿宋" w:cs="仿宋"/>
          <w:sz w:val="28"/>
          <w:szCs w:val="28"/>
        </w:rPr>
        <w:t>签订日期：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utoSpaceDE w:val="0"/>
        <w:autoSpaceDN w:val="0"/>
        <w:adjustRightInd w:val="0"/>
        <w:spacing w:line="600" w:lineRule="exact"/>
        <w:ind w:firstLine="640"/>
        <w:jc w:val="center"/>
        <w:rPr>
          <w:rFonts w:hint="eastAsia" w:ascii="仿宋" w:hAnsi="仿宋" w:eastAsia="仿宋" w:cs="仿宋"/>
          <w:sz w:val="28"/>
          <w:szCs w:val="28"/>
        </w:rPr>
        <w:sectPr>
          <w:headerReference r:id="rId6" w:type="default"/>
          <w:footerReference r:id="rId7" w:type="default"/>
          <w:type w:val="nextColumn"/>
          <w:pgSz w:w="11907" w:h="16840"/>
          <w:pgMar w:top="1474" w:right="1814" w:bottom="1474" w:left="1814" w:header="851" w:footer="851" w:gutter="0"/>
          <w:cols w:space="720" w:num="1"/>
          <w:docGrid w:linePitch="462" w:charSpace="0"/>
        </w:sect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特克斯县中医医院</w:t>
      </w:r>
      <w:r>
        <w:rPr>
          <w:rFonts w:hint="eastAsia" w:ascii="仿宋" w:hAnsi="仿宋" w:eastAsia="仿宋" w:cs="仿宋"/>
          <w:sz w:val="28"/>
          <w:szCs w:val="28"/>
          <w:u w:val="single"/>
        </w:rPr>
        <w:t xml:space="preserve">  </w:t>
      </w:r>
      <w:r>
        <w:rPr>
          <w:rFonts w:hint="eastAsia" w:ascii="仿宋" w:hAnsi="仿宋" w:eastAsia="仿宋" w:cs="仿宋"/>
          <w:sz w:val="28"/>
          <w:szCs w:val="28"/>
        </w:rPr>
        <w:t>以</w:t>
      </w:r>
      <w:r>
        <w:rPr>
          <w:rFonts w:hint="eastAsia" w:ascii="仿宋" w:hAnsi="仿宋" w:eastAsia="仿宋" w:cs="仿宋"/>
          <w:sz w:val="28"/>
          <w:szCs w:val="28"/>
          <w:u w:val="single"/>
        </w:rPr>
        <w:t xml:space="preserve">  竞争性磋商方式  </w:t>
      </w:r>
      <w:r>
        <w:rPr>
          <w:rFonts w:hint="eastAsia" w:ascii="仿宋" w:hAnsi="仿宋" w:eastAsia="仿宋" w:cs="仿宋"/>
          <w:sz w:val="28"/>
          <w:szCs w:val="28"/>
        </w:rPr>
        <w:t>对</w:t>
      </w:r>
      <w:r>
        <w:rPr>
          <w:rFonts w:hint="eastAsia" w:ascii="仿宋" w:hAnsi="仿宋" w:eastAsia="仿宋" w:cs="仿宋"/>
          <w:sz w:val="28"/>
          <w:szCs w:val="28"/>
          <w:u w:val="single"/>
          <w:lang w:eastAsia="zh-CN"/>
        </w:rPr>
        <w:t>特克斯县中医医院污水处理及在线监测运维采购项目二次</w:t>
      </w:r>
      <w:r>
        <w:rPr>
          <w:rFonts w:hint="eastAsia" w:ascii="仿宋" w:hAnsi="仿宋" w:eastAsia="仿宋" w:cs="仿宋"/>
          <w:sz w:val="28"/>
          <w:szCs w:val="28"/>
        </w:rPr>
        <w:t>项目进行了采购。经</w:t>
      </w:r>
      <w:r>
        <w:rPr>
          <w:rFonts w:hint="eastAsia" w:ascii="仿宋" w:hAnsi="仿宋" w:eastAsia="仿宋" w:cs="仿宋"/>
          <w:sz w:val="28"/>
          <w:szCs w:val="28"/>
          <w:u w:val="single"/>
        </w:rPr>
        <w:t xml:space="preserve">   （相关评定主体名称）   </w:t>
      </w:r>
      <w:r>
        <w:rPr>
          <w:rFonts w:hint="eastAsia" w:ascii="仿宋" w:hAnsi="仿宋" w:eastAsia="仿宋" w:cs="仿宋"/>
          <w:sz w:val="28"/>
          <w:szCs w:val="28"/>
        </w:rPr>
        <w:t>评定，</w:t>
      </w:r>
      <w:r>
        <w:rPr>
          <w:rFonts w:hint="eastAsia" w:ascii="仿宋" w:hAnsi="仿宋" w:eastAsia="仿宋" w:cs="仿宋"/>
          <w:sz w:val="28"/>
          <w:szCs w:val="28"/>
          <w:u w:val="single"/>
        </w:rPr>
        <w:t xml:space="preserve">   （中标供应商名称） </w:t>
      </w:r>
      <w:r>
        <w:rPr>
          <w:rFonts w:hint="eastAsia" w:ascii="仿宋" w:hAnsi="仿宋" w:eastAsia="仿宋" w:cs="仿宋"/>
          <w:sz w:val="28"/>
          <w:szCs w:val="28"/>
        </w:rPr>
        <w:t>为该项目中标供应商。现于中标通知书发出之日起三十日内，按照采购文件确定的事项签订本合同。</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根据《中华人民共和国合同法》、《中华人民共和国政府采购法》等相关法律法规之规定，按照平等、自愿、公平和诚实信用的原则，经</w:t>
      </w:r>
      <w:r>
        <w:rPr>
          <w:rFonts w:hint="eastAsia" w:ascii="仿宋" w:hAnsi="仿宋" w:eastAsia="仿宋" w:cs="仿宋"/>
          <w:sz w:val="28"/>
          <w:szCs w:val="28"/>
          <w:u w:val="single"/>
        </w:rPr>
        <w:t xml:space="preserve">   （采购人名称）   </w:t>
      </w:r>
      <w:r>
        <w:rPr>
          <w:rFonts w:hint="eastAsia" w:ascii="仿宋" w:hAnsi="仿宋" w:eastAsia="仿宋" w:cs="仿宋"/>
          <w:sz w:val="28"/>
          <w:szCs w:val="28"/>
          <w:lang w:val="zh-CN"/>
        </w:rPr>
        <w:t>(以下简称：甲方)和</w:t>
      </w:r>
      <w:r>
        <w:rPr>
          <w:rFonts w:hint="eastAsia" w:ascii="仿宋" w:hAnsi="仿宋" w:eastAsia="仿宋" w:cs="仿宋"/>
          <w:sz w:val="28"/>
          <w:szCs w:val="28"/>
          <w:u w:val="single"/>
        </w:rPr>
        <w:t xml:space="preserve">   （中标供应商名称）   </w:t>
      </w:r>
      <w:r>
        <w:rPr>
          <w:rFonts w:hint="eastAsia" w:ascii="仿宋" w:hAnsi="仿宋" w:eastAsia="仿宋" w:cs="仿宋"/>
          <w:sz w:val="28"/>
          <w:szCs w:val="28"/>
          <w:lang w:val="zh-CN"/>
        </w:rPr>
        <w:t>(以下简称：乙方)协商一致，约定以下合同</w:t>
      </w:r>
      <w:r>
        <w:rPr>
          <w:rFonts w:hint="eastAsia" w:ascii="仿宋" w:hAnsi="仿宋" w:eastAsia="仿宋" w:cs="仿宋"/>
          <w:sz w:val="28"/>
          <w:szCs w:val="28"/>
        </w:rPr>
        <w:t>条款，以兹共同遵守、全面履行。</w:t>
      </w:r>
    </w:p>
    <w:p>
      <w:pPr>
        <w:spacing w:line="560" w:lineRule="exact"/>
        <w:ind w:firstLine="562" w:firstLineChars="200"/>
        <w:outlineLvl w:val="0"/>
        <w:rPr>
          <w:rFonts w:hint="eastAsia" w:ascii="仿宋" w:hAnsi="仿宋" w:eastAsia="仿宋" w:cs="仿宋"/>
          <w:sz w:val="28"/>
          <w:szCs w:val="28"/>
        </w:rPr>
      </w:pPr>
      <w:bookmarkStart w:id="134" w:name="_Toc15367"/>
      <w:bookmarkStart w:id="135" w:name="_Toc28855"/>
      <w:bookmarkStart w:id="136" w:name="_Toc19273"/>
      <w:bookmarkStart w:id="137" w:name="_Toc20421"/>
      <w:bookmarkStart w:id="138" w:name="_Toc22967"/>
      <w:r>
        <w:rPr>
          <w:rFonts w:hint="eastAsia" w:ascii="仿宋" w:hAnsi="仿宋" w:eastAsia="仿宋" w:cs="仿宋"/>
          <w:b/>
          <w:sz w:val="28"/>
          <w:szCs w:val="28"/>
        </w:rPr>
        <w:t>1.1 合同组成部分</w:t>
      </w:r>
      <w:bookmarkEnd w:id="134"/>
      <w:bookmarkEnd w:id="135"/>
      <w:bookmarkEnd w:id="136"/>
      <w:bookmarkEnd w:id="137"/>
      <w:bookmarkEnd w:id="138"/>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本合同及其补充合同、变更协议；</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中标通知书；</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 投标文件（含澄清或者说明文件）；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招标文件（含澄清或者修改文件）；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其他相关采购文件。</w:t>
      </w:r>
    </w:p>
    <w:p>
      <w:pPr>
        <w:spacing w:line="560" w:lineRule="exact"/>
        <w:ind w:firstLine="562" w:firstLineChars="200"/>
        <w:outlineLvl w:val="0"/>
        <w:rPr>
          <w:rFonts w:hint="eastAsia" w:ascii="仿宋" w:hAnsi="仿宋" w:eastAsia="仿宋" w:cs="仿宋"/>
          <w:b/>
          <w:sz w:val="28"/>
          <w:szCs w:val="28"/>
        </w:rPr>
      </w:pPr>
      <w:bookmarkStart w:id="139" w:name="_Toc2918"/>
      <w:bookmarkStart w:id="140" w:name="_Toc6773"/>
      <w:bookmarkStart w:id="141" w:name="_Toc18585"/>
      <w:bookmarkStart w:id="142" w:name="_Toc6311"/>
      <w:bookmarkStart w:id="143" w:name="_Toc22185"/>
      <w:r>
        <w:rPr>
          <w:rFonts w:hint="eastAsia" w:ascii="仿宋" w:hAnsi="仿宋" w:eastAsia="仿宋" w:cs="仿宋"/>
          <w:b/>
          <w:sz w:val="28"/>
          <w:szCs w:val="28"/>
        </w:rPr>
        <w:t>1.2 标的</w:t>
      </w:r>
      <w:bookmarkEnd w:id="139"/>
      <w:bookmarkEnd w:id="140"/>
      <w:bookmarkEnd w:id="141"/>
      <w:bookmarkEnd w:id="142"/>
      <w:bookmarkEnd w:id="143"/>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1.2.1 标的名称：</w:t>
      </w:r>
      <w:r>
        <w:rPr>
          <w:rFonts w:hint="eastAsia" w:ascii="仿宋" w:hAnsi="仿宋" w:eastAsia="仿宋" w:cs="仿宋"/>
          <w:sz w:val="28"/>
          <w:szCs w:val="28"/>
          <w:u w:val="single"/>
          <w:lang w:val="en-US" w:eastAsia="zh-CN"/>
        </w:rPr>
        <w:t>特克斯县中医医院污水处理及在线监测运维采购项目二次</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1.2.2 标的数量：</w:t>
      </w:r>
      <w:r>
        <w:rPr>
          <w:rFonts w:hint="eastAsia" w:ascii="仿宋" w:hAnsi="仿宋" w:eastAsia="仿宋" w:cs="仿宋"/>
          <w:sz w:val="28"/>
          <w:szCs w:val="28"/>
          <w:u w:val="single"/>
        </w:rPr>
        <w:t>按磋商文件要求（详见清单）</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1.2.3 标的质量：</w:t>
      </w:r>
      <w:r>
        <w:rPr>
          <w:rFonts w:hint="eastAsia" w:ascii="仿宋" w:hAnsi="仿宋" w:eastAsia="仿宋" w:cs="仿宋"/>
          <w:sz w:val="28"/>
          <w:szCs w:val="28"/>
          <w:u w:val="single"/>
        </w:rPr>
        <w:t>按磋商文件要求和投标文件的实际填写。</w:t>
      </w:r>
    </w:p>
    <w:p>
      <w:pPr>
        <w:spacing w:line="560" w:lineRule="exact"/>
        <w:ind w:firstLine="562" w:firstLineChars="200"/>
        <w:outlineLvl w:val="0"/>
        <w:rPr>
          <w:rFonts w:hint="eastAsia" w:ascii="仿宋" w:hAnsi="仿宋" w:eastAsia="仿宋" w:cs="仿宋"/>
          <w:b/>
          <w:sz w:val="28"/>
          <w:szCs w:val="28"/>
        </w:rPr>
      </w:pPr>
      <w:bookmarkStart w:id="144" w:name="_Toc5635"/>
      <w:bookmarkStart w:id="145" w:name="_Toc1386"/>
      <w:bookmarkStart w:id="146" w:name="_Toc13918"/>
      <w:bookmarkStart w:id="147" w:name="_Toc4929"/>
      <w:bookmarkStart w:id="148" w:name="_Toc21124"/>
      <w:r>
        <w:rPr>
          <w:rFonts w:hint="eastAsia" w:ascii="仿宋" w:hAnsi="仿宋" w:eastAsia="仿宋" w:cs="仿宋"/>
          <w:b/>
          <w:sz w:val="28"/>
          <w:szCs w:val="28"/>
        </w:rPr>
        <w:t>1.3 价款</w:t>
      </w:r>
      <w:bookmarkEnd w:id="144"/>
      <w:bookmarkEnd w:id="145"/>
      <w:bookmarkEnd w:id="146"/>
      <w:bookmarkEnd w:id="147"/>
      <w:bookmarkEnd w:id="148"/>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本合同总价为：￥</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元人民币）。</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7"/>
              <w:spacing w:line="560" w:lineRule="exact"/>
              <w:ind w:firstLine="200"/>
              <w:jc w:val="center"/>
              <w:rPr>
                <w:rFonts w:hint="eastAsia" w:ascii="仿宋" w:hAnsi="仿宋" w:eastAsia="仿宋" w:cs="仿宋"/>
                <w:color w:val="000000"/>
                <w:kern w:val="2"/>
                <w:sz w:val="28"/>
                <w:szCs w:val="28"/>
              </w:rPr>
            </w:pPr>
          </w:p>
        </w:tc>
      </w:tr>
    </w:tbl>
    <w:p>
      <w:pPr>
        <w:spacing w:line="560" w:lineRule="exact"/>
        <w:ind w:firstLine="562" w:firstLineChars="200"/>
        <w:outlineLvl w:val="0"/>
        <w:rPr>
          <w:rFonts w:hint="eastAsia" w:ascii="仿宋" w:hAnsi="仿宋" w:eastAsia="仿宋" w:cs="仿宋"/>
          <w:b/>
          <w:sz w:val="28"/>
          <w:szCs w:val="28"/>
        </w:rPr>
      </w:pPr>
      <w:bookmarkStart w:id="149" w:name="_Toc30158"/>
      <w:bookmarkStart w:id="150" w:name="_Toc3654"/>
      <w:bookmarkStart w:id="151" w:name="_Toc26916"/>
      <w:bookmarkStart w:id="152" w:name="_Toc14993"/>
      <w:r>
        <w:rPr>
          <w:rFonts w:hint="eastAsia" w:ascii="仿宋" w:hAnsi="仿宋" w:eastAsia="仿宋" w:cs="仿宋"/>
          <w:b/>
          <w:sz w:val="28"/>
          <w:szCs w:val="28"/>
        </w:rPr>
        <w:t>1.4 付款方式和发票开具方式</w:t>
      </w:r>
      <w:bookmarkEnd w:id="149"/>
      <w:bookmarkEnd w:id="150"/>
      <w:bookmarkEnd w:id="151"/>
      <w:bookmarkEnd w:id="152"/>
    </w:p>
    <w:p>
      <w:pPr>
        <w:ind w:firstLine="560" w:firstLineChars="200"/>
        <w:rPr>
          <w:rFonts w:hint="eastAsia" w:ascii="仿宋" w:hAnsi="仿宋" w:eastAsia="仿宋" w:cs="仿宋"/>
          <w:sz w:val="28"/>
          <w:szCs w:val="28"/>
        </w:rPr>
      </w:pPr>
      <w:r>
        <w:rPr>
          <w:rFonts w:hint="eastAsia" w:ascii="仿宋" w:hAnsi="仿宋" w:eastAsia="仿宋" w:cs="仿宋"/>
          <w:sz w:val="28"/>
          <w:szCs w:val="28"/>
        </w:rPr>
        <w:t>1.4.1付款方式：</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1.4.2发票开具方式：乙方提供</w:t>
      </w:r>
    </w:p>
    <w:p>
      <w:pPr>
        <w:spacing w:line="560" w:lineRule="exact"/>
        <w:ind w:firstLine="562" w:firstLineChars="200"/>
        <w:outlineLvl w:val="0"/>
        <w:rPr>
          <w:rFonts w:hint="eastAsia" w:ascii="仿宋" w:hAnsi="仿宋" w:eastAsia="仿宋" w:cs="仿宋"/>
          <w:b/>
          <w:sz w:val="28"/>
          <w:szCs w:val="28"/>
        </w:rPr>
      </w:pPr>
      <w:bookmarkStart w:id="153" w:name="_Toc31421"/>
      <w:bookmarkStart w:id="154" w:name="_Toc8772"/>
      <w:bookmarkStart w:id="155" w:name="_Toc11108"/>
      <w:bookmarkStart w:id="156" w:name="_Toc4760"/>
      <w:bookmarkStart w:id="157" w:name="_Toc3625"/>
      <w:r>
        <w:rPr>
          <w:rFonts w:hint="eastAsia" w:ascii="仿宋" w:hAnsi="仿宋" w:eastAsia="仿宋" w:cs="仿宋"/>
          <w:b/>
          <w:sz w:val="28"/>
          <w:szCs w:val="28"/>
        </w:rPr>
        <w:t>1.5 履行期限、地点和方式</w:t>
      </w:r>
      <w:bookmarkEnd w:id="153"/>
      <w:bookmarkEnd w:id="154"/>
      <w:bookmarkEnd w:id="155"/>
      <w:bookmarkEnd w:id="156"/>
      <w:bookmarkEnd w:id="157"/>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1.5.1 履行期限：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年</w:t>
      </w:r>
      <w:r>
        <w:rPr>
          <w:rFonts w:hint="eastAsia" w:ascii="仿宋" w:hAnsi="仿宋" w:eastAsia="仿宋" w:cs="仿宋"/>
          <w:sz w:val="28"/>
          <w:szCs w:val="28"/>
          <w:u w:val="single"/>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1.5.2 履行地点：</w:t>
      </w:r>
      <w:r>
        <w:rPr>
          <w:rFonts w:hint="eastAsia" w:ascii="仿宋" w:hAnsi="仿宋" w:eastAsia="仿宋" w:cs="仿宋"/>
          <w:sz w:val="28"/>
          <w:szCs w:val="28"/>
          <w:lang w:val="en-US" w:eastAsia="zh-CN"/>
        </w:rPr>
        <w:t>特克斯县中医医院</w:t>
      </w:r>
      <w:r>
        <w:rPr>
          <w:rFonts w:hint="eastAsia" w:ascii="仿宋" w:hAnsi="仿宋" w:eastAsia="仿宋" w:cs="仿宋"/>
          <w:sz w:val="28"/>
          <w:szCs w:val="28"/>
          <w:lang w:eastAsia="zh-CN"/>
        </w:rPr>
        <w:t>指定地点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1.5.3 履行方式：现场验收。</w:t>
      </w:r>
    </w:p>
    <w:p>
      <w:pPr>
        <w:spacing w:line="560" w:lineRule="exact"/>
        <w:ind w:firstLine="562" w:firstLineChars="200"/>
        <w:outlineLvl w:val="0"/>
        <w:rPr>
          <w:rFonts w:hint="eastAsia" w:ascii="仿宋" w:hAnsi="仿宋" w:eastAsia="仿宋" w:cs="仿宋"/>
          <w:sz w:val="28"/>
          <w:szCs w:val="28"/>
          <w:u w:val="single"/>
        </w:rPr>
      </w:pPr>
      <w:bookmarkStart w:id="158" w:name="_Toc5698"/>
      <w:bookmarkStart w:id="159" w:name="_Toc3079"/>
      <w:bookmarkStart w:id="160" w:name="_Toc24662"/>
      <w:bookmarkStart w:id="161" w:name="_Toc2375"/>
      <w:bookmarkStart w:id="162" w:name="_Toc8586"/>
      <w:r>
        <w:rPr>
          <w:rFonts w:hint="eastAsia" w:ascii="仿宋" w:hAnsi="仿宋" w:eastAsia="仿宋" w:cs="仿宋"/>
          <w:b/>
          <w:sz w:val="28"/>
          <w:szCs w:val="28"/>
        </w:rPr>
        <w:t>1.6 违约责任</w:t>
      </w:r>
      <w:bookmarkEnd w:id="158"/>
      <w:bookmarkEnd w:id="159"/>
      <w:bookmarkEnd w:id="160"/>
      <w:bookmarkEnd w:id="161"/>
      <w:bookmarkEnd w:id="162"/>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8"/>
          <w:szCs w:val="28"/>
          <w:u w:val="single"/>
        </w:rPr>
        <w:t xml:space="preserve"> 0.1 </w:t>
      </w:r>
      <w:r>
        <w:rPr>
          <w:rFonts w:hint="eastAsia" w:ascii="仿宋" w:hAnsi="仿宋" w:eastAsia="仿宋" w:cs="仿宋"/>
          <w:sz w:val="28"/>
          <w:szCs w:val="28"/>
        </w:rPr>
        <w:t>%计算，最高限额为本合同总价的</w:t>
      </w:r>
      <w:r>
        <w:rPr>
          <w:rFonts w:hint="eastAsia" w:ascii="仿宋" w:hAnsi="仿宋" w:eastAsia="仿宋" w:cs="仿宋"/>
          <w:sz w:val="28"/>
          <w:szCs w:val="28"/>
          <w:u w:val="single"/>
        </w:rPr>
        <w:t xml:space="preserve">  20 </w:t>
      </w:r>
      <w:r>
        <w:rPr>
          <w:rFonts w:hint="eastAsia" w:ascii="仿宋" w:hAnsi="仿宋" w:eastAsia="仿宋" w:cs="仿宋"/>
          <w:sz w:val="28"/>
          <w:szCs w:val="28"/>
        </w:rPr>
        <w:t>%；迟延履行的违约金计算数额达到前述最高限额之日起，甲方有权在要求乙方支付违约金的同时，书面通知乙方解除本合同；</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8"/>
          <w:szCs w:val="28"/>
          <w:u w:val="single"/>
        </w:rPr>
        <w:t>0.1</w:t>
      </w:r>
      <w:r>
        <w:rPr>
          <w:rFonts w:hint="eastAsia" w:ascii="仿宋" w:hAnsi="仿宋" w:eastAsia="仿宋" w:cs="仿宋"/>
          <w:sz w:val="28"/>
          <w:szCs w:val="28"/>
        </w:rPr>
        <w:t>%计算，最高限额为本合同总价的</w:t>
      </w:r>
      <w:r>
        <w:rPr>
          <w:rFonts w:hint="eastAsia" w:ascii="仿宋" w:hAnsi="仿宋" w:eastAsia="仿宋" w:cs="仿宋"/>
          <w:sz w:val="28"/>
          <w:szCs w:val="28"/>
          <w:u w:val="single"/>
        </w:rPr>
        <w:t xml:space="preserve"> 10</w:t>
      </w:r>
      <w:r>
        <w:rPr>
          <w:rFonts w:hint="eastAsia" w:ascii="仿宋" w:hAnsi="仿宋" w:eastAsia="仿宋" w:cs="仿宋"/>
          <w:sz w:val="28"/>
          <w:szCs w:val="28"/>
        </w:rPr>
        <w:t>%；迟延付款的违约金计算数额达到前述最高限额之日起，乙方有权在要求甲方支付违约金的同时，书面通知甲方解除本合同；</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562" w:firstLineChars="200"/>
        <w:outlineLvl w:val="0"/>
        <w:rPr>
          <w:rFonts w:hint="eastAsia" w:ascii="仿宋" w:hAnsi="仿宋" w:eastAsia="仿宋" w:cs="仿宋"/>
          <w:b/>
          <w:sz w:val="28"/>
          <w:szCs w:val="28"/>
        </w:rPr>
      </w:pPr>
      <w:bookmarkStart w:id="163" w:name="_Toc32454"/>
      <w:bookmarkStart w:id="164" w:name="_Toc9497"/>
      <w:bookmarkStart w:id="165" w:name="_Toc18683"/>
      <w:bookmarkStart w:id="166" w:name="_Toc26807"/>
      <w:bookmarkStart w:id="167" w:name="_Toc30329"/>
      <w:r>
        <w:rPr>
          <w:rFonts w:hint="eastAsia" w:ascii="仿宋" w:hAnsi="仿宋" w:eastAsia="仿宋" w:cs="仿宋"/>
          <w:b/>
          <w:sz w:val="28"/>
          <w:szCs w:val="28"/>
        </w:rPr>
        <w:t>1.7 合同争议的解决</w:t>
      </w:r>
      <w:bookmarkEnd w:id="163"/>
      <w:bookmarkEnd w:id="164"/>
      <w:bookmarkEnd w:id="165"/>
      <w:bookmarkEnd w:id="166"/>
      <w:bookmarkEnd w:id="167"/>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本合同履行过程中发生的任何争议，双方当事人均可通过和解或者调解解决；不愿和解、调解或者和解、调解不成的，可以选择下列第</w:t>
      </w:r>
      <w:r>
        <w:rPr>
          <w:rFonts w:hint="eastAsia" w:ascii="仿宋" w:hAnsi="仿宋" w:eastAsia="仿宋" w:cs="仿宋"/>
          <w:sz w:val="28"/>
          <w:szCs w:val="28"/>
          <w:u w:val="single"/>
        </w:rPr>
        <w:t xml:space="preserve"> 2 </w:t>
      </w:r>
      <w:r>
        <w:rPr>
          <w:rFonts w:hint="eastAsia" w:ascii="仿宋" w:hAnsi="仿宋" w:eastAsia="仿宋" w:cs="仿宋"/>
          <w:sz w:val="28"/>
          <w:szCs w:val="28"/>
        </w:rPr>
        <w:t>种方式解决：</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1.7.1 将争议提交</w:t>
      </w:r>
      <w:r>
        <w:rPr>
          <w:rFonts w:hint="eastAsia" w:ascii="仿宋" w:hAnsi="仿宋" w:eastAsia="仿宋" w:cs="仿宋"/>
          <w:sz w:val="28"/>
          <w:szCs w:val="28"/>
          <w:u w:val="single"/>
        </w:rPr>
        <w:t xml:space="preserve">              </w:t>
      </w:r>
      <w:r>
        <w:rPr>
          <w:rFonts w:hint="eastAsia" w:ascii="仿宋" w:hAnsi="仿宋" w:eastAsia="仿宋" w:cs="仿宋"/>
          <w:sz w:val="28"/>
          <w:szCs w:val="28"/>
        </w:rPr>
        <w:t>仲裁委员会依申请仲裁时其现行有效的仲裁规则裁决；</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1.7.2 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人民法院起诉。</w:t>
      </w:r>
    </w:p>
    <w:p>
      <w:pPr>
        <w:spacing w:line="560" w:lineRule="exact"/>
        <w:ind w:firstLine="562" w:firstLineChars="200"/>
        <w:outlineLvl w:val="0"/>
        <w:rPr>
          <w:rFonts w:hint="eastAsia" w:ascii="仿宋" w:hAnsi="仿宋" w:eastAsia="仿宋" w:cs="仿宋"/>
          <w:b/>
          <w:sz w:val="28"/>
          <w:szCs w:val="28"/>
        </w:rPr>
      </w:pPr>
      <w:bookmarkStart w:id="168" w:name="_Toc23784"/>
      <w:bookmarkStart w:id="169" w:name="_Toc12273"/>
      <w:bookmarkStart w:id="170" w:name="_Toc26227"/>
      <w:bookmarkStart w:id="171" w:name="_Toc15827"/>
      <w:bookmarkStart w:id="172" w:name="_Toc16417"/>
      <w:r>
        <w:rPr>
          <w:rFonts w:hint="eastAsia" w:ascii="仿宋" w:hAnsi="仿宋" w:eastAsia="仿宋" w:cs="仿宋"/>
          <w:b/>
          <w:sz w:val="28"/>
          <w:szCs w:val="28"/>
        </w:rPr>
        <w:t>1.8 合同生效</w:t>
      </w:r>
      <w:bookmarkEnd w:id="168"/>
      <w:bookmarkEnd w:id="169"/>
      <w:bookmarkEnd w:id="170"/>
      <w:bookmarkEnd w:id="171"/>
      <w:bookmarkEnd w:id="172"/>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本合同自双方当事人盖章或者签字时生效。</w:t>
      </w:r>
    </w:p>
    <w:p>
      <w:pPr>
        <w:autoSpaceDE w:val="0"/>
        <w:autoSpaceDN w:val="0"/>
        <w:adjustRightInd w:val="0"/>
        <w:spacing w:line="560" w:lineRule="exact"/>
        <w:rPr>
          <w:rFonts w:hint="eastAsia" w:ascii="仿宋" w:hAnsi="仿宋" w:eastAsia="仿宋" w:cs="仿宋"/>
          <w:sz w:val="28"/>
          <w:szCs w:val="28"/>
          <w:lang w:val="zh-CN"/>
        </w:rPr>
      </w:pP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b/>
          <w:sz w:val="28"/>
          <w:szCs w:val="28"/>
          <w:lang w:val="zh-CN"/>
        </w:rPr>
        <w:t>甲方</w:t>
      </w:r>
      <w:r>
        <w:rPr>
          <w:rFonts w:hint="eastAsia" w:ascii="仿宋" w:hAnsi="仿宋" w:eastAsia="仿宋" w:cs="仿宋"/>
          <w:sz w:val="28"/>
          <w:szCs w:val="28"/>
          <w:lang w:val="zh-CN"/>
        </w:rPr>
        <w:t xml:space="preserve">：                             </w:t>
      </w:r>
      <w:r>
        <w:rPr>
          <w:rFonts w:hint="eastAsia" w:ascii="仿宋" w:hAnsi="仿宋" w:eastAsia="仿宋" w:cs="仿宋"/>
          <w:b/>
          <w:sz w:val="28"/>
          <w:szCs w:val="28"/>
          <w:lang w:val="zh-CN"/>
        </w:rPr>
        <w:t xml:space="preserve">      乙方</w:t>
      </w:r>
      <w:r>
        <w:rPr>
          <w:rFonts w:hint="eastAsia" w:ascii="仿宋" w:hAnsi="仿宋" w:eastAsia="仿宋" w:cs="仿宋"/>
          <w:sz w:val="28"/>
          <w:szCs w:val="28"/>
          <w:lang w:val="zh-CN"/>
        </w:rPr>
        <w:t>：</w:t>
      </w:r>
    </w:p>
    <w:p>
      <w:pPr>
        <w:autoSpaceDE w:val="0"/>
        <w:autoSpaceDN w:val="0"/>
        <w:adjustRightInd w:val="0"/>
        <w:spacing w:line="560" w:lineRule="exact"/>
        <w:ind w:left="5880" w:hanging="5880" w:hangingChars="2100"/>
        <w:rPr>
          <w:rFonts w:hint="eastAsia" w:ascii="仿宋" w:hAnsi="仿宋" w:eastAsia="仿宋" w:cs="仿宋"/>
          <w:sz w:val="28"/>
          <w:szCs w:val="28"/>
          <w:lang w:val="zh-CN"/>
        </w:rPr>
      </w:pPr>
      <w:r>
        <w:rPr>
          <w:rFonts w:hint="eastAsia" w:ascii="仿宋" w:hAnsi="仿宋" w:eastAsia="仿宋" w:cs="仿宋"/>
          <w:sz w:val="28"/>
          <w:szCs w:val="28"/>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住所：                                   住所：</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法定代表人或                             法定代表人</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 xml:space="preserve">授权代表（签字）：                        或授权代表（签字）: </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联系人：                                 联系人：</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约定送达地址：                           约定送达地址：</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邮政编码：                               邮政编码：</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 xml:space="preserve">电话:                                    电话: </w:t>
      </w:r>
    </w:p>
    <w:p>
      <w:pPr>
        <w:autoSpaceDE w:val="0"/>
        <w:autoSpaceDN w:val="0"/>
        <w:adjustRightInd w:val="0"/>
        <w:spacing w:line="560" w:lineRule="exact"/>
        <w:rPr>
          <w:rFonts w:hint="eastAsia" w:ascii="仿宋" w:hAnsi="仿宋" w:eastAsia="仿宋" w:cs="仿宋"/>
          <w:sz w:val="28"/>
          <w:szCs w:val="28"/>
          <w:lang w:val="zh-CN"/>
        </w:rPr>
      </w:pPr>
      <w:r>
        <w:rPr>
          <w:rFonts w:hint="eastAsia" w:ascii="仿宋" w:hAnsi="仿宋" w:eastAsia="仿宋" w:cs="仿宋"/>
          <w:sz w:val="28"/>
          <w:szCs w:val="28"/>
          <w:lang w:val="zh-CN"/>
        </w:rPr>
        <w:t>传真:                                    传真:</w:t>
      </w:r>
    </w:p>
    <w:p>
      <w:pPr>
        <w:autoSpaceDE w:val="0"/>
        <w:autoSpaceDN w:val="0"/>
        <w:adjustRightInd w:val="0"/>
        <w:spacing w:line="560" w:lineRule="exact"/>
        <w:rPr>
          <w:rFonts w:hint="eastAsia" w:ascii="仿宋" w:hAnsi="仿宋" w:eastAsia="仿宋" w:cs="仿宋"/>
          <w:sz w:val="28"/>
          <w:szCs w:val="28"/>
        </w:rPr>
      </w:pPr>
      <w:r>
        <w:rPr>
          <w:rFonts w:hint="eastAsia" w:ascii="仿宋" w:hAnsi="仿宋" w:eastAsia="仿宋" w:cs="仿宋"/>
          <w:sz w:val="28"/>
          <w:szCs w:val="28"/>
          <w:lang w:val="zh-CN"/>
        </w:rPr>
        <w:t>电子邮箱：                               电子邮箱：</w:t>
      </w:r>
    </w:p>
    <w:p>
      <w:pPr>
        <w:autoSpaceDE w:val="0"/>
        <w:autoSpaceDN w:val="0"/>
        <w:adjustRightInd w:val="0"/>
        <w:spacing w:line="560" w:lineRule="exact"/>
        <w:rPr>
          <w:rFonts w:hint="eastAsia" w:ascii="仿宋" w:hAnsi="仿宋" w:eastAsia="仿宋" w:cs="仿宋"/>
          <w:sz w:val="28"/>
          <w:szCs w:val="28"/>
        </w:rPr>
      </w:pPr>
      <w:r>
        <w:rPr>
          <w:rFonts w:hint="eastAsia" w:ascii="仿宋" w:hAnsi="仿宋" w:eastAsia="仿宋" w:cs="仿宋"/>
          <w:sz w:val="28"/>
          <w:szCs w:val="28"/>
        </w:rPr>
        <w:t xml:space="preserve">开户银行：                               开户银行： </w:t>
      </w:r>
    </w:p>
    <w:p>
      <w:pPr>
        <w:autoSpaceDE w:val="0"/>
        <w:autoSpaceDN w:val="0"/>
        <w:adjustRightInd w:val="0"/>
        <w:spacing w:line="560" w:lineRule="exact"/>
        <w:rPr>
          <w:rFonts w:hint="eastAsia" w:ascii="仿宋" w:hAnsi="仿宋" w:eastAsia="仿宋" w:cs="仿宋"/>
          <w:sz w:val="28"/>
          <w:szCs w:val="28"/>
        </w:rPr>
      </w:pPr>
      <w:r>
        <w:rPr>
          <w:rFonts w:hint="eastAsia" w:ascii="仿宋" w:hAnsi="仿宋" w:eastAsia="仿宋" w:cs="仿宋"/>
          <w:sz w:val="28"/>
          <w:szCs w:val="28"/>
        </w:rPr>
        <w:t xml:space="preserve">开户名称：                               开户名称： </w:t>
      </w:r>
    </w:p>
    <w:p>
      <w:pPr>
        <w:autoSpaceDE w:val="0"/>
        <w:autoSpaceDN w:val="0"/>
        <w:adjustRightInd w:val="0"/>
        <w:spacing w:line="560" w:lineRule="exact"/>
        <w:rPr>
          <w:rFonts w:hint="eastAsia" w:ascii="仿宋" w:hAnsi="仿宋" w:eastAsia="仿宋" w:cs="仿宋"/>
          <w:sz w:val="28"/>
          <w:szCs w:val="28"/>
        </w:rPr>
      </w:pPr>
      <w:r>
        <w:rPr>
          <w:rFonts w:hint="eastAsia" w:ascii="仿宋" w:hAnsi="仿宋" w:eastAsia="仿宋" w:cs="仿宋"/>
          <w:sz w:val="28"/>
          <w:szCs w:val="28"/>
        </w:rPr>
        <w:t>开户账号：</w:t>
      </w:r>
      <w:r>
        <w:rPr>
          <w:rFonts w:hint="eastAsia" w:ascii="仿宋" w:hAnsi="仿宋" w:eastAsia="仿宋" w:cs="仿宋"/>
          <w:sz w:val="28"/>
          <w:szCs w:val="28"/>
          <w:lang w:val="zh-CN"/>
        </w:rPr>
        <w:t xml:space="preserve">                               </w:t>
      </w:r>
      <w:r>
        <w:rPr>
          <w:rFonts w:hint="eastAsia" w:ascii="仿宋" w:hAnsi="仿宋" w:eastAsia="仿宋" w:cs="仿宋"/>
          <w:sz w:val="28"/>
          <w:szCs w:val="28"/>
        </w:rPr>
        <w:t>开户账号：</w:t>
      </w:r>
    </w:p>
    <w:p>
      <w:pPr>
        <w:pStyle w:val="3"/>
        <w:rPr>
          <w:rFonts w:hint="eastAsia" w:ascii="仿宋" w:hAnsi="仿宋" w:eastAsia="仿宋" w:cs="仿宋"/>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pStyle w:val="19"/>
        <w:rPr>
          <w:rFonts w:hint="eastAsia" w:ascii="仿宋" w:hAnsi="仿宋" w:eastAsia="仿宋" w:cs="仿宋"/>
          <w:color w:val="auto"/>
          <w:kern w:val="0"/>
          <w:sz w:val="22"/>
          <w:szCs w:val="22"/>
        </w:rPr>
      </w:pPr>
    </w:p>
    <w:p>
      <w:pPr>
        <w:pStyle w:val="19"/>
        <w:ind w:left="0" w:leftChars="0" w:firstLine="0" w:firstLineChars="0"/>
        <w:rPr>
          <w:rFonts w:hint="eastAsia" w:ascii="仿宋" w:hAnsi="仿宋" w:eastAsia="仿宋" w:cs="仿宋"/>
          <w:color w:val="auto"/>
          <w:kern w:val="0"/>
          <w:sz w:val="22"/>
          <w:szCs w:val="22"/>
        </w:rPr>
      </w:pPr>
    </w:p>
    <w:p>
      <w:pPr>
        <w:rPr>
          <w:rFonts w:hint="eastAsia" w:ascii="仿宋" w:hAnsi="仿宋" w:eastAsia="仿宋" w:cs="仿宋"/>
          <w:color w:val="auto"/>
        </w:rPr>
      </w:pPr>
    </w:p>
    <w:p>
      <w:pPr>
        <w:pStyle w:val="4"/>
        <w:keepLines w:val="0"/>
        <w:spacing w:before="0" w:after="0" w:line="360" w:lineRule="auto"/>
        <w:ind w:right="-441" w:rightChars="-210"/>
        <w:jc w:val="center"/>
        <w:rPr>
          <w:rFonts w:hint="eastAsia" w:ascii="仿宋" w:hAnsi="仿宋" w:eastAsia="仿宋" w:cs="仿宋"/>
          <w:color w:val="auto"/>
          <w:kern w:val="2"/>
          <w:sz w:val="48"/>
          <w:szCs w:val="48"/>
        </w:rPr>
      </w:pPr>
      <w:r>
        <w:rPr>
          <w:rFonts w:hint="eastAsia" w:ascii="仿宋" w:hAnsi="仿宋" w:eastAsia="仿宋" w:cs="仿宋"/>
          <w:color w:val="auto"/>
          <w:kern w:val="2"/>
          <w:sz w:val="48"/>
          <w:szCs w:val="48"/>
        </w:rPr>
        <w:t>第五章  投标文件格式</w:t>
      </w:r>
      <w:bookmarkEnd w:id="123"/>
      <w:bookmarkEnd w:id="124"/>
      <w:bookmarkEnd w:id="125"/>
      <w:bookmarkEnd w:id="126"/>
    </w:p>
    <w:p>
      <w:pPr>
        <w:pStyle w:val="5"/>
        <w:keepLines w:val="0"/>
        <w:spacing w:before="0" w:after="0" w:line="360" w:lineRule="auto"/>
        <w:ind w:right="-441" w:rightChars="-210"/>
        <w:rPr>
          <w:rFonts w:hint="eastAsia" w:ascii="仿宋" w:hAnsi="仿宋" w:eastAsia="仿宋" w:cs="仿宋"/>
          <w:color w:val="auto"/>
        </w:rPr>
      </w:pPr>
      <w:bookmarkStart w:id="173" w:name="_Toc130139083"/>
      <w:bookmarkStart w:id="174" w:name="_Toc9490"/>
      <w:bookmarkStart w:id="175" w:name="_Toc128466400"/>
      <w:r>
        <w:rPr>
          <w:rFonts w:hint="eastAsia" w:ascii="仿宋" w:hAnsi="仿宋" w:eastAsia="仿宋" w:cs="仿宋"/>
          <w:color w:val="auto"/>
          <w:sz w:val="28"/>
          <w:szCs w:val="28"/>
        </w:rPr>
        <w:t>格式1 投标</w:t>
      </w:r>
      <w:bookmarkEnd w:id="173"/>
      <w:r>
        <w:rPr>
          <w:rFonts w:hint="eastAsia" w:ascii="仿宋" w:hAnsi="仿宋" w:eastAsia="仿宋" w:cs="仿宋"/>
          <w:color w:val="auto"/>
          <w:sz w:val="28"/>
          <w:szCs w:val="28"/>
        </w:rPr>
        <w:t>书</w:t>
      </w:r>
      <w:bookmarkEnd w:id="174"/>
    </w:p>
    <w:p>
      <w:pPr>
        <w:spacing w:line="360" w:lineRule="auto"/>
        <w:rPr>
          <w:rFonts w:hint="eastAsia" w:ascii="仿宋" w:hAnsi="仿宋" w:eastAsia="仿宋" w:cs="仿宋"/>
          <w:color w:val="auto"/>
          <w:sz w:val="18"/>
          <w:szCs w:val="18"/>
        </w:rPr>
      </w:pPr>
      <w:r>
        <w:rPr>
          <w:rFonts w:hint="eastAsia" w:ascii="仿宋" w:hAnsi="仿宋" w:eastAsia="仿宋" w:cs="仿宋"/>
          <w:color w:val="auto"/>
          <w:sz w:val="24"/>
        </w:rPr>
        <w:t>致：</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w:t>
      </w:r>
    </w:p>
    <w:p>
      <w:pPr>
        <w:spacing w:line="360" w:lineRule="auto"/>
        <w:ind w:firstLine="480"/>
        <w:rPr>
          <w:rFonts w:hint="eastAsia" w:ascii="仿宋" w:hAnsi="仿宋" w:eastAsia="仿宋" w:cs="仿宋"/>
          <w:color w:val="auto"/>
          <w:sz w:val="24"/>
        </w:rPr>
      </w:pPr>
      <w:bookmarkStart w:id="176" w:name="_Toc64113040"/>
      <w:bookmarkStart w:id="177" w:name="_Toc130139084"/>
      <w:r>
        <w:rPr>
          <w:rFonts w:hint="eastAsia" w:ascii="仿宋" w:hAnsi="仿宋" w:eastAsia="仿宋" w:cs="仿宋"/>
          <w:color w:val="auto"/>
          <w:sz w:val="24"/>
        </w:rPr>
        <w:t>根据</w:t>
      </w:r>
      <w:r>
        <w:rPr>
          <w:rFonts w:hint="eastAsia" w:ascii="仿宋" w:hAnsi="仿宋" w:eastAsia="仿宋" w:cs="仿宋"/>
          <w:color w:val="auto"/>
          <w:sz w:val="24"/>
          <w:lang w:val="en-US" w:eastAsia="zh-CN"/>
        </w:rPr>
        <w:t>XXX</w:t>
      </w:r>
      <w:r>
        <w:rPr>
          <w:rFonts w:hint="eastAsia" w:ascii="仿宋" w:hAnsi="仿宋" w:eastAsia="仿宋" w:cs="仿宋"/>
          <w:color w:val="auto"/>
          <w:sz w:val="24"/>
          <w:lang w:eastAsia="zh-CN"/>
        </w:rPr>
        <w:t>项目</w:t>
      </w:r>
      <w:r>
        <w:rPr>
          <w:rFonts w:hint="eastAsia" w:ascii="仿宋" w:hAnsi="仿宋" w:eastAsia="仿宋" w:cs="仿宋"/>
          <w:color w:val="auto"/>
          <w:sz w:val="24"/>
        </w:rPr>
        <w:t>（</w:t>
      </w:r>
      <w:r>
        <w:rPr>
          <w:rFonts w:hint="eastAsia" w:ascii="仿宋" w:hAnsi="仿宋" w:eastAsia="仿宋" w:cs="仿宋"/>
          <w:color w:val="auto"/>
          <w:sz w:val="24"/>
          <w:lang w:val="en-US" w:eastAsia="zh-CN"/>
        </w:rPr>
        <w:t>项目</w:t>
      </w:r>
      <w:r>
        <w:rPr>
          <w:rFonts w:hint="eastAsia" w:ascii="仿宋" w:hAnsi="仿宋" w:eastAsia="仿宋" w:cs="仿宋"/>
          <w:color w:val="auto"/>
          <w:sz w:val="24"/>
        </w:rPr>
        <w:t>编号：HY</w:t>
      </w:r>
      <w:r>
        <w:rPr>
          <w:rFonts w:hint="eastAsia" w:ascii="仿宋" w:hAnsi="仿宋" w:eastAsia="仿宋" w:cs="仿宋"/>
          <w:color w:val="auto"/>
          <w:sz w:val="24"/>
          <w:lang w:val="en-US" w:eastAsia="zh-CN"/>
        </w:rPr>
        <w:t>YL</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XX</w:t>
      </w:r>
      <w:r>
        <w:rPr>
          <w:rFonts w:hint="eastAsia" w:ascii="仿宋" w:hAnsi="仿宋" w:eastAsia="仿宋" w:cs="仿宋"/>
          <w:color w:val="auto"/>
          <w:sz w:val="24"/>
        </w:rPr>
        <w:t>号）的</w:t>
      </w:r>
      <w:r>
        <w:rPr>
          <w:rFonts w:hint="eastAsia" w:ascii="仿宋" w:hAnsi="仿宋" w:eastAsia="仿宋" w:cs="仿宋"/>
          <w:color w:val="auto"/>
          <w:sz w:val="24"/>
          <w:lang w:eastAsia="zh-CN"/>
        </w:rPr>
        <w:t>磋商</w:t>
      </w:r>
      <w:r>
        <w:rPr>
          <w:rFonts w:hint="eastAsia" w:ascii="仿宋" w:hAnsi="仿宋" w:eastAsia="仿宋" w:cs="仿宋"/>
          <w:color w:val="auto"/>
          <w:sz w:val="24"/>
        </w:rPr>
        <w:t>文件要求，</w:t>
      </w:r>
      <w:r>
        <w:rPr>
          <w:rFonts w:hint="eastAsia" w:ascii="仿宋" w:hAnsi="仿宋" w:eastAsia="仿宋" w:cs="仿宋"/>
          <w:color w:val="auto"/>
          <w:sz w:val="24"/>
          <w:u w:val="single"/>
        </w:rPr>
        <w:t>（全名及职务）</w:t>
      </w:r>
      <w:r>
        <w:rPr>
          <w:rFonts w:hint="eastAsia" w:ascii="仿宋" w:hAnsi="仿宋" w:eastAsia="仿宋" w:cs="仿宋"/>
          <w:color w:val="auto"/>
          <w:sz w:val="24"/>
        </w:rPr>
        <w:t>经正式授权并以投标人</w:t>
      </w:r>
      <w:r>
        <w:rPr>
          <w:rFonts w:hint="eastAsia" w:ascii="仿宋" w:hAnsi="仿宋" w:eastAsia="仿宋" w:cs="仿宋"/>
          <w:color w:val="auto"/>
          <w:sz w:val="24"/>
          <w:u w:val="single"/>
        </w:rPr>
        <w:t>（投标人名称、地址）</w:t>
      </w:r>
      <w:r>
        <w:rPr>
          <w:rFonts w:hint="eastAsia" w:ascii="仿宋" w:hAnsi="仿宋" w:eastAsia="仿宋" w:cs="仿宋"/>
          <w:color w:val="auto"/>
          <w:sz w:val="24"/>
        </w:rPr>
        <w:t>的名义投标。提交投标文件正本1份（内装投标文件正本1份，投标文件电子版1份，只限U盘，不留密码，无病毒</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投标一览表一份单独密封</w:t>
      </w:r>
      <w:r>
        <w:rPr>
          <w:rFonts w:hint="eastAsia" w:ascii="仿宋" w:hAnsi="仿宋" w:eastAsia="仿宋" w:cs="仿宋"/>
          <w:color w:val="auto"/>
          <w:sz w:val="24"/>
        </w:rPr>
        <w:t>），副本</w:t>
      </w:r>
      <w:r>
        <w:rPr>
          <w:rFonts w:hint="eastAsia" w:ascii="仿宋" w:hAnsi="仿宋" w:eastAsia="仿宋" w:cs="仿宋"/>
          <w:color w:val="auto"/>
          <w:sz w:val="24"/>
          <w:lang w:val="en-US" w:eastAsia="zh-CN"/>
        </w:rPr>
        <w:t>2</w:t>
      </w:r>
      <w:r>
        <w:rPr>
          <w:rFonts w:hint="eastAsia" w:ascii="仿宋" w:hAnsi="仿宋" w:eastAsia="仿宋" w:cs="仿宋"/>
          <w:color w:val="auto"/>
          <w:sz w:val="24"/>
        </w:rPr>
        <w:t>份。签字代表在此声明并同意：</w:t>
      </w:r>
    </w:p>
    <w:p>
      <w:pPr>
        <w:numPr>
          <w:ilvl w:val="0"/>
          <w:numId w:val="13"/>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我们愿意遵守</w:t>
      </w:r>
      <w:r>
        <w:rPr>
          <w:rFonts w:hint="eastAsia" w:ascii="仿宋" w:hAnsi="仿宋" w:eastAsia="仿宋" w:cs="仿宋"/>
          <w:color w:val="auto"/>
          <w:sz w:val="24"/>
          <w:lang w:eastAsia="zh-CN"/>
        </w:rPr>
        <w:t>磋商</w:t>
      </w:r>
      <w:r>
        <w:rPr>
          <w:rFonts w:hint="eastAsia" w:ascii="仿宋" w:hAnsi="仿宋" w:eastAsia="仿宋" w:cs="仿宋"/>
          <w:color w:val="auto"/>
          <w:sz w:val="24"/>
        </w:rPr>
        <w:t>文件的各项规定，自愿参加投标，并已清楚</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文件的要求及有关文件规定，并严格按照</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文件的规定履行全部责任和义务。</w:t>
      </w:r>
    </w:p>
    <w:p>
      <w:pPr>
        <w:numPr>
          <w:ilvl w:val="0"/>
          <w:numId w:val="13"/>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我们同意本投标自投标截止之日起</w:t>
      </w:r>
      <w:r>
        <w:rPr>
          <w:rFonts w:hint="eastAsia" w:ascii="仿宋" w:hAnsi="仿宋" w:eastAsia="仿宋" w:cs="仿宋"/>
          <w:color w:val="auto"/>
          <w:sz w:val="24"/>
          <w:lang w:val="en-US" w:eastAsia="zh-CN"/>
        </w:rPr>
        <w:t>6</w:t>
      </w:r>
      <w:r>
        <w:rPr>
          <w:rFonts w:hint="eastAsia" w:ascii="仿宋" w:hAnsi="仿宋" w:eastAsia="仿宋" w:cs="仿宋"/>
          <w:color w:val="auto"/>
          <w:sz w:val="24"/>
        </w:rPr>
        <w:t>0天内有效。如果我们的投标被接受，则直至合同生效时止，本投标始终有效。</w:t>
      </w:r>
    </w:p>
    <w:p>
      <w:pPr>
        <w:numPr>
          <w:ilvl w:val="0"/>
          <w:numId w:val="13"/>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我们已经详细地阅读并完全明白了全部</w:t>
      </w:r>
      <w:r>
        <w:rPr>
          <w:rFonts w:hint="eastAsia" w:ascii="仿宋" w:hAnsi="仿宋" w:eastAsia="仿宋" w:cs="仿宋"/>
          <w:color w:val="auto"/>
          <w:sz w:val="24"/>
          <w:lang w:eastAsia="zh-CN"/>
        </w:rPr>
        <w:t>磋商</w:t>
      </w:r>
      <w:r>
        <w:rPr>
          <w:rFonts w:hint="eastAsia" w:ascii="仿宋" w:hAnsi="仿宋" w:eastAsia="仿宋" w:cs="仿宋"/>
          <w:color w:val="auto"/>
          <w:sz w:val="24"/>
        </w:rPr>
        <w:t>文件及附件，包括澄清（如有）及参考文件，我们完全理解本</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文件的要求，我们同意放弃对</w:t>
      </w:r>
      <w:r>
        <w:rPr>
          <w:rFonts w:hint="eastAsia" w:ascii="仿宋" w:hAnsi="仿宋" w:eastAsia="仿宋" w:cs="仿宋"/>
          <w:color w:val="auto"/>
          <w:sz w:val="24"/>
          <w:lang w:eastAsia="zh-CN"/>
        </w:rPr>
        <w:t>磋商</w:t>
      </w:r>
      <w:r>
        <w:rPr>
          <w:rFonts w:hint="eastAsia" w:ascii="仿宋" w:hAnsi="仿宋" w:eastAsia="仿宋" w:cs="仿宋"/>
          <w:color w:val="auto"/>
          <w:sz w:val="24"/>
        </w:rPr>
        <w:t>文件提出不明或误解的一切权力。</w:t>
      </w:r>
    </w:p>
    <w:p>
      <w:pPr>
        <w:numPr>
          <w:ilvl w:val="0"/>
          <w:numId w:val="13"/>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我们同意提供招标代理机构与评标委员会要求的有关投标的一切数据或资料。</w:t>
      </w:r>
    </w:p>
    <w:p>
      <w:pPr>
        <w:numPr>
          <w:ilvl w:val="0"/>
          <w:numId w:val="13"/>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如果我们未对</w:t>
      </w:r>
      <w:r>
        <w:rPr>
          <w:rFonts w:hint="eastAsia" w:ascii="仿宋" w:hAnsi="仿宋" w:eastAsia="仿宋" w:cs="仿宋"/>
          <w:color w:val="auto"/>
          <w:sz w:val="24"/>
          <w:lang w:eastAsia="zh-CN"/>
        </w:rPr>
        <w:t>磋商</w:t>
      </w:r>
      <w:r>
        <w:rPr>
          <w:rFonts w:hint="eastAsia" w:ascii="仿宋" w:hAnsi="仿宋" w:eastAsia="仿宋" w:cs="仿宋"/>
          <w:color w:val="auto"/>
          <w:sz w:val="24"/>
        </w:rPr>
        <w:t>文件全部要求作出实质性响应，则完全同意并接受按无效投标处理。</w:t>
      </w:r>
    </w:p>
    <w:p>
      <w:pPr>
        <w:numPr>
          <w:ilvl w:val="0"/>
          <w:numId w:val="13"/>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我们在投标时已明确获知采购人有权根据实际情况，调整合同中规定的相关内容，在此我们承诺，如果我们获得中标资格，将无条件接受采购人的调整方案。</w:t>
      </w:r>
    </w:p>
    <w:p>
      <w:pPr>
        <w:numPr>
          <w:ilvl w:val="0"/>
          <w:numId w:val="13"/>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3"/>
        </w:numPr>
        <w:tabs>
          <w:tab w:val="left" w:pos="840"/>
          <w:tab w:val="left" w:pos="945"/>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我们是依法注册的法人，在法律、财务及运作上完全独立于（采购人）和</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（招标代理机构）。</w:t>
      </w:r>
    </w:p>
    <w:p>
      <w:pPr>
        <w:numPr>
          <w:ilvl w:val="0"/>
          <w:numId w:val="13"/>
        </w:numPr>
        <w:tabs>
          <w:tab w:val="left" w:pos="840"/>
          <w:tab w:val="left" w:pos="945"/>
          <w:tab w:val="clear" w:pos="420"/>
        </w:tabs>
        <w:spacing w:line="360" w:lineRule="auto"/>
        <w:ind w:left="840" w:hanging="315"/>
        <w:rPr>
          <w:rFonts w:hint="eastAsia" w:ascii="仿宋" w:hAnsi="仿宋" w:eastAsia="仿宋" w:cs="仿宋"/>
          <w:color w:val="auto"/>
        </w:rPr>
      </w:pPr>
      <w:r>
        <w:rPr>
          <w:rFonts w:hint="eastAsia" w:ascii="仿宋" w:hAnsi="仿宋" w:eastAsia="仿宋" w:cs="仿宋"/>
          <w:color w:val="auto"/>
          <w:sz w:val="24"/>
        </w:rPr>
        <w:t>所有有关本次投标的函电请寄：</w:t>
      </w:r>
      <w:r>
        <w:rPr>
          <w:rFonts w:hint="eastAsia" w:ascii="仿宋" w:hAnsi="仿宋" w:eastAsia="仿宋" w:cs="仿宋"/>
          <w:color w:val="auto"/>
          <w:sz w:val="24"/>
          <w:u w:val="single"/>
        </w:rPr>
        <w:t xml:space="preserve">  （投标人地址）    </w:t>
      </w:r>
      <w:r>
        <w:rPr>
          <w:rFonts w:hint="eastAsia" w:ascii="仿宋" w:hAnsi="仿宋" w:eastAsia="仿宋" w:cs="仿宋"/>
          <w:color w:val="auto"/>
          <w:sz w:val="24"/>
        </w:rPr>
        <w:t xml:space="preserve">  </w:t>
      </w:r>
    </w:p>
    <w:p>
      <w:pPr>
        <w:spacing w:line="480" w:lineRule="auto"/>
        <w:ind w:left="480"/>
        <w:rPr>
          <w:rFonts w:hint="eastAsia" w:ascii="仿宋" w:hAnsi="仿宋" w:eastAsia="仿宋" w:cs="仿宋"/>
          <w:color w:val="auto"/>
          <w:sz w:val="24"/>
        </w:rPr>
      </w:pPr>
      <w:r>
        <w:rPr>
          <w:rFonts w:hint="eastAsia" w:ascii="仿宋" w:hAnsi="仿宋" w:eastAsia="仿宋" w:cs="仿宋"/>
          <w:color w:val="auto"/>
          <w:sz w:val="24"/>
        </w:rPr>
        <w:t>授权代表（签名）：</w:t>
      </w:r>
    </w:p>
    <w:p>
      <w:pPr>
        <w:spacing w:line="480" w:lineRule="auto"/>
        <w:ind w:left="480"/>
        <w:rPr>
          <w:rFonts w:hint="eastAsia" w:ascii="仿宋" w:hAnsi="仿宋" w:eastAsia="仿宋" w:cs="仿宋"/>
          <w:color w:val="auto"/>
          <w:sz w:val="24"/>
        </w:rPr>
      </w:pPr>
      <w:r>
        <w:rPr>
          <w:rFonts w:hint="eastAsia" w:ascii="仿宋" w:hAnsi="仿宋" w:eastAsia="仿宋" w:cs="仿宋"/>
          <w:color w:val="auto"/>
          <w:sz w:val="24"/>
        </w:rPr>
        <w:t>职      务：</w:t>
      </w:r>
    </w:p>
    <w:p>
      <w:pPr>
        <w:spacing w:line="480" w:lineRule="auto"/>
        <w:ind w:left="480"/>
        <w:rPr>
          <w:rFonts w:hint="eastAsia" w:ascii="仿宋" w:hAnsi="仿宋" w:eastAsia="仿宋" w:cs="仿宋"/>
          <w:color w:val="auto"/>
          <w:sz w:val="24"/>
        </w:rPr>
      </w:pPr>
      <w:r>
        <w:rPr>
          <w:rFonts w:hint="eastAsia" w:ascii="仿宋" w:hAnsi="仿宋" w:eastAsia="仿宋" w:cs="仿宋"/>
          <w:color w:val="auto"/>
          <w:sz w:val="24"/>
        </w:rPr>
        <w:t>投标人名称：   投标人印章：  电话：        传真：              邮编：</w:t>
      </w:r>
      <w:r>
        <w:rPr>
          <w:rFonts w:hint="eastAsia" w:ascii="仿宋" w:hAnsi="仿宋" w:eastAsia="仿宋" w:cs="仿宋"/>
          <w:color w:val="auto"/>
          <w:sz w:val="24"/>
        </w:rPr>
        <w:br w:type="page"/>
      </w:r>
      <w:r>
        <w:rPr>
          <w:rFonts w:hint="eastAsia" w:ascii="仿宋" w:hAnsi="仿宋" w:eastAsia="仿宋" w:cs="仿宋"/>
          <w:b/>
          <w:color w:val="auto"/>
          <w:sz w:val="28"/>
          <w:szCs w:val="28"/>
        </w:rPr>
        <w:t>格式2 投标人基本情况表</w:t>
      </w:r>
      <w:bookmarkEnd w:id="176"/>
      <w:bookmarkEnd w:id="177"/>
    </w:p>
    <w:p>
      <w:pPr>
        <w:spacing w:line="360" w:lineRule="auto"/>
        <w:rPr>
          <w:rFonts w:hint="eastAsia" w:ascii="仿宋" w:hAnsi="仿宋" w:eastAsia="仿宋" w:cs="仿宋"/>
          <w:color w:val="auto"/>
          <w:sz w:val="24"/>
        </w:rPr>
      </w:pPr>
      <w:r>
        <w:rPr>
          <w:rFonts w:hint="eastAsia" w:ascii="仿宋" w:hAnsi="仿宋" w:eastAsia="仿宋" w:cs="仿宋"/>
          <w:color w:val="auto"/>
          <w:sz w:val="24"/>
        </w:rPr>
        <w:t>1、公司名称：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电话号码：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2、地    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 xml:space="preserve">  传    真：</w:t>
      </w:r>
      <w:r>
        <w:rPr>
          <w:rFonts w:hint="eastAsia" w:ascii="仿宋" w:hAnsi="仿宋" w:eastAsia="仿宋" w:cs="仿宋"/>
          <w:color w:val="auto"/>
          <w:sz w:val="24"/>
          <w:u w:val="single"/>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3、职工总人数：</w:t>
      </w:r>
      <w:r>
        <w:rPr>
          <w:rFonts w:hint="eastAsia" w:ascii="仿宋" w:hAnsi="仿宋" w:eastAsia="仿宋" w:cs="仿宋"/>
          <w:color w:val="auto"/>
          <w:sz w:val="24"/>
          <w:u w:val="single"/>
        </w:rPr>
        <w:t xml:space="preserve">              </w:t>
      </w:r>
      <w:r>
        <w:rPr>
          <w:rFonts w:hint="eastAsia" w:ascii="仿宋" w:hAnsi="仿宋" w:eastAsia="仿宋" w:cs="仿宋"/>
          <w:color w:val="auto"/>
          <w:sz w:val="24"/>
        </w:rPr>
        <w:t>人</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4、具有专业技术职称的人员占职工总人数</w:t>
      </w:r>
      <w:r>
        <w:rPr>
          <w:rFonts w:hint="eastAsia" w:ascii="仿宋" w:hAnsi="仿宋" w:eastAsia="仿宋" w:cs="仿宋"/>
          <w:color w:val="auto"/>
          <w:sz w:val="24"/>
          <w:u w:val="single"/>
        </w:rPr>
        <w:t xml:space="preserve">   </w:t>
      </w:r>
      <w:r>
        <w:rPr>
          <w:rFonts w:hint="eastAsia" w:ascii="仿宋" w:hAnsi="仿宋" w:eastAsia="仿宋" w:cs="仿宋"/>
          <w:color w:val="auto"/>
          <w:sz w:val="24"/>
        </w:rPr>
        <w:t>%，其中高级职称：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人，中级职称：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人。</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5、注册资金：</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6、经济性质：</w:t>
      </w:r>
      <w:r>
        <w:rPr>
          <w:rFonts w:hint="eastAsia" w:ascii="仿宋" w:hAnsi="仿宋" w:eastAsia="仿宋" w:cs="仿宋"/>
          <w:color w:val="auto"/>
          <w:sz w:val="24"/>
          <w:u w:val="single"/>
        </w:rPr>
        <w:t xml:space="preserve">                </w:t>
      </w:r>
    </w:p>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7、近期资产负债表（截止</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numPr>
          <w:ilvl w:val="4"/>
          <w:numId w:val="14"/>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 xml:space="preserve">固定资产:  </w:t>
      </w:r>
      <w:r>
        <w:rPr>
          <w:rFonts w:hint="eastAsia" w:ascii="仿宋" w:hAnsi="仿宋" w:eastAsia="仿宋" w:cs="仿宋"/>
          <w:color w:val="auto"/>
          <w:sz w:val="24"/>
          <w:u w:val="single"/>
        </w:rPr>
        <w:t xml:space="preserve">                        </w:t>
      </w:r>
    </w:p>
    <w:p>
      <w:pPr>
        <w:numPr>
          <w:ilvl w:val="4"/>
          <w:numId w:val="14"/>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流动资产:  </w:t>
      </w:r>
      <w:r>
        <w:rPr>
          <w:rFonts w:hint="eastAsia" w:ascii="仿宋" w:hAnsi="仿宋" w:eastAsia="仿宋" w:cs="仿宋"/>
          <w:color w:val="auto"/>
          <w:sz w:val="24"/>
          <w:u w:val="single"/>
        </w:rPr>
        <w:t xml:space="preserve">                        </w:t>
      </w:r>
    </w:p>
    <w:p>
      <w:pPr>
        <w:numPr>
          <w:ilvl w:val="4"/>
          <w:numId w:val="14"/>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 xml:space="preserve">长期负债:  </w:t>
      </w:r>
      <w:r>
        <w:rPr>
          <w:rFonts w:hint="eastAsia" w:ascii="仿宋" w:hAnsi="仿宋" w:eastAsia="仿宋" w:cs="仿宋"/>
          <w:color w:val="auto"/>
          <w:sz w:val="24"/>
          <w:u w:val="single"/>
        </w:rPr>
        <w:t xml:space="preserve">                        </w:t>
      </w:r>
    </w:p>
    <w:p>
      <w:pPr>
        <w:numPr>
          <w:ilvl w:val="4"/>
          <w:numId w:val="14"/>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 xml:space="preserve">流动负债:  </w:t>
      </w:r>
      <w:r>
        <w:rPr>
          <w:rFonts w:hint="eastAsia" w:ascii="仿宋" w:hAnsi="仿宋" w:eastAsia="仿宋" w:cs="仿宋"/>
          <w:color w:val="auto"/>
          <w:sz w:val="24"/>
          <w:u w:val="single"/>
        </w:rPr>
        <w:t xml:space="preserve">                        </w:t>
      </w:r>
    </w:p>
    <w:p>
      <w:pPr>
        <w:numPr>
          <w:ilvl w:val="4"/>
          <w:numId w:val="14"/>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净值:      </w:t>
      </w:r>
      <w:r>
        <w:rPr>
          <w:rFonts w:hint="eastAsia" w:ascii="仿宋" w:hAnsi="仿宋" w:eastAsia="仿宋" w:cs="仿宋"/>
          <w:color w:val="auto"/>
          <w:sz w:val="24"/>
          <w:u w:val="single"/>
        </w:rPr>
        <w:t xml:space="preserve">                        </w:t>
      </w:r>
    </w:p>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8、投标人财务状况</w:t>
      </w:r>
    </w:p>
    <w:tbl>
      <w:tblPr>
        <w:tblStyle w:val="21"/>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55"/>
        <w:gridCol w:w="1681"/>
        <w:gridCol w:w="1682"/>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9"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15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年份</w:t>
            </w:r>
          </w:p>
        </w:tc>
        <w:tc>
          <w:tcPr>
            <w:tcW w:w="1681" w:type="dxa"/>
            <w:noWrap w:val="0"/>
            <w:vAlign w:val="center"/>
          </w:tcPr>
          <w:p>
            <w:pPr>
              <w:pStyle w:val="34"/>
              <w:keepNext w:val="0"/>
              <w:adjustRightInd/>
              <w:spacing w:before="0" w:after="0" w:line="360" w:lineRule="auto"/>
              <w:textAlignment w:val="auto"/>
              <w:rPr>
                <w:rFonts w:hint="eastAsia" w:ascii="仿宋" w:hAnsi="仿宋" w:eastAsia="仿宋" w:cs="仿宋"/>
                <w:snapToGrid/>
                <w:color w:val="auto"/>
                <w:spacing w:val="0"/>
                <w:kern w:val="2"/>
                <w:szCs w:val="24"/>
                <w:lang w:val="en-US" w:eastAsia="zh-CN"/>
              </w:rPr>
            </w:pPr>
            <w:r>
              <w:rPr>
                <w:rFonts w:hint="eastAsia" w:ascii="仿宋" w:hAnsi="仿宋" w:eastAsia="仿宋" w:cs="仿宋"/>
                <w:snapToGrid/>
                <w:color w:val="auto"/>
                <w:spacing w:val="0"/>
                <w:kern w:val="2"/>
                <w:szCs w:val="24"/>
                <w:lang w:val="en-US" w:eastAsia="zh-CN"/>
              </w:rPr>
              <w:t>总资产</w:t>
            </w:r>
          </w:p>
        </w:tc>
        <w:tc>
          <w:tcPr>
            <w:tcW w:w="16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营业收入</w:t>
            </w:r>
          </w:p>
        </w:tc>
        <w:tc>
          <w:tcPr>
            <w:tcW w:w="16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净利润</w:t>
            </w:r>
          </w:p>
        </w:tc>
        <w:tc>
          <w:tcPr>
            <w:tcW w:w="16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9"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155" w:type="dxa"/>
            <w:noWrap w:val="0"/>
            <w:vAlign w:val="center"/>
          </w:tcPr>
          <w:p>
            <w:pPr>
              <w:spacing w:line="360" w:lineRule="auto"/>
              <w:jc w:val="center"/>
              <w:rPr>
                <w:rFonts w:hint="eastAsia" w:ascii="仿宋" w:hAnsi="仿宋" w:eastAsia="仿宋" w:cs="仿宋"/>
                <w:color w:val="auto"/>
                <w:sz w:val="24"/>
                <w:lang w:val="en-US" w:eastAsia="zh-CN"/>
              </w:rPr>
            </w:pPr>
          </w:p>
        </w:tc>
        <w:tc>
          <w:tcPr>
            <w:tcW w:w="1681" w:type="dxa"/>
            <w:noWrap w:val="0"/>
            <w:vAlign w:val="center"/>
          </w:tcPr>
          <w:p>
            <w:pPr>
              <w:spacing w:line="360" w:lineRule="auto"/>
              <w:jc w:val="center"/>
              <w:rPr>
                <w:rFonts w:hint="eastAsia" w:ascii="仿宋" w:hAnsi="仿宋" w:eastAsia="仿宋" w:cs="仿宋"/>
                <w:color w:val="auto"/>
                <w:sz w:val="24"/>
              </w:rPr>
            </w:pPr>
          </w:p>
        </w:tc>
        <w:tc>
          <w:tcPr>
            <w:tcW w:w="1682" w:type="dxa"/>
            <w:noWrap w:val="0"/>
            <w:vAlign w:val="center"/>
          </w:tcPr>
          <w:p>
            <w:pPr>
              <w:spacing w:line="360" w:lineRule="auto"/>
              <w:jc w:val="center"/>
              <w:rPr>
                <w:rFonts w:hint="eastAsia" w:ascii="仿宋" w:hAnsi="仿宋" w:eastAsia="仿宋" w:cs="仿宋"/>
                <w:color w:val="auto"/>
                <w:sz w:val="24"/>
              </w:rPr>
            </w:pPr>
          </w:p>
        </w:tc>
        <w:tc>
          <w:tcPr>
            <w:tcW w:w="1682" w:type="dxa"/>
            <w:noWrap w:val="0"/>
            <w:vAlign w:val="center"/>
          </w:tcPr>
          <w:p>
            <w:pPr>
              <w:spacing w:line="360" w:lineRule="auto"/>
              <w:jc w:val="center"/>
              <w:rPr>
                <w:rFonts w:hint="eastAsia" w:ascii="仿宋" w:hAnsi="仿宋" w:eastAsia="仿宋" w:cs="仿宋"/>
                <w:color w:val="auto"/>
                <w:sz w:val="24"/>
              </w:rPr>
            </w:pPr>
          </w:p>
        </w:tc>
        <w:tc>
          <w:tcPr>
            <w:tcW w:w="1682" w:type="dxa"/>
            <w:noWrap w:val="0"/>
            <w:vAlign w:val="center"/>
          </w:tcPr>
          <w:p>
            <w:pPr>
              <w:spacing w:line="360" w:lineRule="auto"/>
              <w:jc w:val="center"/>
              <w:rPr>
                <w:rFonts w:hint="eastAsia" w:ascii="仿宋" w:hAnsi="仿宋" w:eastAsia="仿宋" w:cs="仿宋"/>
                <w:color w:val="auto"/>
                <w:sz w:val="24"/>
              </w:rPr>
            </w:pPr>
          </w:p>
        </w:tc>
      </w:tr>
    </w:tbl>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9、公司开户银行名称及帐号：                       地     址：</w:t>
      </w:r>
    </w:p>
    <w:p>
      <w:pPr>
        <w:rPr>
          <w:rFonts w:hint="eastAsia" w:ascii="仿宋" w:hAnsi="仿宋" w:eastAsia="仿宋" w:cs="仿宋"/>
          <w:color w:val="auto"/>
          <w:sz w:val="24"/>
          <w:u w:val="single"/>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p>
    <w:p>
      <w:pPr>
        <w:rPr>
          <w:rFonts w:hint="eastAsia" w:ascii="仿宋" w:hAnsi="仿宋" w:eastAsia="仿宋" w:cs="仿宋"/>
          <w:color w:val="auto"/>
          <w:sz w:val="24"/>
          <w:u w:val="single"/>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10、投标人获得资质一览表</w:t>
      </w:r>
    </w:p>
    <w:tbl>
      <w:tblPr>
        <w:tblStyle w:val="21"/>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49"/>
        <w:gridCol w:w="2749"/>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74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证书名称</w:t>
            </w:r>
          </w:p>
        </w:tc>
        <w:tc>
          <w:tcPr>
            <w:tcW w:w="274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发证单位</w:t>
            </w:r>
          </w:p>
        </w:tc>
        <w:tc>
          <w:tcPr>
            <w:tcW w:w="2750"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证书有限期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50"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50"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0"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50" w:type="dxa"/>
            <w:noWrap w:val="0"/>
            <w:vAlign w:val="center"/>
          </w:tcPr>
          <w:p>
            <w:pPr>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sz w:val="24"/>
        </w:rPr>
      </w:pPr>
      <w:r>
        <w:rPr>
          <w:rFonts w:hint="eastAsia" w:ascii="仿宋" w:hAnsi="仿宋" w:eastAsia="仿宋" w:cs="仿宋"/>
          <w:color w:val="auto"/>
          <w:sz w:val="24"/>
        </w:rPr>
        <w:t>11、营业执照注册号：</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12、其它投标人认为有必要附上的其他（含图片）资料：</w:t>
      </w:r>
    </w:p>
    <w:p>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我/我们声明以上所述是正确无误的，您有权进行您认为必要的所有调查。</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r>
        <w:rPr>
          <w:rFonts w:hint="eastAsia" w:ascii="仿宋" w:hAnsi="仿宋" w:eastAsia="仿宋" w:cs="仿宋"/>
          <w:color w:val="auto"/>
        </w:rPr>
        <w:br w:type="page"/>
      </w:r>
      <w:bookmarkStart w:id="178" w:name="_Toc130139085"/>
      <w:r>
        <w:rPr>
          <w:rFonts w:hint="eastAsia" w:ascii="仿宋" w:hAnsi="仿宋" w:eastAsia="仿宋" w:cs="仿宋"/>
          <w:b/>
          <w:color w:val="auto"/>
          <w:sz w:val="28"/>
          <w:szCs w:val="28"/>
        </w:rPr>
        <w:t>格式3 投标一览表</w:t>
      </w:r>
      <w:bookmarkEnd w:id="178"/>
    </w:p>
    <w:p>
      <w:pPr>
        <w:rPr>
          <w:rFonts w:hint="eastAsia" w:ascii="仿宋" w:hAnsi="仿宋" w:eastAsia="仿宋" w:cs="仿宋"/>
          <w:color w:val="auto"/>
        </w:rPr>
      </w:pPr>
    </w:p>
    <w:p>
      <w:pPr>
        <w:spacing w:line="360" w:lineRule="auto"/>
        <w:ind w:left="-2" w:leftChars="-1" w:firstLine="2"/>
        <w:rPr>
          <w:rFonts w:hint="eastAsia" w:ascii="仿宋" w:hAnsi="仿宋" w:eastAsia="仿宋" w:cs="仿宋"/>
          <w:b w:val="0"/>
          <w:bCs w:val="0"/>
          <w:color w:val="auto"/>
          <w:sz w:val="24"/>
          <w:lang w:eastAsia="zh-CN"/>
        </w:rPr>
      </w:pPr>
      <w:r>
        <w:rPr>
          <w:rFonts w:hint="eastAsia" w:ascii="仿宋" w:hAnsi="仿宋" w:eastAsia="仿宋" w:cs="仿宋"/>
          <w:b/>
          <w:bCs/>
          <w:color w:val="auto"/>
          <w:sz w:val="24"/>
        </w:rPr>
        <w:t>项目名称：</w:t>
      </w:r>
      <w:r>
        <w:rPr>
          <w:rFonts w:hint="eastAsia" w:ascii="仿宋" w:hAnsi="仿宋" w:eastAsia="仿宋" w:cs="仿宋"/>
          <w:b/>
          <w:bCs/>
          <w:color w:val="auto"/>
          <w:sz w:val="24"/>
          <w:lang w:val="en-US" w:eastAsia="zh-CN"/>
        </w:rPr>
        <w:t>XXX</w:t>
      </w:r>
      <w:r>
        <w:rPr>
          <w:rFonts w:hint="eastAsia" w:ascii="仿宋" w:hAnsi="仿宋" w:eastAsia="仿宋" w:cs="仿宋"/>
          <w:b/>
          <w:bCs/>
          <w:color w:val="auto"/>
          <w:sz w:val="24"/>
          <w:lang w:eastAsia="zh-CN"/>
        </w:rPr>
        <w:t>项目</w:t>
      </w:r>
    </w:p>
    <w:p>
      <w:pPr>
        <w:spacing w:line="360" w:lineRule="auto"/>
        <w:ind w:left="-2" w:leftChars="-1" w:firstLine="2"/>
        <w:rPr>
          <w:rFonts w:hint="eastAsia" w:ascii="仿宋" w:hAnsi="仿宋" w:eastAsia="仿宋" w:cs="仿宋"/>
          <w:color w:val="auto"/>
          <w:sz w:val="24"/>
        </w:rPr>
      </w:pPr>
    </w:p>
    <w:p>
      <w:pPr>
        <w:spacing w:line="360" w:lineRule="auto"/>
        <w:ind w:left="-2" w:leftChars="-1" w:firstLine="2"/>
        <w:rPr>
          <w:rFonts w:hint="eastAsia" w:ascii="仿宋" w:hAnsi="仿宋" w:eastAsia="仿宋" w:cs="仿宋"/>
          <w:color w:val="auto"/>
          <w:sz w:val="24"/>
          <w:lang w:eastAsia="zh-CN"/>
        </w:rPr>
      </w:pPr>
      <w:r>
        <w:rPr>
          <w:rFonts w:hint="eastAsia" w:ascii="仿宋" w:hAnsi="仿宋" w:eastAsia="仿宋" w:cs="仿宋"/>
          <w:color w:val="auto"/>
          <w:sz w:val="24"/>
        </w:rPr>
        <w:t>招标编号：HY</w:t>
      </w:r>
      <w:r>
        <w:rPr>
          <w:rFonts w:hint="eastAsia" w:ascii="仿宋" w:hAnsi="仿宋" w:eastAsia="仿宋" w:cs="仿宋"/>
          <w:color w:val="auto"/>
          <w:sz w:val="24"/>
          <w:lang w:val="en-US" w:eastAsia="zh-CN"/>
        </w:rPr>
        <w:t>YL</w:t>
      </w:r>
      <w:r>
        <w:rPr>
          <w:rFonts w:hint="eastAsia" w:ascii="仿宋" w:hAnsi="仿宋" w:eastAsia="仿宋" w:cs="仿宋"/>
          <w:color w:val="auto"/>
          <w:sz w:val="24"/>
        </w:rPr>
        <w:t>-202</w:t>
      </w:r>
      <w:r>
        <w:rPr>
          <w:rFonts w:hint="eastAsia" w:ascii="仿宋" w:hAnsi="仿宋" w:eastAsia="仿宋" w:cs="仿宋"/>
          <w:color w:val="auto"/>
          <w:sz w:val="24"/>
          <w:lang w:val="en-US" w:eastAsia="zh-CN"/>
        </w:rPr>
        <w:t>2-XXX号</w:t>
      </w:r>
    </w:p>
    <w:tbl>
      <w:tblPr>
        <w:tblStyle w:val="21"/>
        <w:tblW w:w="990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892"/>
        <w:gridCol w:w="2619"/>
        <w:gridCol w:w="1180"/>
        <w:gridCol w:w="1518"/>
        <w:gridCol w:w="10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662" w:type="dxa"/>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投标人名称</w:t>
            </w:r>
          </w:p>
        </w:tc>
        <w:tc>
          <w:tcPr>
            <w:tcW w:w="1892" w:type="dxa"/>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投标总价（元）</w:t>
            </w:r>
          </w:p>
        </w:tc>
        <w:tc>
          <w:tcPr>
            <w:tcW w:w="2619" w:type="dxa"/>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lang w:eastAsia="zh-CN"/>
              </w:rPr>
              <w:t>合同履约期限</w:t>
            </w:r>
          </w:p>
        </w:tc>
        <w:tc>
          <w:tcPr>
            <w:tcW w:w="1180" w:type="dxa"/>
            <w:noWrap w:val="0"/>
            <w:vAlign w:val="center"/>
          </w:tcPr>
          <w:p>
            <w:pPr>
              <w:spacing w:line="360" w:lineRule="auto"/>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付款方式</w:t>
            </w:r>
          </w:p>
        </w:tc>
        <w:tc>
          <w:tcPr>
            <w:tcW w:w="1518" w:type="dxa"/>
            <w:noWrap w:val="0"/>
            <w:vAlign w:val="center"/>
          </w:tcPr>
          <w:p>
            <w:pPr>
              <w:spacing w:line="360" w:lineRule="auto"/>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质保期</w:t>
            </w:r>
          </w:p>
        </w:tc>
        <w:tc>
          <w:tcPr>
            <w:tcW w:w="1037" w:type="dxa"/>
            <w:noWrap w:val="0"/>
            <w:vAlign w:val="center"/>
          </w:tcPr>
          <w:p>
            <w:pPr>
              <w:spacing w:line="360" w:lineRule="auto"/>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662" w:type="dxa"/>
            <w:noWrap w:val="0"/>
            <w:vAlign w:val="center"/>
          </w:tcPr>
          <w:p>
            <w:pPr>
              <w:spacing w:line="360" w:lineRule="auto"/>
              <w:rPr>
                <w:rFonts w:hint="eastAsia" w:ascii="仿宋" w:hAnsi="仿宋" w:eastAsia="仿宋" w:cs="仿宋"/>
                <w:bCs/>
                <w:color w:val="auto"/>
                <w:sz w:val="24"/>
              </w:rPr>
            </w:pPr>
          </w:p>
        </w:tc>
        <w:tc>
          <w:tcPr>
            <w:tcW w:w="1892" w:type="dxa"/>
            <w:noWrap w:val="0"/>
            <w:vAlign w:val="center"/>
          </w:tcPr>
          <w:p>
            <w:pPr>
              <w:rPr>
                <w:rFonts w:hint="eastAsia" w:ascii="仿宋" w:hAnsi="仿宋" w:eastAsia="仿宋" w:cs="仿宋"/>
                <w:color w:val="auto"/>
              </w:rPr>
            </w:pPr>
          </w:p>
        </w:tc>
        <w:tc>
          <w:tcPr>
            <w:tcW w:w="2619" w:type="dxa"/>
            <w:noWrap w:val="0"/>
            <w:vAlign w:val="center"/>
          </w:tcPr>
          <w:p>
            <w:pPr>
              <w:spacing w:line="360" w:lineRule="auto"/>
              <w:jc w:val="center"/>
              <w:rPr>
                <w:rFonts w:hint="eastAsia" w:ascii="仿宋" w:hAnsi="仿宋" w:eastAsia="仿宋" w:cs="仿宋"/>
                <w:bCs/>
                <w:color w:val="auto"/>
                <w:sz w:val="24"/>
              </w:rPr>
            </w:pPr>
          </w:p>
        </w:tc>
        <w:tc>
          <w:tcPr>
            <w:tcW w:w="1180" w:type="dxa"/>
            <w:noWrap w:val="0"/>
            <w:vAlign w:val="center"/>
          </w:tcPr>
          <w:p>
            <w:pPr>
              <w:spacing w:line="360" w:lineRule="auto"/>
              <w:jc w:val="center"/>
              <w:rPr>
                <w:rFonts w:hint="eastAsia" w:ascii="仿宋" w:hAnsi="仿宋" w:eastAsia="仿宋" w:cs="仿宋"/>
                <w:bCs/>
                <w:color w:val="auto"/>
                <w:sz w:val="24"/>
              </w:rPr>
            </w:pPr>
          </w:p>
        </w:tc>
        <w:tc>
          <w:tcPr>
            <w:tcW w:w="1518" w:type="dxa"/>
            <w:noWrap w:val="0"/>
            <w:vAlign w:val="center"/>
          </w:tcPr>
          <w:p>
            <w:pPr>
              <w:spacing w:line="360" w:lineRule="auto"/>
              <w:jc w:val="center"/>
              <w:rPr>
                <w:rFonts w:hint="eastAsia" w:ascii="仿宋" w:hAnsi="仿宋" w:eastAsia="仿宋" w:cs="仿宋"/>
                <w:bCs/>
                <w:color w:val="auto"/>
                <w:sz w:val="24"/>
              </w:rPr>
            </w:pPr>
          </w:p>
        </w:tc>
        <w:tc>
          <w:tcPr>
            <w:tcW w:w="1037" w:type="dxa"/>
            <w:noWrap w:val="0"/>
            <w:vAlign w:val="center"/>
          </w:tcPr>
          <w:p>
            <w:pPr>
              <w:spacing w:line="360" w:lineRule="auto"/>
              <w:jc w:val="center"/>
              <w:rPr>
                <w:rFonts w:hint="eastAsia" w:ascii="仿宋" w:hAnsi="仿宋" w:eastAsia="仿宋" w:cs="仿宋"/>
                <w:bCs/>
                <w:color w:val="auto"/>
                <w:sz w:val="24"/>
              </w:rPr>
            </w:pPr>
          </w:p>
        </w:tc>
      </w:tr>
    </w:tbl>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b/>
          <w:bCs w:val="0"/>
          <w:color w:val="auto"/>
          <w:sz w:val="24"/>
          <w:lang w:eastAsia="zh-CN"/>
        </w:rPr>
      </w:pPr>
      <w:r>
        <w:rPr>
          <w:rFonts w:hint="eastAsia" w:ascii="仿宋" w:hAnsi="仿宋" w:eastAsia="仿宋" w:cs="仿宋"/>
          <w:b/>
          <w:bCs w:val="0"/>
          <w:color w:val="auto"/>
          <w:sz w:val="24"/>
          <w:lang w:eastAsia="zh-CN"/>
        </w:rPr>
        <w:t>注明：以上条款请参考投标须知</w:t>
      </w:r>
    </w:p>
    <w:p>
      <w:pPr>
        <w:spacing w:line="36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p>
    <w:p>
      <w:pPr>
        <w:spacing w:line="360" w:lineRule="auto"/>
        <w:ind w:left="420" w:hanging="420"/>
        <w:rPr>
          <w:rFonts w:hint="eastAsia" w:ascii="仿宋" w:hAnsi="仿宋" w:eastAsia="仿宋" w:cs="仿宋"/>
          <w:color w:val="auto"/>
          <w:sz w:val="24"/>
        </w:rPr>
      </w:pPr>
    </w:p>
    <w:p>
      <w:pPr>
        <w:spacing w:line="360" w:lineRule="auto"/>
        <w:ind w:left="420" w:hanging="420"/>
        <w:rPr>
          <w:rFonts w:hint="eastAsia" w:ascii="仿宋" w:hAnsi="仿宋" w:eastAsia="仿宋" w:cs="仿宋"/>
          <w:color w:val="auto"/>
          <w:sz w:val="28"/>
          <w:szCs w:val="28"/>
        </w:rPr>
      </w:pPr>
    </w:p>
    <w:p>
      <w:pPr>
        <w:spacing w:line="360" w:lineRule="auto"/>
        <w:ind w:left="738" w:hanging="773" w:hangingChars="350"/>
        <w:rPr>
          <w:rFonts w:hint="eastAsia" w:ascii="仿宋" w:hAnsi="仿宋" w:eastAsia="仿宋" w:cs="仿宋"/>
          <w:b/>
          <w:color w:val="auto"/>
          <w:sz w:val="22"/>
          <w:szCs w:val="28"/>
        </w:rPr>
      </w:pPr>
      <w:r>
        <w:rPr>
          <w:rFonts w:hint="eastAsia" w:ascii="仿宋" w:hAnsi="仿宋" w:eastAsia="仿宋" w:cs="仿宋"/>
          <w:b/>
          <w:color w:val="auto"/>
          <w:sz w:val="22"/>
          <w:szCs w:val="28"/>
        </w:rPr>
        <w:t>注：</w:t>
      </w:r>
      <w:r>
        <w:rPr>
          <w:rFonts w:hint="eastAsia" w:ascii="仿宋" w:hAnsi="仿宋" w:eastAsia="仿宋" w:cs="仿宋"/>
          <w:color w:val="auto"/>
          <w:sz w:val="22"/>
          <w:szCs w:val="28"/>
        </w:rPr>
        <w:t>1、此表一式两份，一份装在单独的“</w:t>
      </w:r>
      <w:r>
        <w:rPr>
          <w:rFonts w:hint="eastAsia" w:ascii="仿宋" w:hAnsi="仿宋" w:eastAsia="仿宋" w:cs="仿宋"/>
          <w:color w:val="auto"/>
          <w:sz w:val="22"/>
          <w:szCs w:val="28"/>
          <w:lang w:val="en-US" w:eastAsia="zh-CN"/>
        </w:rPr>
        <w:t>投标一览表</w:t>
      </w:r>
      <w:r>
        <w:rPr>
          <w:rFonts w:hint="eastAsia" w:ascii="仿宋" w:hAnsi="仿宋" w:eastAsia="仿宋" w:cs="仿宋"/>
          <w:color w:val="auto"/>
          <w:sz w:val="22"/>
          <w:szCs w:val="28"/>
        </w:rPr>
        <w:t>信封”内密封，封口盖公章；另一份装订在投标文件正本中；</w:t>
      </w:r>
    </w:p>
    <w:p>
      <w:pPr>
        <w:spacing w:line="360" w:lineRule="auto"/>
        <w:ind w:left="747" w:leftChars="200" w:hanging="327" w:hangingChars="149"/>
        <w:rPr>
          <w:rFonts w:hint="eastAsia" w:ascii="仿宋" w:hAnsi="仿宋" w:eastAsia="仿宋" w:cs="仿宋"/>
          <w:color w:val="auto"/>
          <w:sz w:val="22"/>
          <w:szCs w:val="28"/>
        </w:rPr>
      </w:pPr>
      <w:r>
        <w:rPr>
          <w:rFonts w:hint="eastAsia" w:ascii="仿宋" w:hAnsi="仿宋" w:eastAsia="仿宋" w:cs="仿宋"/>
          <w:color w:val="auto"/>
          <w:sz w:val="22"/>
          <w:szCs w:val="28"/>
        </w:rPr>
        <w:t>2、投标总价为投标人最终报价，包含一切税费及相关费用</w:t>
      </w:r>
      <w:r>
        <w:rPr>
          <w:rFonts w:hint="eastAsia" w:ascii="仿宋" w:hAnsi="仿宋" w:eastAsia="仿宋" w:cs="仿宋"/>
          <w:b/>
          <w:color w:val="auto"/>
          <w:sz w:val="22"/>
          <w:szCs w:val="28"/>
        </w:rPr>
        <w:t>。</w:t>
      </w:r>
      <w:r>
        <w:rPr>
          <w:rFonts w:hint="eastAsia" w:ascii="仿宋" w:hAnsi="仿宋" w:eastAsia="仿宋" w:cs="仿宋"/>
          <w:color w:val="auto"/>
          <w:sz w:val="22"/>
          <w:szCs w:val="28"/>
        </w:rPr>
        <w:t>与详细报价表中相应包的投标总价一致；</w:t>
      </w:r>
    </w:p>
    <w:p>
      <w:pPr>
        <w:spacing w:line="360" w:lineRule="auto"/>
        <w:ind w:left="420" w:leftChars="200"/>
        <w:rPr>
          <w:rFonts w:hint="eastAsia" w:ascii="仿宋" w:hAnsi="仿宋" w:eastAsia="仿宋" w:cs="仿宋"/>
          <w:color w:val="auto"/>
          <w:sz w:val="22"/>
          <w:szCs w:val="28"/>
        </w:rPr>
      </w:pPr>
      <w:r>
        <w:rPr>
          <w:rFonts w:hint="eastAsia" w:ascii="仿宋" w:hAnsi="仿宋" w:eastAsia="仿宋" w:cs="仿宋"/>
          <w:color w:val="auto"/>
          <w:sz w:val="22"/>
          <w:szCs w:val="28"/>
        </w:rPr>
        <w:t>3、上述日期均以日历日为单位，包括法定节假日；</w:t>
      </w:r>
    </w:p>
    <w:p>
      <w:pPr>
        <w:spacing w:line="360" w:lineRule="auto"/>
        <w:ind w:left="420" w:leftChars="200"/>
        <w:rPr>
          <w:rFonts w:hint="eastAsia" w:ascii="仿宋" w:hAnsi="仿宋" w:eastAsia="仿宋" w:cs="仿宋"/>
          <w:b/>
          <w:color w:val="auto"/>
          <w:sz w:val="22"/>
          <w:szCs w:val="28"/>
        </w:rPr>
      </w:pPr>
      <w:r>
        <w:rPr>
          <w:rFonts w:hint="eastAsia" w:ascii="仿宋" w:hAnsi="仿宋" w:eastAsia="仿宋" w:cs="仿宋"/>
          <w:color w:val="auto"/>
          <w:sz w:val="22"/>
          <w:szCs w:val="28"/>
        </w:rPr>
        <w:t>4、对含糊不清或不确定的报价将视为无效报价</w:t>
      </w:r>
      <w:r>
        <w:rPr>
          <w:rFonts w:hint="eastAsia" w:ascii="仿宋" w:hAnsi="仿宋" w:eastAsia="仿宋" w:cs="仿宋"/>
          <w:b/>
          <w:color w:val="auto"/>
          <w:sz w:val="22"/>
          <w:szCs w:val="28"/>
        </w:rPr>
        <w:t>。</w:t>
      </w:r>
    </w:p>
    <w:p>
      <w:pPr>
        <w:spacing w:line="360" w:lineRule="auto"/>
        <w:rPr>
          <w:rFonts w:hint="eastAsia" w:ascii="仿宋" w:hAnsi="仿宋" w:eastAsia="仿宋" w:cs="仿宋"/>
          <w:color w:val="auto"/>
          <w:sz w:val="24"/>
        </w:rPr>
      </w:pPr>
      <w:bookmarkStart w:id="179" w:name="_Toc130139086"/>
    </w:p>
    <w:p>
      <w:pPr>
        <w:spacing w:line="360" w:lineRule="auto"/>
        <w:rPr>
          <w:rFonts w:hint="eastAsia" w:ascii="仿宋" w:hAnsi="仿宋" w:eastAsia="仿宋" w:cs="仿宋"/>
          <w:color w:val="auto"/>
          <w:sz w:val="24"/>
        </w:rPr>
        <w:sectPr>
          <w:footerReference r:id="rId9" w:type="first"/>
          <w:footerReference r:id="rId8" w:type="default"/>
          <w:type w:val="nextColumn"/>
          <w:pgSz w:w="11906" w:h="16838"/>
          <w:pgMar w:top="1191" w:right="1418" w:bottom="1191" w:left="1418" w:header="737" w:footer="737" w:gutter="0"/>
          <w:pgNumType w:fmt="decimal"/>
          <w:cols w:space="720" w:num="1"/>
          <w:docGrid w:linePitch="312" w:charSpace="0"/>
        </w:sectPr>
      </w:pPr>
    </w:p>
    <w:p>
      <w:pPr>
        <w:pStyle w:val="5"/>
        <w:spacing w:before="0" w:after="0" w:line="360" w:lineRule="auto"/>
        <w:rPr>
          <w:rFonts w:hint="eastAsia" w:ascii="仿宋" w:hAnsi="仿宋" w:eastAsia="仿宋" w:cs="仿宋"/>
          <w:color w:val="auto"/>
          <w:sz w:val="28"/>
          <w:szCs w:val="28"/>
        </w:rPr>
      </w:pPr>
      <w:bookmarkStart w:id="180" w:name="_Toc3281"/>
      <w:r>
        <w:rPr>
          <w:rFonts w:hint="eastAsia" w:ascii="仿宋" w:hAnsi="仿宋" w:eastAsia="仿宋" w:cs="仿宋"/>
          <w:color w:val="auto"/>
          <w:sz w:val="28"/>
          <w:szCs w:val="28"/>
        </w:rPr>
        <w:t xml:space="preserve">格式4 </w:t>
      </w:r>
      <w:bookmarkEnd w:id="179"/>
      <w:r>
        <w:rPr>
          <w:rFonts w:hint="eastAsia" w:ascii="仿宋" w:hAnsi="仿宋" w:eastAsia="仿宋" w:cs="仿宋"/>
          <w:color w:val="auto"/>
          <w:sz w:val="28"/>
          <w:szCs w:val="28"/>
        </w:rPr>
        <w:t>总体方案说明</w:t>
      </w:r>
      <w:bookmarkEnd w:id="180"/>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主要内容为本项目综合说明（含但不限于项目实施方案、进度计划、</w:t>
      </w:r>
      <w:r>
        <w:rPr>
          <w:rFonts w:hint="eastAsia" w:ascii="仿宋" w:hAnsi="仿宋" w:eastAsia="仿宋" w:cs="仿宋"/>
          <w:color w:val="auto"/>
          <w:sz w:val="24"/>
          <w:lang w:eastAsia="zh-CN"/>
        </w:rPr>
        <w:t>设备（货物）</w:t>
      </w:r>
      <w:r>
        <w:rPr>
          <w:rFonts w:hint="eastAsia" w:ascii="仿宋" w:hAnsi="仿宋" w:eastAsia="仿宋" w:cs="仿宋"/>
          <w:color w:val="auto"/>
          <w:sz w:val="24"/>
        </w:rPr>
        <w:t>人员投入等）、项目质量总体目标及质量保证措施、验收标准及方式、技术规范性文件说明等。</w:t>
      </w:r>
    </w:p>
    <w:p>
      <w:pPr>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br w:type="page"/>
      </w:r>
    </w:p>
    <w:p>
      <w:pPr>
        <w:pStyle w:val="5"/>
        <w:spacing w:before="0" w:after="0" w:line="360" w:lineRule="auto"/>
        <w:rPr>
          <w:rFonts w:hint="eastAsia" w:ascii="仿宋" w:hAnsi="仿宋" w:eastAsia="仿宋" w:cs="仿宋"/>
          <w:color w:val="auto"/>
          <w:sz w:val="24"/>
        </w:rPr>
      </w:pPr>
      <w:bookmarkStart w:id="181" w:name="_Toc24607"/>
      <w:r>
        <w:rPr>
          <w:rFonts w:hint="eastAsia" w:ascii="仿宋" w:hAnsi="仿宋" w:eastAsia="仿宋" w:cs="仿宋"/>
          <w:color w:val="auto"/>
        </w:rPr>
        <w:t>格式5 详细</w:t>
      </w:r>
      <w:r>
        <w:rPr>
          <w:rFonts w:hint="eastAsia" w:ascii="仿宋" w:hAnsi="仿宋" w:eastAsia="仿宋" w:cs="仿宋"/>
          <w:color w:val="auto"/>
          <w:sz w:val="28"/>
          <w:szCs w:val="28"/>
        </w:rPr>
        <w:t>报价</w:t>
      </w:r>
      <w:r>
        <w:rPr>
          <w:rFonts w:hint="eastAsia" w:ascii="仿宋" w:hAnsi="仿宋" w:eastAsia="仿宋" w:cs="仿宋"/>
          <w:color w:val="auto"/>
        </w:rPr>
        <w:t>清单</w:t>
      </w:r>
      <w:bookmarkEnd w:id="181"/>
    </w:p>
    <w:p>
      <w:pPr>
        <w:pStyle w:val="14"/>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项目编号：　</w:t>
      </w:r>
    </w:p>
    <w:p>
      <w:pPr>
        <w:pStyle w:val="14"/>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包号：</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金额单位：元</w:t>
      </w:r>
    </w:p>
    <w:tbl>
      <w:tblPr>
        <w:tblStyle w:val="2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78"/>
        <w:gridCol w:w="877"/>
        <w:gridCol w:w="878"/>
        <w:gridCol w:w="878"/>
        <w:gridCol w:w="200"/>
        <w:gridCol w:w="677"/>
        <w:gridCol w:w="333"/>
        <w:gridCol w:w="545"/>
        <w:gridCol w:w="877"/>
        <w:gridCol w:w="87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77"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878"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w:t>
            </w:r>
          </w:p>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877"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w:t>
            </w:r>
          </w:p>
        </w:tc>
        <w:tc>
          <w:tcPr>
            <w:tcW w:w="878"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生产</w:t>
            </w:r>
          </w:p>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厂家</w:t>
            </w:r>
          </w:p>
        </w:tc>
        <w:tc>
          <w:tcPr>
            <w:tcW w:w="878"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规格</w:t>
            </w:r>
          </w:p>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877"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878"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77"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878"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中小</w:t>
            </w:r>
          </w:p>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企业</w:t>
            </w:r>
          </w:p>
        </w:tc>
        <w:tc>
          <w:tcPr>
            <w:tcW w:w="1175" w:type="dxa"/>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78" w:type="dxa"/>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7" w:type="dxa"/>
            <w:gridSpan w:val="2"/>
            <w:vAlign w:val="center"/>
          </w:tcPr>
          <w:p>
            <w:pPr>
              <w:pStyle w:val="14"/>
              <w:jc w:val="center"/>
              <w:rPr>
                <w:rFonts w:hint="eastAsia" w:ascii="仿宋" w:hAnsi="仿宋" w:eastAsia="仿宋" w:cs="仿宋"/>
                <w:color w:val="auto"/>
                <w:sz w:val="24"/>
                <w:szCs w:val="24"/>
              </w:rPr>
            </w:pPr>
          </w:p>
        </w:tc>
        <w:tc>
          <w:tcPr>
            <w:tcW w:w="878" w:type="dxa"/>
            <w:gridSpan w:val="2"/>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1175" w:type="dxa"/>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878" w:type="dxa"/>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7" w:type="dxa"/>
            <w:gridSpan w:val="2"/>
            <w:vAlign w:val="center"/>
          </w:tcPr>
          <w:p>
            <w:pPr>
              <w:pStyle w:val="14"/>
              <w:jc w:val="center"/>
              <w:rPr>
                <w:rFonts w:hint="eastAsia" w:ascii="仿宋" w:hAnsi="仿宋" w:eastAsia="仿宋" w:cs="仿宋"/>
                <w:color w:val="auto"/>
                <w:sz w:val="24"/>
                <w:szCs w:val="24"/>
              </w:rPr>
            </w:pPr>
          </w:p>
        </w:tc>
        <w:tc>
          <w:tcPr>
            <w:tcW w:w="878" w:type="dxa"/>
            <w:gridSpan w:val="2"/>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1175" w:type="dxa"/>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878" w:type="dxa"/>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7" w:type="dxa"/>
            <w:gridSpan w:val="2"/>
            <w:vAlign w:val="center"/>
          </w:tcPr>
          <w:p>
            <w:pPr>
              <w:pStyle w:val="14"/>
              <w:jc w:val="center"/>
              <w:rPr>
                <w:rFonts w:hint="eastAsia" w:ascii="仿宋" w:hAnsi="仿宋" w:eastAsia="仿宋" w:cs="仿宋"/>
                <w:color w:val="auto"/>
                <w:sz w:val="24"/>
                <w:szCs w:val="24"/>
              </w:rPr>
            </w:pPr>
          </w:p>
        </w:tc>
        <w:tc>
          <w:tcPr>
            <w:tcW w:w="878" w:type="dxa"/>
            <w:gridSpan w:val="2"/>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1175" w:type="dxa"/>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7" w:type="dxa"/>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878" w:type="dxa"/>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7" w:type="dxa"/>
            <w:gridSpan w:val="2"/>
            <w:vAlign w:val="center"/>
          </w:tcPr>
          <w:p>
            <w:pPr>
              <w:pStyle w:val="14"/>
              <w:jc w:val="center"/>
              <w:rPr>
                <w:rFonts w:hint="eastAsia" w:ascii="仿宋" w:hAnsi="仿宋" w:eastAsia="仿宋" w:cs="仿宋"/>
                <w:color w:val="auto"/>
                <w:sz w:val="24"/>
                <w:szCs w:val="24"/>
              </w:rPr>
            </w:pPr>
          </w:p>
        </w:tc>
        <w:tc>
          <w:tcPr>
            <w:tcW w:w="878" w:type="dxa"/>
            <w:gridSpan w:val="2"/>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1175" w:type="dxa"/>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55" w:type="dxa"/>
            <w:gridSpan w:val="2"/>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备品备件(包括专用工具等)</w:t>
            </w: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7" w:type="dxa"/>
            <w:gridSpan w:val="2"/>
            <w:vAlign w:val="center"/>
          </w:tcPr>
          <w:p>
            <w:pPr>
              <w:pStyle w:val="14"/>
              <w:jc w:val="center"/>
              <w:rPr>
                <w:rFonts w:hint="eastAsia" w:ascii="仿宋" w:hAnsi="仿宋" w:eastAsia="仿宋" w:cs="仿宋"/>
                <w:color w:val="auto"/>
                <w:sz w:val="24"/>
                <w:szCs w:val="24"/>
              </w:rPr>
            </w:pPr>
          </w:p>
        </w:tc>
        <w:tc>
          <w:tcPr>
            <w:tcW w:w="878" w:type="dxa"/>
            <w:gridSpan w:val="2"/>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1175" w:type="dxa"/>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55" w:type="dxa"/>
            <w:gridSpan w:val="2"/>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耗材</w:t>
            </w: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877" w:type="dxa"/>
            <w:gridSpan w:val="2"/>
            <w:vAlign w:val="center"/>
          </w:tcPr>
          <w:p>
            <w:pPr>
              <w:pStyle w:val="14"/>
              <w:jc w:val="center"/>
              <w:rPr>
                <w:rFonts w:hint="eastAsia" w:ascii="仿宋" w:hAnsi="仿宋" w:eastAsia="仿宋" w:cs="仿宋"/>
                <w:color w:val="auto"/>
                <w:sz w:val="24"/>
                <w:szCs w:val="24"/>
              </w:rPr>
            </w:pPr>
          </w:p>
        </w:tc>
        <w:tc>
          <w:tcPr>
            <w:tcW w:w="878" w:type="dxa"/>
            <w:gridSpan w:val="2"/>
            <w:vAlign w:val="center"/>
          </w:tcPr>
          <w:p>
            <w:pPr>
              <w:pStyle w:val="14"/>
              <w:jc w:val="center"/>
              <w:rPr>
                <w:rFonts w:hint="eastAsia" w:ascii="仿宋" w:hAnsi="仿宋" w:eastAsia="仿宋" w:cs="仿宋"/>
                <w:color w:val="auto"/>
                <w:sz w:val="24"/>
                <w:szCs w:val="24"/>
              </w:rPr>
            </w:pPr>
          </w:p>
        </w:tc>
        <w:tc>
          <w:tcPr>
            <w:tcW w:w="877" w:type="dxa"/>
            <w:vAlign w:val="center"/>
          </w:tcPr>
          <w:p>
            <w:pPr>
              <w:pStyle w:val="14"/>
              <w:jc w:val="center"/>
              <w:rPr>
                <w:rFonts w:hint="eastAsia" w:ascii="仿宋" w:hAnsi="仿宋" w:eastAsia="仿宋" w:cs="仿宋"/>
                <w:color w:val="auto"/>
                <w:sz w:val="24"/>
                <w:szCs w:val="24"/>
              </w:rPr>
            </w:pPr>
          </w:p>
        </w:tc>
        <w:tc>
          <w:tcPr>
            <w:tcW w:w="878" w:type="dxa"/>
            <w:vAlign w:val="center"/>
          </w:tcPr>
          <w:p>
            <w:pPr>
              <w:pStyle w:val="14"/>
              <w:jc w:val="center"/>
              <w:rPr>
                <w:rFonts w:hint="eastAsia" w:ascii="仿宋" w:hAnsi="仿宋" w:eastAsia="仿宋" w:cs="仿宋"/>
                <w:color w:val="auto"/>
                <w:sz w:val="24"/>
                <w:szCs w:val="24"/>
              </w:rPr>
            </w:pPr>
          </w:p>
        </w:tc>
        <w:tc>
          <w:tcPr>
            <w:tcW w:w="1175" w:type="dxa"/>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货物费合计</w:t>
            </w:r>
          </w:p>
        </w:tc>
        <w:tc>
          <w:tcPr>
            <w:tcW w:w="7318" w:type="dxa"/>
            <w:gridSpan w:val="10"/>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restart"/>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包装运输费</w:t>
            </w: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包装费</w:t>
            </w:r>
          </w:p>
        </w:tc>
        <w:tc>
          <w:tcPr>
            <w:tcW w:w="1956" w:type="dxa"/>
            <w:gridSpan w:val="3"/>
            <w:vAlign w:val="center"/>
          </w:tcPr>
          <w:p>
            <w:pPr>
              <w:pStyle w:val="14"/>
              <w:jc w:val="center"/>
              <w:rPr>
                <w:rFonts w:hint="eastAsia" w:ascii="仿宋" w:hAnsi="仿宋" w:eastAsia="仿宋" w:cs="仿宋"/>
                <w:color w:val="auto"/>
                <w:sz w:val="24"/>
                <w:szCs w:val="24"/>
              </w:rPr>
            </w:pPr>
          </w:p>
        </w:tc>
        <w:tc>
          <w:tcPr>
            <w:tcW w:w="1010" w:type="dxa"/>
            <w:gridSpan w:val="2"/>
            <w:vMerge w:val="restart"/>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安装</w:t>
            </w:r>
          </w:p>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调试费</w:t>
            </w:r>
          </w:p>
        </w:tc>
        <w:tc>
          <w:tcPr>
            <w:tcW w:w="1422"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安装费</w:t>
            </w: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hint="eastAsia" w:ascii="仿宋" w:hAnsi="仿宋" w:eastAsia="仿宋" w:cs="仿宋"/>
                <w:color w:val="auto"/>
                <w:sz w:val="24"/>
                <w:szCs w:val="24"/>
              </w:rPr>
            </w:pP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运输费</w:t>
            </w:r>
          </w:p>
        </w:tc>
        <w:tc>
          <w:tcPr>
            <w:tcW w:w="1956" w:type="dxa"/>
            <w:gridSpan w:val="3"/>
            <w:vAlign w:val="center"/>
          </w:tcPr>
          <w:p>
            <w:pPr>
              <w:pStyle w:val="14"/>
              <w:jc w:val="center"/>
              <w:rPr>
                <w:rFonts w:hint="eastAsia" w:ascii="仿宋" w:hAnsi="仿宋" w:eastAsia="仿宋" w:cs="仿宋"/>
                <w:color w:val="auto"/>
                <w:sz w:val="24"/>
                <w:szCs w:val="24"/>
              </w:rPr>
            </w:pPr>
          </w:p>
        </w:tc>
        <w:tc>
          <w:tcPr>
            <w:tcW w:w="1010" w:type="dxa"/>
            <w:gridSpan w:val="2"/>
            <w:vMerge w:val="continue"/>
            <w:vAlign w:val="center"/>
          </w:tcPr>
          <w:p>
            <w:pPr>
              <w:pStyle w:val="14"/>
              <w:jc w:val="center"/>
              <w:rPr>
                <w:rFonts w:hint="eastAsia" w:ascii="仿宋" w:hAnsi="仿宋" w:eastAsia="仿宋" w:cs="仿宋"/>
                <w:color w:val="auto"/>
                <w:sz w:val="24"/>
                <w:szCs w:val="24"/>
              </w:rPr>
            </w:pPr>
          </w:p>
        </w:tc>
        <w:tc>
          <w:tcPr>
            <w:tcW w:w="1422"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调试费</w:t>
            </w: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hint="eastAsia" w:ascii="仿宋" w:hAnsi="仿宋" w:eastAsia="仿宋" w:cs="仿宋"/>
                <w:color w:val="auto"/>
                <w:sz w:val="24"/>
                <w:szCs w:val="24"/>
              </w:rPr>
            </w:pP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装卸费</w:t>
            </w:r>
          </w:p>
        </w:tc>
        <w:tc>
          <w:tcPr>
            <w:tcW w:w="1956" w:type="dxa"/>
            <w:gridSpan w:val="3"/>
            <w:vAlign w:val="center"/>
          </w:tcPr>
          <w:p>
            <w:pPr>
              <w:pStyle w:val="14"/>
              <w:jc w:val="center"/>
              <w:rPr>
                <w:rFonts w:hint="eastAsia" w:ascii="仿宋" w:hAnsi="仿宋" w:eastAsia="仿宋" w:cs="仿宋"/>
                <w:color w:val="auto"/>
                <w:sz w:val="24"/>
                <w:szCs w:val="24"/>
              </w:rPr>
            </w:pPr>
          </w:p>
        </w:tc>
        <w:tc>
          <w:tcPr>
            <w:tcW w:w="1010" w:type="dxa"/>
            <w:gridSpan w:val="2"/>
            <w:vMerge w:val="continue"/>
            <w:vAlign w:val="center"/>
          </w:tcPr>
          <w:p>
            <w:pPr>
              <w:pStyle w:val="14"/>
              <w:jc w:val="center"/>
              <w:rPr>
                <w:rFonts w:hint="eastAsia" w:ascii="仿宋" w:hAnsi="仿宋" w:eastAsia="仿宋" w:cs="仿宋"/>
                <w:color w:val="auto"/>
                <w:sz w:val="24"/>
                <w:szCs w:val="24"/>
              </w:rPr>
            </w:pPr>
          </w:p>
        </w:tc>
        <w:tc>
          <w:tcPr>
            <w:tcW w:w="1422" w:type="dxa"/>
            <w:gridSpan w:val="2"/>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continue"/>
            <w:vAlign w:val="center"/>
          </w:tcPr>
          <w:p>
            <w:pPr>
              <w:pStyle w:val="14"/>
              <w:jc w:val="center"/>
              <w:rPr>
                <w:rFonts w:hint="eastAsia" w:ascii="仿宋" w:hAnsi="仿宋" w:eastAsia="仿宋" w:cs="仿宋"/>
                <w:color w:val="auto"/>
                <w:sz w:val="24"/>
                <w:szCs w:val="24"/>
              </w:rPr>
            </w:pP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保险费</w:t>
            </w:r>
          </w:p>
        </w:tc>
        <w:tc>
          <w:tcPr>
            <w:tcW w:w="1956" w:type="dxa"/>
            <w:gridSpan w:val="3"/>
            <w:vAlign w:val="center"/>
          </w:tcPr>
          <w:p>
            <w:pPr>
              <w:pStyle w:val="14"/>
              <w:jc w:val="center"/>
              <w:rPr>
                <w:rFonts w:hint="eastAsia" w:ascii="仿宋" w:hAnsi="仿宋" w:eastAsia="仿宋" w:cs="仿宋"/>
                <w:color w:val="auto"/>
                <w:sz w:val="24"/>
                <w:szCs w:val="24"/>
              </w:rPr>
            </w:pPr>
          </w:p>
        </w:tc>
        <w:tc>
          <w:tcPr>
            <w:tcW w:w="1010" w:type="dxa"/>
            <w:gridSpan w:val="2"/>
            <w:vMerge w:val="continue"/>
            <w:vAlign w:val="center"/>
          </w:tcPr>
          <w:p>
            <w:pPr>
              <w:pStyle w:val="14"/>
              <w:jc w:val="center"/>
              <w:rPr>
                <w:rFonts w:hint="eastAsia" w:ascii="仿宋" w:hAnsi="仿宋" w:eastAsia="仿宋" w:cs="仿宋"/>
                <w:color w:val="auto"/>
                <w:sz w:val="24"/>
                <w:szCs w:val="24"/>
              </w:rPr>
            </w:pPr>
          </w:p>
        </w:tc>
        <w:tc>
          <w:tcPr>
            <w:tcW w:w="1422"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hint="eastAsia" w:ascii="仿宋" w:hAnsi="仿宋" w:eastAsia="仿宋" w:cs="仿宋"/>
                <w:color w:val="auto"/>
                <w:sz w:val="24"/>
                <w:szCs w:val="24"/>
              </w:rPr>
            </w:pP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956" w:type="dxa"/>
            <w:gridSpan w:val="3"/>
            <w:vAlign w:val="center"/>
          </w:tcPr>
          <w:p>
            <w:pPr>
              <w:pStyle w:val="14"/>
              <w:jc w:val="center"/>
              <w:rPr>
                <w:rFonts w:hint="eastAsia" w:ascii="仿宋" w:hAnsi="仿宋" w:eastAsia="仿宋" w:cs="仿宋"/>
                <w:color w:val="auto"/>
                <w:sz w:val="24"/>
                <w:szCs w:val="24"/>
              </w:rPr>
            </w:pPr>
          </w:p>
        </w:tc>
        <w:tc>
          <w:tcPr>
            <w:tcW w:w="1010" w:type="dxa"/>
            <w:gridSpan w:val="2"/>
            <w:vMerge w:val="restart"/>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售后</w:t>
            </w:r>
          </w:p>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服务费</w:t>
            </w:r>
          </w:p>
        </w:tc>
        <w:tc>
          <w:tcPr>
            <w:tcW w:w="1422"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培训费</w:t>
            </w: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7" w:type="dxa"/>
            <w:vMerge w:val="continue"/>
            <w:vAlign w:val="center"/>
          </w:tcPr>
          <w:p>
            <w:pPr>
              <w:pStyle w:val="14"/>
              <w:jc w:val="center"/>
              <w:rPr>
                <w:rFonts w:hint="eastAsia" w:ascii="仿宋" w:hAnsi="仿宋" w:eastAsia="仿宋" w:cs="仿宋"/>
                <w:color w:val="auto"/>
                <w:sz w:val="24"/>
                <w:szCs w:val="24"/>
              </w:rPr>
            </w:pP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1956" w:type="dxa"/>
            <w:gridSpan w:val="3"/>
            <w:vAlign w:val="center"/>
          </w:tcPr>
          <w:p>
            <w:pPr>
              <w:pStyle w:val="14"/>
              <w:jc w:val="center"/>
              <w:rPr>
                <w:rFonts w:hint="eastAsia" w:ascii="仿宋" w:hAnsi="仿宋" w:eastAsia="仿宋" w:cs="仿宋"/>
                <w:color w:val="auto"/>
                <w:sz w:val="24"/>
                <w:szCs w:val="24"/>
              </w:rPr>
            </w:pPr>
          </w:p>
        </w:tc>
        <w:tc>
          <w:tcPr>
            <w:tcW w:w="1010" w:type="dxa"/>
            <w:gridSpan w:val="2"/>
            <w:vMerge w:val="continue"/>
            <w:vAlign w:val="center"/>
          </w:tcPr>
          <w:p>
            <w:pPr>
              <w:pStyle w:val="14"/>
              <w:jc w:val="center"/>
              <w:rPr>
                <w:rFonts w:hint="eastAsia" w:ascii="仿宋" w:hAnsi="仿宋" w:eastAsia="仿宋" w:cs="仿宋"/>
                <w:color w:val="auto"/>
                <w:sz w:val="24"/>
                <w:szCs w:val="24"/>
              </w:rPr>
            </w:pPr>
          </w:p>
        </w:tc>
        <w:tc>
          <w:tcPr>
            <w:tcW w:w="1422"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技术服务费</w:t>
            </w: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restart"/>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其他</w:t>
            </w:r>
          </w:p>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费用</w:t>
            </w: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代理费</w:t>
            </w:r>
          </w:p>
        </w:tc>
        <w:tc>
          <w:tcPr>
            <w:tcW w:w="878" w:type="dxa"/>
            <w:vAlign w:val="center"/>
          </w:tcPr>
          <w:p>
            <w:pPr>
              <w:pStyle w:val="14"/>
              <w:jc w:val="center"/>
              <w:rPr>
                <w:rFonts w:hint="eastAsia" w:ascii="仿宋" w:hAnsi="仿宋" w:eastAsia="仿宋" w:cs="仿宋"/>
                <w:color w:val="auto"/>
                <w:sz w:val="24"/>
                <w:szCs w:val="24"/>
              </w:rPr>
            </w:pPr>
          </w:p>
        </w:tc>
        <w:tc>
          <w:tcPr>
            <w:tcW w:w="1078" w:type="dxa"/>
            <w:gridSpan w:val="2"/>
            <w:vAlign w:val="center"/>
          </w:tcPr>
          <w:p>
            <w:pPr>
              <w:pStyle w:val="14"/>
              <w:jc w:val="center"/>
              <w:rPr>
                <w:rFonts w:hint="eastAsia" w:ascii="仿宋" w:hAnsi="仿宋" w:eastAsia="仿宋" w:cs="仿宋"/>
                <w:color w:val="auto"/>
                <w:sz w:val="24"/>
                <w:szCs w:val="24"/>
              </w:rPr>
            </w:pPr>
          </w:p>
        </w:tc>
        <w:tc>
          <w:tcPr>
            <w:tcW w:w="1010" w:type="dxa"/>
            <w:gridSpan w:val="2"/>
            <w:vMerge w:val="continue"/>
            <w:vAlign w:val="center"/>
          </w:tcPr>
          <w:p>
            <w:pPr>
              <w:pStyle w:val="14"/>
              <w:jc w:val="center"/>
              <w:rPr>
                <w:rFonts w:hint="eastAsia" w:ascii="仿宋" w:hAnsi="仿宋" w:eastAsia="仿宋" w:cs="仿宋"/>
                <w:color w:val="auto"/>
                <w:sz w:val="24"/>
                <w:szCs w:val="24"/>
              </w:rPr>
            </w:pPr>
          </w:p>
        </w:tc>
        <w:tc>
          <w:tcPr>
            <w:tcW w:w="1422" w:type="dxa"/>
            <w:gridSpan w:val="2"/>
            <w:vAlign w:val="center"/>
          </w:tcPr>
          <w:p>
            <w:pPr>
              <w:pStyle w:val="14"/>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hint="eastAsia" w:ascii="仿宋" w:hAnsi="仿宋" w:eastAsia="仿宋" w:cs="仿宋"/>
                <w:color w:val="auto"/>
                <w:sz w:val="24"/>
                <w:szCs w:val="24"/>
              </w:rPr>
            </w:pP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878" w:type="dxa"/>
            <w:vAlign w:val="center"/>
          </w:tcPr>
          <w:p>
            <w:pPr>
              <w:pStyle w:val="14"/>
              <w:jc w:val="center"/>
              <w:rPr>
                <w:rFonts w:hint="eastAsia" w:ascii="仿宋" w:hAnsi="仿宋" w:eastAsia="仿宋" w:cs="仿宋"/>
                <w:color w:val="auto"/>
                <w:sz w:val="24"/>
                <w:szCs w:val="24"/>
              </w:rPr>
            </w:pPr>
          </w:p>
        </w:tc>
        <w:tc>
          <w:tcPr>
            <w:tcW w:w="1078" w:type="dxa"/>
            <w:gridSpan w:val="2"/>
            <w:vAlign w:val="center"/>
          </w:tcPr>
          <w:p>
            <w:pPr>
              <w:pStyle w:val="14"/>
              <w:jc w:val="center"/>
              <w:rPr>
                <w:rFonts w:hint="eastAsia" w:ascii="仿宋" w:hAnsi="仿宋" w:eastAsia="仿宋" w:cs="仿宋"/>
                <w:color w:val="auto"/>
                <w:sz w:val="24"/>
                <w:szCs w:val="24"/>
              </w:rPr>
            </w:pPr>
          </w:p>
        </w:tc>
        <w:tc>
          <w:tcPr>
            <w:tcW w:w="1010" w:type="dxa"/>
            <w:gridSpan w:val="2"/>
            <w:vMerge w:val="continue"/>
            <w:vAlign w:val="center"/>
          </w:tcPr>
          <w:p>
            <w:pPr>
              <w:pStyle w:val="14"/>
              <w:jc w:val="center"/>
              <w:rPr>
                <w:rFonts w:hint="eastAsia" w:ascii="仿宋" w:hAnsi="仿宋" w:eastAsia="仿宋" w:cs="仿宋"/>
                <w:color w:val="auto"/>
                <w:sz w:val="24"/>
                <w:szCs w:val="24"/>
              </w:rPr>
            </w:pPr>
          </w:p>
        </w:tc>
        <w:tc>
          <w:tcPr>
            <w:tcW w:w="1422" w:type="dxa"/>
            <w:gridSpan w:val="2"/>
            <w:vAlign w:val="center"/>
          </w:tcPr>
          <w:p>
            <w:pPr>
              <w:pStyle w:val="14"/>
              <w:jc w:val="center"/>
              <w:rPr>
                <w:rFonts w:hint="eastAsia" w:ascii="仿宋" w:hAnsi="仿宋" w:eastAsia="仿宋" w:cs="仿宋"/>
                <w:color w:val="auto"/>
                <w:sz w:val="24"/>
                <w:szCs w:val="24"/>
              </w:rPr>
            </w:pPr>
          </w:p>
        </w:tc>
        <w:tc>
          <w:tcPr>
            <w:tcW w:w="2053" w:type="dxa"/>
            <w:gridSpan w:val="2"/>
            <w:vAlign w:val="center"/>
          </w:tcPr>
          <w:p>
            <w:pPr>
              <w:pStyle w:val="14"/>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77" w:type="dxa"/>
            <w:vMerge w:val="continue"/>
            <w:vAlign w:val="center"/>
          </w:tcPr>
          <w:p>
            <w:pPr>
              <w:pStyle w:val="14"/>
              <w:jc w:val="center"/>
              <w:rPr>
                <w:rFonts w:hint="eastAsia" w:ascii="仿宋" w:hAnsi="仿宋" w:eastAsia="仿宋" w:cs="仿宋"/>
                <w:color w:val="auto"/>
                <w:sz w:val="24"/>
                <w:szCs w:val="24"/>
              </w:rPr>
            </w:pPr>
          </w:p>
        </w:tc>
        <w:tc>
          <w:tcPr>
            <w:tcW w:w="1755"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878" w:type="dxa"/>
            <w:vAlign w:val="center"/>
          </w:tcPr>
          <w:p>
            <w:pPr>
              <w:pStyle w:val="14"/>
              <w:jc w:val="center"/>
              <w:rPr>
                <w:rFonts w:hint="eastAsia" w:ascii="仿宋" w:hAnsi="仿宋" w:eastAsia="仿宋" w:cs="仿宋"/>
                <w:color w:val="auto"/>
                <w:sz w:val="24"/>
                <w:szCs w:val="24"/>
              </w:rPr>
            </w:pPr>
          </w:p>
        </w:tc>
        <w:tc>
          <w:tcPr>
            <w:tcW w:w="1078" w:type="dxa"/>
            <w:gridSpan w:val="2"/>
            <w:vAlign w:val="center"/>
          </w:tcPr>
          <w:p>
            <w:pPr>
              <w:pStyle w:val="14"/>
              <w:jc w:val="center"/>
              <w:rPr>
                <w:rFonts w:hint="eastAsia" w:ascii="仿宋" w:hAnsi="仿宋" w:eastAsia="仿宋" w:cs="仿宋"/>
                <w:color w:val="auto"/>
                <w:sz w:val="24"/>
                <w:szCs w:val="24"/>
              </w:rPr>
            </w:pPr>
          </w:p>
        </w:tc>
        <w:tc>
          <w:tcPr>
            <w:tcW w:w="1010" w:type="dxa"/>
            <w:gridSpan w:val="2"/>
            <w:vMerge w:val="continue"/>
            <w:vAlign w:val="center"/>
          </w:tcPr>
          <w:p>
            <w:pPr>
              <w:pStyle w:val="14"/>
              <w:jc w:val="center"/>
              <w:rPr>
                <w:rFonts w:hint="eastAsia" w:ascii="仿宋" w:hAnsi="仿宋" w:eastAsia="仿宋" w:cs="仿宋"/>
                <w:color w:val="auto"/>
                <w:sz w:val="24"/>
                <w:szCs w:val="24"/>
              </w:rPr>
            </w:pPr>
          </w:p>
        </w:tc>
        <w:tc>
          <w:tcPr>
            <w:tcW w:w="1422" w:type="dxa"/>
            <w:gridSpan w:val="2"/>
            <w:vAlign w:val="center"/>
          </w:tcPr>
          <w:p>
            <w:pPr>
              <w:pStyle w:val="14"/>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2053" w:type="dxa"/>
            <w:gridSpan w:val="2"/>
            <w:vAlign w:val="center"/>
          </w:tcPr>
          <w:p>
            <w:pPr>
              <w:pStyle w:val="14"/>
              <w:jc w:val="center"/>
              <w:rPr>
                <w:rFonts w:hint="eastAsia" w:ascii="仿宋" w:hAnsi="仿宋" w:eastAsia="仿宋" w:cs="仿宋"/>
                <w:color w:val="auto"/>
                <w:sz w:val="24"/>
                <w:szCs w:val="24"/>
              </w:rPr>
            </w:pPr>
          </w:p>
        </w:tc>
      </w:tr>
    </w:tbl>
    <w:p>
      <w:pPr>
        <w:pStyle w:val="14"/>
        <w:ind w:firstLine="480" w:firstLineChars="200"/>
        <w:rPr>
          <w:rFonts w:hint="eastAsia" w:ascii="仿宋" w:hAnsi="仿宋" w:eastAsia="仿宋" w:cs="仿宋"/>
          <w:b/>
          <w:bCs/>
          <w:color w:val="auto"/>
          <w:szCs w:val="24"/>
        </w:rPr>
      </w:pPr>
      <w:r>
        <w:rPr>
          <w:rFonts w:hint="eastAsia" w:ascii="仿宋" w:hAnsi="仿宋" w:eastAsia="仿宋" w:cs="仿宋"/>
          <w:color w:val="auto"/>
          <w:sz w:val="24"/>
          <w:szCs w:val="24"/>
        </w:rPr>
        <w:t>说明：本表中的政策功能类型及编号是指产品在最新一期节能、环保清单内的编号。</w:t>
      </w:r>
    </w:p>
    <w:p>
      <w:pPr>
        <w:adjustRightInd w:val="0"/>
        <w:snapToGrid w:val="0"/>
        <w:spacing w:line="360" w:lineRule="auto"/>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投标人（盖单位章）：</w:t>
      </w:r>
    </w:p>
    <w:p>
      <w:pPr>
        <w:adjustRightInd w:val="0"/>
        <w:snapToGrid w:val="0"/>
        <w:spacing w:line="360" w:lineRule="auto"/>
        <w:ind w:firstLine="240" w:firstLineChars="100"/>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lang w:val="en-US" w:eastAsia="zh-CN"/>
        </w:rPr>
        <w:t xml:space="preserve"> </w:t>
      </w:r>
      <w:r>
        <w:rPr>
          <w:rFonts w:hint="eastAsia" w:ascii="仿宋" w:hAnsi="仿宋" w:eastAsia="仿宋" w:cs="仿宋"/>
          <w:color w:val="auto"/>
          <w:sz w:val="24"/>
          <w:szCs w:val="21"/>
        </w:rPr>
        <w:t>法定代表人或其委托代理人签字：</w:t>
      </w:r>
      <w:r>
        <w:rPr>
          <w:rFonts w:hint="eastAsia" w:ascii="仿宋" w:hAnsi="仿宋" w:eastAsia="仿宋" w:cs="仿宋"/>
          <w:color w:val="auto"/>
          <w:sz w:val="24"/>
          <w:szCs w:val="21"/>
          <w:u w:val="single"/>
        </w:rPr>
        <w:t xml:space="preserve">       </w:t>
      </w:r>
    </w:p>
    <w:p>
      <w:pPr>
        <w:adjustRightInd w:val="0"/>
        <w:snapToGrid w:val="0"/>
        <w:spacing w:line="360" w:lineRule="auto"/>
        <w:ind w:right="24" w:firstLine="240" w:firstLineChars="100"/>
        <w:rPr>
          <w:rFonts w:hint="eastAsia" w:ascii="仿宋" w:hAnsi="仿宋" w:eastAsia="仿宋" w:cs="仿宋"/>
          <w:bCs/>
          <w:color w:val="auto"/>
          <w:sz w:val="36"/>
          <w:szCs w:val="28"/>
        </w:rPr>
      </w:pPr>
      <w:r>
        <w:rPr>
          <w:rFonts w:hint="eastAsia" w:ascii="仿宋" w:hAnsi="仿宋" w:eastAsia="仿宋" w:cs="仿宋"/>
          <w:color w:val="auto"/>
          <w:sz w:val="24"/>
          <w:szCs w:val="21"/>
        </w:rPr>
        <w:t xml:space="preserve">  日期：</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spacing w:line="360" w:lineRule="auto"/>
        <w:ind w:left="379" w:leftChars="30" w:hanging="316" w:hangingChars="150"/>
        <w:rPr>
          <w:rFonts w:hint="eastAsia" w:ascii="仿宋" w:hAnsi="仿宋" w:eastAsia="仿宋" w:cs="仿宋"/>
          <w:b/>
          <w:color w:val="auto"/>
        </w:rPr>
      </w:pPr>
    </w:p>
    <w:p>
      <w:pPr>
        <w:pStyle w:val="5"/>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82" w:name="_Toc19569"/>
      <w:bookmarkStart w:id="183" w:name="_Toc130139089"/>
      <w:r>
        <w:rPr>
          <w:rFonts w:hint="eastAsia" w:ascii="仿宋" w:hAnsi="仿宋" w:eastAsia="仿宋" w:cs="仿宋"/>
          <w:color w:val="auto"/>
          <w:sz w:val="28"/>
          <w:szCs w:val="28"/>
        </w:rPr>
        <w:t>格式</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技术规格差异表</w:t>
      </w:r>
      <w:bookmarkEnd w:id="182"/>
      <w:bookmarkEnd w:id="183"/>
    </w:p>
    <w:p>
      <w:pPr>
        <w:rPr>
          <w:rFonts w:hint="eastAsia" w:ascii="仿宋" w:hAnsi="仿宋" w:eastAsia="仿宋" w:cs="仿宋"/>
          <w:color w:val="auto"/>
        </w:rPr>
      </w:pPr>
    </w:p>
    <w:p>
      <w:pPr>
        <w:spacing w:line="360" w:lineRule="auto"/>
        <w:ind w:left="-2" w:leftChars="-1" w:firstLine="2"/>
        <w:rPr>
          <w:rFonts w:hint="eastAsia" w:ascii="仿宋" w:hAnsi="仿宋" w:eastAsia="仿宋" w:cs="仿宋"/>
          <w:color w:val="auto"/>
          <w:sz w:val="24"/>
          <w:u w:val="single"/>
          <w:lang w:val="en-US" w:eastAsia="zh-CN"/>
        </w:rPr>
      </w:pPr>
      <w:r>
        <w:rPr>
          <w:rFonts w:hint="eastAsia" w:ascii="仿宋" w:hAnsi="仿宋" w:eastAsia="仿宋" w:cs="仿宋"/>
          <w:color w:val="auto"/>
          <w:sz w:val="24"/>
        </w:rPr>
        <w:t>项目名称：</w:t>
      </w:r>
      <w:r>
        <w:rPr>
          <w:rFonts w:hint="eastAsia" w:ascii="仿宋" w:hAnsi="仿宋" w:eastAsia="仿宋" w:cs="仿宋"/>
          <w:color w:val="auto"/>
          <w:sz w:val="24"/>
          <w:u w:val="single"/>
          <w:lang w:val="en-US" w:eastAsia="zh-CN"/>
        </w:rPr>
        <w:t xml:space="preserve">                            </w:t>
      </w:r>
    </w:p>
    <w:p>
      <w:pPr>
        <w:spacing w:line="360" w:lineRule="auto"/>
        <w:ind w:left="-2" w:leftChars="-1" w:firstLine="2"/>
        <w:rPr>
          <w:rFonts w:hint="eastAsia" w:ascii="仿宋" w:hAnsi="仿宋" w:eastAsia="仿宋" w:cs="仿宋"/>
          <w:color w:val="auto"/>
          <w:sz w:val="24"/>
          <w:lang w:eastAsia="zh-CN"/>
        </w:rPr>
      </w:pPr>
      <w:r>
        <w:rPr>
          <w:rFonts w:hint="eastAsia" w:ascii="仿宋" w:hAnsi="仿宋" w:eastAsia="仿宋" w:cs="仿宋"/>
          <w:color w:val="auto"/>
          <w:sz w:val="24"/>
        </w:rPr>
        <w:t>招标编号：</w:t>
      </w:r>
      <w:r>
        <w:rPr>
          <w:rFonts w:hint="eastAsia" w:ascii="仿宋" w:hAnsi="仿宋" w:eastAsia="仿宋" w:cs="仿宋"/>
          <w:color w:val="auto"/>
          <w:sz w:val="24"/>
          <w:u w:val="single"/>
          <w:lang w:val="en-US" w:eastAsia="zh-CN"/>
        </w:rPr>
        <w:t xml:space="preserve">                            </w:t>
      </w:r>
    </w:p>
    <w:tbl>
      <w:tblPr>
        <w:tblStyle w:val="21"/>
        <w:tblW w:w="916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241"/>
        <w:gridCol w:w="2344"/>
        <w:gridCol w:w="1628"/>
        <w:gridCol w:w="8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427"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名称</w:t>
            </w:r>
          </w:p>
        </w:tc>
        <w:tc>
          <w:tcPr>
            <w:tcW w:w="2241" w:type="dxa"/>
            <w:shd w:val="clear" w:color="auto" w:fill="E0E0E0"/>
            <w:noWrap w:val="0"/>
            <w:vAlign w:val="center"/>
          </w:tcPr>
          <w:p>
            <w:pPr>
              <w:snapToGrid w:val="0"/>
              <w:spacing w:line="360" w:lineRule="auto"/>
              <w:ind w:left="-112" w:leftChars="-54" w:right="-105" w:rightChars="-50" w:hanging="1"/>
              <w:jc w:val="center"/>
              <w:rPr>
                <w:rFonts w:hint="eastAsia" w:ascii="仿宋" w:hAnsi="仿宋" w:eastAsia="仿宋" w:cs="仿宋"/>
                <w:b/>
                <w:color w:val="auto"/>
                <w:sz w:val="24"/>
              </w:rPr>
            </w:pPr>
            <w:r>
              <w:rPr>
                <w:rFonts w:hint="eastAsia" w:ascii="仿宋" w:hAnsi="仿宋" w:eastAsia="仿宋" w:cs="仿宋"/>
                <w:b/>
                <w:color w:val="auto"/>
                <w:sz w:val="24"/>
              </w:rPr>
              <w:t>原技术规范主要条款描述</w:t>
            </w:r>
          </w:p>
        </w:tc>
        <w:tc>
          <w:tcPr>
            <w:tcW w:w="2344" w:type="dxa"/>
            <w:shd w:val="clear" w:color="auto" w:fill="E0E0E0"/>
            <w:noWrap w:val="0"/>
            <w:vAlign w:val="center"/>
          </w:tcPr>
          <w:p>
            <w:pPr>
              <w:snapToGrid w:val="0"/>
              <w:spacing w:line="360" w:lineRule="auto"/>
              <w:ind w:left="-111" w:leftChars="-53" w:right="-105" w:rightChars="-50"/>
              <w:jc w:val="center"/>
              <w:rPr>
                <w:rFonts w:hint="eastAsia" w:ascii="仿宋" w:hAnsi="仿宋" w:eastAsia="仿宋" w:cs="仿宋"/>
                <w:b/>
                <w:color w:val="auto"/>
                <w:sz w:val="24"/>
              </w:rPr>
            </w:pPr>
            <w:r>
              <w:rPr>
                <w:rFonts w:hint="eastAsia" w:ascii="仿宋" w:hAnsi="仿宋" w:eastAsia="仿宋" w:cs="仿宋"/>
                <w:b/>
                <w:color w:val="auto"/>
                <w:sz w:val="24"/>
              </w:rPr>
              <w:t>投标人技术规范描述</w:t>
            </w:r>
          </w:p>
        </w:tc>
        <w:tc>
          <w:tcPr>
            <w:tcW w:w="1628"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偏离情况</w:t>
            </w:r>
          </w:p>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说明</w:t>
            </w:r>
          </w:p>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w:t>
            </w:r>
          </w:p>
        </w:tc>
        <w:tc>
          <w:tcPr>
            <w:tcW w:w="814"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27" w:type="dxa"/>
            <w:noWrap w:val="0"/>
            <w:vAlign w:val="center"/>
          </w:tcPr>
          <w:p>
            <w:pPr>
              <w:snapToGrid w:val="0"/>
              <w:spacing w:line="360" w:lineRule="auto"/>
              <w:jc w:val="center"/>
              <w:rPr>
                <w:rFonts w:hint="eastAsia" w:ascii="仿宋" w:hAnsi="仿宋" w:eastAsia="仿宋" w:cs="仿宋"/>
                <w:color w:val="auto"/>
                <w:sz w:val="24"/>
              </w:rPr>
            </w:pPr>
          </w:p>
        </w:tc>
        <w:tc>
          <w:tcPr>
            <w:tcW w:w="2241" w:type="dxa"/>
            <w:noWrap w:val="0"/>
            <w:vAlign w:val="center"/>
          </w:tcPr>
          <w:p>
            <w:pPr>
              <w:snapToGrid w:val="0"/>
              <w:spacing w:line="360" w:lineRule="auto"/>
              <w:jc w:val="center"/>
              <w:rPr>
                <w:rFonts w:hint="eastAsia" w:ascii="仿宋" w:hAnsi="仿宋" w:eastAsia="仿宋" w:cs="仿宋"/>
                <w:color w:val="auto"/>
                <w:sz w:val="24"/>
              </w:rPr>
            </w:pPr>
          </w:p>
        </w:tc>
        <w:tc>
          <w:tcPr>
            <w:tcW w:w="2344" w:type="dxa"/>
            <w:noWrap w:val="0"/>
            <w:vAlign w:val="center"/>
          </w:tcPr>
          <w:p>
            <w:pPr>
              <w:snapToGrid w:val="0"/>
              <w:spacing w:line="360" w:lineRule="auto"/>
              <w:jc w:val="center"/>
              <w:rPr>
                <w:rFonts w:hint="eastAsia" w:ascii="仿宋" w:hAnsi="仿宋" w:eastAsia="仿宋" w:cs="仿宋"/>
                <w:color w:val="auto"/>
                <w:sz w:val="24"/>
              </w:rPr>
            </w:pPr>
          </w:p>
        </w:tc>
        <w:tc>
          <w:tcPr>
            <w:tcW w:w="1628" w:type="dxa"/>
            <w:noWrap w:val="0"/>
            <w:vAlign w:val="center"/>
          </w:tcPr>
          <w:p>
            <w:pPr>
              <w:snapToGrid w:val="0"/>
              <w:spacing w:line="360" w:lineRule="auto"/>
              <w:jc w:val="center"/>
              <w:rPr>
                <w:rFonts w:hint="eastAsia" w:ascii="仿宋" w:hAnsi="仿宋" w:eastAsia="仿宋" w:cs="仿宋"/>
                <w:color w:val="auto"/>
                <w:sz w:val="24"/>
              </w:rPr>
            </w:pPr>
          </w:p>
        </w:tc>
        <w:tc>
          <w:tcPr>
            <w:tcW w:w="814" w:type="dxa"/>
            <w:noWrap w:val="0"/>
            <w:vAlign w:val="center"/>
          </w:tcPr>
          <w:p>
            <w:pPr>
              <w:snapToGrid w:val="0"/>
              <w:spacing w:line="36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1427" w:type="dxa"/>
            <w:noWrap w:val="0"/>
            <w:vAlign w:val="center"/>
          </w:tcPr>
          <w:p>
            <w:pPr>
              <w:snapToGrid w:val="0"/>
              <w:spacing w:line="360" w:lineRule="auto"/>
              <w:jc w:val="center"/>
              <w:rPr>
                <w:rFonts w:hint="eastAsia" w:ascii="仿宋" w:hAnsi="仿宋" w:eastAsia="仿宋" w:cs="仿宋"/>
                <w:color w:val="auto"/>
                <w:sz w:val="24"/>
              </w:rPr>
            </w:pPr>
          </w:p>
        </w:tc>
        <w:tc>
          <w:tcPr>
            <w:tcW w:w="2241" w:type="dxa"/>
            <w:noWrap w:val="0"/>
            <w:vAlign w:val="center"/>
          </w:tcPr>
          <w:p>
            <w:pPr>
              <w:snapToGrid w:val="0"/>
              <w:spacing w:line="360" w:lineRule="auto"/>
              <w:jc w:val="center"/>
              <w:rPr>
                <w:rFonts w:hint="eastAsia" w:ascii="仿宋" w:hAnsi="仿宋" w:eastAsia="仿宋" w:cs="仿宋"/>
                <w:color w:val="auto"/>
                <w:sz w:val="24"/>
              </w:rPr>
            </w:pPr>
          </w:p>
        </w:tc>
        <w:tc>
          <w:tcPr>
            <w:tcW w:w="2344" w:type="dxa"/>
            <w:noWrap w:val="0"/>
            <w:vAlign w:val="center"/>
          </w:tcPr>
          <w:p>
            <w:pPr>
              <w:snapToGrid w:val="0"/>
              <w:spacing w:line="360" w:lineRule="auto"/>
              <w:jc w:val="center"/>
              <w:rPr>
                <w:rFonts w:hint="eastAsia" w:ascii="仿宋" w:hAnsi="仿宋" w:eastAsia="仿宋" w:cs="仿宋"/>
                <w:color w:val="auto"/>
                <w:sz w:val="24"/>
              </w:rPr>
            </w:pPr>
          </w:p>
        </w:tc>
        <w:tc>
          <w:tcPr>
            <w:tcW w:w="1628" w:type="dxa"/>
            <w:noWrap w:val="0"/>
            <w:vAlign w:val="center"/>
          </w:tcPr>
          <w:p>
            <w:pPr>
              <w:snapToGrid w:val="0"/>
              <w:spacing w:line="360" w:lineRule="auto"/>
              <w:jc w:val="center"/>
              <w:rPr>
                <w:rFonts w:hint="eastAsia" w:ascii="仿宋" w:hAnsi="仿宋" w:eastAsia="仿宋" w:cs="仿宋"/>
                <w:color w:val="auto"/>
                <w:sz w:val="24"/>
              </w:rPr>
            </w:pPr>
          </w:p>
        </w:tc>
        <w:tc>
          <w:tcPr>
            <w:tcW w:w="814" w:type="dxa"/>
            <w:noWrap w:val="0"/>
            <w:vAlign w:val="center"/>
          </w:tcPr>
          <w:p>
            <w:pPr>
              <w:snapToGrid w:val="0"/>
              <w:spacing w:line="360" w:lineRule="auto"/>
              <w:jc w:val="center"/>
              <w:rPr>
                <w:rFonts w:hint="eastAsia" w:ascii="仿宋" w:hAnsi="仿宋" w:eastAsia="仿宋" w:cs="仿宋"/>
                <w:color w:val="auto"/>
                <w:sz w:val="24"/>
              </w:rPr>
            </w:pPr>
          </w:p>
        </w:tc>
      </w:tr>
    </w:tbl>
    <w:p>
      <w:pPr>
        <w:snapToGrid w:val="0"/>
        <w:rPr>
          <w:rFonts w:hint="eastAsia" w:ascii="仿宋" w:hAnsi="仿宋" w:eastAsia="仿宋" w:cs="仿宋"/>
          <w:bCs/>
          <w:color w:val="auto"/>
          <w:sz w:val="24"/>
        </w:rPr>
      </w:pP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p>
    <w:p>
      <w:pPr>
        <w:tabs>
          <w:tab w:val="left" w:pos="11130"/>
        </w:tabs>
        <w:snapToGrid w:val="0"/>
        <w:rPr>
          <w:rFonts w:hint="eastAsia" w:ascii="仿宋" w:hAnsi="仿宋" w:eastAsia="仿宋" w:cs="仿宋"/>
          <w:bCs/>
          <w:color w:val="auto"/>
          <w:sz w:val="24"/>
        </w:rPr>
      </w:pPr>
    </w:p>
    <w:p>
      <w:pPr>
        <w:tabs>
          <w:tab w:val="left" w:pos="11130"/>
        </w:tabs>
        <w:snapToGrid w:val="0"/>
        <w:rPr>
          <w:rFonts w:hint="eastAsia" w:ascii="仿宋" w:hAnsi="仿宋" w:eastAsia="仿宋" w:cs="仿宋"/>
          <w:bCs/>
          <w:color w:val="auto"/>
          <w:sz w:val="24"/>
        </w:rPr>
      </w:pPr>
    </w:p>
    <w:p>
      <w:pPr>
        <w:tabs>
          <w:tab w:val="left" w:pos="11130"/>
        </w:tabs>
        <w:snapToGrid w:val="0"/>
        <w:rPr>
          <w:rFonts w:hint="eastAsia" w:ascii="仿宋" w:hAnsi="仿宋" w:eastAsia="仿宋" w:cs="仿宋"/>
          <w:bCs/>
          <w:color w:val="auto"/>
          <w:sz w:val="24"/>
        </w:rPr>
      </w:pPr>
    </w:p>
    <w:p>
      <w:pPr>
        <w:tabs>
          <w:tab w:val="left" w:pos="11130"/>
        </w:tabs>
        <w:snapToGrid w:val="0"/>
        <w:rPr>
          <w:rFonts w:hint="eastAsia" w:ascii="仿宋" w:hAnsi="仿宋" w:eastAsia="仿宋" w:cs="仿宋"/>
          <w:bCs/>
          <w:color w:val="auto"/>
          <w:sz w:val="24"/>
          <w:szCs w:val="24"/>
        </w:rPr>
      </w:pPr>
    </w:p>
    <w:p>
      <w:pPr>
        <w:tabs>
          <w:tab w:val="left" w:pos="11130"/>
        </w:tabs>
        <w:snapToGrid w:val="0"/>
        <w:spacing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注：1、此表为表样，行数可自行添加，但表式不变。</w:t>
      </w:r>
    </w:p>
    <w:p>
      <w:pPr>
        <w:tabs>
          <w:tab w:val="left" w:pos="11130"/>
        </w:tabs>
        <w:snapToGrid w:val="0"/>
        <w:spacing w:line="480" w:lineRule="auto"/>
        <w:ind w:firstLine="472" w:firstLineChars="196"/>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、请在“投标人技术规范描述” 中列出所投</w:t>
      </w:r>
      <w:r>
        <w:rPr>
          <w:rFonts w:hint="eastAsia" w:ascii="仿宋" w:hAnsi="仿宋" w:eastAsia="仿宋" w:cs="仿宋"/>
          <w:b/>
          <w:bCs/>
          <w:color w:val="auto"/>
          <w:sz w:val="24"/>
          <w:szCs w:val="24"/>
          <w:lang w:eastAsia="zh-CN"/>
        </w:rPr>
        <w:t>服务</w:t>
      </w:r>
      <w:r>
        <w:rPr>
          <w:rFonts w:hint="eastAsia" w:ascii="仿宋" w:hAnsi="仿宋" w:eastAsia="仿宋" w:cs="仿宋"/>
          <w:b/>
          <w:bCs/>
          <w:color w:val="auto"/>
          <w:sz w:val="24"/>
          <w:szCs w:val="24"/>
        </w:rPr>
        <w:t>的详细技术参数情况。</w:t>
      </w:r>
    </w:p>
    <w:p>
      <w:pPr>
        <w:tabs>
          <w:tab w:val="left" w:pos="11130"/>
        </w:tabs>
        <w:snapToGrid w:val="0"/>
        <w:spacing w:line="480" w:lineRule="auto"/>
        <w:ind w:firstLine="472" w:firstLineChars="196"/>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、是否偏离用符号“+、=、-”分别表示正偏离、完全响应、负偏离，必须逐次对应响应。</w:t>
      </w:r>
    </w:p>
    <w:bookmarkEnd w:id="175"/>
    <w:p>
      <w:pPr>
        <w:rPr>
          <w:rFonts w:hint="eastAsia" w:ascii="仿宋" w:hAnsi="仿宋" w:eastAsia="仿宋" w:cs="仿宋"/>
          <w:color w:val="auto"/>
          <w:sz w:val="28"/>
          <w:szCs w:val="28"/>
        </w:rPr>
      </w:pPr>
      <w:bookmarkStart w:id="184" w:name="_Toc130139091"/>
      <w:r>
        <w:rPr>
          <w:rFonts w:hint="eastAsia" w:ascii="仿宋" w:hAnsi="仿宋" w:eastAsia="仿宋" w:cs="仿宋"/>
          <w:color w:val="auto"/>
          <w:sz w:val="24"/>
        </w:rPr>
        <w:br w:type="page"/>
      </w:r>
      <w:bookmarkStart w:id="185" w:name="_Toc30506"/>
      <w:r>
        <w:rPr>
          <w:rFonts w:hint="eastAsia" w:ascii="仿宋" w:hAnsi="仿宋" w:eastAsia="仿宋" w:cs="仿宋"/>
          <w:b/>
          <w:bCs/>
          <w:color w:val="auto"/>
          <w:kern w:val="2"/>
          <w:sz w:val="28"/>
          <w:szCs w:val="28"/>
          <w:lang w:val="en-US" w:eastAsia="zh-CN" w:bidi="ar-SA"/>
        </w:rPr>
        <w:t>格式7法定代表人证明书</w:t>
      </w:r>
      <w:bookmarkEnd w:id="184"/>
      <w:bookmarkEnd w:id="185"/>
    </w:p>
    <w:p>
      <w:pPr>
        <w:spacing w:line="360" w:lineRule="auto"/>
        <w:rPr>
          <w:rFonts w:hint="eastAsia" w:ascii="仿宋" w:hAnsi="仿宋" w:eastAsia="仿宋" w:cs="仿宋"/>
          <w:b/>
          <w:bCs/>
          <w:color w:val="auto"/>
          <w:sz w:val="28"/>
          <w:u w:val="single"/>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u w:val="single"/>
        </w:rPr>
        <w:t xml:space="preserve">          </w:t>
      </w:r>
      <w:r>
        <w:rPr>
          <w:rFonts w:hint="eastAsia" w:ascii="仿宋" w:hAnsi="仿宋" w:eastAsia="仿宋" w:cs="仿宋"/>
          <w:color w:val="auto"/>
          <w:sz w:val="24"/>
          <w:szCs w:val="24"/>
        </w:rPr>
        <w:t>同志，现任我单位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职务，为法定代表人，特此证明。</w:t>
      </w:r>
    </w:p>
    <w:p>
      <w:pPr>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有效日期：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签发日期：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单位（盖章）：</w:t>
      </w:r>
    </w:p>
    <w:p>
      <w:pPr>
        <w:spacing w:line="360" w:lineRule="auto"/>
        <w:rPr>
          <w:rFonts w:hint="eastAsia" w:ascii="仿宋" w:hAnsi="仿宋" w:eastAsia="仿宋" w:cs="仿宋"/>
          <w:color w:val="auto"/>
          <w:sz w:val="24"/>
          <w:szCs w:val="24"/>
        </w:rPr>
      </w:pP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附：</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代表人性别：</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年龄：</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营业执照（注册号）：</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经济性质：</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主营（产）：</w:t>
      </w:r>
    </w:p>
    <w:tbl>
      <w:tblPr>
        <w:tblStyle w:val="21"/>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w:t>
            </w:r>
            <w:r>
              <w:rPr>
                <w:rFonts w:hint="eastAsia" w:ascii="仿宋" w:hAnsi="仿宋" w:eastAsia="仿宋" w:cs="仿宋"/>
                <w:color w:val="auto"/>
                <w:sz w:val="24"/>
                <w:szCs w:val="24"/>
                <w:lang w:eastAsia="zh-CN"/>
              </w:rPr>
              <w:t>件正面</w:t>
            </w:r>
          </w:p>
        </w:tc>
      </w:tr>
    </w:tbl>
    <w:tbl>
      <w:tblPr>
        <w:tblStyle w:val="21"/>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反面</w:t>
            </w:r>
          </w:p>
        </w:tc>
      </w:tr>
    </w:tbl>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pStyle w:val="5"/>
        <w:spacing w:before="0" w:after="0" w:line="360" w:lineRule="auto"/>
        <w:rPr>
          <w:rFonts w:hint="eastAsia" w:ascii="仿宋" w:hAnsi="仿宋" w:eastAsia="仿宋" w:cs="仿宋"/>
          <w:color w:val="auto"/>
          <w:sz w:val="28"/>
          <w:szCs w:val="28"/>
        </w:rPr>
      </w:pPr>
      <w:r>
        <w:rPr>
          <w:rFonts w:hint="eastAsia" w:ascii="仿宋" w:hAnsi="仿宋" w:eastAsia="仿宋" w:cs="仿宋"/>
          <w:color w:val="auto"/>
          <w:sz w:val="28"/>
        </w:rPr>
        <w:br w:type="page"/>
      </w:r>
      <w:bookmarkStart w:id="186" w:name="_Toc3544"/>
      <w:bookmarkStart w:id="187" w:name="_Toc130139092"/>
      <w:r>
        <w:rPr>
          <w:rFonts w:hint="eastAsia" w:ascii="仿宋" w:hAnsi="仿宋" w:eastAsia="仿宋" w:cs="仿宋"/>
          <w:color w:val="auto"/>
          <w:sz w:val="28"/>
          <w:szCs w:val="28"/>
        </w:rPr>
        <w:t>格式</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 xml:space="preserve"> 法定代表人授权委托书</w:t>
      </w:r>
      <w:bookmarkEnd w:id="186"/>
      <w:bookmarkEnd w:id="187"/>
    </w:p>
    <w:p>
      <w:pPr>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w:t>
      </w:r>
      <w:r>
        <w:rPr>
          <w:rFonts w:hint="eastAsia" w:ascii="仿宋" w:hAnsi="仿宋" w:eastAsia="仿宋" w:cs="仿宋"/>
          <w:color w:val="auto"/>
          <w:sz w:val="24"/>
          <w:szCs w:val="24"/>
          <w:u w:val="single"/>
        </w:rPr>
        <w:t>（国家或地区）</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（投标人名称）</w:t>
      </w:r>
      <w:r>
        <w:rPr>
          <w:rFonts w:hint="eastAsia" w:ascii="仿宋" w:hAnsi="仿宋" w:eastAsia="仿宋" w:cs="仿宋"/>
          <w:color w:val="auto"/>
          <w:sz w:val="24"/>
          <w:szCs w:val="24"/>
        </w:rPr>
        <w:t>在下面签字的（法定代表人姓名、职务）代表本公司授权</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的在下面签字的</w:t>
      </w:r>
      <w:r>
        <w:rPr>
          <w:rFonts w:hint="eastAsia" w:ascii="仿宋" w:hAnsi="仿宋" w:eastAsia="仿宋" w:cs="仿宋"/>
          <w:color w:val="auto"/>
          <w:sz w:val="24"/>
          <w:szCs w:val="24"/>
          <w:u w:val="single"/>
        </w:rPr>
        <w:t>（授权代表姓名、职务）</w:t>
      </w:r>
      <w:r>
        <w:rPr>
          <w:rFonts w:hint="eastAsia" w:ascii="仿宋" w:hAnsi="仿宋" w:eastAsia="仿宋" w:cs="仿宋"/>
          <w:color w:val="auto"/>
          <w:sz w:val="24"/>
          <w:szCs w:val="24"/>
        </w:rPr>
        <w:t>为本公司的合法代理人，就招标编号为“H</w:t>
      </w:r>
      <w:r>
        <w:rPr>
          <w:rFonts w:hint="eastAsia" w:ascii="仿宋" w:hAnsi="仿宋" w:eastAsia="仿宋" w:cs="仿宋"/>
          <w:color w:val="auto"/>
          <w:sz w:val="24"/>
          <w:szCs w:val="24"/>
          <w:lang w:val="en-US" w:eastAsia="zh-CN"/>
        </w:rPr>
        <w:t>YYL</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XX</w:t>
      </w:r>
      <w:r>
        <w:rPr>
          <w:rFonts w:hint="eastAsia" w:ascii="仿宋" w:hAnsi="仿宋" w:eastAsia="仿宋" w:cs="仿宋"/>
          <w:color w:val="auto"/>
          <w:sz w:val="24"/>
          <w:szCs w:val="24"/>
        </w:rPr>
        <w:t>号”</w:t>
      </w:r>
      <w:r>
        <w:rPr>
          <w:rFonts w:hint="eastAsia" w:ascii="仿宋" w:hAnsi="仿宋" w:eastAsia="仿宋" w:cs="仿宋"/>
          <w:color w:val="auto"/>
          <w:sz w:val="24"/>
          <w:szCs w:val="24"/>
          <w:lang w:val="en-US" w:eastAsia="zh-CN"/>
        </w:rPr>
        <w:t>的XXX项目的投标和合同执行，作为投标人代表以本公司的名义处理一切</w:t>
      </w:r>
      <w:r>
        <w:rPr>
          <w:rFonts w:hint="eastAsia" w:ascii="仿宋" w:hAnsi="仿宋" w:eastAsia="仿宋" w:cs="仿宋"/>
          <w:color w:val="auto"/>
          <w:sz w:val="24"/>
          <w:szCs w:val="24"/>
        </w:rPr>
        <w:t>与之有关的事宜。</w:t>
      </w:r>
    </w:p>
    <w:p>
      <w:pPr>
        <w:spacing w:line="360" w:lineRule="auto"/>
        <w:ind w:left="2" w:firstLine="460" w:firstLineChars="192"/>
        <w:rPr>
          <w:rFonts w:hint="eastAsia" w:ascii="仿宋" w:hAnsi="仿宋" w:eastAsia="仿宋" w:cs="仿宋"/>
          <w:color w:val="auto"/>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单位名称（加盖公章）：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投标代表人（被授权人）签字：</w:t>
      </w:r>
    </w:p>
    <w:p>
      <w:pPr>
        <w:tabs>
          <w:tab w:val="center" w:pos="4535"/>
        </w:tabs>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职务：</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职务：</w:t>
      </w:r>
    </w:p>
    <w:tbl>
      <w:tblPr>
        <w:tblStyle w:val="21"/>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w:t>
            </w:r>
            <w:r>
              <w:rPr>
                <w:rFonts w:hint="eastAsia" w:ascii="仿宋" w:hAnsi="仿宋" w:eastAsia="仿宋" w:cs="仿宋"/>
                <w:color w:val="auto"/>
                <w:sz w:val="24"/>
                <w:szCs w:val="24"/>
                <w:lang w:eastAsia="zh-CN"/>
              </w:rPr>
              <w:t>件正面</w:t>
            </w:r>
          </w:p>
        </w:tc>
      </w:tr>
    </w:tbl>
    <w:tbl>
      <w:tblPr>
        <w:tblStyle w:val="21"/>
        <w:tblpPr w:leftFromText="180" w:rightFromText="180" w:vertAnchor="text" w:horzAnchor="page" w:tblpX="6436" w:tblpY="2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反面</w:t>
            </w:r>
          </w:p>
        </w:tc>
      </w:tr>
    </w:tbl>
    <w:p>
      <w:pPr>
        <w:tabs>
          <w:tab w:val="center" w:pos="4535"/>
        </w:tabs>
        <w:spacing w:line="360" w:lineRule="auto"/>
        <w:ind w:firstLine="480" w:firstLineChars="200"/>
        <w:rPr>
          <w:rFonts w:hint="eastAsia" w:ascii="仿宋" w:hAnsi="仿宋" w:eastAsia="仿宋" w:cs="仿宋"/>
          <w:color w:val="auto"/>
          <w:sz w:val="24"/>
          <w:szCs w:val="24"/>
          <w:lang w:eastAsia="zh-CN"/>
        </w:rPr>
      </w:pPr>
    </w:p>
    <w:p>
      <w:pPr>
        <w:spacing w:line="360" w:lineRule="auto"/>
        <w:ind w:firstLine="480" w:firstLineChars="20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bl>
      <w:tblPr>
        <w:tblStyle w:val="21"/>
        <w:tblpPr w:leftFromText="180" w:rightFromText="180" w:vertAnchor="text" w:horzAnchor="page" w:tblpX="1530" w:tblpY="81"/>
        <w:tblOverlap w:val="never"/>
        <w:tblW w:w="404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47" w:type="dxa"/>
            <w:noWrap w:val="0"/>
            <w:vAlign w:val="center"/>
          </w:tcPr>
          <w:p>
            <w:pPr>
              <w:pStyle w:val="35"/>
              <w:ind w:left="105"/>
              <w:jc w:val="center"/>
              <w:rPr>
                <w:rFonts w:hint="eastAsia" w:ascii="仿宋" w:hAnsi="仿宋" w:eastAsia="仿宋" w:cs="仿宋"/>
                <w:color w:val="auto"/>
                <w:sz w:val="24"/>
                <w:szCs w:val="24"/>
              </w:rPr>
            </w:pPr>
            <w:r>
              <w:rPr>
                <w:rFonts w:hint="eastAsia" w:ascii="仿宋" w:hAnsi="仿宋" w:eastAsia="仿宋" w:cs="仿宋"/>
                <w:color w:val="auto"/>
                <w:sz w:val="24"/>
                <w:szCs w:val="24"/>
              </w:rPr>
              <w:t>被授权人（授权代表）</w:t>
            </w:r>
          </w:p>
          <w:p>
            <w:pPr>
              <w:pStyle w:val="35"/>
              <w:ind w:left="10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正面</w:t>
            </w:r>
          </w:p>
        </w:tc>
      </w:tr>
    </w:tbl>
    <w:tbl>
      <w:tblPr>
        <w:tblStyle w:val="21"/>
        <w:tblpPr w:leftFromText="180" w:rightFromText="180" w:vertAnchor="text" w:horzAnchor="page" w:tblpX="6421" w:tblpY="162"/>
        <w:tblOverlap w:val="never"/>
        <w:tblW w:w="408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84" w:type="dxa"/>
            <w:noWrap w:val="0"/>
            <w:vAlign w:val="center"/>
          </w:tcPr>
          <w:p>
            <w:pPr>
              <w:pStyle w:val="35"/>
              <w:ind w:left="105"/>
              <w:jc w:val="center"/>
              <w:rPr>
                <w:rFonts w:hint="eastAsia" w:ascii="仿宋" w:hAnsi="仿宋" w:eastAsia="仿宋" w:cs="仿宋"/>
                <w:color w:val="auto"/>
                <w:sz w:val="24"/>
                <w:szCs w:val="24"/>
              </w:rPr>
            </w:pPr>
            <w:r>
              <w:rPr>
                <w:rFonts w:hint="eastAsia" w:ascii="仿宋" w:hAnsi="仿宋" w:eastAsia="仿宋" w:cs="仿宋"/>
                <w:color w:val="auto"/>
                <w:sz w:val="24"/>
                <w:szCs w:val="24"/>
              </w:rPr>
              <w:t>被授权人（授权代表）</w:t>
            </w:r>
          </w:p>
          <w:p>
            <w:pPr>
              <w:pStyle w:val="35"/>
              <w:ind w:left="10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反面</w:t>
            </w:r>
          </w:p>
        </w:tc>
      </w:tr>
    </w:tbl>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r>
        <w:rPr>
          <w:rFonts w:hint="eastAsia" w:ascii="仿宋" w:hAnsi="仿宋" w:eastAsia="仿宋" w:cs="仿宋"/>
          <w:b/>
          <w:color w:val="auto"/>
        </w:rPr>
        <w:t>注：此委托书一式两份，一份装订在投标文件正本内，另一份由授权代表携带出席开标会。</w:t>
      </w:r>
    </w:p>
    <w:p>
      <w:pPr>
        <w:pStyle w:val="5"/>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88" w:name="_Toc44"/>
      <w:bookmarkStart w:id="189" w:name="_Toc130139094"/>
      <w:r>
        <w:rPr>
          <w:rFonts w:hint="eastAsia" w:ascii="仿宋" w:hAnsi="仿宋" w:eastAsia="仿宋" w:cs="仿宋"/>
          <w:color w:val="auto"/>
          <w:sz w:val="28"/>
          <w:szCs w:val="28"/>
        </w:rPr>
        <w:t>格式</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 xml:space="preserve"> 拟派本项目负责人及主要人员情况表</w:t>
      </w:r>
      <w:bookmarkEnd w:id="188"/>
    </w:p>
    <w:p>
      <w:pPr>
        <w:rPr>
          <w:rFonts w:hint="eastAsia" w:ascii="仿宋" w:hAnsi="仿宋" w:eastAsia="仿宋" w:cs="仿宋"/>
          <w:color w:val="auto"/>
        </w:rPr>
      </w:pPr>
    </w:p>
    <w:tbl>
      <w:tblPr>
        <w:tblStyle w:val="2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0" w:type="dxa"/>
            <w:gridSpan w:val="16"/>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452" w:type="dxa"/>
            <w:gridSpan w:val="2"/>
            <w:noWrap w:val="0"/>
            <w:vAlign w:val="center"/>
          </w:tcPr>
          <w:p>
            <w:pPr>
              <w:jc w:val="center"/>
              <w:rPr>
                <w:rFonts w:hint="eastAsia" w:ascii="仿宋" w:hAnsi="仿宋" w:eastAsia="仿宋" w:cs="仿宋"/>
                <w:color w:val="auto"/>
                <w:sz w:val="24"/>
              </w:rPr>
            </w:pPr>
          </w:p>
        </w:tc>
        <w:tc>
          <w:tcPr>
            <w:tcW w:w="132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1697" w:type="dxa"/>
            <w:gridSpan w:val="3"/>
            <w:noWrap w:val="0"/>
            <w:vAlign w:val="center"/>
          </w:tcPr>
          <w:p>
            <w:pPr>
              <w:jc w:val="center"/>
              <w:rPr>
                <w:rFonts w:hint="eastAsia" w:ascii="仿宋" w:hAnsi="仿宋" w:eastAsia="仿宋" w:cs="仿宋"/>
                <w:color w:val="auto"/>
                <w:sz w:val="24"/>
              </w:rPr>
            </w:pPr>
          </w:p>
        </w:tc>
        <w:tc>
          <w:tcPr>
            <w:tcW w:w="1797"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2000" w:type="dxa"/>
            <w:gridSpan w:val="3"/>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职务</w:t>
            </w:r>
          </w:p>
        </w:tc>
        <w:tc>
          <w:tcPr>
            <w:tcW w:w="1452" w:type="dxa"/>
            <w:gridSpan w:val="2"/>
            <w:noWrap w:val="0"/>
            <w:vAlign w:val="center"/>
          </w:tcPr>
          <w:p>
            <w:pPr>
              <w:jc w:val="center"/>
              <w:rPr>
                <w:rFonts w:hint="eastAsia" w:ascii="仿宋" w:hAnsi="仿宋" w:eastAsia="仿宋" w:cs="仿宋"/>
                <w:color w:val="auto"/>
                <w:sz w:val="24"/>
              </w:rPr>
            </w:pPr>
          </w:p>
        </w:tc>
        <w:tc>
          <w:tcPr>
            <w:tcW w:w="132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1697" w:type="dxa"/>
            <w:gridSpan w:val="3"/>
            <w:noWrap w:val="0"/>
            <w:vAlign w:val="center"/>
          </w:tcPr>
          <w:p>
            <w:pPr>
              <w:jc w:val="center"/>
              <w:rPr>
                <w:rFonts w:hint="eastAsia" w:ascii="仿宋" w:hAnsi="仿宋" w:eastAsia="仿宋" w:cs="仿宋"/>
                <w:color w:val="auto"/>
                <w:sz w:val="24"/>
              </w:rPr>
            </w:pPr>
          </w:p>
        </w:tc>
        <w:tc>
          <w:tcPr>
            <w:tcW w:w="1797"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2000" w:type="dxa"/>
            <w:gridSpan w:val="3"/>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8271" w:type="dxa"/>
            <w:gridSpan w:val="14"/>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参加工作时间</w:t>
            </w:r>
          </w:p>
        </w:tc>
        <w:tc>
          <w:tcPr>
            <w:tcW w:w="1452" w:type="dxa"/>
            <w:gridSpan w:val="2"/>
            <w:noWrap w:val="0"/>
            <w:vAlign w:val="center"/>
          </w:tcPr>
          <w:p>
            <w:pPr>
              <w:jc w:val="center"/>
              <w:rPr>
                <w:rFonts w:hint="eastAsia" w:ascii="仿宋" w:hAnsi="仿宋" w:eastAsia="仿宋" w:cs="仿宋"/>
                <w:color w:val="auto"/>
                <w:sz w:val="24"/>
              </w:rPr>
            </w:pPr>
          </w:p>
        </w:tc>
        <w:tc>
          <w:tcPr>
            <w:tcW w:w="4819" w:type="dxa"/>
            <w:gridSpan w:val="9"/>
            <w:noWrap w:val="0"/>
            <w:vAlign w:val="center"/>
          </w:tcPr>
          <w:p>
            <w:pPr>
              <w:pStyle w:val="36"/>
              <w:widowControl w:val="0"/>
              <w:pBdr>
                <w:bottom w:val="none" w:color="auto" w:sz="0" w:space="0"/>
                <w:right w:val="none" w:color="auto" w:sz="0" w:space="0"/>
              </w:pBdr>
              <w:spacing w:before="0" w:beforeAutospacing="0" w:after="0" w:afterAutospacing="0"/>
              <w:jc w:val="both"/>
              <w:textAlignment w:val="auto"/>
              <w:rPr>
                <w:rFonts w:hint="eastAsia" w:ascii="仿宋" w:hAnsi="仿宋" w:eastAsia="仿宋" w:cs="仿宋"/>
                <w:color w:val="auto"/>
                <w:kern w:val="2"/>
              </w:rPr>
            </w:pPr>
            <w:r>
              <w:rPr>
                <w:rFonts w:hint="eastAsia" w:ascii="仿宋" w:hAnsi="仿宋" w:eastAsia="仿宋" w:cs="仿宋"/>
                <w:color w:val="auto"/>
                <w:kern w:val="2"/>
              </w:rPr>
              <w:t>从事</w:t>
            </w:r>
            <w:r>
              <w:rPr>
                <w:rFonts w:hint="eastAsia" w:ascii="仿宋" w:hAnsi="仿宋" w:eastAsia="仿宋" w:cs="仿宋"/>
                <w:color w:val="auto"/>
              </w:rPr>
              <w:t>同类</w:t>
            </w:r>
            <w:r>
              <w:rPr>
                <w:rFonts w:hint="eastAsia" w:ascii="仿宋" w:hAnsi="仿宋" w:eastAsia="仿宋" w:cs="仿宋"/>
                <w:color w:val="auto"/>
                <w:kern w:val="2"/>
              </w:rPr>
              <w:t>项目负责人年限</w:t>
            </w:r>
          </w:p>
        </w:tc>
        <w:tc>
          <w:tcPr>
            <w:tcW w:w="2000" w:type="dxa"/>
            <w:gridSpan w:val="3"/>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具有认证资质</w:t>
            </w:r>
          </w:p>
        </w:tc>
        <w:tc>
          <w:tcPr>
            <w:tcW w:w="8271" w:type="dxa"/>
            <w:gridSpan w:val="14"/>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9360" w:type="dxa"/>
            <w:gridSpan w:val="16"/>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w:t>
            </w:r>
          </w:p>
          <w:p>
            <w:pPr>
              <w:jc w:val="center"/>
              <w:rPr>
                <w:rFonts w:hint="eastAsia" w:ascii="仿宋" w:hAnsi="仿宋" w:eastAsia="仿宋" w:cs="仿宋"/>
                <w:color w:val="auto"/>
                <w:sz w:val="24"/>
              </w:rPr>
            </w:pPr>
            <w:r>
              <w:rPr>
                <w:rFonts w:hint="eastAsia" w:ascii="仿宋" w:hAnsi="仿宋" w:eastAsia="仿宋" w:cs="仿宋"/>
                <w:color w:val="auto"/>
                <w:sz w:val="24"/>
              </w:rPr>
              <w:t>单位</w:t>
            </w:r>
          </w:p>
        </w:tc>
        <w:tc>
          <w:tcPr>
            <w:tcW w:w="2183" w:type="dxa"/>
            <w:gridSpan w:val="5"/>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217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主要工作内容</w:t>
            </w:r>
          </w:p>
        </w:tc>
        <w:tc>
          <w:tcPr>
            <w:tcW w:w="128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项目金额</w:t>
            </w:r>
          </w:p>
        </w:tc>
        <w:tc>
          <w:tcPr>
            <w:tcW w:w="118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完成日期</w:t>
            </w:r>
          </w:p>
        </w:tc>
        <w:tc>
          <w:tcPr>
            <w:tcW w:w="1506"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成果质量</w:t>
            </w:r>
          </w:p>
          <w:p>
            <w:pPr>
              <w:jc w:val="center"/>
              <w:rPr>
                <w:rFonts w:hint="eastAsia" w:ascii="仿宋" w:hAnsi="仿宋" w:eastAsia="仿宋" w:cs="仿宋"/>
                <w:color w:val="auto"/>
                <w:sz w:val="24"/>
              </w:rPr>
            </w:pPr>
            <w:r>
              <w:rPr>
                <w:rFonts w:hint="eastAsia" w:ascii="仿宋" w:hAnsi="仿宋" w:eastAsia="仿宋" w:cs="仿宋"/>
                <w:color w:val="auto"/>
                <w:sz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9"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83" w:type="dxa"/>
            <w:gridSpan w:val="5"/>
            <w:noWrap w:val="0"/>
            <w:vAlign w:val="center"/>
          </w:tcPr>
          <w:p>
            <w:pPr>
              <w:jc w:val="center"/>
              <w:rPr>
                <w:rFonts w:hint="eastAsia" w:ascii="仿宋" w:hAnsi="仿宋" w:eastAsia="仿宋" w:cs="仿宋"/>
                <w:color w:val="auto"/>
                <w:sz w:val="24"/>
              </w:rPr>
            </w:pPr>
          </w:p>
        </w:tc>
        <w:tc>
          <w:tcPr>
            <w:tcW w:w="2178" w:type="dxa"/>
            <w:gridSpan w:val="3"/>
            <w:noWrap w:val="0"/>
            <w:vAlign w:val="center"/>
          </w:tcPr>
          <w:p>
            <w:pPr>
              <w:jc w:val="center"/>
              <w:rPr>
                <w:rFonts w:hint="eastAsia" w:ascii="仿宋" w:hAnsi="仿宋" w:eastAsia="仿宋" w:cs="仿宋"/>
                <w:color w:val="auto"/>
                <w:sz w:val="24"/>
              </w:rPr>
            </w:pPr>
          </w:p>
        </w:tc>
        <w:tc>
          <w:tcPr>
            <w:tcW w:w="1287" w:type="dxa"/>
            <w:gridSpan w:val="2"/>
            <w:noWrap w:val="0"/>
            <w:vAlign w:val="center"/>
          </w:tcPr>
          <w:p>
            <w:pPr>
              <w:jc w:val="center"/>
              <w:rPr>
                <w:rFonts w:hint="eastAsia" w:ascii="仿宋" w:hAnsi="仿宋" w:eastAsia="仿宋" w:cs="仿宋"/>
                <w:color w:val="auto"/>
                <w:sz w:val="24"/>
              </w:rPr>
            </w:pPr>
          </w:p>
        </w:tc>
        <w:tc>
          <w:tcPr>
            <w:tcW w:w="1188" w:type="dxa"/>
            <w:gridSpan w:val="3"/>
            <w:noWrap w:val="0"/>
            <w:vAlign w:val="center"/>
          </w:tcPr>
          <w:p>
            <w:pPr>
              <w:jc w:val="center"/>
              <w:rPr>
                <w:rFonts w:hint="eastAsia" w:ascii="仿宋" w:hAnsi="仿宋" w:eastAsia="仿宋" w:cs="仿宋"/>
                <w:color w:val="auto"/>
                <w:sz w:val="24"/>
              </w:rPr>
            </w:pPr>
          </w:p>
        </w:tc>
        <w:tc>
          <w:tcPr>
            <w:tcW w:w="1506" w:type="dxa"/>
            <w:gridSpan w:val="2"/>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83" w:type="dxa"/>
            <w:gridSpan w:val="5"/>
            <w:noWrap w:val="0"/>
            <w:vAlign w:val="center"/>
          </w:tcPr>
          <w:p>
            <w:pPr>
              <w:jc w:val="center"/>
              <w:rPr>
                <w:rFonts w:hint="eastAsia" w:ascii="仿宋" w:hAnsi="仿宋" w:eastAsia="仿宋" w:cs="仿宋"/>
                <w:color w:val="auto"/>
                <w:sz w:val="24"/>
              </w:rPr>
            </w:pPr>
          </w:p>
        </w:tc>
        <w:tc>
          <w:tcPr>
            <w:tcW w:w="2178" w:type="dxa"/>
            <w:gridSpan w:val="3"/>
            <w:noWrap w:val="0"/>
            <w:vAlign w:val="center"/>
          </w:tcPr>
          <w:p>
            <w:pPr>
              <w:jc w:val="center"/>
              <w:rPr>
                <w:rFonts w:hint="eastAsia" w:ascii="仿宋" w:hAnsi="仿宋" w:eastAsia="仿宋" w:cs="仿宋"/>
                <w:color w:val="auto"/>
                <w:sz w:val="24"/>
              </w:rPr>
            </w:pPr>
          </w:p>
        </w:tc>
        <w:tc>
          <w:tcPr>
            <w:tcW w:w="1287" w:type="dxa"/>
            <w:gridSpan w:val="2"/>
            <w:noWrap w:val="0"/>
            <w:vAlign w:val="center"/>
          </w:tcPr>
          <w:p>
            <w:pPr>
              <w:jc w:val="center"/>
              <w:rPr>
                <w:rFonts w:hint="eastAsia" w:ascii="仿宋" w:hAnsi="仿宋" w:eastAsia="仿宋" w:cs="仿宋"/>
                <w:color w:val="auto"/>
                <w:sz w:val="24"/>
              </w:rPr>
            </w:pPr>
          </w:p>
        </w:tc>
        <w:tc>
          <w:tcPr>
            <w:tcW w:w="1188" w:type="dxa"/>
            <w:gridSpan w:val="3"/>
            <w:noWrap w:val="0"/>
            <w:vAlign w:val="center"/>
          </w:tcPr>
          <w:p>
            <w:pPr>
              <w:jc w:val="center"/>
              <w:rPr>
                <w:rFonts w:hint="eastAsia" w:ascii="仿宋" w:hAnsi="仿宋" w:eastAsia="仿宋" w:cs="仿宋"/>
                <w:color w:val="auto"/>
                <w:sz w:val="24"/>
              </w:rPr>
            </w:pPr>
          </w:p>
        </w:tc>
        <w:tc>
          <w:tcPr>
            <w:tcW w:w="1506" w:type="dxa"/>
            <w:gridSpan w:val="2"/>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2183" w:type="dxa"/>
            <w:gridSpan w:val="5"/>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217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28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18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506"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9360" w:type="dxa"/>
            <w:gridSpan w:val="16"/>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891"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900"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160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1078"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127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1080"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经验年限</w:t>
            </w:r>
          </w:p>
        </w:tc>
        <w:tc>
          <w:tcPr>
            <w:tcW w:w="1440"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p>
        </w:tc>
        <w:tc>
          <w:tcPr>
            <w:tcW w:w="891" w:type="dxa"/>
            <w:noWrap w:val="0"/>
            <w:vAlign w:val="center"/>
          </w:tcPr>
          <w:p>
            <w:pPr>
              <w:jc w:val="center"/>
              <w:rPr>
                <w:rFonts w:hint="eastAsia" w:ascii="仿宋" w:hAnsi="仿宋" w:eastAsia="仿宋" w:cs="仿宋"/>
                <w:color w:val="auto"/>
                <w:sz w:val="24"/>
              </w:rPr>
            </w:pPr>
          </w:p>
        </w:tc>
        <w:tc>
          <w:tcPr>
            <w:tcW w:w="900" w:type="dxa"/>
            <w:gridSpan w:val="2"/>
            <w:noWrap w:val="0"/>
            <w:vAlign w:val="center"/>
          </w:tcPr>
          <w:p>
            <w:pPr>
              <w:jc w:val="center"/>
              <w:rPr>
                <w:rFonts w:hint="eastAsia" w:ascii="仿宋" w:hAnsi="仿宋" w:eastAsia="仿宋" w:cs="仿宋"/>
                <w:color w:val="auto"/>
                <w:sz w:val="24"/>
              </w:rPr>
            </w:pPr>
          </w:p>
        </w:tc>
        <w:tc>
          <w:tcPr>
            <w:tcW w:w="1605" w:type="dxa"/>
            <w:gridSpan w:val="3"/>
            <w:noWrap w:val="0"/>
            <w:vAlign w:val="center"/>
          </w:tcPr>
          <w:p>
            <w:pPr>
              <w:jc w:val="center"/>
              <w:rPr>
                <w:rFonts w:hint="eastAsia" w:ascii="仿宋" w:hAnsi="仿宋" w:eastAsia="仿宋" w:cs="仿宋"/>
                <w:color w:val="auto"/>
                <w:sz w:val="24"/>
              </w:rPr>
            </w:pPr>
          </w:p>
        </w:tc>
        <w:tc>
          <w:tcPr>
            <w:tcW w:w="1078" w:type="dxa"/>
            <w:gridSpan w:val="2"/>
            <w:noWrap w:val="0"/>
            <w:vAlign w:val="center"/>
          </w:tcPr>
          <w:p>
            <w:pPr>
              <w:jc w:val="center"/>
              <w:rPr>
                <w:rFonts w:hint="eastAsia" w:ascii="仿宋" w:hAnsi="仿宋" w:eastAsia="仿宋" w:cs="仿宋"/>
                <w:color w:val="auto"/>
                <w:sz w:val="24"/>
              </w:rPr>
            </w:pPr>
          </w:p>
        </w:tc>
        <w:tc>
          <w:tcPr>
            <w:tcW w:w="1277" w:type="dxa"/>
            <w:gridSpan w:val="2"/>
            <w:noWrap w:val="0"/>
            <w:vAlign w:val="center"/>
          </w:tcPr>
          <w:p>
            <w:pPr>
              <w:jc w:val="center"/>
              <w:rPr>
                <w:rFonts w:hint="eastAsia" w:ascii="仿宋" w:hAnsi="仿宋" w:eastAsia="仿宋" w:cs="仿宋"/>
                <w:color w:val="auto"/>
                <w:sz w:val="24"/>
              </w:rPr>
            </w:pPr>
          </w:p>
        </w:tc>
        <w:tc>
          <w:tcPr>
            <w:tcW w:w="1080" w:type="dxa"/>
            <w:gridSpan w:val="3"/>
            <w:noWrap w:val="0"/>
            <w:vAlign w:val="center"/>
          </w:tcPr>
          <w:p>
            <w:pPr>
              <w:jc w:val="center"/>
              <w:rPr>
                <w:rFonts w:hint="eastAsia" w:ascii="仿宋" w:hAnsi="仿宋" w:eastAsia="仿宋" w:cs="仿宋"/>
                <w:color w:val="auto"/>
                <w:sz w:val="24"/>
              </w:rPr>
            </w:pPr>
          </w:p>
        </w:tc>
        <w:tc>
          <w:tcPr>
            <w:tcW w:w="1440"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p>
        </w:tc>
        <w:tc>
          <w:tcPr>
            <w:tcW w:w="891" w:type="dxa"/>
            <w:noWrap w:val="0"/>
            <w:vAlign w:val="center"/>
          </w:tcPr>
          <w:p>
            <w:pPr>
              <w:jc w:val="center"/>
              <w:rPr>
                <w:rFonts w:hint="eastAsia" w:ascii="仿宋" w:hAnsi="仿宋" w:eastAsia="仿宋" w:cs="仿宋"/>
                <w:color w:val="auto"/>
                <w:sz w:val="24"/>
              </w:rPr>
            </w:pPr>
          </w:p>
        </w:tc>
        <w:tc>
          <w:tcPr>
            <w:tcW w:w="900" w:type="dxa"/>
            <w:gridSpan w:val="2"/>
            <w:noWrap w:val="0"/>
            <w:vAlign w:val="center"/>
          </w:tcPr>
          <w:p>
            <w:pPr>
              <w:jc w:val="center"/>
              <w:rPr>
                <w:rFonts w:hint="eastAsia" w:ascii="仿宋" w:hAnsi="仿宋" w:eastAsia="仿宋" w:cs="仿宋"/>
                <w:color w:val="auto"/>
                <w:sz w:val="24"/>
              </w:rPr>
            </w:pPr>
          </w:p>
        </w:tc>
        <w:tc>
          <w:tcPr>
            <w:tcW w:w="1605" w:type="dxa"/>
            <w:gridSpan w:val="3"/>
            <w:noWrap w:val="0"/>
            <w:vAlign w:val="center"/>
          </w:tcPr>
          <w:p>
            <w:pPr>
              <w:jc w:val="center"/>
              <w:rPr>
                <w:rFonts w:hint="eastAsia" w:ascii="仿宋" w:hAnsi="仿宋" w:eastAsia="仿宋" w:cs="仿宋"/>
                <w:color w:val="auto"/>
                <w:sz w:val="24"/>
              </w:rPr>
            </w:pPr>
          </w:p>
        </w:tc>
        <w:tc>
          <w:tcPr>
            <w:tcW w:w="1078" w:type="dxa"/>
            <w:gridSpan w:val="2"/>
            <w:noWrap w:val="0"/>
            <w:vAlign w:val="center"/>
          </w:tcPr>
          <w:p>
            <w:pPr>
              <w:jc w:val="center"/>
              <w:rPr>
                <w:rFonts w:hint="eastAsia" w:ascii="仿宋" w:hAnsi="仿宋" w:eastAsia="仿宋" w:cs="仿宋"/>
                <w:color w:val="auto"/>
                <w:sz w:val="24"/>
              </w:rPr>
            </w:pPr>
          </w:p>
        </w:tc>
        <w:tc>
          <w:tcPr>
            <w:tcW w:w="1277" w:type="dxa"/>
            <w:gridSpan w:val="2"/>
            <w:noWrap w:val="0"/>
            <w:vAlign w:val="center"/>
          </w:tcPr>
          <w:p>
            <w:pPr>
              <w:jc w:val="center"/>
              <w:rPr>
                <w:rFonts w:hint="eastAsia" w:ascii="仿宋" w:hAnsi="仿宋" w:eastAsia="仿宋" w:cs="仿宋"/>
                <w:color w:val="auto"/>
                <w:sz w:val="24"/>
              </w:rPr>
            </w:pPr>
          </w:p>
        </w:tc>
        <w:tc>
          <w:tcPr>
            <w:tcW w:w="1080" w:type="dxa"/>
            <w:gridSpan w:val="3"/>
            <w:noWrap w:val="0"/>
            <w:vAlign w:val="center"/>
          </w:tcPr>
          <w:p>
            <w:pPr>
              <w:jc w:val="center"/>
              <w:rPr>
                <w:rFonts w:hint="eastAsia" w:ascii="仿宋" w:hAnsi="仿宋" w:eastAsia="仿宋" w:cs="仿宋"/>
                <w:color w:val="auto"/>
                <w:sz w:val="24"/>
              </w:rPr>
            </w:pPr>
          </w:p>
        </w:tc>
        <w:tc>
          <w:tcPr>
            <w:tcW w:w="1440"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891"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900"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60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078"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27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080"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440" w:type="dxa"/>
            <w:noWrap w:val="0"/>
            <w:vAlign w:val="center"/>
          </w:tcPr>
          <w:p>
            <w:pPr>
              <w:jc w:val="center"/>
              <w:rPr>
                <w:rFonts w:hint="eastAsia" w:ascii="仿宋" w:hAnsi="仿宋" w:eastAsia="仿宋" w:cs="仿宋"/>
                <w:color w:val="auto"/>
                <w:sz w:val="24"/>
              </w:rPr>
            </w:pPr>
          </w:p>
        </w:tc>
      </w:tr>
    </w:tbl>
    <w:p>
      <w:pPr>
        <w:rPr>
          <w:rFonts w:hint="eastAsia" w:ascii="仿宋" w:hAnsi="仿宋" w:eastAsia="仿宋" w:cs="仿宋"/>
          <w:color w:val="auto"/>
          <w:sz w:val="24"/>
        </w:rPr>
      </w:pPr>
      <w:r>
        <w:rPr>
          <w:rFonts w:hint="eastAsia" w:ascii="仿宋" w:hAnsi="仿宋" w:eastAsia="仿宋" w:cs="仿宋"/>
          <w:color w:val="auto"/>
          <w:sz w:val="24"/>
        </w:rPr>
        <w:t>（此表可延长）</w:t>
      </w:r>
    </w:p>
    <w:p>
      <w:pPr>
        <w:pStyle w:val="8"/>
        <w:rPr>
          <w:rFonts w:hint="eastAsia" w:ascii="仿宋" w:hAnsi="仿宋" w:eastAsia="仿宋" w:cs="仿宋"/>
          <w:color w:val="auto"/>
          <w:sz w:val="24"/>
        </w:rPr>
      </w:pPr>
    </w:p>
    <w:p>
      <w:pPr>
        <w:tabs>
          <w:tab w:val="left" w:pos="1050"/>
          <w:tab w:val="left" w:pos="1838"/>
        </w:tabs>
        <w:spacing w:line="360" w:lineRule="auto"/>
        <w:rPr>
          <w:rFonts w:hint="eastAsia" w:ascii="仿宋" w:hAnsi="仿宋" w:eastAsia="仿宋" w:cs="仿宋"/>
          <w:b/>
          <w:color w:val="auto"/>
          <w:sz w:val="22"/>
          <w:szCs w:val="22"/>
        </w:rPr>
      </w:pPr>
      <w:r>
        <w:rPr>
          <w:rFonts w:hint="eastAsia" w:ascii="仿宋" w:hAnsi="仿宋" w:eastAsia="仿宋" w:cs="仿宋"/>
          <w:b/>
          <w:color w:val="auto"/>
          <w:sz w:val="22"/>
          <w:szCs w:val="22"/>
        </w:rPr>
        <w:t>注： 1、上表列出的人员，须附其资质证书的复印件（身份证、学位证、职称证、其他相关认证等）；</w:t>
      </w:r>
    </w:p>
    <w:p>
      <w:pPr>
        <w:tabs>
          <w:tab w:val="left" w:pos="1050"/>
          <w:tab w:val="left" w:pos="1838"/>
        </w:tabs>
        <w:spacing w:line="360" w:lineRule="auto"/>
        <w:ind w:firstLine="563" w:firstLineChars="255"/>
        <w:rPr>
          <w:rFonts w:hint="eastAsia" w:ascii="仿宋" w:hAnsi="仿宋" w:eastAsia="仿宋" w:cs="仿宋"/>
          <w:b/>
          <w:color w:val="auto"/>
          <w:sz w:val="22"/>
          <w:szCs w:val="22"/>
        </w:rPr>
      </w:pPr>
      <w:r>
        <w:rPr>
          <w:rFonts w:hint="eastAsia" w:ascii="仿宋" w:hAnsi="仿宋" w:eastAsia="仿宋" w:cs="仿宋"/>
          <w:b/>
          <w:color w:val="auto"/>
          <w:sz w:val="22"/>
          <w:szCs w:val="22"/>
        </w:rPr>
        <w:t>2、须出具上述人员在本公司服务的外部证明，如：（如加盖社会保险基金管理中心印章的打印日期在本项目投标截止日之前</w:t>
      </w:r>
      <w:r>
        <w:rPr>
          <w:rFonts w:hint="eastAsia" w:ascii="仿宋" w:hAnsi="仿宋" w:eastAsia="仿宋" w:cs="仿宋"/>
          <w:b/>
          <w:color w:val="auto"/>
          <w:sz w:val="22"/>
          <w:szCs w:val="22"/>
          <w:lang w:eastAsia="zh-CN"/>
        </w:rPr>
        <w:t>近半年</w:t>
      </w:r>
      <w:r>
        <w:rPr>
          <w:rFonts w:hint="eastAsia" w:ascii="仿宋" w:hAnsi="仿宋" w:eastAsia="仿宋" w:cs="仿宋"/>
          <w:b/>
          <w:color w:val="auto"/>
          <w:sz w:val="22"/>
          <w:szCs w:val="22"/>
        </w:rPr>
        <w:t>以内的《投保单》或《社会保险参保人员证明》，或单位代缴个人所得税税单等）复印件。</w:t>
      </w:r>
    </w:p>
    <w:p>
      <w:pPr>
        <w:ind w:left="3360" w:leftChars="1600" w:firstLine="960" w:firstLineChars="400"/>
        <w:rPr>
          <w:rFonts w:hint="eastAsia" w:ascii="仿宋" w:hAnsi="仿宋" w:eastAsia="仿宋" w:cs="仿宋"/>
          <w:color w:val="auto"/>
          <w:sz w:val="24"/>
        </w:rPr>
      </w:pPr>
    </w:p>
    <w:p>
      <w:pPr>
        <w:ind w:left="3360" w:leftChars="1600" w:firstLine="960" w:firstLineChars="400"/>
        <w:rPr>
          <w:rFonts w:hint="eastAsia" w:ascii="仿宋" w:hAnsi="仿宋" w:eastAsia="仿宋" w:cs="仿宋"/>
          <w:color w:val="auto"/>
          <w:sz w:val="24"/>
        </w:rPr>
      </w:pPr>
    </w:p>
    <w:p>
      <w:pPr>
        <w:spacing w:line="480" w:lineRule="auto"/>
        <w:ind w:firstLine="4303" w:firstLineChars="1793"/>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ind w:firstLine="4303" w:firstLineChars="1793"/>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ind w:firstLine="4488" w:firstLineChars="2040"/>
        <w:rPr>
          <w:rFonts w:hint="eastAsia" w:ascii="仿宋" w:hAnsi="仿宋" w:eastAsia="仿宋" w:cs="仿宋"/>
          <w:color w:val="auto"/>
          <w:sz w:val="28"/>
          <w:szCs w:val="28"/>
        </w:rPr>
      </w:pPr>
      <w:r>
        <w:rPr>
          <w:rFonts w:hint="eastAsia" w:ascii="仿宋" w:hAnsi="仿宋" w:eastAsia="仿宋" w:cs="仿宋"/>
          <w:color w:val="auto"/>
          <w:sz w:val="22"/>
          <w:szCs w:val="28"/>
        </w:rPr>
        <w:t>日    期：     年   月   日</w:t>
      </w:r>
    </w:p>
    <w:p>
      <w:pPr>
        <w:pStyle w:val="5"/>
        <w:spacing w:before="0" w:after="0" w:line="360" w:lineRule="auto"/>
        <w:rPr>
          <w:rFonts w:hint="eastAsia" w:ascii="仿宋" w:hAnsi="仿宋" w:eastAsia="仿宋" w:cs="仿宋"/>
          <w:color w:val="auto"/>
          <w:sz w:val="28"/>
          <w:szCs w:val="28"/>
        </w:rPr>
      </w:pPr>
      <w:bookmarkStart w:id="190" w:name="_Toc7556"/>
      <w:r>
        <w:rPr>
          <w:rFonts w:hint="eastAsia" w:ascii="仿宋" w:hAnsi="仿宋" w:eastAsia="仿宋" w:cs="仿宋"/>
          <w:color w:val="auto"/>
          <w:sz w:val="28"/>
          <w:szCs w:val="28"/>
        </w:rPr>
        <w:t>格式1</w:t>
      </w:r>
      <w:r>
        <w:rPr>
          <w:rFonts w:hint="eastAsia" w:ascii="仿宋" w:hAnsi="仿宋" w:eastAsia="仿宋" w:cs="仿宋"/>
          <w:color w:val="auto"/>
          <w:sz w:val="28"/>
          <w:szCs w:val="28"/>
          <w:lang w:val="en-US" w:eastAsia="zh-CN"/>
        </w:rPr>
        <w:t>0  2019年5月至投标文件递交截止日前</w:t>
      </w:r>
      <w:bookmarkEnd w:id="189"/>
      <w:r>
        <w:rPr>
          <w:rFonts w:hint="eastAsia" w:ascii="仿宋" w:hAnsi="仿宋" w:eastAsia="仿宋" w:cs="仿宋"/>
          <w:color w:val="auto"/>
          <w:sz w:val="28"/>
          <w:szCs w:val="28"/>
        </w:rPr>
        <w:t>销售同类产品情况一览表</w:t>
      </w:r>
      <w:bookmarkEnd w:id="190"/>
    </w:p>
    <w:p>
      <w:pPr>
        <w:rPr>
          <w:rFonts w:hint="eastAsia" w:ascii="仿宋" w:hAnsi="仿宋" w:eastAsia="仿宋" w:cs="仿宋"/>
          <w:color w:val="auto"/>
        </w:rPr>
      </w:pPr>
    </w:p>
    <w:p>
      <w:pPr>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rPr>
        <w:t>项目名</w:t>
      </w:r>
      <w:r>
        <w:rPr>
          <w:rFonts w:hint="eastAsia" w:ascii="仿宋" w:hAnsi="仿宋" w:eastAsia="仿宋" w:cs="仿宋"/>
          <w:color w:val="auto"/>
          <w:sz w:val="24"/>
          <w:lang w:eastAsia="zh-CN"/>
        </w:rPr>
        <w:t>称：</w:t>
      </w:r>
      <w:r>
        <w:rPr>
          <w:rFonts w:hint="eastAsia" w:ascii="仿宋" w:hAnsi="仿宋" w:eastAsia="仿宋" w:cs="仿宋"/>
          <w:color w:val="auto"/>
          <w:sz w:val="24"/>
          <w:u w:val="single"/>
          <w:lang w:val="en-US" w:eastAsia="zh-CN"/>
        </w:rPr>
        <w:t xml:space="preserve">                                     </w:t>
      </w:r>
    </w:p>
    <w:p>
      <w:pPr>
        <w:spacing w:line="400" w:lineRule="exact"/>
        <w:rPr>
          <w:rFonts w:hint="eastAsia" w:ascii="仿宋" w:hAnsi="仿宋" w:eastAsia="仿宋" w:cs="仿宋"/>
          <w:color w:val="auto"/>
          <w:sz w:val="24"/>
          <w:lang w:eastAsia="zh-CN"/>
        </w:rPr>
      </w:pPr>
      <w:r>
        <w:rPr>
          <w:rFonts w:hint="eastAsia" w:ascii="仿宋" w:hAnsi="仿宋" w:eastAsia="仿宋" w:cs="仿宋"/>
          <w:color w:val="auto"/>
          <w:sz w:val="24"/>
        </w:rPr>
        <w:t>招标编号：</w:t>
      </w:r>
      <w:r>
        <w:rPr>
          <w:rFonts w:hint="eastAsia" w:ascii="仿宋" w:hAnsi="仿宋" w:eastAsia="仿宋" w:cs="仿宋"/>
          <w:color w:val="auto"/>
          <w:sz w:val="24"/>
          <w:u w:val="single"/>
          <w:lang w:val="en-US" w:eastAsia="zh-CN"/>
        </w:rPr>
        <w:t xml:space="preserve">                                     </w:t>
      </w:r>
    </w:p>
    <w:tbl>
      <w:tblPr>
        <w:tblStyle w:val="21"/>
        <w:tblW w:w="89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21"/>
        <w:gridCol w:w="1717"/>
        <w:gridCol w:w="1699"/>
        <w:gridCol w:w="1678"/>
        <w:gridCol w:w="1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1"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421"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业主名称</w:t>
            </w:r>
          </w:p>
        </w:tc>
        <w:tc>
          <w:tcPr>
            <w:tcW w:w="1717" w:type="dxa"/>
            <w:shd w:val="clear" w:color="auto" w:fill="E0E0E0"/>
            <w:noWrap w:val="0"/>
            <w:vAlign w:val="center"/>
          </w:tcPr>
          <w:p>
            <w:pPr>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服务</w:t>
            </w:r>
            <w:r>
              <w:rPr>
                <w:rFonts w:hint="eastAsia" w:ascii="仿宋" w:hAnsi="仿宋" w:eastAsia="仿宋" w:cs="仿宋"/>
                <w:b/>
                <w:color w:val="auto"/>
                <w:sz w:val="24"/>
                <w:lang w:val="en-US" w:eastAsia="zh-CN"/>
              </w:rPr>
              <w:t>内容</w:t>
            </w:r>
          </w:p>
        </w:tc>
        <w:tc>
          <w:tcPr>
            <w:tcW w:w="1699"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合同总价</w:t>
            </w:r>
          </w:p>
        </w:tc>
        <w:tc>
          <w:tcPr>
            <w:tcW w:w="1678"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完成时间</w:t>
            </w:r>
          </w:p>
        </w:tc>
        <w:tc>
          <w:tcPr>
            <w:tcW w:w="1699"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业主联系人及电话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pStyle w:val="34"/>
              <w:keepNext w:val="0"/>
              <w:adjustRightInd/>
              <w:spacing w:before="0" w:after="0" w:line="480" w:lineRule="auto"/>
              <w:textAlignment w:val="auto"/>
              <w:rPr>
                <w:rFonts w:hint="eastAsia" w:ascii="仿宋" w:hAnsi="仿宋" w:eastAsia="仿宋" w:cs="仿宋"/>
                <w:snapToGrid/>
                <w:color w:val="auto"/>
                <w:spacing w:val="0"/>
                <w:kern w:val="2"/>
                <w:szCs w:val="24"/>
                <w:lang w:val="en-US" w:eastAsia="zh-CN"/>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sz w:val="24"/>
        </w:rPr>
      </w:pP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2"/>
          <w:szCs w:val="28"/>
        </w:rPr>
        <w:t>注：请附上相关合同</w:t>
      </w:r>
      <w:r>
        <w:rPr>
          <w:rFonts w:hint="eastAsia" w:ascii="仿宋" w:hAnsi="仿宋" w:eastAsia="仿宋" w:cs="仿宋"/>
          <w:b/>
          <w:color w:val="auto"/>
          <w:sz w:val="22"/>
          <w:szCs w:val="28"/>
          <w:lang w:eastAsia="zh-CN"/>
        </w:rPr>
        <w:t>或中标通知书</w:t>
      </w:r>
      <w:r>
        <w:rPr>
          <w:rFonts w:hint="eastAsia" w:ascii="仿宋" w:hAnsi="仿宋" w:eastAsia="仿宋" w:cs="仿宋"/>
          <w:b/>
          <w:color w:val="auto"/>
          <w:sz w:val="22"/>
          <w:szCs w:val="28"/>
        </w:rPr>
        <w:t>等复印件，否则该项业绩视为无效。</w:t>
      </w:r>
    </w:p>
    <w:p>
      <w:pPr>
        <w:rPr>
          <w:rFonts w:hint="eastAsia" w:ascii="仿宋" w:hAnsi="仿宋" w:eastAsia="仿宋" w:cs="仿宋"/>
          <w:color w:val="auto"/>
        </w:rPr>
      </w:pPr>
    </w:p>
    <w:p>
      <w:pPr>
        <w:pStyle w:val="5"/>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91" w:name="_Toc25141"/>
      <w:bookmarkStart w:id="192" w:name="_Toc130139095"/>
      <w:r>
        <w:rPr>
          <w:rFonts w:hint="eastAsia" w:ascii="仿宋" w:hAnsi="仿宋" w:eastAsia="仿宋" w:cs="仿宋"/>
          <w:color w:val="auto"/>
          <w:sz w:val="28"/>
          <w:szCs w:val="28"/>
        </w:rPr>
        <w:t>格式1</w:t>
      </w:r>
      <w:bookmarkStart w:id="193" w:name="_Toc271888140"/>
      <w:bookmarkStart w:id="194" w:name="_Toc170699953"/>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投标服务方案</w:t>
      </w:r>
      <w:bookmarkEnd w:id="191"/>
    </w:p>
    <w:p>
      <w:pPr>
        <w:spacing w:line="520" w:lineRule="exact"/>
        <w:rPr>
          <w:rFonts w:hint="eastAsia" w:ascii="仿宋" w:hAnsi="仿宋" w:eastAsia="仿宋" w:cs="仿宋"/>
          <w:b/>
          <w:color w:val="auto"/>
          <w:sz w:val="24"/>
        </w:rPr>
      </w:pPr>
    </w:p>
    <w:p>
      <w:pPr>
        <w:spacing w:line="520" w:lineRule="exact"/>
        <w:rPr>
          <w:rFonts w:hint="eastAsia" w:ascii="仿宋" w:hAnsi="仿宋" w:eastAsia="仿宋" w:cs="仿宋"/>
          <w:b/>
          <w:color w:val="auto"/>
          <w:sz w:val="24"/>
        </w:rPr>
      </w:pPr>
      <w:r>
        <w:rPr>
          <w:rFonts w:hint="eastAsia" w:ascii="仿宋" w:hAnsi="仿宋" w:eastAsia="仿宋" w:cs="仿宋"/>
          <w:b/>
          <w:color w:val="auto"/>
          <w:sz w:val="24"/>
        </w:rPr>
        <w:t>主要内容应包括但不限于以下内容（格式自定）：</w:t>
      </w:r>
    </w:p>
    <w:bookmarkEnd w:id="192"/>
    <w:bookmarkEnd w:id="193"/>
    <w:bookmarkEnd w:id="194"/>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(1) 项目实施方案、技术方案或服务方案；</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(2) 投标供应商必须提供投标设备的详细配置及参数说明；</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(3) 质量保证措施；</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(4) 针对本项目执行进度计划；</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(5) 技术服务偏离表；</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(7) 投标人售后服务方案；</w:t>
      </w:r>
    </w:p>
    <w:p>
      <w:pPr>
        <w:pStyle w:val="5"/>
        <w:spacing w:before="0" w:after="0" w:line="360" w:lineRule="auto"/>
        <w:rPr>
          <w:rFonts w:hint="eastAsia" w:ascii="仿宋" w:hAnsi="仿宋" w:eastAsia="仿宋" w:cs="仿宋"/>
          <w:color w:val="auto"/>
        </w:rPr>
      </w:pPr>
      <w:bookmarkStart w:id="195" w:name="_Toc130139097"/>
      <w:r>
        <w:rPr>
          <w:rFonts w:hint="eastAsia" w:ascii="仿宋" w:hAnsi="仿宋" w:eastAsia="仿宋" w:cs="仿宋"/>
          <w:color w:val="auto"/>
          <w:sz w:val="24"/>
        </w:rPr>
        <w:br w:type="page"/>
      </w:r>
      <w:bookmarkEnd w:id="195"/>
      <w:bookmarkStart w:id="196" w:name="_Toc243976061"/>
      <w:bookmarkStart w:id="197" w:name="_Toc32597"/>
      <w:bookmarkStart w:id="198" w:name="_Toc226860618"/>
      <w:r>
        <w:rPr>
          <w:rFonts w:hint="eastAsia" w:ascii="仿宋" w:hAnsi="仿宋" w:eastAsia="仿宋" w:cs="仿宋"/>
          <w:color w:val="auto"/>
          <w:sz w:val="28"/>
          <w:szCs w:val="28"/>
        </w:rPr>
        <w:t>格式1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投标人资格声明函</w:t>
      </w:r>
      <w:bookmarkEnd w:id="196"/>
      <w:bookmarkEnd w:id="197"/>
    </w:p>
    <w:p>
      <w:pPr>
        <w:jc w:val="center"/>
        <w:rPr>
          <w:rFonts w:hint="eastAsia" w:ascii="仿宋" w:hAnsi="仿宋" w:eastAsia="仿宋" w:cs="仿宋"/>
          <w:b/>
          <w:color w:val="auto"/>
          <w:sz w:val="24"/>
        </w:rPr>
      </w:pP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投标人资格声明函</w:t>
      </w:r>
      <w:bookmarkEnd w:id="198"/>
    </w:p>
    <w:p>
      <w:pPr>
        <w:jc w:val="cente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w:t>
      </w:r>
    </w:p>
    <w:p>
      <w:pPr>
        <w:rPr>
          <w:rFonts w:hint="eastAsia" w:ascii="仿宋" w:hAnsi="仿宋" w:eastAsia="仿宋" w:cs="仿宋"/>
          <w:color w:val="auto"/>
          <w:sz w:val="24"/>
        </w:rPr>
      </w:pPr>
    </w:p>
    <w:p>
      <w:pPr>
        <w:snapToGrid w:val="0"/>
        <w:spacing w:before="120" w:beforeLines="50"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关于贵公司</w:t>
      </w:r>
      <w:r>
        <w:rPr>
          <w:rFonts w:hint="eastAsia" w:ascii="仿宋" w:hAnsi="仿宋" w:eastAsia="仿宋" w:cs="仿宋"/>
          <w:color w:val="auto"/>
          <w:sz w:val="24"/>
          <w:u w:val="single"/>
        </w:rPr>
        <w:t>　　　</w:t>
      </w:r>
      <w:r>
        <w:rPr>
          <w:rFonts w:hint="eastAsia" w:ascii="仿宋" w:hAnsi="仿宋" w:eastAsia="仿宋" w:cs="仿宋"/>
          <w:color w:val="auto"/>
          <w:sz w:val="24"/>
        </w:rPr>
        <w:t>年</w:t>
      </w:r>
      <w:r>
        <w:rPr>
          <w:rFonts w:hint="eastAsia" w:ascii="仿宋" w:hAnsi="仿宋" w:eastAsia="仿宋" w:cs="仿宋"/>
          <w:color w:val="auto"/>
          <w:sz w:val="24"/>
          <w:u w:val="single"/>
        </w:rPr>
        <w:t>　　</w:t>
      </w:r>
      <w:r>
        <w:rPr>
          <w:rFonts w:hint="eastAsia" w:ascii="仿宋" w:hAnsi="仿宋" w:eastAsia="仿宋" w:cs="仿宋"/>
          <w:color w:val="auto"/>
          <w:sz w:val="24"/>
        </w:rPr>
        <w:t>月</w:t>
      </w:r>
      <w:r>
        <w:rPr>
          <w:rFonts w:hint="eastAsia" w:ascii="仿宋" w:hAnsi="仿宋" w:eastAsia="仿宋" w:cs="仿宋"/>
          <w:color w:val="auto"/>
          <w:sz w:val="24"/>
          <w:u w:val="single"/>
        </w:rPr>
        <w:t>　　</w:t>
      </w:r>
      <w:r>
        <w:rPr>
          <w:rFonts w:hint="eastAsia" w:ascii="仿宋" w:hAnsi="仿宋" w:eastAsia="仿宋" w:cs="仿宋"/>
          <w:color w:val="auto"/>
          <w:sz w:val="24"/>
        </w:rPr>
        <w:t>日发</w:t>
      </w:r>
      <w:r>
        <w:rPr>
          <w:rFonts w:hint="eastAsia" w:ascii="仿宋" w:hAnsi="仿宋" w:eastAsia="仿宋" w:cs="仿宋"/>
          <w:color w:val="auto"/>
          <w:sz w:val="24"/>
          <w:highlight w:val="none"/>
        </w:rPr>
        <w:t>布</w:t>
      </w:r>
      <w:r>
        <w:rPr>
          <w:rFonts w:hint="eastAsia" w:ascii="仿宋" w:hAnsi="仿宋" w:eastAsia="仿宋" w:cs="仿宋"/>
          <w:color w:val="auto"/>
          <w:sz w:val="24"/>
          <w:highlight w:val="none"/>
          <w:u w:val="single"/>
          <w:lang w:val="en-US" w:eastAsia="zh-CN"/>
        </w:rPr>
        <w:t>XXXX项目</w:t>
      </w:r>
      <w:r>
        <w:rPr>
          <w:rFonts w:hint="eastAsia" w:ascii="仿宋" w:hAnsi="仿宋" w:eastAsia="仿宋" w:cs="仿宋"/>
          <w:color w:val="auto"/>
          <w:sz w:val="24"/>
          <w:highlight w:val="none"/>
        </w:rPr>
        <w:t>（招标编号</w:t>
      </w:r>
      <w:r>
        <w:rPr>
          <w:rFonts w:hint="eastAsia" w:ascii="仿宋" w:hAnsi="仿宋" w:eastAsia="仿宋" w:cs="仿宋"/>
          <w:color w:val="auto"/>
          <w:sz w:val="24"/>
        </w:rPr>
        <w:t>：HY</w:t>
      </w:r>
      <w:r>
        <w:rPr>
          <w:rFonts w:hint="eastAsia" w:ascii="仿宋" w:hAnsi="仿宋" w:eastAsia="仿宋" w:cs="仿宋"/>
          <w:color w:val="auto"/>
          <w:sz w:val="24"/>
          <w:lang w:val="en-US" w:eastAsia="zh-CN"/>
        </w:rPr>
        <w:t>YL</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XXX</w:t>
      </w:r>
      <w:r>
        <w:rPr>
          <w:rFonts w:hint="eastAsia" w:ascii="仿宋" w:hAnsi="仿宋" w:eastAsia="仿宋" w:cs="仿宋"/>
          <w:color w:val="auto"/>
          <w:sz w:val="24"/>
        </w:rPr>
        <w:t>号</w:t>
      </w:r>
      <w:r>
        <w:rPr>
          <w:rFonts w:hint="eastAsia" w:ascii="仿宋" w:hAnsi="仿宋" w:eastAsia="仿宋" w:cs="仿宋"/>
          <w:color w:val="auto"/>
          <w:sz w:val="24"/>
          <w:highlight w:val="none"/>
        </w:rPr>
        <w:t>）的采购公</w:t>
      </w:r>
      <w:r>
        <w:rPr>
          <w:rFonts w:hint="eastAsia" w:ascii="仿宋" w:hAnsi="仿宋" w:eastAsia="仿宋" w:cs="仿宋"/>
          <w:color w:val="auto"/>
          <w:sz w:val="24"/>
        </w:rPr>
        <w:t>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文件的要求及有关文件规定。并承诺在本次招标采购活动中，如有违法、违规、弄虚作假行为，所造成的损失、不良后果及法律责任，一律由我公司（企业）承担。</w:t>
      </w:r>
    </w:p>
    <w:p>
      <w:pPr>
        <w:spacing w:line="360" w:lineRule="auto"/>
        <w:ind w:firstLine="420"/>
        <w:rPr>
          <w:rFonts w:hint="eastAsia" w:ascii="仿宋" w:hAnsi="仿宋" w:eastAsia="仿宋" w:cs="仿宋"/>
          <w:color w:val="auto"/>
          <w:sz w:val="24"/>
        </w:rPr>
      </w:pPr>
    </w:p>
    <w:p>
      <w:pPr>
        <w:spacing w:line="360" w:lineRule="auto"/>
        <w:ind w:firstLine="420"/>
        <w:rPr>
          <w:rFonts w:hint="eastAsia" w:ascii="仿宋" w:hAnsi="仿宋" w:eastAsia="仿宋" w:cs="仿宋"/>
          <w:color w:val="auto"/>
          <w:sz w:val="24"/>
        </w:rPr>
      </w:pPr>
    </w:p>
    <w:p>
      <w:pPr>
        <w:spacing w:line="360" w:lineRule="auto"/>
        <w:ind w:firstLine="420"/>
        <w:rPr>
          <w:rFonts w:hint="eastAsia" w:ascii="仿宋" w:hAnsi="仿宋" w:eastAsia="仿宋" w:cs="仿宋"/>
          <w:color w:val="auto"/>
          <w:sz w:val="24"/>
        </w:rPr>
      </w:pPr>
      <w:r>
        <w:rPr>
          <w:rFonts w:hint="eastAsia" w:ascii="仿宋" w:hAnsi="仿宋" w:eastAsia="仿宋" w:cs="仿宋"/>
          <w:color w:val="auto"/>
          <w:sz w:val="24"/>
        </w:rPr>
        <w:t>特此声明！</w:t>
      </w:r>
    </w:p>
    <w:p>
      <w:pPr>
        <w:spacing w:line="360" w:lineRule="auto"/>
        <w:ind w:firstLine="420"/>
        <w:rPr>
          <w:rFonts w:hint="eastAsia" w:ascii="仿宋" w:hAnsi="仿宋" w:eastAsia="仿宋" w:cs="仿宋"/>
          <w:color w:val="auto"/>
          <w:sz w:val="24"/>
        </w:rPr>
      </w:pPr>
    </w:p>
    <w:p>
      <w:pPr>
        <w:spacing w:line="360" w:lineRule="auto"/>
        <w:ind w:firstLine="420"/>
        <w:rPr>
          <w:rFonts w:hint="eastAsia" w:ascii="仿宋" w:hAnsi="仿宋" w:eastAsia="仿宋" w:cs="仿宋"/>
          <w:color w:val="auto"/>
          <w:sz w:val="24"/>
        </w:rPr>
      </w:pPr>
    </w:p>
    <w:p>
      <w:pPr>
        <w:spacing w:line="480" w:lineRule="auto"/>
        <w:ind w:firstLine="420"/>
        <w:rPr>
          <w:rFonts w:hint="eastAsia" w:ascii="仿宋" w:hAnsi="仿宋" w:eastAsia="仿宋" w:cs="仿宋"/>
          <w:color w:val="auto"/>
          <w:sz w:val="24"/>
        </w:rPr>
      </w:pPr>
      <w:r>
        <w:rPr>
          <w:rFonts w:hint="eastAsia" w:ascii="仿宋" w:hAnsi="仿宋" w:eastAsia="仿宋" w:cs="仿宋"/>
          <w:color w:val="auto"/>
          <w:sz w:val="24"/>
        </w:rPr>
        <w:t>单位名称：　　　　　　　　　　　　　　　　　　公司（企业）法定代表人签字：</w:t>
      </w:r>
    </w:p>
    <w:p>
      <w:pPr>
        <w:spacing w:line="480" w:lineRule="auto"/>
        <w:ind w:firstLine="420"/>
        <w:rPr>
          <w:rFonts w:hint="eastAsia" w:ascii="仿宋" w:hAnsi="仿宋" w:eastAsia="仿宋" w:cs="仿宋"/>
          <w:color w:val="auto"/>
          <w:sz w:val="24"/>
        </w:rPr>
      </w:pPr>
      <w:r>
        <w:rPr>
          <w:rFonts w:hint="eastAsia" w:ascii="仿宋" w:hAnsi="仿宋" w:eastAsia="仿宋" w:cs="仿宋"/>
          <w:color w:val="auto"/>
          <w:sz w:val="24"/>
        </w:rPr>
        <w:t>单位地址：　　　　　　　　　　　　　　　　　　单位公章：</w:t>
      </w:r>
    </w:p>
    <w:p>
      <w:pPr>
        <w:spacing w:line="480" w:lineRule="auto"/>
        <w:ind w:firstLine="420"/>
        <w:rPr>
          <w:rFonts w:hint="eastAsia" w:ascii="仿宋" w:hAnsi="仿宋" w:eastAsia="仿宋" w:cs="仿宋"/>
          <w:color w:val="auto"/>
          <w:sz w:val="24"/>
        </w:rPr>
      </w:pPr>
      <w:r>
        <w:rPr>
          <w:rFonts w:hint="eastAsia" w:ascii="仿宋" w:hAnsi="仿宋" w:eastAsia="仿宋" w:cs="仿宋"/>
          <w:color w:val="auto"/>
          <w:sz w:val="24"/>
        </w:rPr>
        <w:t>邮政编码：　　　　　　　　　　　　　　　　　　日期：</w:t>
      </w:r>
    </w:p>
    <w:p>
      <w:pPr>
        <w:spacing w:line="480" w:lineRule="auto"/>
        <w:ind w:firstLine="420" w:firstLineChars="175"/>
        <w:rPr>
          <w:rFonts w:hint="eastAsia" w:ascii="仿宋" w:hAnsi="仿宋" w:eastAsia="仿宋" w:cs="仿宋"/>
          <w:color w:val="auto"/>
          <w:sz w:val="24"/>
        </w:rPr>
      </w:pPr>
      <w:r>
        <w:rPr>
          <w:rFonts w:hint="eastAsia" w:ascii="仿宋" w:hAnsi="仿宋" w:eastAsia="仿宋" w:cs="仿宋"/>
          <w:color w:val="auto"/>
          <w:sz w:val="24"/>
        </w:rPr>
        <w:t>联系电话：</w:t>
      </w:r>
    </w:p>
    <w:p>
      <w:pPr>
        <w:pStyle w:val="5"/>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99" w:name="_Toc6977"/>
      <w:bookmarkStart w:id="200" w:name="_Toc130139098"/>
      <w:r>
        <w:rPr>
          <w:rFonts w:hint="eastAsia" w:ascii="仿宋" w:hAnsi="仿宋" w:eastAsia="仿宋" w:cs="仿宋"/>
          <w:color w:val="auto"/>
          <w:sz w:val="28"/>
          <w:szCs w:val="28"/>
        </w:rPr>
        <w:t>格式1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资格文件</w:t>
      </w:r>
      <w:bookmarkEnd w:id="199"/>
      <w:bookmarkEnd w:id="200"/>
    </w:p>
    <w:p>
      <w:pPr>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投标人必须按下列要求提交资格文件：</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1、企业营业执照副本；</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信用中国”（www.creditchina.gov.cn）和“中国政府采购网”（www.ccgp.gov.cn）网站上未被列入失信被执行人、重大税收违法案件当事人名单以及政府采购严重违法失信行为记录名单的网页打印件（网页打印件须自磋商文件发布之日起至投标截止时间从上述网站中打印）（加盖公章）；</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3、法定代表人参加时提供：身份证原件，或委托代理人参加时提供：身份证原件、授权委托书；</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4、近三个月（2022年3月-2022年5月）缴纳税收证明及投标单位和被授权人的社保缴纳证明；</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5、投标保证金收据。</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6、其他投标人认为有必要的资质文件。</w:t>
      </w:r>
    </w:p>
    <w:p>
      <w:pPr>
        <w:spacing w:line="360" w:lineRule="auto"/>
        <w:ind w:firstLine="525" w:firstLineChars="219"/>
        <w:rPr>
          <w:rFonts w:hint="eastAsia" w:ascii="仿宋" w:hAnsi="仿宋" w:eastAsia="仿宋" w:cs="仿宋"/>
          <w:color w:val="auto"/>
          <w:sz w:val="24"/>
        </w:rPr>
      </w:pPr>
    </w:p>
    <w:p>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2"/>
          <w:szCs w:val="28"/>
        </w:rPr>
        <w:t>注：投标人应自行承担所提供上述资料任何错漏而导致的一切后果。</w:t>
      </w:r>
    </w:p>
    <w:p>
      <w:pPr>
        <w:spacing w:line="500" w:lineRule="exact"/>
        <w:ind w:firstLine="960"/>
        <w:rPr>
          <w:rFonts w:hint="eastAsia" w:ascii="仿宋" w:hAnsi="仿宋" w:eastAsia="仿宋" w:cs="仿宋"/>
          <w:color w:val="auto"/>
          <w:sz w:val="24"/>
        </w:rPr>
      </w:pPr>
    </w:p>
    <w:p>
      <w:pPr>
        <w:tabs>
          <w:tab w:val="left" w:pos="1260"/>
        </w:tabs>
        <w:spacing w:before="40" w:after="40"/>
        <w:rPr>
          <w:rFonts w:hint="eastAsia" w:ascii="仿宋" w:hAnsi="仿宋" w:eastAsia="仿宋" w:cs="仿宋"/>
          <w:color w:val="auto"/>
          <w:sz w:val="22"/>
        </w:rPr>
        <w:sectPr>
          <w:type w:val="nextColumn"/>
          <w:pgSz w:w="11906" w:h="16838"/>
          <w:pgMar w:top="1191" w:right="1418" w:bottom="1191" w:left="1418" w:header="737" w:footer="737" w:gutter="0"/>
          <w:pgNumType w:fmt="decimal"/>
          <w:cols w:space="720" w:num="1"/>
          <w:docGrid w:linePitch="312" w:charSpace="0"/>
        </w:sectPr>
      </w:pPr>
    </w:p>
    <w:p>
      <w:pPr>
        <w:spacing w:line="360" w:lineRule="auto"/>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val="en-US" w:eastAsia="zh-CN"/>
        </w:rPr>
        <w:t>项目</w:t>
      </w:r>
      <w:r>
        <w:rPr>
          <w:rFonts w:hint="eastAsia" w:ascii="仿宋" w:hAnsi="仿宋" w:eastAsia="仿宋" w:cs="仿宋"/>
          <w:b/>
          <w:color w:val="auto"/>
          <w:sz w:val="36"/>
          <w:szCs w:val="36"/>
        </w:rPr>
        <w:t>编号：</w:t>
      </w:r>
      <w:r>
        <w:rPr>
          <w:rFonts w:hint="eastAsia" w:ascii="仿宋" w:hAnsi="仿宋" w:eastAsia="仿宋" w:cs="仿宋"/>
          <w:b/>
          <w:color w:val="auto"/>
          <w:sz w:val="36"/>
          <w:szCs w:val="36"/>
          <w:lang w:eastAsia="zh-CN"/>
        </w:rPr>
        <w:t>HYYL-2022-062</w:t>
      </w:r>
    </w:p>
    <w:p>
      <w:pPr>
        <w:spacing w:line="360" w:lineRule="auto"/>
        <w:jc w:val="both"/>
        <w:rPr>
          <w:rFonts w:hint="eastAsia" w:ascii="仿宋" w:hAnsi="仿宋" w:eastAsia="仿宋" w:cs="仿宋"/>
          <w:b/>
          <w:color w:val="auto"/>
          <w:w w:val="150"/>
          <w:sz w:val="96"/>
        </w:rPr>
      </w:pP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评</w:t>
      </w: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标</w:t>
      </w: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文</w:t>
      </w: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件</w:t>
      </w:r>
    </w:p>
    <w:p>
      <w:pPr>
        <w:pStyle w:val="5"/>
        <w:rPr>
          <w:rFonts w:hint="eastAsia" w:ascii="仿宋" w:hAnsi="仿宋" w:eastAsia="仿宋" w:cs="仿宋"/>
          <w:color w:val="auto"/>
        </w:rPr>
      </w:pPr>
    </w:p>
    <w:p>
      <w:pPr>
        <w:spacing w:line="360" w:lineRule="auto"/>
        <w:jc w:val="center"/>
        <w:rPr>
          <w:rFonts w:hint="eastAsia" w:ascii="仿宋" w:hAnsi="仿宋" w:eastAsia="仿宋" w:cs="仿宋"/>
          <w:b/>
          <w:bCs w:val="0"/>
          <w:i w:val="0"/>
          <w:iCs w:val="0"/>
          <w:color w:val="auto"/>
          <w:w w:val="150"/>
          <w:sz w:val="24"/>
          <w:szCs w:val="24"/>
          <w:lang w:val="en-US" w:eastAsia="zh-CN"/>
        </w:rPr>
      </w:pPr>
      <w:r>
        <w:rPr>
          <w:rFonts w:hint="eastAsia" w:ascii="仿宋" w:hAnsi="仿宋" w:eastAsia="仿宋" w:cs="仿宋"/>
          <w:b/>
          <w:bCs w:val="0"/>
          <w:i w:val="0"/>
          <w:iCs w:val="0"/>
          <w:color w:val="auto"/>
          <w:w w:val="150"/>
          <w:sz w:val="24"/>
          <w:szCs w:val="24"/>
          <w:lang w:val="en-US" w:eastAsia="zh-CN"/>
        </w:rPr>
        <w:t>特克斯县中医医院</w:t>
      </w:r>
    </w:p>
    <w:p>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eastAsia="zh-CN"/>
        </w:rPr>
        <w:t>新疆华域建设工程项目管理咨询有限公司</w:t>
      </w:r>
      <w:r>
        <w:rPr>
          <w:rFonts w:hint="eastAsia" w:ascii="仿宋" w:hAnsi="仿宋" w:eastAsia="仿宋" w:cs="仿宋"/>
          <w:b/>
          <w:color w:val="auto"/>
          <w:sz w:val="36"/>
          <w:szCs w:val="36"/>
        </w:rPr>
        <w:t xml:space="preserve"> 编制</w:t>
      </w:r>
    </w:p>
    <w:p>
      <w:pPr>
        <w:spacing w:line="360" w:lineRule="auto"/>
        <w:jc w:val="center"/>
        <w:rPr>
          <w:rFonts w:hint="eastAsia" w:ascii="仿宋" w:hAnsi="仿宋" w:eastAsia="仿宋" w:cs="仿宋"/>
          <w:color w:val="auto"/>
        </w:rPr>
      </w:pPr>
      <w:r>
        <w:rPr>
          <w:rFonts w:hint="eastAsia" w:ascii="仿宋" w:hAnsi="仿宋" w:eastAsia="仿宋" w:cs="仿宋"/>
          <w:b/>
          <w:color w:val="auto"/>
          <w:sz w:val="36"/>
          <w:szCs w:val="36"/>
        </w:rPr>
        <w:t>二〇</w:t>
      </w:r>
      <w:r>
        <w:rPr>
          <w:rFonts w:hint="eastAsia" w:ascii="仿宋" w:hAnsi="仿宋" w:eastAsia="仿宋" w:cs="仿宋"/>
          <w:b/>
          <w:color w:val="auto"/>
          <w:sz w:val="36"/>
          <w:szCs w:val="36"/>
          <w:lang w:eastAsia="zh-CN"/>
        </w:rPr>
        <w:t>二</w:t>
      </w:r>
      <w:r>
        <w:rPr>
          <w:rFonts w:hint="eastAsia" w:ascii="仿宋" w:hAnsi="仿宋" w:eastAsia="仿宋" w:cs="仿宋"/>
          <w:b/>
          <w:color w:val="auto"/>
          <w:sz w:val="36"/>
          <w:szCs w:val="36"/>
          <w:lang w:val="en-US" w:eastAsia="zh-CN"/>
        </w:rPr>
        <w:t>二</w:t>
      </w:r>
      <w:r>
        <w:rPr>
          <w:rFonts w:hint="eastAsia" w:ascii="仿宋" w:hAnsi="仿宋" w:eastAsia="仿宋" w:cs="仿宋"/>
          <w:b/>
          <w:color w:val="auto"/>
          <w:sz w:val="36"/>
          <w:szCs w:val="36"/>
        </w:rPr>
        <w:t>年</w:t>
      </w:r>
      <w:r>
        <w:rPr>
          <w:rFonts w:hint="eastAsia" w:ascii="仿宋" w:hAnsi="仿宋" w:eastAsia="仿宋" w:cs="仿宋"/>
          <w:b/>
          <w:color w:val="auto"/>
          <w:sz w:val="36"/>
          <w:szCs w:val="36"/>
          <w:lang w:val="en-US" w:eastAsia="zh-CN"/>
        </w:rPr>
        <w:t>六</w:t>
      </w:r>
      <w:r>
        <w:rPr>
          <w:rFonts w:hint="eastAsia" w:ascii="仿宋" w:hAnsi="仿宋" w:eastAsia="仿宋" w:cs="仿宋"/>
          <w:b/>
          <w:color w:val="auto"/>
          <w:sz w:val="36"/>
          <w:szCs w:val="36"/>
        </w:rPr>
        <w:t>月</w:t>
      </w:r>
    </w:p>
    <w:p>
      <w:pPr>
        <w:pStyle w:val="5"/>
        <w:numPr>
          <w:ilvl w:val="0"/>
          <w:numId w:val="15"/>
        </w:numPr>
        <w:spacing w:before="0" w:after="0" w:line="360" w:lineRule="auto"/>
        <w:rPr>
          <w:rFonts w:hint="eastAsia" w:ascii="仿宋" w:hAnsi="仿宋" w:eastAsia="仿宋" w:cs="仿宋"/>
          <w:color w:val="auto"/>
          <w:sz w:val="28"/>
          <w:szCs w:val="28"/>
        </w:rPr>
      </w:pPr>
      <w:bookmarkStart w:id="201" w:name="_Toc279046915"/>
      <w:bookmarkStart w:id="202" w:name="_Toc226966736"/>
      <w:bookmarkStart w:id="203" w:name="_Toc271105728"/>
      <w:bookmarkStart w:id="204" w:name="_Toc130180745"/>
      <w:bookmarkStart w:id="205" w:name="_Toc191353064"/>
      <w:bookmarkStart w:id="206" w:name="_Toc130697228"/>
      <w:bookmarkStart w:id="207" w:name="_Toc243923419"/>
      <w:bookmarkStart w:id="208" w:name="_Toc272350660"/>
      <w:bookmarkStart w:id="209" w:name="_Toc130180931"/>
      <w:bookmarkStart w:id="210" w:name="_Toc130180850"/>
      <w:bookmarkStart w:id="211" w:name="_Toc2499"/>
      <w:bookmarkStart w:id="212" w:name="_Toc243743405"/>
      <w:bookmarkStart w:id="213" w:name="_Toc130695636"/>
      <w:bookmarkStart w:id="214" w:name="_Toc245203933"/>
      <w:bookmarkStart w:id="215" w:name="_Toc209258324"/>
      <w:r>
        <w:rPr>
          <w:rFonts w:hint="eastAsia" w:ascii="仿宋" w:hAnsi="仿宋" w:eastAsia="仿宋" w:cs="仿宋"/>
          <w:color w:val="auto"/>
          <w:sz w:val="28"/>
          <w:szCs w:val="28"/>
        </w:rPr>
        <w:t>说明</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Style w:val="6"/>
        <w:numPr>
          <w:ilvl w:val="0"/>
          <w:numId w:val="16"/>
        </w:numPr>
        <w:spacing w:before="120" w:beforeLines="50" w:line="360" w:lineRule="auto"/>
        <w:rPr>
          <w:rFonts w:hint="eastAsia" w:ascii="仿宋" w:hAnsi="仿宋" w:eastAsia="仿宋" w:cs="仿宋"/>
          <w:bCs w:val="0"/>
          <w:color w:val="auto"/>
          <w:sz w:val="24"/>
        </w:rPr>
      </w:pPr>
      <w:bookmarkStart w:id="216" w:name="_Toc243743406"/>
      <w:bookmarkStart w:id="217" w:name="_Toc185747627"/>
      <w:bookmarkStart w:id="218" w:name="_Toc226966737"/>
      <w:bookmarkStart w:id="219" w:name="_Toc245203934"/>
      <w:bookmarkStart w:id="220" w:name="_Toc272350661"/>
      <w:bookmarkStart w:id="221" w:name="_Toc191353065"/>
      <w:bookmarkStart w:id="222" w:name="_Toc130697229"/>
      <w:bookmarkStart w:id="223" w:name="_Toc209258325"/>
      <w:bookmarkStart w:id="224" w:name="_Toc271105729"/>
      <w:bookmarkStart w:id="225" w:name="_Toc243923420"/>
      <w:bookmarkStart w:id="226" w:name="_Toc279046916"/>
      <w:bookmarkStart w:id="227" w:name="_Toc277758545"/>
      <w:bookmarkStart w:id="228" w:name="_Toc226521749"/>
      <w:bookmarkStart w:id="229" w:name="_Toc130695637"/>
      <w:bookmarkStart w:id="230" w:name="_Toc16983"/>
      <w:bookmarkStart w:id="231" w:name="_Toc278958209"/>
      <w:bookmarkStart w:id="232" w:name="_Toc153615335"/>
      <w:r>
        <w:rPr>
          <w:rFonts w:hint="eastAsia" w:ascii="仿宋" w:hAnsi="仿宋" w:eastAsia="仿宋" w:cs="仿宋"/>
          <w:bCs w:val="0"/>
          <w:color w:val="auto"/>
          <w:sz w:val="24"/>
        </w:rPr>
        <w:t>概述</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ascii="仿宋" w:hAnsi="仿宋" w:eastAsia="仿宋" w:cs="仿宋"/>
          <w:bCs/>
          <w:color w:val="auto"/>
          <w:sz w:val="24"/>
          <w:lang w:eastAsia="zh-CN"/>
        </w:rPr>
        <w:t>新疆华域建设工程项目管理咨询有限公司</w:t>
      </w:r>
      <w:r>
        <w:rPr>
          <w:rFonts w:hint="eastAsia" w:ascii="仿宋" w:hAnsi="仿宋" w:eastAsia="仿宋" w:cs="仿宋"/>
          <w:bCs/>
          <w:color w:val="auto"/>
          <w:sz w:val="24"/>
        </w:rPr>
        <w:t xml:space="preserve"> 制定本评标文件，并经评标委员会确认。内容包括本次评标的评审过程和方法。</w:t>
      </w:r>
    </w:p>
    <w:p>
      <w:pPr>
        <w:pStyle w:val="6"/>
        <w:numPr>
          <w:ilvl w:val="0"/>
          <w:numId w:val="16"/>
        </w:numPr>
        <w:spacing w:before="120" w:beforeLines="50" w:line="360" w:lineRule="auto"/>
        <w:rPr>
          <w:rFonts w:hint="eastAsia" w:ascii="仿宋" w:hAnsi="仿宋" w:eastAsia="仿宋" w:cs="仿宋"/>
          <w:bCs w:val="0"/>
          <w:color w:val="auto"/>
          <w:sz w:val="24"/>
        </w:rPr>
      </w:pPr>
      <w:bookmarkStart w:id="233" w:name="_Toc245203935"/>
      <w:bookmarkStart w:id="234" w:name="_Toc209258326"/>
      <w:bookmarkStart w:id="235" w:name="_Toc130697230"/>
      <w:bookmarkStart w:id="236" w:name="_Toc185747628"/>
      <w:bookmarkStart w:id="237" w:name="_Toc279046917"/>
      <w:bookmarkStart w:id="238" w:name="_Toc277758546"/>
      <w:bookmarkStart w:id="239" w:name="_Toc271105730"/>
      <w:bookmarkStart w:id="240" w:name="_Toc153615336"/>
      <w:bookmarkStart w:id="241" w:name="_Toc191353066"/>
      <w:bookmarkStart w:id="242" w:name="_Toc278958210"/>
      <w:bookmarkStart w:id="243" w:name="_Toc23918"/>
      <w:bookmarkStart w:id="244" w:name="_Toc130695638"/>
      <w:bookmarkStart w:id="245" w:name="_Toc226521750"/>
      <w:bookmarkStart w:id="246" w:name="_Toc243923421"/>
      <w:bookmarkStart w:id="247" w:name="_Toc243743407"/>
      <w:bookmarkStart w:id="248" w:name="_Toc272350662"/>
      <w:bookmarkStart w:id="249" w:name="_Toc226966738"/>
      <w:r>
        <w:rPr>
          <w:rFonts w:hint="eastAsia" w:ascii="仿宋" w:hAnsi="仿宋" w:eastAsia="仿宋" w:cs="仿宋"/>
          <w:bCs w:val="0"/>
          <w:color w:val="auto"/>
          <w:sz w:val="24"/>
        </w:rPr>
        <w:t>定义</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numPr>
          <w:ilvl w:val="0"/>
          <w:numId w:val="17"/>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“采购人”系指依法进行政府采购的国家机关、事业单位、团体组织，本项目的采购人是</w:t>
      </w:r>
      <w:r>
        <w:rPr>
          <w:rFonts w:hint="eastAsia" w:ascii="仿宋" w:hAnsi="仿宋" w:eastAsia="仿宋" w:cs="仿宋"/>
          <w:bCs/>
          <w:color w:val="auto"/>
          <w:sz w:val="24"/>
          <w:lang w:eastAsia="zh-CN"/>
        </w:rPr>
        <w:t>特克斯县中医医院</w:t>
      </w:r>
      <w:r>
        <w:rPr>
          <w:rFonts w:hint="eastAsia" w:ascii="仿宋" w:hAnsi="仿宋" w:eastAsia="仿宋" w:cs="仿宋"/>
          <w:bCs/>
          <w:color w:val="auto"/>
          <w:sz w:val="24"/>
        </w:rPr>
        <w:t>。</w:t>
      </w:r>
    </w:p>
    <w:p>
      <w:pPr>
        <w:numPr>
          <w:ilvl w:val="0"/>
          <w:numId w:val="17"/>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“业主/用户”系指本采购项目的最终使用单位，本项目的业主/用户是</w:t>
      </w:r>
      <w:r>
        <w:rPr>
          <w:rFonts w:hint="eastAsia" w:ascii="仿宋" w:hAnsi="仿宋" w:eastAsia="仿宋" w:cs="仿宋"/>
          <w:bCs/>
          <w:color w:val="auto"/>
          <w:sz w:val="24"/>
          <w:lang w:eastAsia="zh-CN"/>
        </w:rPr>
        <w:t>特克斯县中医医院</w:t>
      </w:r>
      <w:r>
        <w:rPr>
          <w:rFonts w:hint="eastAsia" w:ascii="仿宋" w:hAnsi="仿宋" w:eastAsia="仿宋" w:cs="仿宋"/>
          <w:bCs/>
          <w:color w:val="auto"/>
          <w:sz w:val="24"/>
        </w:rPr>
        <w:t>。</w:t>
      </w:r>
    </w:p>
    <w:p>
      <w:pPr>
        <w:numPr>
          <w:ilvl w:val="0"/>
          <w:numId w:val="17"/>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“招标代理机构”系指</w:t>
      </w:r>
      <w:r>
        <w:rPr>
          <w:rFonts w:hint="eastAsia" w:ascii="仿宋" w:hAnsi="仿宋" w:eastAsia="仿宋" w:cs="仿宋"/>
          <w:bCs/>
          <w:color w:val="auto"/>
          <w:sz w:val="24"/>
          <w:lang w:eastAsia="zh-CN"/>
        </w:rPr>
        <w:t>新疆华域建设工程项目管理咨询有限公司</w:t>
      </w:r>
      <w:r>
        <w:rPr>
          <w:rFonts w:hint="eastAsia" w:ascii="仿宋" w:hAnsi="仿宋" w:eastAsia="仿宋" w:cs="仿宋"/>
          <w:bCs/>
          <w:color w:val="auto"/>
          <w:sz w:val="24"/>
        </w:rPr>
        <w:t xml:space="preserve"> 。</w:t>
      </w:r>
    </w:p>
    <w:p>
      <w:pPr>
        <w:numPr>
          <w:ilvl w:val="0"/>
          <w:numId w:val="17"/>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“投标人”系指向招标代理机构提交投标文件的合格供应商。</w:t>
      </w:r>
    </w:p>
    <w:p>
      <w:pPr>
        <w:numPr>
          <w:ilvl w:val="0"/>
          <w:numId w:val="17"/>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“中标人”系指经评标委员会评审推荐、采购人确认的获得本项目中标资格的投标人。</w:t>
      </w:r>
    </w:p>
    <w:p>
      <w:pPr>
        <w:numPr>
          <w:ilvl w:val="0"/>
          <w:numId w:val="17"/>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“实质性响应”系指符合</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文件的所有要求、条款、条件和规定，且没有不利于项目实施质量效果和服务保障的重大偏离或保留。</w:t>
      </w:r>
    </w:p>
    <w:p>
      <w:pPr>
        <w:numPr>
          <w:ilvl w:val="0"/>
          <w:numId w:val="17"/>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“重大偏离或保留”系指影响到</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文件规定的范围、质量和性能或限制了采购人的权力和投标人义务的规定，而纠正这些偏离将影响到其它投标人的公平竞争地位。</w:t>
      </w:r>
    </w:p>
    <w:p>
      <w:pPr>
        <w:pStyle w:val="5"/>
        <w:numPr>
          <w:ilvl w:val="0"/>
          <w:numId w:val="15"/>
        </w:numPr>
        <w:spacing w:before="0" w:after="0" w:line="360" w:lineRule="auto"/>
        <w:rPr>
          <w:rFonts w:hint="eastAsia" w:ascii="仿宋" w:hAnsi="仿宋" w:eastAsia="仿宋" w:cs="仿宋"/>
          <w:color w:val="auto"/>
          <w:sz w:val="28"/>
          <w:szCs w:val="28"/>
        </w:rPr>
      </w:pPr>
      <w:bookmarkStart w:id="250" w:name="_Toc130697232"/>
      <w:bookmarkStart w:id="251" w:name="_Toc186"/>
      <w:bookmarkStart w:id="252" w:name="_Toc130180851"/>
      <w:bookmarkStart w:id="253" w:name="_Toc191353068"/>
      <w:bookmarkStart w:id="254" w:name="_Toc279046919"/>
      <w:bookmarkStart w:id="255" w:name="_Toc130180932"/>
      <w:bookmarkStart w:id="256" w:name="_Toc209258328"/>
      <w:bookmarkStart w:id="257" w:name="_Toc226966740"/>
      <w:bookmarkStart w:id="258" w:name="_Toc272350664"/>
      <w:bookmarkStart w:id="259" w:name="_Toc130695640"/>
      <w:bookmarkStart w:id="260" w:name="_Toc271105732"/>
      <w:bookmarkStart w:id="261" w:name="_Toc245203937"/>
      <w:bookmarkStart w:id="262" w:name="_Toc243743409"/>
      <w:bookmarkStart w:id="263" w:name="_Toc130180746"/>
      <w:bookmarkStart w:id="264" w:name="_Toc243923423"/>
      <w:r>
        <w:rPr>
          <w:rFonts w:hint="eastAsia" w:ascii="仿宋" w:hAnsi="仿宋" w:eastAsia="仿宋" w:cs="仿宋"/>
          <w:color w:val="auto"/>
          <w:sz w:val="28"/>
          <w:szCs w:val="28"/>
        </w:rPr>
        <w:t>评标须知</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pStyle w:val="6"/>
        <w:numPr>
          <w:ilvl w:val="0"/>
          <w:numId w:val="18"/>
        </w:numPr>
        <w:spacing w:before="120" w:beforeLines="50" w:line="360" w:lineRule="auto"/>
        <w:ind w:left="357" w:hanging="357"/>
        <w:rPr>
          <w:rFonts w:hint="eastAsia" w:ascii="仿宋" w:hAnsi="仿宋" w:eastAsia="仿宋" w:cs="仿宋"/>
          <w:bCs w:val="0"/>
          <w:color w:val="auto"/>
          <w:sz w:val="24"/>
        </w:rPr>
      </w:pPr>
      <w:bookmarkStart w:id="265" w:name="_Toc272350665"/>
      <w:bookmarkStart w:id="266" w:name="_Toc191353069"/>
      <w:bookmarkStart w:id="267" w:name="_Toc226521753"/>
      <w:bookmarkStart w:id="268" w:name="_Toc243923424"/>
      <w:bookmarkStart w:id="269" w:name="_Toc153615339"/>
      <w:bookmarkStart w:id="270" w:name="_Toc226966741"/>
      <w:bookmarkStart w:id="271" w:name="_Toc245203938"/>
      <w:bookmarkStart w:id="272" w:name="_Toc277758549"/>
      <w:bookmarkStart w:id="273" w:name="_Toc243743410"/>
      <w:bookmarkStart w:id="274" w:name="_Toc279046920"/>
      <w:bookmarkStart w:id="275" w:name="_Toc278958213"/>
      <w:bookmarkStart w:id="276" w:name="_Toc8628"/>
      <w:bookmarkStart w:id="277" w:name="_Toc130697233"/>
      <w:bookmarkStart w:id="278" w:name="_Toc185747631"/>
      <w:bookmarkStart w:id="279" w:name="_Toc271105733"/>
      <w:bookmarkStart w:id="280" w:name="_Toc130695641"/>
      <w:bookmarkStart w:id="281" w:name="_Toc209258329"/>
      <w:r>
        <w:rPr>
          <w:rFonts w:hint="eastAsia" w:ascii="仿宋" w:hAnsi="仿宋" w:eastAsia="仿宋" w:cs="仿宋"/>
          <w:bCs w:val="0"/>
          <w:color w:val="auto"/>
          <w:sz w:val="24"/>
        </w:rPr>
        <w:t>关于评标方案</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numPr>
          <w:ilvl w:val="0"/>
          <w:numId w:val="19"/>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评标委员会的每位成员（简称评委，下同）应认真地阅读并确认已经正确理解了评标方案；</w:t>
      </w:r>
    </w:p>
    <w:p>
      <w:pPr>
        <w:numPr>
          <w:ilvl w:val="0"/>
          <w:numId w:val="19"/>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评委如对评标方案有异议，应在评标开始前提出。</w:t>
      </w:r>
    </w:p>
    <w:p>
      <w:pPr>
        <w:pStyle w:val="6"/>
        <w:numPr>
          <w:ilvl w:val="0"/>
          <w:numId w:val="18"/>
        </w:numPr>
        <w:spacing w:before="120" w:beforeLines="50" w:line="360" w:lineRule="auto"/>
        <w:ind w:left="357" w:hanging="357"/>
        <w:rPr>
          <w:rFonts w:hint="eastAsia" w:ascii="仿宋" w:hAnsi="仿宋" w:eastAsia="仿宋" w:cs="仿宋"/>
          <w:bCs w:val="0"/>
          <w:color w:val="auto"/>
          <w:sz w:val="24"/>
        </w:rPr>
      </w:pPr>
      <w:bookmarkStart w:id="282" w:name="_Toc32719"/>
      <w:bookmarkStart w:id="283" w:name="_Toc209258330"/>
      <w:bookmarkStart w:id="284" w:name="_Toc245203939"/>
      <w:bookmarkStart w:id="285" w:name="_Toc153615340"/>
      <w:bookmarkStart w:id="286" w:name="_Toc243923425"/>
      <w:bookmarkStart w:id="287" w:name="_Toc226966742"/>
      <w:bookmarkStart w:id="288" w:name="_Toc279046921"/>
      <w:bookmarkStart w:id="289" w:name="_Toc277758550"/>
      <w:bookmarkStart w:id="290" w:name="_Toc191353070"/>
      <w:bookmarkStart w:id="291" w:name="_Toc243743411"/>
      <w:bookmarkStart w:id="292" w:name="_Toc185747632"/>
      <w:bookmarkStart w:id="293" w:name="_Toc130697234"/>
      <w:bookmarkStart w:id="294" w:name="_Toc272350666"/>
      <w:bookmarkStart w:id="295" w:name="_Toc271105734"/>
      <w:bookmarkStart w:id="296" w:name="_Toc278958214"/>
      <w:bookmarkStart w:id="297" w:name="_Toc226521754"/>
      <w:bookmarkStart w:id="298" w:name="_Toc130695642"/>
      <w:r>
        <w:rPr>
          <w:rFonts w:hint="eastAsia" w:ascii="仿宋" w:hAnsi="仿宋" w:eastAsia="仿宋" w:cs="仿宋"/>
          <w:bCs w:val="0"/>
          <w:color w:val="auto"/>
          <w:sz w:val="24"/>
        </w:rPr>
        <w:t>关于评标纪律</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0"/>
          <w:numId w:val="20"/>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评标委员会成员不得与任何投标人或者与招标结果有利害关系的人进行私下接触，不得收受投标人、中介人、其他利害关系人的财物或者其他好处；</w:t>
      </w:r>
    </w:p>
    <w:p>
      <w:pPr>
        <w:numPr>
          <w:ilvl w:val="0"/>
          <w:numId w:val="20"/>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评委应本着客观、公正的原则独立给出评价意见；</w:t>
      </w:r>
    </w:p>
    <w:p>
      <w:pPr>
        <w:numPr>
          <w:ilvl w:val="0"/>
          <w:numId w:val="20"/>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评委之间不得相互串通进行评分；</w:t>
      </w:r>
    </w:p>
    <w:p>
      <w:pPr>
        <w:numPr>
          <w:ilvl w:val="0"/>
          <w:numId w:val="20"/>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评委不得试图影响其他评委的评价意见；</w:t>
      </w:r>
    </w:p>
    <w:p>
      <w:pPr>
        <w:numPr>
          <w:ilvl w:val="0"/>
          <w:numId w:val="20"/>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评委应关闭通讯工具或设置为振动状态，并统一交由工作人员保管。</w:t>
      </w:r>
    </w:p>
    <w:p>
      <w:pPr>
        <w:pStyle w:val="6"/>
        <w:numPr>
          <w:ilvl w:val="0"/>
          <w:numId w:val="18"/>
        </w:numPr>
        <w:spacing w:before="120" w:beforeLines="50" w:line="360" w:lineRule="auto"/>
        <w:ind w:left="357" w:hanging="357"/>
        <w:rPr>
          <w:rFonts w:hint="eastAsia" w:ascii="仿宋" w:hAnsi="仿宋" w:eastAsia="仿宋" w:cs="仿宋"/>
          <w:bCs w:val="0"/>
          <w:color w:val="auto"/>
          <w:sz w:val="24"/>
        </w:rPr>
      </w:pPr>
      <w:bookmarkStart w:id="299" w:name="_Toc130695643"/>
      <w:bookmarkStart w:id="300" w:name="_Toc271105735"/>
      <w:bookmarkStart w:id="301" w:name="_Toc245203940"/>
      <w:bookmarkStart w:id="302" w:name="_Toc209258331"/>
      <w:bookmarkStart w:id="303" w:name="_Toc130697235"/>
      <w:bookmarkStart w:id="304" w:name="_Toc1622"/>
      <w:bookmarkStart w:id="305" w:name="_Toc226521755"/>
      <w:bookmarkStart w:id="306" w:name="_Toc191353071"/>
      <w:bookmarkStart w:id="307" w:name="_Toc272350667"/>
      <w:bookmarkStart w:id="308" w:name="_Toc185747633"/>
      <w:bookmarkStart w:id="309" w:name="_Toc279046922"/>
      <w:bookmarkStart w:id="310" w:name="_Toc243923426"/>
      <w:bookmarkStart w:id="311" w:name="_Toc278958215"/>
      <w:bookmarkStart w:id="312" w:name="_Toc153615341"/>
      <w:bookmarkStart w:id="313" w:name="_Toc226966743"/>
      <w:bookmarkStart w:id="314" w:name="_Toc277758551"/>
      <w:bookmarkStart w:id="315" w:name="_Toc243743412"/>
      <w:r>
        <w:rPr>
          <w:rFonts w:hint="eastAsia" w:ascii="仿宋" w:hAnsi="仿宋" w:eastAsia="仿宋" w:cs="仿宋"/>
          <w:bCs w:val="0"/>
          <w:color w:val="auto"/>
          <w:sz w:val="24"/>
        </w:rPr>
        <w:t>关于评标责任</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numPr>
          <w:ilvl w:val="0"/>
          <w:numId w:val="21"/>
        </w:numPr>
        <w:tabs>
          <w:tab w:val="left" w:pos="1050"/>
        </w:tabs>
        <w:spacing w:line="360" w:lineRule="auto"/>
        <w:ind w:hanging="300"/>
        <w:rPr>
          <w:rFonts w:hint="eastAsia" w:ascii="仿宋" w:hAnsi="仿宋" w:eastAsia="仿宋" w:cs="仿宋"/>
          <w:bCs/>
          <w:color w:val="auto"/>
          <w:sz w:val="24"/>
        </w:rPr>
      </w:pPr>
      <w:r>
        <w:rPr>
          <w:rFonts w:hint="eastAsia" w:ascii="仿宋" w:hAnsi="仿宋" w:eastAsia="仿宋" w:cs="仿宋"/>
          <w:bCs/>
          <w:color w:val="auto"/>
          <w:sz w:val="24"/>
        </w:rPr>
        <w:t>评委应在其书面评审意见上签字确认；</w:t>
      </w:r>
    </w:p>
    <w:p>
      <w:pPr>
        <w:numPr>
          <w:ilvl w:val="0"/>
          <w:numId w:val="21"/>
        </w:numPr>
        <w:tabs>
          <w:tab w:val="left" w:pos="1050"/>
        </w:tabs>
        <w:spacing w:line="360" w:lineRule="auto"/>
        <w:ind w:hanging="300"/>
        <w:rPr>
          <w:rFonts w:hint="eastAsia" w:ascii="仿宋" w:hAnsi="仿宋" w:eastAsia="仿宋" w:cs="仿宋"/>
          <w:bCs/>
          <w:color w:val="auto"/>
          <w:sz w:val="24"/>
        </w:rPr>
      </w:pPr>
      <w:r>
        <w:rPr>
          <w:rFonts w:hint="eastAsia" w:ascii="仿宋" w:hAnsi="仿宋" w:eastAsia="仿宋" w:cs="仿宋"/>
          <w:bCs/>
          <w:color w:val="auto"/>
          <w:sz w:val="24"/>
        </w:rPr>
        <w:t>评委对其所提出的评审意见承担个人责任。</w:t>
      </w:r>
    </w:p>
    <w:p>
      <w:pPr>
        <w:pStyle w:val="6"/>
        <w:numPr>
          <w:ilvl w:val="0"/>
          <w:numId w:val="18"/>
        </w:numPr>
        <w:spacing w:before="120" w:beforeLines="50" w:line="360" w:lineRule="auto"/>
        <w:ind w:left="357" w:hanging="357"/>
        <w:rPr>
          <w:rFonts w:hint="eastAsia" w:ascii="仿宋" w:hAnsi="仿宋" w:eastAsia="仿宋" w:cs="仿宋"/>
          <w:bCs w:val="0"/>
          <w:color w:val="auto"/>
          <w:sz w:val="24"/>
        </w:rPr>
      </w:pPr>
      <w:bookmarkStart w:id="316" w:name="_Toc245203941"/>
      <w:bookmarkStart w:id="317" w:name="_Toc191353072"/>
      <w:bookmarkStart w:id="318" w:name="_Toc9324"/>
      <w:bookmarkStart w:id="319" w:name="_Toc130695644"/>
      <w:bookmarkStart w:id="320" w:name="_Toc243743413"/>
      <w:bookmarkStart w:id="321" w:name="_Toc153615342"/>
      <w:bookmarkStart w:id="322" w:name="_Toc226966744"/>
      <w:bookmarkStart w:id="323" w:name="_Toc279046923"/>
      <w:bookmarkStart w:id="324" w:name="_Toc243923427"/>
      <w:bookmarkStart w:id="325" w:name="_Toc130697236"/>
      <w:bookmarkStart w:id="326" w:name="_Toc271105736"/>
      <w:bookmarkStart w:id="327" w:name="_Toc226521756"/>
      <w:bookmarkStart w:id="328" w:name="_Toc277758552"/>
      <w:bookmarkStart w:id="329" w:name="_Toc209258332"/>
      <w:bookmarkStart w:id="330" w:name="_Toc272350668"/>
      <w:bookmarkStart w:id="331" w:name="_Toc185747634"/>
      <w:bookmarkStart w:id="332" w:name="_Toc278958216"/>
      <w:r>
        <w:rPr>
          <w:rFonts w:hint="eastAsia" w:ascii="仿宋" w:hAnsi="仿宋" w:eastAsia="仿宋" w:cs="仿宋"/>
          <w:bCs w:val="0"/>
          <w:color w:val="auto"/>
          <w:sz w:val="24"/>
        </w:rPr>
        <w:t>关于回避</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有下列情形之一的，不得担任评标委员会成员，如事先不知情的，应在宣读投标人名单及评标纪律后主动提出回避：</w:t>
      </w:r>
    </w:p>
    <w:p>
      <w:pPr>
        <w:numPr>
          <w:ilvl w:val="0"/>
          <w:numId w:val="22"/>
        </w:numPr>
        <w:tabs>
          <w:tab w:val="left" w:pos="945"/>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是投标人或者投标人主要负责人的近亲属；</w:t>
      </w:r>
    </w:p>
    <w:p>
      <w:pPr>
        <w:numPr>
          <w:ilvl w:val="0"/>
          <w:numId w:val="22"/>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是投标项目的上级单位人员；</w:t>
      </w:r>
    </w:p>
    <w:p>
      <w:pPr>
        <w:numPr>
          <w:ilvl w:val="0"/>
          <w:numId w:val="22"/>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是某投标人的项目主管部门或是某投标人的行政监督部门的人员；</w:t>
      </w:r>
    </w:p>
    <w:p>
      <w:pPr>
        <w:numPr>
          <w:ilvl w:val="0"/>
          <w:numId w:val="22"/>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与投标人有经济利益关系，可能影响对投标公正评审的；</w:t>
      </w:r>
    </w:p>
    <w:p>
      <w:pPr>
        <w:numPr>
          <w:ilvl w:val="0"/>
          <w:numId w:val="22"/>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曾因在招标、评标以及其他与招标投标有关活动中从事违法行为而受过行政处罚或刑事处罚的。</w:t>
      </w:r>
    </w:p>
    <w:p>
      <w:pPr>
        <w:pStyle w:val="6"/>
        <w:numPr>
          <w:ilvl w:val="0"/>
          <w:numId w:val="18"/>
        </w:numPr>
        <w:spacing w:before="120" w:beforeLines="50" w:line="360" w:lineRule="auto"/>
        <w:ind w:left="357" w:hanging="357"/>
        <w:rPr>
          <w:rFonts w:hint="eastAsia" w:ascii="仿宋" w:hAnsi="仿宋" w:eastAsia="仿宋" w:cs="仿宋"/>
          <w:bCs w:val="0"/>
          <w:color w:val="auto"/>
          <w:sz w:val="24"/>
        </w:rPr>
      </w:pPr>
      <w:bookmarkStart w:id="333" w:name="_Toc226966745"/>
      <w:bookmarkStart w:id="334" w:name="_Toc272350669"/>
      <w:bookmarkStart w:id="335" w:name="_Toc14492"/>
      <w:bookmarkStart w:id="336" w:name="_Toc153615343"/>
      <w:bookmarkStart w:id="337" w:name="_Toc191353073"/>
      <w:bookmarkStart w:id="338" w:name="_Toc243743414"/>
      <w:bookmarkStart w:id="339" w:name="_Toc271105737"/>
      <w:bookmarkStart w:id="340" w:name="_Toc279046924"/>
      <w:bookmarkStart w:id="341" w:name="_Toc130697237"/>
      <w:bookmarkStart w:id="342" w:name="_Toc278958217"/>
      <w:bookmarkStart w:id="343" w:name="_Toc130695645"/>
      <w:bookmarkStart w:id="344" w:name="_Toc243923428"/>
      <w:bookmarkStart w:id="345" w:name="_Toc277758553"/>
      <w:bookmarkStart w:id="346" w:name="_Toc226521757"/>
      <w:bookmarkStart w:id="347" w:name="_Toc245203942"/>
      <w:bookmarkStart w:id="348" w:name="_Toc209258333"/>
      <w:bookmarkStart w:id="349" w:name="_Toc185747635"/>
      <w:r>
        <w:rPr>
          <w:rFonts w:hint="eastAsia" w:ascii="仿宋" w:hAnsi="仿宋" w:eastAsia="仿宋" w:cs="仿宋"/>
          <w:bCs w:val="0"/>
          <w:color w:val="auto"/>
          <w:sz w:val="24"/>
        </w:rPr>
        <w:t>关于保密</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前款所称与评标活动有关的工作人员，是指评标委员会成员以外的因参与评标监督工作或者事务性工作而知悉有关评标情况的所有人员。</w:t>
      </w:r>
    </w:p>
    <w:p>
      <w:pPr>
        <w:pStyle w:val="5"/>
        <w:numPr>
          <w:ilvl w:val="0"/>
          <w:numId w:val="15"/>
        </w:numPr>
        <w:spacing w:before="0" w:after="0" w:line="360" w:lineRule="auto"/>
        <w:rPr>
          <w:rFonts w:hint="eastAsia" w:ascii="仿宋" w:hAnsi="仿宋" w:eastAsia="仿宋" w:cs="仿宋"/>
          <w:color w:val="auto"/>
          <w:sz w:val="28"/>
          <w:szCs w:val="28"/>
        </w:rPr>
      </w:pPr>
      <w:bookmarkStart w:id="350" w:name="_Toc226966746"/>
      <w:bookmarkStart w:id="351" w:name="_Toc279046925"/>
      <w:bookmarkStart w:id="352" w:name="_Toc272350670"/>
      <w:bookmarkStart w:id="353" w:name="_Toc245203943"/>
      <w:bookmarkStart w:id="354" w:name="_Toc130695646"/>
      <w:bookmarkStart w:id="355" w:name="_Toc130180852"/>
      <w:bookmarkStart w:id="356" w:name="_Toc26214"/>
      <w:bookmarkStart w:id="357" w:name="_Toc243923429"/>
      <w:bookmarkStart w:id="358" w:name="_Toc243743415"/>
      <w:bookmarkStart w:id="359" w:name="_Toc130180933"/>
      <w:bookmarkStart w:id="360" w:name="_Toc271105738"/>
      <w:bookmarkStart w:id="361" w:name="_Toc209258334"/>
      <w:bookmarkStart w:id="362" w:name="_Toc191353074"/>
      <w:bookmarkStart w:id="363" w:name="_Toc130697238"/>
      <w:bookmarkStart w:id="364" w:name="_Toc130180747"/>
      <w:r>
        <w:rPr>
          <w:rFonts w:hint="eastAsia" w:ascii="仿宋" w:hAnsi="仿宋" w:eastAsia="仿宋" w:cs="仿宋"/>
          <w:color w:val="auto"/>
          <w:sz w:val="28"/>
          <w:szCs w:val="28"/>
        </w:rPr>
        <w:t>评标原则</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5"/>
        <w:numPr>
          <w:ilvl w:val="0"/>
          <w:numId w:val="15"/>
        </w:numPr>
        <w:spacing w:before="0" w:after="0" w:line="360" w:lineRule="auto"/>
        <w:rPr>
          <w:rFonts w:hint="eastAsia" w:ascii="仿宋" w:hAnsi="仿宋" w:eastAsia="仿宋" w:cs="仿宋"/>
          <w:color w:val="auto"/>
          <w:sz w:val="28"/>
          <w:szCs w:val="28"/>
        </w:rPr>
      </w:pPr>
      <w:bookmarkStart w:id="365" w:name="_Toc130180853"/>
      <w:bookmarkStart w:id="366" w:name="_Toc245203944"/>
      <w:bookmarkStart w:id="367" w:name="_Toc272350671"/>
      <w:bookmarkStart w:id="368" w:name="_Toc226966747"/>
      <w:bookmarkStart w:id="369" w:name="_Toc15592"/>
      <w:bookmarkStart w:id="370" w:name="_Toc243923430"/>
      <w:bookmarkStart w:id="371" w:name="_Toc191353075"/>
      <w:bookmarkStart w:id="372" w:name="_Toc271105739"/>
      <w:bookmarkStart w:id="373" w:name="_Toc130180934"/>
      <w:bookmarkStart w:id="374" w:name="_Toc130695647"/>
      <w:bookmarkStart w:id="375" w:name="_Toc130180748"/>
      <w:bookmarkStart w:id="376" w:name="_Toc130697239"/>
      <w:bookmarkStart w:id="377" w:name="_Toc279046926"/>
      <w:bookmarkStart w:id="378" w:name="_Toc243743416"/>
      <w:bookmarkStart w:id="379" w:name="_Toc209258335"/>
      <w:r>
        <w:rPr>
          <w:rFonts w:hint="eastAsia" w:ascii="仿宋" w:hAnsi="仿宋" w:eastAsia="仿宋" w:cs="仿宋"/>
          <w:color w:val="auto"/>
          <w:sz w:val="28"/>
          <w:szCs w:val="28"/>
        </w:rPr>
        <w:t>评标方法及流程</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Style w:val="6"/>
        <w:numPr>
          <w:ilvl w:val="0"/>
          <w:numId w:val="23"/>
        </w:numPr>
        <w:spacing w:before="120" w:beforeLines="50" w:line="360" w:lineRule="auto"/>
        <w:ind w:left="357" w:hanging="357"/>
        <w:rPr>
          <w:rFonts w:hint="eastAsia" w:ascii="仿宋" w:hAnsi="仿宋" w:eastAsia="仿宋" w:cs="仿宋"/>
          <w:bCs w:val="0"/>
          <w:color w:val="auto"/>
          <w:sz w:val="24"/>
        </w:rPr>
      </w:pPr>
      <w:bookmarkStart w:id="380" w:name="_Toc272350672"/>
      <w:bookmarkStart w:id="381" w:name="_Toc243743417"/>
      <w:bookmarkStart w:id="382" w:name="_Toc191353076"/>
      <w:bookmarkStart w:id="383" w:name="_Toc153615346"/>
      <w:bookmarkStart w:id="384" w:name="_Toc31987"/>
      <w:bookmarkStart w:id="385" w:name="_Toc226521760"/>
      <w:bookmarkStart w:id="386" w:name="_Toc130697240"/>
      <w:bookmarkStart w:id="387" w:name="_Toc245203945"/>
      <w:bookmarkStart w:id="388" w:name="_Toc278958220"/>
      <w:bookmarkStart w:id="389" w:name="_Toc277758556"/>
      <w:bookmarkStart w:id="390" w:name="_Toc209258336"/>
      <w:bookmarkStart w:id="391" w:name="_Toc279046927"/>
      <w:bookmarkStart w:id="392" w:name="_Toc271105740"/>
      <w:bookmarkStart w:id="393" w:name="_Toc130695648"/>
      <w:bookmarkStart w:id="394" w:name="_Toc226966748"/>
      <w:bookmarkStart w:id="395" w:name="_Toc185747638"/>
      <w:bookmarkStart w:id="396" w:name="_Toc243923431"/>
      <w:r>
        <w:rPr>
          <w:rFonts w:hint="eastAsia" w:ascii="仿宋" w:hAnsi="仿宋" w:eastAsia="仿宋" w:cs="仿宋"/>
          <w:bCs w:val="0"/>
          <w:color w:val="auto"/>
          <w:sz w:val="24"/>
        </w:rPr>
        <w:t>评标方法</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本次招标的评标方法采用综合评分方法。</w:t>
      </w:r>
    </w:p>
    <w:p>
      <w:pPr>
        <w:pStyle w:val="6"/>
        <w:numPr>
          <w:ilvl w:val="0"/>
          <w:numId w:val="23"/>
        </w:numPr>
        <w:spacing w:before="120" w:beforeLines="50" w:line="360" w:lineRule="auto"/>
        <w:ind w:left="357" w:hanging="357"/>
        <w:rPr>
          <w:rFonts w:hint="eastAsia" w:ascii="仿宋" w:hAnsi="仿宋" w:eastAsia="仿宋" w:cs="仿宋"/>
          <w:bCs w:val="0"/>
          <w:color w:val="auto"/>
          <w:sz w:val="24"/>
        </w:rPr>
      </w:pPr>
      <w:bookmarkStart w:id="397" w:name="_Toc243743418"/>
      <w:bookmarkStart w:id="398" w:name="_Toc277758557"/>
      <w:bookmarkStart w:id="399" w:name="_Toc226966749"/>
      <w:bookmarkStart w:id="400" w:name="_Toc130697241"/>
      <w:bookmarkStart w:id="401" w:name="_Toc2186"/>
      <w:bookmarkStart w:id="402" w:name="_Toc278958221"/>
      <w:bookmarkStart w:id="403" w:name="_Toc245203946"/>
      <w:bookmarkStart w:id="404" w:name="_Toc191353077"/>
      <w:bookmarkStart w:id="405" w:name="_Toc209258337"/>
      <w:bookmarkStart w:id="406" w:name="_Toc130695649"/>
      <w:bookmarkStart w:id="407" w:name="_Toc243923432"/>
      <w:bookmarkStart w:id="408" w:name="_Toc185747639"/>
      <w:bookmarkStart w:id="409" w:name="_Toc271105741"/>
      <w:bookmarkStart w:id="410" w:name="_Toc272350673"/>
      <w:bookmarkStart w:id="411" w:name="_Toc153615347"/>
      <w:bookmarkStart w:id="412" w:name="_Toc226521761"/>
      <w:bookmarkStart w:id="413" w:name="_Toc279046928"/>
      <w:r>
        <w:rPr>
          <w:rFonts w:hint="eastAsia" w:ascii="仿宋" w:hAnsi="仿宋" w:eastAsia="仿宋" w:cs="仿宋"/>
          <w:bCs w:val="0"/>
          <w:color w:val="auto"/>
          <w:sz w:val="24"/>
        </w:rPr>
        <w:t>评标流程</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评标分两个阶段进行：投标文件符合性审查和投标文件详细评审。具体方法及流程如下：</w:t>
      </w:r>
    </w:p>
    <w:p>
      <w:pPr>
        <w:spacing w:line="360" w:lineRule="auto"/>
        <w:rPr>
          <w:rFonts w:hint="eastAsia" w:ascii="仿宋" w:hAnsi="仿宋" w:eastAsia="仿宋" w:cs="仿宋"/>
          <w:bCs/>
          <w:color w:val="auto"/>
          <w:sz w:val="24"/>
        </w:rPr>
      </w:pPr>
      <w:r>
        <w:rPr>
          <w:rFonts w:hint="eastAsia" w:ascii="仿宋" w:hAnsi="仿宋" w:eastAsia="仿宋" w:cs="仿宋"/>
          <w:bCs/>
          <w:color w:val="auto"/>
          <w:sz w:val="24"/>
        </w:rPr>
        <w:t>（1）投标文件符合性审查</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各评委对各投标文件按照</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文件要求的响应情况进行符合性审查。符合性审查必须根据</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文件中对投标人的要求和投标文件中的响应进行。</w:t>
      </w:r>
    </w:p>
    <w:p>
      <w:pPr>
        <w:spacing w:line="360" w:lineRule="auto"/>
        <w:ind w:left="-2" w:leftChars="-1"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在评审中发现关键指标/参数/货物/功能等未能达到</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文件中的规定或有虚假情况时，评标委员会有权取消其投标资格。</w:t>
      </w:r>
    </w:p>
    <w:p>
      <w:pPr>
        <w:spacing w:line="500" w:lineRule="exact"/>
        <w:ind w:firstLine="240" w:firstLineChars="100"/>
        <w:rPr>
          <w:rFonts w:hint="eastAsia" w:ascii="仿宋" w:hAnsi="仿宋" w:eastAsia="仿宋" w:cs="仿宋"/>
          <w:color w:val="auto"/>
          <w:kern w:val="0"/>
          <w:sz w:val="24"/>
          <w:szCs w:val="24"/>
        </w:rPr>
      </w:pPr>
      <w:r>
        <w:rPr>
          <w:rFonts w:hint="eastAsia" w:ascii="仿宋" w:hAnsi="仿宋" w:eastAsia="仿宋" w:cs="仿宋"/>
          <w:bCs/>
          <w:color w:val="auto"/>
          <w:sz w:val="24"/>
        </w:rPr>
        <w:t>投标人只有完全通过符合性审查，才能进入下一阶段的详细评审，否则视为无效投标。</w:t>
      </w:r>
      <w:r>
        <w:rPr>
          <w:rFonts w:hint="eastAsia" w:ascii="仿宋" w:hAnsi="仿宋" w:eastAsia="仿宋" w:cs="仿宋"/>
          <w:color w:val="auto"/>
          <w:kern w:val="0"/>
          <w:sz w:val="24"/>
          <w:szCs w:val="24"/>
        </w:rPr>
        <w:t xml:space="preserve"> </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(一)未按照招标文件的规定提交投标保证金的;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(二)投标文件未按招标文件要求签署、盖章的;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(三)不具备招标文件中规定的资格要求的;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(四)报价超过招标文件中规定的预算金额或者最高限价的;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(五)投标文件含有采购人不能接受的附加条件的;</w:t>
      </w:r>
    </w:p>
    <w:p>
      <w:pPr>
        <w:spacing w:line="500" w:lineRule="exact"/>
        <w:ind w:firstLine="480" w:firstLineChars="200"/>
        <w:rPr>
          <w:rFonts w:hint="eastAsia" w:ascii="仿宋" w:hAnsi="仿宋" w:eastAsia="仿宋" w:cs="仿宋"/>
          <w:bCs/>
          <w:color w:val="auto"/>
          <w:sz w:val="24"/>
        </w:rPr>
      </w:pPr>
      <w:r>
        <w:rPr>
          <w:rFonts w:hint="eastAsia" w:ascii="仿宋" w:hAnsi="仿宋" w:eastAsia="仿宋" w:cs="仿宋"/>
          <w:color w:val="auto"/>
          <w:kern w:val="0"/>
          <w:sz w:val="24"/>
          <w:szCs w:val="24"/>
        </w:rPr>
        <w:t>(六)法律、法规和招标文件规定的其他无效情形。</w:t>
      </w:r>
    </w:p>
    <w:p>
      <w:pPr>
        <w:spacing w:line="360" w:lineRule="auto"/>
        <w:rPr>
          <w:rFonts w:hint="eastAsia" w:ascii="仿宋" w:hAnsi="仿宋" w:eastAsia="仿宋" w:cs="仿宋"/>
          <w:bCs/>
          <w:color w:val="auto"/>
          <w:sz w:val="24"/>
        </w:rPr>
      </w:pPr>
      <w:r>
        <w:rPr>
          <w:rFonts w:hint="eastAsia" w:ascii="仿宋" w:hAnsi="仿宋" w:eastAsia="仿宋" w:cs="仿宋"/>
          <w:bCs/>
          <w:color w:val="auto"/>
          <w:sz w:val="24"/>
        </w:rPr>
        <w:t>（2）投标文件详细评审</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w:t>
      </w:r>
      <w:r>
        <w:rPr>
          <w:rFonts w:hint="eastAsia" w:ascii="仿宋" w:hAnsi="仿宋" w:eastAsia="仿宋" w:cs="仿宋"/>
          <w:bCs/>
          <w:color w:val="auto"/>
          <w:sz w:val="24"/>
          <w:lang w:eastAsia="zh-CN"/>
        </w:rPr>
        <w:t>，</w:t>
      </w:r>
      <w:r>
        <w:rPr>
          <w:rFonts w:hint="eastAsia" w:ascii="仿宋" w:hAnsi="仿宋" w:eastAsia="仿宋" w:cs="仿宋"/>
          <w:bCs/>
          <w:color w:val="auto"/>
          <w:sz w:val="24"/>
        </w:rPr>
        <w:t>第</w:t>
      </w:r>
      <w:r>
        <w:rPr>
          <w:rFonts w:hint="eastAsia" w:ascii="仿宋" w:hAnsi="仿宋" w:eastAsia="仿宋" w:cs="仿宋"/>
          <w:bCs/>
          <w:color w:val="auto"/>
          <w:sz w:val="24"/>
          <w:lang w:val="en-US" w:eastAsia="zh-CN"/>
        </w:rPr>
        <w:t>三</w:t>
      </w:r>
      <w:r>
        <w:rPr>
          <w:rFonts w:hint="eastAsia" w:ascii="仿宋" w:hAnsi="仿宋" w:eastAsia="仿宋" w:cs="仿宋"/>
          <w:bCs/>
          <w:color w:val="auto"/>
          <w:sz w:val="24"/>
        </w:rPr>
        <w:t>中标候选单位一名。</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当通过符合性审查的投标人少于三家时，评标委员会否决所有投标文件，提请依法重新招标。</w:t>
      </w:r>
    </w:p>
    <w:p>
      <w:pPr>
        <w:pStyle w:val="6"/>
        <w:numPr>
          <w:ilvl w:val="0"/>
          <w:numId w:val="23"/>
        </w:numPr>
        <w:spacing w:before="120" w:beforeLines="50" w:line="360" w:lineRule="auto"/>
        <w:ind w:left="357" w:hanging="357"/>
        <w:rPr>
          <w:rFonts w:hint="eastAsia" w:ascii="仿宋" w:hAnsi="仿宋" w:eastAsia="仿宋" w:cs="仿宋"/>
          <w:bCs w:val="0"/>
          <w:color w:val="auto"/>
          <w:sz w:val="24"/>
        </w:rPr>
      </w:pPr>
      <w:bookmarkStart w:id="414" w:name="_Toc209258338"/>
      <w:bookmarkStart w:id="415" w:name="_Toc245203947"/>
      <w:bookmarkStart w:id="416" w:name="_Toc191353078"/>
      <w:bookmarkStart w:id="417" w:name="_Toc243923433"/>
      <w:bookmarkStart w:id="418" w:name="_Toc226966750"/>
      <w:bookmarkStart w:id="419" w:name="_Toc278958222"/>
      <w:bookmarkStart w:id="420" w:name="_Toc279046929"/>
      <w:bookmarkStart w:id="421" w:name="_Toc185747640"/>
      <w:bookmarkStart w:id="422" w:name="_Toc130695650"/>
      <w:bookmarkStart w:id="423" w:name="_Toc153615348"/>
      <w:bookmarkStart w:id="424" w:name="_Toc130697242"/>
      <w:bookmarkStart w:id="425" w:name="_Toc272350674"/>
      <w:bookmarkStart w:id="426" w:name="_Toc243743419"/>
      <w:bookmarkStart w:id="427" w:name="_Toc32591"/>
      <w:bookmarkStart w:id="428" w:name="_Toc277758558"/>
      <w:bookmarkStart w:id="429" w:name="_Toc226521762"/>
      <w:bookmarkStart w:id="430" w:name="_Toc271105742"/>
      <w:r>
        <w:rPr>
          <w:rFonts w:hint="eastAsia" w:ascii="仿宋" w:hAnsi="仿宋" w:eastAsia="仿宋" w:cs="仿宋"/>
          <w:bCs w:val="0"/>
          <w:color w:val="auto"/>
          <w:sz w:val="24"/>
        </w:rPr>
        <w:t>投标文件的澄清</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numPr>
          <w:ilvl w:val="0"/>
          <w:numId w:val="24"/>
        </w:numPr>
        <w:tabs>
          <w:tab w:val="left" w:pos="1155"/>
        </w:tabs>
        <w:spacing w:line="360" w:lineRule="auto"/>
        <w:ind w:left="0" w:firstLine="525"/>
        <w:rPr>
          <w:rFonts w:hint="eastAsia" w:ascii="仿宋" w:hAnsi="仿宋" w:eastAsia="仿宋" w:cs="仿宋"/>
          <w:color w:val="auto"/>
          <w:sz w:val="24"/>
        </w:rPr>
      </w:pPr>
      <w:r>
        <w:rPr>
          <w:rFonts w:hint="eastAsia" w:ascii="仿宋" w:hAnsi="仿宋" w:eastAsia="仿宋" w:cs="仿宋"/>
          <w:color w:val="auto"/>
          <w:sz w:val="24"/>
        </w:rPr>
        <w:t>对投标文件中含义不明确、同类问题表述不一致或者有明显文字和计算错误的内容，评标委员会可以书面形式要求投标人作出必要的澄清和说明。</w:t>
      </w:r>
    </w:p>
    <w:p>
      <w:pPr>
        <w:numPr>
          <w:ilvl w:val="0"/>
          <w:numId w:val="24"/>
        </w:numPr>
        <w:tabs>
          <w:tab w:val="left" w:pos="1155"/>
        </w:tabs>
        <w:spacing w:line="360" w:lineRule="auto"/>
        <w:ind w:left="0" w:firstLine="525"/>
        <w:rPr>
          <w:rFonts w:hint="eastAsia" w:ascii="仿宋" w:hAnsi="仿宋" w:eastAsia="仿宋" w:cs="仿宋"/>
          <w:color w:val="auto"/>
          <w:sz w:val="24"/>
        </w:rPr>
      </w:pPr>
      <w:r>
        <w:rPr>
          <w:rFonts w:hint="eastAsia" w:ascii="仿宋" w:hAnsi="仿宋" w:eastAsia="仿宋" w:cs="仿宋"/>
          <w:color w:val="auto"/>
          <w:sz w:val="24"/>
        </w:rPr>
        <w:t>投标人的澄清和说明应当采用书面形式，由其授权的代表签字，并不得超出投标文件的范围或者改变投标文件的实质性内容。</w:t>
      </w:r>
    </w:p>
    <w:p>
      <w:pPr>
        <w:numPr>
          <w:ilvl w:val="0"/>
          <w:numId w:val="24"/>
        </w:numPr>
        <w:tabs>
          <w:tab w:val="left" w:pos="1155"/>
        </w:tabs>
        <w:spacing w:line="360" w:lineRule="auto"/>
        <w:ind w:left="0" w:firstLine="525"/>
        <w:rPr>
          <w:rFonts w:hint="eastAsia" w:ascii="仿宋" w:hAnsi="仿宋" w:eastAsia="仿宋" w:cs="仿宋"/>
          <w:color w:val="auto"/>
          <w:sz w:val="24"/>
        </w:rPr>
      </w:pPr>
      <w:r>
        <w:rPr>
          <w:rFonts w:hint="eastAsia" w:ascii="仿宋" w:hAnsi="仿宋" w:eastAsia="仿宋" w:cs="仿宋"/>
          <w:color w:val="auto"/>
          <w:sz w:val="24"/>
        </w:rPr>
        <w:t>除上述规定的情形之外，评标委员会在评审过程中，不得接收来自评审现场以外的任何形式的文件资料。</w:t>
      </w:r>
    </w:p>
    <w:p>
      <w:pPr>
        <w:pStyle w:val="5"/>
        <w:numPr>
          <w:ilvl w:val="0"/>
          <w:numId w:val="15"/>
        </w:numPr>
        <w:spacing w:before="0" w:after="0" w:line="360" w:lineRule="auto"/>
        <w:rPr>
          <w:rFonts w:hint="eastAsia" w:ascii="仿宋" w:hAnsi="仿宋" w:eastAsia="仿宋" w:cs="仿宋"/>
          <w:color w:val="auto"/>
          <w:sz w:val="28"/>
          <w:szCs w:val="28"/>
        </w:rPr>
      </w:pPr>
      <w:bookmarkStart w:id="431" w:name="_Toc6227"/>
      <w:bookmarkStart w:id="432" w:name="_Toc130697243"/>
      <w:bookmarkStart w:id="433" w:name="_Toc245203948"/>
      <w:bookmarkStart w:id="434" w:name="_Toc243743420"/>
      <w:bookmarkStart w:id="435" w:name="_Toc279046930"/>
      <w:bookmarkStart w:id="436" w:name="_Toc226966751"/>
      <w:bookmarkStart w:id="437" w:name="_Toc272350675"/>
      <w:bookmarkStart w:id="438" w:name="_Toc209258339"/>
      <w:bookmarkStart w:id="439" w:name="_Toc191353079"/>
      <w:bookmarkStart w:id="440" w:name="_Toc130180854"/>
      <w:bookmarkStart w:id="441" w:name="_Toc130695651"/>
      <w:bookmarkStart w:id="442" w:name="_Toc271105743"/>
      <w:bookmarkStart w:id="443" w:name="_Toc130180749"/>
      <w:bookmarkStart w:id="444" w:name="_Toc243923434"/>
      <w:bookmarkStart w:id="445" w:name="_Toc130180935"/>
      <w:r>
        <w:rPr>
          <w:rFonts w:hint="eastAsia" w:ascii="仿宋" w:hAnsi="仿宋" w:eastAsia="仿宋" w:cs="仿宋"/>
          <w:color w:val="auto"/>
          <w:sz w:val="28"/>
          <w:szCs w:val="28"/>
        </w:rPr>
        <w:t>废标处理</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下列情况出现将视为招标失败，即废标：</w:t>
      </w:r>
    </w:p>
    <w:p>
      <w:pPr>
        <w:pStyle w:val="14"/>
        <w:numPr>
          <w:ilvl w:val="0"/>
          <w:numId w:val="25"/>
        </w:numPr>
        <w:rPr>
          <w:rFonts w:hint="eastAsia" w:ascii="仿宋" w:hAnsi="仿宋" w:eastAsia="仿宋" w:cs="仿宋"/>
          <w:color w:val="auto"/>
        </w:rPr>
      </w:pPr>
      <w:r>
        <w:rPr>
          <w:rFonts w:hint="eastAsia" w:ascii="仿宋" w:hAnsi="仿宋" w:eastAsia="仿宋" w:cs="仿宋"/>
          <w:color w:val="auto"/>
        </w:rPr>
        <w:t>符合专业条件的投标人或者对</w:t>
      </w:r>
      <w:r>
        <w:rPr>
          <w:rFonts w:hint="eastAsia" w:ascii="仿宋" w:hAnsi="仿宋" w:eastAsia="仿宋" w:cs="仿宋"/>
          <w:color w:val="auto"/>
          <w:lang w:eastAsia="zh-CN"/>
        </w:rPr>
        <w:t>磋商</w:t>
      </w:r>
      <w:r>
        <w:rPr>
          <w:rFonts w:hint="eastAsia" w:ascii="仿宋" w:hAnsi="仿宋" w:eastAsia="仿宋" w:cs="仿宋"/>
          <w:color w:val="auto"/>
        </w:rPr>
        <w:t>文件作实质响应的投标人不足三家的；</w:t>
      </w:r>
    </w:p>
    <w:p>
      <w:pPr>
        <w:spacing w:line="360" w:lineRule="auto"/>
        <w:ind w:left="840" w:leftChars="400"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特别说明：</w:t>
      </w:r>
      <w:r>
        <w:rPr>
          <w:rFonts w:hint="eastAsia" w:ascii="仿宋" w:hAnsi="仿宋" w:eastAsia="仿宋" w:cs="仿宋"/>
          <w:color w:val="auto"/>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4"/>
        <w:numPr>
          <w:ilvl w:val="0"/>
          <w:numId w:val="25"/>
        </w:numPr>
        <w:rPr>
          <w:rFonts w:hint="eastAsia" w:ascii="仿宋" w:hAnsi="仿宋" w:eastAsia="仿宋" w:cs="仿宋"/>
          <w:color w:val="auto"/>
        </w:rPr>
      </w:pPr>
      <w:r>
        <w:rPr>
          <w:rFonts w:hint="eastAsia" w:ascii="仿宋" w:hAnsi="仿宋" w:eastAsia="仿宋" w:cs="仿宋"/>
          <w:color w:val="auto"/>
        </w:rPr>
        <w:t>出现影响采购公正的违法、违规行为的；</w:t>
      </w:r>
    </w:p>
    <w:p>
      <w:pPr>
        <w:pStyle w:val="14"/>
        <w:numPr>
          <w:ilvl w:val="0"/>
          <w:numId w:val="25"/>
        </w:numPr>
        <w:rPr>
          <w:rFonts w:hint="eastAsia" w:ascii="仿宋" w:hAnsi="仿宋" w:eastAsia="仿宋" w:cs="仿宋"/>
          <w:color w:val="auto"/>
        </w:rPr>
      </w:pPr>
      <w:r>
        <w:rPr>
          <w:rFonts w:hint="eastAsia" w:ascii="仿宋" w:hAnsi="仿宋" w:eastAsia="仿宋" w:cs="仿宋"/>
          <w:color w:val="auto"/>
        </w:rPr>
        <w:t>投标人的报价均超过了采购预算，采购人不能支付的；</w:t>
      </w:r>
    </w:p>
    <w:p>
      <w:pPr>
        <w:pStyle w:val="14"/>
        <w:numPr>
          <w:ilvl w:val="0"/>
          <w:numId w:val="25"/>
        </w:numPr>
        <w:rPr>
          <w:rFonts w:hint="eastAsia" w:ascii="仿宋" w:hAnsi="仿宋" w:eastAsia="仿宋" w:cs="仿宋"/>
          <w:color w:val="auto"/>
        </w:rPr>
      </w:pPr>
      <w:r>
        <w:rPr>
          <w:rFonts w:hint="eastAsia" w:ascii="仿宋" w:hAnsi="仿宋" w:eastAsia="仿宋" w:cs="仿宋"/>
          <w:color w:val="auto"/>
        </w:rPr>
        <w:t>因重大变故，采购任务取消的。</w:t>
      </w:r>
    </w:p>
    <w:p>
      <w:pPr>
        <w:pStyle w:val="5"/>
        <w:numPr>
          <w:ilvl w:val="0"/>
          <w:numId w:val="15"/>
        </w:numPr>
        <w:spacing w:before="0" w:after="0" w:line="360" w:lineRule="auto"/>
        <w:rPr>
          <w:rFonts w:hint="eastAsia" w:ascii="仿宋" w:hAnsi="仿宋" w:eastAsia="仿宋" w:cs="仿宋"/>
          <w:color w:val="auto"/>
          <w:sz w:val="28"/>
          <w:szCs w:val="28"/>
          <w:highlight w:val="none"/>
        </w:rPr>
      </w:pPr>
      <w:bookmarkStart w:id="446" w:name="附表1"/>
      <w:bookmarkEnd w:id="446"/>
      <w:bookmarkStart w:id="447" w:name="_Toc271105744"/>
      <w:bookmarkStart w:id="448" w:name="_Toc130180750"/>
      <w:bookmarkStart w:id="449" w:name="_Toc130695652"/>
      <w:bookmarkStart w:id="450" w:name="_Toc279046931"/>
      <w:bookmarkStart w:id="451" w:name="_Toc226966752"/>
      <w:bookmarkStart w:id="452" w:name="_Toc272350676"/>
      <w:bookmarkStart w:id="453" w:name="_Toc245203949"/>
      <w:bookmarkStart w:id="454" w:name="_Toc130180855"/>
      <w:bookmarkStart w:id="455" w:name="_Toc243743421"/>
      <w:bookmarkStart w:id="456" w:name="_Toc130697244"/>
      <w:bookmarkStart w:id="457" w:name="_Toc191353080"/>
      <w:bookmarkStart w:id="458" w:name="_Toc209258340"/>
      <w:bookmarkStart w:id="459" w:name="_Toc14205"/>
      <w:bookmarkStart w:id="460" w:name="_Toc243923435"/>
      <w:bookmarkStart w:id="461" w:name="_Toc130180936"/>
      <w:r>
        <w:rPr>
          <w:rFonts w:hint="eastAsia" w:ascii="仿宋" w:hAnsi="仿宋" w:eastAsia="仿宋" w:cs="仿宋"/>
          <w:color w:val="auto"/>
          <w:sz w:val="28"/>
          <w:szCs w:val="28"/>
          <w:highlight w:val="none"/>
        </w:rPr>
        <w:t>评分标准</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tbl>
      <w:tblPr>
        <w:tblStyle w:val="21"/>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993"/>
        <w:gridCol w:w="1207"/>
        <w:gridCol w:w="5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bookmarkStart w:id="462" w:name="_Toc185747645"/>
            <w:bookmarkStart w:id="463" w:name="_Toc245203952"/>
            <w:bookmarkStart w:id="464" w:name="_Toc226966755"/>
            <w:bookmarkStart w:id="465" w:name="_Toc153615353"/>
            <w:bookmarkStart w:id="466" w:name="_Toc191353083"/>
            <w:bookmarkStart w:id="467" w:name="_Toc272350679"/>
            <w:bookmarkStart w:id="468" w:name="_Toc209258343"/>
            <w:bookmarkStart w:id="469" w:name="_Toc243923438"/>
            <w:bookmarkStart w:id="470" w:name="_Toc130697247"/>
            <w:bookmarkStart w:id="471" w:name="_Toc279046934"/>
            <w:bookmarkStart w:id="472" w:name="_Toc226521767"/>
            <w:bookmarkStart w:id="473" w:name="_Toc130695655"/>
            <w:bookmarkStart w:id="474" w:name="_Toc271105747"/>
            <w:bookmarkStart w:id="475" w:name="_Toc6359"/>
            <w:bookmarkStart w:id="476" w:name="_Toc278958227"/>
            <w:bookmarkStart w:id="477" w:name="_Toc243743424"/>
            <w:bookmarkStart w:id="478" w:name="_Toc277758563"/>
            <w:r>
              <w:rPr>
                <w:rFonts w:hint="eastAsia" w:ascii="仿宋" w:hAnsi="仿宋" w:eastAsia="仿宋" w:cs="仿宋"/>
                <w:color w:val="auto"/>
                <w:sz w:val="24"/>
                <w:szCs w:val="24"/>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评分内容</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6"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商务部分(报价得分)</w:t>
            </w:r>
          </w:p>
          <w:p>
            <w:pPr>
              <w:spacing w:line="440" w:lineRule="exact"/>
              <w:jc w:val="center"/>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0分</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报价得分=(评标基准价/投标报价)×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0%×100</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5"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属于中小企业评审优惠内容及价格扣除幅度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（一）中小企业（含中型、小型、微型企业）应当同时符合以下条件：</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①符合中小企业划分标准（按《关于印发中小企业划型标准规定的通知》（工信部联企业〔2011〕300号）执行）；</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③小型、微型企业提供中型企业制造的货物的，视同为中型企业。</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（二）价格扣除办法：</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（三）小型和微型企业适用价格扣除办法时应提供的相关资料：</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①、《中小企业声明函》；</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②、提供投标人工商行政登记所在地管理部门出具的小微企业证明文件。</w:t>
            </w:r>
          </w:p>
          <w:p>
            <w:pPr>
              <w:pStyle w:val="14"/>
              <w:snapToGrid w:val="0"/>
              <w:spacing w:line="440" w:lineRule="exac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③、提供所代理产品生产厂家的属地主管部门出具的小微企业证明文件；</w:t>
            </w:r>
          </w:p>
          <w:p>
            <w:pPr>
              <w:pStyle w:val="14"/>
              <w:snapToGrid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color w:val="auto"/>
                <w:sz w:val="24"/>
              </w:rPr>
              <w:t>节能、环境标志产品评审优惠内容及加分幅度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价格项</w:t>
            </w:r>
          </w:p>
        </w:tc>
        <w:tc>
          <w:tcPr>
            <w:tcW w:w="5175" w:type="dxa"/>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1、（节能清单部分产品的价格/投标报价）×3%×价格项满分值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2、（环境清单部分产品的价格/投标报价）×3%×价格项满分值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注：1、提供最新《节能产品政府采购清单》关于投标产品当前页的打印件；</w:t>
            </w:r>
          </w:p>
          <w:p>
            <w:pPr>
              <w:pStyle w:val="1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2、提供最新《环境标志产品政府采购清单》关于投标产品当前页的打印件。</w:t>
            </w:r>
          </w:p>
        </w:tc>
      </w:tr>
    </w:tbl>
    <w:p>
      <w:pPr>
        <w:pStyle w:val="14"/>
        <w:snapToGrid w:val="0"/>
        <w:spacing w:line="440" w:lineRule="exact"/>
        <w:ind w:left="0" w:leftChars="0" w:firstLine="0" w:firstLineChars="0"/>
        <w:rPr>
          <w:rFonts w:hint="eastAsia" w:ascii="仿宋" w:hAnsi="仿宋" w:eastAsia="仿宋" w:cs="仿宋"/>
          <w:color w:val="auto"/>
          <w:sz w:val="24"/>
          <w:szCs w:val="24"/>
        </w:rPr>
      </w:pPr>
    </w:p>
    <w:p>
      <w:pPr>
        <w:rPr>
          <w:rFonts w:hint="eastAsia" w:ascii="仿宋" w:hAnsi="仿宋" w:eastAsia="仿宋" w:cs="仿宋"/>
          <w:color w:val="auto"/>
        </w:rPr>
      </w:pPr>
    </w:p>
    <w:p>
      <w:pPr>
        <w:pStyle w:val="5"/>
        <w:rPr>
          <w:rFonts w:hint="eastAsia" w:ascii="仿宋" w:hAnsi="仿宋" w:eastAsia="仿宋" w:cs="仿宋"/>
          <w:color w:val="auto"/>
        </w:rPr>
      </w:pPr>
    </w:p>
    <w:tbl>
      <w:tblPr>
        <w:tblStyle w:val="22"/>
        <w:tblpPr w:leftFromText="180" w:rightFromText="180" w:vertAnchor="text" w:tblpX="10880" w:tblpY="-9269"/>
        <w:tblOverlap w:val="never"/>
        <w:tblW w:w="2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9" w:type="dxa"/>
          <w:trHeight w:val="30" w:hRule="atLeast"/>
        </w:trPr>
        <w:tc>
          <w:tcPr>
            <w:tcW w:w="1970"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仿宋" w:hAnsi="仿宋" w:eastAsia="仿宋" w:cs="仿宋"/>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0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仿宋" w:hAnsi="仿宋" w:eastAsia="仿宋" w:cs="仿宋"/>
                <w:color w:val="auto"/>
                <w:sz w:val="24"/>
                <w:vertAlign w:val="baseline"/>
              </w:rPr>
            </w:pPr>
          </w:p>
        </w:tc>
      </w:t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tbl>
    <w:p>
      <w:pPr>
        <w:pStyle w:val="14"/>
        <w:snapToGrid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商务、技术部分评分表</w:t>
      </w:r>
    </w:p>
    <w:tbl>
      <w:tblPr>
        <w:tblStyle w:val="21"/>
        <w:tblW w:w="103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448"/>
        <w:gridCol w:w="987"/>
        <w:gridCol w:w="851"/>
        <w:gridCol w:w="72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1" w:hRule="atLeast"/>
          <w:jc w:val="center"/>
        </w:trPr>
        <w:tc>
          <w:tcPr>
            <w:tcW w:w="778"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商务技术部分（70分）</w:t>
            </w:r>
          </w:p>
        </w:tc>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1</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lang w:eastAsia="zh-CN"/>
              </w:rPr>
              <w:t>维保服务</w:t>
            </w:r>
            <w:r>
              <w:rPr>
                <w:rFonts w:hint="eastAsia" w:ascii="仿宋" w:hAnsi="仿宋" w:eastAsia="仿宋" w:cs="仿宋"/>
                <w:bCs/>
                <w:color w:val="auto"/>
                <w:sz w:val="22"/>
                <w:szCs w:val="22"/>
              </w:rPr>
              <w:t>方案</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0-30</w:t>
            </w:r>
          </w:p>
        </w:tc>
        <w:tc>
          <w:tcPr>
            <w:tcW w:w="7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lang w:eastAsia="zh-CN"/>
              </w:rPr>
              <w:t>维保满足项目需要，方案符合服务要求，内容完整</w:t>
            </w:r>
            <w:r>
              <w:rPr>
                <w:rFonts w:hint="eastAsia" w:ascii="仿宋" w:hAnsi="仿宋" w:eastAsia="仿宋" w:cs="仿宋"/>
                <w:bCs/>
                <w:color w:val="auto"/>
                <w:sz w:val="22"/>
                <w:szCs w:val="22"/>
                <w:lang w:val="en-US" w:eastAsia="zh-CN"/>
              </w:rPr>
              <w:t>5-10分，内容有缺失0-4分</w:t>
            </w:r>
            <w:r>
              <w:rPr>
                <w:rFonts w:hint="eastAsia" w:ascii="仿宋" w:hAnsi="仿宋" w:eastAsia="仿宋" w:cs="仿宋"/>
                <w:bCs/>
                <w:color w:val="auto"/>
                <w:sz w:val="22"/>
                <w:szCs w:val="22"/>
                <w:lang w:eastAsia="zh-CN"/>
              </w:rPr>
              <w:t>；服务方案设计清晰、明确、可行得</w:t>
            </w:r>
            <w:r>
              <w:rPr>
                <w:rFonts w:hint="eastAsia" w:ascii="仿宋" w:hAnsi="仿宋" w:eastAsia="仿宋" w:cs="仿宋"/>
                <w:bCs/>
                <w:color w:val="auto"/>
                <w:sz w:val="22"/>
                <w:szCs w:val="22"/>
                <w:lang w:val="en-US" w:eastAsia="zh-CN"/>
              </w:rPr>
              <w:t>6-10分，一般得3-5分，较差得0-2分；针对本项目重点，提出具体的合理化建议，方案思路合理、科学、充分、可行得8-10分，一般得4-7，较差0-3分。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1" w:hRule="atLeast"/>
          <w:jc w:val="center"/>
        </w:trPr>
        <w:tc>
          <w:tcPr>
            <w:tcW w:w="778"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2</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项目实施</w:t>
            </w:r>
            <w:r>
              <w:rPr>
                <w:rFonts w:hint="eastAsia" w:ascii="仿宋" w:hAnsi="仿宋" w:eastAsia="仿宋" w:cs="仿宋"/>
                <w:bCs/>
                <w:color w:val="auto"/>
                <w:sz w:val="22"/>
                <w:szCs w:val="22"/>
                <w:lang w:eastAsia="zh-CN"/>
              </w:rPr>
              <w:t>计划</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rPr>
              <w:t>0-</w:t>
            </w:r>
            <w:r>
              <w:rPr>
                <w:rFonts w:hint="eastAsia" w:ascii="仿宋" w:hAnsi="仿宋" w:eastAsia="仿宋" w:cs="仿宋"/>
                <w:bCs/>
                <w:color w:val="auto"/>
                <w:sz w:val="22"/>
                <w:szCs w:val="22"/>
                <w:lang w:val="en-US" w:eastAsia="zh-CN"/>
              </w:rPr>
              <w:t>8</w:t>
            </w:r>
          </w:p>
        </w:tc>
        <w:tc>
          <w:tcPr>
            <w:tcW w:w="7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lang w:eastAsia="zh-CN"/>
              </w:rPr>
              <w:t>根据招标文件要求针对本项目实施计划的安排及说明的科学性、合理性、有效性、紧密程度等情况进行综合评分：优得</w:t>
            </w:r>
            <w:r>
              <w:rPr>
                <w:rFonts w:hint="eastAsia" w:ascii="仿宋" w:hAnsi="仿宋" w:eastAsia="仿宋" w:cs="仿宋"/>
                <w:bCs/>
                <w:color w:val="auto"/>
                <w:sz w:val="22"/>
                <w:szCs w:val="22"/>
                <w:lang w:val="en-US" w:eastAsia="zh-CN"/>
              </w:rPr>
              <w:t>5-8；一般得0-4分。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16" w:hRule="atLeast"/>
          <w:jc w:val="center"/>
        </w:trPr>
        <w:tc>
          <w:tcPr>
            <w:tcW w:w="778"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bookmarkStart w:id="479" w:name="OLE_LINK2"/>
          </w:p>
        </w:tc>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3</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lang w:eastAsia="zh-CN"/>
              </w:rPr>
              <w:t>售后服务体系及服务情况</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rPr>
              <w:t>0-</w:t>
            </w:r>
            <w:r>
              <w:rPr>
                <w:rFonts w:hint="eastAsia" w:ascii="仿宋" w:hAnsi="仿宋" w:eastAsia="仿宋" w:cs="仿宋"/>
                <w:bCs/>
                <w:color w:val="auto"/>
                <w:sz w:val="22"/>
                <w:szCs w:val="22"/>
                <w:lang w:val="en-US" w:eastAsia="zh-CN"/>
              </w:rPr>
              <w:t>15</w:t>
            </w:r>
          </w:p>
        </w:tc>
        <w:tc>
          <w:tcPr>
            <w:tcW w:w="7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color w:val="auto"/>
                <w:sz w:val="20"/>
                <w:szCs w:val="18"/>
              </w:rPr>
            </w:pPr>
            <w:r>
              <w:rPr>
                <w:rFonts w:hint="eastAsia" w:ascii="仿宋" w:hAnsi="仿宋" w:eastAsia="仿宋" w:cs="仿宋"/>
                <w:bCs/>
                <w:color w:val="auto"/>
                <w:sz w:val="22"/>
                <w:szCs w:val="22"/>
                <w:lang w:eastAsia="zh-CN"/>
              </w:rPr>
              <w:t>售后服务方案（满足服务人员数量为</w:t>
            </w:r>
            <w:r>
              <w:rPr>
                <w:rFonts w:hint="eastAsia" w:ascii="仿宋" w:hAnsi="仿宋" w:eastAsia="仿宋" w:cs="仿宋"/>
                <w:bCs/>
                <w:color w:val="auto"/>
                <w:sz w:val="22"/>
                <w:szCs w:val="22"/>
                <w:lang w:val="en-US" w:eastAsia="zh-CN"/>
              </w:rPr>
              <w:t>2人</w:t>
            </w:r>
            <w:r>
              <w:rPr>
                <w:rFonts w:hint="eastAsia" w:ascii="仿宋" w:hAnsi="仿宋" w:eastAsia="仿宋" w:cs="仿宋"/>
                <w:bCs/>
                <w:color w:val="auto"/>
                <w:sz w:val="22"/>
                <w:szCs w:val="22"/>
                <w:lang w:eastAsia="zh-CN"/>
              </w:rPr>
              <w:t>、响应时间</w:t>
            </w:r>
            <w:r>
              <w:rPr>
                <w:rFonts w:hint="eastAsia" w:ascii="仿宋" w:hAnsi="仿宋" w:eastAsia="仿宋" w:cs="仿宋"/>
                <w:bCs/>
                <w:color w:val="auto"/>
                <w:sz w:val="22"/>
                <w:szCs w:val="22"/>
                <w:lang w:val="en-US" w:eastAsia="zh-CN"/>
              </w:rPr>
              <w:t>2小时内</w:t>
            </w:r>
            <w:r>
              <w:rPr>
                <w:rFonts w:hint="eastAsia" w:ascii="仿宋" w:hAnsi="仿宋" w:eastAsia="仿宋" w:cs="仿宋"/>
                <w:bCs/>
                <w:color w:val="auto"/>
                <w:sz w:val="22"/>
                <w:szCs w:val="22"/>
                <w:lang w:eastAsia="zh-CN"/>
              </w:rPr>
              <w:t>、售后服务时间一年、现场服务提供24小时到现场响应等）。较优得10-15分，一般得5-9分，较差或没有考虑0-4分。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42" w:hRule="atLeast"/>
          <w:jc w:val="center"/>
        </w:trPr>
        <w:tc>
          <w:tcPr>
            <w:tcW w:w="778"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4</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应急预案</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eastAsia="zh-CN"/>
              </w:rPr>
            </w:pPr>
            <w:r>
              <w:rPr>
                <w:rFonts w:hint="eastAsia" w:ascii="仿宋" w:hAnsi="仿宋" w:eastAsia="仿宋" w:cs="仿宋"/>
                <w:bCs/>
                <w:color w:val="auto"/>
                <w:sz w:val="22"/>
                <w:szCs w:val="22"/>
              </w:rPr>
              <w:t>0-</w:t>
            </w:r>
            <w:r>
              <w:rPr>
                <w:rFonts w:hint="eastAsia" w:ascii="仿宋" w:hAnsi="仿宋" w:eastAsia="仿宋" w:cs="仿宋"/>
                <w:bCs/>
                <w:color w:val="auto"/>
                <w:sz w:val="22"/>
                <w:szCs w:val="22"/>
                <w:lang w:val="en-US" w:eastAsia="zh-CN"/>
              </w:rPr>
              <w:t>7</w:t>
            </w:r>
          </w:p>
        </w:tc>
        <w:tc>
          <w:tcPr>
            <w:tcW w:w="7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是否有针对本项目的详细</w:t>
            </w:r>
            <w:r>
              <w:rPr>
                <w:rFonts w:hint="eastAsia" w:ascii="仿宋" w:hAnsi="仿宋" w:eastAsia="仿宋" w:cs="仿宋"/>
                <w:bCs/>
                <w:color w:val="auto"/>
                <w:sz w:val="22"/>
                <w:szCs w:val="22"/>
                <w:lang w:eastAsia="zh-CN"/>
              </w:rPr>
              <w:t>的</w:t>
            </w:r>
            <w:r>
              <w:rPr>
                <w:rFonts w:hint="eastAsia" w:ascii="仿宋" w:hAnsi="仿宋" w:eastAsia="仿宋" w:cs="仿宋"/>
                <w:bCs/>
                <w:color w:val="auto"/>
                <w:sz w:val="22"/>
                <w:szCs w:val="22"/>
              </w:rPr>
              <w:t>应急策略方案（</w:t>
            </w:r>
            <w:r>
              <w:rPr>
                <w:rFonts w:hint="eastAsia" w:ascii="仿宋" w:hAnsi="仿宋" w:eastAsia="仿宋" w:cs="仿宋"/>
                <w:bCs/>
                <w:color w:val="auto"/>
                <w:sz w:val="22"/>
                <w:szCs w:val="22"/>
                <w:lang w:eastAsia="zh-CN"/>
              </w:rPr>
              <w:t>包括解决方案及解决方案的时间、提供备用设备等</w:t>
            </w:r>
            <w:r>
              <w:rPr>
                <w:rFonts w:hint="eastAsia" w:ascii="仿宋" w:hAnsi="仿宋" w:eastAsia="仿宋" w:cs="仿宋"/>
                <w:bCs/>
                <w:color w:val="auto"/>
                <w:sz w:val="22"/>
                <w:szCs w:val="22"/>
              </w:rPr>
              <w:t>），运维服务内容合理性、是否指标化逻辑性强、切实可行得</w:t>
            </w:r>
            <w:r>
              <w:rPr>
                <w:rFonts w:hint="eastAsia" w:ascii="仿宋" w:hAnsi="仿宋" w:eastAsia="仿宋" w:cs="仿宋"/>
                <w:bCs/>
                <w:color w:val="auto"/>
                <w:sz w:val="22"/>
                <w:szCs w:val="22"/>
                <w:lang w:val="en-US" w:eastAsia="zh-CN"/>
              </w:rPr>
              <w:t>5</w:t>
            </w:r>
            <w:r>
              <w:rPr>
                <w:rFonts w:hint="eastAsia" w:ascii="仿宋" w:hAnsi="仿宋" w:eastAsia="仿宋" w:cs="仿宋"/>
                <w:bCs/>
                <w:color w:val="auto"/>
                <w:sz w:val="22"/>
                <w:szCs w:val="22"/>
              </w:rPr>
              <w:t>-</w:t>
            </w:r>
            <w:r>
              <w:rPr>
                <w:rFonts w:hint="eastAsia" w:ascii="仿宋" w:hAnsi="仿宋" w:eastAsia="仿宋" w:cs="仿宋"/>
                <w:bCs/>
                <w:color w:val="auto"/>
                <w:sz w:val="22"/>
                <w:szCs w:val="22"/>
                <w:lang w:val="en-US" w:eastAsia="zh-CN"/>
              </w:rPr>
              <w:t>7</w:t>
            </w:r>
            <w:r>
              <w:rPr>
                <w:rFonts w:hint="eastAsia" w:ascii="仿宋" w:hAnsi="仿宋" w:eastAsia="仿宋" w:cs="仿宋"/>
                <w:bCs/>
                <w:color w:val="auto"/>
                <w:sz w:val="22"/>
                <w:szCs w:val="22"/>
              </w:rPr>
              <w:t>分；一般得</w:t>
            </w:r>
            <w:r>
              <w:rPr>
                <w:rFonts w:hint="eastAsia" w:ascii="仿宋" w:hAnsi="仿宋" w:eastAsia="仿宋" w:cs="仿宋"/>
                <w:bCs/>
                <w:color w:val="auto"/>
                <w:sz w:val="22"/>
                <w:szCs w:val="22"/>
                <w:lang w:val="en-US" w:eastAsia="zh-CN"/>
              </w:rPr>
              <w:t>2-4</w:t>
            </w:r>
            <w:r>
              <w:rPr>
                <w:rFonts w:hint="eastAsia" w:ascii="仿宋" w:hAnsi="仿宋" w:eastAsia="仿宋" w:cs="仿宋"/>
                <w:bCs/>
                <w:color w:val="auto"/>
                <w:sz w:val="22"/>
                <w:szCs w:val="22"/>
              </w:rPr>
              <w:t>分，较差或没有考虑0</w:t>
            </w:r>
            <w:r>
              <w:rPr>
                <w:rFonts w:hint="eastAsia" w:ascii="仿宋" w:hAnsi="仿宋" w:eastAsia="仿宋" w:cs="仿宋"/>
                <w:bCs/>
                <w:color w:val="auto"/>
                <w:sz w:val="22"/>
                <w:szCs w:val="22"/>
                <w:lang w:val="en-US" w:eastAsia="zh-CN"/>
              </w:rPr>
              <w:t>-1</w:t>
            </w:r>
            <w:r>
              <w:rPr>
                <w:rFonts w:hint="eastAsia" w:ascii="仿宋" w:hAnsi="仿宋" w:eastAsia="仿宋" w:cs="仿宋"/>
                <w:bCs/>
                <w:color w:val="auto"/>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49" w:hRule="atLeast"/>
          <w:jc w:val="center"/>
        </w:trPr>
        <w:tc>
          <w:tcPr>
            <w:tcW w:w="778"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5</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lang w:eastAsia="zh-CN"/>
              </w:rPr>
              <w:t>项目技术人员情况</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rPr>
              <w:t>0-</w:t>
            </w:r>
            <w:r>
              <w:rPr>
                <w:rFonts w:hint="eastAsia" w:ascii="仿宋" w:hAnsi="仿宋" w:eastAsia="仿宋" w:cs="仿宋"/>
                <w:bCs/>
                <w:color w:val="auto"/>
                <w:sz w:val="22"/>
                <w:szCs w:val="22"/>
                <w:lang w:val="en-US" w:eastAsia="zh-CN"/>
              </w:rPr>
              <w:t>3</w:t>
            </w:r>
          </w:p>
        </w:tc>
        <w:tc>
          <w:tcPr>
            <w:tcW w:w="7293"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lang w:val="en-US" w:eastAsia="zh-CN"/>
              </w:rPr>
              <w:t>满足招标文件要求的技术人员情况并提供资质及社保证明的得3分，不提供不得分。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3" w:hRule="atLeast"/>
          <w:jc w:val="center"/>
        </w:trPr>
        <w:tc>
          <w:tcPr>
            <w:tcW w:w="778"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6</w:t>
            </w:r>
          </w:p>
        </w:tc>
        <w:tc>
          <w:tcPr>
            <w:tcW w:w="987" w:type="dxa"/>
            <w:tcBorders>
              <w:top w:val="single" w:color="auto" w:sz="4" w:space="0"/>
              <w:left w:val="single" w:color="auto" w:sz="4" w:space="0"/>
              <w:bottom w:val="single" w:color="auto" w:sz="4" w:space="0"/>
              <w:right w:val="single" w:color="auto" w:sz="4" w:space="0"/>
            </w:tcBorders>
            <w:vAlign w:val="center"/>
          </w:tcPr>
          <w:p>
            <w:pPr>
              <w:pStyle w:val="14"/>
              <w:snapToGrid w:val="0"/>
              <w:spacing w:line="420" w:lineRule="exact"/>
              <w:ind w:left="0" w:leftChars="0" w:firstLine="0" w:firstLineChars="0"/>
              <w:jc w:val="both"/>
              <w:rPr>
                <w:rFonts w:hint="eastAsia" w:ascii="仿宋" w:hAnsi="仿宋" w:eastAsia="仿宋" w:cs="仿宋"/>
                <w:bCs/>
                <w:color w:val="auto"/>
                <w:sz w:val="22"/>
                <w:szCs w:val="22"/>
                <w:lang w:eastAsia="zh-CN"/>
              </w:rPr>
            </w:pPr>
            <w:r>
              <w:rPr>
                <w:rFonts w:hint="eastAsia" w:ascii="仿宋" w:hAnsi="仿宋" w:eastAsia="仿宋" w:cs="仿宋"/>
                <w:bCs/>
                <w:color w:val="auto"/>
                <w:sz w:val="22"/>
                <w:szCs w:val="22"/>
                <w:lang w:val="en-US" w:eastAsia="zh-CN"/>
              </w:rPr>
              <w:t>业绩</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eastAsia="zh-CN"/>
              </w:rPr>
            </w:pPr>
            <w:r>
              <w:rPr>
                <w:rFonts w:hint="eastAsia" w:ascii="仿宋" w:hAnsi="仿宋" w:eastAsia="仿宋" w:cs="仿宋"/>
                <w:bCs/>
                <w:color w:val="auto"/>
                <w:sz w:val="22"/>
                <w:szCs w:val="22"/>
              </w:rPr>
              <w:t>0-</w:t>
            </w:r>
            <w:r>
              <w:rPr>
                <w:rFonts w:hint="eastAsia" w:ascii="仿宋" w:hAnsi="仿宋" w:eastAsia="仿宋" w:cs="仿宋"/>
                <w:bCs/>
                <w:color w:val="auto"/>
                <w:sz w:val="22"/>
                <w:szCs w:val="22"/>
                <w:lang w:val="en-US" w:eastAsia="zh-CN"/>
              </w:rPr>
              <w:t>4</w:t>
            </w:r>
          </w:p>
        </w:tc>
        <w:tc>
          <w:tcPr>
            <w:tcW w:w="7293" w:type="dxa"/>
            <w:tcBorders>
              <w:top w:val="single" w:color="auto" w:sz="4" w:space="0"/>
              <w:left w:val="single" w:color="auto" w:sz="4" w:space="0"/>
              <w:bottom w:val="single" w:color="auto" w:sz="4" w:space="0"/>
              <w:right w:val="single" w:color="auto" w:sz="4" w:space="0"/>
            </w:tcBorders>
            <w:vAlign w:val="center"/>
          </w:tcPr>
          <w:p>
            <w:pPr>
              <w:pStyle w:val="14"/>
              <w:snapToGrid w:val="0"/>
              <w:spacing w:line="420" w:lineRule="exact"/>
              <w:ind w:left="0" w:leftChars="0" w:firstLine="0" w:firstLineChars="0"/>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有同类项目成功案例相关证明1个加1分，满分为</w:t>
            </w:r>
            <w:r>
              <w:rPr>
                <w:rFonts w:hint="eastAsia" w:ascii="仿宋" w:hAnsi="仿宋" w:eastAsia="仿宋" w:cs="仿宋"/>
                <w:bCs/>
                <w:color w:val="auto"/>
                <w:sz w:val="22"/>
                <w:szCs w:val="22"/>
                <w:lang w:val="en-US" w:eastAsia="zh-CN"/>
              </w:rPr>
              <w:t>4</w:t>
            </w:r>
            <w:r>
              <w:rPr>
                <w:rFonts w:hint="eastAsia" w:ascii="仿宋" w:hAnsi="仿宋" w:eastAsia="仿宋" w:cs="仿宋"/>
                <w:bCs/>
                <w:color w:val="auto"/>
                <w:sz w:val="22"/>
                <w:szCs w:val="22"/>
              </w:rPr>
              <w:t>分。（如中标通知书</w:t>
            </w:r>
            <w:r>
              <w:rPr>
                <w:rFonts w:hint="eastAsia" w:ascii="仿宋" w:hAnsi="仿宋" w:eastAsia="仿宋" w:cs="仿宋"/>
                <w:bCs/>
                <w:color w:val="auto"/>
                <w:sz w:val="22"/>
                <w:szCs w:val="22"/>
                <w:lang w:val="en-US" w:eastAsia="zh-CN"/>
              </w:rPr>
              <w:t>或</w:t>
            </w:r>
            <w:r>
              <w:rPr>
                <w:rFonts w:hint="eastAsia" w:ascii="仿宋" w:hAnsi="仿宋" w:eastAsia="仿宋" w:cs="仿宋"/>
                <w:bCs/>
                <w:color w:val="auto"/>
                <w:sz w:val="22"/>
                <w:szCs w:val="22"/>
              </w:rPr>
              <w:t>履约验收报告</w:t>
            </w:r>
            <w:r>
              <w:rPr>
                <w:rFonts w:hint="eastAsia" w:ascii="仿宋" w:hAnsi="仿宋" w:eastAsia="仿宋" w:cs="仿宋"/>
                <w:bCs/>
                <w:color w:val="auto"/>
                <w:sz w:val="22"/>
                <w:szCs w:val="22"/>
                <w:lang w:val="en-US" w:eastAsia="zh-CN"/>
              </w:rPr>
              <w:t>或</w:t>
            </w:r>
            <w:r>
              <w:rPr>
                <w:rFonts w:hint="eastAsia" w:ascii="仿宋" w:hAnsi="仿宋" w:eastAsia="仿宋" w:cs="仿宋"/>
                <w:bCs/>
                <w:color w:val="auto"/>
                <w:sz w:val="22"/>
                <w:szCs w:val="22"/>
              </w:rPr>
              <w:t>合同等相关资料。）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8" w:hRule="atLeast"/>
          <w:jc w:val="center"/>
        </w:trPr>
        <w:tc>
          <w:tcPr>
            <w:tcW w:w="778" w:type="dxa"/>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7</w:t>
            </w:r>
          </w:p>
        </w:tc>
        <w:tc>
          <w:tcPr>
            <w:tcW w:w="987" w:type="dxa"/>
            <w:tcBorders>
              <w:top w:val="single" w:color="auto" w:sz="4" w:space="0"/>
              <w:left w:val="single" w:color="auto" w:sz="4" w:space="0"/>
              <w:bottom w:val="single" w:color="auto" w:sz="4" w:space="0"/>
              <w:right w:val="single" w:color="auto" w:sz="4" w:space="0"/>
            </w:tcBorders>
            <w:vAlign w:val="center"/>
          </w:tcPr>
          <w:p>
            <w:pPr>
              <w:pStyle w:val="14"/>
              <w:snapToGrid w:val="0"/>
              <w:spacing w:line="420" w:lineRule="exact"/>
              <w:ind w:left="0" w:leftChars="0" w:firstLine="0" w:firstLineChars="0"/>
              <w:jc w:val="both"/>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eastAsia="zh-CN"/>
              </w:rPr>
              <w:t>投标人实力及信誉</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0-3</w:t>
            </w:r>
          </w:p>
        </w:tc>
        <w:tc>
          <w:tcPr>
            <w:tcW w:w="7293" w:type="dxa"/>
            <w:tcBorders>
              <w:top w:val="single" w:color="auto" w:sz="4" w:space="0"/>
              <w:left w:val="single" w:color="auto" w:sz="4" w:space="0"/>
              <w:bottom w:val="single" w:color="auto" w:sz="4" w:space="0"/>
              <w:right w:val="single" w:color="auto" w:sz="4" w:space="0"/>
            </w:tcBorders>
            <w:vAlign w:val="center"/>
          </w:tcPr>
          <w:p>
            <w:pPr>
              <w:pStyle w:val="14"/>
              <w:snapToGrid w:val="0"/>
              <w:spacing w:line="420" w:lineRule="exact"/>
              <w:ind w:left="0" w:leftChars="0" w:firstLine="0" w:firstLineChars="0"/>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投标</w:t>
            </w:r>
            <w:r>
              <w:rPr>
                <w:rFonts w:hint="eastAsia" w:ascii="仿宋" w:hAnsi="仿宋" w:eastAsia="仿宋" w:cs="仿宋"/>
                <w:bCs/>
                <w:color w:val="auto"/>
                <w:sz w:val="22"/>
                <w:szCs w:val="22"/>
                <w:lang w:eastAsia="zh-CN"/>
              </w:rPr>
              <w:t>人</w:t>
            </w:r>
            <w:r>
              <w:rPr>
                <w:rFonts w:hint="eastAsia" w:ascii="仿宋" w:hAnsi="仿宋" w:eastAsia="仿宋" w:cs="仿宋"/>
                <w:bCs/>
                <w:color w:val="auto"/>
                <w:sz w:val="22"/>
                <w:szCs w:val="22"/>
              </w:rPr>
              <w:t>在</w:t>
            </w:r>
            <w:r>
              <w:rPr>
                <w:rFonts w:hint="eastAsia" w:ascii="仿宋" w:hAnsi="仿宋" w:eastAsia="仿宋" w:cs="仿宋"/>
                <w:bCs/>
                <w:color w:val="auto"/>
                <w:sz w:val="22"/>
                <w:szCs w:val="22"/>
                <w:lang w:eastAsia="zh-CN"/>
              </w:rPr>
              <w:t>当地</w:t>
            </w:r>
            <w:r>
              <w:rPr>
                <w:rFonts w:hint="eastAsia" w:ascii="仿宋" w:hAnsi="仿宋" w:eastAsia="仿宋" w:cs="仿宋"/>
                <w:bCs/>
                <w:color w:val="auto"/>
                <w:sz w:val="22"/>
                <w:szCs w:val="22"/>
              </w:rPr>
              <w:t>是否有固定、长期的办事机构及服务人员，是否能够提供优质的本地化服务，能否提供及时到位品质服务等，提供相关证明文件，由评委进行评议并在0-</w:t>
            </w:r>
            <w:r>
              <w:rPr>
                <w:rFonts w:hint="eastAsia" w:ascii="仿宋" w:hAnsi="仿宋" w:eastAsia="仿宋" w:cs="仿宋"/>
                <w:bCs/>
                <w:color w:val="auto"/>
                <w:sz w:val="22"/>
                <w:szCs w:val="22"/>
                <w:lang w:val="en-US" w:eastAsia="zh-CN"/>
              </w:rPr>
              <w:t>3</w:t>
            </w:r>
            <w:r>
              <w:rPr>
                <w:rFonts w:hint="eastAsia" w:ascii="仿宋" w:hAnsi="仿宋" w:eastAsia="仿宋" w:cs="仿宋"/>
                <w:bCs/>
                <w:color w:val="auto"/>
                <w:sz w:val="22"/>
                <w:szCs w:val="22"/>
              </w:rPr>
              <w:t>分之间进行评分。(提供证明材料固定长期服务机构及人员最高得</w:t>
            </w:r>
            <w:r>
              <w:rPr>
                <w:rFonts w:hint="eastAsia" w:ascii="仿宋" w:hAnsi="仿宋" w:eastAsia="仿宋" w:cs="仿宋"/>
                <w:bCs/>
                <w:color w:val="auto"/>
                <w:sz w:val="22"/>
                <w:szCs w:val="22"/>
                <w:lang w:val="en-US" w:eastAsia="zh-CN"/>
              </w:rPr>
              <w:t>3</w:t>
            </w:r>
            <w:r>
              <w:rPr>
                <w:rFonts w:hint="eastAsia" w:ascii="仿宋" w:hAnsi="仿宋" w:eastAsia="仿宋" w:cs="仿宋"/>
                <w:bCs/>
                <w:color w:val="auto"/>
                <w:sz w:val="22"/>
                <w:szCs w:val="22"/>
              </w:rPr>
              <w:t>分，无证明材料的得</w:t>
            </w:r>
            <w:r>
              <w:rPr>
                <w:rFonts w:hint="eastAsia" w:ascii="仿宋" w:hAnsi="仿宋" w:eastAsia="仿宋" w:cs="仿宋"/>
                <w:bCs/>
                <w:color w:val="auto"/>
                <w:sz w:val="22"/>
                <w:szCs w:val="22"/>
                <w:lang w:val="en-US" w:eastAsia="zh-CN"/>
              </w:rPr>
              <w:t>0</w:t>
            </w:r>
            <w:r>
              <w:rPr>
                <w:rFonts w:hint="eastAsia" w:ascii="仿宋" w:hAnsi="仿宋" w:eastAsia="仿宋" w:cs="仿宋"/>
                <w:bCs/>
                <w:color w:val="auto"/>
                <w:sz w:val="22"/>
                <w:szCs w:val="22"/>
              </w:rPr>
              <w:t>分</w:t>
            </w:r>
            <w:r>
              <w:rPr>
                <w:rFonts w:hint="eastAsia" w:ascii="仿宋" w:hAnsi="仿宋" w:eastAsia="仿宋" w:cs="仿宋"/>
                <w:bCs/>
                <w:color w:val="auto"/>
                <w:sz w:val="22"/>
                <w:szCs w:val="22"/>
                <w:lang w:eastAsia="zh-CN"/>
              </w:rPr>
              <w:t>）</w:t>
            </w:r>
          </w:p>
        </w:tc>
      </w:tr>
      <w:bookmarkEnd w:id="479"/>
    </w:tbl>
    <w:p>
      <w:pPr>
        <w:pStyle w:val="20"/>
        <w:ind w:left="0" w:leftChars="0" w:firstLine="0" w:firstLineChars="0"/>
        <w:rPr>
          <w:rFonts w:hint="eastAsia" w:ascii="仿宋" w:hAnsi="仿宋" w:eastAsia="仿宋" w:cs="仿宋"/>
          <w:color w:val="auto"/>
        </w:rPr>
      </w:pPr>
    </w:p>
    <w:sectPr>
      <w:headerReference r:id="rId11" w:type="first"/>
      <w:headerReference r:id="rId10" w:type="default"/>
      <w:footerReference r:id="rId12" w:type="default"/>
      <w:type w:val="nextColumn"/>
      <w:pgSz w:w="11906" w:h="16838"/>
      <w:pgMar w:top="1418" w:right="1191" w:bottom="1418" w:left="1191" w:header="468" w:footer="59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Bdr>
                              <w:top w:val="none" w:color="auto" w:sz="0" w:space="0"/>
                            </w:pBdr>
                            <w:rPr>
                              <w:rStyle w:val="26"/>
                              <w:rFonts w:eastAsia="宋体"/>
                            </w:rPr>
                          </w:pPr>
                          <w:r>
                            <w:fldChar w:fldCharType="begin"/>
                          </w:r>
                          <w:r>
                            <w:rPr>
                              <w:rStyle w:val="26"/>
                              <w:rFonts w:eastAsia="宋体"/>
                            </w:rPr>
                            <w:instrText xml:space="preserve">PAGE  </w:instrText>
                          </w:r>
                          <w:r>
                            <w:fldChar w:fldCharType="separate"/>
                          </w:r>
                          <w:r>
                            <w:rPr>
                              <w:rStyle w:val="26"/>
                              <w:rFonts w:eastAsia="宋体"/>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5KL+z8gBAACZAwAADgAAAAAAAAABACAAAAAgAQAAZHJzL2Uyb0Rv&#10;Yy54bWxQSwUGAAAAAAYABgBZAQAAWgUAAAAA&#10;">
              <v:fill on="f" focussize="0,0"/>
              <v:stroke on="f"/>
              <v:imagedata o:title=""/>
              <o:lock v:ext="edit" aspectratio="f"/>
              <v:textbox inset="0mm,0mm,0mm,0mm" style="mso-fit-shape-to-text:t;">
                <w:txbxContent>
                  <w:p>
                    <w:pPr>
                      <w:pStyle w:val="15"/>
                      <w:pBdr>
                        <w:top w:val="none" w:color="auto" w:sz="0" w:space="0"/>
                      </w:pBdr>
                      <w:rPr>
                        <w:rStyle w:val="26"/>
                        <w:rFonts w:eastAsia="宋体"/>
                      </w:rPr>
                    </w:pPr>
                    <w:r>
                      <w:fldChar w:fldCharType="begin"/>
                    </w:r>
                    <w:r>
                      <w:rPr>
                        <w:rStyle w:val="26"/>
                        <w:rFonts w:eastAsia="宋体"/>
                      </w:rPr>
                      <w:instrText xml:space="preserve">PAGE  </w:instrText>
                    </w:r>
                    <w:r>
                      <w:fldChar w:fldCharType="separate"/>
                    </w:r>
                    <w:r>
                      <w:rPr>
                        <w:rStyle w:val="26"/>
                        <w:rFonts w:eastAsia="宋体"/>
                      </w:rPr>
                      <w:t>21</w:t>
                    </w:r>
                    <w:r>
                      <w:fldChar w:fldCharType="end"/>
                    </w:r>
                  </w:p>
                </w:txbxContent>
              </v:textbox>
            </v:shape>
          </w:pict>
        </mc:Fallback>
      </mc:AlternateContent>
    </w:r>
    <w:r>
      <w:t xml:space="preserve">        </w:t>
    </w:r>
    <w:r>
      <w:rPr>
        <w:rStyle w:val="39"/>
      </w:rPr>
      <w:t xml:space="preserve">                      </w:t>
    </w:r>
    <w:r>
      <w:rPr>
        <w:rFonts w:hint="eastAsia" w:ascii="Times New Roman" w:hAnsi="Times New Roman"/>
      </w:rPr>
      <w:t xml:space="preserve">   </w:t>
    </w:r>
    <w:r>
      <w:rPr>
        <w:rStyle w:val="39"/>
      </w:rPr>
      <w:t xml:space="preserve"> </w:t>
    </w:r>
    <w:r>
      <w:rPr>
        <w:rStyle w:val="39"/>
        <w:rFonts w:hint="eastAsia"/>
      </w:rPr>
      <w:t xml:space="preserve"> </w:t>
    </w:r>
    <w:r>
      <w:rPr>
        <w:rStyle w:val="39"/>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 xml:space="preserve">第二章 投标人须知           </w:t>
    </w:r>
    <w:r>
      <w:rPr>
        <w:rStyle w:val="39"/>
      </w:rPr>
      <w:t xml:space="preserve">                      </w:t>
    </w:r>
    <w:r>
      <w:rPr>
        <w:rFonts w:hint="eastAsia"/>
      </w:rPr>
      <w:t>2-</w:t>
    </w:r>
    <w:r>
      <w:fldChar w:fldCharType="begin"/>
    </w:r>
    <w:r>
      <w:rPr>
        <w:rStyle w:val="26"/>
        <w:rFonts w:eastAsia="宋体"/>
      </w:rPr>
      <w:instrText xml:space="preserve"> PAGE </w:instrText>
    </w:r>
    <w:r>
      <w:fldChar w:fldCharType="separate"/>
    </w:r>
    <w:r>
      <w:rPr>
        <w:rStyle w:val="26"/>
        <w:rFonts w:eastAsia="宋体"/>
      </w:rPr>
      <w:t>4</w:t>
    </w:r>
    <w:r>
      <w:fldChar w:fldCharType="end"/>
    </w:r>
    <w:r>
      <w:rPr>
        <w:rStyle w:val="39"/>
      </w:rPr>
      <w:t xml:space="preserve">                          </w:t>
    </w:r>
    <w:r>
      <w:rPr>
        <w:rFonts w:hint="eastAsia"/>
        <w:lang w:eastAsia="zh-CN"/>
      </w:rPr>
      <w:t>新疆华域建设工程项目管理咨询有限公司</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8</w:t>
                    </w:r>
                    <w:r>
                      <w:fldChar w:fldCharType="end"/>
                    </w:r>
                  </w:p>
                </w:txbxContent>
              </v:textbox>
            </v:shape>
          </w:pict>
        </mc:Fallback>
      </mc:AlternateContent>
    </w:r>
  </w:p>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Bdr>
                              <w:top w:val="none" w:color="auto" w:sz="0" w:space="0"/>
                            </w:pBdr>
                            <w:rPr>
                              <w:rStyle w:val="26"/>
                              <w:rFonts w:eastAsia="宋体"/>
                            </w:rPr>
                          </w:pPr>
                          <w:r>
                            <w:fldChar w:fldCharType="begin"/>
                          </w:r>
                          <w:r>
                            <w:rPr>
                              <w:rStyle w:val="26"/>
                              <w:rFonts w:eastAsia="宋体"/>
                            </w:rPr>
                            <w:instrText xml:space="preserve">PAGE  </w:instrText>
                          </w:r>
                          <w:r>
                            <w:fldChar w:fldCharType="separate"/>
                          </w:r>
                          <w:r>
                            <w:rPr>
                              <w:rStyle w:val="26"/>
                              <w:rFonts w:eastAsia="宋体"/>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Eb5CgyQEAAJk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4cQ9b4rS5TrQbg9JGyi9JYrjLBTYZxYYTdtV16Jx/eS9fBH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ublLdEAAAAGAQAADwAAAAAAAAABACAAAAAiAAAAZHJzL2Rvd25yZXYu&#10;eG1sUEsBAhQAFAAAAAgAh07iQARvkKDJAQAAmQMAAA4AAAAAAAAAAQAgAAAAIAEAAGRycy9lMm9E&#10;b2MueG1sUEsFBgAAAAAGAAYAWQEAAFsFAAAAAA==&#10;">
              <v:fill on="f" focussize="0,0"/>
              <v:stroke on="f"/>
              <v:imagedata o:title=""/>
              <o:lock v:ext="edit" aspectratio="f"/>
              <v:textbox inset="0mm,0mm,0mm,0mm" style="mso-fit-shape-to-text:t;">
                <w:txbxContent>
                  <w:p>
                    <w:pPr>
                      <w:pStyle w:val="15"/>
                      <w:pBdr>
                        <w:top w:val="none" w:color="auto" w:sz="0" w:space="0"/>
                      </w:pBdr>
                      <w:rPr>
                        <w:rStyle w:val="26"/>
                        <w:rFonts w:eastAsia="宋体"/>
                      </w:rPr>
                    </w:pPr>
                    <w:r>
                      <w:fldChar w:fldCharType="begin"/>
                    </w:r>
                    <w:r>
                      <w:rPr>
                        <w:rStyle w:val="26"/>
                        <w:rFonts w:eastAsia="宋体"/>
                      </w:rPr>
                      <w:instrText xml:space="preserve">PAGE  </w:instrText>
                    </w:r>
                    <w:r>
                      <w:fldChar w:fldCharType="separate"/>
                    </w:r>
                    <w:r>
                      <w:rPr>
                        <w:rStyle w:val="26"/>
                        <w:rFonts w:eastAsia="宋体"/>
                      </w:rPr>
                      <w:t>50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lang w:eastAsia="zh-CN"/>
      </w:rPr>
      <w:t>新疆华域建设工程项目管理咨询有限公司</w:t>
    </w:r>
    <w:r>
      <w:rPr>
        <w:rFonts w:hint="eastAsia"/>
      </w:rPr>
      <w:t xml:space="preserve">                                                                            5-</w:t>
    </w:r>
    <w:r>
      <w:fldChar w:fldCharType="begin"/>
    </w:r>
    <w:r>
      <w:rPr>
        <w:rStyle w:val="26"/>
        <w:rFonts w:ascii="Times New Roman" w:hAnsi="Times New Roman" w:eastAsia="宋体"/>
      </w:rPr>
      <w:instrText xml:space="preserve"> PAGE </w:instrText>
    </w:r>
    <w:r>
      <w:fldChar w:fldCharType="separate"/>
    </w:r>
    <w:r>
      <w:rPr>
        <w:rStyle w:val="26"/>
        <w:rFonts w:ascii="Times New Roman" w:hAnsi="Times New Roman" w:eastAsia="宋体"/>
      </w:rPr>
      <w:t>31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wordWrap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Bdr>
                              <w:top w:val="none" w:color="auto" w:sz="0" w:space="0"/>
                            </w:pBdr>
                            <w:tabs>
                              <w:tab w:val="left" w:pos="1785"/>
                            </w:tabs>
                            <w:rPr>
                              <w:rStyle w:val="26"/>
                              <w:rFonts w:eastAsia="宋体"/>
                            </w:rPr>
                          </w:pPr>
                          <w:r>
                            <w:fldChar w:fldCharType="begin"/>
                          </w:r>
                          <w:r>
                            <w:rPr>
                              <w:rStyle w:val="26"/>
                              <w:rFonts w:eastAsia="宋体"/>
                            </w:rPr>
                            <w:instrText xml:space="preserve">PAGE  </w:instrText>
                          </w:r>
                          <w:r>
                            <w:fldChar w:fldCharType="separate"/>
                          </w:r>
                          <w:r>
                            <w:rPr>
                              <w:rStyle w:val="26"/>
                              <w:rFonts w:eastAsia="宋体"/>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0kvpJyAEAAJk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NJL6ScgBAACZAwAADgAAAAAAAAABACAAAAAgAQAAZHJzL2Uyb0Rv&#10;Yy54bWxQSwUGAAAAAAYABgBZAQAAWgUAAAAA&#10;">
              <v:fill on="f" focussize="0,0"/>
              <v:stroke on="f"/>
              <v:imagedata o:title=""/>
              <o:lock v:ext="edit" aspectratio="f"/>
              <v:textbox inset="0mm,0mm,0mm,0mm" style="mso-fit-shape-to-text:t;">
                <w:txbxContent>
                  <w:p>
                    <w:pPr>
                      <w:pStyle w:val="15"/>
                      <w:pBdr>
                        <w:top w:val="none" w:color="auto" w:sz="0" w:space="0"/>
                      </w:pBdr>
                      <w:tabs>
                        <w:tab w:val="left" w:pos="1785"/>
                      </w:tabs>
                      <w:rPr>
                        <w:rStyle w:val="26"/>
                        <w:rFonts w:eastAsia="宋体"/>
                      </w:rPr>
                    </w:pPr>
                    <w:r>
                      <w:fldChar w:fldCharType="begin"/>
                    </w:r>
                    <w:r>
                      <w:rPr>
                        <w:rStyle w:val="26"/>
                        <w:rFonts w:eastAsia="宋体"/>
                      </w:rPr>
                      <w:instrText xml:space="preserve">PAGE  </w:instrText>
                    </w:r>
                    <w:r>
                      <w:fldChar w:fldCharType="separate"/>
                    </w:r>
                    <w:r>
                      <w:rPr>
                        <w:rStyle w:val="26"/>
                        <w:rFonts w:eastAsia="宋体"/>
                      </w:rPr>
                      <w:t>63</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textAlignment w:val="auto"/>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7EA1"/>
    <w:multiLevelType w:val="singleLevel"/>
    <w:tmpl w:val="A4A77EA1"/>
    <w:lvl w:ilvl="0" w:tentative="0">
      <w:start w:val="5"/>
      <w:numFmt w:val="chineseCounting"/>
      <w:suff w:val="nothing"/>
      <w:lvlText w:val="%1、"/>
      <w:lvlJc w:val="left"/>
      <w:rPr>
        <w:rFonts w:hint="eastAsia"/>
      </w:rPr>
    </w:lvl>
  </w:abstractNum>
  <w:abstractNum w:abstractNumId="1">
    <w:nsid w:val="BD2442D7"/>
    <w:multiLevelType w:val="singleLevel"/>
    <w:tmpl w:val="BD2442D7"/>
    <w:lvl w:ilvl="0" w:tentative="0">
      <w:start w:val="1"/>
      <w:numFmt w:val="chineseCounting"/>
      <w:suff w:val="space"/>
      <w:lvlText w:val="第%1章"/>
      <w:lvlJc w:val="left"/>
      <w:rPr>
        <w:rFonts w:hint="eastAsia"/>
      </w:rPr>
    </w:lvl>
  </w:abstractNum>
  <w:abstractNum w:abstractNumId="2">
    <w:nsid w:val="00000004"/>
    <w:multiLevelType w:val="multilevel"/>
    <w:tmpl w:val="00000004"/>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3">
    <w:nsid w:val="00000009"/>
    <w:multiLevelType w:val="multilevel"/>
    <w:tmpl w:val="00000009"/>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182"/>
        </w:tabs>
        <w:ind w:left="1182" w:hanging="720"/>
      </w:pPr>
      <w:rPr>
        <w:rFonts w:hint="default"/>
        <w:b w:val="0"/>
        <w:bCs w:val="0"/>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5">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8">
    <w:nsid w:val="0000001B"/>
    <w:multiLevelType w:val="multilevel"/>
    <w:tmpl w:val="0000001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D"/>
    <w:multiLevelType w:val="multilevel"/>
    <w:tmpl w:val="0000001D"/>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610"/>
        </w:tabs>
        <w:ind w:left="2610" w:hanging="720"/>
      </w:pPr>
      <w:rPr>
        <w:rFonts w:hint="eastAsia"/>
        <w:u w:val="none"/>
      </w:rPr>
    </w:lvl>
    <w:lvl w:ilvl="4" w:tentative="0">
      <w:start w:val="1"/>
      <w:numFmt w:val="decimalEnclosedCircle"/>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2">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4">
    <w:nsid w:val="00000029"/>
    <w:multiLevelType w:val="multilevel"/>
    <w:tmpl w:val="0000002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A"/>
    <w:multiLevelType w:val="multilevel"/>
    <w:tmpl w:val="0000002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6">
    <w:nsid w:val="0000002D"/>
    <w:multiLevelType w:val="multilevel"/>
    <w:tmpl w:val="0000002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2E"/>
    <w:multiLevelType w:val="multilevel"/>
    <w:tmpl w:val="0000002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9">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000003C"/>
    <w:multiLevelType w:val="multilevel"/>
    <w:tmpl w:val="0000003C"/>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1">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1243961"/>
    <w:multiLevelType w:val="singleLevel"/>
    <w:tmpl w:val="61243961"/>
    <w:lvl w:ilvl="0" w:tentative="0">
      <w:start w:val="1"/>
      <w:numFmt w:val="decimal"/>
      <w:lvlText w:val="%1)"/>
      <w:lvlJc w:val="left"/>
      <w:pPr>
        <w:tabs>
          <w:tab w:val="left" w:pos="312"/>
        </w:tabs>
      </w:pPr>
    </w:lvl>
  </w:abstractNum>
  <w:abstractNum w:abstractNumId="24">
    <w:nsid w:val="6B500E89"/>
    <w:multiLevelType w:val="singleLevel"/>
    <w:tmpl w:val="6B500E89"/>
    <w:lvl w:ilvl="0" w:tentative="0">
      <w:start w:val="1"/>
      <w:numFmt w:val="decimal"/>
      <w:suff w:val="nothing"/>
      <w:lvlText w:val="%1、"/>
      <w:lvlJc w:val="left"/>
    </w:lvl>
  </w:abstractNum>
  <w:num w:numId="1">
    <w:abstractNumId w:val="22"/>
  </w:num>
  <w:num w:numId="2">
    <w:abstractNumId w:val="1"/>
  </w:num>
  <w:num w:numId="3">
    <w:abstractNumId w:val="0"/>
  </w:num>
  <w:num w:numId="4">
    <w:abstractNumId w:val="24"/>
  </w:num>
  <w:num w:numId="5">
    <w:abstractNumId w:val="16"/>
  </w:num>
  <w:num w:numId="6">
    <w:abstractNumId w:val="17"/>
  </w:num>
  <w:num w:numId="7">
    <w:abstractNumId w:val="8"/>
  </w:num>
  <w:num w:numId="8">
    <w:abstractNumId w:val="3"/>
  </w:num>
  <w:num w:numId="9">
    <w:abstractNumId w:val="2"/>
  </w:num>
  <w:num w:numId="10">
    <w:abstractNumId w:val="20"/>
  </w:num>
  <w:num w:numId="11">
    <w:abstractNumId w:val="4"/>
  </w:num>
  <w:num w:numId="12">
    <w:abstractNumId w:val="23"/>
  </w:num>
  <w:num w:numId="13">
    <w:abstractNumId w:val="14"/>
  </w:num>
  <w:num w:numId="14">
    <w:abstractNumId w:val="9"/>
  </w:num>
  <w:num w:numId="15">
    <w:abstractNumId w:val="15"/>
  </w:num>
  <w:num w:numId="16">
    <w:abstractNumId w:val="7"/>
  </w:num>
  <w:num w:numId="17">
    <w:abstractNumId w:val="6"/>
    <w:lvlOverride w:ilvl="0">
      <w:startOverride w:val="1"/>
    </w:lvlOverride>
  </w:num>
  <w:num w:numId="18">
    <w:abstractNumId w:val="13"/>
  </w:num>
  <w:num w:numId="19">
    <w:abstractNumId w:val="12"/>
    <w:lvlOverride w:ilvl="0">
      <w:startOverride w:val="1"/>
    </w:lvlOverride>
  </w:num>
  <w:num w:numId="20">
    <w:abstractNumId w:val="21"/>
    <w:lvlOverride w:ilvl="0">
      <w:startOverride w:val="1"/>
    </w:lvlOverride>
  </w:num>
  <w:num w:numId="21">
    <w:abstractNumId w:val="19"/>
    <w:lvlOverride w:ilvl="0">
      <w:startOverride w:val="1"/>
    </w:lvlOverride>
  </w:num>
  <w:num w:numId="22">
    <w:abstractNumId w:val="10"/>
  </w:num>
  <w:num w:numId="23">
    <w:abstractNumId w:val="18"/>
  </w:num>
  <w:num w:numId="24">
    <w:abstractNumId w:val="5"/>
    <w:lvlOverride w:ilvl="0">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14E80064"/>
    <w:rsid w:val="000B2BDF"/>
    <w:rsid w:val="002F5F6D"/>
    <w:rsid w:val="003E41E3"/>
    <w:rsid w:val="006304C5"/>
    <w:rsid w:val="00A92AB0"/>
    <w:rsid w:val="0149387F"/>
    <w:rsid w:val="015B1711"/>
    <w:rsid w:val="01913F2E"/>
    <w:rsid w:val="01E01396"/>
    <w:rsid w:val="0201024B"/>
    <w:rsid w:val="020A582B"/>
    <w:rsid w:val="020B2FCD"/>
    <w:rsid w:val="02307626"/>
    <w:rsid w:val="02424C63"/>
    <w:rsid w:val="025261A4"/>
    <w:rsid w:val="0253501B"/>
    <w:rsid w:val="02711675"/>
    <w:rsid w:val="02C77FF1"/>
    <w:rsid w:val="02ED4FFA"/>
    <w:rsid w:val="03051614"/>
    <w:rsid w:val="03583042"/>
    <w:rsid w:val="043F6B5C"/>
    <w:rsid w:val="0442248D"/>
    <w:rsid w:val="0471312C"/>
    <w:rsid w:val="04B56119"/>
    <w:rsid w:val="04D97739"/>
    <w:rsid w:val="05071939"/>
    <w:rsid w:val="051D4ABC"/>
    <w:rsid w:val="055C7DBF"/>
    <w:rsid w:val="05AD2A4A"/>
    <w:rsid w:val="05BC4C88"/>
    <w:rsid w:val="05D2498E"/>
    <w:rsid w:val="05E8024A"/>
    <w:rsid w:val="06194C1F"/>
    <w:rsid w:val="06730A58"/>
    <w:rsid w:val="070944A2"/>
    <w:rsid w:val="07111D16"/>
    <w:rsid w:val="07DD405D"/>
    <w:rsid w:val="08080B38"/>
    <w:rsid w:val="0824537E"/>
    <w:rsid w:val="08862889"/>
    <w:rsid w:val="08C761C3"/>
    <w:rsid w:val="08EB6363"/>
    <w:rsid w:val="09005079"/>
    <w:rsid w:val="09491769"/>
    <w:rsid w:val="0949606C"/>
    <w:rsid w:val="096D5ED4"/>
    <w:rsid w:val="0974577D"/>
    <w:rsid w:val="09745C99"/>
    <w:rsid w:val="099217C1"/>
    <w:rsid w:val="09B47989"/>
    <w:rsid w:val="09B57722"/>
    <w:rsid w:val="09D973F0"/>
    <w:rsid w:val="09DC5D64"/>
    <w:rsid w:val="0A2419F4"/>
    <w:rsid w:val="0A544707"/>
    <w:rsid w:val="0A670558"/>
    <w:rsid w:val="0A856C30"/>
    <w:rsid w:val="0AF27D49"/>
    <w:rsid w:val="0B2B1E84"/>
    <w:rsid w:val="0B463A69"/>
    <w:rsid w:val="0B5D2C83"/>
    <w:rsid w:val="0B8C1A60"/>
    <w:rsid w:val="0BA51CE9"/>
    <w:rsid w:val="0BD779A0"/>
    <w:rsid w:val="0BEF25E8"/>
    <w:rsid w:val="0C071593"/>
    <w:rsid w:val="0C61058B"/>
    <w:rsid w:val="0C986E0F"/>
    <w:rsid w:val="0CA35A93"/>
    <w:rsid w:val="0CBE6BB8"/>
    <w:rsid w:val="0CEF778A"/>
    <w:rsid w:val="0D5F633D"/>
    <w:rsid w:val="0DB372EB"/>
    <w:rsid w:val="0DBE0BAB"/>
    <w:rsid w:val="0EA21020"/>
    <w:rsid w:val="0EA868AD"/>
    <w:rsid w:val="0EA87391"/>
    <w:rsid w:val="0EEA34ED"/>
    <w:rsid w:val="0EEC00F8"/>
    <w:rsid w:val="0F296723"/>
    <w:rsid w:val="0F470243"/>
    <w:rsid w:val="0F9F0794"/>
    <w:rsid w:val="0FA83572"/>
    <w:rsid w:val="0FD33393"/>
    <w:rsid w:val="10004C14"/>
    <w:rsid w:val="101200E7"/>
    <w:rsid w:val="10233173"/>
    <w:rsid w:val="10294227"/>
    <w:rsid w:val="10825F80"/>
    <w:rsid w:val="10E05EE0"/>
    <w:rsid w:val="10FB41BF"/>
    <w:rsid w:val="11086FF2"/>
    <w:rsid w:val="11261D15"/>
    <w:rsid w:val="11BC70DF"/>
    <w:rsid w:val="11D66BD3"/>
    <w:rsid w:val="122116AA"/>
    <w:rsid w:val="12215409"/>
    <w:rsid w:val="12897F91"/>
    <w:rsid w:val="12BE5C3A"/>
    <w:rsid w:val="13005E30"/>
    <w:rsid w:val="130415A7"/>
    <w:rsid w:val="13342BBC"/>
    <w:rsid w:val="136B39E7"/>
    <w:rsid w:val="13776035"/>
    <w:rsid w:val="13851B4B"/>
    <w:rsid w:val="13935F69"/>
    <w:rsid w:val="13DE32F5"/>
    <w:rsid w:val="13EB2909"/>
    <w:rsid w:val="14214D47"/>
    <w:rsid w:val="1460693B"/>
    <w:rsid w:val="148C5CE3"/>
    <w:rsid w:val="14C511DC"/>
    <w:rsid w:val="14D7710F"/>
    <w:rsid w:val="14E80064"/>
    <w:rsid w:val="14E84005"/>
    <w:rsid w:val="15C40F54"/>
    <w:rsid w:val="15DB116D"/>
    <w:rsid w:val="15E62ABE"/>
    <w:rsid w:val="15FC1289"/>
    <w:rsid w:val="167124B1"/>
    <w:rsid w:val="16CB1E6E"/>
    <w:rsid w:val="16DE62B7"/>
    <w:rsid w:val="17A9609E"/>
    <w:rsid w:val="17C16375"/>
    <w:rsid w:val="17DE6FE5"/>
    <w:rsid w:val="17E0107E"/>
    <w:rsid w:val="18182FC2"/>
    <w:rsid w:val="18194D00"/>
    <w:rsid w:val="18457DC0"/>
    <w:rsid w:val="18624A54"/>
    <w:rsid w:val="1876405C"/>
    <w:rsid w:val="1891222E"/>
    <w:rsid w:val="18E522DC"/>
    <w:rsid w:val="18F71640"/>
    <w:rsid w:val="194F12DF"/>
    <w:rsid w:val="199D69EC"/>
    <w:rsid w:val="19BD250E"/>
    <w:rsid w:val="19DD25B8"/>
    <w:rsid w:val="19DF40F8"/>
    <w:rsid w:val="1A0F6516"/>
    <w:rsid w:val="1A181FF9"/>
    <w:rsid w:val="1A1F5FD3"/>
    <w:rsid w:val="1A530AF8"/>
    <w:rsid w:val="1A822AEC"/>
    <w:rsid w:val="1AEB51C6"/>
    <w:rsid w:val="1B3D192B"/>
    <w:rsid w:val="1B5669EE"/>
    <w:rsid w:val="1B89378A"/>
    <w:rsid w:val="1C1C39B3"/>
    <w:rsid w:val="1C2838BF"/>
    <w:rsid w:val="1C3D0B31"/>
    <w:rsid w:val="1C4306F9"/>
    <w:rsid w:val="1CA03045"/>
    <w:rsid w:val="1CCF5801"/>
    <w:rsid w:val="1D4F0071"/>
    <w:rsid w:val="1D571E93"/>
    <w:rsid w:val="1D9751A0"/>
    <w:rsid w:val="1DCC3099"/>
    <w:rsid w:val="1DD12460"/>
    <w:rsid w:val="1DD5539C"/>
    <w:rsid w:val="1E01438A"/>
    <w:rsid w:val="1E085B47"/>
    <w:rsid w:val="1E4F5A7B"/>
    <w:rsid w:val="1EA943EC"/>
    <w:rsid w:val="1ED61694"/>
    <w:rsid w:val="1F152835"/>
    <w:rsid w:val="1F2D6B9F"/>
    <w:rsid w:val="1F3F789D"/>
    <w:rsid w:val="1FF97A7C"/>
    <w:rsid w:val="200B3CEB"/>
    <w:rsid w:val="203B617F"/>
    <w:rsid w:val="206766B3"/>
    <w:rsid w:val="20786A36"/>
    <w:rsid w:val="20E61817"/>
    <w:rsid w:val="20EF0E4F"/>
    <w:rsid w:val="21253DCE"/>
    <w:rsid w:val="21257669"/>
    <w:rsid w:val="2164183D"/>
    <w:rsid w:val="21815F4B"/>
    <w:rsid w:val="21EA7F94"/>
    <w:rsid w:val="221C7F7A"/>
    <w:rsid w:val="225B1A18"/>
    <w:rsid w:val="22A86407"/>
    <w:rsid w:val="22F369D5"/>
    <w:rsid w:val="2358370B"/>
    <w:rsid w:val="23705A35"/>
    <w:rsid w:val="238064DA"/>
    <w:rsid w:val="23B07D9F"/>
    <w:rsid w:val="2412563A"/>
    <w:rsid w:val="24F63006"/>
    <w:rsid w:val="252B2B76"/>
    <w:rsid w:val="254A7B63"/>
    <w:rsid w:val="258B7677"/>
    <w:rsid w:val="25977383"/>
    <w:rsid w:val="25BA1451"/>
    <w:rsid w:val="25C96BD9"/>
    <w:rsid w:val="25CC18FD"/>
    <w:rsid w:val="25DF6D25"/>
    <w:rsid w:val="25EF7EB4"/>
    <w:rsid w:val="26017199"/>
    <w:rsid w:val="26751DF6"/>
    <w:rsid w:val="26EC048E"/>
    <w:rsid w:val="274365E7"/>
    <w:rsid w:val="27816401"/>
    <w:rsid w:val="27AB7F0C"/>
    <w:rsid w:val="27C14EAB"/>
    <w:rsid w:val="281A4A03"/>
    <w:rsid w:val="28793E20"/>
    <w:rsid w:val="28915073"/>
    <w:rsid w:val="28915A91"/>
    <w:rsid w:val="289353F5"/>
    <w:rsid w:val="28D430FD"/>
    <w:rsid w:val="28D92B11"/>
    <w:rsid w:val="28E10DCA"/>
    <w:rsid w:val="28EB6431"/>
    <w:rsid w:val="298D3A93"/>
    <w:rsid w:val="29A75D96"/>
    <w:rsid w:val="29EC44EC"/>
    <w:rsid w:val="2A085940"/>
    <w:rsid w:val="2A0B4A72"/>
    <w:rsid w:val="2A211240"/>
    <w:rsid w:val="2A235F6B"/>
    <w:rsid w:val="2A866EFF"/>
    <w:rsid w:val="2A93214D"/>
    <w:rsid w:val="2AB12710"/>
    <w:rsid w:val="2ABA1ABD"/>
    <w:rsid w:val="2ABC0600"/>
    <w:rsid w:val="2B144FF9"/>
    <w:rsid w:val="2B775256"/>
    <w:rsid w:val="2B8D1764"/>
    <w:rsid w:val="2BBB474F"/>
    <w:rsid w:val="2BC82CD1"/>
    <w:rsid w:val="2C0C4FAB"/>
    <w:rsid w:val="2C1A544E"/>
    <w:rsid w:val="2C5C2FB4"/>
    <w:rsid w:val="2C634FD8"/>
    <w:rsid w:val="2CA945A8"/>
    <w:rsid w:val="2CB87278"/>
    <w:rsid w:val="2CFF48FC"/>
    <w:rsid w:val="2D207A6E"/>
    <w:rsid w:val="2D60482A"/>
    <w:rsid w:val="2D650C74"/>
    <w:rsid w:val="2D73689F"/>
    <w:rsid w:val="2D8D4316"/>
    <w:rsid w:val="2E047BD9"/>
    <w:rsid w:val="2E073604"/>
    <w:rsid w:val="2E727C09"/>
    <w:rsid w:val="2E8207CF"/>
    <w:rsid w:val="2EC6256C"/>
    <w:rsid w:val="2ED74269"/>
    <w:rsid w:val="2EEC383E"/>
    <w:rsid w:val="2F3E191F"/>
    <w:rsid w:val="2F3F343D"/>
    <w:rsid w:val="2F45568A"/>
    <w:rsid w:val="2F7B66D0"/>
    <w:rsid w:val="2F847F27"/>
    <w:rsid w:val="2FC242FE"/>
    <w:rsid w:val="2FD72582"/>
    <w:rsid w:val="2FE72824"/>
    <w:rsid w:val="302258E4"/>
    <w:rsid w:val="30754171"/>
    <w:rsid w:val="309970A5"/>
    <w:rsid w:val="31094153"/>
    <w:rsid w:val="3152227B"/>
    <w:rsid w:val="315B1113"/>
    <w:rsid w:val="31692558"/>
    <w:rsid w:val="317A5B1B"/>
    <w:rsid w:val="31A17F1D"/>
    <w:rsid w:val="31B509DA"/>
    <w:rsid w:val="31DE6E9B"/>
    <w:rsid w:val="31EF65C4"/>
    <w:rsid w:val="31F864CD"/>
    <w:rsid w:val="32224CF4"/>
    <w:rsid w:val="322E3AE0"/>
    <w:rsid w:val="32384B7E"/>
    <w:rsid w:val="325D50EF"/>
    <w:rsid w:val="32D700C1"/>
    <w:rsid w:val="334A7EA4"/>
    <w:rsid w:val="337F7260"/>
    <w:rsid w:val="3381002D"/>
    <w:rsid w:val="33941D8B"/>
    <w:rsid w:val="33E25A21"/>
    <w:rsid w:val="33F71CB6"/>
    <w:rsid w:val="34382E6A"/>
    <w:rsid w:val="34692F9B"/>
    <w:rsid w:val="347708B6"/>
    <w:rsid w:val="34AC10D9"/>
    <w:rsid w:val="34AF5BBF"/>
    <w:rsid w:val="35152562"/>
    <w:rsid w:val="351C7EC1"/>
    <w:rsid w:val="351F18AB"/>
    <w:rsid w:val="35634DCD"/>
    <w:rsid w:val="357B6FFD"/>
    <w:rsid w:val="359953D6"/>
    <w:rsid w:val="35DC5D64"/>
    <w:rsid w:val="3607238A"/>
    <w:rsid w:val="364D1BC2"/>
    <w:rsid w:val="365F4A1C"/>
    <w:rsid w:val="366652B8"/>
    <w:rsid w:val="36CF005F"/>
    <w:rsid w:val="36FB3175"/>
    <w:rsid w:val="37690328"/>
    <w:rsid w:val="3770184A"/>
    <w:rsid w:val="378C298F"/>
    <w:rsid w:val="37A93C63"/>
    <w:rsid w:val="37FE1C4C"/>
    <w:rsid w:val="38874A6D"/>
    <w:rsid w:val="38892B0F"/>
    <w:rsid w:val="38AC5690"/>
    <w:rsid w:val="38BE0AC7"/>
    <w:rsid w:val="38CA31D2"/>
    <w:rsid w:val="38FC07B2"/>
    <w:rsid w:val="38FF78FB"/>
    <w:rsid w:val="394C157B"/>
    <w:rsid w:val="396A50BF"/>
    <w:rsid w:val="399A1E48"/>
    <w:rsid w:val="39D97827"/>
    <w:rsid w:val="39E6090E"/>
    <w:rsid w:val="3A1B045D"/>
    <w:rsid w:val="3A563FC1"/>
    <w:rsid w:val="3AAB3C48"/>
    <w:rsid w:val="3B0226E5"/>
    <w:rsid w:val="3B2732F2"/>
    <w:rsid w:val="3B365B13"/>
    <w:rsid w:val="3B407196"/>
    <w:rsid w:val="3B6C0E00"/>
    <w:rsid w:val="3B73443D"/>
    <w:rsid w:val="3C1C326E"/>
    <w:rsid w:val="3C9B34CE"/>
    <w:rsid w:val="3D1037AC"/>
    <w:rsid w:val="3D2441A7"/>
    <w:rsid w:val="3D2F3321"/>
    <w:rsid w:val="3D5578FF"/>
    <w:rsid w:val="3D924E3E"/>
    <w:rsid w:val="3E0529A7"/>
    <w:rsid w:val="3E44789A"/>
    <w:rsid w:val="3E614CE2"/>
    <w:rsid w:val="3E702C2C"/>
    <w:rsid w:val="3EBE3373"/>
    <w:rsid w:val="3ECE7A25"/>
    <w:rsid w:val="3F0B5CB4"/>
    <w:rsid w:val="3F2C52F0"/>
    <w:rsid w:val="3FAE26EB"/>
    <w:rsid w:val="3FB63989"/>
    <w:rsid w:val="400A22B3"/>
    <w:rsid w:val="407B787C"/>
    <w:rsid w:val="40FE4A6B"/>
    <w:rsid w:val="410455F8"/>
    <w:rsid w:val="412913B3"/>
    <w:rsid w:val="413F2208"/>
    <w:rsid w:val="42196DDF"/>
    <w:rsid w:val="421A1D78"/>
    <w:rsid w:val="42470697"/>
    <w:rsid w:val="42486FCB"/>
    <w:rsid w:val="424D246F"/>
    <w:rsid w:val="4254039B"/>
    <w:rsid w:val="42582607"/>
    <w:rsid w:val="428D386D"/>
    <w:rsid w:val="42C73003"/>
    <w:rsid w:val="42DC236B"/>
    <w:rsid w:val="430B1EA2"/>
    <w:rsid w:val="431C742A"/>
    <w:rsid w:val="439257F0"/>
    <w:rsid w:val="43A14668"/>
    <w:rsid w:val="43A242EA"/>
    <w:rsid w:val="43B361C0"/>
    <w:rsid w:val="44153F75"/>
    <w:rsid w:val="442422ED"/>
    <w:rsid w:val="44315D0E"/>
    <w:rsid w:val="44DA35C7"/>
    <w:rsid w:val="44FC5E43"/>
    <w:rsid w:val="45331274"/>
    <w:rsid w:val="453D5985"/>
    <w:rsid w:val="458911AC"/>
    <w:rsid w:val="458C71F1"/>
    <w:rsid w:val="45902270"/>
    <w:rsid w:val="45E02D1E"/>
    <w:rsid w:val="45E532CF"/>
    <w:rsid w:val="45EE38F9"/>
    <w:rsid w:val="461D0077"/>
    <w:rsid w:val="46241386"/>
    <w:rsid w:val="46573CAF"/>
    <w:rsid w:val="46A21315"/>
    <w:rsid w:val="46A31ED0"/>
    <w:rsid w:val="46BA58D8"/>
    <w:rsid w:val="46BB6628"/>
    <w:rsid w:val="46E87790"/>
    <w:rsid w:val="47643C7B"/>
    <w:rsid w:val="476D3550"/>
    <w:rsid w:val="478C3746"/>
    <w:rsid w:val="47E524E0"/>
    <w:rsid w:val="47F60B91"/>
    <w:rsid w:val="47F73673"/>
    <w:rsid w:val="480601DB"/>
    <w:rsid w:val="492406B9"/>
    <w:rsid w:val="49422E32"/>
    <w:rsid w:val="498F36CA"/>
    <w:rsid w:val="49F11DE2"/>
    <w:rsid w:val="4A235BFF"/>
    <w:rsid w:val="4A253068"/>
    <w:rsid w:val="4A71274F"/>
    <w:rsid w:val="4A7F30BC"/>
    <w:rsid w:val="4A977748"/>
    <w:rsid w:val="4AC76C4F"/>
    <w:rsid w:val="4B5D6199"/>
    <w:rsid w:val="4B6107AF"/>
    <w:rsid w:val="4B624D64"/>
    <w:rsid w:val="4B907299"/>
    <w:rsid w:val="4BFE1DC3"/>
    <w:rsid w:val="4C4B65A9"/>
    <w:rsid w:val="4C582E1C"/>
    <w:rsid w:val="4CC17DB9"/>
    <w:rsid w:val="4D7847DB"/>
    <w:rsid w:val="4D8545D5"/>
    <w:rsid w:val="4D917728"/>
    <w:rsid w:val="4DA5785B"/>
    <w:rsid w:val="4E2C1C98"/>
    <w:rsid w:val="4E705801"/>
    <w:rsid w:val="4E857A95"/>
    <w:rsid w:val="4EB32FAB"/>
    <w:rsid w:val="4EB83768"/>
    <w:rsid w:val="4F361873"/>
    <w:rsid w:val="4F712DB5"/>
    <w:rsid w:val="4FCC64EB"/>
    <w:rsid w:val="502D1505"/>
    <w:rsid w:val="50501542"/>
    <w:rsid w:val="50556BD9"/>
    <w:rsid w:val="507A71C3"/>
    <w:rsid w:val="51316887"/>
    <w:rsid w:val="51B82697"/>
    <w:rsid w:val="52233BB7"/>
    <w:rsid w:val="522C7020"/>
    <w:rsid w:val="52447115"/>
    <w:rsid w:val="524B5A4F"/>
    <w:rsid w:val="52D57040"/>
    <w:rsid w:val="52DE3784"/>
    <w:rsid w:val="52F23789"/>
    <w:rsid w:val="52FA7B7D"/>
    <w:rsid w:val="5306304F"/>
    <w:rsid w:val="531E277F"/>
    <w:rsid w:val="5335367D"/>
    <w:rsid w:val="5374613B"/>
    <w:rsid w:val="537617D2"/>
    <w:rsid w:val="537A5F69"/>
    <w:rsid w:val="53A54913"/>
    <w:rsid w:val="53C01368"/>
    <w:rsid w:val="53C637A4"/>
    <w:rsid w:val="53E43AF4"/>
    <w:rsid w:val="53F93F95"/>
    <w:rsid w:val="54037803"/>
    <w:rsid w:val="546772D8"/>
    <w:rsid w:val="546876C3"/>
    <w:rsid w:val="5495796A"/>
    <w:rsid w:val="54DF470C"/>
    <w:rsid w:val="551A3848"/>
    <w:rsid w:val="556C2528"/>
    <w:rsid w:val="556E0DAD"/>
    <w:rsid w:val="557F2C14"/>
    <w:rsid w:val="558E4CFF"/>
    <w:rsid w:val="55BF4163"/>
    <w:rsid w:val="562C6014"/>
    <w:rsid w:val="563E0835"/>
    <w:rsid w:val="564938B9"/>
    <w:rsid w:val="567C4300"/>
    <w:rsid w:val="56C907A9"/>
    <w:rsid w:val="56E541F9"/>
    <w:rsid w:val="56E74BD2"/>
    <w:rsid w:val="57256D9D"/>
    <w:rsid w:val="581A42F7"/>
    <w:rsid w:val="58612945"/>
    <w:rsid w:val="58886B28"/>
    <w:rsid w:val="58C07D7B"/>
    <w:rsid w:val="59154BEF"/>
    <w:rsid w:val="59254EBA"/>
    <w:rsid w:val="59266DFD"/>
    <w:rsid w:val="59465F32"/>
    <w:rsid w:val="598633F7"/>
    <w:rsid w:val="59870090"/>
    <w:rsid w:val="5992781E"/>
    <w:rsid w:val="59CC1752"/>
    <w:rsid w:val="59FD190B"/>
    <w:rsid w:val="5AA03AB8"/>
    <w:rsid w:val="5B0F69FF"/>
    <w:rsid w:val="5B4104F6"/>
    <w:rsid w:val="5BA5289C"/>
    <w:rsid w:val="5BB00A38"/>
    <w:rsid w:val="5BD13460"/>
    <w:rsid w:val="5BD448EE"/>
    <w:rsid w:val="5BE35900"/>
    <w:rsid w:val="5BF07652"/>
    <w:rsid w:val="5C760D2C"/>
    <w:rsid w:val="5C961BA3"/>
    <w:rsid w:val="5CB9024A"/>
    <w:rsid w:val="5CD079AF"/>
    <w:rsid w:val="5CE14FD6"/>
    <w:rsid w:val="5D2B228A"/>
    <w:rsid w:val="5D941B94"/>
    <w:rsid w:val="5D9B14E3"/>
    <w:rsid w:val="5DA1700F"/>
    <w:rsid w:val="5DCF2F7A"/>
    <w:rsid w:val="5DFC012C"/>
    <w:rsid w:val="5E404B80"/>
    <w:rsid w:val="5E431BF9"/>
    <w:rsid w:val="5E8369F8"/>
    <w:rsid w:val="5F1576F7"/>
    <w:rsid w:val="5F4A7286"/>
    <w:rsid w:val="5F55078D"/>
    <w:rsid w:val="5F950838"/>
    <w:rsid w:val="5F9B3732"/>
    <w:rsid w:val="5FB23D44"/>
    <w:rsid w:val="5FE72AD7"/>
    <w:rsid w:val="60236AFD"/>
    <w:rsid w:val="609D0D91"/>
    <w:rsid w:val="60A71AB0"/>
    <w:rsid w:val="60B979CF"/>
    <w:rsid w:val="60CE7B5E"/>
    <w:rsid w:val="60D360FA"/>
    <w:rsid w:val="610C4CFA"/>
    <w:rsid w:val="617C19B7"/>
    <w:rsid w:val="618C769B"/>
    <w:rsid w:val="61A92A12"/>
    <w:rsid w:val="61B52ACC"/>
    <w:rsid w:val="62943D5E"/>
    <w:rsid w:val="62A36648"/>
    <w:rsid w:val="62C43E0A"/>
    <w:rsid w:val="62C96A53"/>
    <w:rsid w:val="62D00F0C"/>
    <w:rsid w:val="62E76825"/>
    <w:rsid w:val="6308085A"/>
    <w:rsid w:val="631D29BD"/>
    <w:rsid w:val="633657AF"/>
    <w:rsid w:val="63545317"/>
    <w:rsid w:val="63C215AA"/>
    <w:rsid w:val="64122457"/>
    <w:rsid w:val="641727BB"/>
    <w:rsid w:val="641C6E32"/>
    <w:rsid w:val="64AE324D"/>
    <w:rsid w:val="65255D4F"/>
    <w:rsid w:val="656A5E0D"/>
    <w:rsid w:val="657B11CD"/>
    <w:rsid w:val="658406C7"/>
    <w:rsid w:val="65C15EE3"/>
    <w:rsid w:val="66405755"/>
    <w:rsid w:val="66A236C2"/>
    <w:rsid w:val="66AA2EA6"/>
    <w:rsid w:val="66B23126"/>
    <w:rsid w:val="6711345A"/>
    <w:rsid w:val="675E7762"/>
    <w:rsid w:val="6802621D"/>
    <w:rsid w:val="687F1367"/>
    <w:rsid w:val="68B83031"/>
    <w:rsid w:val="68CF45AF"/>
    <w:rsid w:val="694B21B9"/>
    <w:rsid w:val="695F5FF7"/>
    <w:rsid w:val="69A03790"/>
    <w:rsid w:val="69B0692E"/>
    <w:rsid w:val="69C96AEC"/>
    <w:rsid w:val="6A031450"/>
    <w:rsid w:val="6A044069"/>
    <w:rsid w:val="6A2D7FEB"/>
    <w:rsid w:val="6A374C7D"/>
    <w:rsid w:val="6ABC2401"/>
    <w:rsid w:val="6BA42A0E"/>
    <w:rsid w:val="6BBB033E"/>
    <w:rsid w:val="6BC6036C"/>
    <w:rsid w:val="6BD81F61"/>
    <w:rsid w:val="6BE31224"/>
    <w:rsid w:val="6C325783"/>
    <w:rsid w:val="6C4877AE"/>
    <w:rsid w:val="6C4B29AA"/>
    <w:rsid w:val="6CD206FF"/>
    <w:rsid w:val="6D2D3E5E"/>
    <w:rsid w:val="6D58035D"/>
    <w:rsid w:val="6D623B4B"/>
    <w:rsid w:val="6E1D75A0"/>
    <w:rsid w:val="6E90142A"/>
    <w:rsid w:val="6EE848B2"/>
    <w:rsid w:val="6EF14556"/>
    <w:rsid w:val="6EF16FA6"/>
    <w:rsid w:val="6F35373C"/>
    <w:rsid w:val="6F700FB0"/>
    <w:rsid w:val="6F8E6027"/>
    <w:rsid w:val="703B19BD"/>
    <w:rsid w:val="704B1EF7"/>
    <w:rsid w:val="70536956"/>
    <w:rsid w:val="70D144B9"/>
    <w:rsid w:val="70E64F62"/>
    <w:rsid w:val="71247CD8"/>
    <w:rsid w:val="712F200C"/>
    <w:rsid w:val="714C335C"/>
    <w:rsid w:val="71851022"/>
    <w:rsid w:val="71AE518F"/>
    <w:rsid w:val="71C33F7F"/>
    <w:rsid w:val="71D90F33"/>
    <w:rsid w:val="725833BF"/>
    <w:rsid w:val="726F7452"/>
    <w:rsid w:val="7271087F"/>
    <w:rsid w:val="729D2F29"/>
    <w:rsid w:val="72B17A5F"/>
    <w:rsid w:val="73203DF6"/>
    <w:rsid w:val="73502676"/>
    <w:rsid w:val="736D76AA"/>
    <w:rsid w:val="739B6425"/>
    <w:rsid w:val="73F6597E"/>
    <w:rsid w:val="745C7348"/>
    <w:rsid w:val="74616F16"/>
    <w:rsid w:val="746B346A"/>
    <w:rsid w:val="746C2597"/>
    <w:rsid w:val="748F53FE"/>
    <w:rsid w:val="74BA14F0"/>
    <w:rsid w:val="74C54EC2"/>
    <w:rsid w:val="74FB761D"/>
    <w:rsid w:val="750A7951"/>
    <w:rsid w:val="753A7BC5"/>
    <w:rsid w:val="7548026C"/>
    <w:rsid w:val="754A7064"/>
    <w:rsid w:val="757A7E5C"/>
    <w:rsid w:val="758962F1"/>
    <w:rsid w:val="75D24941"/>
    <w:rsid w:val="76056631"/>
    <w:rsid w:val="761A17D3"/>
    <w:rsid w:val="76223555"/>
    <w:rsid w:val="76597F55"/>
    <w:rsid w:val="76900D15"/>
    <w:rsid w:val="76BA3D3B"/>
    <w:rsid w:val="76BD6F5B"/>
    <w:rsid w:val="770E47C2"/>
    <w:rsid w:val="77356731"/>
    <w:rsid w:val="774122F4"/>
    <w:rsid w:val="774B1AB0"/>
    <w:rsid w:val="7753216C"/>
    <w:rsid w:val="77684BC7"/>
    <w:rsid w:val="779D2FE5"/>
    <w:rsid w:val="78232A2D"/>
    <w:rsid w:val="783C484E"/>
    <w:rsid w:val="78583582"/>
    <w:rsid w:val="785D4155"/>
    <w:rsid w:val="78730EE9"/>
    <w:rsid w:val="789C56AB"/>
    <w:rsid w:val="789F19A6"/>
    <w:rsid w:val="78D5378B"/>
    <w:rsid w:val="79075E27"/>
    <w:rsid w:val="7931117A"/>
    <w:rsid w:val="7966477A"/>
    <w:rsid w:val="79BF1E65"/>
    <w:rsid w:val="7A276FAC"/>
    <w:rsid w:val="7A6B08D1"/>
    <w:rsid w:val="7A85352B"/>
    <w:rsid w:val="7AAF505E"/>
    <w:rsid w:val="7AB8735B"/>
    <w:rsid w:val="7B461839"/>
    <w:rsid w:val="7B4A235B"/>
    <w:rsid w:val="7B4F58E7"/>
    <w:rsid w:val="7BA55DC6"/>
    <w:rsid w:val="7BDB36D3"/>
    <w:rsid w:val="7C05223E"/>
    <w:rsid w:val="7C207A72"/>
    <w:rsid w:val="7CAA4D9F"/>
    <w:rsid w:val="7CF10A8B"/>
    <w:rsid w:val="7CF95B0B"/>
    <w:rsid w:val="7D106983"/>
    <w:rsid w:val="7D4B48DE"/>
    <w:rsid w:val="7DBC3708"/>
    <w:rsid w:val="7DC169BF"/>
    <w:rsid w:val="7DD633BF"/>
    <w:rsid w:val="7E0B20A3"/>
    <w:rsid w:val="7E2B2C36"/>
    <w:rsid w:val="7E3E5DFF"/>
    <w:rsid w:val="7E6D5049"/>
    <w:rsid w:val="7E7F7EB6"/>
    <w:rsid w:val="7EB73E9A"/>
    <w:rsid w:val="7EB97C47"/>
    <w:rsid w:val="7EC56B4A"/>
    <w:rsid w:val="7ED42958"/>
    <w:rsid w:val="7F0B3A8B"/>
    <w:rsid w:val="7F0B44E9"/>
    <w:rsid w:val="7F2A28D2"/>
    <w:rsid w:val="7F713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qFormat/>
    <w:uiPriority w:val="0"/>
    <w:pPr>
      <w:keepNext/>
      <w:spacing w:line="460" w:lineRule="exact"/>
      <w:outlineLvl w:val="2"/>
    </w:pPr>
    <w:rPr>
      <w:rFonts w:ascii="宋体" w:hAnsi="宋体"/>
      <w:b/>
      <w:bCs/>
      <w:sz w:val="30"/>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3">
    <w:name w:val="Default Paragraph Font"/>
    <w:link w:val="24"/>
    <w:semiHidden/>
    <w:qFormat/>
    <w:uiPriority w:val="0"/>
    <w:rPr>
      <w:rFonts w:ascii="Tahoma" w:hAnsi="Tahoma" w:cs="仿宋_GB2312"/>
      <w:sz w:val="24"/>
      <w:szCs w:val="28"/>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00" w:afterAutospacing="1"/>
      <w:ind w:left="102"/>
    </w:pPr>
    <w:rPr>
      <w:rFonts w:ascii="宋体" w:hAnsi="宋体" w:cs="宋体"/>
      <w:szCs w:val="21"/>
    </w:rPr>
  </w:style>
  <w:style w:type="paragraph" w:styleId="3">
    <w:name w:val="Date"/>
    <w:basedOn w:val="1"/>
    <w:next w:val="1"/>
    <w:qFormat/>
    <w:uiPriority w:val="0"/>
    <w:rPr>
      <w:color w:val="000000"/>
      <w:kern w:val="0"/>
      <w:sz w:val="30"/>
    </w:rPr>
  </w:style>
  <w:style w:type="paragraph" w:styleId="8">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9">
    <w:name w:val="index 5"/>
    <w:basedOn w:val="1"/>
    <w:next w:val="1"/>
    <w:semiHidden/>
    <w:qFormat/>
    <w:uiPriority w:val="0"/>
    <w:pPr>
      <w:ind w:left="800" w:leftChars="800"/>
    </w:pPr>
    <w:rPr>
      <w:szCs w:val="24"/>
    </w:rPr>
  </w:style>
  <w:style w:type="paragraph" w:styleId="10">
    <w:name w:val="toa heading"/>
    <w:basedOn w:val="1"/>
    <w:next w:val="1"/>
    <w:qFormat/>
    <w:uiPriority w:val="0"/>
    <w:pPr>
      <w:widowControl/>
      <w:autoSpaceDE/>
      <w:autoSpaceDN/>
      <w:spacing w:before="120" w:after="0" w:line="240" w:lineRule="auto"/>
      <w:ind w:left="0" w:firstLine="3584"/>
    </w:pPr>
  </w:style>
  <w:style w:type="paragraph" w:styleId="11">
    <w:name w:val="annotation text"/>
    <w:basedOn w:val="1"/>
    <w:qFormat/>
    <w:uiPriority w:val="0"/>
    <w:pPr>
      <w:jc w:val="left"/>
    </w:pPr>
    <w:rPr>
      <w:szCs w:val="24"/>
    </w:rPr>
  </w:style>
  <w:style w:type="paragraph" w:styleId="12">
    <w:name w:val="Body Text Indent"/>
    <w:basedOn w:val="1"/>
    <w:next w:val="7"/>
    <w:qFormat/>
    <w:uiPriority w:val="0"/>
    <w:pPr>
      <w:ind w:firstLine="570"/>
    </w:pPr>
    <w:rPr>
      <w:rFonts w:ascii="宋体" w:hAnsi="宋体"/>
      <w:sz w:val="28"/>
      <w:szCs w:val="20"/>
    </w:rPr>
  </w:style>
  <w:style w:type="paragraph" w:styleId="13">
    <w:name w:val="toc 3"/>
    <w:basedOn w:val="1"/>
    <w:next w:val="1"/>
    <w:qFormat/>
    <w:uiPriority w:val="39"/>
    <w:pPr>
      <w:ind w:left="420"/>
      <w:jc w:val="left"/>
    </w:pPr>
    <w:rPr>
      <w:i/>
      <w:iCs/>
    </w:rPr>
  </w:style>
  <w:style w:type="paragraph" w:styleId="14">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15">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6">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7">
    <w:name w:val="footnote text"/>
    <w:basedOn w:val="1"/>
    <w:next w:val="9"/>
    <w:qFormat/>
    <w:uiPriority w:val="0"/>
    <w:pPr>
      <w:snapToGrid w:val="0"/>
      <w:jc w:val="left"/>
    </w:pPr>
    <w:rPr>
      <w:sz w:val="18"/>
    </w:rPr>
  </w:style>
  <w:style w:type="paragraph" w:styleId="18">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9">
    <w:name w:val="Body Text First Indent"/>
    <w:basedOn w:val="2"/>
    <w:qFormat/>
    <w:uiPriority w:val="0"/>
    <w:pPr>
      <w:autoSpaceDE w:val="0"/>
      <w:autoSpaceDN w:val="0"/>
      <w:adjustRightInd w:val="0"/>
      <w:spacing w:after="120" w:line="312" w:lineRule="atLeast"/>
      <w:ind w:firstLine="420"/>
    </w:pPr>
    <w:rPr>
      <w:rFonts w:ascii="宋体"/>
      <w:kern w:val="0"/>
    </w:rPr>
  </w:style>
  <w:style w:type="paragraph" w:styleId="20">
    <w:name w:val="Body Text First Indent 2"/>
    <w:basedOn w:val="12"/>
    <w:next w:val="1"/>
    <w:qFormat/>
    <w:uiPriority w:val="99"/>
    <w:pPr>
      <w:spacing w:after="120" w:line="312" w:lineRule="auto"/>
      <w:ind w:left="420" w:leftChars="200" w:firstLine="420"/>
      <w:jc w:val="both"/>
    </w:pPr>
    <w:rPr>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Char"/>
    <w:basedOn w:val="1"/>
    <w:link w:val="23"/>
    <w:qFormat/>
    <w:uiPriority w:val="0"/>
    <w:rPr>
      <w:rFonts w:ascii="Tahoma" w:hAnsi="Tahoma" w:cs="仿宋_GB2312"/>
      <w:sz w:val="24"/>
      <w:szCs w:val="28"/>
    </w:rPr>
  </w:style>
  <w:style w:type="character" w:styleId="25">
    <w:name w:val="Strong"/>
    <w:basedOn w:val="23"/>
    <w:qFormat/>
    <w:uiPriority w:val="0"/>
    <w:rPr>
      <w:b/>
    </w:rPr>
  </w:style>
  <w:style w:type="character" w:styleId="26">
    <w:name w:val="page number"/>
    <w:basedOn w:val="23"/>
    <w:qFormat/>
    <w:uiPriority w:val="0"/>
    <w:rPr>
      <w:rFonts w:ascii="宋体" w:hAnsi="宋体" w:eastAsia="Times New Roman"/>
      <w:spacing w:val="0"/>
      <w:kern w:val="18"/>
      <w:position w:val="0"/>
      <w:sz w:val="18"/>
      <w:szCs w:val="18"/>
    </w:rPr>
  </w:style>
  <w:style w:type="character" w:styleId="27">
    <w:name w:val="Hyperlink"/>
    <w:basedOn w:val="23"/>
    <w:qFormat/>
    <w:uiPriority w:val="99"/>
    <w:rPr>
      <w:color w:val="0000FF"/>
      <w:u w:val="single"/>
    </w:rPr>
  </w:style>
  <w:style w:type="character" w:styleId="28">
    <w:name w:val="HTML Sample"/>
    <w:basedOn w:val="23"/>
    <w:qFormat/>
    <w:uiPriority w:val="0"/>
    <w:rPr>
      <w:rFonts w:ascii="Courier New" w:hAnsi="Courier New"/>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表名称"/>
    <w:basedOn w:val="8"/>
    <w:qFormat/>
    <w:uiPriority w:val="0"/>
    <w:pPr>
      <w:numPr>
        <w:ilvl w:val="0"/>
        <w:numId w:val="1"/>
      </w:numPr>
      <w:ind w:firstLine="0" w:firstLineChars="0"/>
      <w:jc w:val="center"/>
    </w:pPr>
  </w:style>
  <w:style w:type="character" w:customStyle="1" w:styleId="31">
    <w:name w:val="font131"/>
    <w:basedOn w:val="23"/>
    <w:qFormat/>
    <w:uiPriority w:val="99"/>
    <w:rPr>
      <w:rFonts w:ascii="宋体" w:hAnsi="宋体" w:eastAsia="宋体" w:cs="宋体"/>
      <w:color w:val="000000"/>
      <w:sz w:val="20"/>
      <w:szCs w:val="20"/>
      <w:u w:val="none"/>
    </w:rPr>
  </w:style>
  <w:style w:type="paragraph" w:styleId="32">
    <w:name w:val="List Paragraph"/>
    <w:basedOn w:val="1"/>
    <w:qFormat/>
    <w:uiPriority w:val="99"/>
    <w:pPr>
      <w:ind w:firstLine="420" w:firstLineChars="200"/>
    </w:pPr>
  </w:style>
  <w:style w:type="character" w:customStyle="1" w:styleId="33">
    <w:name w:val="font181"/>
    <w:basedOn w:val="23"/>
    <w:qFormat/>
    <w:uiPriority w:val="99"/>
    <w:rPr>
      <w:rFonts w:ascii="宋体" w:hAnsi="宋体" w:eastAsia="宋体" w:cs="宋体"/>
      <w:color w:val="000000"/>
      <w:sz w:val="18"/>
      <w:szCs w:val="18"/>
      <w:u w:val="none"/>
    </w:rPr>
  </w:style>
  <w:style w:type="paragraph" w:customStyle="1" w:styleId="3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5">
    <w:name w:val="样式 小四 段前: 5 磅 段后: 5 磅 首行缩进:  2 字符"/>
    <w:basedOn w:val="1"/>
    <w:qFormat/>
    <w:uiPriority w:val="0"/>
    <w:pPr>
      <w:spacing w:line="400" w:lineRule="exact"/>
    </w:pPr>
    <w:rPr>
      <w:rFonts w:ascii="宋体" w:hAnsi="宋体"/>
      <w:sz w:val="24"/>
    </w:rPr>
  </w:style>
  <w:style w:type="paragraph" w:customStyle="1" w:styleId="3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8">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character" w:customStyle="1" w:styleId="39">
    <w:name w:val="页脚2 Char"/>
    <w:basedOn w:val="23"/>
    <w:qFormat/>
    <w:uiPriority w:val="0"/>
    <w:rPr>
      <w:rFonts w:ascii="宋体" w:hAnsi="宋体" w:eastAsia="宋体"/>
      <w:sz w:val="18"/>
      <w:szCs w:val="18"/>
      <w:lang w:val="en-US" w:eastAsia="zh-CN" w:bidi="ar-SA"/>
    </w:rPr>
  </w:style>
  <w:style w:type="paragraph" w:customStyle="1" w:styleId="40">
    <w:name w:val="列表段落2"/>
    <w:basedOn w:val="1"/>
    <w:qFormat/>
    <w:uiPriority w:val="99"/>
    <w:pPr>
      <w:ind w:firstLine="420" w:firstLineChars="200"/>
    </w:pPr>
    <w:rPr>
      <w:rFonts w:ascii="Times New Roman" w:hAnsi="Times New Roman"/>
    </w:rPr>
  </w:style>
  <w:style w:type="character" w:customStyle="1" w:styleId="41">
    <w:name w:val="font41"/>
    <w:qFormat/>
    <w:uiPriority w:val="0"/>
    <w:rPr>
      <w:rFonts w:hint="eastAsia" w:ascii="宋体" w:hAnsi="宋体" w:eastAsia="宋体" w:cs="宋体"/>
      <w:color w:val="000000"/>
      <w:sz w:val="22"/>
      <w:szCs w:val="22"/>
      <w:u w:val="none"/>
    </w:rPr>
  </w:style>
  <w:style w:type="paragraph" w:customStyle="1" w:styleId="42">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3">
    <w:name w:val="列表段落1"/>
    <w:basedOn w:val="1"/>
    <w:qFormat/>
    <w:uiPriority w:val="34"/>
    <w:pPr>
      <w:ind w:firstLine="420" w:firstLineChars="200"/>
    </w:pPr>
  </w:style>
  <w:style w:type="paragraph" w:customStyle="1" w:styleId="44">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首行缩进"/>
    <w:basedOn w:val="1"/>
    <w:qFormat/>
    <w:uiPriority w:val="0"/>
    <w:pPr>
      <w:ind w:firstLine="480" w:firstLineChars="200"/>
    </w:pPr>
    <w:rPr>
      <w:lang w:val="zh-CN"/>
    </w:rPr>
  </w:style>
  <w:style w:type="paragraph" w:customStyle="1" w:styleId="47">
    <w:name w:val="È±Ê¡ÎÄ±¾"/>
    <w:basedOn w:val="1"/>
    <w:qFormat/>
    <w:uiPriority w:val="0"/>
    <w:pPr>
      <w:widowControl/>
      <w:overflowPunct w:val="0"/>
      <w:autoSpaceDE w:val="0"/>
      <w:autoSpaceDN w:val="0"/>
      <w:adjustRightInd w:val="0"/>
      <w:jc w:val="left"/>
    </w:pPr>
    <w:rPr>
      <w:kern w:val="0"/>
      <w:sz w:val="24"/>
    </w:rPr>
  </w:style>
  <w:style w:type="character" w:customStyle="1" w:styleId="48">
    <w:name w:val="font51"/>
    <w:basedOn w:val="23"/>
    <w:qFormat/>
    <w:uiPriority w:val="0"/>
    <w:rPr>
      <w:rFonts w:hint="eastAsia" w:ascii="宋体" w:hAnsi="宋体" w:eastAsia="宋体" w:cs="宋体"/>
      <w:color w:val="000000"/>
      <w:sz w:val="20"/>
      <w:szCs w:val="20"/>
      <w:u w:val="none"/>
    </w:rPr>
  </w:style>
  <w:style w:type="character" w:customStyle="1" w:styleId="49">
    <w:name w:val="font21"/>
    <w:basedOn w:val="23"/>
    <w:qFormat/>
    <w:uiPriority w:val="0"/>
    <w:rPr>
      <w:rFonts w:hint="default" w:ascii="Times New Roman" w:hAnsi="Times New Roman" w:cs="Times New Roman"/>
      <w:color w:val="000000"/>
      <w:sz w:val="20"/>
      <w:szCs w:val="20"/>
      <w:u w:val="none"/>
    </w:r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71"/>
    <w:basedOn w:val="23"/>
    <w:qFormat/>
    <w:uiPriority w:val="0"/>
    <w:rPr>
      <w:rFonts w:ascii="Arial" w:hAnsi="Arial" w:cs="Arial"/>
      <w:color w:val="000000"/>
      <w:sz w:val="20"/>
      <w:szCs w:val="20"/>
      <w:u w:val="none"/>
    </w:rPr>
  </w:style>
  <w:style w:type="character" w:customStyle="1" w:styleId="52">
    <w:name w:val="NormalCharacter"/>
    <w:semiHidden/>
    <w:qFormat/>
    <w:uiPriority w:val="0"/>
  </w:style>
  <w:style w:type="character" w:customStyle="1" w:styleId="53">
    <w:name w:val="font01"/>
    <w:basedOn w:val="23"/>
    <w:qFormat/>
    <w:uiPriority w:val="0"/>
    <w:rPr>
      <w:rFonts w:hint="eastAsia" w:ascii="宋体" w:hAnsi="宋体" w:eastAsia="宋体" w:cs="宋体"/>
      <w:color w:val="000000"/>
      <w:sz w:val="22"/>
      <w:szCs w:val="22"/>
      <w:u w:val="none"/>
    </w:rPr>
  </w:style>
  <w:style w:type="character" w:customStyle="1" w:styleId="54">
    <w:name w:val="font31"/>
    <w:basedOn w:val="23"/>
    <w:qFormat/>
    <w:uiPriority w:val="0"/>
    <w:rPr>
      <w:rFonts w:ascii="Calibri" w:hAnsi="Calibri" w:cs="Calibri"/>
      <w:color w:val="000000"/>
      <w:sz w:val="22"/>
      <w:szCs w:val="22"/>
      <w:u w:val="none"/>
    </w:rPr>
  </w:style>
  <w:style w:type="paragraph" w:customStyle="1" w:styleId="55">
    <w:name w:val="正文缩进1"/>
    <w:basedOn w:val="1"/>
    <w:qFormat/>
    <w:uiPriority w:val="0"/>
    <w:pPr>
      <w:autoSpaceDE w:val="0"/>
      <w:autoSpaceDN w:val="0"/>
      <w:adjustRightInd w:val="0"/>
      <w:ind w:firstLine="420"/>
      <w:jc w:val="left"/>
    </w:pPr>
    <w:rPr>
      <w:rFonts w:ascii="宋体"/>
      <w:kern w:val="0"/>
      <w:sz w:val="24"/>
    </w:rPr>
  </w:style>
  <w:style w:type="paragraph" w:customStyle="1" w:styleId="56">
    <w:name w:val="索引 11"/>
    <w:basedOn w:val="1"/>
    <w:next w:val="1"/>
    <w:qFormat/>
    <w:uiPriority w:val="0"/>
    <w:pPr>
      <w:spacing w:line="360" w:lineRule="auto"/>
    </w:pPr>
    <w:rPr>
      <w:rFonts w:ascii="仿宋_GB2312" w:eastAsia="仿宋_GB2312"/>
      <w:sz w:val="24"/>
    </w:rPr>
  </w:style>
  <w:style w:type="paragraph" w:customStyle="1" w:styleId="57">
    <w:name w:val="纯文本1"/>
    <w:basedOn w:val="1"/>
    <w:qFormat/>
    <w:uiPriority w:val="0"/>
    <w:rPr>
      <w:rFonts w:ascii="宋体" w:hAnsi="Courier New"/>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25308</Words>
  <Characters>26362</Characters>
  <Lines>0</Lines>
  <Paragraphs>0</Paragraphs>
  <TotalTime>7</TotalTime>
  <ScaleCrop>false</ScaleCrop>
  <LinksUpToDate>false</LinksUpToDate>
  <CharactersWithSpaces>28284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 </cp:lastModifiedBy>
  <cp:lastPrinted>2022-05-27T11:59:00Z</cp:lastPrinted>
  <dcterms:modified xsi:type="dcterms:W3CDTF">2022-06-07T04:31:07Z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D4F3EFC087C9443D86A2F4556A841540</vt:lpwstr>
  </property>
</Properties>
</file>