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23" w:firstLineChars="200"/>
        <w:jc w:val="center"/>
        <w:outlineLvl w:val="0"/>
        <w:rPr>
          <w:rFonts w:ascii="Arial" w:hAnsi="Arial" w:eastAsia="宋体" w:cs="Times New Roman"/>
          <w:b/>
          <w:sz w:val="36"/>
        </w:rPr>
      </w:pPr>
      <w:r>
        <w:rPr>
          <w:rFonts w:hint="eastAsia" w:ascii="Arial" w:hAnsi="Arial" w:eastAsia="宋体" w:cs="Times New Roman"/>
          <w:b/>
          <w:sz w:val="36"/>
        </w:rPr>
        <w:t>竞争性磋商公告</w:t>
      </w:r>
    </w:p>
    <w:p>
      <w:pPr>
        <w:spacing w:line="360" w:lineRule="auto"/>
        <w:ind w:firstLine="482" w:firstLineChars="200"/>
        <w:contextualSpacing/>
        <w:jc w:val="center"/>
        <w:outlineLvl w:val="9"/>
        <w:rPr>
          <w:rFonts w:ascii="宋体" w:hAnsi="宋体" w:eastAsia="宋体" w:cs="Times New Roman"/>
          <w:b/>
          <w:bCs/>
          <w:sz w:val="24"/>
        </w:rPr>
      </w:pPr>
    </w:p>
    <w:tbl>
      <w:tblPr>
        <w:tblStyle w:val="5"/>
        <w:tblW w:w="8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1" w:hRule="atLeast"/>
          <w:jc w:val="center"/>
        </w:trPr>
        <w:tc>
          <w:tcPr>
            <w:tcW w:w="8781" w:type="dxa"/>
          </w:tcPr>
          <w:p>
            <w:pPr>
              <w:widowControl/>
              <w:spacing w:line="360" w:lineRule="auto"/>
              <w:ind w:firstLine="482" w:firstLineChars="200"/>
              <w:contextualSpacing/>
              <w:rPr>
                <w:rFonts w:ascii="宋体" w:hAnsi="宋体" w:eastAsia="宋体" w:cs="宋体"/>
                <w:kern w:val="0"/>
                <w:sz w:val="24"/>
                <w:szCs w:val="24"/>
              </w:rPr>
            </w:pPr>
            <w:r>
              <w:rPr>
                <w:rFonts w:hint="eastAsia" w:ascii="宋体" w:hAnsi="宋体" w:eastAsia="宋体" w:cs="宋体"/>
                <w:b/>
                <w:bCs/>
                <w:kern w:val="0"/>
                <w:sz w:val="24"/>
                <w:szCs w:val="24"/>
              </w:rPr>
              <w:t>项目概况</w:t>
            </w:r>
          </w:p>
          <w:p>
            <w:pPr>
              <w:widowControl/>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宋体" w:hAnsi="宋体" w:eastAsia="宋体" w:cs="宋体"/>
                <w:kern w:val="0"/>
                <w:sz w:val="24"/>
                <w:szCs w:val="24"/>
                <w:lang w:eastAsia="zh-CN"/>
              </w:rPr>
              <w:t>天东林管局哈密分局2022年度管护所站煤改电项目（EPC总承包）二次采购项目的潜在供应商应在新疆飞腾达工程项目管理咨询有限公司（哈密市伊州区百花路红星名筑21楼）获取采购文件，并于2022年06月20日 1</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lang w:eastAsia="zh-CN"/>
              </w:rPr>
              <w:t>0（北京时间）前提交响应文件。</w:t>
            </w:r>
          </w:p>
        </w:tc>
      </w:tr>
    </w:tbl>
    <w:p>
      <w:pPr>
        <w:widowControl/>
        <w:spacing w:line="360" w:lineRule="auto"/>
        <w:ind w:firstLine="482" w:firstLineChars="200"/>
        <w:contextualSpacing/>
        <w:rPr>
          <w:rFonts w:ascii="宋体" w:hAnsi="宋体" w:eastAsia="宋体" w:cs="Times New Roman"/>
          <w:sz w:val="24"/>
        </w:rPr>
      </w:pPr>
      <w:r>
        <w:rPr>
          <w:rFonts w:hint="eastAsia" w:ascii="宋体" w:hAnsi="宋体" w:eastAsia="宋体" w:cs="Times New Roman"/>
          <w:b/>
          <w:bCs/>
          <w:kern w:val="0"/>
          <w:sz w:val="24"/>
        </w:rPr>
        <w:t>一、项目基本情况</w:t>
      </w:r>
    </w:p>
    <w:p>
      <w:pPr>
        <w:widowControl/>
        <w:spacing w:line="360" w:lineRule="auto"/>
        <w:ind w:firstLine="480" w:firstLineChars="200"/>
        <w:contextualSpacing/>
        <w:rPr>
          <w:rFonts w:hint="eastAsia" w:ascii="宋体" w:hAnsi="宋体" w:eastAsia="宋体" w:cs="宋体"/>
          <w:kern w:val="0"/>
          <w:sz w:val="24"/>
          <w:szCs w:val="24"/>
          <w:lang w:eastAsia="zh-CN"/>
        </w:rPr>
      </w:pPr>
      <w:r>
        <w:rPr>
          <w:rFonts w:hint="eastAsia" w:ascii="宋体" w:hAnsi="宋体" w:eastAsia="宋体" w:cs="宋体"/>
          <w:kern w:val="0"/>
          <w:sz w:val="24"/>
          <w:szCs w:val="24"/>
        </w:rPr>
        <w:t>项目编号：</w:t>
      </w:r>
      <w:r>
        <w:rPr>
          <w:rFonts w:hint="eastAsia" w:ascii="宋体" w:hAnsi="宋体" w:eastAsia="宋体" w:cs="宋体"/>
          <w:kern w:val="0"/>
          <w:sz w:val="24"/>
          <w:szCs w:val="24"/>
          <w:lang w:eastAsia="zh-CN"/>
        </w:rPr>
        <w:t>FTDZX-018</w:t>
      </w:r>
    </w:p>
    <w:p>
      <w:pPr>
        <w:widowControl/>
        <w:spacing w:line="360" w:lineRule="auto"/>
        <w:ind w:firstLine="480" w:firstLineChars="200"/>
        <w:contextualSpacing/>
        <w:rPr>
          <w:rFonts w:hint="eastAsia" w:ascii="宋体" w:hAnsi="宋体" w:eastAsia="宋体" w:cs="宋体"/>
          <w:kern w:val="0"/>
          <w:sz w:val="24"/>
          <w:szCs w:val="24"/>
          <w:lang w:eastAsia="zh-CN"/>
        </w:rPr>
      </w:pPr>
      <w:r>
        <w:rPr>
          <w:rFonts w:hint="eastAsia" w:ascii="宋体" w:hAnsi="宋体" w:eastAsia="宋体" w:cs="宋体"/>
          <w:kern w:val="0"/>
          <w:sz w:val="24"/>
          <w:szCs w:val="24"/>
        </w:rPr>
        <w:t>项目名称：</w:t>
      </w:r>
      <w:r>
        <w:rPr>
          <w:rFonts w:hint="eastAsia" w:ascii="宋体" w:hAnsi="宋体" w:eastAsia="宋体" w:cs="宋体"/>
          <w:kern w:val="0"/>
          <w:sz w:val="24"/>
          <w:szCs w:val="24"/>
          <w:lang w:eastAsia="zh-CN"/>
        </w:rPr>
        <w:t>天东林管局哈密分局2022年度管护所站煤改电项目（EPC总承包）二次</w:t>
      </w:r>
    </w:p>
    <w:p>
      <w:pPr>
        <w:spacing w:line="360" w:lineRule="auto"/>
        <w:ind w:firstLine="480" w:firstLineChars="200"/>
        <w:contextualSpacing/>
        <w:rPr>
          <w:rFonts w:ascii="宋体" w:hAnsi="宋体" w:eastAsia="宋体" w:cs="Times New Roman"/>
          <w:kern w:val="0"/>
          <w:sz w:val="24"/>
        </w:rPr>
      </w:pPr>
      <w:r>
        <w:rPr>
          <w:rFonts w:hint="eastAsia" w:ascii="宋体" w:hAnsi="宋体" w:eastAsia="宋体" w:cs="Times New Roman"/>
          <w:kern w:val="0"/>
          <w:sz w:val="24"/>
        </w:rPr>
        <w:t>采购方式：竞争性磋商</w:t>
      </w:r>
    </w:p>
    <w:p>
      <w:pPr>
        <w:spacing w:line="360" w:lineRule="auto"/>
        <w:ind w:firstLine="480" w:firstLineChars="200"/>
        <w:contextualSpacing/>
        <w:rPr>
          <w:rFonts w:hint="eastAsia" w:ascii="宋体" w:hAnsi="宋体" w:eastAsia="宋体" w:cs="Times New Roman"/>
          <w:kern w:val="0"/>
          <w:sz w:val="24"/>
        </w:rPr>
      </w:pPr>
      <w:r>
        <w:rPr>
          <w:rFonts w:hint="eastAsia" w:ascii="宋体" w:hAnsi="宋体" w:eastAsia="宋体" w:cs="Times New Roman"/>
          <w:kern w:val="0"/>
          <w:sz w:val="24"/>
        </w:rPr>
        <w:t>预算金额（元）：</w:t>
      </w:r>
      <w:r>
        <w:rPr>
          <w:rFonts w:hint="eastAsia" w:ascii="宋体" w:hAnsi="宋体" w:eastAsia="宋体" w:cs="Times New Roman"/>
          <w:kern w:val="0"/>
          <w:sz w:val="24"/>
          <w:lang w:val="en-US" w:eastAsia="zh-CN"/>
        </w:rPr>
        <w:t>89</w:t>
      </w:r>
      <w:r>
        <w:rPr>
          <w:rFonts w:hint="eastAsia" w:ascii="宋体" w:hAnsi="宋体" w:eastAsia="宋体" w:cs="Times New Roman"/>
          <w:kern w:val="0"/>
          <w:sz w:val="24"/>
        </w:rPr>
        <w:t>0000.00</w:t>
      </w:r>
    </w:p>
    <w:p>
      <w:pPr>
        <w:pStyle w:val="7"/>
        <w:ind w:firstLine="480" w:firstLineChars="200"/>
        <w:rPr>
          <w:rFonts w:hint="default" w:ascii="宋体" w:hAnsi="宋体" w:cs="Times New Roman"/>
          <w:kern w:val="0"/>
          <w:sz w:val="24"/>
          <w:lang w:val="en-US" w:eastAsia="zh-CN"/>
        </w:rPr>
      </w:pPr>
      <w:r>
        <w:rPr>
          <w:rFonts w:hint="eastAsia" w:ascii="宋体" w:hAnsi="宋体" w:cs="Times New Roman"/>
          <w:kern w:val="0"/>
          <w:sz w:val="24"/>
          <w:lang w:val="en-US" w:eastAsia="zh-CN"/>
        </w:rPr>
        <w:t>最高限价（元）：850000.00</w:t>
      </w:r>
    </w:p>
    <w:p>
      <w:pPr>
        <w:widowControl/>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采购需求：对1</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个管护所站</w:t>
      </w:r>
      <w:r>
        <w:rPr>
          <w:rFonts w:hint="eastAsia" w:ascii="宋体" w:hAnsi="宋体" w:eastAsia="宋体" w:cs="宋体"/>
          <w:kern w:val="0"/>
          <w:sz w:val="24"/>
          <w:szCs w:val="24"/>
          <w:lang w:val="en-US" w:eastAsia="zh-CN"/>
        </w:rPr>
        <w:t>3000</w:t>
      </w:r>
      <w:r>
        <w:rPr>
          <w:rFonts w:hint="eastAsia" w:ascii="宋体" w:hAnsi="宋体" w:eastAsia="宋体" w:cs="宋体"/>
          <w:kern w:val="0"/>
          <w:sz w:val="24"/>
          <w:szCs w:val="24"/>
        </w:rPr>
        <w:t>平方米进行煤改电供暖改造（具体详见磋商文件）。</w:t>
      </w:r>
    </w:p>
    <w:p>
      <w:pPr>
        <w:widowControl/>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合同履行期限：具体详见磋商文件。</w:t>
      </w:r>
    </w:p>
    <w:p>
      <w:pPr>
        <w:widowControl/>
        <w:spacing w:line="360" w:lineRule="auto"/>
        <w:ind w:firstLine="480" w:firstLineChars="200"/>
        <w:contextualSpacing/>
        <w:rPr>
          <w:rFonts w:ascii="宋体" w:hAnsi="宋体" w:eastAsia="宋体" w:cs="宋体"/>
          <w:kern w:val="0"/>
          <w:sz w:val="24"/>
          <w:szCs w:val="24"/>
        </w:rPr>
      </w:pPr>
      <w:r>
        <w:rPr>
          <w:rFonts w:ascii="宋体" w:hAnsi="宋体" w:eastAsia="宋体" w:cs="宋体"/>
          <w:kern w:val="0"/>
          <w:sz w:val="24"/>
          <w:szCs w:val="24"/>
        </w:rPr>
        <w:t>本项目（是）接受联合体投标</w:t>
      </w:r>
      <w:r>
        <w:rPr>
          <w:rFonts w:hint="eastAsia" w:ascii="宋体" w:hAnsi="宋体" w:eastAsia="宋体" w:cs="宋体"/>
          <w:kern w:val="0"/>
          <w:sz w:val="24"/>
          <w:szCs w:val="24"/>
        </w:rPr>
        <w:t>。</w:t>
      </w:r>
    </w:p>
    <w:p>
      <w:pPr>
        <w:widowControl/>
        <w:spacing w:line="360" w:lineRule="auto"/>
        <w:ind w:firstLine="482" w:firstLineChars="200"/>
        <w:contextualSpacing/>
        <w:rPr>
          <w:rFonts w:ascii="宋体" w:hAnsi="宋体" w:eastAsia="宋体" w:cs="宋体"/>
          <w:kern w:val="0"/>
          <w:sz w:val="24"/>
          <w:szCs w:val="24"/>
        </w:rPr>
      </w:pPr>
      <w:r>
        <w:rPr>
          <w:rFonts w:hint="eastAsia" w:ascii="Times New Roman" w:hAnsi="Times New Roman" w:eastAsia="宋体" w:cs="Times New Roman"/>
          <w:b/>
          <w:bCs/>
          <w:kern w:val="0"/>
          <w:sz w:val="24"/>
          <w:szCs w:val="24"/>
        </w:rPr>
        <w:t>二、申请人的资格要求：</w:t>
      </w:r>
    </w:p>
    <w:p>
      <w:pPr>
        <w:widowControl/>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1.满足《中华人民共和国政府采购法》第二十二条规定；</w:t>
      </w:r>
    </w:p>
    <w:p>
      <w:pPr>
        <w:widowControl/>
        <w:spacing w:line="360" w:lineRule="auto"/>
        <w:ind w:firstLine="480" w:firstLineChars="200"/>
        <w:contextualSpacing/>
        <w:rPr>
          <w:rFonts w:hint="eastAsia" w:ascii="宋体" w:hAnsi="宋体" w:eastAsia="宋体" w:cs="宋体"/>
          <w:color w:val="0000FF"/>
          <w:kern w:val="0"/>
          <w:sz w:val="24"/>
          <w:szCs w:val="24"/>
          <w:lang w:val="en-US" w:eastAsia="zh-CN"/>
        </w:rPr>
      </w:pPr>
      <w:r>
        <w:rPr>
          <w:rFonts w:hint="eastAsia" w:ascii="宋体" w:hAnsi="宋体" w:eastAsia="宋体" w:cs="宋体"/>
          <w:kern w:val="0"/>
          <w:sz w:val="24"/>
          <w:szCs w:val="24"/>
        </w:rPr>
        <w:t>2.落实政府采购政策：</w:t>
      </w:r>
      <w:r>
        <w:rPr>
          <w:rFonts w:hint="eastAsia" w:ascii="宋体" w:hAnsi="宋体" w:eastAsia="宋体" w:cs="宋体"/>
          <w:color w:val="auto"/>
          <w:kern w:val="0"/>
          <w:sz w:val="24"/>
          <w:szCs w:val="24"/>
          <w:lang w:val="en-US" w:eastAsia="zh-CN"/>
        </w:rPr>
        <w:t>无。</w:t>
      </w:r>
    </w:p>
    <w:p>
      <w:pPr>
        <w:widowControl/>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3.本项目的特定资格要求：</w:t>
      </w:r>
    </w:p>
    <w:p>
      <w:pPr>
        <w:pStyle w:val="8"/>
        <w:pageBreakBefore w:val="0"/>
        <w:widowControl/>
        <w:kinsoku/>
        <w:wordWrap/>
        <w:overflowPunct/>
        <w:topLinePunct w:val="0"/>
        <w:autoSpaceDE/>
        <w:autoSpaceDN/>
        <w:bidi w:val="0"/>
        <w:spacing w:line="280" w:lineRule="exact"/>
        <w:ind w:firstLine="240" w:firstLineChars="100"/>
        <w:jc w:val="left"/>
        <w:rPr>
          <w:rFonts w:hint="eastAsia" w:ascii="宋体" w:hAnsi="宋体" w:eastAsia="宋体" w:cs="宋体"/>
          <w:kern w:val="2"/>
          <w:sz w:val="24"/>
          <w:szCs w:val="24"/>
          <w:lang w:val="en-US" w:eastAsia="zh-CN" w:bidi="ar-SA"/>
        </w:rPr>
      </w:pPr>
      <w:bookmarkStart w:id="0" w:name="_Toc35393804"/>
      <w:bookmarkStart w:id="1" w:name="_Toc35393635"/>
      <w:r>
        <w:rPr>
          <w:rFonts w:hint="eastAsia" w:ascii="宋体" w:hAnsi="宋体" w:eastAsia="宋体" w:cs="宋体"/>
          <w:kern w:val="2"/>
          <w:sz w:val="24"/>
          <w:szCs w:val="24"/>
          <w:lang w:val="en-US" w:eastAsia="zh-CN" w:bidi="ar-SA"/>
        </w:rPr>
        <w:t>1、设计资质要求：建设行政主管部门颁发的</w:t>
      </w:r>
      <w:r>
        <w:rPr>
          <w:rFonts w:hint="eastAsia" w:ascii="宋体" w:hAnsi="宋体" w:cs="宋体"/>
          <w:kern w:val="2"/>
          <w:sz w:val="24"/>
          <w:szCs w:val="24"/>
          <w:lang w:val="en-US" w:eastAsia="zh-CN" w:bidi="ar-SA"/>
        </w:rPr>
        <w:t>电力行业变电工程专业</w:t>
      </w:r>
      <w:r>
        <w:rPr>
          <w:rFonts w:hint="eastAsia" w:ascii="宋体" w:hAnsi="宋体" w:eastAsia="宋体" w:cs="宋体"/>
          <w:kern w:val="2"/>
          <w:sz w:val="24"/>
          <w:szCs w:val="24"/>
          <w:lang w:val="en-US" w:eastAsia="zh-CN" w:bidi="ar-SA"/>
        </w:rPr>
        <w:t>丙级及以上资质。</w:t>
      </w:r>
    </w:p>
    <w:p>
      <w:pPr>
        <w:pStyle w:val="8"/>
        <w:pageBreakBefore w:val="0"/>
        <w:widowControl/>
        <w:kinsoku/>
        <w:wordWrap/>
        <w:overflowPunct/>
        <w:topLinePunct w:val="0"/>
        <w:autoSpaceDE/>
        <w:autoSpaceDN/>
        <w:bidi w:val="0"/>
        <w:spacing w:line="280" w:lineRule="exact"/>
        <w:ind w:firstLine="240" w:firstLineChars="1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2、施工资质要求:具备</w:t>
      </w:r>
      <w:r>
        <w:rPr>
          <w:rFonts w:hint="eastAsia" w:ascii="宋体" w:hAnsi="宋体" w:cs="宋体"/>
          <w:kern w:val="2"/>
          <w:sz w:val="24"/>
          <w:szCs w:val="24"/>
          <w:lang w:val="en-US" w:eastAsia="zh-CN" w:bidi="ar-SA"/>
        </w:rPr>
        <w:t>电力工程</w:t>
      </w:r>
      <w:r>
        <w:rPr>
          <w:rFonts w:hint="eastAsia" w:ascii="宋体" w:hAnsi="宋体" w:eastAsia="宋体" w:cs="宋体"/>
          <w:kern w:val="2"/>
          <w:sz w:val="24"/>
          <w:szCs w:val="24"/>
          <w:lang w:val="en-US" w:eastAsia="zh-CN" w:bidi="ar-SA"/>
        </w:rPr>
        <w:t>施工总承包叁级（含叁级）及以上资质</w:t>
      </w:r>
      <w:r>
        <w:rPr>
          <w:rFonts w:hint="eastAsia" w:ascii="宋体" w:hAnsi="宋体" w:cs="宋体"/>
          <w:kern w:val="2"/>
          <w:sz w:val="24"/>
          <w:szCs w:val="24"/>
          <w:lang w:val="en-US" w:eastAsia="zh-CN" w:bidi="ar-SA"/>
        </w:rPr>
        <w:t>或机电工程施工总承包叁级（含叁级）及以上资质</w:t>
      </w:r>
      <w:r>
        <w:rPr>
          <w:rFonts w:hint="eastAsia" w:ascii="宋体" w:hAnsi="宋体" w:eastAsia="宋体" w:cs="宋体"/>
          <w:kern w:val="2"/>
          <w:sz w:val="24"/>
          <w:szCs w:val="24"/>
          <w:lang w:val="en-US" w:eastAsia="zh-CN" w:bidi="ar-SA"/>
        </w:rPr>
        <w:t>，具备有效的安全生产许可证，并在人员、设备、资金等方面具有相应的施工能力；</w:t>
      </w:r>
    </w:p>
    <w:p>
      <w:pPr>
        <w:pStyle w:val="8"/>
        <w:pageBreakBefore w:val="0"/>
        <w:widowControl/>
        <w:kinsoku/>
        <w:wordWrap/>
        <w:overflowPunct/>
        <w:topLinePunct w:val="0"/>
        <w:autoSpaceDE/>
        <w:autoSpaceDN/>
        <w:bidi w:val="0"/>
        <w:spacing w:line="280" w:lineRule="exact"/>
        <w:ind w:firstLine="240" w:firstLineChars="1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3、设计负责人要求:须具有</w:t>
      </w:r>
      <w:r>
        <w:rPr>
          <w:rFonts w:hint="eastAsia" w:ascii="宋体" w:hAnsi="宋体" w:cs="宋体"/>
          <w:kern w:val="2"/>
          <w:sz w:val="24"/>
          <w:szCs w:val="24"/>
          <w:lang w:val="en-US" w:eastAsia="zh-CN" w:bidi="ar-SA"/>
        </w:rPr>
        <w:t>电力</w:t>
      </w:r>
      <w:r>
        <w:rPr>
          <w:rFonts w:hint="eastAsia" w:ascii="宋体" w:hAnsi="宋体" w:eastAsia="宋体" w:cs="宋体"/>
          <w:kern w:val="2"/>
          <w:sz w:val="24"/>
          <w:szCs w:val="24"/>
          <w:lang w:val="en-US" w:eastAsia="zh-CN" w:bidi="ar-SA"/>
        </w:rPr>
        <w:t>专业中级及以上职称。</w:t>
      </w:r>
    </w:p>
    <w:p>
      <w:pPr>
        <w:pStyle w:val="8"/>
        <w:pageBreakBefore w:val="0"/>
        <w:widowControl/>
        <w:kinsoku/>
        <w:wordWrap/>
        <w:overflowPunct/>
        <w:topLinePunct w:val="0"/>
        <w:autoSpaceDE/>
        <w:autoSpaceDN/>
        <w:bidi w:val="0"/>
        <w:spacing w:line="280" w:lineRule="exact"/>
        <w:ind w:firstLine="240" w:firstLineChars="100"/>
        <w:jc w:val="left"/>
        <w:rPr>
          <w:rFonts w:hint="eastAsia" w:ascii="宋体" w:hAnsi="宋体" w:eastAsia="宋体" w:cs="宋体"/>
          <w:kern w:val="2"/>
          <w:sz w:val="24"/>
          <w:szCs w:val="24"/>
          <w:lang w:val="en-US" w:eastAsia="zh-CN" w:bidi="ar-SA"/>
        </w:rPr>
      </w:pPr>
      <w:bookmarkStart w:id="2" w:name="_Toc2740"/>
      <w:bookmarkStart w:id="3" w:name="_Toc23827"/>
      <w:bookmarkStart w:id="4" w:name="_Toc1289"/>
      <w:bookmarkStart w:id="5" w:name="_Toc6680"/>
      <w:bookmarkStart w:id="6" w:name="_Toc9042"/>
      <w:r>
        <w:rPr>
          <w:rFonts w:hint="eastAsia" w:ascii="宋体" w:hAnsi="宋体" w:eastAsia="宋体" w:cs="宋体"/>
          <w:kern w:val="2"/>
          <w:sz w:val="24"/>
          <w:szCs w:val="24"/>
          <w:lang w:val="en-US" w:eastAsia="zh-CN" w:bidi="ar-SA"/>
        </w:rPr>
        <w:t>4、施工项目负责人的资格要求：项目经理须具备</w:t>
      </w:r>
      <w:r>
        <w:rPr>
          <w:rFonts w:hint="eastAsia" w:ascii="宋体" w:hAnsi="宋体" w:cs="宋体"/>
          <w:color w:val="auto"/>
          <w:kern w:val="2"/>
          <w:sz w:val="24"/>
          <w:szCs w:val="24"/>
          <w:lang w:val="en-US" w:eastAsia="zh-CN" w:bidi="ar-SA"/>
        </w:rPr>
        <w:t>机电</w:t>
      </w:r>
      <w:r>
        <w:rPr>
          <w:rFonts w:hint="eastAsia" w:ascii="宋体" w:hAnsi="宋体" w:eastAsia="宋体" w:cs="宋体"/>
          <w:color w:val="auto"/>
          <w:kern w:val="2"/>
          <w:sz w:val="24"/>
          <w:szCs w:val="24"/>
          <w:lang w:val="en-US" w:eastAsia="zh-CN" w:bidi="ar-SA"/>
        </w:rPr>
        <w:t>工程专业</w:t>
      </w:r>
      <w:r>
        <w:rPr>
          <w:rFonts w:hint="eastAsia" w:ascii="宋体" w:hAnsi="宋体" w:eastAsia="宋体" w:cs="宋体"/>
          <w:color w:val="auto"/>
          <w:kern w:val="2"/>
          <w:sz w:val="24"/>
          <w:szCs w:val="24"/>
          <w:highlight w:val="none"/>
          <w:lang w:val="en-US" w:eastAsia="zh-CN" w:bidi="ar-SA"/>
        </w:rPr>
        <w:t>二级</w:t>
      </w:r>
      <w:r>
        <w:rPr>
          <w:rFonts w:hint="eastAsia" w:ascii="宋体" w:hAnsi="宋体" w:eastAsia="宋体" w:cs="宋体"/>
          <w:color w:val="auto"/>
          <w:kern w:val="2"/>
          <w:sz w:val="24"/>
          <w:szCs w:val="24"/>
          <w:lang w:val="en-US" w:eastAsia="zh-CN" w:bidi="ar-SA"/>
        </w:rPr>
        <w:t>注册建造师执业资格</w:t>
      </w:r>
      <w:r>
        <w:rPr>
          <w:rFonts w:hint="eastAsia" w:ascii="宋体" w:hAnsi="宋体" w:eastAsia="宋体" w:cs="宋体"/>
          <w:kern w:val="2"/>
          <w:sz w:val="24"/>
          <w:szCs w:val="24"/>
          <w:lang w:val="en-US" w:eastAsia="zh-CN" w:bidi="ar-SA"/>
        </w:rPr>
        <w:t>，本单位注册</w:t>
      </w:r>
      <w:r>
        <w:rPr>
          <w:rFonts w:hint="eastAsia" w:ascii="宋体" w:hAnsi="宋体" w:cs="宋体"/>
          <w:kern w:val="2"/>
          <w:sz w:val="24"/>
          <w:szCs w:val="24"/>
          <w:lang w:val="en-US" w:eastAsia="zh-CN" w:bidi="ar-SA"/>
        </w:rPr>
        <w:t>；</w:t>
      </w:r>
      <w:r>
        <w:rPr>
          <w:rFonts w:hint="eastAsia" w:ascii="宋体" w:hAnsi="宋体" w:eastAsia="宋体" w:cs="宋体"/>
          <w:kern w:val="2"/>
          <w:sz w:val="24"/>
          <w:szCs w:val="24"/>
          <w:lang w:val="en-US" w:eastAsia="zh-CN" w:bidi="ar-SA"/>
        </w:rPr>
        <w:t>具备有效的安全生产考核合格证书。</w:t>
      </w:r>
    </w:p>
    <w:p>
      <w:pPr>
        <w:pStyle w:val="8"/>
        <w:pageBreakBefore w:val="0"/>
        <w:widowControl/>
        <w:kinsoku/>
        <w:wordWrap/>
        <w:overflowPunct/>
        <w:topLinePunct w:val="0"/>
        <w:autoSpaceDE/>
        <w:autoSpaceDN/>
        <w:bidi w:val="0"/>
        <w:spacing w:line="280" w:lineRule="exact"/>
        <w:ind w:firstLine="240" w:firstLineChars="100"/>
        <w:jc w:val="left"/>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5</w:t>
      </w:r>
      <w:r>
        <w:rPr>
          <w:rFonts w:hint="eastAsia" w:ascii="宋体" w:hAnsi="宋体" w:eastAsia="宋体" w:cs="宋体"/>
          <w:kern w:val="2"/>
          <w:sz w:val="24"/>
          <w:szCs w:val="24"/>
          <w:lang w:val="en-US" w:eastAsia="zh-CN" w:bidi="ar-SA"/>
        </w:rPr>
        <w:t>、本次招标接受联合体投标，联合体成员单位不得超过2家。联合体各方必须向招标人提供有效的联合体协议书。①组成联合体投标应符合相关法律法规对联合体投标的有关规定，联合体各方不得再以自己名义单独或参加其他联合体在同一工程项目中投标；②以联合体方式参加本项目招标的，联合体各方之间应当签订联合体协议，明确各方权利义务，根据联合体协议分工由负责施工的成员作为联合体牵头人。③联合体各方应分别在人员、设备、资金等方面具有承担本项目联合体协议书分工职责范围内的履约能力。 </w:t>
      </w:r>
      <w:bookmarkEnd w:id="2"/>
      <w:bookmarkEnd w:id="3"/>
      <w:bookmarkEnd w:id="4"/>
      <w:bookmarkEnd w:id="5"/>
      <w:bookmarkEnd w:id="6"/>
    </w:p>
    <w:p>
      <w:pPr>
        <w:pageBreakBefore w:val="0"/>
        <w:kinsoku/>
        <w:wordWrap/>
        <w:overflowPunct/>
        <w:topLinePunct w:val="0"/>
        <w:autoSpaceDE/>
        <w:autoSpaceDN/>
        <w:bidi w:val="0"/>
        <w:spacing w:line="280" w:lineRule="exact"/>
        <w:ind w:firstLine="240" w:firstLineChars="1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供应商未被列入信用中国网站(www.creditchina.gov.cn)、中国政府采购网(www.ccgp.gov.cn)渠道信用记录失信被执行人、重大税收违法案件当事人名单、政府采购严重违法失信行为记录名单的投标人；提供在《信用中国》（http://www.creditchina.gov.cn/）等网站查询的无不良信用记录证明。</w:t>
      </w:r>
    </w:p>
    <w:p>
      <w:pPr>
        <w:pStyle w:val="3"/>
        <w:pageBreakBefore w:val="0"/>
        <w:tabs>
          <w:tab w:val="left" w:pos="540"/>
        </w:tabs>
        <w:kinsoku/>
        <w:wordWrap/>
        <w:overflowPunct/>
        <w:topLinePunct w:val="0"/>
        <w:autoSpaceDE/>
        <w:autoSpaceDN/>
        <w:bidi w:val="0"/>
        <w:spacing w:line="280" w:lineRule="exact"/>
        <w:rPr>
          <w:rFonts w:hint="eastAsia" w:ascii="宋体" w:hAnsi="宋体" w:eastAsia="宋体" w:cs="宋体"/>
          <w:b w:val="0"/>
          <w:color w:val="auto"/>
          <w:sz w:val="24"/>
          <w:szCs w:val="24"/>
        </w:rPr>
      </w:pPr>
      <w:bookmarkStart w:id="7" w:name="_Toc26654"/>
      <w:r>
        <w:rPr>
          <w:rFonts w:hint="eastAsia" w:ascii="宋体" w:hAnsi="宋体" w:eastAsia="宋体" w:cs="宋体"/>
          <w:b w:val="0"/>
          <w:sz w:val="24"/>
          <w:szCs w:val="24"/>
        </w:rPr>
        <w:t>三、获</w:t>
      </w:r>
      <w:r>
        <w:rPr>
          <w:rFonts w:hint="eastAsia" w:ascii="宋体" w:hAnsi="宋体" w:eastAsia="宋体" w:cs="宋体"/>
          <w:b w:val="0"/>
          <w:color w:val="auto"/>
          <w:sz w:val="24"/>
          <w:szCs w:val="24"/>
        </w:rPr>
        <w:t>取采购文件</w:t>
      </w:r>
      <w:bookmarkEnd w:id="7"/>
    </w:p>
    <w:p>
      <w:pPr>
        <w:pStyle w:val="3"/>
        <w:pageBreakBefore w:val="0"/>
        <w:tabs>
          <w:tab w:val="left" w:pos="540"/>
        </w:tabs>
        <w:kinsoku/>
        <w:wordWrap/>
        <w:overflowPunct/>
        <w:topLinePunct w:val="0"/>
        <w:autoSpaceDE/>
        <w:autoSpaceDN/>
        <w:bidi w:val="0"/>
        <w:spacing w:line="280" w:lineRule="exact"/>
        <w:rPr>
          <w:rFonts w:hint="eastAsia" w:ascii="宋体" w:hAnsi="宋体" w:eastAsia="宋体" w:cs="宋体"/>
          <w:color w:val="auto"/>
          <w:sz w:val="24"/>
          <w:szCs w:val="24"/>
        </w:rPr>
      </w:pPr>
      <w:bookmarkStart w:id="8" w:name="_Toc28359092"/>
      <w:bookmarkStart w:id="9" w:name="_Toc28359015"/>
      <w:bookmarkStart w:id="10" w:name="_Toc13544"/>
      <w:bookmarkStart w:id="11" w:name="_Toc35393801"/>
      <w:bookmarkStart w:id="12" w:name="_Toc35393632"/>
      <w:r>
        <w:rPr>
          <w:rFonts w:hint="eastAsia" w:ascii="宋体" w:hAnsi="宋体" w:eastAsia="宋体" w:cs="宋体"/>
          <w:color w:val="auto"/>
          <w:sz w:val="24"/>
          <w:szCs w:val="24"/>
        </w:rPr>
        <w:t>时间：2022年0</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日至2022年0</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17</w:t>
      </w:r>
      <w:r>
        <w:rPr>
          <w:rFonts w:hint="eastAsia" w:ascii="宋体" w:hAnsi="宋体" w:eastAsia="宋体" w:cs="宋体"/>
          <w:color w:val="auto"/>
          <w:sz w:val="24"/>
          <w:szCs w:val="24"/>
        </w:rPr>
        <w:t>日，每天上午</w:t>
      </w:r>
      <w:r>
        <w:rPr>
          <w:rFonts w:hint="eastAsia" w:ascii="宋体" w:hAnsi="宋体" w:eastAsia="宋体" w:cs="宋体"/>
          <w:color w:val="auto"/>
          <w:sz w:val="24"/>
          <w:szCs w:val="24"/>
          <w:lang w:val="en-US" w:eastAsia="zh-CN"/>
        </w:rPr>
        <w:t>09</w:t>
      </w:r>
      <w:r>
        <w:rPr>
          <w:rFonts w:hint="eastAsia" w:ascii="宋体" w:hAnsi="宋体" w:eastAsia="宋体" w:cs="宋体"/>
          <w:color w:val="auto"/>
          <w:sz w:val="24"/>
          <w:szCs w:val="24"/>
        </w:rPr>
        <w:t>:30至13:30，下午1</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0至</w:t>
      </w: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0（北京时间）</w:t>
      </w:r>
    </w:p>
    <w:p>
      <w:pPr>
        <w:pStyle w:val="3"/>
        <w:pageBreakBefore w:val="0"/>
        <w:tabs>
          <w:tab w:val="left" w:pos="540"/>
        </w:tabs>
        <w:kinsoku/>
        <w:wordWrap/>
        <w:overflowPunct/>
        <w:topLinePunct w:val="0"/>
        <w:autoSpaceDE/>
        <w:autoSpaceDN/>
        <w:bidi w:val="0"/>
        <w:spacing w:line="280" w:lineRule="exac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地点：</w:t>
      </w:r>
      <w:r>
        <w:rPr>
          <w:rFonts w:hint="eastAsia" w:ascii="宋体" w:hAnsi="宋体" w:eastAsia="宋体" w:cs="宋体"/>
          <w:color w:val="auto"/>
          <w:sz w:val="24"/>
          <w:szCs w:val="24"/>
          <w:lang w:eastAsia="zh-CN"/>
        </w:rPr>
        <w:t>新疆哈密市伊州区百花路红星名筑21楼</w:t>
      </w:r>
    </w:p>
    <w:p>
      <w:pPr>
        <w:pStyle w:val="3"/>
        <w:pageBreakBefore w:val="0"/>
        <w:tabs>
          <w:tab w:val="left" w:pos="540"/>
        </w:tabs>
        <w:kinsoku/>
        <w:wordWrap/>
        <w:overflowPunct/>
        <w:topLinePunct w:val="0"/>
        <w:autoSpaceDE/>
        <w:autoSpaceDN/>
        <w:bidi w:val="0"/>
        <w:spacing w:line="280" w:lineRule="exact"/>
        <w:rPr>
          <w:rFonts w:hint="eastAsia" w:ascii="宋体" w:hAnsi="宋体" w:eastAsia="宋体" w:cs="宋体"/>
          <w:color w:val="auto"/>
          <w:sz w:val="24"/>
          <w:szCs w:val="24"/>
        </w:rPr>
      </w:pPr>
      <w:r>
        <w:rPr>
          <w:rFonts w:hint="eastAsia" w:ascii="宋体" w:hAnsi="宋体" w:eastAsia="宋体" w:cs="宋体"/>
          <w:color w:val="auto"/>
          <w:sz w:val="24"/>
          <w:szCs w:val="24"/>
        </w:rPr>
        <w:t>方式：线下获取招标文件</w:t>
      </w:r>
    </w:p>
    <w:p>
      <w:pPr>
        <w:pStyle w:val="3"/>
        <w:keepNext/>
        <w:keepLines/>
        <w:pageBreakBefore w:val="0"/>
        <w:widowControl w:val="0"/>
        <w:tabs>
          <w:tab w:val="left" w:pos="540"/>
        </w:tabs>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售价（元）：200.00元（文件售后不退）</w:t>
      </w:r>
    </w:p>
    <w:p>
      <w:pPr>
        <w:pStyle w:val="3"/>
        <w:keepNext/>
        <w:keepLines/>
        <w:pageBreakBefore w:val="0"/>
        <w:widowControl w:val="0"/>
        <w:tabs>
          <w:tab w:val="left" w:pos="540"/>
        </w:tabs>
        <w:kinsoku/>
        <w:wordWrap/>
        <w:overflowPunct/>
        <w:topLinePunct w:val="0"/>
        <w:autoSpaceDE/>
        <w:autoSpaceDN/>
        <w:bidi w:val="0"/>
        <w:adjustRightInd/>
        <w:snapToGrid/>
        <w:spacing w:line="240" w:lineRule="exac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四、响应文件提交</w:t>
      </w:r>
      <w:bookmarkEnd w:id="8"/>
      <w:bookmarkEnd w:id="9"/>
      <w:bookmarkEnd w:id="10"/>
      <w:bookmarkEnd w:id="11"/>
      <w:bookmarkEnd w:id="12"/>
    </w:p>
    <w:p>
      <w:pPr>
        <w:pageBreakBefore w:val="0"/>
        <w:kinsoku/>
        <w:wordWrap/>
        <w:overflowPunct/>
        <w:topLinePunct w:val="0"/>
        <w:autoSpaceDE/>
        <w:autoSpaceDN/>
        <w:bidi w:val="0"/>
        <w:spacing w:line="280" w:lineRule="exact"/>
        <w:ind w:firstLine="480" w:firstLineChars="200"/>
        <w:rPr>
          <w:rFonts w:hint="eastAsia" w:ascii="宋体" w:hAnsi="宋体" w:eastAsia="宋体" w:cs="宋体"/>
          <w:bCs/>
          <w:color w:val="auto"/>
          <w:sz w:val="24"/>
          <w:szCs w:val="24"/>
        </w:rPr>
      </w:pPr>
      <w:r>
        <w:rPr>
          <w:rFonts w:hint="eastAsia" w:ascii="宋体" w:hAnsi="宋体" w:eastAsia="宋体" w:cs="宋体"/>
          <w:color w:val="auto"/>
          <w:sz w:val="24"/>
          <w:szCs w:val="24"/>
        </w:rPr>
        <w:t>截止时间：</w:t>
      </w:r>
      <w:r>
        <w:rPr>
          <w:rFonts w:hint="eastAsia" w:ascii="宋体" w:hAnsi="宋体" w:eastAsia="宋体" w:cs="宋体"/>
          <w:bCs/>
          <w:color w:val="auto"/>
          <w:sz w:val="24"/>
          <w:szCs w:val="24"/>
          <w:u w:val="single"/>
          <w:lang w:eastAsia="zh-CN"/>
        </w:rPr>
        <w:t>2022年06月20日</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eastAsia="zh-CN"/>
        </w:rPr>
        <w:t>16点30分</w:t>
      </w:r>
      <w:r>
        <w:rPr>
          <w:rFonts w:hint="eastAsia" w:ascii="宋体" w:hAnsi="宋体" w:eastAsia="宋体" w:cs="宋体"/>
          <w:bCs/>
          <w:color w:val="auto"/>
          <w:sz w:val="24"/>
          <w:szCs w:val="24"/>
        </w:rPr>
        <w:t>（北京时间）</w:t>
      </w:r>
    </w:p>
    <w:p>
      <w:pPr>
        <w:pageBreakBefore w:val="0"/>
        <w:kinsoku/>
        <w:wordWrap/>
        <w:overflowPunct/>
        <w:topLinePunct w:val="0"/>
        <w:autoSpaceDE/>
        <w:autoSpaceDN/>
        <w:bidi w:val="0"/>
        <w:spacing w:line="280" w:lineRule="exact"/>
        <w:ind w:firstLine="480" w:firstLineChars="200"/>
        <w:rPr>
          <w:rFonts w:hint="eastAsia" w:ascii="宋体" w:hAnsi="宋体" w:eastAsia="宋体" w:cs="宋体"/>
          <w:bCs/>
          <w:color w:val="auto"/>
          <w:sz w:val="24"/>
          <w:szCs w:val="24"/>
          <w:u w:val="single"/>
          <w:lang w:eastAsia="zh-CN"/>
        </w:rPr>
      </w:pPr>
      <w:r>
        <w:rPr>
          <w:rFonts w:hint="eastAsia" w:ascii="宋体" w:hAnsi="宋体" w:eastAsia="宋体" w:cs="宋体"/>
          <w:color w:val="auto"/>
          <w:sz w:val="24"/>
          <w:szCs w:val="24"/>
        </w:rPr>
        <w:t>地点：</w:t>
      </w:r>
      <w:r>
        <w:rPr>
          <w:rFonts w:hint="eastAsia" w:ascii="宋体" w:hAnsi="宋体" w:eastAsia="宋体" w:cs="宋体"/>
          <w:color w:val="auto"/>
          <w:sz w:val="24"/>
          <w:szCs w:val="24"/>
          <w:lang w:eastAsia="zh-CN"/>
        </w:rPr>
        <w:t>新疆哈密市伊州区百花路红星名筑21楼</w:t>
      </w:r>
    </w:p>
    <w:p>
      <w:pPr>
        <w:pStyle w:val="3"/>
        <w:pageBreakBefore w:val="0"/>
        <w:widowControl w:val="0"/>
        <w:tabs>
          <w:tab w:val="left" w:pos="540"/>
        </w:tabs>
        <w:kinsoku/>
        <w:wordWrap/>
        <w:overflowPunct/>
        <w:topLinePunct w:val="0"/>
        <w:autoSpaceDE/>
        <w:autoSpaceDN/>
        <w:bidi w:val="0"/>
        <w:adjustRightInd/>
        <w:snapToGrid/>
        <w:spacing w:line="240" w:lineRule="exact"/>
        <w:textAlignment w:val="auto"/>
        <w:rPr>
          <w:rFonts w:hint="eastAsia" w:ascii="宋体" w:hAnsi="宋体" w:eastAsia="宋体" w:cs="宋体"/>
          <w:b/>
          <w:bCs/>
          <w:color w:val="auto"/>
          <w:sz w:val="24"/>
          <w:szCs w:val="24"/>
        </w:rPr>
      </w:pPr>
      <w:bookmarkStart w:id="13" w:name="_Toc28359016"/>
      <w:bookmarkStart w:id="14" w:name="_Toc28359093"/>
      <w:bookmarkStart w:id="15" w:name="_Toc32487"/>
      <w:bookmarkStart w:id="16" w:name="_Toc35393633"/>
      <w:bookmarkStart w:id="17" w:name="_Toc35393802"/>
      <w:r>
        <w:rPr>
          <w:rFonts w:hint="eastAsia" w:ascii="宋体" w:hAnsi="宋体" w:eastAsia="宋体" w:cs="宋体"/>
          <w:b/>
          <w:bCs/>
          <w:color w:val="auto"/>
          <w:sz w:val="24"/>
          <w:szCs w:val="24"/>
        </w:rPr>
        <w:t>五、开启</w:t>
      </w:r>
      <w:bookmarkEnd w:id="13"/>
      <w:bookmarkEnd w:id="14"/>
      <w:bookmarkEnd w:id="15"/>
      <w:bookmarkEnd w:id="16"/>
      <w:bookmarkEnd w:id="17"/>
    </w:p>
    <w:p>
      <w:pPr>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宋体" w:hAnsi="宋体" w:eastAsia="宋体" w:cs="宋体"/>
          <w:bCs/>
          <w:color w:val="auto"/>
          <w:sz w:val="24"/>
          <w:szCs w:val="24"/>
          <w:u w:val="single"/>
        </w:rPr>
      </w:pPr>
      <w:r>
        <w:rPr>
          <w:rFonts w:hint="eastAsia" w:ascii="宋体" w:hAnsi="宋体" w:eastAsia="宋体" w:cs="宋体"/>
          <w:color w:val="auto"/>
          <w:sz w:val="24"/>
          <w:szCs w:val="24"/>
        </w:rPr>
        <w:t>时间：</w:t>
      </w:r>
      <w:r>
        <w:rPr>
          <w:rFonts w:hint="eastAsia" w:ascii="宋体" w:hAnsi="宋体" w:eastAsia="宋体" w:cs="宋体"/>
          <w:bCs/>
          <w:color w:val="auto"/>
          <w:sz w:val="24"/>
          <w:szCs w:val="24"/>
          <w:u w:val="single"/>
          <w:lang w:eastAsia="zh-CN"/>
        </w:rPr>
        <w:t>2022年06月20日</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eastAsia="zh-CN"/>
        </w:rPr>
        <w:t>16点30分</w:t>
      </w:r>
      <w:r>
        <w:rPr>
          <w:rFonts w:hint="eastAsia" w:ascii="宋体" w:hAnsi="宋体" w:eastAsia="宋体" w:cs="宋体"/>
          <w:bCs/>
          <w:color w:val="auto"/>
          <w:sz w:val="24"/>
          <w:szCs w:val="24"/>
        </w:rPr>
        <w:t>（北京时间）</w:t>
      </w:r>
    </w:p>
    <w:p>
      <w:pPr>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宋体" w:hAnsi="宋体" w:eastAsia="宋体" w:cs="宋体"/>
          <w:bCs/>
          <w:color w:val="auto"/>
          <w:sz w:val="24"/>
          <w:szCs w:val="24"/>
          <w:u w:val="single"/>
          <w:lang w:eastAsia="zh-CN"/>
        </w:rPr>
      </w:pPr>
      <w:r>
        <w:rPr>
          <w:rFonts w:hint="eastAsia" w:ascii="宋体" w:hAnsi="宋体" w:eastAsia="宋体" w:cs="宋体"/>
          <w:color w:val="auto"/>
          <w:sz w:val="24"/>
          <w:szCs w:val="24"/>
        </w:rPr>
        <w:t>地点：</w:t>
      </w:r>
      <w:r>
        <w:rPr>
          <w:rFonts w:hint="eastAsia" w:ascii="宋体" w:hAnsi="宋体" w:eastAsia="宋体" w:cs="宋体"/>
          <w:color w:val="auto"/>
          <w:sz w:val="24"/>
          <w:szCs w:val="24"/>
          <w:lang w:eastAsia="zh-CN"/>
        </w:rPr>
        <w:t>新疆哈密市伊州区百花路红星名筑21楼</w:t>
      </w:r>
    </w:p>
    <w:p>
      <w:pPr>
        <w:pStyle w:val="3"/>
        <w:pageBreakBefore w:val="0"/>
        <w:widowControl w:val="0"/>
        <w:tabs>
          <w:tab w:val="left" w:pos="540"/>
        </w:tabs>
        <w:kinsoku/>
        <w:wordWrap/>
        <w:overflowPunct/>
        <w:topLinePunct w:val="0"/>
        <w:autoSpaceDE/>
        <w:autoSpaceDN/>
        <w:bidi w:val="0"/>
        <w:adjustRightInd/>
        <w:snapToGrid/>
        <w:spacing w:line="240" w:lineRule="exact"/>
        <w:textAlignment w:val="auto"/>
        <w:rPr>
          <w:rFonts w:hint="eastAsia" w:ascii="宋体" w:hAnsi="宋体" w:eastAsia="宋体" w:cs="宋体"/>
          <w:b w:val="0"/>
          <w:bCs w:val="0"/>
          <w:kern w:val="2"/>
          <w:sz w:val="24"/>
          <w:szCs w:val="24"/>
          <w:lang w:val="en-US" w:eastAsia="zh-CN" w:bidi="ar-SA"/>
        </w:rPr>
      </w:pPr>
      <w:bookmarkStart w:id="18" w:name="_Toc28359017"/>
      <w:bookmarkStart w:id="19" w:name="_Toc28359094"/>
      <w:bookmarkStart w:id="20" w:name="_Toc24708"/>
      <w:bookmarkStart w:id="21" w:name="_Toc35393634"/>
      <w:bookmarkStart w:id="22" w:name="_Toc35393803"/>
      <w:r>
        <w:rPr>
          <w:rFonts w:hint="eastAsia" w:ascii="宋体" w:hAnsi="宋体" w:eastAsia="宋体" w:cs="宋体"/>
          <w:b/>
          <w:bCs/>
          <w:kern w:val="2"/>
          <w:sz w:val="24"/>
          <w:szCs w:val="24"/>
          <w:lang w:val="en-US" w:eastAsia="zh-CN" w:bidi="ar-SA"/>
        </w:rPr>
        <w:t>六、公告期限</w:t>
      </w:r>
      <w:bookmarkEnd w:id="18"/>
      <w:bookmarkEnd w:id="19"/>
      <w:bookmarkEnd w:id="20"/>
      <w:bookmarkEnd w:id="21"/>
      <w:bookmarkEnd w:id="22"/>
    </w:p>
    <w:p>
      <w:pPr>
        <w:spacing w:line="360" w:lineRule="auto"/>
        <w:ind w:firstLine="480" w:firstLineChars="200"/>
        <w:contextualSpacing/>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自本公告发布之日起5个工作日。</w:t>
      </w:r>
    </w:p>
    <w:p>
      <w:pPr>
        <w:spacing w:line="360" w:lineRule="auto"/>
        <w:ind w:firstLine="482" w:firstLineChars="200"/>
        <w:contextualSpacing/>
        <w:rPr>
          <w:rFonts w:ascii="宋体" w:hAnsi="宋体" w:eastAsia="宋体" w:cs="Times New Roman"/>
          <w:b/>
          <w:sz w:val="24"/>
        </w:rPr>
      </w:pPr>
      <w:r>
        <w:rPr>
          <w:rFonts w:hint="eastAsia" w:ascii="宋体" w:hAnsi="宋体" w:eastAsia="宋体" w:cs="Times New Roman"/>
          <w:b/>
          <w:sz w:val="24"/>
        </w:rPr>
        <w:t>七、其他补充事宜</w:t>
      </w:r>
      <w:bookmarkEnd w:id="0"/>
      <w:bookmarkEnd w:id="1"/>
    </w:p>
    <w:p>
      <w:pPr>
        <w:pStyle w:val="4"/>
        <w:spacing w:line="360" w:lineRule="auto"/>
        <w:ind w:firstLine="480" w:firstLineChars="200"/>
        <w:rPr>
          <w:rFonts w:hint="eastAsia" w:ascii="宋体" w:hAnsi="宋体" w:eastAsia="宋体" w:cs="宋体"/>
          <w:b w:val="0"/>
          <w:bCs/>
          <w:color w:val="auto"/>
          <w:kern w:val="0"/>
          <w:sz w:val="24"/>
          <w:szCs w:val="24"/>
        </w:rPr>
      </w:pPr>
      <w:bookmarkStart w:id="23" w:name="_Toc35393805"/>
      <w:bookmarkStart w:id="24" w:name="_Toc28359095"/>
      <w:bookmarkStart w:id="25" w:name="_Toc35393636"/>
      <w:bookmarkStart w:id="26" w:name="_Toc28359018"/>
      <w:r>
        <w:rPr>
          <w:rFonts w:hint="eastAsia" w:ascii="宋体" w:hAnsi="宋体" w:eastAsia="宋体" w:cs="宋体"/>
          <w:b w:val="0"/>
          <w:bCs/>
          <w:color w:val="auto"/>
          <w:kern w:val="0"/>
          <w:sz w:val="24"/>
          <w:szCs w:val="24"/>
        </w:rPr>
        <w:t>报名需要提供的资料：</w:t>
      </w:r>
    </w:p>
    <w:p>
      <w:pPr>
        <w:pStyle w:val="4"/>
        <w:spacing w:line="360" w:lineRule="auto"/>
        <w:ind w:firstLine="480" w:firstLineChars="200"/>
        <w:rPr>
          <w:rFonts w:hint="eastAsia" w:ascii="宋体" w:hAnsi="宋体" w:eastAsia="宋体" w:cs="宋体"/>
          <w:b w:val="0"/>
          <w:bCs/>
          <w:color w:val="auto"/>
          <w:kern w:val="0"/>
          <w:szCs w:val="24"/>
        </w:rPr>
      </w:pPr>
      <w:r>
        <w:rPr>
          <w:rFonts w:hint="eastAsia" w:ascii="宋体" w:hAnsi="宋体" w:eastAsia="宋体" w:cs="宋体"/>
          <w:b w:val="0"/>
          <w:bCs/>
          <w:color w:val="auto"/>
          <w:kern w:val="0"/>
          <w:sz w:val="24"/>
          <w:szCs w:val="24"/>
        </w:rPr>
        <w:t>凡满足和响应上述要求且拟参加本次招标的投标单位，持法人授权委托书、营业执照、有效的资质证书、建造师证书及安全考核证、</w:t>
      </w:r>
      <w:r>
        <w:rPr>
          <w:rFonts w:hint="eastAsia" w:ascii="宋体" w:hAnsi="宋体" w:eastAsia="宋体" w:cs="宋体"/>
          <w:b w:val="0"/>
          <w:bCs/>
          <w:color w:val="auto"/>
          <w:kern w:val="0"/>
          <w:sz w:val="24"/>
          <w:szCs w:val="24"/>
          <w:lang w:val="en-US" w:eastAsia="zh-CN"/>
        </w:rPr>
        <w:t>设计负责人证书、</w:t>
      </w:r>
      <w:r>
        <w:rPr>
          <w:rFonts w:hint="eastAsia" w:ascii="宋体" w:hAnsi="宋体" w:eastAsia="宋体" w:cs="宋体"/>
          <w:b w:val="0"/>
          <w:bCs/>
          <w:color w:val="auto"/>
          <w:kern w:val="0"/>
          <w:sz w:val="24"/>
          <w:szCs w:val="24"/>
        </w:rPr>
        <w:t>法人身份证明材料、授权委托人及授权委托人身份证明材料(含电子邮箱、地址、电话)、分别在“信用中国”（www.creditchina.gov.cn）、“中国政府采购网”（ www.ccgp.gov.cn）查询投标公司无违法违规行为的记录，网页截图保留两个查询结果（打印并加盖公章），在新疆飞腾达工程项目管理咨询有限公司（新疆哈密市伊州区百花路红星名筑21楼）报名及购买招标文件（以上均持有原件报名，复印件加盖公章资料壹份留存），逾期送达或不符合规定要求的投标人不予接受报名及不予出售招标文件。</w:t>
      </w:r>
    </w:p>
    <w:p>
      <w:pPr>
        <w:spacing w:line="360" w:lineRule="auto"/>
        <w:ind w:firstLine="482" w:firstLineChars="200"/>
        <w:contextualSpacing/>
        <w:rPr>
          <w:rFonts w:ascii="宋体" w:hAnsi="宋体" w:eastAsia="宋体" w:cs="Times New Roman"/>
          <w:b/>
          <w:sz w:val="24"/>
        </w:rPr>
      </w:pPr>
      <w:r>
        <w:rPr>
          <w:rFonts w:hint="eastAsia" w:ascii="宋体" w:hAnsi="宋体" w:eastAsia="宋体" w:cs="Times New Roman"/>
          <w:b/>
          <w:sz w:val="24"/>
        </w:rPr>
        <w:t>八、凡对本次采购提出询问，请按以下方式联系。</w:t>
      </w:r>
      <w:bookmarkEnd w:id="23"/>
      <w:bookmarkEnd w:id="24"/>
      <w:bookmarkEnd w:id="25"/>
      <w:bookmarkEnd w:id="26"/>
    </w:p>
    <w:p>
      <w:pPr>
        <w:widowControl/>
        <w:spacing w:line="360" w:lineRule="auto"/>
        <w:ind w:firstLine="480" w:firstLineChars="200"/>
        <w:contextualSpacing/>
        <w:rPr>
          <w:rFonts w:ascii="宋体" w:hAnsi="宋体" w:eastAsia="宋体" w:cs="宋体"/>
          <w:kern w:val="0"/>
          <w:sz w:val="24"/>
          <w:szCs w:val="24"/>
        </w:rPr>
      </w:pPr>
      <w:bookmarkStart w:id="27" w:name="_Toc1631"/>
      <w:bookmarkStart w:id="28" w:name="_Toc35393806"/>
      <w:bookmarkStart w:id="29" w:name="_Toc15869"/>
      <w:bookmarkStart w:id="30" w:name="_Toc28359096"/>
      <w:bookmarkStart w:id="31" w:name="_Toc35393637"/>
      <w:bookmarkStart w:id="32" w:name="_Toc28359019"/>
      <w:r>
        <w:rPr>
          <w:rFonts w:hint="eastAsia" w:ascii="宋体" w:hAnsi="宋体" w:eastAsia="宋体" w:cs="宋体"/>
          <w:kern w:val="0"/>
          <w:sz w:val="24"/>
          <w:szCs w:val="24"/>
        </w:rPr>
        <w:t>1.采购人信息</w:t>
      </w:r>
      <w:bookmarkEnd w:id="27"/>
      <w:bookmarkEnd w:id="28"/>
      <w:bookmarkEnd w:id="29"/>
      <w:bookmarkEnd w:id="30"/>
      <w:bookmarkEnd w:id="31"/>
      <w:bookmarkEnd w:id="32"/>
    </w:p>
    <w:p>
      <w:pPr>
        <w:widowControl/>
        <w:spacing w:line="360" w:lineRule="auto"/>
        <w:ind w:firstLine="480" w:firstLineChars="200"/>
        <w:contextualSpacing/>
        <w:rPr>
          <w:rFonts w:hint="eastAsia" w:ascii="宋体" w:hAnsi="宋体" w:eastAsia="宋体" w:cs="宋体"/>
          <w:kern w:val="0"/>
          <w:sz w:val="24"/>
          <w:szCs w:val="24"/>
          <w:lang w:eastAsia="zh-CN"/>
        </w:rPr>
      </w:pPr>
      <w:bookmarkStart w:id="33" w:name="_Toc35393807"/>
      <w:bookmarkStart w:id="34" w:name="_Toc28359020"/>
      <w:bookmarkStart w:id="35" w:name="_Toc28359097"/>
      <w:bookmarkStart w:id="36" w:name="_Toc35393638"/>
      <w:r>
        <w:rPr>
          <w:rFonts w:hint="eastAsia" w:ascii="宋体" w:hAnsi="宋体" w:eastAsia="宋体" w:cs="宋体"/>
          <w:kern w:val="0"/>
          <w:sz w:val="24"/>
          <w:szCs w:val="24"/>
        </w:rPr>
        <w:t>名    称：</w:t>
      </w:r>
      <w:r>
        <w:rPr>
          <w:rFonts w:hint="eastAsia" w:ascii="宋体" w:hAnsi="宋体" w:eastAsia="宋体" w:cs="宋体"/>
          <w:kern w:val="0"/>
          <w:sz w:val="24"/>
          <w:szCs w:val="24"/>
          <w:lang w:eastAsia="zh-CN"/>
        </w:rPr>
        <w:t>新疆维吾尔自治区天山东部国有林管理局哈密分局</w:t>
      </w:r>
    </w:p>
    <w:p>
      <w:pPr>
        <w:widowControl/>
        <w:spacing w:line="360" w:lineRule="auto"/>
        <w:ind w:firstLine="480" w:firstLineChars="200"/>
        <w:contextualSpacing/>
        <w:rPr>
          <w:rFonts w:hint="eastAsia" w:ascii="宋体" w:hAnsi="宋体" w:eastAsia="宋体" w:cs="宋体"/>
          <w:kern w:val="0"/>
          <w:sz w:val="24"/>
          <w:szCs w:val="24"/>
          <w:lang w:eastAsia="zh-CN"/>
        </w:rPr>
      </w:pPr>
      <w:r>
        <w:rPr>
          <w:rFonts w:hint="eastAsia" w:ascii="宋体" w:hAnsi="宋体" w:eastAsia="宋体" w:cs="宋体"/>
          <w:kern w:val="0"/>
          <w:sz w:val="24"/>
          <w:szCs w:val="24"/>
        </w:rPr>
        <w:t>地    址：</w:t>
      </w:r>
      <w:r>
        <w:rPr>
          <w:rFonts w:hint="eastAsia" w:ascii="宋体" w:hAnsi="宋体" w:eastAsia="宋体" w:cs="宋体"/>
          <w:kern w:val="0"/>
          <w:sz w:val="24"/>
          <w:szCs w:val="24"/>
          <w:lang w:eastAsia="zh-CN"/>
        </w:rPr>
        <w:t>哈密市伊州区</w:t>
      </w:r>
    </w:p>
    <w:p>
      <w:pPr>
        <w:widowControl/>
        <w:spacing w:line="360" w:lineRule="auto"/>
        <w:ind w:firstLine="480" w:firstLineChars="200"/>
        <w:contextualSpacing/>
        <w:rPr>
          <w:rFonts w:ascii="宋体" w:hAnsi="宋体" w:eastAsia="宋体" w:cs="宋体"/>
          <w:kern w:val="0"/>
          <w:sz w:val="24"/>
          <w:szCs w:val="24"/>
        </w:rPr>
      </w:pPr>
      <w:r>
        <w:rPr>
          <w:rFonts w:ascii="宋体" w:hAnsi="宋体" w:eastAsia="宋体" w:cs="宋体"/>
          <w:kern w:val="0"/>
          <w:sz w:val="24"/>
          <w:szCs w:val="24"/>
        </w:rPr>
        <w:t>联系方式：</w:t>
      </w:r>
      <w:r>
        <w:rPr>
          <w:rFonts w:hint="eastAsia" w:ascii="宋体" w:hAnsi="宋体" w:eastAsia="宋体" w:cs="宋体"/>
          <w:sz w:val="24"/>
          <w:szCs w:val="24"/>
          <w:lang w:val="en-US" w:eastAsia="zh-CN"/>
        </w:rPr>
        <w:t>17799356239</w:t>
      </w:r>
    </w:p>
    <w:p>
      <w:pPr>
        <w:widowControl/>
        <w:spacing w:line="360" w:lineRule="auto"/>
        <w:ind w:firstLine="480" w:firstLineChars="200"/>
        <w:contextualSpacing/>
        <w:rPr>
          <w:rFonts w:ascii="宋体" w:hAnsi="宋体" w:eastAsia="宋体" w:cs="宋体"/>
          <w:kern w:val="0"/>
          <w:sz w:val="24"/>
          <w:szCs w:val="24"/>
        </w:rPr>
      </w:pPr>
      <w:bookmarkStart w:id="37" w:name="_Toc8708"/>
      <w:bookmarkStart w:id="38" w:name="_Toc19993"/>
      <w:r>
        <w:rPr>
          <w:rFonts w:hint="eastAsia" w:ascii="宋体" w:hAnsi="宋体" w:eastAsia="宋体" w:cs="宋体"/>
          <w:kern w:val="0"/>
          <w:sz w:val="24"/>
          <w:szCs w:val="24"/>
        </w:rPr>
        <w:t>2.采购代理机构信息</w:t>
      </w:r>
      <w:bookmarkEnd w:id="33"/>
      <w:bookmarkEnd w:id="34"/>
      <w:bookmarkEnd w:id="35"/>
      <w:bookmarkEnd w:id="36"/>
      <w:bookmarkEnd w:id="37"/>
      <w:bookmarkEnd w:id="38"/>
    </w:p>
    <w:p>
      <w:pPr>
        <w:widowControl/>
        <w:spacing w:line="360" w:lineRule="auto"/>
        <w:ind w:firstLine="480" w:firstLineChars="200"/>
        <w:contextualSpacing/>
        <w:rPr>
          <w:rFonts w:hint="eastAsia" w:ascii="宋体" w:hAnsi="宋体" w:eastAsia="宋体" w:cs="宋体"/>
          <w:kern w:val="0"/>
          <w:sz w:val="24"/>
          <w:szCs w:val="24"/>
          <w:lang w:eastAsia="zh-CN"/>
        </w:rPr>
      </w:pPr>
      <w:r>
        <w:rPr>
          <w:rFonts w:hint="eastAsia" w:ascii="宋体" w:hAnsi="宋体" w:eastAsia="宋体" w:cs="宋体"/>
          <w:kern w:val="0"/>
          <w:sz w:val="24"/>
          <w:szCs w:val="24"/>
        </w:rPr>
        <w:t>名    称：</w:t>
      </w:r>
      <w:r>
        <w:rPr>
          <w:rFonts w:hint="eastAsia" w:ascii="宋体" w:hAnsi="宋体" w:eastAsia="宋体" w:cs="宋体"/>
          <w:kern w:val="0"/>
          <w:sz w:val="24"/>
          <w:szCs w:val="24"/>
          <w:lang w:eastAsia="zh-CN"/>
        </w:rPr>
        <w:t>新疆飞腾达工程项目管理咨询有限公司</w:t>
      </w:r>
    </w:p>
    <w:p>
      <w:pPr>
        <w:widowControl/>
        <w:spacing w:line="360" w:lineRule="auto"/>
        <w:ind w:firstLine="480" w:firstLineChars="200"/>
        <w:contextualSpacing/>
        <w:rPr>
          <w:rFonts w:hint="eastAsia" w:ascii="宋体" w:hAnsi="宋体" w:eastAsia="宋体" w:cs="宋体"/>
          <w:kern w:val="0"/>
          <w:sz w:val="24"/>
          <w:szCs w:val="24"/>
          <w:lang w:eastAsia="zh-CN"/>
        </w:rPr>
      </w:pPr>
      <w:r>
        <w:rPr>
          <w:rFonts w:hint="eastAsia" w:ascii="宋体" w:hAnsi="宋体" w:eastAsia="宋体" w:cs="宋体"/>
          <w:kern w:val="0"/>
          <w:sz w:val="24"/>
          <w:szCs w:val="24"/>
        </w:rPr>
        <w:t>地　　址：</w:t>
      </w:r>
      <w:r>
        <w:rPr>
          <w:rFonts w:hint="eastAsia" w:ascii="宋体" w:hAnsi="宋体" w:eastAsia="宋体" w:cs="宋体"/>
          <w:kern w:val="0"/>
          <w:sz w:val="24"/>
          <w:szCs w:val="24"/>
          <w:lang w:eastAsia="zh-CN"/>
        </w:rPr>
        <w:t>哈密市伊州区百花路红星名筑21楼</w:t>
      </w:r>
    </w:p>
    <w:p>
      <w:pPr>
        <w:widowControl/>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联系方式：0902-2377688</w:t>
      </w:r>
    </w:p>
    <w:p>
      <w:pPr>
        <w:widowControl/>
        <w:spacing w:line="360" w:lineRule="auto"/>
        <w:ind w:firstLine="480" w:firstLineChars="200"/>
        <w:contextualSpacing/>
        <w:rPr>
          <w:rFonts w:ascii="宋体" w:hAnsi="宋体" w:eastAsia="宋体" w:cs="宋体"/>
          <w:kern w:val="0"/>
          <w:sz w:val="24"/>
          <w:szCs w:val="24"/>
        </w:rPr>
      </w:pPr>
      <w:bookmarkStart w:id="39" w:name="_Toc25180"/>
      <w:bookmarkStart w:id="40" w:name="_Toc25597"/>
      <w:r>
        <w:rPr>
          <w:rFonts w:hint="eastAsia" w:ascii="宋体" w:hAnsi="宋体" w:eastAsia="宋体" w:cs="宋体"/>
          <w:kern w:val="0"/>
          <w:sz w:val="24"/>
          <w:szCs w:val="24"/>
        </w:rPr>
        <w:t>3.项目联系方式</w:t>
      </w:r>
      <w:bookmarkEnd w:id="39"/>
      <w:bookmarkEnd w:id="40"/>
    </w:p>
    <w:p>
      <w:pPr>
        <w:widowControl/>
        <w:spacing w:line="360" w:lineRule="auto"/>
        <w:ind w:firstLine="480" w:firstLineChars="200"/>
        <w:contextualSpacing/>
        <w:rPr>
          <w:rFonts w:hint="default" w:ascii="宋体" w:hAnsi="宋体" w:eastAsia="宋体" w:cs="宋体"/>
          <w:kern w:val="0"/>
          <w:sz w:val="24"/>
          <w:szCs w:val="24"/>
          <w:lang w:val="en-US" w:eastAsia="zh-CN"/>
        </w:rPr>
      </w:pPr>
      <w:r>
        <w:rPr>
          <w:rFonts w:hint="eastAsia" w:ascii="宋体" w:hAnsi="宋体" w:eastAsia="宋体" w:cs="宋体"/>
          <w:kern w:val="0"/>
          <w:sz w:val="24"/>
          <w:szCs w:val="24"/>
        </w:rPr>
        <w:t>项目联系人：</w:t>
      </w:r>
      <w:r>
        <w:rPr>
          <w:rFonts w:hint="eastAsia" w:ascii="宋体" w:hAnsi="宋体" w:eastAsia="宋体" w:cs="宋体"/>
          <w:kern w:val="0"/>
          <w:sz w:val="24"/>
          <w:szCs w:val="24"/>
          <w:lang w:val="en-US" w:eastAsia="zh-CN"/>
        </w:rPr>
        <w:t>郭旭</w:t>
      </w:r>
    </w:p>
    <w:p>
      <w:pPr>
        <w:ind w:firstLine="480" w:firstLineChars="200"/>
        <w:rPr>
          <w:rFonts w:ascii="Times New Roman" w:hAnsi="Times New Roman" w:eastAsia="宋体" w:cs="Times New Roman"/>
          <w:sz w:val="24"/>
        </w:rPr>
      </w:pPr>
      <w:r>
        <w:rPr>
          <w:rFonts w:hint="eastAsia" w:ascii="宋体" w:hAnsi="宋体" w:eastAsia="宋体" w:cs="Times New Roman"/>
          <w:sz w:val="24"/>
        </w:rPr>
        <w:t>联系方式：15999339033</w:t>
      </w:r>
    </w:p>
    <w:p>
      <w:bookmarkStart w:id="41" w:name="_GoBack"/>
      <w:bookmarkEnd w:id="4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yN2VhYzM3ZGJkMjM4ZGRkNTRkYTM3ODdjMjc5Y2UifQ=="/>
  </w:docVars>
  <w:rsids>
    <w:rsidRoot w:val="7E90630B"/>
    <w:rsid w:val="05522B00"/>
    <w:rsid w:val="5B026DFF"/>
    <w:rsid w:val="7E9063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keepNext/>
      <w:keepLines/>
      <w:spacing w:before="260" w:after="260" w:line="413" w:lineRule="auto"/>
      <w:outlineLvl w:val="1"/>
    </w:pPr>
    <w:rPr>
      <w:rFonts w:ascii="Arial" w:hAnsi="Arial" w:eastAsia="黑体" w:cs="Times New Roman"/>
      <w:b/>
      <w:sz w:val="32"/>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a heading"/>
    <w:basedOn w:val="1"/>
    <w:next w:val="1"/>
    <w:unhideWhenUsed/>
    <w:qFormat/>
    <w:uiPriority w:val="99"/>
    <w:pPr>
      <w:ind w:firstLine="883" w:firstLineChars="200"/>
    </w:pPr>
    <w:rPr>
      <w:rFonts w:ascii="Arial" w:hAnsi="Arial" w:eastAsia="宋体" w:cs="Times New Roman"/>
      <w:sz w:val="24"/>
    </w:rPr>
  </w:style>
  <w:style w:type="paragraph" w:styleId="4">
    <w:name w:val="Body Text"/>
    <w:basedOn w:val="1"/>
    <w:next w:val="1"/>
    <w:qFormat/>
    <w:uiPriority w:val="0"/>
    <w:rPr>
      <w:b/>
      <w:color w:val="0000FF"/>
      <w:sz w:val="24"/>
    </w:rPr>
  </w:style>
  <w:style w:type="paragraph" w:customStyle="1" w:styleId="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
    <w:name w:val="正文_1"/>
    <w:qFormat/>
    <w:uiPriority w:val="99"/>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1498</Words>
  <Characters>1736</Characters>
  <Lines>0</Lines>
  <Paragraphs>0</Paragraphs>
  <TotalTime>0</TotalTime>
  <ScaleCrop>false</ScaleCrop>
  <LinksUpToDate>false</LinksUpToDate>
  <CharactersWithSpaces>1756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2022-06-09T02:55:00Z</dcterms:created>
  <dc:creator>心在打伞</dc:creator>
  <cp:lastModifiedBy>心在打伞</cp:lastModifiedBy>
  <dcterms:modified xsi:type="dcterms:W3CDTF">2022-06-21T08:26:09Z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87AB6B62DDDC470FB6A825A474B94A94</vt:lpwstr>
  </property>
</Properties>
</file>