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utlineLvl w:val="9"/>
        <w:rPr>
          <w:rFonts w:hint="eastAsia" w:ascii="黑体" w:hAnsi="黑体" w:eastAsia="黑体" w:cs="黑体"/>
          <w:color w:val="auto"/>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spacing w:line="360" w:lineRule="auto"/>
        <w:jc w:val="both"/>
        <w:rPr>
          <w:rFonts w:hint="eastAsia" w:ascii="黑体" w:hAnsi="黑体" w:eastAsia="黑体" w:cs="黑体"/>
          <w:b/>
          <w:color w:val="auto"/>
          <w:sz w:val="44"/>
          <w:szCs w:val="44"/>
          <w:highlight w:val="none"/>
        </w:rPr>
      </w:pPr>
    </w:p>
    <w:p>
      <w:pPr>
        <w:spacing w:line="360" w:lineRule="auto"/>
        <w:jc w:val="center"/>
        <w:rPr>
          <w:rFonts w:hint="eastAsia" w:ascii="黑体" w:hAnsi="黑体" w:eastAsia="黑体" w:cs="黑体"/>
          <w:b/>
          <w:color w:val="auto"/>
          <w:sz w:val="40"/>
          <w:szCs w:val="40"/>
          <w:highlight w:val="none"/>
          <w:lang w:eastAsia="zh-CN"/>
        </w:rPr>
      </w:pPr>
      <w:r>
        <w:rPr>
          <w:rFonts w:hint="eastAsia" w:ascii="黑体" w:hAnsi="黑体" w:eastAsia="黑体" w:cs="黑体"/>
          <w:b/>
          <w:color w:val="auto"/>
          <w:sz w:val="40"/>
          <w:szCs w:val="40"/>
          <w:highlight w:val="none"/>
          <w:lang w:eastAsia="zh-CN"/>
        </w:rPr>
        <w:t>轮台县卫生健康委员会核酸检测实验室医疗设备采购项目</w:t>
      </w:r>
    </w:p>
    <w:p>
      <w:pPr>
        <w:spacing w:line="360" w:lineRule="auto"/>
        <w:jc w:val="center"/>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招标文件</w:t>
      </w:r>
    </w:p>
    <w:p>
      <w:pPr>
        <w:pStyle w:val="8"/>
        <w:jc w:val="center"/>
        <w:rPr>
          <w:rFonts w:hint="eastAsia" w:ascii="黑体" w:hAnsi="黑体" w:eastAsia="黑体" w:cs="黑体"/>
          <w:lang w:val="en-US" w:eastAsia="zh-CN"/>
        </w:rPr>
      </w:pPr>
    </w:p>
    <w:p>
      <w:pPr>
        <w:jc w:val="center"/>
        <w:rPr>
          <w:rFonts w:hint="eastAsia" w:ascii="黑体" w:hAnsi="黑体" w:eastAsia="黑体" w:cs="黑体"/>
          <w:b/>
          <w:color w:val="auto"/>
          <w:sz w:val="48"/>
          <w:szCs w:val="48"/>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spacing w:before="14"/>
        <w:ind w:left="0"/>
        <w:rPr>
          <w:rFonts w:hint="eastAsia" w:ascii="黑体" w:hAnsi="黑体" w:eastAsia="黑体" w:cs="黑体"/>
          <w:color w:val="auto"/>
          <w:sz w:val="28"/>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spacing w:before="7"/>
        <w:ind w:left="0"/>
        <w:rPr>
          <w:rFonts w:hint="eastAsia" w:ascii="黑体" w:hAnsi="黑体" w:eastAsia="黑体" w:cs="黑体"/>
          <w:color w:val="auto"/>
          <w:highlight w:val="none"/>
        </w:rPr>
      </w:pPr>
    </w:p>
    <w:p>
      <w:pPr>
        <w:widowControl/>
        <w:spacing w:line="360" w:lineRule="auto"/>
        <w:ind w:left="2879" w:leftChars="763" w:right="565" w:rightChars="257" w:hanging="1200" w:hangingChars="500"/>
        <w:jc w:val="left"/>
        <w:rPr>
          <w:rFonts w:hint="eastAsia" w:ascii="黑体" w:hAnsi="黑体" w:eastAsia="黑体" w:cs="黑体"/>
          <w:color w:val="auto"/>
          <w:sz w:val="24"/>
          <w:szCs w:val="24"/>
          <w:highlight w:val="none"/>
          <w:lang w:eastAsia="zh-CN"/>
        </w:rPr>
      </w:pPr>
      <w:bookmarkStart w:id="0" w:name="_Toc26945"/>
      <w:bookmarkStart w:id="1" w:name="_Toc11923"/>
      <w:r>
        <w:rPr>
          <w:rFonts w:hint="eastAsia" w:ascii="黑体" w:hAnsi="黑体" w:eastAsia="黑体" w:cs="黑体"/>
          <w:color w:val="auto"/>
          <w:sz w:val="24"/>
          <w:szCs w:val="24"/>
          <w:highlight w:val="none"/>
        </w:rPr>
        <w:t>项目名称：</w:t>
      </w:r>
      <w:bookmarkEnd w:id="0"/>
      <w:bookmarkEnd w:id="1"/>
      <w:r>
        <w:rPr>
          <w:rFonts w:hint="eastAsia" w:ascii="黑体" w:hAnsi="黑体" w:eastAsia="黑体" w:cs="黑体"/>
          <w:color w:val="auto"/>
          <w:sz w:val="24"/>
          <w:szCs w:val="24"/>
          <w:highlight w:val="none"/>
          <w:lang w:eastAsia="zh-CN"/>
        </w:rPr>
        <w:t>轮台县卫生健康委员会核酸检测实验室医疗设备采购项目</w:t>
      </w:r>
    </w:p>
    <w:p>
      <w:pPr>
        <w:pStyle w:val="15"/>
        <w:spacing w:line="360" w:lineRule="auto"/>
        <w:ind w:firstLine="1680" w:firstLineChars="7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项目编号：XJANZFCG-2022-00</w:t>
      </w:r>
      <w:r>
        <w:rPr>
          <w:rFonts w:hint="eastAsia" w:ascii="黑体" w:hAnsi="黑体" w:eastAsia="黑体" w:cs="黑体"/>
          <w:color w:val="auto"/>
          <w:sz w:val="24"/>
          <w:szCs w:val="24"/>
          <w:highlight w:val="none"/>
          <w:lang w:val="en-US" w:eastAsia="zh-CN"/>
        </w:rPr>
        <w:t>6</w:t>
      </w:r>
    </w:p>
    <w:p>
      <w:pPr>
        <w:widowControl/>
        <w:spacing w:line="360" w:lineRule="auto"/>
        <w:ind w:right="565" w:rightChars="257" w:firstLine="1680" w:firstLineChars="70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w:t>
      </w:r>
      <w:r>
        <w:rPr>
          <w:rFonts w:hint="eastAsia" w:ascii="黑体" w:hAnsi="黑体" w:eastAsia="黑体" w:cs="黑体"/>
          <w:color w:val="auto"/>
          <w:sz w:val="24"/>
          <w:szCs w:val="24"/>
          <w:highlight w:val="none"/>
          <w:lang w:val="en-US"/>
        </w:rPr>
        <w:t xml:space="preserve">  </w:t>
      </w:r>
      <w:r>
        <w:rPr>
          <w:rFonts w:hint="eastAsia" w:ascii="黑体" w:hAnsi="黑体" w:eastAsia="黑体" w:cs="黑体"/>
          <w:color w:val="auto"/>
          <w:sz w:val="24"/>
          <w:szCs w:val="24"/>
          <w:highlight w:val="none"/>
        </w:rPr>
        <w:t>购</w:t>
      </w:r>
      <w:r>
        <w:rPr>
          <w:rFonts w:hint="eastAsia" w:ascii="黑体" w:hAnsi="黑体" w:eastAsia="黑体" w:cs="黑体"/>
          <w:color w:val="auto"/>
          <w:sz w:val="24"/>
          <w:szCs w:val="24"/>
          <w:highlight w:val="none"/>
          <w:lang w:val="en-US"/>
        </w:rPr>
        <w:t xml:space="preserve"> </w:t>
      </w:r>
      <w:r>
        <w:rPr>
          <w:rFonts w:hint="eastAsia" w:ascii="黑体" w:hAnsi="黑体" w:eastAsia="黑体" w:cs="黑体"/>
          <w:color w:val="auto"/>
          <w:sz w:val="24"/>
          <w:szCs w:val="24"/>
          <w:highlight w:val="none"/>
        </w:rPr>
        <w:t>人：轮台县卫生健康委员会</w:t>
      </w:r>
    </w:p>
    <w:p>
      <w:pPr>
        <w:widowControl/>
        <w:spacing w:line="360" w:lineRule="auto"/>
        <w:ind w:right="565" w:rightChars="257" w:firstLine="1680" w:firstLineChars="700"/>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代理机构：新疆安航工程项目管理有限公司</w:t>
      </w:r>
    </w:p>
    <w:p>
      <w:pPr>
        <w:widowControl/>
        <w:spacing w:line="360" w:lineRule="auto"/>
        <w:ind w:right="565" w:rightChars="257" w:firstLine="1680" w:firstLineChars="700"/>
        <w:jc w:val="both"/>
        <w:rPr>
          <w:rFonts w:hint="eastAsia" w:ascii="黑体" w:hAnsi="黑体" w:eastAsia="黑体" w:cs="黑体"/>
          <w:color w:val="auto"/>
          <w:sz w:val="24"/>
          <w:szCs w:val="24"/>
          <w:highlight w:val="none"/>
          <w:lang w:val="en-US" w:eastAsia="zh-CN"/>
        </w:rPr>
        <w:sectPr>
          <w:footerReference r:id="rId3" w:type="default"/>
          <w:type w:val="continuous"/>
          <w:pgSz w:w="11910" w:h="16850"/>
          <w:pgMar w:top="720" w:right="567" w:bottom="720" w:left="567" w:header="879" w:footer="1066" w:gutter="0"/>
          <w:pgNumType w:start="1"/>
          <w:cols w:space="720" w:num="1"/>
          <w:docGrid w:linePitch="299" w:charSpace="0"/>
        </w:sectPr>
      </w:pPr>
      <w:r>
        <w:rPr>
          <w:rFonts w:hint="eastAsia" w:ascii="黑体" w:hAnsi="黑体" w:eastAsia="黑体" w:cs="黑体"/>
          <w:color w:val="auto"/>
          <w:sz w:val="24"/>
          <w:szCs w:val="24"/>
          <w:highlight w:val="none"/>
          <w:lang w:val="en-US" w:eastAsia="zh-CN"/>
        </w:rPr>
        <w:t>日    期：2022年5月</w:t>
      </w:r>
    </w:p>
    <w:sdt>
      <w:sdtPr>
        <w:rPr>
          <w:rFonts w:hint="eastAsia" w:ascii="黑体" w:hAnsi="黑体" w:eastAsia="黑体" w:cs="黑体"/>
          <w:sz w:val="28"/>
          <w:szCs w:val="28"/>
          <w:lang w:val="zh-CN" w:eastAsia="zh-CN" w:bidi="zh-CN"/>
        </w:rPr>
        <w:id w:val="147458594"/>
        <w15:color w:val="DBDBDB"/>
        <w:docPartObj>
          <w:docPartGallery w:val="Table of Contents"/>
          <w:docPartUnique/>
        </w:docPartObj>
      </w:sdtPr>
      <w:sdtEndPr>
        <w:rPr>
          <w:rFonts w:hint="eastAsia" w:ascii="黑体" w:hAnsi="黑体" w:eastAsia="黑体" w:cs="黑体"/>
          <w:b w:val="0"/>
          <w:bCs w:val="0"/>
          <w:color w:val="auto"/>
          <w:kern w:val="36"/>
          <w:sz w:val="24"/>
          <w:szCs w:val="24"/>
          <w:highlight w:val="none"/>
          <w:lang w:val="zh-CN" w:eastAsia="zh-CN" w:bidi="zh-CN"/>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8"/>
              <w:szCs w:val="28"/>
            </w:rPr>
          </w:pPr>
          <w:bookmarkStart w:id="2" w:name="_bookmark0"/>
          <w:bookmarkEnd w:id="2"/>
          <w:bookmarkStart w:id="3" w:name="_bookmark1"/>
          <w:bookmarkEnd w:id="3"/>
          <w:bookmarkStart w:id="4" w:name="第二章_投标供应商须知前附表"/>
          <w:bookmarkEnd w:id="4"/>
          <w:bookmarkStart w:id="5" w:name="第一章_投标邀请（招标公告）"/>
          <w:bookmarkEnd w:id="5"/>
          <w:r>
            <w:rPr>
              <w:rFonts w:hint="eastAsia" w:ascii="黑体" w:hAnsi="黑体" w:eastAsia="黑体" w:cs="黑体"/>
              <w:sz w:val="28"/>
              <w:szCs w:val="28"/>
            </w:rPr>
            <w:t>目录</w:t>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color w:val="auto"/>
              <w:kern w:val="36"/>
              <w:sz w:val="24"/>
              <w:szCs w:val="24"/>
              <w:highlight w:val="none"/>
              <w:lang w:eastAsia="zh-CN"/>
            </w:rPr>
            <w:instrText xml:space="preserve">TOC \o "1-1" \h \u </w:instrText>
          </w:r>
          <w:r>
            <w:rPr>
              <w:rFonts w:hint="eastAsia" w:ascii="黑体" w:hAnsi="黑体" w:eastAsia="黑体" w:cs="黑体"/>
              <w:b w:val="0"/>
              <w:bCs w:val="0"/>
              <w:color w:val="auto"/>
              <w:kern w:val="36"/>
              <w:sz w:val="24"/>
              <w:szCs w:val="24"/>
              <w:highlight w:val="none"/>
              <w:lang w:eastAsia="zh-CN"/>
            </w:rPr>
            <w:fldChar w:fldCharType="separate"/>
          </w: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_Toc15961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36"/>
              <w:sz w:val="24"/>
              <w:szCs w:val="24"/>
              <w:highlight w:val="none"/>
            </w:rPr>
            <w:t>公开</w:t>
          </w:r>
          <w:r>
            <w:rPr>
              <w:rFonts w:hint="eastAsia" w:ascii="黑体" w:hAnsi="黑体" w:eastAsia="黑体" w:cs="黑体"/>
              <w:b w:val="0"/>
              <w:bCs w:val="0"/>
              <w:kern w:val="36"/>
              <w:sz w:val="24"/>
              <w:szCs w:val="24"/>
              <w:highlight w:val="none"/>
              <w:lang w:val="en-US" w:eastAsia="zh-CN"/>
            </w:rPr>
            <w:t>招</w:t>
          </w:r>
          <w:r>
            <w:rPr>
              <w:rFonts w:hint="eastAsia" w:ascii="黑体" w:hAnsi="黑体" w:eastAsia="黑体" w:cs="黑体"/>
              <w:b w:val="0"/>
              <w:bCs w:val="0"/>
              <w:kern w:val="36"/>
              <w:sz w:val="24"/>
              <w:szCs w:val="24"/>
              <w:highlight w:val="none"/>
            </w:rPr>
            <w:t>标公告</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_Toc15961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_Toc3447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一、项目基本情况</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_Toc3447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_Toc23438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二、投标人资格要求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_Toc23438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_Toc28517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三、本项目需落实的政策</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_Toc28517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_Toc26685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四、投标报名时间及地点</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_Toc26685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2</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_Toc5075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第二章 投标供应商须知前附表</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_Toc5075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3</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_Toc19953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第三章 投标供应商须知</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_Toc19953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9</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_Toc5817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第四章 评标办法</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_Toc5817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27</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_Toc18985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第五章</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政府采购合同</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_Toc18985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31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_Toc23023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 xml:space="preserve">第六章 </w:t>
          </w:r>
          <w:r>
            <w:rPr>
              <w:rFonts w:hint="eastAsia" w:ascii="黑体" w:hAnsi="黑体" w:eastAsia="黑体" w:cs="黑体"/>
              <w:b w:val="0"/>
              <w:bCs w:val="0"/>
              <w:sz w:val="24"/>
              <w:szCs w:val="24"/>
              <w:highlight w:val="none"/>
            </w:rPr>
            <w:t>采购货物需求及货物参数</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_Toc23023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43</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_Toc11479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t>设备技术要求及主要性能参数</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_Toc11479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45</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_Toc22729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第七章</w:t>
          </w:r>
          <w:r>
            <w:rPr>
              <w:rFonts w:hint="eastAsia" w:ascii="黑体" w:hAnsi="黑体" w:eastAsia="黑体" w:cs="黑体"/>
              <w:b w:val="0"/>
              <w:bCs w:val="0"/>
              <w:sz w:val="24"/>
              <w:szCs w:val="24"/>
              <w:highlight w:val="none"/>
              <w:lang w:val="en-US" w:eastAsia="zh-CN"/>
            </w:rPr>
            <w:t xml:space="preserve">  </w:t>
          </w:r>
          <w:r>
            <w:rPr>
              <w:rFonts w:hint="eastAsia" w:ascii="黑体" w:hAnsi="黑体" w:eastAsia="黑体" w:cs="黑体"/>
              <w:b w:val="0"/>
              <w:bCs w:val="0"/>
              <w:sz w:val="24"/>
              <w:szCs w:val="24"/>
              <w:highlight w:val="none"/>
            </w:rPr>
            <w:t>投标文件格式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_Toc22729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50</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_Toc31490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1</w:t>
          </w:r>
          <w:r>
            <w:rPr>
              <w:rFonts w:hint="eastAsia" w:ascii="黑体" w:hAnsi="黑体" w:eastAsia="黑体" w:cs="黑体"/>
              <w:b w:val="0"/>
              <w:bCs w:val="0"/>
              <w:kern w:val="0"/>
              <w:sz w:val="24"/>
              <w:szCs w:val="24"/>
              <w:lang w:val="en-US" w:eastAsia="zh-CN" w:bidi="zh-CN"/>
            </w:rPr>
            <w:t xml:space="preserve"> </w:t>
          </w:r>
          <w:r>
            <w:rPr>
              <w:rFonts w:hint="eastAsia" w:ascii="黑体" w:hAnsi="黑体" w:eastAsia="黑体" w:cs="黑体"/>
              <w:b w:val="0"/>
              <w:bCs w:val="0"/>
              <w:kern w:val="0"/>
              <w:sz w:val="24"/>
              <w:szCs w:val="24"/>
              <w:lang w:val="zh-CN" w:bidi="zh-CN"/>
            </w:rPr>
            <w:t>营业执照副本；</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_Toc31490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_Toc31702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2</w:t>
          </w:r>
          <w:r>
            <w:rPr>
              <w:rFonts w:hint="eastAsia" w:ascii="黑体" w:hAnsi="黑体" w:eastAsia="黑体" w:cs="黑体"/>
              <w:b w:val="0"/>
              <w:bCs w:val="0"/>
              <w:kern w:val="0"/>
              <w:sz w:val="24"/>
              <w:szCs w:val="24"/>
              <w:lang w:val="en-US" w:eastAsia="zh-CN" w:bidi="zh-CN"/>
            </w:rPr>
            <w:t xml:space="preserve"> </w:t>
          </w:r>
          <w:r>
            <w:rPr>
              <w:rFonts w:hint="eastAsia" w:ascii="黑体" w:hAnsi="黑体" w:eastAsia="黑体" w:cs="黑体"/>
              <w:b w:val="0"/>
              <w:bCs w:val="0"/>
              <w:kern w:val="0"/>
              <w:sz w:val="24"/>
              <w:szCs w:val="24"/>
              <w:lang w:val="zh-CN" w:bidi="zh-CN"/>
            </w:rPr>
            <w:t>法定代表人身份证和相关资格证明文件；</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_Toc31702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_Toc6245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3</w:t>
          </w:r>
          <w:r>
            <w:rPr>
              <w:rFonts w:hint="eastAsia" w:ascii="黑体" w:hAnsi="黑体" w:eastAsia="黑体" w:cs="黑体"/>
              <w:b w:val="0"/>
              <w:bCs w:val="0"/>
              <w:kern w:val="0"/>
              <w:sz w:val="24"/>
              <w:szCs w:val="24"/>
              <w:lang w:val="en-US" w:eastAsia="zh-CN" w:bidi="zh-CN"/>
            </w:rPr>
            <w:t xml:space="preserve"> </w:t>
          </w:r>
          <w:r>
            <w:rPr>
              <w:rFonts w:hint="eastAsia" w:ascii="黑体" w:hAnsi="黑体" w:eastAsia="黑体" w:cs="黑体"/>
              <w:b w:val="0"/>
              <w:bCs w:val="0"/>
              <w:kern w:val="0"/>
              <w:sz w:val="24"/>
              <w:szCs w:val="24"/>
              <w:lang w:val="zh-CN" w:bidi="zh-CN"/>
            </w:rPr>
            <w:t>缴税、社保证明材料；</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_Toc6245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_Toc16898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4 具有健全会计制度的证明材料；</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_Toc16898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_Toc29181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5 资格要求中要求其他证明材料；</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_Toc29181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_Toc7054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6 节能产品认证证书（如有）；</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_Toc7054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_Toc29315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7 环保产品认证证书（如有）；</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_Toc29315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_Toc12824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8 开户许可证；</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_Toc12824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_Toc10156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9</w:t>
          </w:r>
          <w:r>
            <w:rPr>
              <w:rFonts w:hint="eastAsia" w:ascii="黑体" w:hAnsi="黑体" w:eastAsia="黑体" w:cs="黑体"/>
              <w:b w:val="0"/>
              <w:bCs w:val="0"/>
              <w:kern w:val="0"/>
              <w:sz w:val="24"/>
              <w:szCs w:val="24"/>
              <w:lang w:val="en-US" w:eastAsia="zh-CN" w:bidi="zh-CN"/>
            </w:rPr>
            <w:t xml:space="preserve"> </w:t>
          </w:r>
          <w:r>
            <w:rPr>
              <w:rFonts w:hint="eastAsia" w:ascii="黑体" w:hAnsi="黑体" w:eastAsia="黑体" w:cs="黑体"/>
              <w:b w:val="0"/>
              <w:bCs w:val="0"/>
              <w:kern w:val="0"/>
              <w:sz w:val="24"/>
              <w:szCs w:val="24"/>
              <w:lang w:val="zh-CN" w:bidi="zh-CN"/>
            </w:rPr>
            <w:t>其他相关证明资料。</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_Toc10156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_Toc25833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t>监狱企业证明文件</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_Toc25833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59</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_Toc25203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2.残疾人福利性单位声明函</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_Toc25203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59</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_Toc23680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3.中小企业申明函</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_Toc23680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59</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_Toc7947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投标单位(供应商)反商业贿赂承诺书</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_Toc7947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60</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_Toc27464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第八章评分标准</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_Toc27464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spacing w:after="240" w:afterLines="100" w:line="240" w:lineRule="auto"/>
            <w:ind w:right="567"/>
            <w:jc w:val="center"/>
            <w:outlineLvl w:val="9"/>
            <w:rPr>
              <w:rFonts w:hint="eastAsia" w:ascii="黑体" w:hAnsi="黑体" w:eastAsia="黑体" w:cs="黑体"/>
              <w:b w:val="0"/>
              <w:bCs w:val="0"/>
              <w:color w:val="auto"/>
              <w:kern w:val="36"/>
              <w:sz w:val="24"/>
              <w:szCs w:val="24"/>
              <w:highlight w:val="none"/>
              <w:lang w:eastAsia="zh-CN"/>
            </w:rPr>
            <w:sectPr>
              <w:footerReference r:id="rId4" w:type="default"/>
              <w:pgSz w:w="11910" w:h="16850"/>
              <w:pgMar w:top="1440" w:right="1080" w:bottom="1440" w:left="1080" w:header="877" w:footer="1068" w:gutter="0"/>
              <w:pgNumType w:start="1"/>
              <w:cols w:space="720" w:num="1"/>
            </w:sectPr>
          </w:pPr>
          <w:r>
            <w:rPr>
              <w:rFonts w:hint="eastAsia" w:ascii="黑体" w:hAnsi="黑体" w:eastAsia="黑体" w:cs="黑体"/>
              <w:b w:val="0"/>
              <w:bCs w:val="0"/>
              <w:color w:val="auto"/>
              <w:kern w:val="36"/>
              <w:sz w:val="24"/>
              <w:szCs w:val="24"/>
              <w:highlight w:val="none"/>
              <w:lang w:eastAsia="zh-CN"/>
            </w:rPr>
            <w:fldChar w:fldCharType="end"/>
          </w:r>
        </w:p>
      </w:sdtContent>
    </w:sdt>
    <w:p>
      <w:pPr>
        <w:spacing w:after="240" w:afterLines="100" w:line="600" w:lineRule="exact"/>
        <w:ind w:right="567"/>
        <w:jc w:val="center"/>
        <w:outlineLvl w:val="0"/>
        <w:rPr>
          <w:rFonts w:hint="eastAsia" w:ascii="黑体" w:hAnsi="黑体" w:eastAsia="黑体" w:cs="黑体"/>
          <w:b/>
          <w:bCs/>
          <w:color w:val="auto"/>
          <w:kern w:val="36"/>
          <w:sz w:val="32"/>
          <w:szCs w:val="32"/>
          <w:highlight w:val="none"/>
        </w:rPr>
      </w:pPr>
      <w:bookmarkStart w:id="6" w:name="_Toc15961"/>
      <w:r>
        <w:rPr>
          <w:rFonts w:hint="eastAsia" w:ascii="黑体" w:hAnsi="黑体" w:eastAsia="黑体" w:cs="黑体"/>
          <w:b/>
          <w:bCs/>
          <w:color w:val="auto"/>
          <w:kern w:val="36"/>
          <w:sz w:val="36"/>
          <w:szCs w:val="36"/>
          <w:highlight w:val="none"/>
          <w:lang w:eastAsia="zh-CN"/>
        </w:rPr>
        <w:t>轮台县卫生健康委员会核酸检测实验室医疗设备采购项目</w:t>
      </w:r>
      <w:r>
        <w:rPr>
          <w:rFonts w:hint="eastAsia" w:ascii="黑体" w:hAnsi="黑体" w:eastAsia="黑体" w:cs="黑体"/>
          <w:b/>
          <w:bCs/>
          <w:color w:val="auto"/>
          <w:kern w:val="36"/>
          <w:sz w:val="36"/>
          <w:szCs w:val="36"/>
          <w:highlight w:val="none"/>
        </w:rPr>
        <w:t>公开</w:t>
      </w:r>
      <w:r>
        <w:rPr>
          <w:rFonts w:hint="eastAsia" w:ascii="黑体" w:hAnsi="黑体" w:eastAsia="黑体" w:cs="黑体"/>
          <w:b/>
          <w:bCs/>
          <w:color w:val="auto"/>
          <w:kern w:val="36"/>
          <w:sz w:val="36"/>
          <w:szCs w:val="36"/>
          <w:highlight w:val="none"/>
          <w:lang w:val="en-US" w:eastAsia="zh-CN"/>
        </w:rPr>
        <w:t>招</w:t>
      </w:r>
      <w:r>
        <w:rPr>
          <w:rFonts w:hint="eastAsia" w:ascii="黑体" w:hAnsi="黑体" w:eastAsia="黑体" w:cs="黑体"/>
          <w:b/>
          <w:bCs/>
          <w:color w:val="auto"/>
          <w:kern w:val="36"/>
          <w:sz w:val="36"/>
          <w:szCs w:val="36"/>
          <w:highlight w:val="none"/>
        </w:rPr>
        <w:t>标公告</w:t>
      </w:r>
      <w:bookmarkEnd w:id="6"/>
    </w:p>
    <w:p>
      <w:pPr>
        <w:spacing w:line="460" w:lineRule="exact"/>
        <w:ind w:firstLine="480" w:firstLineChars="200"/>
        <w:rPr>
          <w:rFonts w:hint="eastAsia" w:ascii="黑体" w:hAnsi="黑体" w:eastAsia="黑体" w:cs="黑体"/>
          <w:b/>
          <w:color w:val="auto"/>
          <w:sz w:val="24"/>
          <w:szCs w:val="24"/>
          <w:highlight w:val="none"/>
        </w:rPr>
      </w:pPr>
      <w:r>
        <w:rPr>
          <w:rFonts w:hint="eastAsia" w:ascii="黑体" w:hAnsi="黑体" w:eastAsia="黑体" w:cs="黑体"/>
          <w:color w:val="auto"/>
          <w:sz w:val="24"/>
          <w:szCs w:val="24"/>
          <w:highlight w:val="none"/>
          <w:u w:val="single"/>
          <w:lang w:eastAsia="zh-CN"/>
        </w:rPr>
        <w:t>新疆安航工程项目管理有限公司</w:t>
      </w:r>
      <w:r>
        <w:rPr>
          <w:rFonts w:hint="eastAsia" w:ascii="黑体" w:hAnsi="黑体" w:eastAsia="黑体" w:cs="黑体"/>
          <w:color w:val="auto"/>
          <w:sz w:val="24"/>
          <w:szCs w:val="24"/>
          <w:highlight w:val="none"/>
        </w:rPr>
        <w:t>受</w:t>
      </w:r>
      <w:r>
        <w:rPr>
          <w:rFonts w:hint="eastAsia" w:ascii="黑体" w:hAnsi="黑体" w:eastAsia="黑体" w:cs="黑体"/>
          <w:color w:val="auto"/>
          <w:sz w:val="24"/>
          <w:szCs w:val="24"/>
          <w:highlight w:val="none"/>
          <w:u w:val="single"/>
        </w:rPr>
        <w:t>轮台县卫生健康委员会</w:t>
      </w:r>
      <w:r>
        <w:rPr>
          <w:rFonts w:hint="eastAsia" w:ascii="黑体" w:hAnsi="黑体" w:eastAsia="黑体" w:cs="黑体"/>
          <w:color w:val="auto"/>
          <w:sz w:val="24"/>
          <w:szCs w:val="24"/>
          <w:highlight w:val="none"/>
        </w:rPr>
        <w:t>委托，对</w:t>
      </w:r>
      <w:r>
        <w:rPr>
          <w:rFonts w:hint="eastAsia" w:ascii="黑体" w:hAnsi="黑体" w:eastAsia="黑体" w:cs="黑体"/>
          <w:color w:val="auto"/>
          <w:sz w:val="24"/>
          <w:szCs w:val="24"/>
          <w:highlight w:val="none"/>
          <w:u w:val="single"/>
          <w:lang w:eastAsia="zh-CN"/>
        </w:rPr>
        <w:t>轮台县卫生健康委员会核酸检测实验室医疗设备采购项目</w:t>
      </w:r>
      <w:r>
        <w:rPr>
          <w:rFonts w:hint="eastAsia" w:ascii="黑体" w:hAnsi="黑体" w:eastAsia="黑体" w:cs="黑体"/>
          <w:color w:val="auto"/>
          <w:sz w:val="24"/>
          <w:szCs w:val="24"/>
          <w:highlight w:val="none"/>
        </w:rPr>
        <w:t>进行公开招标，现邀请合格的投标人参加本项目投标。</w:t>
      </w:r>
    </w:p>
    <w:p>
      <w:pPr>
        <w:spacing w:line="460" w:lineRule="exact"/>
        <w:outlineLvl w:val="0"/>
        <w:rPr>
          <w:rFonts w:hint="eastAsia" w:ascii="黑体" w:hAnsi="黑体" w:eastAsia="黑体" w:cs="黑体"/>
          <w:b/>
          <w:color w:val="auto"/>
          <w:sz w:val="24"/>
          <w:szCs w:val="24"/>
          <w:highlight w:val="none"/>
        </w:rPr>
      </w:pPr>
      <w:bookmarkStart w:id="7" w:name="_Toc3447"/>
      <w:r>
        <w:rPr>
          <w:rFonts w:hint="eastAsia" w:ascii="黑体" w:hAnsi="黑体" w:eastAsia="黑体" w:cs="黑体"/>
          <w:b/>
          <w:color w:val="auto"/>
          <w:sz w:val="24"/>
          <w:szCs w:val="24"/>
          <w:highlight w:val="none"/>
        </w:rPr>
        <w:t>一、项目基本情况</w:t>
      </w:r>
      <w:bookmarkEnd w:id="7"/>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1、项目名称：</w:t>
      </w:r>
      <w:r>
        <w:rPr>
          <w:rFonts w:hint="eastAsia" w:ascii="黑体" w:hAnsi="黑体" w:eastAsia="黑体" w:cs="黑体"/>
          <w:color w:val="auto"/>
          <w:sz w:val="24"/>
          <w:szCs w:val="24"/>
          <w:highlight w:val="none"/>
          <w:lang w:eastAsia="zh-CN"/>
        </w:rPr>
        <w:t>轮台县卫生健康委员会核酸检测实验室医疗设备采购项目</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2、项目编号：</w:t>
      </w:r>
      <w:r>
        <w:rPr>
          <w:rFonts w:hint="eastAsia" w:ascii="黑体" w:hAnsi="黑体" w:eastAsia="黑体" w:cs="黑体"/>
          <w:color w:val="auto"/>
          <w:sz w:val="24"/>
          <w:szCs w:val="24"/>
          <w:highlight w:val="none"/>
          <w:lang w:eastAsia="zh-CN"/>
        </w:rPr>
        <w:t>XJAHZFCG-2022-006</w:t>
      </w:r>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3、采购单位：</w:t>
      </w:r>
      <w:r>
        <w:rPr>
          <w:rFonts w:hint="eastAsia" w:ascii="黑体" w:hAnsi="黑体" w:eastAsia="黑体" w:cs="黑体"/>
          <w:color w:val="auto"/>
          <w:sz w:val="24"/>
          <w:szCs w:val="24"/>
          <w:highlight w:val="none"/>
          <w:lang w:eastAsia="zh-CN"/>
        </w:rPr>
        <w:t>轮台县卫生健康委员会</w:t>
      </w:r>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4、代理机构：</w:t>
      </w:r>
      <w:r>
        <w:rPr>
          <w:rFonts w:hint="eastAsia" w:ascii="黑体" w:hAnsi="黑体" w:eastAsia="黑体" w:cs="黑体"/>
          <w:color w:val="auto"/>
          <w:sz w:val="24"/>
          <w:szCs w:val="24"/>
          <w:highlight w:val="none"/>
          <w:lang w:eastAsia="zh-CN"/>
        </w:rPr>
        <w:t>新疆安航工程项目管理有限公司</w:t>
      </w:r>
    </w:p>
    <w:p>
      <w:pPr>
        <w:rPr>
          <w:rFonts w:hint="eastAsia" w:ascii="黑体" w:hAnsi="黑体" w:eastAsia="黑体" w:cs="黑体"/>
          <w:color w:val="auto"/>
          <w:sz w:val="24"/>
          <w:szCs w:val="24"/>
          <w:highlight w:val="none"/>
        </w:rPr>
      </w:pPr>
    </w:p>
    <w:p>
      <w:pPr>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5、采购内容：</w:t>
      </w:r>
      <w:r>
        <w:rPr>
          <w:rFonts w:hint="eastAsia" w:ascii="黑体" w:hAnsi="黑体" w:eastAsia="黑体" w:cs="黑体"/>
          <w:color w:val="auto"/>
          <w:sz w:val="24"/>
          <w:szCs w:val="24"/>
          <w:highlight w:val="none"/>
          <w:lang w:val="en-US" w:eastAsia="zh-CN"/>
        </w:rPr>
        <w:t>临床检验专用冰箱、试管架、混匀振荡器、八联管离心机、微孔板离心机、医用洁净工作台、生物安全柜、立式压力蒸汽灭菌器、多用途恒温箱（干式恒温箱）、全自动医用PCR分析系统、全自动医用PCR分析系统</w:t>
      </w:r>
    </w:p>
    <w:p>
      <w:pPr>
        <w:rPr>
          <w:rFonts w:hint="eastAsia" w:ascii="黑体" w:hAnsi="黑体" w:eastAsia="黑体" w:cs="黑体"/>
          <w:color w:val="auto"/>
          <w:sz w:val="24"/>
          <w:szCs w:val="24"/>
          <w:highlight w:val="none"/>
          <w:lang w:val="en-US" w:eastAsia="zh-CN"/>
        </w:rPr>
      </w:pPr>
    </w:p>
    <w:p>
      <w:pP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5.1招标内容及要求：（详见第六章采购货物需求及货物参数）</w:t>
      </w:r>
    </w:p>
    <w:p>
      <w:pPr>
        <w:pStyle w:val="41"/>
        <w:ind w:left="0" w:leftChars="0" w:firstLine="0" w:firstLineChars="0"/>
        <w:rPr>
          <w:rFonts w:hint="eastAsia" w:ascii="黑体" w:hAnsi="黑体" w:eastAsia="黑体" w:cs="黑体"/>
          <w:sz w:val="24"/>
          <w:szCs w:val="24"/>
          <w:lang w:val="en-US" w:eastAsia="zh-CN"/>
        </w:rPr>
      </w:pPr>
    </w:p>
    <w:p>
      <w:pP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6、服务地点：</w:t>
      </w:r>
      <w:r>
        <w:rPr>
          <w:rFonts w:hint="eastAsia" w:ascii="黑体" w:hAnsi="黑体" w:eastAsia="黑体" w:cs="黑体"/>
          <w:color w:val="auto"/>
          <w:sz w:val="24"/>
          <w:szCs w:val="24"/>
          <w:highlight w:val="none"/>
          <w:lang w:val="en-US"/>
        </w:rPr>
        <w:t>采购单位</w:t>
      </w:r>
      <w:r>
        <w:rPr>
          <w:rFonts w:hint="eastAsia" w:ascii="黑体" w:hAnsi="黑体" w:eastAsia="黑体" w:cs="黑体"/>
          <w:color w:val="auto"/>
          <w:sz w:val="24"/>
          <w:szCs w:val="24"/>
          <w:highlight w:val="none"/>
        </w:rPr>
        <w:t>指定地点</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7、预算总金额：</w:t>
      </w:r>
      <w:r>
        <w:rPr>
          <w:rFonts w:hint="eastAsia" w:ascii="黑体" w:hAnsi="黑体" w:eastAsia="黑体" w:cs="黑体"/>
          <w:color w:val="auto"/>
          <w:sz w:val="24"/>
          <w:szCs w:val="24"/>
          <w:highlight w:val="none"/>
          <w:lang w:val="en-US" w:eastAsia="zh-CN"/>
        </w:rPr>
        <w:t>794万</w:t>
      </w:r>
      <w:r>
        <w:rPr>
          <w:rFonts w:hint="eastAsia" w:ascii="黑体" w:hAnsi="黑体" w:eastAsia="黑体" w:cs="黑体"/>
          <w:color w:val="auto"/>
          <w:sz w:val="24"/>
          <w:szCs w:val="24"/>
          <w:highlight w:val="none"/>
        </w:rPr>
        <w:t>元</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8、资金来源：县级资金</w:t>
      </w:r>
    </w:p>
    <w:p>
      <w:pPr>
        <w:spacing w:line="460" w:lineRule="exact"/>
        <w:outlineLvl w:val="0"/>
        <w:rPr>
          <w:rFonts w:hint="eastAsia" w:ascii="黑体" w:hAnsi="黑体" w:eastAsia="黑体" w:cs="黑体"/>
          <w:b/>
          <w:color w:val="auto"/>
          <w:sz w:val="24"/>
          <w:szCs w:val="24"/>
          <w:highlight w:val="none"/>
        </w:rPr>
      </w:pPr>
      <w:bookmarkStart w:id="8" w:name="_Toc23438"/>
      <w:r>
        <w:rPr>
          <w:rFonts w:hint="eastAsia" w:ascii="黑体" w:hAnsi="黑体" w:eastAsia="黑体" w:cs="黑体"/>
          <w:b/>
          <w:color w:val="auto"/>
          <w:sz w:val="24"/>
          <w:szCs w:val="24"/>
          <w:highlight w:val="none"/>
        </w:rPr>
        <w:t>二、投标人资格要求</w:t>
      </w:r>
      <w:bookmarkEnd w:id="8"/>
    </w:p>
    <w:p>
      <w:pPr>
        <w:pStyle w:val="224"/>
        <w:spacing w:line="288" w:lineRule="auto"/>
        <w:ind w:left="480" w:hanging="480" w:hangingChars="200"/>
        <w:rPr>
          <w:rFonts w:hint="eastAsia" w:ascii="黑体" w:hAnsi="黑体" w:eastAsia="黑体" w:cs="黑体"/>
          <w:color w:val="auto"/>
          <w:sz w:val="24"/>
          <w:szCs w:val="24"/>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rPr>
        <w:t>符合《中华人民共和国政府采购法》第二十二条的规定。国内工商登记注册，有能力完成本项目的全部要求的供应商；</w:t>
      </w:r>
    </w:p>
    <w:p>
      <w:pPr>
        <w:pStyle w:val="224"/>
        <w:spacing w:line="288" w:lineRule="auto"/>
        <w:rPr>
          <w:rFonts w:hint="eastAsia" w:ascii="黑体" w:hAnsi="黑体" w:eastAsia="黑体" w:cs="黑体"/>
          <w:color w:val="auto"/>
          <w:sz w:val="24"/>
          <w:szCs w:val="24"/>
        </w:rPr>
      </w:pPr>
      <w:r>
        <w:rPr>
          <w:rFonts w:hint="eastAsia" w:ascii="黑体" w:hAnsi="黑体" w:eastAsia="黑体" w:cs="黑体"/>
          <w:color w:val="auto"/>
          <w:sz w:val="24"/>
          <w:szCs w:val="24"/>
        </w:rPr>
        <w:t xml:space="preserve">2、投标人资质要求： </w:t>
      </w:r>
    </w:p>
    <w:p>
      <w:pPr>
        <w:pStyle w:val="54"/>
        <w:spacing w:line="288" w:lineRule="auto"/>
        <w:ind w:left="0" w:leftChars="0" w:firstLine="0"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rPr>
        <w:t>（1）</w:t>
      </w:r>
      <w:r>
        <w:rPr>
          <w:rFonts w:hint="eastAsia" w:ascii="黑体" w:hAnsi="黑体" w:eastAsia="黑体" w:cs="黑体"/>
          <w:color w:val="auto"/>
          <w:sz w:val="24"/>
          <w:szCs w:val="24"/>
          <w:u w:val="none"/>
        </w:rPr>
        <w:t>单位负责人为同一人或者存在直接控股、管理关系的不同供应商不得参加本项目的投标；</w:t>
      </w:r>
    </w:p>
    <w:p>
      <w:pPr>
        <w:pStyle w:val="54"/>
        <w:numPr>
          <w:ilvl w:val="0"/>
          <w:numId w:val="6"/>
        </w:numPr>
        <w:spacing w:line="288" w:lineRule="auto"/>
        <w:ind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供应商未列入失信被执行人、重大税收违法案件当事人名单、政府采购严重违法失信行为记录名单（财库[2016]125号）。</w:t>
      </w:r>
    </w:p>
    <w:p>
      <w:pPr>
        <w:pStyle w:val="54"/>
        <w:numPr>
          <w:ilvl w:val="0"/>
          <w:numId w:val="6"/>
        </w:numPr>
        <w:spacing w:line="288" w:lineRule="auto"/>
        <w:ind w:firstLineChars="0"/>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具有独立承担民事责任的能力，合法经营具备工商营业执照、组织机构代码证（三证合一企业无需提供）、税务登记证（三证合一企业无需提供）；</w:t>
      </w:r>
    </w:p>
    <w:p>
      <w:pPr>
        <w:pStyle w:val="54"/>
        <w:numPr>
          <w:ilvl w:val="0"/>
          <w:numId w:val="6"/>
        </w:numPr>
        <w:spacing w:line="288" w:lineRule="auto"/>
        <w:ind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具有有效的医疗器械经营许可证供应商须具有医疗器械经营许可证</w:t>
      </w:r>
      <w:r>
        <w:rPr>
          <w:rFonts w:hint="eastAsia" w:ascii="黑体" w:hAnsi="黑体" w:eastAsia="黑体" w:cs="黑体"/>
          <w:color w:val="auto"/>
          <w:sz w:val="24"/>
          <w:szCs w:val="24"/>
          <w:u w:val="none"/>
        </w:rPr>
        <w:t>（二类医疗器械须提供医疗器械备案凭证）</w:t>
      </w:r>
      <w:r>
        <w:rPr>
          <w:rFonts w:hint="eastAsia" w:ascii="黑体" w:hAnsi="黑体" w:eastAsia="黑体" w:cs="黑体"/>
          <w:color w:val="auto"/>
          <w:sz w:val="24"/>
          <w:szCs w:val="24"/>
          <w:u w:val="none"/>
          <w:lang w:val="en-US" w:eastAsia="zh-CN"/>
        </w:rPr>
        <w:t>(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w:t>
      </w:r>
    </w:p>
    <w:p>
      <w:pPr>
        <w:pStyle w:val="54"/>
        <w:numPr>
          <w:ilvl w:val="0"/>
          <w:numId w:val="6"/>
        </w:numPr>
        <w:spacing w:line="288" w:lineRule="auto"/>
        <w:ind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具有良好信誉和财务状况，在经营活动中没有违法记录。</w:t>
      </w:r>
    </w:p>
    <w:p>
      <w:pPr>
        <w:numPr>
          <w:ilvl w:val="0"/>
          <w:numId w:val="7"/>
        </w:numPr>
        <w:spacing w:line="460" w:lineRule="exact"/>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本项目</w:t>
      </w:r>
      <w:r>
        <w:rPr>
          <w:rFonts w:hint="eastAsia" w:ascii="黑体" w:hAnsi="黑体" w:eastAsia="黑体" w:cs="黑体"/>
          <w:b/>
          <w:bCs/>
          <w:color w:val="auto"/>
          <w:sz w:val="24"/>
          <w:szCs w:val="24"/>
          <w:u w:val="none"/>
          <w:lang w:val="en-US" w:eastAsia="zh-CN"/>
        </w:rPr>
        <w:t>不接受</w:t>
      </w:r>
      <w:r>
        <w:rPr>
          <w:rFonts w:hint="eastAsia" w:ascii="黑体" w:hAnsi="黑体" w:eastAsia="黑体" w:cs="黑体"/>
          <w:color w:val="auto"/>
          <w:sz w:val="24"/>
          <w:szCs w:val="24"/>
          <w:u w:val="none"/>
          <w:lang w:val="en-US" w:eastAsia="zh-CN"/>
        </w:rPr>
        <w:t>联合体投标</w:t>
      </w:r>
    </w:p>
    <w:p>
      <w:pPr>
        <w:pStyle w:val="8"/>
        <w:numPr>
          <w:ilvl w:val="0"/>
          <w:numId w:val="0"/>
        </w:numPr>
        <w:rPr>
          <w:rFonts w:hint="eastAsia" w:ascii="黑体" w:hAnsi="黑体" w:eastAsia="黑体" w:cs="黑体"/>
          <w:b/>
          <w:bCs/>
          <w:sz w:val="28"/>
          <w:szCs w:val="21"/>
        </w:rPr>
      </w:pPr>
      <w:r>
        <w:rPr>
          <w:rFonts w:hint="eastAsia" w:ascii="黑体" w:hAnsi="黑体" w:eastAsia="黑体" w:cs="黑体"/>
          <w:b/>
          <w:bCs/>
          <w:sz w:val="28"/>
          <w:szCs w:val="21"/>
        </w:rPr>
        <w:t>未通过资格审查的投标人不进入评标；通过资格审查的投标人少于不足三家的， 不得评标。</w:t>
      </w:r>
    </w:p>
    <w:p>
      <w:pPr>
        <w:spacing w:line="460" w:lineRule="exact"/>
        <w:outlineLvl w:val="0"/>
        <w:rPr>
          <w:rFonts w:hint="eastAsia" w:ascii="黑体" w:hAnsi="黑体" w:eastAsia="黑体" w:cs="黑体"/>
          <w:color w:val="auto"/>
          <w:sz w:val="24"/>
          <w:szCs w:val="24"/>
          <w:highlight w:val="none"/>
        </w:rPr>
      </w:pPr>
      <w:bookmarkStart w:id="9" w:name="_Toc28517"/>
      <w:r>
        <w:rPr>
          <w:rFonts w:hint="eastAsia" w:ascii="黑体" w:hAnsi="黑体" w:eastAsia="黑体" w:cs="黑体"/>
          <w:color w:val="auto"/>
          <w:sz w:val="24"/>
          <w:szCs w:val="24"/>
          <w:highlight w:val="none"/>
        </w:rPr>
        <w:t>三、本项目需落实的政策</w:t>
      </w:r>
      <w:bookmarkEnd w:id="9"/>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（1）、《关于印发《政府采购促进中小企业发展暂行办法》的通知》（财库【2011】181号）；</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（2）、《财政部、司法部关于政府采购支持监狱企业发展有关问题的通知》（财库【2014】68号）；</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 </w:t>
      </w:r>
    </w:p>
    <w:p>
      <w:pPr>
        <w:pStyle w:val="54"/>
        <w:keepNext w:val="0"/>
        <w:keepLines w:val="0"/>
        <w:pageBreakBefore w:val="0"/>
        <w:widowControl w:val="0"/>
        <w:numPr>
          <w:ilvl w:val="0"/>
          <w:numId w:val="0"/>
        </w:numPr>
        <w:tabs>
          <w:tab w:val="left" w:pos="1479"/>
        </w:tabs>
        <w:kinsoku/>
        <w:wordWrap/>
        <w:overflowPunct/>
        <w:topLinePunct w:val="0"/>
        <w:autoSpaceDE w:val="0"/>
        <w:autoSpaceDN w:val="0"/>
        <w:bidi w:val="0"/>
        <w:adjustRightInd w:val="0"/>
        <w:snapToGrid w:val="0"/>
        <w:spacing w:before="161" w:after="0" w:line="360" w:lineRule="auto"/>
        <w:ind w:right="0" w:rightChars="0"/>
        <w:jc w:val="left"/>
        <w:textAlignment w:val="auto"/>
        <w:rPr>
          <w:rFonts w:hint="eastAsia" w:ascii="黑体" w:hAnsi="黑体" w:eastAsia="黑体" w:cs="黑体"/>
          <w:color w:val="auto"/>
          <w:sz w:val="24"/>
          <w:szCs w:val="24"/>
          <w:lang w:eastAsia="zh-CN"/>
        </w:rPr>
      </w:pPr>
      <w:bookmarkStart w:id="10" w:name="_Toc26685"/>
      <w:r>
        <w:rPr>
          <w:rFonts w:hint="eastAsia" w:ascii="黑体" w:hAnsi="黑体" w:eastAsia="黑体" w:cs="黑体"/>
          <w:b/>
          <w:color w:val="auto"/>
          <w:sz w:val="24"/>
          <w:szCs w:val="24"/>
          <w:highlight w:val="none"/>
        </w:rPr>
        <w:t>四、</w:t>
      </w:r>
      <w:r>
        <w:rPr>
          <w:rFonts w:hint="eastAsia" w:ascii="黑体" w:hAnsi="黑体" w:eastAsia="黑体" w:cs="黑体"/>
          <w:color w:val="auto"/>
          <w:sz w:val="24"/>
          <w:szCs w:val="24"/>
        </w:rPr>
        <w:t>同时</w:t>
      </w:r>
      <w:r>
        <w:rPr>
          <w:rFonts w:hint="eastAsia" w:ascii="黑体" w:hAnsi="黑体" w:eastAsia="黑体" w:cs="黑体"/>
          <w:color w:val="auto"/>
          <w:sz w:val="24"/>
          <w:szCs w:val="24"/>
          <w:lang w:eastAsia="zh-CN"/>
        </w:rPr>
        <w:t>将</w:t>
      </w:r>
      <w:r>
        <w:rPr>
          <w:rFonts w:hint="eastAsia" w:ascii="黑体" w:hAnsi="黑体" w:eastAsia="黑体" w:cs="黑体"/>
          <w:color w:val="auto"/>
          <w:sz w:val="24"/>
          <w:szCs w:val="24"/>
        </w:rPr>
        <w:t>以下资质证明材料</w:t>
      </w:r>
      <w:r>
        <w:rPr>
          <w:rFonts w:hint="eastAsia" w:ascii="黑体" w:hAnsi="黑体" w:eastAsia="黑体" w:cs="黑体"/>
          <w:color w:val="auto"/>
          <w:sz w:val="24"/>
          <w:szCs w:val="24"/>
          <w:lang w:eastAsia="zh-CN"/>
        </w:rPr>
        <w:t>在新疆政府采购网上上传报名：</w:t>
      </w:r>
    </w:p>
    <w:p>
      <w:pPr>
        <w:pStyle w:val="54"/>
        <w:keepNext w:val="0"/>
        <w:keepLines w:val="0"/>
        <w:pageBreakBefore w:val="0"/>
        <w:widowControl w:val="0"/>
        <w:numPr>
          <w:ilvl w:val="0"/>
          <w:numId w:val="0"/>
        </w:numPr>
        <w:tabs>
          <w:tab w:val="left" w:pos="1712"/>
        </w:tabs>
        <w:kinsoku/>
        <w:wordWrap/>
        <w:overflowPunct/>
        <w:topLinePunct w:val="0"/>
        <w:autoSpaceDE w:val="0"/>
        <w:autoSpaceDN w:val="0"/>
        <w:bidi w:val="0"/>
        <w:adjustRightInd w:val="0"/>
        <w:snapToGrid w:val="0"/>
        <w:spacing w:before="90" w:after="0" w:line="240" w:lineRule="auto"/>
        <w:ind w:right="0" w:rightChars="0"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1、</w:t>
      </w:r>
      <w:r>
        <w:rPr>
          <w:rFonts w:hint="eastAsia" w:ascii="黑体" w:hAnsi="黑体" w:eastAsia="黑体" w:cs="黑体"/>
          <w:color w:val="auto"/>
          <w:sz w:val="24"/>
          <w:szCs w:val="24"/>
        </w:rPr>
        <w:t>营业执照副本</w:t>
      </w:r>
      <w:r>
        <w:rPr>
          <w:rFonts w:hint="eastAsia" w:ascii="黑体" w:hAnsi="黑体" w:eastAsia="黑体" w:cs="黑体"/>
          <w:color w:val="auto"/>
          <w:sz w:val="24"/>
          <w:szCs w:val="24"/>
          <w:lang w:val="en-US" w:eastAsia="zh-CN"/>
        </w:rPr>
        <w:t>扫描件（需加盖公章）</w:t>
      </w:r>
      <w:r>
        <w:rPr>
          <w:rFonts w:hint="eastAsia" w:ascii="黑体" w:hAnsi="黑体" w:eastAsia="黑体" w:cs="黑体"/>
          <w:color w:val="auto"/>
          <w:sz w:val="24"/>
          <w:szCs w:val="24"/>
        </w:rPr>
        <w:t>；</w:t>
      </w:r>
    </w:p>
    <w:p>
      <w:pPr>
        <w:pStyle w:val="54"/>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法人授权委托书原件或具有同等法律效力的证明材料及被授权人《居民身份证》</w:t>
      </w:r>
      <w:r>
        <w:rPr>
          <w:rFonts w:hint="eastAsia" w:ascii="黑体" w:hAnsi="黑体" w:eastAsia="黑体" w:cs="黑体"/>
          <w:color w:val="auto"/>
          <w:sz w:val="24"/>
          <w:szCs w:val="24"/>
          <w:lang w:val="en-US" w:eastAsia="zh-CN"/>
        </w:rPr>
        <w:t>或复印件（需加盖公章）</w:t>
      </w:r>
      <w:r>
        <w:rPr>
          <w:rFonts w:hint="eastAsia" w:ascii="黑体" w:hAnsi="黑体" w:eastAsia="黑体" w:cs="黑体"/>
          <w:color w:val="auto"/>
          <w:sz w:val="24"/>
          <w:szCs w:val="24"/>
          <w:lang w:eastAsia="zh-CN"/>
        </w:rPr>
        <w:t>；</w:t>
      </w:r>
    </w:p>
    <w:p>
      <w:pPr>
        <w:pStyle w:val="54"/>
        <w:keepNext w:val="0"/>
        <w:keepLines w:val="0"/>
        <w:pageBreakBefore w:val="0"/>
        <w:widowControl w:val="0"/>
        <w:numPr>
          <w:ilvl w:val="0"/>
          <w:numId w:val="0"/>
        </w:numPr>
        <w:tabs>
          <w:tab w:val="left" w:pos="1719"/>
        </w:tabs>
        <w:kinsoku/>
        <w:wordWrap/>
        <w:overflowPunct/>
        <w:topLinePunct w:val="0"/>
        <w:autoSpaceDE w:val="0"/>
        <w:autoSpaceDN w:val="0"/>
        <w:bidi w:val="0"/>
        <w:adjustRightInd w:val="0"/>
        <w:snapToGrid w:val="0"/>
        <w:spacing w:before="2" w:after="0" w:line="240" w:lineRule="auto"/>
        <w:ind w:right="0" w:rightChars="0" w:firstLine="480" w:firstLineChars="200"/>
        <w:jc w:val="lef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val="en-US" w:eastAsia="zh-CN"/>
        </w:rPr>
        <w:t>3、</w:t>
      </w:r>
      <w:r>
        <w:rPr>
          <w:rFonts w:hint="eastAsia" w:ascii="黑体" w:hAnsi="黑体" w:eastAsia="黑体" w:cs="黑体"/>
          <w:color w:val="auto"/>
          <w:kern w:val="0"/>
          <w:sz w:val="24"/>
          <w:szCs w:val="24"/>
          <w:lang w:eastAsia="zh-CN"/>
        </w:rPr>
        <w:t>通过</w:t>
      </w:r>
      <w:r>
        <w:rPr>
          <w:rFonts w:hint="eastAsia" w:ascii="黑体" w:hAnsi="黑体" w:eastAsia="黑体" w:cs="黑体"/>
          <w:color w:val="auto"/>
          <w:kern w:val="0"/>
          <w:sz w:val="24"/>
          <w:szCs w:val="24"/>
        </w:rPr>
        <w:t>“信用中国”</w:t>
      </w:r>
      <w:r>
        <w:rPr>
          <w:rFonts w:hint="eastAsia" w:ascii="黑体" w:hAnsi="黑体" w:eastAsia="黑体" w:cs="黑体"/>
          <w:color w:val="auto"/>
          <w:kern w:val="0"/>
          <w:sz w:val="24"/>
          <w:szCs w:val="24"/>
          <w:lang w:eastAsia="zh-CN"/>
        </w:rPr>
        <w:t>、</w:t>
      </w:r>
      <w:r>
        <w:rPr>
          <w:rFonts w:hint="eastAsia" w:ascii="黑体" w:hAnsi="黑体" w:eastAsia="黑体" w:cs="黑体"/>
          <w:color w:val="auto"/>
          <w:kern w:val="0"/>
          <w:sz w:val="24"/>
          <w:szCs w:val="24"/>
        </w:rPr>
        <w:t>“中国政府采购网”</w:t>
      </w:r>
      <w:r>
        <w:rPr>
          <w:rFonts w:hint="eastAsia" w:ascii="黑体" w:hAnsi="黑体" w:eastAsia="黑体" w:cs="黑体"/>
          <w:color w:val="auto"/>
          <w:kern w:val="0"/>
          <w:sz w:val="24"/>
          <w:szCs w:val="24"/>
          <w:lang w:eastAsia="zh-CN"/>
        </w:rPr>
        <w:t>渠道查询的加盖公章的主体信用记录网页截图（</w:t>
      </w:r>
      <w:r>
        <w:rPr>
          <w:rFonts w:hint="eastAsia" w:ascii="黑体" w:hAnsi="黑体" w:eastAsia="黑体" w:cs="黑体"/>
          <w:color w:val="auto"/>
          <w:kern w:val="0"/>
          <w:sz w:val="24"/>
          <w:szCs w:val="24"/>
          <w:lang w:val="en-US" w:eastAsia="zh-CN"/>
        </w:rPr>
        <w:t>时间节点为开标前20日内</w:t>
      </w:r>
      <w:r>
        <w:rPr>
          <w:rFonts w:hint="eastAsia" w:ascii="黑体" w:hAnsi="黑体" w:eastAsia="黑体" w:cs="黑体"/>
          <w:color w:val="auto"/>
          <w:kern w:val="0"/>
          <w:sz w:val="24"/>
          <w:szCs w:val="24"/>
          <w:lang w:eastAsia="zh-CN"/>
        </w:rPr>
        <w:t>）</w:t>
      </w:r>
      <w:r>
        <w:rPr>
          <w:rFonts w:hint="eastAsia" w:ascii="黑体" w:hAnsi="黑体" w:eastAsia="黑体" w:cs="黑体"/>
          <w:color w:val="auto"/>
          <w:sz w:val="24"/>
          <w:szCs w:val="24"/>
          <w:lang w:eastAsia="zh-CN"/>
        </w:rPr>
        <w:t>；</w:t>
      </w:r>
    </w:p>
    <w:p>
      <w:pPr>
        <w:pStyle w:val="54"/>
        <w:numPr>
          <w:ilvl w:val="0"/>
          <w:numId w:val="0"/>
        </w:numPr>
        <w:spacing w:line="288" w:lineRule="auto"/>
        <w:ind w:leftChars="0" w:firstLine="480" w:firstLineChars="200"/>
        <w:rPr>
          <w:rFonts w:hint="eastAsia" w:ascii="黑体" w:hAnsi="黑体" w:eastAsia="黑体" w:cs="黑体"/>
          <w:color w:val="auto"/>
          <w:sz w:val="24"/>
          <w:szCs w:val="24"/>
          <w:lang w:eastAsia="zh-CN"/>
        </w:rPr>
      </w:pPr>
      <w:r>
        <w:rPr>
          <w:rFonts w:hint="eastAsia" w:ascii="黑体" w:hAnsi="黑体" w:eastAsia="黑体" w:cs="黑体"/>
          <w:color w:val="auto"/>
          <w:sz w:val="24"/>
          <w:szCs w:val="24"/>
          <w:u w:val="none"/>
          <w:lang w:val="en-US" w:eastAsia="zh-CN"/>
        </w:rPr>
        <w:t>4、具有有效的医疗器械经营许可证供应商须具有医疗器械经营许可证</w:t>
      </w:r>
      <w:r>
        <w:rPr>
          <w:rFonts w:hint="eastAsia" w:ascii="黑体" w:hAnsi="黑体" w:eastAsia="黑体" w:cs="黑体"/>
          <w:color w:val="auto"/>
          <w:sz w:val="24"/>
          <w:szCs w:val="24"/>
          <w:u w:val="none"/>
        </w:rPr>
        <w:t>（二类医疗器械须提供医疗器械备案凭证）</w:t>
      </w:r>
      <w:r>
        <w:rPr>
          <w:rFonts w:hint="eastAsia" w:ascii="黑体" w:hAnsi="黑体" w:eastAsia="黑体" w:cs="黑体"/>
          <w:color w:val="auto"/>
          <w:sz w:val="24"/>
          <w:szCs w:val="24"/>
          <w:u w:val="none"/>
          <w:lang w:val="en-US" w:eastAsia="zh-CN"/>
        </w:rPr>
        <w:t>(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w:t>
      </w:r>
    </w:p>
    <w:p>
      <w:pPr>
        <w:spacing w:line="460" w:lineRule="exact"/>
        <w:outlineLvl w:val="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val="en-US" w:eastAsia="zh-CN"/>
        </w:rPr>
        <w:t>五、</w:t>
      </w:r>
      <w:r>
        <w:rPr>
          <w:rFonts w:hint="eastAsia" w:ascii="黑体" w:hAnsi="黑体" w:eastAsia="黑体" w:cs="黑体"/>
          <w:b/>
          <w:color w:val="auto"/>
          <w:sz w:val="24"/>
          <w:szCs w:val="24"/>
          <w:highlight w:val="none"/>
        </w:rPr>
        <w:t>投标报名时间及地点</w:t>
      </w:r>
      <w:bookmarkEnd w:id="10"/>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1、报名及购买公开招标文件时间：202</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06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01</w:t>
      </w:r>
      <w:r>
        <w:rPr>
          <w:rFonts w:hint="eastAsia" w:ascii="黑体" w:hAnsi="黑体" w:eastAsia="黑体" w:cs="黑体"/>
          <w:color w:val="auto"/>
          <w:sz w:val="24"/>
          <w:szCs w:val="24"/>
          <w:highlight w:val="none"/>
        </w:rPr>
        <w:t>日起至202</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06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09</w:t>
      </w:r>
      <w:r>
        <w:rPr>
          <w:rFonts w:hint="eastAsia" w:ascii="黑体" w:hAnsi="黑体" w:eastAsia="黑体" w:cs="黑体"/>
          <w:color w:val="auto"/>
          <w:sz w:val="24"/>
          <w:szCs w:val="24"/>
          <w:highlight w:val="none"/>
        </w:rPr>
        <w:t>日【北京时间上午10:</w:t>
      </w:r>
      <w:r>
        <w:rPr>
          <w:rFonts w:hint="eastAsia" w:ascii="黑体" w:hAnsi="黑体" w:eastAsia="黑体" w:cs="黑体"/>
          <w:color w:val="auto"/>
          <w:sz w:val="24"/>
          <w:szCs w:val="24"/>
          <w:highlight w:val="none"/>
          <w:lang w:val="en-US" w:eastAsia="zh-CN"/>
        </w:rPr>
        <w:t>0</w:t>
      </w:r>
      <w:r>
        <w:rPr>
          <w:rFonts w:hint="eastAsia" w:ascii="黑体" w:hAnsi="黑体" w:eastAsia="黑体" w:cs="黑体"/>
          <w:color w:val="auto"/>
          <w:sz w:val="24"/>
          <w:szCs w:val="24"/>
          <w:highlight w:val="none"/>
        </w:rPr>
        <w:t>0-</w:t>
      </w:r>
      <w:r>
        <w:rPr>
          <w:rFonts w:hint="eastAsia" w:ascii="黑体" w:hAnsi="黑体" w:eastAsia="黑体" w:cs="黑体"/>
          <w:color w:val="auto"/>
          <w:sz w:val="24"/>
          <w:szCs w:val="24"/>
          <w:highlight w:val="none"/>
          <w:lang w:val="en-US" w:eastAsia="zh-CN"/>
        </w:rPr>
        <w:t>14:0</w:t>
      </w:r>
      <w:r>
        <w:rPr>
          <w:rFonts w:hint="eastAsia" w:ascii="黑体" w:hAnsi="黑体" w:eastAsia="黑体" w:cs="黑体"/>
          <w:color w:val="auto"/>
          <w:sz w:val="24"/>
          <w:szCs w:val="24"/>
          <w:highlight w:val="none"/>
        </w:rPr>
        <w:t>0时及下午16:00-</w:t>
      </w:r>
      <w:r>
        <w:rPr>
          <w:rFonts w:hint="eastAsia" w:ascii="黑体" w:hAnsi="黑体" w:eastAsia="黑体" w:cs="黑体"/>
          <w:color w:val="auto"/>
          <w:sz w:val="24"/>
          <w:szCs w:val="24"/>
          <w:highlight w:val="none"/>
          <w:lang w:val="en-US" w:eastAsia="zh-CN"/>
        </w:rPr>
        <w:t>20:0</w:t>
      </w:r>
      <w:r>
        <w:rPr>
          <w:rFonts w:hint="eastAsia" w:ascii="黑体" w:hAnsi="黑体" w:eastAsia="黑体" w:cs="黑体"/>
          <w:color w:val="auto"/>
          <w:sz w:val="24"/>
          <w:szCs w:val="24"/>
          <w:highlight w:val="none"/>
        </w:rPr>
        <w:t>0时（节假日除外)】</w:t>
      </w:r>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rPr>
        <w:t>获取</w:t>
      </w:r>
      <w:r>
        <w:rPr>
          <w:rFonts w:hint="eastAsia" w:ascii="黑体" w:hAnsi="黑体" w:eastAsia="黑体" w:cs="黑体"/>
          <w:color w:val="auto"/>
          <w:sz w:val="24"/>
          <w:szCs w:val="24"/>
          <w:highlight w:val="none"/>
        </w:rPr>
        <w:t>招标文件地点：</w:t>
      </w:r>
      <w:r>
        <w:rPr>
          <w:rFonts w:hint="eastAsia" w:ascii="黑体" w:hAnsi="黑体" w:eastAsia="黑体" w:cs="黑体"/>
          <w:color w:val="auto"/>
          <w:sz w:val="24"/>
          <w:szCs w:val="24"/>
          <w:highlight w:val="none"/>
          <w:lang w:val="en-US" w:eastAsia="zh-CN"/>
        </w:rPr>
        <w:t>政采云线上获取</w:t>
      </w:r>
      <w:r>
        <w:rPr>
          <w:rFonts w:hint="eastAsia" w:ascii="黑体" w:hAnsi="黑体" w:eastAsia="黑体" w:cs="黑体"/>
          <w:color w:val="auto"/>
          <w:sz w:val="24"/>
          <w:szCs w:val="24"/>
          <w:highlight w:val="none"/>
        </w:rPr>
        <w:t>。</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3、招标文件售价：</w:t>
      </w:r>
      <w:r>
        <w:rPr>
          <w:rFonts w:hint="eastAsia" w:ascii="黑体" w:hAnsi="黑体" w:eastAsia="黑体" w:cs="黑体"/>
          <w:color w:val="auto"/>
          <w:sz w:val="24"/>
          <w:szCs w:val="24"/>
          <w:highlight w:val="none"/>
          <w:lang w:val="en-US" w:eastAsia="zh-CN"/>
        </w:rPr>
        <w:t>0元</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4、投标截止时间及开标时间：202</w:t>
      </w:r>
      <w:r>
        <w:rPr>
          <w:rFonts w:hint="eastAsia" w:ascii="黑体" w:hAnsi="黑体" w:eastAsia="黑体" w:cs="黑体"/>
          <w:color w:val="auto"/>
          <w:sz w:val="24"/>
          <w:szCs w:val="24"/>
          <w:highlight w:val="none"/>
          <w:lang w:val="en-US"/>
        </w:rPr>
        <w:t>1</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06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21</w:t>
      </w:r>
      <w:r>
        <w:rPr>
          <w:rFonts w:hint="eastAsia" w:ascii="黑体" w:hAnsi="黑体" w:eastAsia="黑体" w:cs="黑体"/>
          <w:color w:val="auto"/>
          <w:sz w:val="24"/>
          <w:szCs w:val="24"/>
          <w:highlight w:val="none"/>
        </w:rPr>
        <w:t>日上午1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0</w:t>
      </w:r>
      <w:r>
        <w:rPr>
          <w:rFonts w:hint="eastAsia" w:ascii="黑体" w:hAnsi="黑体" w:eastAsia="黑体" w:cs="黑体"/>
          <w:color w:val="auto"/>
          <w:sz w:val="24"/>
          <w:szCs w:val="24"/>
          <w:highlight w:val="none"/>
        </w:rPr>
        <w:t>0(北京时间)；</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5、开标地点:库尔勒市萨依巴格街道滨河社区居委会人民东路06号</w:t>
      </w:r>
    </w:p>
    <w:p>
      <w:pPr>
        <w:spacing w:line="460" w:lineRule="exact"/>
        <w:outlineLvl w:val="0"/>
        <w:rPr>
          <w:rFonts w:hint="eastAsia" w:ascii="黑体" w:hAnsi="黑体" w:eastAsia="黑体" w:cs="黑体"/>
          <w:b/>
          <w:color w:val="auto"/>
          <w:sz w:val="24"/>
          <w:szCs w:val="24"/>
          <w:highlight w:val="none"/>
        </w:rPr>
      </w:pPr>
      <w:bookmarkStart w:id="11" w:name="_Toc5263"/>
      <w:r>
        <w:rPr>
          <w:rFonts w:hint="eastAsia" w:ascii="黑体" w:hAnsi="黑体" w:eastAsia="黑体" w:cs="黑体"/>
          <w:b/>
          <w:color w:val="auto"/>
          <w:sz w:val="24"/>
          <w:szCs w:val="24"/>
          <w:highlight w:val="none"/>
        </w:rPr>
        <w:t>五、联系方式</w:t>
      </w:r>
      <w:bookmarkEnd w:id="11"/>
    </w:p>
    <w:p>
      <w:pPr>
        <w:spacing w:line="460" w:lineRule="exact"/>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1、采购单位：轮台县卫生健康委员会</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联系人：凯丽比努尔                    联系电话：15739806607</w:t>
      </w:r>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2、招标代理机构：</w:t>
      </w:r>
      <w:r>
        <w:rPr>
          <w:rFonts w:hint="eastAsia" w:ascii="黑体" w:hAnsi="黑体" w:eastAsia="黑体" w:cs="黑体"/>
          <w:color w:val="auto"/>
          <w:sz w:val="24"/>
          <w:szCs w:val="24"/>
          <w:highlight w:val="none"/>
          <w:lang w:eastAsia="zh-CN"/>
        </w:rPr>
        <w:t>新疆安航工程项目管理有限公司</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val="en-US" w:eastAsia="zh-CN"/>
        </w:rPr>
        <w:t>张 硕</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联系电话：</w:t>
      </w:r>
      <w:r>
        <w:rPr>
          <w:rFonts w:hint="eastAsia" w:ascii="黑体" w:hAnsi="黑体" w:eastAsia="黑体" w:cs="黑体"/>
          <w:color w:val="auto"/>
          <w:sz w:val="24"/>
          <w:szCs w:val="24"/>
          <w:highlight w:val="none"/>
          <w:lang w:val="en-US" w:eastAsia="zh-CN"/>
        </w:rPr>
        <w:t>13667522055</w:t>
      </w:r>
    </w:p>
    <w:p>
      <w:pPr>
        <w:spacing w:line="460" w:lineRule="exact"/>
        <w:rPr>
          <w:rFonts w:hint="eastAsia" w:ascii="黑体" w:hAnsi="黑体" w:eastAsia="黑体" w:cs="黑体"/>
          <w:sz w:val="24"/>
          <w:szCs w:val="24"/>
          <w:lang w:val="en-US" w:eastAsia="zh-CN"/>
        </w:r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p>
    <w:p>
      <w:pPr>
        <w:spacing w:line="460" w:lineRule="exact"/>
        <w:ind w:firstLine="3120" w:firstLineChars="1300"/>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新疆安航工程项目管理有限公司</w:t>
      </w:r>
    </w:p>
    <w:p>
      <w:pPr>
        <w:spacing w:line="460" w:lineRule="exact"/>
        <w:jc w:val="center"/>
        <w:outlineLvl w:val="0"/>
        <w:rPr>
          <w:rFonts w:hint="eastAsia" w:ascii="黑体" w:hAnsi="黑体" w:eastAsia="黑体" w:cs="黑体"/>
          <w:b/>
          <w:color w:val="auto"/>
          <w:sz w:val="24"/>
          <w:szCs w:val="24"/>
          <w:highlight w:val="none"/>
        </w:rPr>
      </w:pPr>
      <w:r>
        <w:rPr>
          <w:rFonts w:hint="eastAsia" w:ascii="黑体" w:hAnsi="黑体" w:eastAsia="黑体" w:cs="黑体"/>
          <w:color w:val="auto"/>
          <w:sz w:val="24"/>
          <w:szCs w:val="24"/>
          <w:highlight w:val="none"/>
        </w:rPr>
        <w:t xml:space="preserve">                                         </w:t>
      </w:r>
      <w:bookmarkStart w:id="12" w:name="_Toc19056"/>
      <w:bookmarkStart w:id="13" w:name="_Toc28472"/>
      <w:r>
        <w:rPr>
          <w:rFonts w:hint="eastAsia" w:ascii="黑体" w:hAnsi="黑体" w:eastAsia="黑体" w:cs="黑体"/>
          <w:color w:val="auto"/>
          <w:sz w:val="24"/>
          <w:szCs w:val="24"/>
          <w:highlight w:val="none"/>
        </w:rPr>
        <w:t>202</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31</w:t>
      </w:r>
      <w:r>
        <w:rPr>
          <w:rFonts w:hint="eastAsia" w:ascii="黑体" w:hAnsi="黑体" w:eastAsia="黑体" w:cs="黑体"/>
          <w:color w:val="auto"/>
          <w:sz w:val="24"/>
          <w:szCs w:val="24"/>
          <w:highlight w:val="none"/>
        </w:rPr>
        <w:t>日</w:t>
      </w:r>
      <w:bookmarkEnd w:id="12"/>
      <w:bookmarkEnd w:id="13"/>
    </w:p>
    <w:p>
      <w:pPr>
        <w:rPr>
          <w:rFonts w:hint="eastAsia" w:ascii="黑体" w:hAnsi="黑体" w:eastAsia="黑体" w:cs="黑体"/>
          <w:b/>
          <w:color w:val="auto"/>
          <w:highlight w:val="none"/>
        </w:rPr>
      </w:pPr>
      <w:bookmarkStart w:id="14" w:name="_Toc5075"/>
      <w:r>
        <w:rPr>
          <w:rFonts w:hint="eastAsia" w:ascii="黑体" w:hAnsi="黑体" w:eastAsia="黑体" w:cs="黑体"/>
          <w:b/>
          <w:color w:val="auto"/>
          <w:highlight w:val="none"/>
        </w:rPr>
        <w:br w:type="page"/>
      </w:r>
    </w:p>
    <w:p>
      <w:pPr>
        <w:pStyle w:val="5"/>
        <w:spacing w:line="511" w:lineRule="exact"/>
        <w:jc w:val="center"/>
        <w:rPr>
          <w:rFonts w:hint="eastAsia" w:ascii="黑体" w:hAnsi="黑体" w:eastAsia="黑体" w:cs="黑体"/>
          <w:b/>
          <w:color w:val="auto"/>
          <w:highlight w:val="none"/>
        </w:rPr>
      </w:pPr>
      <w:r>
        <w:rPr>
          <w:rFonts w:hint="eastAsia" w:ascii="黑体" w:hAnsi="黑体" w:eastAsia="黑体" w:cs="黑体"/>
          <w:b/>
          <w:color w:val="auto"/>
          <w:highlight w:val="none"/>
        </w:rPr>
        <w:t>第二章 投标供应商须知前附表</w:t>
      </w:r>
      <w:bookmarkEnd w:id="14"/>
    </w:p>
    <w:p>
      <w:pPr>
        <w:pStyle w:val="19"/>
        <w:spacing w:before="4" w:line="511" w:lineRule="exact"/>
        <w:ind w:left="0"/>
        <w:rPr>
          <w:rFonts w:hint="eastAsia" w:ascii="黑体" w:hAnsi="黑体" w:eastAsia="黑体" w:cs="黑体"/>
          <w:color w:val="auto"/>
          <w:sz w:val="7"/>
          <w:highlight w:val="none"/>
        </w:rPr>
      </w:pPr>
    </w:p>
    <w:tbl>
      <w:tblPr>
        <w:tblStyle w:val="42"/>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440"/>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tcPr>
          <w:p>
            <w:pPr>
              <w:spacing w:line="240" w:lineRule="auto"/>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条款号</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条款名称</w:t>
            </w:r>
          </w:p>
        </w:tc>
        <w:tc>
          <w:tcPr>
            <w:tcW w:w="6893"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73" w:type="dxa"/>
          </w:tcPr>
          <w:p>
            <w:pPr>
              <w:spacing w:line="511" w:lineRule="exact"/>
              <w:ind w:left="-2" w:leftChars="-8" w:hanging="16" w:hangingChars="7"/>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w:t>
            </w:r>
          </w:p>
        </w:tc>
        <w:tc>
          <w:tcPr>
            <w:tcW w:w="2440" w:type="dxa"/>
          </w:tcPr>
          <w:p>
            <w:pPr>
              <w:spacing w:line="511" w:lineRule="exact"/>
              <w:jc w:val="center"/>
              <w:rPr>
                <w:rFonts w:hint="eastAsia" w:ascii="黑体" w:hAnsi="黑体" w:eastAsia="黑体" w:cs="黑体"/>
                <w:color w:val="auto"/>
                <w:sz w:val="24"/>
                <w:szCs w:val="24"/>
                <w:highlight w:val="none"/>
              </w:rPr>
            </w:pPr>
          </w:p>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招标人</w:t>
            </w:r>
          </w:p>
        </w:tc>
        <w:tc>
          <w:tcPr>
            <w:tcW w:w="6893" w:type="dxa"/>
          </w:tcPr>
          <w:p>
            <w:pPr>
              <w:widowControl/>
              <w:spacing w:line="360" w:lineRule="auto"/>
              <w:ind w:right="565" w:rightChars="257"/>
              <w:jc w:val="both"/>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名称：</w:t>
            </w:r>
            <w:r>
              <w:rPr>
                <w:rFonts w:hint="eastAsia" w:ascii="黑体" w:hAnsi="黑体" w:eastAsia="黑体" w:cs="黑体"/>
                <w:color w:val="auto"/>
                <w:sz w:val="24"/>
                <w:szCs w:val="24"/>
                <w:highlight w:val="none"/>
                <w:lang w:eastAsia="zh-CN"/>
              </w:rPr>
              <w:t>轮台县卫生健康委员会</w:t>
            </w:r>
          </w:p>
          <w:p>
            <w:pPr>
              <w:widowControl/>
              <w:spacing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地址：</w:t>
            </w:r>
            <w:r>
              <w:rPr>
                <w:rFonts w:hint="eastAsia" w:ascii="黑体" w:hAnsi="黑体" w:eastAsia="黑体" w:cs="黑体"/>
                <w:color w:val="auto"/>
                <w:sz w:val="24"/>
                <w:szCs w:val="24"/>
                <w:highlight w:val="none"/>
                <w:lang w:val="en-US" w:eastAsia="zh-CN"/>
              </w:rPr>
              <w:t>轮台县</w:t>
            </w:r>
          </w:p>
          <w:p>
            <w:pPr>
              <w:widowControl/>
              <w:spacing w:line="360" w:lineRule="auto"/>
              <w:rPr>
                <w:rFonts w:hint="eastAsia" w:ascii="黑体" w:hAnsi="黑体" w:eastAsia="黑体" w:cs="黑体"/>
                <w:color w:val="auto"/>
                <w:spacing w:val="-3"/>
                <w:sz w:val="24"/>
                <w:szCs w:val="24"/>
                <w:highlight w:val="none"/>
                <w:lang w:eastAsia="zh-CN"/>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eastAsia="zh-CN"/>
              </w:rPr>
              <w:t>凯丽比努尔</w:t>
            </w:r>
          </w:p>
          <w:p>
            <w:pPr>
              <w:widowControl/>
              <w:spacing w:line="360" w:lineRule="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电话：</w:t>
            </w:r>
            <w:r>
              <w:rPr>
                <w:rFonts w:hint="eastAsia" w:ascii="黑体" w:hAnsi="黑体" w:eastAsia="黑体" w:cs="黑体"/>
                <w:color w:val="auto"/>
                <w:sz w:val="24"/>
                <w:szCs w:val="24"/>
                <w:highlight w:val="none"/>
                <w:lang w:eastAsia="zh-CN"/>
              </w:rPr>
              <w:t>15739806607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w:t>
            </w:r>
          </w:p>
        </w:tc>
        <w:tc>
          <w:tcPr>
            <w:tcW w:w="2440" w:type="dxa"/>
          </w:tcPr>
          <w:p>
            <w:pPr>
              <w:spacing w:line="511" w:lineRule="exact"/>
              <w:jc w:val="center"/>
              <w:rPr>
                <w:rFonts w:hint="eastAsia" w:ascii="黑体" w:hAnsi="黑体" w:eastAsia="黑体" w:cs="黑体"/>
                <w:color w:val="auto"/>
                <w:sz w:val="24"/>
                <w:szCs w:val="24"/>
                <w:highlight w:val="none"/>
              </w:rPr>
            </w:pPr>
          </w:p>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招标代理机构</w:t>
            </w:r>
          </w:p>
        </w:tc>
        <w:tc>
          <w:tcPr>
            <w:tcW w:w="6893" w:type="dxa"/>
          </w:tcPr>
          <w:p>
            <w:pPr>
              <w:widowControl/>
              <w:spacing w:line="360" w:lineRule="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名称：</w:t>
            </w:r>
            <w:r>
              <w:rPr>
                <w:rFonts w:hint="eastAsia" w:ascii="黑体" w:hAnsi="黑体" w:eastAsia="黑体" w:cs="黑体"/>
                <w:color w:val="auto"/>
                <w:sz w:val="24"/>
                <w:szCs w:val="24"/>
                <w:highlight w:val="none"/>
                <w:lang w:eastAsia="zh-CN"/>
              </w:rPr>
              <w:t>新疆安航工程项目管理有限公司</w:t>
            </w:r>
          </w:p>
          <w:p>
            <w:pPr>
              <w:widowControl/>
              <w:spacing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地址：</w:t>
            </w:r>
            <w:r>
              <w:rPr>
                <w:rFonts w:hint="eastAsia" w:ascii="黑体" w:hAnsi="黑体" w:eastAsia="黑体" w:cs="黑体"/>
                <w:color w:val="auto"/>
                <w:sz w:val="24"/>
                <w:szCs w:val="24"/>
                <w:highlight w:val="none"/>
                <w:lang w:val="en-US" w:eastAsia="zh-CN"/>
              </w:rPr>
              <w:t>库尔勒豪景大厦</w:t>
            </w:r>
          </w:p>
          <w:p>
            <w:pPr>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w:t>
            </w:r>
            <w:r>
              <w:rPr>
                <w:rFonts w:hint="eastAsia" w:ascii="黑体" w:hAnsi="黑体" w:eastAsia="黑体" w:cs="黑体"/>
                <w:color w:val="auto"/>
                <w:spacing w:val="-3"/>
                <w:sz w:val="24"/>
                <w:szCs w:val="24"/>
                <w:highlight w:val="none"/>
                <w:lang w:val="en-US" w:eastAsia="zh-CN"/>
              </w:rPr>
              <w:t>张硕</w:t>
            </w:r>
            <w:r>
              <w:rPr>
                <w:rFonts w:hint="eastAsia" w:ascii="黑体" w:hAnsi="黑体" w:eastAsia="黑体" w:cs="黑体"/>
                <w:color w:val="auto"/>
                <w:spacing w:val="-3"/>
                <w:sz w:val="24"/>
                <w:szCs w:val="24"/>
                <w:highlight w:val="none"/>
              </w:rPr>
              <w:t xml:space="preserve">   </w:t>
            </w:r>
            <w:r>
              <w:rPr>
                <w:rFonts w:hint="eastAsia" w:ascii="黑体" w:hAnsi="黑体" w:eastAsia="黑体" w:cs="黑体"/>
                <w:color w:val="auto"/>
                <w:sz w:val="24"/>
                <w:szCs w:val="24"/>
                <w:highlight w:val="none"/>
              </w:rPr>
              <w:t xml:space="preserve">  </w:t>
            </w:r>
          </w:p>
          <w:p>
            <w:pPr>
              <w:spacing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联系方式：</w:t>
            </w:r>
            <w:r>
              <w:rPr>
                <w:rFonts w:hint="eastAsia" w:ascii="黑体" w:hAnsi="黑体" w:eastAsia="黑体" w:cs="黑体"/>
                <w:color w:val="auto"/>
                <w:sz w:val="24"/>
                <w:szCs w:val="24"/>
                <w:highlight w:val="none"/>
                <w:lang w:val="en-US" w:eastAsia="zh-CN"/>
              </w:rPr>
              <w:t>13667522055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招标项目名称</w:t>
            </w:r>
          </w:p>
        </w:tc>
        <w:tc>
          <w:tcPr>
            <w:tcW w:w="6893" w:type="dxa"/>
          </w:tcPr>
          <w:p>
            <w:pPr>
              <w:spacing w:line="511"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轮台县卫生健康委员会核酸检测实验室医疗设备采购项目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资金来源</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县级资金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预算价</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794万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资金落实情况</w:t>
            </w:r>
          </w:p>
        </w:tc>
        <w:tc>
          <w:tcPr>
            <w:tcW w:w="6893" w:type="dxa"/>
          </w:tcPr>
          <w:p>
            <w:pPr>
              <w:spacing w:line="511"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已</w:t>
            </w:r>
            <w:r>
              <w:rPr>
                <w:rFonts w:hint="eastAsia" w:ascii="黑体" w:hAnsi="黑体" w:eastAsia="黑体" w:cs="黑体"/>
                <w:color w:val="auto"/>
                <w:sz w:val="24"/>
                <w:szCs w:val="24"/>
                <w:highlight w:val="no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7</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付款方式</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签订合同起至货到验收合格后支付总合同价款95%，质保金为</w:t>
            </w:r>
            <w:r>
              <w:rPr>
                <w:rFonts w:hint="eastAsia" w:ascii="黑体" w:hAnsi="黑体" w:eastAsia="黑体" w:cs="黑体"/>
                <w:color w:val="auto"/>
                <w:sz w:val="24"/>
                <w:szCs w:val="24"/>
                <w:highlight w:val="none"/>
              </w:rPr>
              <w:t>总合同价</w:t>
            </w:r>
            <w:r>
              <w:rPr>
                <w:rFonts w:hint="eastAsia" w:ascii="黑体" w:hAnsi="黑体" w:eastAsia="黑体" w:cs="黑体"/>
                <w:color w:val="auto"/>
                <w:sz w:val="24"/>
                <w:szCs w:val="24"/>
                <w:highlight w:val="none"/>
                <w:lang w:val="en-US" w:eastAsia="zh-CN"/>
              </w:rPr>
              <w:t>的5%，质保期为叁年，质保期内若产生质保问题将扣除所有质保金（总合同价的5%）质保期满叁年后支付质保金</w:t>
            </w:r>
            <w:r>
              <w:rPr>
                <w:rFonts w:hint="eastAsia" w:ascii="黑体" w:hAnsi="黑体" w:eastAsia="黑体" w:cs="黑体"/>
                <w:color w:val="auto"/>
                <w:sz w:val="24"/>
                <w:szCs w:val="24"/>
                <w:highlight w:val="none"/>
              </w:rPr>
              <w:t>总合同价</w:t>
            </w:r>
            <w:r>
              <w:rPr>
                <w:rFonts w:hint="eastAsia" w:ascii="黑体" w:hAnsi="黑体" w:eastAsia="黑体" w:cs="黑体"/>
                <w:color w:val="auto"/>
                <w:sz w:val="24"/>
                <w:szCs w:val="24"/>
                <w:highlight w:val="none"/>
                <w:lang w:val="en-US" w:eastAsia="zh-CN"/>
              </w:rPr>
              <w:t>的5</w:t>
            </w:r>
            <w:r>
              <w:rPr>
                <w:rFonts w:hint="eastAsia" w:ascii="黑体" w:hAnsi="黑体" w:eastAsia="黑体" w:cs="黑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8</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招标范围</w:t>
            </w:r>
          </w:p>
        </w:tc>
        <w:tc>
          <w:tcPr>
            <w:tcW w:w="6893" w:type="dxa"/>
          </w:tcPr>
          <w:p>
            <w:pPr>
              <w:spacing w:line="511" w:lineRule="exact"/>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临床检验专用冰箱、试管架、混匀振荡器、八联管离心机、微孔板离心机、医用洁净工作台、生物安全柜、立式压力蒸汽灭菌器、多用途恒温箱（</w:t>
            </w:r>
            <w:bookmarkStart w:id="165" w:name="_GoBack"/>
            <w:bookmarkEnd w:id="165"/>
            <w:r>
              <w:rPr>
                <w:rFonts w:hint="eastAsia" w:ascii="黑体" w:hAnsi="黑体" w:eastAsia="黑体" w:cs="黑体"/>
                <w:color w:val="auto"/>
                <w:sz w:val="24"/>
                <w:szCs w:val="24"/>
                <w:highlight w:val="none"/>
                <w:lang w:val="en-US" w:eastAsia="zh-CN"/>
              </w:rPr>
              <w:t>干式恒温箱）、全自动医用PCR分析系统、全自动医用PCR分析系统设备采购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9</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交货安装期</w:t>
            </w:r>
          </w:p>
        </w:tc>
        <w:tc>
          <w:tcPr>
            <w:tcW w:w="6893" w:type="dxa"/>
            <w:vAlign w:val="center"/>
          </w:tcPr>
          <w:p>
            <w:pPr>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中标后签订合同之日起10日内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10</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交货地点</w:t>
            </w:r>
          </w:p>
        </w:tc>
        <w:tc>
          <w:tcPr>
            <w:tcW w:w="6893" w:type="dxa"/>
          </w:tcPr>
          <w:p>
            <w:pPr>
              <w:tabs>
                <w:tab w:val="left" w:pos="1344"/>
              </w:tabs>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采购单位</w:t>
            </w:r>
            <w:r>
              <w:rPr>
                <w:rFonts w:hint="eastAsia" w:ascii="黑体" w:hAnsi="黑体" w:eastAsia="黑体" w:cs="黑体"/>
                <w:color w:val="auto"/>
                <w:sz w:val="24"/>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11</w:t>
            </w:r>
          </w:p>
        </w:tc>
        <w:tc>
          <w:tcPr>
            <w:tcW w:w="2440" w:type="dxa"/>
          </w:tcPr>
          <w:p>
            <w:pPr>
              <w:spacing w:line="511" w:lineRule="exact"/>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en-US" w:eastAsia="zh-CN"/>
              </w:rPr>
              <w:t>评标方法</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12</w:t>
            </w:r>
          </w:p>
        </w:tc>
        <w:tc>
          <w:tcPr>
            <w:tcW w:w="2440" w:type="dxa"/>
            <w:vAlign w:val="center"/>
          </w:tcPr>
          <w:p>
            <w:pPr>
              <w:overflowPunct w:val="0"/>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验收标准</w:t>
            </w:r>
          </w:p>
        </w:tc>
        <w:tc>
          <w:tcPr>
            <w:tcW w:w="6893" w:type="dxa"/>
            <w:vAlign w:val="center"/>
          </w:tcPr>
          <w:p>
            <w:pPr>
              <w:overflowPunct w:val="0"/>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应与产品原始样本技术资料及标书技术文件一致，符合我国有关技术规范和技术标准，如提供货物验收不合格，所有损失由供货方自己承担。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13</w:t>
            </w:r>
          </w:p>
        </w:tc>
        <w:tc>
          <w:tcPr>
            <w:tcW w:w="2440" w:type="dxa"/>
            <w:vAlign w:val="top"/>
          </w:tcPr>
          <w:p>
            <w:pPr>
              <w:spacing w:line="511" w:lineRule="exact"/>
              <w:jc w:val="center"/>
              <w:rPr>
                <w:rFonts w:hint="eastAsia" w:ascii="黑体" w:hAnsi="黑体" w:eastAsia="黑体" w:cs="黑体"/>
                <w:color w:val="auto"/>
                <w:sz w:val="24"/>
                <w:szCs w:val="24"/>
                <w:highlight w:val="none"/>
                <w:lang w:val="en-US" w:eastAsia="zh-CN" w:bidi="zh-CN"/>
              </w:rPr>
            </w:pPr>
            <w:r>
              <w:rPr>
                <w:rFonts w:hint="eastAsia" w:ascii="黑体" w:hAnsi="黑体" w:eastAsia="黑体" w:cs="黑体"/>
                <w:color w:val="auto"/>
                <w:sz w:val="24"/>
                <w:szCs w:val="24"/>
                <w:highlight w:val="none"/>
              </w:rPr>
              <w:t>联合体投标</w:t>
            </w:r>
          </w:p>
        </w:tc>
        <w:tc>
          <w:tcPr>
            <w:tcW w:w="6893" w:type="dxa"/>
            <w:vAlign w:val="top"/>
          </w:tcPr>
          <w:p>
            <w:pPr>
              <w:spacing w:line="511" w:lineRule="exact"/>
              <w:rPr>
                <w:rFonts w:hint="eastAsia" w:ascii="黑体" w:hAnsi="黑体" w:eastAsia="黑体" w:cs="黑体"/>
                <w:color w:val="auto"/>
                <w:sz w:val="24"/>
                <w:szCs w:val="24"/>
                <w:highlight w:val="none"/>
                <w:lang w:val="en-US" w:eastAsia="zh-CN" w:bidi="zh-CN"/>
              </w:rPr>
            </w:pP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不接受</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14</w:t>
            </w:r>
          </w:p>
        </w:tc>
        <w:tc>
          <w:tcPr>
            <w:tcW w:w="2440"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招标文件领取</w:t>
            </w:r>
          </w:p>
        </w:tc>
        <w:tc>
          <w:tcPr>
            <w:tcW w:w="6893" w:type="dxa"/>
          </w:tcPr>
          <w:p>
            <w:pPr>
              <w:spacing w:line="409"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供应商登陆政采云平http://www.zcygov.cn/在线申请获取（登录政府采购云平台→项目采购→获取招标文件→申请，审核通过后可下载招标文件，如有操作性问题，可与政采云在线客服进行咨询，咨询电话：400-881-7190）。 </w:t>
            </w:r>
          </w:p>
          <w:p>
            <w:pPr>
              <w:spacing w:line="409"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本次招标不提供纸质版招标文件。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15</w:t>
            </w:r>
          </w:p>
        </w:tc>
        <w:tc>
          <w:tcPr>
            <w:tcW w:w="2440" w:type="dxa"/>
            <w:vAlign w:val="center"/>
          </w:tcPr>
          <w:p>
            <w:pPr>
              <w:overflowPunct w:val="0"/>
              <w:spacing w:line="440" w:lineRule="exact"/>
              <w:jc w:val="center"/>
              <w:rPr>
                <w:rFonts w:hint="eastAsia" w:ascii="黑体" w:hAnsi="黑体" w:eastAsia="黑体" w:cs="黑体"/>
                <w:bCs/>
                <w:sz w:val="24"/>
                <w:szCs w:val="24"/>
                <w:lang w:val="en-US" w:eastAsia="zh-CN" w:bidi="zh-CN"/>
              </w:rPr>
            </w:pPr>
            <w:r>
              <w:rPr>
                <w:rFonts w:hint="eastAsia" w:ascii="黑体" w:hAnsi="黑体" w:eastAsia="黑体" w:cs="黑体"/>
                <w:bCs/>
                <w:sz w:val="24"/>
                <w:szCs w:val="24"/>
                <w:lang w:val="en-US" w:eastAsia="zh-CN"/>
              </w:rPr>
              <w:t>标前准备</w:t>
            </w:r>
          </w:p>
        </w:tc>
        <w:tc>
          <w:tcPr>
            <w:tcW w:w="6893" w:type="dxa"/>
            <w:vAlign w:val="center"/>
          </w:tcPr>
          <w:p>
            <w:pPr>
              <w:overflowPunct w:val="0"/>
              <w:spacing w:line="440" w:lineRule="exact"/>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1、本项目实行网上投标，采用电子投标文件。若供应商参与投标，自行承担投标一切费用。</w:t>
            </w:r>
          </w:p>
          <w:p>
            <w:pPr>
              <w:overflowPunct w:val="0"/>
              <w:spacing w:line="440" w:lineRule="exact"/>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hint="eastAsia" w:ascii="黑体" w:hAnsi="黑体" w:eastAsia="黑体" w:cs="黑体"/>
                <w:bCs/>
                <w:sz w:val="24"/>
                <w:szCs w:val="24"/>
                <w:lang w:val="en-US" w:eastAsia="zh-CN" w:bidi="zh-CN"/>
              </w:rPr>
            </w:pPr>
            <w:r>
              <w:rPr>
                <w:rFonts w:hint="eastAsia" w:ascii="黑体" w:hAnsi="黑体" w:eastAsia="黑体" w:cs="黑体"/>
                <w:bCs/>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黑体" w:hAnsi="黑体" w:eastAsia="黑体" w:cs="黑体"/>
                <w:bCs/>
                <w:sz w:val="24"/>
                <w:szCs w:val="24"/>
                <w:lang w:val="en-US" w:eastAsia="zh-CN"/>
              </w:rPr>
              <w:fldChar w:fldCharType="begin"/>
            </w:r>
            <w:r>
              <w:rPr>
                <w:rFonts w:hint="eastAsia" w:ascii="黑体" w:hAnsi="黑体" w:eastAsia="黑体" w:cs="黑体"/>
                <w:bCs/>
                <w:sz w:val="24"/>
                <w:szCs w:val="24"/>
                <w:lang w:val="en-US" w:eastAsia="zh-CN"/>
              </w:rPr>
              <w:instrText xml:space="preserve"> HYPERLINK "http://www.ccgp-xinjiang.gov.cn/" </w:instrText>
            </w:r>
            <w:r>
              <w:rPr>
                <w:rFonts w:hint="eastAsia" w:ascii="黑体" w:hAnsi="黑体" w:eastAsia="黑体" w:cs="黑体"/>
                <w:bCs/>
                <w:sz w:val="24"/>
                <w:szCs w:val="24"/>
                <w:lang w:val="en-US" w:eastAsia="zh-CN"/>
              </w:rPr>
              <w:fldChar w:fldCharType="separate"/>
            </w:r>
            <w:r>
              <w:rPr>
                <w:rFonts w:hint="eastAsia" w:ascii="黑体" w:hAnsi="黑体" w:eastAsia="黑体" w:cs="黑体"/>
                <w:bCs/>
                <w:sz w:val="24"/>
                <w:szCs w:val="24"/>
                <w:lang w:val="en-US" w:eastAsia="zh-CN"/>
              </w:rPr>
              <w:t>http://www.ccgp-xinjiang.gov.cn/</w:t>
            </w:r>
            <w:r>
              <w:rPr>
                <w:rFonts w:hint="eastAsia" w:ascii="黑体" w:hAnsi="黑体" w:eastAsia="黑体" w:cs="黑体"/>
                <w:bCs/>
                <w:sz w:val="24"/>
                <w:szCs w:val="24"/>
                <w:lang w:val="en-US" w:eastAsia="zh-CN"/>
              </w:rPr>
              <w:fldChar w:fldCharType="end"/>
            </w:r>
            <w:r>
              <w:rPr>
                <w:rFonts w:hint="eastAsia" w:ascii="黑体" w:hAnsi="黑体" w:eastAsia="黑体" w:cs="黑体"/>
                <w:bCs/>
                <w:sz w:val="24"/>
                <w:szCs w:val="24"/>
                <w:lang w:val="en-US" w:eastAsia="zh-CN"/>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16</w:t>
            </w:r>
          </w:p>
        </w:tc>
        <w:tc>
          <w:tcPr>
            <w:tcW w:w="2440" w:type="dxa"/>
            <w:vAlign w:val="center"/>
          </w:tcPr>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开标地点及投标文件递交</w:t>
            </w:r>
          </w:p>
        </w:tc>
        <w:tc>
          <w:tcPr>
            <w:tcW w:w="6893" w:type="dxa"/>
            <w:vAlign w:val="center"/>
          </w:tcPr>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投标人应于2022年06月21日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17</w:t>
            </w:r>
          </w:p>
        </w:tc>
        <w:tc>
          <w:tcPr>
            <w:tcW w:w="2440" w:type="dxa"/>
            <w:vAlign w:val="center"/>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招标文件解密时间</w:t>
            </w:r>
          </w:p>
          <w:p>
            <w:pPr>
              <w:overflowPunct w:val="0"/>
              <w:spacing w:line="440" w:lineRule="exact"/>
              <w:rPr>
                <w:rFonts w:hint="eastAsia" w:ascii="黑体" w:hAnsi="黑体" w:eastAsia="黑体" w:cs="黑体"/>
                <w:bCs/>
                <w:color w:val="auto"/>
                <w:sz w:val="24"/>
                <w:szCs w:val="24"/>
                <w:lang w:val="en-US" w:eastAsia="zh-CN" w:bidi="zh-CN"/>
              </w:rPr>
            </w:pPr>
          </w:p>
        </w:tc>
        <w:tc>
          <w:tcPr>
            <w:tcW w:w="6893" w:type="dxa"/>
            <w:vAlign w:val="center"/>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开标时间后30分钟内（2022年06月21日上午10:30-11：00前）供应商可以登录“政采云”平台，用“项目采购-开标评标”功能进行解密投标文件。若供应商在规定时间内（2022年06月21日上午11:00前）</w:t>
            </w:r>
          </w:p>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18</w:t>
            </w:r>
          </w:p>
        </w:tc>
        <w:tc>
          <w:tcPr>
            <w:tcW w:w="2440" w:type="dxa"/>
            <w:vAlign w:val="center"/>
          </w:tcPr>
          <w:p>
            <w:pPr>
              <w:overflowPunct w:val="0"/>
              <w:spacing w:line="440" w:lineRule="exact"/>
              <w:rPr>
                <w:rFonts w:hint="eastAsia" w:ascii="黑体" w:hAnsi="黑体" w:eastAsia="黑体" w:cs="黑体"/>
                <w:color w:val="auto"/>
                <w:sz w:val="24"/>
                <w:szCs w:val="24"/>
                <w:highlight w:val="none"/>
                <w:lang w:val="en-US"/>
              </w:rPr>
            </w:pPr>
            <w:r>
              <w:rPr>
                <w:rFonts w:hint="eastAsia" w:ascii="黑体" w:hAnsi="黑体" w:eastAsia="黑体" w:cs="黑体"/>
                <w:bCs/>
                <w:color w:val="auto"/>
                <w:sz w:val="24"/>
                <w:szCs w:val="24"/>
                <w:lang w:val="en-US" w:eastAsia="zh-CN"/>
              </w:rPr>
              <w:t>投标人开标现场要求</w:t>
            </w:r>
          </w:p>
        </w:tc>
        <w:tc>
          <w:tcPr>
            <w:tcW w:w="6893" w:type="dxa"/>
            <w:vAlign w:val="center"/>
          </w:tcPr>
          <w:p>
            <w:pPr>
              <w:overflowPunct w:val="0"/>
              <w:spacing w:line="440" w:lineRule="exact"/>
              <w:rPr>
                <w:rFonts w:hint="eastAsia" w:ascii="黑体" w:hAnsi="黑体" w:eastAsia="黑体" w:cs="黑体"/>
                <w:color w:val="auto"/>
                <w:sz w:val="24"/>
                <w:szCs w:val="24"/>
                <w:highlight w:val="none"/>
                <w:lang w:val="en-US"/>
              </w:rPr>
            </w:pPr>
            <w:r>
              <w:rPr>
                <w:rFonts w:hint="eastAsia" w:ascii="黑体" w:hAnsi="黑体" w:eastAsia="黑体" w:cs="黑体"/>
                <w:bCs/>
                <w:color w:val="auto"/>
                <w:sz w:val="24"/>
                <w:szCs w:val="24"/>
                <w:lang w:val="en-US" w:eastAsia="zh-CN"/>
              </w:rPr>
              <w:t>投标单位不用现场投标，按规定时间上传电子投标书即可。（投标结束后投标供应商在5天内将投标文件（一正三副）递交至库尔勒豪景大厦9楼办公室；联系人：张硕、联系电话：13667522055）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19</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最高投标限价</w:t>
            </w:r>
          </w:p>
        </w:tc>
        <w:tc>
          <w:tcPr>
            <w:tcW w:w="6893" w:type="dxa"/>
          </w:tcPr>
          <w:p>
            <w:pPr>
              <w:spacing w:line="511" w:lineRule="exact"/>
              <w:rPr>
                <w:rFonts w:hint="eastAsia" w:ascii="黑体" w:hAnsi="黑体" w:eastAsia="黑体" w:cs="黑体"/>
                <w:sz w:val="24"/>
                <w:szCs w:val="24"/>
                <w:lang w:val="en-US"/>
              </w:rPr>
            </w:pPr>
            <w:r>
              <w:rPr>
                <w:rFonts w:hint="eastAsia" w:ascii="黑体" w:hAnsi="黑体" w:eastAsia="黑体" w:cs="黑体"/>
                <w:sz w:val="24"/>
                <w:szCs w:val="24"/>
              </w:rPr>
              <w:t>□无</w:t>
            </w:r>
            <w:r>
              <w:rPr>
                <w:rFonts w:hint="eastAsia" w:ascii="黑体" w:hAnsi="黑体" w:eastAsia="黑体" w:cs="黑体"/>
                <w:sz w:val="24"/>
                <w:szCs w:val="24"/>
              </w:rPr>
              <w:sym w:font="Wingdings" w:char="00FE"/>
            </w:r>
            <w:r>
              <w:rPr>
                <w:rFonts w:hint="eastAsia" w:ascii="黑体" w:hAnsi="黑体" w:eastAsia="黑体" w:cs="黑体"/>
                <w:sz w:val="24"/>
                <w:szCs w:val="24"/>
              </w:rPr>
              <w:t>有，最高投标限价：本项目预算价：</w:t>
            </w:r>
            <w:r>
              <w:rPr>
                <w:rFonts w:hint="eastAsia" w:ascii="黑体" w:hAnsi="黑体" w:eastAsia="黑体" w:cs="黑体"/>
                <w:sz w:val="24"/>
                <w:szCs w:val="24"/>
                <w:lang w:val="en-US" w:eastAsia="zh-CN"/>
              </w:rPr>
              <w:t>794</w:t>
            </w:r>
            <w:r>
              <w:rPr>
                <w:rFonts w:hint="eastAsia" w:ascii="黑体" w:hAnsi="黑体" w:eastAsia="黑体" w:cs="黑体"/>
                <w:sz w:val="24"/>
                <w:szCs w:val="24"/>
                <w:lang w:val="en-US"/>
              </w:rPr>
              <w:t>万</w:t>
            </w:r>
            <w:r>
              <w:rPr>
                <w:rFonts w:hint="eastAsia" w:ascii="黑体" w:hAnsi="黑体" w:eastAsia="黑体" w:cs="黑体"/>
                <w:sz w:val="24"/>
                <w:szCs w:val="24"/>
              </w:rPr>
              <w:t>元</w:t>
            </w:r>
            <w:r>
              <w:rPr>
                <w:rFonts w:hint="eastAsia" w:ascii="黑体" w:hAnsi="黑体" w:eastAsia="黑体" w:cs="黑体"/>
                <w:sz w:val="24"/>
                <w:szCs w:val="24"/>
                <w:lang w:val="en-US"/>
              </w:rPr>
              <w:t xml:space="preserve"> </w:t>
            </w:r>
          </w:p>
          <w:p>
            <w:pPr>
              <w:pStyle w:val="17"/>
              <w:rPr>
                <w:rFonts w:hint="eastAsia" w:ascii="黑体" w:hAnsi="黑体" w:eastAsia="黑体" w:cs="黑体"/>
                <w:sz w:val="24"/>
                <w:szCs w:val="24"/>
              </w:rPr>
            </w:pPr>
            <w:r>
              <w:rPr>
                <w:rFonts w:hint="eastAsia" w:ascii="黑体" w:hAnsi="黑体" w:eastAsia="黑体" w:cs="黑体"/>
                <w:b/>
                <w:bCs/>
                <w:color w:val="auto"/>
                <w:sz w:val="24"/>
                <w:szCs w:val="24"/>
                <w:highlight w:val="none"/>
                <w:lang w:val="en-US" w:eastAsia="zh-CN"/>
              </w:rPr>
              <w:t>注：1、</w:t>
            </w:r>
            <w:r>
              <w:rPr>
                <w:rFonts w:hint="eastAsia" w:ascii="黑体" w:hAnsi="黑体" w:eastAsia="黑体" w:cs="黑体"/>
                <w:b/>
                <w:bCs/>
                <w:color w:val="auto"/>
                <w:sz w:val="24"/>
                <w:szCs w:val="24"/>
                <w:highlight w:val="none"/>
                <w:lang w:val="zh-CN"/>
              </w:rPr>
              <w:t>最终报价应以产品</w:t>
            </w:r>
            <w:r>
              <w:rPr>
                <w:rFonts w:hint="eastAsia" w:ascii="黑体" w:hAnsi="黑体" w:eastAsia="黑体" w:cs="黑体"/>
                <w:b/>
                <w:bCs/>
                <w:color w:val="auto"/>
                <w:sz w:val="24"/>
                <w:szCs w:val="24"/>
                <w:highlight w:val="none"/>
                <w:lang w:val="en-US" w:eastAsia="zh-CN"/>
              </w:rPr>
              <w:t>生产制造费</w:t>
            </w:r>
            <w:r>
              <w:rPr>
                <w:rFonts w:hint="eastAsia" w:ascii="黑体" w:hAnsi="黑体" w:eastAsia="黑体" w:cs="黑体"/>
                <w:b/>
                <w:bCs/>
                <w:color w:val="auto"/>
                <w:sz w:val="24"/>
                <w:szCs w:val="24"/>
                <w:highlight w:val="none"/>
                <w:lang w:val="zh-CN" w:eastAsia="zh-CN"/>
              </w:rPr>
              <w:t>、</w:t>
            </w:r>
            <w:r>
              <w:rPr>
                <w:rFonts w:hint="eastAsia" w:ascii="黑体" w:hAnsi="黑体" w:eastAsia="黑体" w:cs="黑体"/>
                <w:b/>
                <w:bCs/>
                <w:color w:val="auto"/>
                <w:sz w:val="24"/>
                <w:szCs w:val="24"/>
                <w:highlight w:val="none"/>
                <w:lang w:val="zh-CN"/>
              </w:rPr>
              <w:t>材料费、</w:t>
            </w:r>
            <w:r>
              <w:rPr>
                <w:rFonts w:hint="eastAsia" w:ascii="黑体" w:hAnsi="黑体" w:eastAsia="黑体" w:cs="黑体"/>
                <w:b/>
                <w:bCs/>
                <w:color w:val="auto"/>
                <w:sz w:val="24"/>
                <w:szCs w:val="24"/>
                <w:highlight w:val="none"/>
                <w:lang w:val="zh-CN" w:eastAsia="zh-CN"/>
              </w:rPr>
              <w:t>包装费、</w:t>
            </w:r>
            <w:r>
              <w:rPr>
                <w:rFonts w:hint="eastAsia" w:ascii="黑体" w:hAnsi="黑体" w:eastAsia="黑体" w:cs="黑体"/>
                <w:b/>
                <w:bCs/>
                <w:color w:val="auto"/>
                <w:sz w:val="24"/>
                <w:szCs w:val="24"/>
                <w:highlight w:val="none"/>
                <w:lang w:val="en-US" w:eastAsia="zh-CN"/>
              </w:rPr>
              <w:t>检验费、检测费、加工费、</w:t>
            </w:r>
            <w:r>
              <w:rPr>
                <w:rFonts w:hint="eastAsia" w:ascii="黑体" w:hAnsi="黑体" w:eastAsia="黑体" w:cs="黑体"/>
                <w:b/>
                <w:bCs/>
                <w:color w:val="auto"/>
                <w:sz w:val="24"/>
                <w:szCs w:val="24"/>
                <w:highlight w:val="none"/>
                <w:lang w:val="zh-CN"/>
              </w:rPr>
              <w:t>运输费（包括从货物发出地到合同指定实际交货地之间的所有费用）、装卸费、</w:t>
            </w:r>
            <w:r>
              <w:rPr>
                <w:rFonts w:hint="eastAsia" w:ascii="黑体" w:hAnsi="黑体" w:eastAsia="黑体" w:cs="黑体"/>
                <w:b/>
                <w:bCs/>
                <w:color w:val="auto"/>
                <w:sz w:val="24"/>
                <w:szCs w:val="24"/>
                <w:highlight w:val="none"/>
                <w:lang w:val="en-US" w:eastAsia="zh-CN"/>
              </w:rPr>
              <w:t>备品备件、</w:t>
            </w:r>
            <w:r>
              <w:rPr>
                <w:rFonts w:hint="eastAsia" w:ascii="黑体" w:hAnsi="黑体" w:eastAsia="黑体" w:cs="黑体"/>
                <w:b/>
                <w:bCs/>
                <w:color w:val="auto"/>
                <w:sz w:val="24"/>
                <w:szCs w:val="24"/>
                <w:highlight w:val="none"/>
                <w:lang w:val="zh-CN" w:eastAsia="zh-CN"/>
              </w:rPr>
              <w:t>损耗费、税金、质保售后</w:t>
            </w:r>
            <w:r>
              <w:rPr>
                <w:rFonts w:hint="eastAsia" w:ascii="黑体" w:hAnsi="黑体" w:eastAsia="黑体" w:cs="黑体"/>
                <w:b/>
                <w:bCs/>
                <w:color w:val="auto"/>
                <w:sz w:val="24"/>
                <w:szCs w:val="24"/>
                <w:highlight w:val="none"/>
                <w:lang w:val="en-US" w:eastAsia="zh-CN"/>
              </w:rPr>
              <w:t>及相应的配套服务等所</w:t>
            </w:r>
            <w:r>
              <w:rPr>
                <w:rFonts w:hint="eastAsia" w:ascii="黑体" w:hAnsi="黑体" w:eastAsia="黑体" w:cs="黑体"/>
                <w:b/>
                <w:bCs/>
                <w:color w:val="auto"/>
                <w:sz w:val="24"/>
                <w:szCs w:val="24"/>
                <w:highlight w:val="none"/>
                <w:lang w:val="zh-CN" w:eastAsia="zh-CN"/>
              </w:rPr>
              <w:t>产生的全部费用。中标后不因市场因素价格变化而作任何变动，投标人必须按投标人须知、投标书、投标承诺及合同条款、技术规范标准及现场要求为准，任何投标时估算错误或漏项的风险，一律由投标人承担。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20</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投标有效期</w:t>
            </w:r>
          </w:p>
        </w:tc>
        <w:tc>
          <w:tcPr>
            <w:tcW w:w="6893" w:type="dxa"/>
          </w:tcPr>
          <w:p>
            <w:pPr>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21</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w:t>
            </w:r>
          </w:p>
        </w:tc>
        <w:tc>
          <w:tcPr>
            <w:tcW w:w="6893" w:type="dxa"/>
          </w:tcPr>
          <w:p>
            <w:pPr>
              <w:spacing w:line="460" w:lineRule="exact"/>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val="en-US" w:eastAsia="zh-CN"/>
              </w:rPr>
              <w:t>投标</w:t>
            </w:r>
            <w:r>
              <w:rPr>
                <w:rFonts w:hint="eastAsia" w:ascii="黑体" w:hAnsi="黑体" w:eastAsia="黑体" w:cs="黑体"/>
                <w:b/>
                <w:bCs/>
                <w:color w:val="auto"/>
                <w:sz w:val="24"/>
                <w:szCs w:val="24"/>
                <w:highlight w:val="none"/>
              </w:rPr>
              <w:t>保证金缴纳</w:t>
            </w:r>
            <w:r>
              <w:rPr>
                <w:rFonts w:hint="eastAsia" w:ascii="黑体" w:hAnsi="黑体" w:eastAsia="黑体" w:cs="黑体"/>
                <w:b/>
                <w:bCs/>
                <w:color w:val="auto"/>
                <w:sz w:val="24"/>
                <w:szCs w:val="24"/>
                <w:highlight w:val="none"/>
                <w:lang w:eastAsia="zh-CN"/>
              </w:rPr>
              <w:t>：</w:t>
            </w:r>
          </w:p>
          <w:p>
            <w:pPr>
              <w:spacing w:line="460" w:lineRule="exact"/>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单位名称：</w:t>
            </w:r>
            <w:r>
              <w:rPr>
                <w:rFonts w:hint="eastAsia" w:ascii="黑体" w:hAnsi="黑体" w:eastAsia="黑体" w:cs="黑体"/>
                <w:color w:val="auto"/>
                <w:sz w:val="24"/>
                <w:szCs w:val="24"/>
                <w:highlight w:val="none"/>
                <w:lang w:eastAsia="zh-CN"/>
              </w:rPr>
              <w:t>新疆安航工程项目管理有限公司</w:t>
            </w:r>
            <w:r>
              <w:rPr>
                <w:rFonts w:hint="eastAsia" w:ascii="黑体" w:hAnsi="黑体" w:eastAsia="黑体" w:cs="黑体"/>
                <w:color w:val="auto"/>
                <w:sz w:val="24"/>
                <w:szCs w:val="24"/>
                <w:highlight w:val="none"/>
                <w:lang w:val="en-US" w:eastAsia="zh-CN"/>
              </w:rPr>
              <w:t>巴州分公司</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开户行：中国工商银行股份有限公司轮台支行</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账号：3010 0271 0920 0110 770</w:t>
            </w:r>
          </w:p>
          <w:p>
            <w:pPr>
              <w:spacing w:line="460" w:lineRule="exact"/>
              <w:rPr>
                <w:rFonts w:hint="eastAsia" w:ascii="黑体" w:hAnsi="黑体" w:eastAsia="黑体" w:cs="黑体"/>
                <w:b/>
                <w:bCs/>
                <w:color w:val="auto"/>
                <w:sz w:val="24"/>
                <w:szCs w:val="24"/>
                <w:highlight w:val="none"/>
                <w:lang w:val="en-US"/>
              </w:rPr>
            </w:pPr>
            <w:r>
              <w:rPr>
                <w:rFonts w:hint="eastAsia" w:ascii="黑体" w:hAnsi="黑体" w:eastAsia="黑体" w:cs="黑体"/>
                <w:b/>
                <w:bCs/>
                <w:color w:val="auto"/>
                <w:sz w:val="24"/>
                <w:szCs w:val="24"/>
                <w:highlight w:val="none"/>
                <w:lang w:val="en-US"/>
              </w:rPr>
              <w:t>保证金金额：</w:t>
            </w:r>
            <w:r>
              <w:rPr>
                <w:rFonts w:hint="eastAsia" w:ascii="黑体" w:hAnsi="黑体" w:eastAsia="黑体" w:cs="黑体"/>
                <w:b/>
                <w:bCs/>
                <w:color w:val="auto"/>
                <w:sz w:val="24"/>
                <w:szCs w:val="24"/>
                <w:highlight w:val="none"/>
                <w:lang w:val="en-US" w:eastAsia="zh-CN"/>
              </w:rPr>
              <w:t>85000</w:t>
            </w:r>
            <w:r>
              <w:rPr>
                <w:rFonts w:hint="eastAsia" w:ascii="黑体" w:hAnsi="黑体" w:eastAsia="黑体" w:cs="黑体"/>
                <w:b/>
                <w:bCs/>
                <w:color w:val="auto"/>
                <w:sz w:val="24"/>
                <w:szCs w:val="24"/>
                <w:highlight w:val="none"/>
                <w:lang w:val="en-US"/>
              </w:rPr>
              <w:t>元（</w:t>
            </w:r>
            <w:r>
              <w:rPr>
                <w:rFonts w:hint="eastAsia" w:ascii="黑体" w:hAnsi="黑体" w:eastAsia="黑体" w:cs="黑体"/>
                <w:b/>
                <w:bCs/>
                <w:color w:val="auto"/>
                <w:sz w:val="24"/>
                <w:szCs w:val="24"/>
                <w:highlight w:val="none"/>
                <w:lang w:val="en-US" w:eastAsia="zh-CN"/>
              </w:rPr>
              <w:t>捌万伍仟元整</w:t>
            </w:r>
            <w:r>
              <w:rPr>
                <w:rFonts w:hint="eastAsia" w:ascii="黑体" w:hAnsi="黑体" w:eastAsia="黑体" w:cs="黑体"/>
                <w:b/>
                <w:bCs/>
                <w:color w:val="auto"/>
                <w:sz w:val="24"/>
                <w:szCs w:val="24"/>
                <w:highlight w:val="none"/>
                <w:lang w:val="en-US"/>
              </w:rPr>
              <w:t>）</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（汇保证金款项时必须注明项目名称</w:t>
            </w:r>
            <w:r>
              <w:rPr>
                <w:rFonts w:hint="eastAsia" w:ascii="黑体" w:hAnsi="黑体" w:eastAsia="黑体" w:cs="黑体"/>
                <w:color w:val="auto"/>
                <w:sz w:val="24"/>
                <w:szCs w:val="24"/>
                <w:highlight w:val="none"/>
                <w:lang w:val="en-US" w:eastAsia="zh-CN"/>
              </w:rPr>
              <w:t>或</w:t>
            </w:r>
            <w:r>
              <w:rPr>
                <w:rFonts w:hint="eastAsia" w:ascii="黑体" w:hAnsi="黑体" w:eastAsia="黑体" w:cs="黑体"/>
                <w:color w:val="auto"/>
                <w:sz w:val="24"/>
                <w:szCs w:val="24"/>
                <w:highlight w:val="none"/>
              </w:rPr>
              <w:t>编号）</w:t>
            </w:r>
          </w:p>
          <w:p>
            <w:pPr>
              <w:pStyle w:val="41"/>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highlight w:val="none"/>
                <w:lang w:val="en-US" w:eastAsia="zh-CN"/>
              </w:rPr>
              <w:t>项目名称：轮台县卫生健康委员会核酸检测实验室医疗设备采购项目）</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项目编号：XJAHZFCG-2022-006</w:t>
            </w:r>
            <w:r>
              <w:rPr>
                <w:rFonts w:hint="eastAsia" w:ascii="黑体" w:hAnsi="黑体" w:eastAsia="黑体" w:cs="黑体"/>
                <w:color w:val="auto"/>
                <w:sz w:val="24"/>
                <w:szCs w:val="24"/>
                <w:highlight w:val="none"/>
                <w:lang w:eastAsia="zh-CN"/>
              </w:rPr>
              <w:t>）</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val="en-US" w:eastAsia="zh-CN"/>
              </w:rPr>
              <w:t>张硕</w:t>
            </w:r>
            <w:r>
              <w:rPr>
                <w:rFonts w:hint="eastAsia" w:ascii="黑体" w:hAnsi="黑体" w:eastAsia="黑体" w:cs="黑体"/>
                <w:color w:val="auto"/>
                <w:sz w:val="24"/>
                <w:szCs w:val="24"/>
                <w:highlight w:val="none"/>
              </w:rPr>
              <w:t xml:space="preserve">    联系电话：</w:t>
            </w:r>
            <w:r>
              <w:rPr>
                <w:rFonts w:hint="eastAsia" w:ascii="黑体" w:hAnsi="黑体" w:eastAsia="黑体" w:cs="黑体"/>
                <w:color w:val="auto"/>
                <w:sz w:val="24"/>
                <w:szCs w:val="24"/>
                <w:highlight w:val="none"/>
                <w:lang w:val="en-US" w:eastAsia="zh-CN"/>
              </w:rPr>
              <w:t>13667522055</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的退还：中标通知书发出之日起5个工作日内退还未中标人的投标保证金（未中标人须出具收到我公司退还投标保证金收据方可退还，逾期退还的后果自负），自采购合同签订之日起5个工作日内退还中标人的投标保证金。</w:t>
            </w:r>
          </w:p>
          <w:p>
            <w:pPr>
              <w:pStyle w:val="263"/>
              <w:spacing w:after="200" w:line="360" w:lineRule="auto"/>
              <w:rPr>
                <w:rFonts w:hint="eastAsia" w:ascii="黑体" w:hAnsi="黑体" w:eastAsia="黑体" w:cs="黑体"/>
                <w:color w:val="auto"/>
                <w:sz w:val="24"/>
                <w:szCs w:val="24"/>
                <w:highlight w:val="none"/>
                <w:lang w:val="en-US" w:eastAsia="zh-CN"/>
              </w:rPr>
            </w:pPr>
          </w:p>
          <w:p>
            <w:pPr>
              <w:pStyle w:val="263"/>
              <w:spacing w:after="200"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注：</w:t>
            </w:r>
            <w:r>
              <w:rPr>
                <w:rFonts w:hint="eastAsia" w:ascii="黑体" w:hAnsi="黑体" w:eastAsia="黑体" w:cs="黑体"/>
                <w:color w:val="auto"/>
                <w:kern w:val="0"/>
                <w:sz w:val="24"/>
                <w:szCs w:val="24"/>
                <w:highlight w:val="none"/>
              </w:rPr>
              <w:t>到账截止时间：</w:t>
            </w:r>
            <w:bookmarkStart w:id="15" w:name="EB961a54d590dd4901836fe4678f9cafb9"/>
            <w:bookmarkEnd w:id="15"/>
            <w:r>
              <w:rPr>
                <w:rFonts w:hint="eastAsia" w:ascii="黑体" w:hAnsi="黑体" w:eastAsia="黑体" w:cs="黑体"/>
                <w:color w:val="auto"/>
                <w:kern w:val="0"/>
                <w:sz w:val="24"/>
                <w:szCs w:val="24"/>
                <w:highlight w:val="none"/>
                <w:lang w:val="en-US" w:eastAsia="zh-CN"/>
              </w:rPr>
              <w:t>2022年06月20日下午20：00分</w:t>
            </w:r>
            <w:r>
              <w:rPr>
                <w:rFonts w:hint="eastAsia" w:ascii="黑体" w:hAnsi="黑体" w:eastAsia="黑体" w:cs="黑体"/>
                <w:color w:val="auto"/>
                <w:sz w:val="24"/>
                <w:szCs w:val="24"/>
                <w:highlight w:val="none"/>
              </w:rPr>
              <w:t>投标人应在投标截止时间前提交投标保证金，并确保投标保证金在截止时间前</w:t>
            </w:r>
            <w:r>
              <w:rPr>
                <w:rFonts w:hint="eastAsia" w:ascii="黑体" w:hAnsi="黑体" w:eastAsia="黑体" w:cs="黑体"/>
                <w:color w:val="auto"/>
                <w:sz w:val="24"/>
                <w:szCs w:val="24"/>
                <w:highlight w:val="none"/>
                <w:lang w:val="en-US" w:eastAsia="zh-CN"/>
              </w:rPr>
              <w:t>到达新疆安航工程项目管理有限公司巴州分公司</w:t>
            </w:r>
            <w:r>
              <w:rPr>
                <w:rFonts w:hint="eastAsia" w:ascii="黑体" w:hAnsi="黑体" w:eastAsia="黑体" w:cs="黑体"/>
                <w:color w:val="auto"/>
                <w:sz w:val="24"/>
                <w:szCs w:val="24"/>
                <w:highlight w:val="none"/>
              </w:rPr>
              <w:t>。</w:t>
            </w:r>
          </w:p>
          <w:p>
            <w:pPr>
              <w:pStyle w:val="263"/>
              <w:numPr>
                <w:ilvl w:val="0"/>
                <w:numId w:val="8"/>
              </w:numPr>
              <w:spacing w:after="200"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以电汇或转账形式汇缴至</w:t>
            </w:r>
            <w:r>
              <w:rPr>
                <w:rFonts w:hint="eastAsia" w:ascii="黑体" w:hAnsi="黑体" w:eastAsia="黑体" w:cs="黑体"/>
                <w:b/>
                <w:bCs/>
                <w:color w:val="auto"/>
                <w:sz w:val="24"/>
                <w:szCs w:val="24"/>
                <w:highlight w:val="none"/>
                <w:lang w:val="en-US" w:eastAsia="zh-CN"/>
              </w:rPr>
              <w:t>新疆安航工程项目管理有限公司巴州分公司</w:t>
            </w:r>
            <w:r>
              <w:rPr>
                <w:rFonts w:hint="eastAsia" w:ascii="黑体" w:hAnsi="黑体" w:eastAsia="黑体" w:cs="黑体"/>
                <w:b/>
                <w:bCs/>
                <w:color w:val="auto"/>
                <w:sz w:val="24"/>
                <w:szCs w:val="24"/>
                <w:highlight w:val="none"/>
              </w:rPr>
              <w:t>账户。</w:t>
            </w:r>
          </w:p>
          <w:p>
            <w:pPr>
              <w:pStyle w:val="263"/>
              <w:numPr>
                <w:ilvl w:val="0"/>
                <w:numId w:val="0"/>
              </w:numPr>
              <w:spacing w:after="200"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投标保证金必须从企业法人基本存款账户缴纳至招标代理机构给定的账户并在用途栏注明项目名称，因未注明项目名称及标段造成的后果由投标单位自行承担。以个人、企业的办事处、分公司、子公司名义或从他人账户、投标人企业的其他账户缴纳的投标保证金无效。投标保证金缴纳成功后至新疆安航工程项目管理有限公司换取收据。</w:t>
            </w:r>
          </w:p>
          <w:p>
            <w:pPr>
              <w:spacing w:line="24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投标保证金必须以现金或网银转账的形式由投标人的基本账户汇出(个体工商户除外)，并汇入至</w:t>
            </w:r>
            <w:r>
              <w:rPr>
                <w:rFonts w:hint="eastAsia" w:ascii="黑体" w:hAnsi="黑体" w:eastAsia="黑体" w:cs="黑体"/>
                <w:color w:val="auto"/>
                <w:sz w:val="24"/>
                <w:szCs w:val="24"/>
                <w:highlight w:val="none"/>
                <w:lang w:eastAsia="zh-CN"/>
              </w:rPr>
              <w:t>新疆安航工程项目管理有限公司</w:t>
            </w:r>
            <w:r>
              <w:rPr>
                <w:rFonts w:hint="eastAsia" w:ascii="黑体" w:hAnsi="黑体" w:eastAsia="黑体" w:cs="黑体"/>
                <w:color w:val="auto"/>
                <w:sz w:val="24"/>
                <w:szCs w:val="24"/>
                <w:highlight w:val="none"/>
              </w:rPr>
              <w:t>指定账户。投标人不按上述以上要求提交投标保证金或投标保证金未至指定账户的投标将被拒绝。</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投标人需自行评估因异地、跨行、公休日等因素造成的投标保证金到账延迟风险，并承担相应责任。</w:t>
            </w:r>
          </w:p>
          <w:p>
            <w:pPr>
              <w:spacing w:line="240" w:lineRule="auto"/>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投标保证金的提交以</w:t>
            </w:r>
            <w:r>
              <w:rPr>
                <w:rFonts w:hint="eastAsia" w:ascii="黑体" w:hAnsi="黑体" w:eastAsia="黑体" w:cs="黑体"/>
                <w:color w:val="auto"/>
                <w:sz w:val="24"/>
                <w:szCs w:val="24"/>
                <w:highlight w:val="none"/>
                <w:lang w:eastAsia="zh-CN"/>
              </w:rPr>
              <w:t>新疆安航工程项目管理有限公司</w:t>
            </w:r>
            <w:r>
              <w:rPr>
                <w:rFonts w:hint="eastAsia" w:ascii="黑体" w:hAnsi="黑体" w:eastAsia="黑体" w:cs="黑体"/>
                <w:color w:val="auto"/>
                <w:sz w:val="24"/>
                <w:szCs w:val="24"/>
                <w:highlight w:val="none"/>
              </w:rPr>
              <w:t>账户到账时间为准。</w:t>
            </w:r>
            <w:r>
              <w:rPr>
                <w:rFonts w:hint="eastAsia" w:ascii="黑体" w:hAnsi="黑体" w:eastAsia="黑体" w:cs="黑体"/>
                <w:color w:val="auto"/>
                <w:sz w:val="24"/>
                <w:szCs w:val="24"/>
                <w:highlight w:val="none"/>
                <w:lang w:val="en-US" w:eastAsia="zh-CN"/>
              </w:rPr>
              <w:t>  </w:t>
            </w:r>
          </w:p>
          <w:p>
            <w:pPr>
              <w:pStyle w:val="254"/>
              <w:spacing w:after="200" w:line="240" w:lineRule="auto"/>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注：</w:t>
            </w:r>
            <w:r>
              <w:rPr>
                <w:rFonts w:hint="eastAsia" w:ascii="黑体" w:hAnsi="黑体" w:eastAsia="黑体" w:cs="黑体"/>
                <w:b/>
                <w:bCs/>
                <w:color w:val="auto"/>
                <w:sz w:val="24"/>
                <w:szCs w:val="24"/>
                <w:highlight w:val="none"/>
              </w:rPr>
              <w:t>（1）在缴纳投标保证金时需填写项目名称。（备注栏注明本项目名称，因未注明附言造成的投标保证金无法确认到账，后果投标人自负）</w:t>
            </w:r>
          </w:p>
          <w:p>
            <w:pPr>
              <w:pStyle w:val="254"/>
              <w:spacing w:after="200" w:line="240" w:lineRule="auto"/>
              <w:ind w:firstLine="482" w:firstLineChars="200"/>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（2）投标保证金缴纳只接受投标企业基本帐户对公转帐，其他以私人名义或现金缴纳等存入、汇款方式均视为无效投标保证金。</w:t>
            </w:r>
          </w:p>
          <w:p>
            <w:pPr>
              <w:pStyle w:val="254"/>
              <w:spacing w:after="200" w:line="240" w:lineRule="auto"/>
              <w:ind w:firstLine="482" w:firstLineChars="200"/>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（3）</w:t>
            </w:r>
            <w:r>
              <w:rPr>
                <w:rFonts w:hint="eastAsia" w:ascii="黑体" w:hAnsi="黑体" w:eastAsia="黑体" w:cs="黑体"/>
                <w:b/>
                <w:bCs/>
                <w:color w:val="auto"/>
                <w:sz w:val="24"/>
                <w:szCs w:val="24"/>
                <w:highlight w:val="none"/>
                <w:lang w:val="en-US" w:eastAsia="zh-CN"/>
              </w:rPr>
              <w:t>投标人</w:t>
            </w:r>
            <w:r>
              <w:rPr>
                <w:rFonts w:hint="eastAsia" w:ascii="黑体" w:hAnsi="黑体" w:eastAsia="黑体" w:cs="黑体"/>
                <w:b/>
                <w:bCs/>
                <w:color w:val="auto"/>
                <w:sz w:val="24"/>
                <w:szCs w:val="24"/>
                <w:highlight w:val="none"/>
              </w:rPr>
              <w:t>领取收据时，需携带营业执照复印件加盖公章、开户许可证复印件加盖公章，汇款凭证。到换取收据。</w:t>
            </w:r>
          </w:p>
          <w:p>
            <w:pPr>
              <w:pStyle w:val="254"/>
              <w:spacing w:after="200" w:line="240" w:lineRule="auto"/>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退</w:t>
            </w:r>
            <w:r>
              <w:rPr>
                <w:rFonts w:hint="eastAsia" w:ascii="黑体" w:hAnsi="黑体" w:eastAsia="黑体" w:cs="黑体"/>
                <w:b/>
                <w:bCs/>
                <w:color w:val="auto"/>
                <w:sz w:val="24"/>
                <w:szCs w:val="24"/>
                <w:highlight w:val="none"/>
                <w:lang w:val="en-US" w:eastAsia="zh-CN"/>
              </w:rPr>
              <w:t>还</w:t>
            </w:r>
            <w:r>
              <w:rPr>
                <w:rFonts w:hint="eastAsia" w:ascii="黑体" w:hAnsi="黑体" w:eastAsia="黑体" w:cs="黑体"/>
                <w:b/>
                <w:bCs/>
                <w:color w:val="auto"/>
                <w:sz w:val="24"/>
                <w:szCs w:val="24"/>
                <w:highlight w:val="none"/>
              </w:rPr>
              <w:t>保证金流程：</w:t>
            </w:r>
          </w:p>
          <w:p>
            <w:pPr>
              <w:pStyle w:val="254"/>
              <w:numPr>
                <w:ilvl w:val="0"/>
                <w:numId w:val="9"/>
              </w:numPr>
              <w:spacing w:after="200" w:line="240" w:lineRule="auto"/>
              <w:ind w:firstLine="482" w:firstLineChars="200"/>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未中标单位： 需提供贵公司另外开具收款收据，加盖财务章，及贵公司开户许可证复印件加盖公章。</w:t>
            </w:r>
          </w:p>
          <w:p>
            <w:pPr>
              <w:pStyle w:val="254"/>
              <w:numPr>
                <w:ilvl w:val="0"/>
                <w:numId w:val="0"/>
              </w:numPr>
              <w:spacing w:after="200" w:line="240" w:lineRule="auto"/>
              <w:ind w:firstLine="482" w:firstLineChars="200"/>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eastAsia="zh-CN"/>
              </w:rPr>
              <w:t>（</w:t>
            </w:r>
            <w:r>
              <w:rPr>
                <w:rFonts w:hint="eastAsia" w:ascii="黑体" w:hAnsi="黑体" w:eastAsia="黑体" w:cs="黑体"/>
                <w:b/>
                <w:bCs/>
                <w:color w:val="auto"/>
                <w:sz w:val="24"/>
                <w:szCs w:val="24"/>
                <w:highlight w:val="none"/>
                <w:lang w:val="en-US" w:eastAsia="zh-CN"/>
              </w:rPr>
              <w:t>2</w:t>
            </w:r>
            <w:r>
              <w:rPr>
                <w:rFonts w:hint="eastAsia" w:ascii="黑体" w:hAnsi="黑体" w:eastAsia="黑体" w:cs="黑体"/>
                <w:b/>
                <w:bCs/>
                <w:color w:val="auto"/>
                <w:sz w:val="24"/>
                <w:szCs w:val="24"/>
                <w:highlight w:val="none"/>
                <w:lang w:eastAsia="zh-CN"/>
              </w:rPr>
              <w:t>）</w:t>
            </w:r>
            <w:r>
              <w:rPr>
                <w:rFonts w:hint="eastAsia" w:ascii="黑体" w:hAnsi="黑体" w:eastAsia="黑体" w:cs="黑体"/>
                <w:b/>
                <w:bCs/>
                <w:color w:val="auto"/>
                <w:sz w:val="24"/>
                <w:szCs w:val="24"/>
                <w:highlight w:val="none"/>
              </w:rPr>
              <w:t>中标单位：需提供贵公司另外开具收款收据</w:t>
            </w:r>
            <w:r>
              <w:rPr>
                <w:rFonts w:hint="eastAsia" w:ascii="黑体" w:hAnsi="黑体" w:eastAsia="黑体" w:cs="黑体"/>
                <w:b/>
                <w:bCs/>
                <w:color w:val="auto"/>
                <w:sz w:val="24"/>
                <w:szCs w:val="24"/>
                <w:highlight w:val="none"/>
                <w:lang w:eastAsia="zh-CN"/>
              </w:rPr>
              <w:t>（</w:t>
            </w:r>
            <w:r>
              <w:rPr>
                <w:rFonts w:hint="eastAsia" w:ascii="黑体" w:hAnsi="黑体" w:eastAsia="黑体" w:cs="黑体"/>
                <w:b/>
                <w:bCs/>
                <w:color w:val="auto"/>
                <w:sz w:val="24"/>
                <w:szCs w:val="24"/>
                <w:highlight w:val="none"/>
              </w:rPr>
              <w:t>加盖财务章</w:t>
            </w:r>
            <w:r>
              <w:rPr>
                <w:rFonts w:hint="eastAsia" w:ascii="黑体" w:hAnsi="黑体" w:eastAsia="黑体" w:cs="黑体"/>
                <w:b/>
                <w:bCs/>
                <w:color w:val="auto"/>
                <w:sz w:val="24"/>
                <w:szCs w:val="24"/>
                <w:highlight w:val="none"/>
                <w:lang w:eastAsia="zh-CN"/>
              </w:rPr>
              <w:t>）</w:t>
            </w:r>
            <w:r>
              <w:rPr>
                <w:rFonts w:hint="eastAsia" w:ascii="黑体" w:hAnsi="黑体" w:eastAsia="黑体" w:cs="黑体"/>
                <w:b/>
                <w:bCs/>
                <w:color w:val="auto"/>
                <w:sz w:val="24"/>
                <w:szCs w:val="24"/>
                <w:highlight w:val="none"/>
                <w:lang w:val="en-US" w:eastAsia="zh-CN"/>
              </w:rPr>
              <w:t>及政府采购合同1份</w:t>
            </w:r>
            <w:r>
              <w:rPr>
                <w:rFonts w:hint="eastAsia" w:ascii="黑体" w:hAnsi="黑体" w:eastAsia="黑体" w:cs="黑体"/>
                <w:b/>
                <w:bCs/>
                <w:color w:val="auto"/>
                <w:sz w:val="24"/>
                <w:szCs w:val="24"/>
                <w:highlight w:val="none"/>
              </w:rPr>
              <w:t>（合同原件/复印件加盖中标单位骑缝章，公章）</w:t>
            </w:r>
          </w:p>
          <w:p>
            <w:pPr>
              <w:pStyle w:val="254"/>
              <w:spacing w:line="240" w:lineRule="auto"/>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注：中标单位缴纳代理服务费，如需申请开增值税专用发票，请提供贵单位的纸质版开票信息加盖公章。所开具的专票如需备注，请在开票信息上写下备注的内容。（如不写备注要求，开具的专票有误，后果投标单位自负）</w:t>
            </w:r>
          </w:p>
          <w:p>
            <w:pPr>
              <w:pStyle w:val="17"/>
              <w:rPr>
                <w:rFonts w:hint="eastAsia" w:ascii="黑体" w:hAnsi="黑体" w:eastAsia="黑体" w:cs="黑体"/>
                <w:sz w:val="24"/>
                <w:szCs w:val="24"/>
                <w:lang w:val="en-US" w:eastAsia="zh-CN"/>
              </w:rPr>
            </w:pPr>
            <w:r>
              <w:rPr>
                <w:rFonts w:hint="eastAsia" w:ascii="黑体" w:hAnsi="黑体" w:eastAsia="黑体" w:cs="黑体"/>
                <w:b/>
                <w:bCs/>
                <w:color w:val="auto"/>
                <w:sz w:val="24"/>
                <w:szCs w:val="24"/>
                <w:highlight w:val="none"/>
              </w:rPr>
              <w:t>如需办理保证金退还及相关业务请与我单位财务部门联系。</w:t>
            </w:r>
          </w:p>
          <w:p>
            <w:pPr>
              <w:spacing w:line="460" w:lineRule="exact"/>
              <w:rPr>
                <w:rFonts w:hint="eastAsia" w:ascii="黑体" w:hAnsi="黑体" w:eastAsia="黑体" w:cs="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22</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其他可以不予退还投标保证金的情形</w:t>
            </w:r>
          </w:p>
        </w:tc>
        <w:tc>
          <w:tcPr>
            <w:tcW w:w="6893" w:type="dxa"/>
          </w:tcPr>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发生以下情况投标保证金不予退还；</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（一）供应商在提交投标文件截止时间后撤回投标文件的；</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（二）供应商在投标文件中提供虚假材料的；</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（三）除因不可抗力或招标文件、询价通知书认可的情形以外，成交供应商不与采购人签订合同的；</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（四）供应商与采购人、其他供应商或者采购代理机构恶意串通的；</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23</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资格审查资料的特殊要求</w:t>
            </w:r>
          </w:p>
        </w:tc>
        <w:tc>
          <w:tcPr>
            <w:tcW w:w="6893" w:type="dxa"/>
          </w:tcPr>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A8"/>
            </w:r>
            <w:r>
              <w:rPr>
                <w:rFonts w:hint="eastAsia" w:ascii="黑体" w:hAnsi="黑体" w:eastAsia="黑体" w:cs="黑体"/>
                <w:color w:val="auto"/>
                <w:sz w:val="24"/>
                <w:szCs w:val="24"/>
                <w:highlight w:val="none"/>
              </w:rPr>
              <w:t>无</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有，具体要求：</w:t>
            </w:r>
            <w:r>
              <w:rPr>
                <w:rFonts w:hint="eastAsia" w:ascii="黑体" w:hAnsi="黑体" w:eastAsia="黑体" w:cs="黑体"/>
                <w:color w:val="auto"/>
                <w:sz w:val="24"/>
                <w:szCs w:val="24"/>
                <w:u w:val="none"/>
                <w:lang w:val="en-US" w:eastAsia="zh-CN"/>
              </w:rPr>
              <w:t>具有有效的医疗器械经营许可证供应商须具有医疗器械经营许可证</w:t>
            </w:r>
            <w:r>
              <w:rPr>
                <w:rFonts w:hint="eastAsia" w:ascii="黑体" w:hAnsi="黑体" w:eastAsia="黑体" w:cs="黑体"/>
                <w:color w:val="auto"/>
                <w:sz w:val="24"/>
                <w:szCs w:val="24"/>
                <w:u w:val="none"/>
              </w:rPr>
              <w:t>（</w:t>
            </w:r>
            <w:r>
              <w:rPr>
                <w:rFonts w:hint="eastAsia" w:ascii="黑体" w:hAnsi="黑体" w:eastAsia="黑体" w:cs="黑体"/>
                <w:color w:val="auto"/>
                <w:sz w:val="24"/>
                <w:szCs w:val="24"/>
                <w:u w:val="none"/>
                <w:lang w:val="en-US" w:eastAsia="zh-CN"/>
              </w:rPr>
              <w:t>第</w:t>
            </w:r>
            <w:r>
              <w:rPr>
                <w:rFonts w:hint="eastAsia" w:ascii="黑体" w:hAnsi="黑体" w:eastAsia="黑体" w:cs="黑体"/>
                <w:color w:val="auto"/>
                <w:sz w:val="24"/>
                <w:szCs w:val="24"/>
                <w:u w:val="none"/>
              </w:rPr>
              <w:t>二类医疗器械须提供医疗器械备案凭证）</w:t>
            </w:r>
            <w:r>
              <w:rPr>
                <w:rFonts w:hint="eastAsia" w:ascii="黑体" w:hAnsi="黑体" w:eastAsia="黑体" w:cs="黑体"/>
                <w:color w:val="auto"/>
                <w:sz w:val="24"/>
                <w:szCs w:val="24"/>
                <w:u w:val="none"/>
                <w:lang w:val="en-US" w:eastAsia="zh-CN"/>
              </w:rPr>
              <w:t>(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24</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近年财务状况的年份要求</w:t>
            </w:r>
          </w:p>
        </w:tc>
        <w:tc>
          <w:tcPr>
            <w:tcW w:w="6893" w:type="dxa"/>
            <w:vAlign w:val="center"/>
          </w:tcPr>
          <w:p>
            <w:pPr>
              <w:spacing w:line="460" w:lineRule="exact"/>
              <w:jc w:val="both"/>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供应商在人员、设备、资金等方面具备相应的履约能力，没有处于被责令停业、采购资格被取消或暂停、财产被接管、冻结、破产状态；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25</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备选投标方案</w:t>
            </w:r>
          </w:p>
        </w:tc>
        <w:tc>
          <w:tcPr>
            <w:tcW w:w="6893" w:type="dxa"/>
          </w:tcPr>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不允许□允许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26</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投标截止时间</w:t>
            </w:r>
          </w:p>
        </w:tc>
        <w:tc>
          <w:tcPr>
            <w:tcW w:w="6893" w:type="dxa"/>
            <w:vAlign w:val="center"/>
          </w:tcPr>
          <w:p>
            <w:pPr>
              <w:spacing w:line="511" w:lineRule="exact"/>
              <w:jc w:val="both"/>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rPr>
              <w:t>20</w:t>
            </w:r>
            <w:r>
              <w:rPr>
                <w:rFonts w:hint="eastAsia" w:ascii="黑体" w:hAnsi="黑体" w:eastAsia="黑体" w:cs="黑体"/>
                <w:color w:val="auto"/>
                <w:sz w:val="24"/>
                <w:szCs w:val="24"/>
                <w:highlight w:val="none"/>
                <w:lang w:val="en-US" w:eastAsia="zh-CN"/>
              </w:rPr>
              <w:t>22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06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21</w:t>
            </w:r>
            <w:r>
              <w:rPr>
                <w:rFonts w:hint="eastAsia" w:ascii="黑体" w:hAnsi="黑体" w:eastAsia="黑体" w:cs="黑体"/>
                <w:color w:val="auto"/>
                <w:sz w:val="24"/>
                <w:szCs w:val="24"/>
                <w:highlight w:val="none"/>
              </w:rPr>
              <w:t>日上午1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0</w:t>
            </w:r>
            <w:r>
              <w:rPr>
                <w:rFonts w:hint="eastAsia" w:ascii="黑体" w:hAnsi="黑体" w:eastAsia="黑体" w:cs="黑体"/>
                <w:color w:val="auto"/>
                <w:sz w:val="24"/>
                <w:szCs w:val="24"/>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27</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开标时间</w:t>
            </w:r>
          </w:p>
        </w:tc>
        <w:tc>
          <w:tcPr>
            <w:tcW w:w="6893" w:type="dxa"/>
          </w:tcPr>
          <w:p>
            <w:pPr>
              <w:widowControl/>
              <w:spacing w:line="511" w:lineRule="exact"/>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rPr>
              <w:t>20</w:t>
            </w:r>
            <w:r>
              <w:rPr>
                <w:rFonts w:hint="eastAsia" w:ascii="黑体" w:hAnsi="黑体" w:eastAsia="黑体" w:cs="黑体"/>
                <w:color w:val="auto"/>
                <w:sz w:val="24"/>
                <w:szCs w:val="24"/>
                <w:highlight w:val="none"/>
                <w:lang w:val="en-US" w:eastAsia="zh-CN"/>
              </w:rPr>
              <w:t>22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06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21</w:t>
            </w:r>
            <w:r>
              <w:rPr>
                <w:rFonts w:hint="eastAsia" w:ascii="黑体" w:hAnsi="黑体" w:eastAsia="黑体" w:cs="黑体"/>
                <w:color w:val="auto"/>
                <w:sz w:val="24"/>
                <w:szCs w:val="24"/>
                <w:highlight w:val="none"/>
              </w:rPr>
              <w:t>日上午1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0</w:t>
            </w:r>
            <w:r>
              <w:rPr>
                <w:rFonts w:hint="eastAsia" w:ascii="黑体" w:hAnsi="黑体" w:eastAsia="黑体" w:cs="黑体"/>
                <w:color w:val="auto"/>
                <w:sz w:val="24"/>
                <w:szCs w:val="24"/>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28</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中标候选人公告媒介及期限</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公告媒介：</w:t>
            </w:r>
            <w:r>
              <w:rPr>
                <w:rFonts w:hint="eastAsia" w:ascii="黑体" w:hAnsi="黑体" w:eastAsia="黑体" w:cs="黑体"/>
                <w:color w:val="auto"/>
                <w:sz w:val="24"/>
                <w:szCs w:val="24"/>
                <w:highlight w:val="none"/>
                <w:lang w:val="en-US" w:eastAsia="zh-CN"/>
              </w:rPr>
              <w:t>新疆政府采购网</w:t>
            </w:r>
          </w:p>
          <w:p>
            <w:pPr>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公告期限：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3</w:t>
            </w:r>
            <w:r>
              <w:rPr>
                <w:rFonts w:hint="eastAsia" w:ascii="黑体" w:hAnsi="黑体" w:eastAsia="黑体" w:cs="黑体"/>
                <w:color w:val="auto"/>
                <w:sz w:val="24"/>
                <w:szCs w:val="24"/>
                <w:highlight w:val="none"/>
                <w:u w:val="single"/>
                <w:lang w:val="en-US"/>
              </w:rPr>
              <w:t xml:space="preserve"> </w:t>
            </w:r>
            <w:r>
              <w:rPr>
                <w:rFonts w:hint="eastAsia" w:ascii="黑体" w:hAnsi="黑体" w:eastAsia="黑体" w:cs="黑体"/>
                <w:color w:val="auto"/>
                <w:sz w:val="24"/>
                <w:szCs w:val="24"/>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29</w:t>
            </w:r>
          </w:p>
        </w:tc>
        <w:tc>
          <w:tcPr>
            <w:tcW w:w="2440" w:type="dxa"/>
            <w:vAlign w:val="center"/>
          </w:tcPr>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评审专家的确定方式</w:t>
            </w:r>
          </w:p>
        </w:tc>
        <w:tc>
          <w:tcPr>
            <w:tcW w:w="6893" w:type="dxa"/>
            <w:vAlign w:val="center"/>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招标采购单位依法组建专家小组共__</w:t>
            </w:r>
            <w:r>
              <w:rPr>
                <w:rFonts w:hint="eastAsia" w:ascii="黑体" w:hAnsi="黑体" w:eastAsia="黑体" w:cs="黑体"/>
                <w:bCs/>
                <w:color w:val="auto"/>
                <w:sz w:val="24"/>
                <w:szCs w:val="24"/>
                <w:u w:val="single"/>
                <w:lang w:val="en-US" w:eastAsia="zh-CN"/>
              </w:rPr>
              <w:t xml:space="preserve">5 </w:t>
            </w:r>
            <w:r>
              <w:rPr>
                <w:rFonts w:hint="eastAsia" w:ascii="黑体" w:hAnsi="黑体" w:eastAsia="黑体" w:cs="黑体"/>
                <w:bCs/>
                <w:color w:val="auto"/>
                <w:sz w:val="24"/>
                <w:szCs w:val="24"/>
                <w:lang w:val="en-US" w:eastAsia="zh-CN"/>
              </w:rPr>
              <w:t xml:space="preserve">人组成，其中采购人代表 </w:t>
            </w:r>
            <w:r>
              <w:rPr>
                <w:rFonts w:hint="eastAsia" w:ascii="黑体" w:hAnsi="黑体" w:eastAsia="黑体" w:cs="黑体"/>
                <w:bCs/>
                <w:color w:val="auto"/>
                <w:sz w:val="24"/>
                <w:szCs w:val="24"/>
                <w:u w:val="single"/>
                <w:lang w:val="en-US" w:eastAsia="zh-CN"/>
              </w:rPr>
              <w:t xml:space="preserve"> 1  </w:t>
            </w:r>
            <w:r>
              <w:rPr>
                <w:rFonts w:hint="eastAsia" w:ascii="黑体" w:hAnsi="黑体" w:eastAsia="黑体" w:cs="黑体"/>
                <w:bCs/>
                <w:color w:val="auto"/>
                <w:sz w:val="24"/>
                <w:szCs w:val="24"/>
                <w:lang w:val="en-US" w:eastAsia="zh-CN"/>
              </w:rPr>
              <w:t>人和政采云评标专家库中抽取专家评委__4 人。</w:t>
            </w:r>
          </w:p>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小组确定方式：从采购专家库中随机抽取确定。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30</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履约保证金</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sym w:font="Wingdings" w:char="00A8"/>
            </w:r>
            <w:r>
              <w:rPr>
                <w:rFonts w:hint="eastAsia" w:ascii="黑体" w:hAnsi="黑体" w:eastAsia="黑体" w:cs="黑体"/>
                <w:color w:val="auto"/>
                <w:sz w:val="24"/>
                <w:szCs w:val="24"/>
                <w:highlight w:val="none"/>
              </w:rPr>
              <w:t>不要求</w:t>
            </w: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要求。履约保证金的形式：中标供应商签订合同之日后3日内需向业主方提交合同价款10%的履约保证金。货到验收合格设备启用后退还10%履约保证金。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31</w:t>
            </w:r>
          </w:p>
        </w:tc>
        <w:tc>
          <w:tcPr>
            <w:tcW w:w="2440" w:type="dxa"/>
            <w:vAlign w:val="center"/>
          </w:tcPr>
          <w:p>
            <w:pPr>
              <w:adjustRightInd w:val="0"/>
              <w:snapToGrid w:val="0"/>
              <w:spacing w:line="511" w:lineRule="exact"/>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招标代理服务费</w:t>
            </w:r>
          </w:p>
        </w:tc>
        <w:tc>
          <w:tcPr>
            <w:tcW w:w="6893" w:type="dxa"/>
          </w:tcPr>
          <w:p>
            <w:pPr>
              <w:spacing w:line="400" w:lineRule="exact"/>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rPr>
              <w:t>代理服务费按发改价格［2015］229号文件收取</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lang w:val="en-US" w:eastAsia="zh-CN"/>
              </w:rPr>
              <w:t>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32</w:t>
            </w:r>
          </w:p>
        </w:tc>
        <w:tc>
          <w:tcPr>
            <w:tcW w:w="2440" w:type="dxa"/>
            <w:vAlign w:val="center"/>
          </w:tcPr>
          <w:p>
            <w:pPr>
              <w:overflowPunct w:val="0"/>
              <w:spacing w:line="440" w:lineRule="exact"/>
              <w:jc w:val="left"/>
              <w:rPr>
                <w:rFonts w:hint="eastAsia" w:ascii="黑体" w:hAnsi="黑体" w:eastAsia="黑体" w:cs="黑体"/>
                <w:bCs/>
                <w:sz w:val="24"/>
                <w:szCs w:val="24"/>
                <w:lang w:val="en-US" w:eastAsia="zh-CN" w:bidi="zh-CN"/>
              </w:rPr>
            </w:pPr>
            <w:r>
              <w:rPr>
                <w:rFonts w:hint="eastAsia" w:ascii="黑体" w:hAnsi="黑体" w:eastAsia="黑体" w:cs="黑体"/>
                <w:bCs/>
                <w:sz w:val="24"/>
                <w:szCs w:val="24"/>
                <w:lang w:val="en-US" w:eastAsia="zh-CN"/>
              </w:rPr>
              <w:t>低于成本价不正当竞争预防措施</w:t>
            </w:r>
          </w:p>
        </w:tc>
        <w:tc>
          <w:tcPr>
            <w:tcW w:w="6893" w:type="dxa"/>
            <w:vAlign w:val="center"/>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33</w:t>
            </w:r>
          </w:p>
        </w:tc>
        <w:tc>
          <w:tcPr>
            <w:tcW w:w="2440" w:type="dxa"/>
            <w:vAlign w:val="center"/>
          </w:tcPr>
          <w:p>
            <w:pPr>
              <w:overflowPunct w:val="0"/>
              <w:spacing w:line="440" w:lineRule="exact"/>
              <w:jc w:val="left"/>
              <w:rPr>
                <w:rFonts w:hint="eastAsia" w:ascii="黑体" w:hAnsi="黑体" w:eastAsia="黑体" w:cs="黑体"/>
                <w:bCs/>
                <w:color w:val="auto"/>
                <w:sz w:val="24"/>
                <w:szCs w:val="24"/>
                <w:highlight w:val="none"/>
                <w:lang w:val="en-US" w:eastAsia="zh-CN"/>
              </w:rPr>
            </w:pPr>
            <w:r>
              <w:rPr>
                <w:rFonts w:hint="eastAsia" w:ascii="黑体" w:hAnsi="黑体" w:eastAsia="黑体" w:cs="黑体"/>
                <w:bCs/>
                <w:sz w:val="24"/>
                <w:szCs w:val="24"/>
                <w:lang w:val="en-US" w:eastAsia="zh-CN"/>
              </w:rPr>
              <w:t>政府采购政策支持</w:t>
            </w:r>
          </w:p>
        </w:tc>
        <w:tc>
          <w:tcPr>
            <w:tcW w:w="6893" w:type="dxa"/>
            <w:vAlign w:val="top"/>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2、政府采购强制采购：标记★符号的节能产品：符合《节能产品政府采购清单》(最新一期)目录内的强制采购节能产品。</w:t>
            </w:r>
          </w:p>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3、政府采购优先采购：(1)非标记★符号的节能产品；(2)环境标志产品；采购产品为《节能产品政府采购清单》(最新一期) 内非标记★符号的节能产品及《环境标志产品政府采购清单》(最新一期)内的产品：</w:t>
            </w:r>
          </w:p>
          <w:p>
            <w:pPr>
              <w:overflowPunct w:val="0"/>
              <w:spacing w:line="440" w:lineRule="exact"/>
              <w:rPr>
                <w:rFonts w:hint="eastAsia" w:ascii="黑体" w:hAnsi="黑体" w:eastAsia="黑体" w:cs="黑体"/>
                <w:color w:val="auto"/>
                <w:sz w:val="24"/>
                <w:szCs w:val="24"/>
                <w:highlight w:val="none"/>
              </w:rPr>
            </w:pPr>
            <w:r>
              <w:rPr>
                <w:rFonts w:hint="eastAsia" w:ascii="黑体" w:hAnsi="黑体" w:eastAsia="黑体" w:cs="黑体"/>
                <w:bCs/>
                <w:color w:val="auto"/>
                <w:sz w:val="24"/>
                <w:szCs w:val="24"/>
                <w:lang w:val="en-US" w:eastAsia="zh-CN"/>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bl>
    <w:p>
      <w:pPr>
        <w:spacing w:line="511" w:lineRule="exact"/>
        <w:rPr>
          <w:rFonts w:hint="eastAsia" w:ascii="黑体" w:hAnsi="黑体" w:eastAsia="黑体" w:cs="黑体"/>
          <w:color w:val="auto"/>
          <w:sz w:val="24"/>
          <w:highlight w:val="none"/>
        </w:rPr>
        <w:sectPr>
          <w:footerReference r:id="rId5" w:type="default"/>
          <w:pgSz w:w="11910" w:h="16850"/>
          <w:pgMar w:top="1440" w:right="1080" w:bottom="1440" w:left="1080" w:header="877" w:footer="1068" w:gutter="0"/>
          <w:pgNumType w:start="1"/>
          <w:cols w:space="720" w:num="1"/>
        </w:sectPr>
      </w:pPr>
    </w:p>
    <w:p>
      <w:pPr>
        <w:pStyle w:val="5"/>
        <w:spacing w:line="511" w:lineRule="exact"/>
        <w:jc w:val="center"/>
        <w:rPr>
          <w:rFonts w:hint="eastAsia" w:ascii="黑体" w:hAnsi="黑体" w:eastAsia="黑体" w:cs="黑体"/>
          <w:b/>
          <w:color w:val="auto"/>
          <w:highlight w:val="none"/>
        </w:rPr>
      </w:pPr>
      <w:bookmarkStart w:id="16" w:name="_bookmark2"/>
      <w:bookmarkEnd w:id="16"/>
      <w:bookmarkStart w:id="17" w:name="第三章_投标供应商须知"/>
      <w:bookmarkEnd w:id="17"/>
      <w:bookmarkStart w:id="18" w:name="_Toc19953"/>
      <w:r>
        <w:rPr>
          <w:rFonts w:hint="eastAsia" w:ascii="黑体" w:hAnsi="黑体" w:eastAsia="黑体" w:cs="黑体"/>
          <w:b/>
          <w:color w:val="auto"/>
          <w:highlight w:val="none"/>
        </w:rPr>
        <w:t>第三章 投标供应商须知</w:t>
      </w:r>
      <w:bookmarkEnd w:id="18"/>
    </w:p>
    <w:p>
      <w:pPr>
        <w:pStyle w:val="6"/>
        <w:tabs>
          <w:tab w:val="left" w:pos="1406"/>
        </w:tabs>
        <w:spacing w:before="139" w:line="511" w:lineRule="exact"/>
        <w:ind w:right="716"/>
        <w:rPr>
          <w:rFonts w:hint="eastAsia" w:ascii="黑体" w:hAnsi="黑体" w:eastAsia="黑体" w:cs="黑体"/>
          <w:b/>
          <w:bCs/>
          <w:color w:val="auto"/>
          <w:sz w:val="40"/>
          <w:szCs w:val="40"/>
          <w:highlight w:val="none"/>
        </w:rPr>
      </w:pPr>
      <w:bookmarkStart w:id="19" w:name="_bookmark3"/>
      <w:bookmarkEnd w:id="19"/>
      <w:bookmarkStart w:id="20" w:name="一．总____则"/>
      <w:bookmarkEnd w:id="20"/>
      <w:r>
        <w:rPr>
          <w:rFonts w:hint="eastAsia" w:ascii="黑体" w:hAnsi="黑体" w:eastAsia="黑体" w:cs="黑体"/>
          <w:b/>
          <w:bCs/>
          <w:color w:val="auto"/>
          <w:sz w:val="40"/>
          <w:szCs w:val="40"/>
          <w:highlight w:val="none"/>
        </w:rPr>
        <w:t>一．总</w:t>
      </w:r>
      <w:r>
        <w:rPr>
          <w:rFonts w:hint="eastAsia" w:ascii="黑体" w:hAnsi="黑体" w:eastAsia="黑体" w:cs="黑体"/>
          <w:b/>
          <w:bCs/>
          <w:color w:val="auto"/>
          <w:sz w:val="40"/>
          <w:szCs w:val="40"/>
          <w:highlight w:val="none"/>
        </w:rPr>
        <w:tab/>
      </w:r>
      <w:r>
        <w:rPr>
          <w:rFonts w:hint="eastAsia" w:ascii="黑体" w:hAnsi="黑体" w:eastAsia="黑体" w:cs="黑体"/>
          <w:b/>
          <w:bCs/>
          <w:color w:val="auto"/>
          <w:sz w:val="40"/>
          <w:szCs w:val="40"/>
          <w:highlight w:val="none"/>
        </w:rPr>
        <w:t>则</w:t>
      </w:r>
    </w:p>
    <w:p>
      <w:pPr>
        <w:pStyle w:val="54"/>
        <w:numPr>
          <w:ilvl w:val="0"/>
          <w:numId w:val="10"/>
        </w:numPr>
        <w:spacing w:before="66"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适用范围</w:t>
      </w:r>
    </w:p>
    <w:p>
      <w:pPr>
        <w:pStyle w:val="19"/>
        <w:numPr>
          <w:ilvl w:val="1"/>
          <w:numId w:val="10"/>
        </w:numPr>
        <w:spacing w:line="360" w:lineRule="auto"/>
        <w:rPr>
          <w:rFonts w:hint="eastAsia" w:ascii="黑体" w:hAnsi="黑体" w:eastAsia="黑体" w:cs="黑体"/>
          <w:color w:val="auto"/>
          <w:highlight w:val="none"/>
        </w:rPr>
      </w:pPr>
      <w:r>
        <w:rPr>
          <w:rFonts w:hint="eastAsia" w:ascii="黑体" w:hAnsi="黑体" w:eastAsia="黑体" w:cs="黑体"/>
          <w:color w:val="auto"/>
          <w:highlight w:val="none"/>
        </w:rPr>
        <w:t>本招标文件仅适用于本次公开招标所述的货物项目采购。</w:t>
      </w:r>
    </w:p>
    <w:p>
      <w:pPr>
        <w:pStyle w:val="54"/>
        <w:numPr>
          <w:ilvl w:val="0"/>
          <w:numId w:val="10"/>
        </w:numPr>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有关定义</w:t>
      </w:r>
    </w:p>
    <w:p>
      <w:pPr>
        <w:pStyle w:val="54"/>
        <w:numPr>
          <w:ilvl w:val="1"/>
          <w:numId w:val="11"/>
        </w:numPr>
        <w:tabs>
          <w:tab w:val="left" w:pos="1374"/>
        </w:tabs>
        <w:spacing w:line="360" w:lineRule="auto"/>
        <w:ind w:left="567" w:right="220" w:rightChars="100" w:firstLine="471"/>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采购人：系指本次采购项目的业主方。</w:t>
      </w:r>
    </w:p>
    <w:p>
      <w:pPr>
        <w:pStyle w:val="54"/>
        <w:numPr>
          <w:ilvl w:val="1"/>
          <w:numId w:val="11"/>
        </w:numPr>
        <w:tabs>
          <w:tab w:val="left" w:pos="1374"/>
        </w:tabs>
        <w:spacing w:line="360" w:lineRule="auto"/>
        <w:ind w:left="567" w:right="220" w:rightChars="100" w:firstLine="471"/>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委托人：系指本次采购项目的委托方。</w:t>
      </w:r>
    </w:p>
    <w:p>
      <w:pPr>
        <w:pStyle w:val="54"/>
        <w:numPr>
          <w:ilvl w:val="1"/>
          <w:numId w:val="11"/>
        </w:numPr>
        <w:tabs>
          <w:tab w:val="left" w:pos="1374"/>
        </w:tabs>
        <w:spacing w:line="360" w:lineRule="auto"/>
        <w:ind w:left="567" w:right="220" w:rightChars="100" w:firstLine="471"/>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采购机构：系指</w:t>
      </w:r>
      <w:r>
        <w:rPr>
          <w:rFonts w:hint="eastAsia" w:ascii="黑体" w:hAnsi="黑体" w:eastAsia="黑体" w:cs="黑体"/>
          <w:color w:val="auto"/>
          <w:spacing w:val="-12"/>
          <w:sz w:val="24"/>
          <w:szCs w:val="24"/>
          <w:highlight w:val="none"/>
          <w:lang w:eastAsia="zh-CN"/>
        </w:rPr>
        <w:t>新疆安航工程项目管理有限公司</w:t>
      </w:r>
      <w:r>
        <w:rPr>
          <w:rFonts w:hint="eastAsia" w:ascii="黑体" w:hAnsi="黑体" w:eastAsia="黑体" w:cs="黑体"/>
          <w:color w:val="auto"/>
          <w:spacing w:val="-12"/>
          <w:sz w:val="24"/>
          <w:szCs w:val="24"/>
          <w:highlight w:val="none"/>
        </w:rPr>
        <w:t>。</w:t>
      </w:r>
    </w:p>
    <w:p>
      <w:pPr>
        <w:pStyle w:val="54"/>
        <w:numPr>
          <w:ilvl w:val="1"/>
          <w:numId w:val="11"/>
        </w:numPr>
        <w:tabs>
          <w:tab w:val="left" w:pos="1374"/>
        </w:tabs>
        <w:spacing w:line="360" w:lineRule="auto"/>
        <w:ind w:left="567" w:right="220" w:rightChars="100" w:firstLine="471"/>
        <w:jc w:val="both"/>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投标供应商：系指响应招标、参加投标竞争的法人、其他组织或自然人。分支机构不得参加政府采购活动。</w:t>
      </w:r>
    </w:p>
    <w:p>
      <w:pPr>
        <w:pStyle w:val="54"/>
        <w:numPr>
          <w:ilvl w:val="1"/>
          <w:numId w:val="11"/>
        </w:numPr>
        <w:tabs>
          <w:tab w:val="left" w:pos="1374"/>
        </w:tabs>
        <w:spacing w:line="360" w:lineRule="auto"/>
        <w:ind w:left="567" w:right="220" w:rightChars="100"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12"/>
          <w:sz w:val="24"/>
          <w:szCs w:val="24"/>
          <w:highlight w:val="none"/>
        </w:rPr>
        <w:t>服务：系指除货物和工程以外的其他政府采购对象，包括咨询、调研、评估、规划、设计、监理、审计、保险、租赁、印刷、维修、物业管理等。</w:t>
      </w:r>
    </w:p>
    <w:p>
      <w:pPr>
        <w:pStyle w:val="54"/>
        <w:numPr>
          <w:ilvl w:val="1"/>
          <w:numId w:val="11"/>
        </w:numPr>
        <w:tabs>
          <w:tab w:val="left" w:pos="1374"/>
        </w:tabs>
        <w:spacing w:line="360" w:lineRule="auto"/>
        <w:ind w:left="567" w:right="220" w:rightChars="100"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本招标文件所要求的证书、认证、资质，均应当是有权机构颁发，且在有效期内的。</w:t>
      </w:r>
    </w:p>
    <w:p>
      <w:pPr>
        <w:pStyle w:val="54"/>
        <w:numPr>
          <w:ilvl w:val="1"/>
          <w:numId w:val="11"/>
        </w:numPr>
        <w:tabs>
          <w:tab w:val="left" w:pos="1383"/>
          <w:tab w:val="left" w:pos="1434"/>
        </w:tabs>
        <w:spacing w:before="5" w:line="360" w:lineRule="auto"/>
        <w:ind w:right="1239" w:firstLine="480"/>
        <w:jc w:val="both"/>
        <w:rPr>
          <w:rFonts w:hint="eastAsia" w:ascii="黑体" w:hAnsi="黑体" w:eastAsia="黑体" w:cs="黑体"/>
          <w:color w:val="auto"/>
          <w:spacing w:val="-10"/>
          <w:sz w:val="24"/>
          <w:szCs w:val="24"/>
          <w:highlight w:val="none"/>
        </w:rPr>
      </w:pPr>
      <w:r>
        <w:rPr>
          <w:rFonts w:hint="eastAsia" w:ascii="黑体" w:hAnsi="黑体" w:eastAsia="黑体" w:cs="黑体"/>
          <w:color w:val="auto"/>
          <w:w w:val="105"/>
          <w:sz w:val="24"/>
          <w:szCs w:val="24"/>
          <w:highlight w:val="none"/>
        </w:rPr>
        <w:t>时限（年份、月份等）</w:t>
      </w:r>
      <w:r>
        <w:rPr>
          <w:rFonts w:hint="eastAsia" w:ascii="黑体" w:hAnsi="黑体" w:eastAsia="黑体" w:cs="黑体"/>
          <w:color w:val="auto"/>
          <w:spacing w:val="1"/>
          <w:w w:val="105"/>
          <w:sz w:val="24"/>
          <w:szCs w:val="24"/>
          <w:highlight w:val="none"/>
        </w:rPr>
        <w:t>计算：系指从开标之日向前追溯</w:t>
      </w:r>
      <w:r>
        <w:rPr>
          <w:rFonts w:hint="eastAsia" w:ascii="黑体" w:hAnsi="黑体" w:eastAsia="黑体" w:cs="黑体"/>
          <w:color w:val="auto"/>
          <w:sz w:val="24"/>
          <w:szCs w:val="24"/>
          <w:highlight w:val="none"/>
        </w:rPr>
        <w:t>。</w:t>
      </w:r>
    </w:p>
    <w:p>
      <w:pPr>
        <w:pStyle w:val="54"/>
        <w:numPr>
          <w:ilvl w:val="1"/>
          <w:numId w:val="11"/>
        </w:numPr>
        <w:tabs>
          <w:tab w:val="left" w:pos="1383"/>
        </w:tabs>
        <w:spacing w:line="360" w:lineRule="auto"/>
        <w:ind w:left="567" w:right="220" w:rightChars="100"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业绩：除非本招标文件另有规定，业绩系指符合本招标文件规定且已服务完毕的或与最终用户签订的合同及招标文件要求的相关证明。仅对投标企业业绩予以认可。</w:t>
      </w:r>
    </w:p>
    <w:p>
      <w:pPr>
        <w:pStyle w:val="54"/>
        <w:numPr>
          <w:ilvl w:val="0"/>
          <w:numId w:val="10"/>
        </w:numPr>
        <w:spacing w:before="66"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投标费用</w:t>
      </w:r>
    </w:p>
    <w:p>
      <w:pPr>
        <w:pStyle w:val="19"/>
        <w:numPr>
          <w:ilvl w:val="1"/>
          <w:numId w:val="10"/>
        </w:numPr>
        <w:spacing w:line="360" w:lineRule="auto"/>
        <w:ind w:left="567" w:right="220" w:rightChars="100" w:firstLine="471"/>
        <w:rPr>
          <w:rFonts w:hint="eastAsia" w:ascii="黑体" w:hAnsi="黑体" w:eastAsia="黑体" w:cs="黑体"/>
          <w:color w:val="auto"/>
          <w:highlight w:val="none"/>
        </w:rPr>
      </w:pPr>
      <w:r>
        <w:rPr>
          <w:rFonts w:hint="eastAsia" w:ascii="黑体" w:hAnsi="黑体" w:eastAsia="黑体" w:cs="黑体"/>
          <w:color w:val="auto"/>
          <w:highlight w:val="none"/>
        </w:rPr>
        <w:t>无论投标结果如何，投标供应商应自行承担其编制与递交投标文件所涉及的一切费用。</w:t>
      </w:r>
    </w:p>
    <w:p>
      <w:pPr>
        <w:pStyle w:val="54"/>
        <w:numPr>
          <w:ilvl w:val="0"/>
          <w:numId w:val="10"/>
        </w:numPr>
        <w:spacing w:before="66"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合格的投标供应商</w:t>
      </w:r>
    </w:p>
    <w:p>
      <w:pPr>
        <w:pStyle w:val="54"/>
        <w:numPr>
          <w:ilvl w:val="1"/>
          <w:numId w:val="10"/>
        </w:numPr>
        <w:tabs>
          <w:tab w:val="left" w:pos="1383"/>
        </w:tabs>
        <w:spacing w:line="360" w:lineRule="auto"/>
        <w:ind w:right="220" w:rightChars="1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合格的投标供应商应符合招标文件载明的投标资格。</w:t>
      </w:r>
    </w:p>
    <w:p>
      <w:pPr>
        <w:pStyle w:val="54"/>
        <w:numPr>
          <w:ilvl w:val="1"/>
          <w:numId w:val="10"/>
        </w:numPr>
        <w:tabs>
          <w:tab w:val="left" w:pos="1383"/>
        </w:tabs>
        <w:spacing w:line="360" w:lineRule="auto"/>
        <w:ind w:right="220" w:rightChars="1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本招标文件仅对投标企业主体的业绩、获得荣誉等证明材料予以认可。</w:t>
      </w:r>
    </w:p>
    <w:p>
      <w:pPr>
        <w:pStyle w:val="54"/>
        <w:numPr>
          <w:ilvl w:val="1"/>
          <w:numId w:val="10"/>
        </w:numPr>
        <w:tabs>
          <w:tab w:val="left" w:pos="1383"/>
        </w:tabs>
        <w:spacing w:line="360" w:lineRule="auto"/>
        <w:ind w:right="220" w:rightChars="100"/>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单位负责人为同一人或者存在直接控股、管理关系的不同供应商，不得参加同一合</w:t>
      </w:r>
      <w:r>
        <w:rPr>
          <w:rFonts w:hint="eastAsia" w:ascii="黑体" w:hAnsi="黑体" w:eastAsia="黑体" w:cs="黑体"/>
          <w:color w:val="auto"/>
          <w:sz w:val="24"/>
          <w:szCs w:val="24"/>
          <w:highlight w:val="none"/>
        </w:rPr>
        <w:t>同项下的政府采购活动。</w:t>
      </w:r>
    </w:p>
    <w:p>
      <w:pPr>
        <w:pStyle w:val="54"/>
        <w:numPr>
          <w:ilvl w:val="1"/>
          <w:numId w:val="10"/>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12"/>
          <w:sz w:val="24"/>
          <w:szCs w:val="24"/>
          <w:highlight w:val="none"/>
        </w:rPr>
        <w:t>除单一来源采购项目外，为采购项目提供整体设计、规范编制或者项目管理、监理、检测等服务的供应商，不得再参加该采购项目的其他采购活动。</w:t>
      </w:r>
    </w:p>
    <w:p>
      <w:pPr>
        <w:pStyle w:val="224"/>
        <w:spacing w:line="360" w:lineRule="auto"/>
        <w:ind w:firstLine="480" w:firstLineChars="200"/>
        <w:rPr>
          <w:rFonts w:hint="eastAsia" w:ascii="黑体" w:hAnsi="黑体" w:eastAsia="黑体" w:cs="黑体"/>
          <w:b w:val="0"/>
          <w:bCs/>
          <w:color w:val="auto"/>
          <w:sz w:val="24"/>
          <w:szCs w:val="22"/>
          <w:highlight w:val="none"/>
        </w:rPr>
      </w:pPr>
      <w:r>
        <w:rPr>
          <w:rFonts w:hint="eastAsia" w:ascii="黑体" w:hAnsi="黑体" w:eastAsia="黑体" w:cs="黑体"/>
          <w:b w:val="0"/>
          <w:bCs/>
          <w:color w:val="auto"/>
          <w:sz w:val="24"/>
          <w:szCs w:val="22"/>
          <w:highlight w:val="none"/>
          <w:lang w:val="en-US" w:eastAsia="zh-CN"/>
        </w:rPr>
        <w:t>5、</w:t>
      </w:r>
      <w:r>
        <w:rPr>
          <w:rFonts w:hint="eastAsia" w:ascii="黑体" w:hAnsi="黑体" w:eastAsia="黑体" w:cs="黑体"/>
          <w:b w:val="0"/>
          <w:bCs/>
          <w:color w:val="auto"/>
          <w:sz w:val="24"/>
          <w:szCs w:val="22"/>
          <w:highlight w:val="none"/>
        </w:rPr>
        <w:t>纪律</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5.1 投标人的投标行为应遵守中国的有关法律、法规和规章。</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 有下列情形之一的，属于投标人相互串通投标：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5.2.1.1 投标人之间协商投标报价等投标文件的实质性内容；</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5.2.1.2 投标人之间约定中标人；</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5.2.1.3 投标人之间约定部分投标人放弃投标或者中标；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5.2.1.4 属于同一集团、协会、商会等组织成员的投标人按照该组织要求协同投标；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5.2.1.5 投标人之间为谋取中标或者排斥特定投标人而采取的其他联合行动。</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 有下列情形之一的，视为投标人相互串通投标：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5.2.2.1 不同投标人的投标文件由同一单位或者个人编制；</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5.2.2.2不同投标人的投标文件载明的项目管理成员为同一人；</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5.2.2.3 不同投标人的投标文件异常一致或者投标报价呈规律性差异；</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5.2.2.4 不同投标人的投标文件相互混装；</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5.2.2.5 不同投标人的投标保证金从同一单位或者个人的账户转出；</w:t>
      </w:r>
    </w:p>
    <w:p>
      <w:pPr>
        <w:pStyle w:val="54"/>
        <w:numPr>
          <w:ilvl w:val="0"/>
          <w:numId w:val="0"/>
        </w:numPr>
        <w:spacing w:line="360" w:lineRule="auto"/>
        <w:ind w:firstLine="480" w:firstLineChars="20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6、</w:t>
      </w:r>
      <w:r>
        <w:rPr>
          <w:rFonts w:hint="eastAsia" w:ascii="黑体" w:hAnsi="黑体" w:eastAsia="黑体" w:cs="黑体"/>
          <w:b w:val="0"/>
          <w:bCs w:val="0"/>
          <w:color w:val="auto"/>
          <w:sz w:val="24"/>
          <w:szCs w:val="24"/>
          <w:highlight w:val="none"/>
        </w:rPr>
        <w:t>知识产权</w:t>
      </w:r>
    </w:p>
    <w:p>
      <w:pPr>
        <w:pStyle w:val="54"/>
        <w:numPr>
          <w:ilvl w:val="1"/>
          <w:numId w:val="12"/>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投标供应商须保证，采购人在中华人民共和国境内使用投标货物、资料、技术、服</w:t>
      </w:r>
      <w:r>
        <w:rPr>
          <w:rFonts w:hint="eastAsia" w:ascii="黑体" w:hAnsi="黑体" w:eastAsia="黑体" w:cs="黑体"/>
          <w:color w:val="auto"/>
          <w:spacing w:val="-11"/>
          <w:sz w:val="24"/>
          <w:szCs w:val="24"/>
          <w:highlight w:val="none"/>
        </w:rPr>
        <w:t>务或其任何一部分时，享有不受限制的无偿使用权，不会产生因第三方提出侵犯其专利权、商标权或其它知识产权而引起的法律或经济纠纷。如投标供应商不拥有相应的知识产权，</w:t>
      </w:r>
      <w:r>
        <w:rPr>
          <w:rFonts w:hint="eastAsia" w:ascii="黑体" w:hAnsi="黑体" w:eastAsia="黑体" w:cs="黑体"/>
          <w:color w:val="auto"/>
          <w:spacing w:val="-14"/>
          <w:sz w:val="24"/>
          <w:szCs w:val="24"/>
          <w:highlight w:val="none"/>
        </w:rPr>
        <w:t>则在投标报价中必须包括合法获取该知识产权的一切相关费用。如因此导致采购人损失的， 投标供应商须承担全部赔偿责任。</w:t>
      </w:r>
    </w:p>
    <w:p>
      <w:pPr>
        <w:pStyle w:val="54"/>
        <w:numPr>
          <w:ilvl w:val="1"/>
          <w:numId w:val="12"/>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投标供应商如欲在项目实施过程中采用自有知识成果的，使用该知识成果后，投标供应商须提供开发接口和开发手册等技术文档。</w:t>
      </w:r>
    </w:p>
    <w:p>
      <w:pPr>
        <w:pStyle w:val="54"/>
        <w:numPr>
          <w:ilvl w:val="0"/>
          <w:numId w:val="0"/>
        </w:numPr>
        <w:spacing w:line="360" w:lineRule="auto"/>
        <w:ind w:firstLine="480" w:firstLineChars="20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7.</w:t>
      </w:r>
      <w:r>
        <w:rPr>
          <w:rFonts w:hint="eastAsia" w:ascii="黑体" w:hAnsi="黑体" w:eastAsia="黑体" w:cs="黑体"/>
          <w:b w:val="0"/>
          <w:bCs w:val="0"/>
          <w:color w:val="auto"/>
          <w:sz w:val="24"/>
          <w:szCs w:val="24"/>
          <w:highlight w:val="none"/>
        </w:rPr>
        <w:t>纪律与保密</w:t>
      </w:r>
    </w:p>
    <w:p>
      <w:pPr>
        <w:pStyle w:val="54"/>
        <w:numPr>
          <w:ilvl w:val="1"/>
          <w:numId w:val="13"/>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投标供应商的投标行为应遵守中国的有关法律、法规和规章。</w:t>
      </w:r>
    </w:p>
    <w:p>
      <w:pPr>
        <w:pStyle w:val="54"/>
        <w:numPr>
          <w:ilvl w:val="1"/>
          <w:numId w:val="13"/>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投标供应商不得相互串通投标报价，不得妨碍其他投标供应商的公平竞争，不得损害采购人或其他投标供应商的合法权益，投标供应商不得以向采购人、评标委员会成员行贿或者其他不正当手段谋取中标。</w:t>
      </w:r>
    </w:p>
    <w:p>
      <w:pPr>
        <w:pStyle w:val="54"/>
        <w:numPr>
          <w:ilvl w:val="1"/>
          <w:numId w:val="13"/>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有下列情形之一的，视为投标供应商串通投标，其投标无效：</w:t>
      </w:r>
    </w:p>
    <w:p>
      <w:pPr>
        <w:pStyle w:val="54"/>
        <w:numPr>
          <w:ilvl w:val="1"/>
          <w:numId w:val="14"/>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不同投标供应商的投标文件由同一单位或者个人编制；</w:t>
      </w:r>
    </w:p>
    <w:p>
      <w:pPr>
        <w:pStyle w:val="54"/>
        <w:numPr>
          <w:ilvl w:val="1"/>
          <w:numId w:val="15"/>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不同投标供应商委托同一单位或者个人办理投标事宜；</w:t>
      </w:r>
    </w:p>
    <w:p>
      <w:pPr>
        <w:pStyle w:val="54"/>
        <w:numPr>
          <w:ilvl w:val="1"/>
          <w:numId w:val="16"/>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z w:val="24"/>
          <w:szCs w:val="24"/>
          <w:highlight w:val="none"/>
        </w:rPr>
        <w:t>不同投标供应商的投标文件载明的项目管理成员或者联系人员为同一人；</w:t>
      </w:r>
    </w:p>
    <w:p>
      <w:pPr>
        <w:pStyle w:val="54"/>
        <w:numPr>
          <w:ilvl w:val="1"/>
          <w:numId w:val="17"/>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z w:val="24"/>
          <w:szCs w:val="24"/>
          <w:highlight w:val="none"/>
        </w:rPr>
        <w:t>不同投标供应商的投标文件异常一致或者投标报价呈规律性差异；</w:t>
      </w:r>
    </w:p>
    <w:p>
      <w:pPr>
        <w:pStyle w:val="54"/>
        <w:numPr>
          <w:ilvl w:val="1"/>
          <w:numId w:val="18"/>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z w:val="24"/>
          <w:szCs w:val="24"/>
          <w:highlight w:val="none"/>
        </w:rPr>
        <w:t>不同投标供应商的投标文件相互混装；</w:t>
      </w:r>
    </w:p>
    <w:p>
      <w:pPr>
        <w:pStyle w:val="54"/>
        <w:numPr>
          <w:ilvl w:val="1"/>
          <w:numId w:val="19"/>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z w:val="24"/>
          <w:szCs w:val="24"/>
          <w:highlight w:val="none"/>
        </w:rPr>
        <w:t>不同投标供应商的投标保证金从同一单位或者个人的账户转出。</w:t>
      </w:r>
    </w:p>
    <w:p>
      <w:pPr>
        <w:pStyle w:val="54"/>
        <w:numPr>
          <w:ilvl w:val="1"/>
          <w:numId w:val="20"/>
        </w:numPr>
        <w:tabs>
          <w:tab w:val="left" w:pos="1383"/>
        </w:tabs>
        <w:spacing w:before="7"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在确定中标供应商之前，投标供应商不得与采购人就投标价格、投标方案等实质性内容进行谈判，也不得私下接触评标委员会成员。</w:t>
      </w:r>
    </w:p>
    <w:p>
      <w:pPr>
        <w:pStyle w:val="54"/>
        <w:numPr>
          <w:ilvl w:val="1"/>
          <w:numId w:val="20"/>
        </w:numPr>
        <w:tabs>
          <w:tab w:val="left" w:pos="1383"/>
        </w:tabs>
        <w:spacing w:before="7"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在确定中标供应商之前，投标供应商试图在投标文件审查、澄清、比较和评价时对评标委员会、采购人和招标代理机构</w:t>
      </w:r>
      <w:r>
        <w:rPr>
          <w:rFonts w:hint="eastAsia" w:ascii="黑体" w:hAnsi="黑体" w:eastAsia="黑体" w:cs="黑体"/>
          <w:color w:val="auto"/>
          <w:spacing w:val="-5"/>
          <w:sz w:val="24"/>
          <w:highlight w:val="none"/>
        </w:rPr>
        <w:t>施加任何影响都</w:t>
      </w:r>
      <w:r>
        <w:rPr>
          <w:rFonts w:hint="eastAsia" w:ascii="黑体" w:hAnsi="黑体" w:eastAsia="黑体" w:cs="黑体"/>
          <w:color w:val="auto"/>
          <w:spacing w:val="-5"/>
          <w:sz w:val="24"/>
          <w:szCs w:val="24"/>
          <w:highlight w:val="none"/>
        </w:rPr>
        <w:t>可能导致其投标无效。</w:t>
      </w:r>
    </w:p>
    <w:p>
      <w:pPr>
        <w:pStyle w:val="54"/>
        <w:numPr>
          <w:ilvl w:val="1"/>
          <w:numId w:val="20"/>
        </w:numPr>
        <w:tabs>
          <w:tab w:val="left" w:pos="1383"/>
        </w:tabs>
        <w:spacing w:before="7"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11"/>
          <w:sz w:val="24"/>
          <w:szCs w:val="24"/>
          <w:highlight w:val="none"/>
        </w:rPr>
        <w:t>由采购人向投标供应商提供的图纸、详细资料、样品、模型、模件和所有其它资料，被视为保密资料，仅被用于它所规定的用途。除非得到采购人的同意，不能向任何第三方透露。开标结束后，应采购人要求，投标供应商应归还所有从采购人处获得的保密资料。</w:t>
      </w:r>
    </w:p>
    <w:p>
      <w:pPr>
        <w:pStyle w:val="54"/>
        <w:numPr>
          <w:ilvl w:val="0"/>
          <w:numId w:val="0"/>
        </w:numPr>
        <w:spacing w:line="360" w:lineRule="auto"/>
        <w:ind w:left="1001" w:leftChars="0"/>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lang w:val="en-US" w:eastAsia="zh-CN"/>
        </w:rPr>
        <w:t>8.</w:t>
      </w:r>
      <w:r>
        <w:rPr>
          <w:rFonts w:hint="eastAsia" w:ascii="黑体" w:hAnsi="黑体" w:eastAsia="黑体" w:cs="黑体"/>
          <w:b w:val="0"/>
          <w:bCs w:val="0"/>
          <w:color w:val="auto"/>
          <w:sz w:val="24"/>
          <w:highlight w:val="none"/>
        </w:rPr>
        <w:t>本项目不接受联合体投标</w:t>
      </w:r>
    </w:p>
    <w:p>
      <w:pPr>
        <w:pStyle w:val="54"/>
        <w:numPr>
          <w:ilvl w:val="1"/>
          <w:numId w:val="21"/>
        </w:numPr>
        <w:tabs>
          <w:tab w:val="left" w:pos="1383"/>
        </w:tabs>
        <w:spacing w:before="2"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除非本项目明确要求接受联合体形式投标外，两个或两个以上供应商可以组成一个联合体投标，以一个投标供应商的身份投标（本项目不接受联合体投标）</w:t>
      </w:r>
    </w:p>
    <w:p>
      <w:pPr>
        <w:pStyle w:val="54"/>
        <w:numPr>
          <w:ilvl w:val="1"/>
          <w:numId w:val="21"/>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以联合体形式参加投标的，联合体各方均应当符合《中华人民共和国政府采购法》第二十二条第一款规定的条件，根据采购项目的特殊要求规定投标供应商特定条件的，联合体各方中至少应当有一方符合。</w:t>
      </w:r>
    </w:p>
    <w:p>
      <w:pPr>
        <w:pStyle w:val="54"/>
        <w:numPr>
          <w:ilvl w:val="1"/>
          <w:numId w:val="21"/>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联合体各方之间应当签订联合体协议，明确约定联合体各方应当承担的工作和相应的责任并承诺承担连带责任。以联合体形式参加政府采购活动的，联合体各方不得再单独参加或者与其他供应商另外组成联合体参加同一合同项下的政府采购活动。</w:t>
      </w:r>
    </w:p>
    <w:p>
      <w:pPr>
        <w:pStyle w:val="54"/>
        <w:numPr>
          <w:ilvl w:val="1"/>
          <w:numId w:val="21"/>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联合体投标的，由联合体中的牵头人提交投标保证金，以一方名义提交保证金的，对联合体各方均具有约束力。</w:t>
      </w:r>
    </w:p>
    <w:p>
      <w:pPr>
        <w:pStyle w:val="54"/>
        <w:tabs>
          <w:tab w:val="left" w:pos="1383"/>
        </w:tabs>
        <w:spacing w:line="360" w:lineRule="auto"/>
        <w:ind w:left="1038" w:right="220" w:rightChars="100" w:firstLine="0"/>
        <w:jc w:val="both"/>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9.投标专用章的效力</w:t>
      </w:r>
    </w:p>
    <w:p>
      <w:pPr>
        <w:pStyle w:val="54"/>
        <w:numPr>
          <w:ilvl w:val="1"/>
          <w:numId w:val="22"/>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招标文件中明确要求加盖公章</w:t>
      </w:r>
      <w:r>
        <w:rPr>
          <w:rFonts w:hint="eastAsia" w:ascii="黑体" w:hAnsi="黑体" w:eastAsia="黑体" w:cs="黑体"/>
          <w:color w:val="auto"/>
          <w:spacing w:val="-5"/>
          <w:sz w:val="24"/>
          <w:szCs w:val="24"/>
          <w:highlight w:val="none"/>
        </w:rPr>
        <w:t>的，投标供应商必须加盖投标供应商公章</w:t>
      </w:r>
      <w:r>
        <w:rPr>
          <w:rFonts w:hint="eastAsia" w:ascii="黑体" w:hAnsi="黑体" w:eastAsia="黑体" w:cs="黑体"/>
          <w:color w:val="auto"/>
          <w:sz w:val="24"/>
          <w:szCs w:val="24"/>
          <w:highlight w:val="none"/>
        </w:rPr>
        <w:t>，否则将导致投标无效。</w:t>
      </w:r>
    </w:p>
    <w:p>
      <w:pPr>
        <w:pStyle w:val="54"/>
        <w:tabs>
          <w:tab w:val="left" w:pos="1383"/>
        </w:tabs>
        <w:spacing w:line="360" w:lineRule="auto"/>
        <w:ind w:left="1038" w:right="220" w:rightChars="100" w:firstLine="0"/>
        <w:jc w:val="both"/>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10.合同标的转让与分包</w:t>
      </w:r>
    </w:p>
    <w:p>
      <w:pPr>
        <w:keepNext w:val="0"/>
        <w:keepLines w:val="0"/>
        <w:pageBreakBefore w:val="0"/>
        <w:widowControl w:val="0"/>
        <w:tabs>
          <w:tab w:val="left" w:pos="1539"/>
        </w:tabs>
        <w:kinsoku/>
        <w:wordWrap/>
        <w:overflowPunct/>
        <w:topLinePunct w:val="0"/>
        <w:autoSpaceDE w:val="0"/>
        <w:autoSpaceDN w:val="0"/>
        <w:bidi w:val="0"/>
        <w:adjustRightInd/>
        <w:snapToGrid/>
        <w:spacing w:before="0" w:beforeLines="100" w:line="360" w:lineRule="auto"/>
        <w:ind w:left="638" w:leftChars="290" w:right="567" w:firstLine="163" w:firstLineChars="78"/>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1"/>
          <w:szCs w:val="24"/>
          <w:highlight w:val="none"/>
        </w:rPr>
        <w:t>10.1</w:t>
      </w:r>
      <w:r>
        <w:rPr>
          <w:rFonts w:hint="eastAsia" w:ascii="黑体" w:hAnsi="黑体" w:eastAsia="黑体" w:cs="黑体"/>
          <w:color w:val="auto"/>
          <w:sz w:val="24"/>
          <w:szCs w:val="24"/>
          <w:highlight w:val="none"/>
        </w:rPr>
        <w:t>合同未约定或者未经采购人同意，中标供应商不得向他人转让中标项目，也不得将中标项目肢解后分别向他人转让。</w:t>
      </w:r>
    </w:p>
    <w:p>
      <w:pPr>
        <w:keepNext w:val="0"/>
        <w:keepLines w:val="0"/>
        <w:pageBreakBefore w:val="0"/>
        <w:widowControl w:val="0"/>
        <w:tabs>
          <w:tab w:val="left" w:pos="1539"/>
        </w:tabs>
        <w:kinsoku/>
        <w:wordWrap/>
        <w:overflowPunct/>
        <w:topLinePunct w:val="0"/>
        <w:autoSpaceDE w:val="0"/>
        <w:autoSpaceDN w:val="0"/>
        <w:bidi w:val="0"/>
        <w:adjustRightInd/>
        <w:snapToGrid/>
        <w:spacing w:before="0" w:beforeLines="100" w:line="360" w:lineRule="auto"/>
        <w:ind w:left="700" w:leftChars="318" w:right="567" w:firstLine="187" w:firstLineChars="78"/>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10.2合同约定或者经采购人同意，中标供应商可以将中标项目的部分非主体、非关键性工作分包给他人完成。接受分包的人应当具备相应的资格条件，并不得再次分包。如果本项目允许分包，投标供应商根据采购项目的实际情况，拟在中标后将中标项目的非主体、非关键性工作交由他人完成的，应在投标文件中载明。</w:t>
      </w:r>
    </w:p>
    <w:p>
      <w:pPr>
        <w:keepNext w:val="0"/>
        <w:keepLines w:val="0"/>
        <w:pageBreakBefore w:val="0"/>
        <w:widowControl w:val="0"/>
        <w:tabs>
          <w:tab w:val="left" w:pos="1539"/>
        </w:tabs>
        <w:kinsoku/>
        <w:wordWrap/>
        <w:overflowPunct/>
        <w:topLinePunct w:val="0"/>
        <w:autoSpaceDE w:val="0"/>
        <w:autoSpaceDN w:val="0"/>
        <w:bidi w:val="0"/>
        <w:adjustRightInd/>
        <w:snapToGrid/>
        <w:spacing w:before="0" w:beforeLines="100" w:line="360" w:lineRule="auto"/>
        <w:ind w:left="700" w:leftChars="318" w:right="567" w:firstLine="187" w:firstLineChars="78"/>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10.3中标供应商应当就分包项目向采购人负责，接受分包的人就分包项目承担连带责任。</w:t>
      </w:r>
    </w:p>
    <w:p>
      <w:pPr>
        <w:tabs>
          <w:tab w:val="left" w:pos="1539"/>
        </w:tabs>
        <w:spacing w:line="360" w:lineRule="auto"/>
        <w:ind w:right="220" w:rightChars="100" w:firstLine="960" w:firstLineChars="400"/>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11.采购信息的发布</w:t>
      </w:r>
    </w:p>
    <w:p>
      <w:pPr>
        <w:tabs>
          <w:tab w:val="left" w:pos="1539"/>
        </w:tabs>
        <w:spacing w:line="360" w:lineRule="auto"/>
        <w:ind w:right="220" w:rightChars="100" w:firstLine="840" w:firstLineChars="400"/>
        <w:rPr>
          <w:rFonts w:hint="eastAsia" w:ascii="黑体" w:hAnsi="黑体" w:eastAsia="黑体" w:cs="黑体"/>
          <w:color w:val="auto"/>
          <w:sz w:val="24"/>
          <w:szCs w:val="24"/>
          <w:highlight w:val="none"/>
        </w:rPr>
      </w:pPr>
      <w:r>
        <w:rPr>
          <w:rFonts w:hint="eastAsia" w:ascii="黑体" w:hAnsi="黑体" w:eastAsia="黑体" w:cs="黑体"/>
          <w:color w:val="auto"/>
          <w:sz w:val="21"/>
          <w:szCs w:val="24"/>
          <w:highlight w:val="none"/>
        </w:rPr>
        <w:t>11.1</w:t>
      </w:r>
      <w:r>
        <w:rPr>
          <w:rFonts w:hint="eastAsia" w:ascii="黑体" w:hAnsi="黑体" w:eastAsia="黑体" w:cs="黑体"/>
          <w:color w:val="auto"/>
          <w:sz w:val="24"/>
          <w:szCs w:val="24"/>
          <w:highlight w:val="none"/>
        </w:rPr>
        <w:t>与本次采购活动相关的信息，将在</w:t>
      </w:r>
      <w:r>
        <w:rPr>
          <w:rFonts w:hint="eastAsia" w:ascii="黑体" w:hAnsi="黑体" w:eastAsia="黑体" w:cs="黑体"/>
          <w:color w:val="auto"/>
          <w:sz w:val="24"/>
          <w:szCs w:val="24"/>
          <w:highlight w:val="none"/>
          <w:lang w:val="en-US" w:eastAsia="zh-CN"/>
        </w:rPr>
        <w:t>新疆政府采购网发布</w:t>
      </w:r>
      <w:r>
        <w:rPr>
          <w:rFonts w:hint="eastAsia" w:ascii="黑体" w:hAnsi="黑体" w:eastAsia="黑体" w:cs="黑体"/>
          <w:color w:val="auto"/>
          <w:w w:val="105"/>
          <w:sz w:val="24"/>
          <w:szCs w:val="24"/>
          <w:highlight w:val="none"/>
        </w:rPr>
        <w:t>。</w:t>
      </w: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rPr>
          <w:rFonts w:hint="eastAsia" w:ascii="黑体" w:hAnsi="黑体" w:eastAsia="黑体" w:cs="黑体"/>
          <w:color w:val="auto"/>
          <w:w w:val="105"/>
          <w:highlight w:val="none"/>
        </w:rPr>
      </w:pPr>
    </w:p>
    <w:p>
      <w:pPr>
        <w:pStyle w:val="8"/>
        <w:rPr>
          <w:rFonts w:hint="eastAsia" w:ascii="黑体" w:hAnsi="黑体" w:eastAsia="黑体" w:cs="黑体"/>
        </w:rPr>
      </w:pPr>
    </w:p>
    <w:p>
      <w:pPr>
        <w:pStyle w:val="19"/>
        <w:spacing w:line="360" w:lineRule="auto"/>
        <w:ind w:left="1008"/>
        <w:rPr>
          <w:rFonts w:hint="eastAsia" w:ascii="黑体" w:hAnsi="黑体" w:eastAsia="黑体" w:cs="黑体"/>
          <w:color w:val="auto"/>
          <w:w w:val="105"/>
          <w:highlight w:val="none"/>
        </w:rPr>
      </w:pPr>
    </w:p>
    <w:p>
      <w:pPr>
        <w:pStyle w:val="6"/>
        <w:spacing w:line="360" w:lineRule="auto"/>
        <w:ind w:right="87"/>
        <w:rPr>
          <w:rFonts w:hint="eastAsia" w:ascii="黑体" w:hAnsi="黑体" w:eastAsia="黑体" w:cs="黑体"/>
          <w:b/>
          <w:bCs/>
          <w:color w:val="auto"/>
          <w:sz w:val="36"/>
          <w:szCs w:val="36"/>
          <w:highlight w:val="none"/>
        </w:rPr>
      </w:pPr>
    </w:p>
    <w:p>
      <w:pPr>
        <w:pStyle w:val="6"/>
        <w:spacing w:line="360" w:lineRule="auto"/>
        <w:ind w:right="87"/>
        <w:rPr>
          <w:rFonts w:hint="eastAsia" w:ascii="黑体" w:hAnsi="黑体" w:eastAsia="黑体" w:cs="黑体"/>
          <w:b/>
          <w:bCs/>
          <w:color w:val="auto"/>
          <w:sz w:val="36"/>
          <w:szCs w:val="36"/>
          <w:highlight w:val="none"/>
        </w:rPr>
      </w:pPr>
    </w:p>
    <w:p>
      <w:pPr>
        <w:pStyle w:val="6"/>
        <w:spacing w:line="360" w:lineRule="auto"/>
        <w:ind w:right="87"/>
        <w:rPr>
          <w:rFonts w:hint="eastAsia" w:ascii="黑体" w:hAnsi="黑体" w:eastAsia="黑体" w:cs="黑体"/>
          <w:b/>
          <w:bCs/>
          <w:color w:val="auto"/>
          <w:sz w:val="36"/>
          <w:szCs w:val="36"/>
          <w:highlight w:val="none"/>
        </w:rPr>
      </w:pPr>
    </w:p>
    <w:p>
      <w:pPr>
        <w:pStyle w:val="6"/>
        <w:spacing w:line="360" w:lineRule="auto"/>
        <w:ind w:right="87"/>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二．招标文件</w:t>
      </w:r>
    </w:p>
    <w:p>
      <w:pPr>
        <w:pStyle w:val="54"/>
        <w:numPr>
          <w:ilvl w:val="1"/>
          <w:numId w:val="23"/>
        </w:numPr>
        <w:spacing w:before="229"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招标文件构成</w:t>
      </w:r>
    </w:p>
    <w:p>
      <w:pPr>
        <w:pStyle w:val="54"/>
        <w:numPr>
          <w:ilvl w:val="1"/>
          <w:numId w:val="24"/>
        </w:numPr>
        <w:tabs>
          <w:tab w:val="left" w:pos="1515"/>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招标文件包括以下部分：</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第一章：投标邀请（招标公告）；</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第二章：投标供应商须知前附表；</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第三章：投标供应商须知；</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第四章：评标办法；</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第五章：采购合同；</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第六章：采购货物需求及货物参数；</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第七章：投标文件格式</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第八章：评分标准</w:t>
      </w:r>
    </w:p>
    <w:p>
      <w:pPr>
        <w:pStyle w:val="54"/>
        <w:numPr>
          <w:ilvl w:val="1"/>
          <w:numId w:val="25"/>
        </w:numPr>
        <w:tabs>
          <w:tab w:val="left" w:pos="1515"/>
        </w:tabs>
        <w:spacing w:line="360" w:lineRule="auto"/>
        <w:ind w:left="567" w:right="567" w:firstLine="482"/>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投标供应商应认真阅读招标文件中所有的事项、格式、条件、条款和规范等要求。</w:t>
      </w:r>
    </w:p>
    <w:p>
      <w:pPr>
        <w:pStyle w:val="54"/>
        <w:numPr>
          <w:ilvl w:val="1"/>
          <w:numId w:val="25"/>
        </w:numPr>
        <w:tabs>
          <w:tab w:val="left" w:pos="1539"/>
        </w:tabs>
        <w:spacing w:line="360" w:lineRule="auto"/>
        <w:ind w:left="567" w:right="567" w:firstLine="482"/>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投标供应商应当按照招标文件的要求编制投标文件。投标文件应对招标文件提出的要求和条件作出实质性响应。</w:t>
      </w:r>
    </w:p>
    <w:p>
      <w:pPr>
        <w:pStyle w:val="54"/>
        <w:numPr>
          <w:ilvl w:val="1"/>
          <w:numId w:val="25"/>
        </w:numPr>
        <w:tabs>
          <w:tab w:val="left" w:pos="1539"/>
        </w:tabs>
        <w:spacing w:line="360" w:lineRule="auto"/>
        <w:ind w:left="567" w:right="567" w:firstLine="482"/>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投标供应商获取招标文件后，应仔细检查招标文件的所有内容，如有残缺等问题应自获得招标文件后于答疑截止时间前向招标代理机构提出，否则，由此引起的后果由投标供应商自行承担。</w:t>
      </w:r>
    </w:p>
    <w:p>
      <w:pPr>
        <w:pStyle w:val="54"/>
        <w:numPr>
          <w:ilvl w:val="1"/>
          <w:numId w:val="26"/>
        </w:numPr>
        <w:tabs>
          <w:tab w:val="left" w:pos="1539"/>
        </w:tabs>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答疑及招标文件的澄清与修改</w:t>
      </w:r>
    </w:p>
    <w:p>
      <w:pPr>
        <w:pStyle w:val="19"/>
        <w:numPr>
          <w:ilvl w:val="1"/>
          <w:numId w:val="27"/>
        </w:numPr>
        <w:spacing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投标供应商如果对招标文件、清单、控制价等招标文件的其他任何内容有相关疑问，可以于投标供应商须知前附表列明的答疑截止时间前，以书面形式向招标代理机构提出。</w:t>
      </w:r>
    </w:p>
    <w:p>
      <w:pPr>
        <w:pStyle w:val="19"/>
        <w:numPr>
          <w:ilvl w:val="1"/>
          <w:numId w:val="27"/>
        </w:numPr>
        <w:spacing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除非招标文件另有规定，否则，如招标文件、清单、服务内容之间存在不一致时，以要求严格或质量等级高的为准。</w:t>
      </w:r>
    </w:p>
    <w:p>
      <w:pPr>
        <w:pStyle w:val="19"/>
        <w:numPr>
          <w:ilvl w:val="1"/>
          <w:numId w:val="27"/>
        </w:numPr>
        <w:spacing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spacing w:val="-5"/>
          <w:highlight w:val="none"/>
        </w:rPr>
        <w:t>疑问的提出与答疑获取具体步骤：</w:t>
      </w:r>
      <w:r>
        <w:rPr>
          <w:rFonts w:hint="eastAsia" w:ascii="黑体" w:hAnsi="黑体" w:eastAsia="黑体" w:cs="黑体"/>
          <w:color w:val="auto"/>
          <w:highlight w:val="none"/>
        </w:rPr>
        <w:t>招标代理机构回复有质疑的供应商，招标代理机构对招标文件进行的答疑、澄清、变更或补充，将在网站上及</w:t>
      </w:r>
      <w:r>
        <w:rPr>
          <w:rFonts w:hint="eastAsia" w:ascii="黑体" w:hAnsi="黑体" w:eastAsia="黑体" w:cs="黑体"/>
          <w:color w:val="auto"/>
          <w:spacing w:val="-7"/>
          <w:highlight w:val="none"/>
        </w:rPr>
        <w:t>时发布，该公告内容为招标文件的组成部分，对投标供应商具有同样约束力。当招标文件、招标文件的答疑、澄清、变更或补充等在同一内容的表述上不一致时，以最后发出的书面</w:t>
      </w:r>
      <w:r>
        <w:rPr>
          <w:rFonts w:hint="eastAsia" w:ascii="黑体" w:hAnsi="黑体" w:eastAsia="黑体" w:cs="黑体"/>
          <w:color w:val="auto"/>
          <w:spacing w:val="-5"/>
          <w:highlight w:val="none"/>
        </w:rPr>
        <w:t>文件为准。招标代理机构不承担投标供应商未及时关注相关信息引发的相关责任。</w:t>
      </w:r>
    </w:p>
    <w:p>
      <w:pPr>
        <w:pStyle w:val="19"/>
        <w:numPr>
          <w:ilvl w:val="1"/>
          <w:numId w:val="27"/>
        </w:numPr>
        <w:spacing w:line="360" w:lineRule="auto"/>
        <w:ind w:left="567" w:right="567" w:firstLine="471"/>
        <w:jc w:val="both"/>
        <w:rPr>
          <w:rFonts w:hint="eastAsia" w:ascii="黑体" w:hAnsi="黑体" w:eastAsia="黑体" w:cs="黑体"/>
          <w:color w:val="auto"/>
          <w:spacing w:val="-5"/>
          <w:highlight w:val="none"/>
        </w:rPr>
      </w:pPr>
      <w:r>
        <w:rPr>
          <w:rFonts w:hint="eastAsia" w:ascii="黑体" w:hAnsi="黑体" w:eastAsia="黑体" w:cs="黑体"/>
          <w:color w:val="auto"/>
          <w:spacing w:val="-5"/>
          <w:highlight w:val="none"/>
        </w:rPr>
        <w:t>在投标截止时间前，采购人可以视采购具体情况，延长投标截止时间和开标时间，在网站上发布变更公告。并在招标文件要求提交投标文件的截止时间三日前，在网站上发布变更公告。在上述情况下，采购人和投标供应商在投标截止期方面的全部权力、责任和义务，将适用于延长后新的投标截止期。</w:t>
      </w:r>
    </w:p>
    <w:p>
      <w:pPr>
        <w:pStyle w:val="19"/>
        <w:numPr>
          <w:ilvl w:val="1"/>
          <w:numId w:val="27"/>
        </w:numPr>
        <w:spacing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招标代理机构发布答疑、澄清、变更或补充公告，澄清或修改内容不影响投标文件编制的，可不改变投标截止时间和开标时间。</w:t>
      </w:r>
      <w:bookmarkStart w:id="21" w:name="_bookmark5"/>
      <w:bookmarkEnd w:id="21"/>
      <w:bookmarkStart w:id="22" w:name="三．投标文件的编制"/>
      <w:bookmarkEnd w:id="22"/>
    </w:p>
    <w:p>
      <w:pPr>
        <w:rPr>
          <w:rFonts w:hint="eastAsia" w:ascii="黑体" w:hAnsi="黑体" w:eastAsia="黑体" w:cs="黑体"/>
          <w:b/>
          <w:bCs/>
          <w:color w:val="auto"/>
          <w:sz w:val="36"/>
          <w:szCs w:val="36"/>
          <w:highlight w:val="none"/>
        </w:rPr>
      </w:pPr>
      <w:bookmarkStart w:id="23" w:name="_bookmark4"/>
      <w:bookmarkEnd w:id="23"/>
      <w:bookmarkStart w:id="24" w:name="二．招标文件"/>
      <w:bookmarkEnd w:id="24"/>
      <w:r>
        <w:rPr>
          <w:rFonts w:hint="eastAsia" w:ascii="黑体" w:hAnsi="黑体" w:eastAsia="黑体" w:cs="黑体"/>
          <w:b/>
          <w:bCs/>
          <w:color w:val="auto"/>
          <w:sz w:val="36"/>
          <w:szCs w:val="36"/>
          <w:highlight w:val="none"/>
        </w:rPr>
        <w:br w:type="page"/>
      </w:r>
    </w:p>
    <w:p>
      <w:pPr>
        <w:pStyle w:val="6"/>
        <w:spacing w:line="360" w:lineRule="auto"/>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三．投标文件的编制</w:t>
      </w:r>
    </w:p>
    <w:p>
      <w:pPr>
        <w:pStyle w:val="54"/>
        <w:numPr>
          <w:ilvl w:val="1"/>
          <w:numId w:val="28"/>
        </w:numPr>
        <w:tabs>
          <w:tab w:val="left" w:pos="1539"/>
        </w:tabs>
        <w:spacing w:line="360" w:lineRule="auto"/>
        <w:ind w:left="567" w:right="220" w:rightChars="100" w:firstLine="50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本项目</w:t>
      </w:r>
      <w:r>
        <w:rPr>
          <w:rFonts w:hint="eastAsia" w:ascii="黑体" w:hAnsi="黑体" w:eastAsia="黑体" w:cs="黑体"/>
          <w:color w:val="auto"/>
          <w:sz w:val="24"/>
          <w:szCs w:val="24"/>
          <w:highlight w:val="none"/>
          <w:lang w:val="en-US" w:eastAsia="zh-CN"/>
        </w:rPr>
        <w:t>不分</w:t>
      </w:r>
      <w:r>
        <w:rPr>
          <w:rFonts w:hint="eastAsia" w:ascii="黑体" w:hAnsi="黑体" w:eastAsia="黑体" w:cs="黑体"/>
          <w:color w:val="auto"/>
          <w:sz w:val="24"/>
          <w:szCs w:val="24"/>
          <w:highlight w:val="none"/>
          <w:lang w:val="en-US"/>
        </w:rPr>
        <w:t>标段</w:t>
      </w:r>
      <w:r>
        <w:rPr>
          <w:rFonts w:hint="eastAsia" w:ascii="黑体" w:hAnsi="黑体" w:eastAsia="黑体" w:cs="黑体"/>
          <w:color w:val="auto"/>
          <w:sz w:val="24"/>
          <w:szCs w:val="24"/>
          <w:highlight w:val="none"/>
        </w:rPr>
        <w:t>。</w:t>
      </w:r>
    </w:p>
    <w:p>
      <w:pPr>
        <w:pStyle w:val="54"/>
        <w:numPr>
          <w:ilvl w:val="1"/>
          <w:numId w:val="28"/>
        </w:numPr>
        <w:tabs>
          <w:tab w:val="left" w:pos="1539"/>
        </w:tabs>
        <w:spacing w:line="360" w:lineRule="auto"/>
        <w:ind w:left="567" w:right="567" w:firstLine="505"/>
        <w:jc w:val="both"/>
        <w:rPr>
          <w:rFonts w:hint="eastAsia" w:ascii="黑体" w:hAnsi="黑体" w:eastAsia="黑体" w:cs="黑体"/>
          <w:color w:val="auto"/>
          <w:spacing w:val="-8"/>
          <w:sz w:val="24"/>
          <w:szCs w:val="24"/>
          <w:highlight w:val="none"/>
        </w:rPr>
      </w:pPr>
      <w:r>
        <w:rPr>
          <w:rFonts w:hint="eastAsia" w:ascii="黑体" w:hAnsi="黑体" w:eastAsia="黑体" w:cs="黑体"/>
          <w:color w:val="auto"/>
          <w:sz w:val="24"/>
          <w:szCs w:val="24"/>
          <w:highlight w:val="none"/>
        </w:rPr>
        <w:t>投标人应当对所投项目招标文件中“货物需求”所列的所有内容进行投标，如仅响应部分内容，其该投标将被认定为投标无效。</w:t>
      </w:r>
    </w:p>
    <w:p>
      <w:pPr>
        <w:pStyle w:val="54"/>
        <w:numPr>
          <w:ilvl w:val="1"/>
          <w:numId w:val="28"/>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无论招标文件第六章货物需求一览表及技术规格中是否要求，投标人所投货物均应符合国家强制性标准。</w:t>
      </w:r>
    </w:p>
    <w:p>
      <w:pPr>
        <w:pStyle w:val="54"/>
        <w:numPr>
          <w:ilvl w:val="1"/>
          <w:numId w:val="28"/>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除招标文件中有特殊要求外，投标文件中所使用的计量单位，应采用中华人民共和国法定计量单位。</w:t>
      </w:r>
    </w:p>
    <w:p>
      <w:pPr>
        <w:pStyle w:val="54"/>
        <w:numPr>
          <w:ilvl w:val="1"/>
          <w:numId w:val="29"/>
        </w:numPr>
        <w:tabs>
          <w:tab w:val="left" w:pos="1539"/>
        </w:tabs>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投标文件构成与要求</w:t>
      </w:r>
    </w:p>
    <w:p>
      <w:pPr>
        <w:pStyle w:val="54"/>
        <w:numPr>
          <w:ilvl w:val="1"/>
          <w:numId w:val="30"/>
        </w:numPr>
        <w:tabs>
          <w:tab w:val="left" w:pos="1515"/>
        </w:tabs>
        <w:spacing w:before="8" w:line="360" w:lineRule="auto"/>
        <w:ind w:right="1241" w:firstLine="48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投标文件是对招标文件的实质性响应及承诺文件。</w:t>
      </w:r>
    </w:p>
    <w:p>
      <w:pPr>
        <w:pStyle w:val="54"/>
        <w:numPr>
          <w:ilvl w:val="1"/>
          <w:numId w:val="30"/>
        </w:numPr>
        <w:tabs>
          <w:tab w:val="left" w:pos="1515"/>
        </w:tabs>
        <w:spacing w:before="8" w:line="360" w:lineRule="auto"/>
        <w:ind w:right="1241" w:firstLine="48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投标人应按照招标文件所提供的的投标文件格式，分别填写招标文件第六章至第七章的内容，应分别注明所提供货物的名称、技术配置及参数、数量和价格等内容，并由法定代表人或委托代理人按要求签字、加盖公章。项目名称及项目编号、投标人名称盖章</w:t>
      </w:r>
      <w:r>
        <w:rPr>
          <w:rFonts w:hint="eastAsia" w:ascii="黑体" w:hAnsi="黑体" w:eastAsia="黑体" w:cs="黑体"/>
          <w:color w:val="auto"/>
          <w:sz w:val="24"/>
          <w:szCs w:val="24"/>
          <w:highlight w:val="none"/>
        </w:rPr>
        <w:t>。</w:t>
      </w:r>
      <w:bookmarkStart w:id="25" w:name="_Ref467052588"/>
    </w:p>
    <w:p>
      <w:pPr>
        <w:pStyle w:val="54"/>
        <w:numPr>
          <w:ilvl w:val="1"/>
          <w:numId w:val="31"/>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投标人应完整地编写投标文件，投标文件应包括“电子投标文件”和“正、副本投标文件”制作投标文件。</w:t>
      </w:r>
    </w:p>
    <w:p>
      <w:pPr>
        <w:pStyle w:val="54"/>
        <w:numPr>
          <w:ilvl w:val="1"/>
          <w:numId w:val="32"/>
        </w:numPr>
        <w:tabs>
          <w:tab w:val="left" w:pos="1515"/>
        </w:tabs>
        <w:spacing w:before="8" w:line="360" w:lineRule="auto"/>
        <w:ind w:left="567" w:right="567" w:firstLine="471"/>
        <w:rPr>
          <w:rFonts w:hint="eastAsia" w:ascii="黑体" w:hAnsi="黑体" w:eastAsia="黑体" w:cs="黑体"/>
          <w:color w:val="auto"/>
          <w:spacing w:val="-8"/>
          <w:sz w:val="24"/>
          <w:szCs w:val="24"/>
          <w:highlight w:val="none"/>
        </w:rPr>
      </w:pPr>
      <w:r>
        <w:rPr>
          <w:rFonts w:hint="eastAsia" w:ascii="黑体" w:hAnsi="黑体" w:eastAsia="黑体" w:cs="黑体"/>
          <w:color w:val="auto"/>
          <w:spacing w:val="-8"/>
          <w:sz w:val="24"/>
          <w:szCs w:val="24"/>
          <w:highlight w:val="none"/>
        </w:rPr>
        <w:t>上述文件应按照招标文件规范填写、签署和盖章</w:t>
      </w:r>
      <w:bookmarkEnd w:id="25"/>
      <w:r>
        <w:rPr>
          <w:rFonts w:hint="eastAsia" w:ascii="黑体" w:hAnsi="黑体" w:eastAsia="黑体" w:cs="黑体"/>
          <w:color w:val="auto"/>
          <w:spacing w:val="-8"/>
          <w:sz w:val="24"/>
          <w:szCs w:val="24"/>
          <w:highlight w:val="none"/>
        </w:rPr>
        <w:t>。</w:t>
      </w:r>
    </w:p>
    <w:p>
      <w:pPr>
        <w:pStyle w:val="54"/>
        <w:numPr>
          <w:ilvl w:val="1"/>
          <w:numId w:val="33"/>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投标供应商资质证书（或资格证明）处于年检、换证、升级、变更等期间，除非有法律法规或发证机构书面材料明确表明投标供应商资质（或资格）有效，否则一律不予认可。</w:t>
      </w:r>
    </w:p>
    <w:p>
      <w:pPr>
        <w:pStyle w:val="54"/>
        <w:numPr>
          <w:ilvl w:val="1"/>
          <w:numId w:val="34"/>
        </w:numPr>
        <w:tabs>
          <w:tab w:val="left" w:pos="1515"/>
        </w:tabs>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电报、电话、传真形式的投标概不接受。</w:t>
      </w:r>
    </w:p>
    <w:p>
      <w:pPr>
        <w:pStyle w:val="54"/>
        <w:numPr>
          <w:ilvl w:val="0"/>
          <w:numId w:val="35"/>
        </w:numPr>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证明投标的合格性和符合招标文件规定的技术文件</w:t>
      </w:r>
    </w:p>
    <w:p>
      <w:pPr>
        <w:pStyle w:val="54"/>
        <w:numPr>
          <w:ilvl w:val="1"/>
          <w:numId w:val="36"/>
        </w:numPr>
        <w:tabs>
          <w:tab w:val="left" w:pos="1539"/>
        </w:tabs>
        <w:spacing w:before="7" w:line="360" w:lineRule="auto"/>
        <w:ind w:left="567" w:right="567" w:firstLine="482"/>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投标人应提交证明文件，证明其投标内容符合招标文件规定。该证明文件是投标文件的一部分。</w:t>
      </w:r>
    </w:p>
    <w:p>
      <w:pPr>
        <w:pStyle w:val="54"/>
        <w:numPr>
          <w:ilvl w:val="1"/>
          <w:numId w:val="36"/>
        </w:numPr>
        <w:tabs>
          <w:tab w:val="left" w:pos="1539"/>
        </w:tabs>
        <w:spacing w:before="7" w:line="360" w:lineRule="auto"/>
        <w:ind w:right="1243" w:firstLine="48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上款所述的证明文件，可以是文字资料、图纸和数据，它包括：</w:t>
      </w:r>
    </w:p>
    <w:p>
      <w:pPr>
        <w:pStyle w:val="54"/>
        <w:numPr>
          <w:ilvl w:val="1"/>
          <w:numId w:val="37"/>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货物主要技术指标和性能的详细说明；</w:t>
      </w:r>
    </w:p>
    <w:p>
      <w:pPr>
        <w:pStyle w:val="54"/>
        <w:numPr>
          <w:ilvl w:val="1"/>
          <w:numId w:val="38"/>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货物从买方开始使用至招标文件规定的保质期内正常、连续地使用所必须的备件和专用工具清单，包括备件和专用工具的货源及现行价格；</w:t>
      </w:r>
    </w:p>
    <w:p>
      <w:pPr>
        <w:pStyle w:val="54"/>
        <w:numPr>
          <w:ilvl w:val="1"/>
          <w:numId w:val="39"/>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对照招标文件技术规格，逐条说明所提供货物及伴随的工程和服务已对招标文件的技术规格做出了实质性的响应，或申明与技术规格条文的偏差和例外。</w:t>
      </w:r>
    </w:p>
    <w:p>
      <w:pPr>
        <w:pStyle w:val="54"/>
        <w:numPr>
          <w:ilvl w:val="1"/>
          <w:numId w:val="40"/>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4"/>
        <w:numPr>
          <w:ilvl w:val="1"/>
          <w:numId w:val="41"/>
        </w:numPr>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投标报价</w:t>
      </w:r>
    </w:p>
    <w:p>
      <w:pPr>
        <w:pStyle w:val="54"/>
        <w:numPr>
          <w:ilvl w:val="1"/>
          <w:numId w:val="42"/>
        </w:numPr>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所有投标均以人民币报价。投标人的投标报价应遵守《中华人民共和国价格法》。同时，根据《中华人民共和国政府采购法》第二条的规定，为保证公平竞争，如有货物主体、附属零部件、配件为赠与行为的，其投标将被认定为投标无效。</w:t>
      </w:r>
    </w:p>
    <w:p>
      <w:pPr>
        <w:pStyle w:val="54"/>
        <w:numPr>
          <w:ilvl w:val="1"/>
          <w:numId w:val="42"/>
        </w:numPr>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投标人应在投标分项报价表上标明投标货物及相关服务的单价（如适用）、总价、品牌、具体型号、生产厂家、详细得参数说明，否则按废标处理。</w:t>
      </w:r>
    </w:p>
    <w:p>
      <w:pPr>
        <w:pStyle w:val="54"/>
        <w:numPr>
          <w:ilvl w:val="1"/>
          <w:numId w:val="42"/>
        </w:numPr>
        <w:spacing w:line="360" w:lineRule="auto"/>
        <w:ind w:left="527" w:right="482" w:rightChars="219" w:firstLine="48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投标分项报价表上的价格应按下列方式填写：</w:t>
      </w:r>
    </w:p>
    <w:p>
      <w:pPr>
        <w:pStyle w:val="54"/>
        <w:numPr>
          <w:ilvl w:val="1"/>
          <w:numId w:val="43"/>
        </w:numPr>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投标货物（包括备品备件、专用工具等）、（包括已在中国国内的进口货物完税后的仓库交货价、展室交货价或货架交货价），投标货物安装、调试、检验、技术服务和培训等费用；</w:t>
      </w:r>
    </w:p>
    <w:p>
      <w:pPr>
        <w:pStyle w:val="54"/>
        <w:numPr>
          <w:ilvl w:val="1"/>
          <w:numId w:val="43"/>
        </w:numPr>
        <w:spacing w:line="360" w:lineRule="auto"/>
        <w:ind w:left="527" w:right="482" w:rightChars="219" w:firstLine="48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货物运至最终目的地的运输费和保险费用。</w:t>
      </w:r>
    </w:p>
    <w:p>
      <w:pPr>
        <w:pStyle w:val="54"/>
        <w:numPr>
          <w:ilvl w:val="1"/>
          <w:numId w:val="44"/>
        </w:numPr>
        <w:spacing w:line="360" w:lineRule="auto"/>
        <w:ind w:left="567" w:right="567"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投标人所报的各分项投标单价在合同履行过程中是固定不变的，不得以任何理由予以变更。任何包含价格调整要求的投标，其投标将被认定为投标无效。</w:t>
      </w:r>
    </w:p>
    <w:p>
      <w:pPr>
        <w:pStyle w:val="54"/>
        <w:numPr>
          <w:ilvl w:val="1"/>
          <w:numId w:val="45"/>
        </w:numPr>
        <w:spacing w:line="360" w:lineRule="auto"/>
        <w:ind w:left="567" w:right="567"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每种货物只能有一个投标报价。采购人不接受具有附加条件的报价。</w:t>
      </w:r>
    </w:p>
    <w:p>
      <w:pPr>
        <w:spacing w:line="360" w:lineRule="auto"/>
        <w:ind w:right="567" w:firstLine="990" w:firstLineChars="550"/>
        <w:rPr>
          <w:rFonts w:hint="eastAsia" w:ascii="黑体" w:hAnsi="黑体" w:eastAsia="黑体" w:cs="黑体"/>
          <w:color w:val="auto"/>
          <w:sz w:val="24"/>
          <w:szCs w:val="24"/>
          <w:highlight w:val="none"/>
        </w:rPr>
      </w:pPr>
      <w:r>
        <w:rPr>
          <w:rFonts w:hint="eastAsia" w:ascii="黑体" w:hAnsi="黑体" w:eastAsia="黑体" w:cs="黑体"/>
          <w:color w:val="auto"/>
          <w:sz w:val="18"/>
          <w:szCs w:val="24"/>
          <w:highlight w:val="none"/>
        </w:rPr>
        <w:t>17.6</w:t>
      </w:r>
      <w:r>
        <w:rPr>
          <w:rFonts w:hint="eastAsia" w:ascii="黑体" w:hAnsi="黑体" w:eastAsia="黑体" w:cs="黑体"/>
          <w:color w:val="auto"/>
          <w:sz w:val="24"/>
          <w:szCs w:val="24"/>
          <w:highlight w:val="none"/>
        </w:rPr>
        <w:t xml:space="preserve"> 本项目报价含运费、税费、安装调试费及与本项目相关的一切费用。</w:t>
      </w:r>
    </w:p>
    <w:p>
      <w:pPr>
        <w:pStyle w:val="54"/>
        <w:numPr>
          <w:ilvl w:val="1"/>
          <w:numId w:val="46"/>
        </w:numPr>
        <w:spacing w:line="360" w:lineRule="auto"/>
        <w:ind w:left="567"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w:t>
      </w:r>
    </w:p>
    <w:p>
      <w:pPr>
        <w:pStyle w:val="54"/>
        <w:numPr>
          <w:ilvl w:val="1"/>
          <w:numId w:val="47"/>
        </w:numPr>
        <w:tabs>
          <w:tab w:val="left" w:pos="1515"/>
        </w:tabs>
        <w:spacing w:before="8"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作为投标文件的一部分，投标保证金应当在规定时间内足额汇入招标公告指定账号。</w:t>
      </w:r>
    </w:p>
    <w:p>
      <w:pPr>
        <w:pStyle w:val="54"/>
        <w:numPr>
          <w:ilvl w:val="1"/>
          <w:numId w:val="47"/>
        </w:numPr>
        <w:tabs>
          <w:tab w:val="left" w:pos="1539"/>
        </w:tabs>
        <w:spacing w:before="8"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可采取异地电汇；本地转帐任何一种形式；不接收以现金或汇票形式递交的投标保证金；投标保证金缴纳人名称与投标供应商名称应当一致。除非招标文件另有规定，分公司或子公司代缴投标保证金，视同名称不一致。投标保证金缴纳人名称与投标供应商名称不一致的，投标无效。</w:t>
      </w:r>
    </w:p>
    <w:p>
      <w:pPr>
        <w:pStyle w:val="54"/>
        <w:numPr>
          <w:ilvl w:val="1"/>
          <w:numId w:val="47"/>
        </w:numPr>
        <w:tabs>
          <w:tab w:val="left" w:pos="1539"/>
        </w:tabs>
        <w:spacing w:before="8"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未按要求提交投标保证金的投标，将被视为非响应性投标而导致投标无效。</w:t>
      </w:r>
    </w:p>
    <w:p>
      <w:pPr>
        <w:pStyle w:val="54"/>
        <w:numPr>
          <w:ilvl w:val="1"/>
          <w:numId w:val="47"/>
        </w:numPr>
        <w:tabs>
          <w:tab w:val="left" w:pos="1515"/>
        </w:tabs>
        <w:spacing w:before="8"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投标人存在下列情形的，投标保证金不予退还：</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在投标有效期内，撤销投标的；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中标后无正当理由放弃中标资格或无正当理由不与采购人签订合同的；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将中标项目转让给他人，或者在投标文件中未说明，且未经采购人同意，将中标项目分包给他人的；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拒绝履行合同义务的；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存在其他违法违规行为的；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由于投标供应商行为导致采购人或招标代理机构损失的，相应损失由投标供应商承担，从投标保证金中扣除。投标保证金扣除后仍不足以弥补损失的，投标供应商应当对超过部分予以赔偿。</w:t>
      </w:r>
    </w:p>
    <w:p>
      <w:pPr>
        <w:pStyle w:val="54"/>
        <w:numPr>
          <w:ilvl w:val="1"/>
          <w:numId w:val="49"/>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政府采购信用担保试点范围内的项目，接受符合财政部门规定的政府采购投标担保函原件。</w:t>
      </w:r>
    </w:p>
    <w:p>
      <w:pPr>
        <w:pStyle w:val="54"/>
        <w:numPr>
          <w:ilvl w:val="1"/>
          <w:numId w:val="50"/>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联合体投标的（如允许）由联合体牵头人提交投标保证金。以一方名义提交投标保证金的，对联合体各方均具有约束力。</w:t>
      </w:r>
    </w:p>
    <w:p>
      <w:pPr>
        <w:pStyle w:val="54"/>
        <w:numPr>
          <w:ilvl w:val="1"/>
          <w:numId w:val="51"/>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的退还：中标人应在与采购人签订合同之日起5个工作日内，及时联系保证金收受机构办理投标保证金无息退还手续。未中标投标人的投标保证金将在中标通知书发出之日暨中标结果公告公布之日起5个工作日内无息退还。投标人应及时联系保证金收受机构办理退还投标保证金手续。</w:t>
      </w:r>
    </w:p>
    <w:p>
      <w:pPr>
        <w:pStyle w:val="54"/>
        <w:numPr>
          <w:ilvl w:val="1"/>
          <w:numId w:val="52"/>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政府采购投标担保函不予退回。</w:t>
      </w:r>
    </w:p>
    <w:p>
      <w:pPr>
        <w:pStyle w:val="54"/>
        <w:numPr>
          <w:ilvl w:val="1"/>
          <w:numId w:val="53"/>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因投标人自身原因导致无法及时退还的，采购人或采购代理机构将不承担相应责任。</w:t>
      </w:r>
      <w:bookmarkStart w:id="26" w:name="_Toc515647772"/>
      <w:bookmarkStart w:id="27" w:name="_Toc22901"/>
      <w:bookmarkStart w:id="28" w:name="_Toc23590"/>
      <w:bookmarkStart w:id="29" w:name="_Toc520356157"/>
      <w:bookmarkStart w:id="30" w:name="_Toc32569"/>
    </w:p>
    <w:p>
      <w:pPr>
        <w:pStyle w:val="54"/>
        <w:numPr>
          <w:ilvl w:val="1"/>
          <w:numId w:val="54"/>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投标有效期</w:t>
      </w:r>
      <w:bookmarkEnd w:id="26"/>
      <w:bookmarkEnd w:id="27"/>
      <w:bookmarkEnd w:id="28"/>
      <w:bookmarkEnd w:id="29"/>
      <w:bookmarkEnd w:id="30"/>
    </w:p>
    <w:p>
      <w:pPr>
        <w:pStyle w:val="54"/>
        <w:numPr>
          <w:ilvl w:val="1"/>
          <w:numId w:val="55"/>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投标应在投标人须知资料表中规定时间内保持有效。投标有效期不满足要求的投标，其投标将被认定为投标无效。</w:t>
      </w:r>
    </w:p>
    <w:p>
      <w:pPr>
        <w:pStyle w:val="54"/>
        <w:numPr>
          <w:ilvl w:val="1"/>
          <w:numId w:val="56"/>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为保证采购人有足够的时间完成评标和与中标供应商签订合同，规定投标有效期。投标有效期见投标供应商须知前附表。</w:t>
      </w:r>
    </w:p>
    <w:p>
      <w:pPr>
        <w:pStyle w:val="54"/>
        <w:numPr>
          <w:ilvl w:val="1"/>
          <w:numId w:val="57"/>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在投标有效期内，投标供应商的投标保持有效，投标供应商不得要求撤销或修改其投标文件。</w:t>
      </w:r>
    </w:p>
    <w:p>
      <w:pPr>
        <w:pStyle w:val="54"/>
        <w:numPr>
          <w:ilvl w:val="1"/>
          <w:numId w:val="5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投标有效期从投标截止日起计算。在原定投标有效期满之前，如果出现特殊情况，采购人可以书面形式提出延长投标有效期的要求。投标供应商以书面形式予以答复，投标供应商可以拒绝这种要求而不被没收投标保证金。同意延长投标有效期的投标供应商不允许修改其投标文件的实质性内容，且需要相应地延长投标保证金的有效期。</w:t>
      </w:r>
    </w:p>
    <w:p>
      <w:pPr>
        <w:pStyle w:val="54"/>
        <w:numPr>
          <w:ilvl w:val="1"/>
          <w:numId w:val="59"/>
        </w:numPr>
        <w:tabs>
          <w:tab w:val="left" w:pos="1515"/>
        </w:tabs>
        <w:spacing w:before="8" w:line="360" w:lineRule="auto"/>
        <w:ind w:left="567" w:right="220" w:rightChars="100" w:firstLine="471"/>
        <w:jc w:val="both"/>
        <w:rPr>
          <w:rFonts w:hint="eastAsia" w:ascii="黑体" w:hAnsi="黑体" w:eastAsia="黑体" w:cs="黑体"/>
          <w:color w:val="auto"/>
          <w:spacing w:val="-4"/>
          <w:sz w:val="24"/>
          <w:szCs w:val="24"/>
          <w:highlight w:val="none"/>
        </w:rPr>
      </w:pPr>
      <w:bookmarkStart w:id="31" w:name="_Toc520356158"/>
      <w:bookmarkStart w:id="32" w:name="_Toc17074"/>
      <w:bookmarkStart w:id="33" w:name="_Toc493"/>
      <w:bookmarkStart w:id="34" w:name="_Toc515647773"/>
      <w:bookmarkStart w:id="35" w:name="_Toc17609"/>
      <w:r>
        <w:rPr>
          <w:rFonts w:hint="eastAsia" w:ascii="黑体" w:hAnsi="黑体" w:eastAsia="黑体" w:cs="黑体"/>
          <w:color w:val="auto"/>
          <w:spacing w:val="-4"/>
          <w:sz w:val="24"/>
          <w:szCs w:val="24"/>
          <w:highlight w:val="none"/>
        </w:rPr>
        <w:t>投标文件的签署</w:t>
      </w:r>
      <w:bookmarkEnd w:id="31"/>
      <w:r>
        <w:rPr>
          <w:rFonts w:hint="eastAsia" w:ascii="黑体" w:hAnsi="黑体" w:eastAsia="黑体" w:cs="黑体"/>
          <w:color w:val="auto"/>
          <w:spacing w:val="-4"/>
          <w:sz w:val="24"/>
          <w:szCs w:val="24"/>
          <w:highlight w:val="none"/>
        </w:rPr>
        <w:t>及规定</w:t>
      </w:r>
      <w:bookmarkEnd w:id="32"/>
      <w:bookmarkEnd w:id="33"/>
      <w:bookmarkEnd w:id="34"/>
      <w:bookmarkEnd w:id="35"/>
    </w:p>
    <w:p>
      <w:pPr>
        <w:pStyle w:val="54"/>
        <w:numPr>
          <w:ilvl w:val="1"/>
          <w:numId w:val="60"/>
        </w:numPr>
        <w:tabs>
          <w:tab w:val="left" w:pos="1515"/>
        </w:tabs>
        <w:spacing w:before="8" w:line="360" w:lineRule="auto"/>
        <w:ind w:left="567" w:right="567" w:firstLine="471"/>
        <w:jc w:val="both"/>
        <w:rPr>
          <w:rFonts w:hint="eastAsia" w:ascii="黑体" w:hAnsi="黑体" w:eastAsia="黑体" w:cs="黑体"/>
          <w:color w:val="auto"/>
          <w:spacing w:val="-4"/>
          <w:sz w:val="24"/>
          <w:szCs w:val="24"/>
          <w:highlight w:val="none"/>
        </w:rPr>
      </w:pPr>
      <w:r>
        <w:rPr>
          <w:rFonts w:hint="eastAsia" w:ascii="黑体" w:hAnsi="黑体" w:eastAsia="黑体" w:cs="黑体"/>
          <w:color w:val="auto"/>
          <w:spacing w:val="-4"/>
          <w:sz w:val="24"/>
          <w:szCs w:val="24"/>
          <w:highlight w:val="none"/>
        </w:rPr>
        <w:t>投标人应按投标人须知资料表中的规定，准备和递交投标文件正本、副本和电子文档，每份投标文件封皮须清楚地标明“正本”或“副本”。若正本和副本不符，以正本为准。</w:t>
      </w:r>
    </w:p>
    <w:p>
      <w:pPr>
        <w:pStyle w:val="54"/>
        <w:numPr>
          <w:ilvl w:val="1"/>
          <w:numId w:val="61"/>
        </w:numPr>
        <w:tabs>
          <w:tab w:val="left" w:pos="1515"/>
        </w:tabs>
        <w:spacing w:before="8" w:line="360" w:lineRule="auto"/>
        <w:ind w:left="567" w:right="567" w:firstLine="471"/>
        <w:jc w:val="both"/>
        <w:rPr>
          <w:rFonts w:hint="eastAsia" w:ascii="黑体" w:hAnsi="黑体" w:eastAsia="黑体" w:cs="黑体"/>
          <w:color w:val="auto"/>
          <w:spacing w:val="-4"/>
          <w:sz w:val="24"/>
          <w:szCs w:val="24"/>
          <w:highlight w:val="none"/>
        </w:rPr>
      </w:pPr>
      <w:r>
        <w:rPr>
          <w:rFonts w:hint="eastAsia" w:ascii="黑体" w:hAnsi="黑体" w:eastAsia="黑体" w:cs="黑体"/>
          <w:color w:val="auto"/>
          <w:spacing w:val="-4"/>
          <w:sz w:val="24"/>
          <w:szCs w:val="24"/>
          <w:highlight w:val="none"/>
        </w:rPr>
        <w:t>投标文件的正副本需</w:t>
      </w:r>
      <w:r>
        <w:rPr>
          <w:rFonts w:hint="eastAsia" w:ascii="黑体" w:hAnsi="黑体" w:eastAsia="黑体" w:cs="黑体"/>
          <w:color w:val="auto"/>
          <w:spacing w:val="-4"/>
          <w:sz w:val="24"/>
          <w:szCs w:val="24"/>
          <w:highlight w:val="none"/>
          <w:lang w:val="en-US"/>
        </w:rPr>
        <w:t>A4</w:t>
      </w:r>
      <w:r>
        <w:rPr>
          <w:rFonts w:hint="eastAsia" w:ascii="黑体" w:hAnsi="黑体" w:eastAsia="黑体" w:cs="黑体"/>
          <w:color w:val="auto"/>
          <w:spacing w:val="-4"/>
          <w:sz w:val="24"/>
          <w:szCs w:val="24"/>
          <w:highlight w:val="none"/>
        </w:rPr>
        <w:t>纸张打印，并由投标人的法定代表人或经其正式委托代理人按招标文件规定在投标文件上签字并加盖单位印章。委托代理人须持有书面的“法定代表人授权委托书”，并将其附在投标文件里。</w:t>
      </w:r>
    </w:p>
    <w:p>
      <w:pPr>
        <w:pStyle w:val="54"/>
        <w:numPr>
          <w:ilvl w:val="1"/>
          <w:numId w:val="62"/>
        </w:numPr>
        <w:tabs>
          <w:tab w:val="left" w:pos="1515"/>
        </w:tabs>
        <w:spacing w:before="8" w:line="360" w:lineRule="auto"/>
        <w:ind w:left="567" w:right="567" w:firstLine="471"/>
        <w:jc w:val="both"/>
        <w:rPr>
          <w:rFonts w:hint="eastAsia" w:ascii="黑体" w:hAnsi="黑体" w:eastAsia="黑体" w:cs="黑体"/>
          <w:color w:val="auto"/>
          <w:spacing w:val="-4"/>
          <w:sz w:val="24"/>
          <w:szCs w:val="24"/>
          <w:highlight w:val="none"/>
        </w:rPr>
      </w:pPr>
      <w:r>
        <w:rPr>
          <w:rFonts w:hint="eastAsia" w:ascii="黑体" w:hAnsi="黑体" w:eastAsia="黑体" w:cs="黑体"/>
          <w:color w:val="auto"/>
          <w:spacing w:val="-4"/>
          <w:sz w:val="24"/>
          <w:szCs w:val="24"/>
          <w:highlight w:val="none"/>
        </w:rPr>
        <w:t>所有投标文件采用不可拆装的胶订方式装订</w:t>
      </w:r>
      <w:r>
        <w:rPr>
          <w:rFonts w:hint="eastAsia" w:ascii="黑体" w:hAnsi="黑体" w:eastAsia="黑体" w:cs="黑体"/>
          <w:color w:val="auto"/>
          <w:spacing w:val="-4"/>
          <w:sz w:val="24"/>
          <w:szCs w:val="24"/>
          <w:highlight w:val="none"/>
          <w:lang w:val="en-US"/>
        </w:rPr>
        <w:t>成册并编码</w:t>
      </w:r>
      <w:r>
        <w:rPr>
          <w:rFonts w:hint="eastAsia" w:ascii="黑体" w:hAnsi="黑体" w:eastAsia="黑体" w:cs="黑体"/>
          <w:color w:val="auto"/>
          <w:spacing w:val="-4"/>
          <w:sz w:val="24"/>
          <w:szCs w:val="24"/>
          <w:highlight w:val="none"/>
        </w:rPr>
        <w:t>，否则其投标将被认定为投标无效。</w:t>
      </w:r>
    </w:p>
    <w:p>
      <w:pPr>
        <w:pStyle w:val="54"/>
        <w:numPr>
          <w:ilvl w:val="1"/>
          <w:numId w:val="63"/>
        </w:numPr>
        <w:tabs>
          <w:tab w:val="left" w:pos="1515"/>
        </w:tabs>
        <w:spacing w:before="8" w:line="360" w:lineRule="auto"/>
        <w:ind w:left="567" w:right="220" w:rightChars="100" w:firstLine="471"/>
        <w:jc w:val="both"/>
        <w:rPr>
          <w:rFonts w:hint="eastAsia" w:ascii="黑体" w:hAnsi="黑体" w:eastAsia="黑体" w:cs="黑体"/>
          <w:color w:val="auto"/>
          <w:spacing w:val="-4"/>
          <w:sz w:val="24"/>
          <w:szCs w:val="24"/>
          <w:highlight w:val="none"/>
        </w:rPr>
      </w:pPr>
      <w:r>
        <w:rPr>
          <w:rFonts w:hint="eastAsia" w:ascii="黑体" w:hAnsi="黑体" w:eastAsia="黑体" w:cs="黑体"/>
          <w:color w:val="auto"/>
          <w:spacing w:val="-4"/>
          <w:sz w:val="24"/>
          <w:szCs w:val="24"/>
          <w:highlight w:val="none"/>
        </w:rPr>
        <w:t>投标文件因字迹潦草、表达不清或装订不当所引起的后果由投标人负责。</w:t>
      </w:r>
    </w:p>
    <w:p>
      <w:pPr>
        <w:rPr>
          <w:rFonts w:hint="eastAsia" w:ascii="黑体" w:hAnsi="黑体" w:eastAsia="黑体" w:cs="黑体"/>
          <w:color w:val="auto"/>
          <w:highlight w:val="none"/>
        </w:rPr>
      </w:pPr>
      <w:r>
        <w:rPr>
          <w:rFonts w:hint="eastAsia" w:ascii="黑体" w:hAnsi="黑体" w:eastAsia="黑体" w:cs="黑体"/>
          <w:color w:val="auto"/>
          <w:highlight w:val="none"/>
        </w:rPr>
        <w:br w:type="page"/>
      </w:r>
    </w:p>
    <w:p>
      <w:pPr>
        <w:pStyle w:val="6"/>
        <w:spacing w:line="360" w:lineRule="auto"/>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四．开标与评标</w:t>
      </w:r>
    </w:p>
    <w:p>
      <w:pPr>
        <w:spacing w:before="231" w:line="360" w:lineRule="auto"/>
        <w:ind w:left="1001"/>
        <w:rPr>
          <w:rFonts w:hint="eastAsia" w:ascii="黑体" w:hAnsi="黑体" w:eastAsia="黑体" w:cs="黑体"/>
          <w:color w:val="auto"/>
          <w:sz w:val="24"/>
          <w:highlight w:val="none"/>
        </w:rPr>
      </w:pPr>
      <w:bookmarkStart w:id="36" w:name="四．投标文件的递交"/>
      <w:bookmarkEnd w:id="36"/>
      <w:bookmarkStart w:id="37" w:name="五．开标与评标"/>
      <w:bookmarkEnd w:id="37"/>
      <w:bookmarkStart w:id="38" w:name="_bookmark6"/>
      <w:bookmarkEnd w:id="38"/>
      <w:bookmarkStart w:id="39" w:name="_bookmark7"/>
      <w:bookmarkEnd w:id="39"/>
      <w:r>
        <w:rPr>
          <w:rFonts w:hint="eastAsia" w:ascii="黑体" w:hAnsi="黑体" w:eastAsia="黑体" w:cs="黑体"/>
          <w:color w:val="auto"/>
          <w:sz w:val="24"/>
          <w:highlight w:val="none"/>
        </w:rPr>
        <w:t>2</w:t>
      </w:r>
      <w:r>
        <w:rPr>
          <w:rFonts w:hint="eastAsia" w:ascii="黑体" w:hAnsi="黑体" w:eastAsia="黑体" w:cs="黑体"/>
          <w:color w:val="auto"/>
          <w:sz w:val="24"/>
          <w:highlight w:val="none"/>
          <w:lang w:val="en-US" w:eastAsia="zh-CN"/>
        </w:rPr>
        <w:t>1</w:t>
      </w:r>
      <w:r>
        <w:rPr>
          <w:rFonts w:hint="eastAsia" w:ascii="黑体" w:hAnsi="黑体" w:eastAsia="黑体" w:cs="黑体"/>
          <w:color w:val="auto"/>
          <w:sz w:val="24"/>
          <w:highlight w:val="none"/>
        </w:rPr>
        <w:t>.开标</w:t>
      </w:r>
    </w:p>
    <w:p>
      <w:pPr>
        <w:pStyle w:val="54"/>
        <w:numPr>
          <w:ilvl w:val="0"/>
          <w:numId w:val="0"/>
        </w:numPr>
        <w:tabs>
          <w:tab w:val="left" w:pos="1585"/>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21.1</w:t>
      </w:r>
      <w:r>
        <w:rPr>
          <w:rFonts w:hint="eastAsia" w:ascii="黑体" w:hAnsi="黑体" w:eastAsia="黑体" w:cs="黑体"/>
          <w:color w:val="auto"/>
          <w:sz w:val="24"/>
          <w:highlight w:val="none"/>
        </w:rPr>
        <w:t>采购人和采购代理机构将按投标人须知资料表中规定的开标时间和地点组织公开开标并邀请所有投标人代表参加。</w:t>
      </w:r>
    </w:p>
    <w:p>
      <w:pPr>
        <w:spacing w:line="360" w:lineRule="auto"/>
        <w:ind w:left="1199" w:leftChars="436" w:hanging="240" w:hangingChars="100"/>
        <w:rPr>
          <w:rFonts w:hint="eastAsia" w:ascii="黑体" w:hAnsi="黑体" w:eastAsia="黑体" w:cs="黑体"/>
          <w:bCs/>
          <w:sz w:val="24"/>
          <w:szCs w:val="24"/>
        </w:rPr>
      </w:pPr>
      <w:r>
        <w:rPr>
          <w:rFonts w:hint="eastAsia" w:ascii="黑体" w:hAnsi="黑体" w:eastAsia="黑体" w:cs="黑体"/>
          <w:color w:val="auto"/>
          <w:sz w:val="24"/>
          <w:highlight w:val="none"/>
          <w:lang w:val="en-US" w:eastAsia="zh-CN"/>
        </w:rPr>
        <w:t>21.2</w:t>
      </w:r>
      <w:r>
        <w:rPr>
          <w:rFonts w:hint="eastAsia" w:ascii="黑体" w:hAnsi="黑体" w:eastAsia="黑体" w:cs="黑体"/>
          <w:color w:val="auto"/>
          <w:sz w:val="24"/>
          <w:highlight w:val="none"/>
        </w:rPr>
        <w:t>开标时，</w:t>
      </w:r>
      <w:r>
        <w:rPr>
          <w:rFonts w:hint="eastAsia" w:ascii="黑体" w:hAnsi="黑体" w:eastAsia="黑体" w:cs="黑体"/>
          <w:color w:val="auto"/>
          <w:sz w:val="24"/>
          <w:highlight w:val="none"/>
          <w:lang w:val="en-US" w:eastAsia="zh-CN"/>
        </w:rPr>
        <w:t>由主持人宣读</w:t>
      </w:r>
      <w:r>
        <w:rPr>
          <w:rFonts w:hint="eastAsia" w:ascii="黑体" w:hAnsi="黑体" w:eastAsia="黑体" w:cs="黑体"/>
          <w:b w:val="0"/>
          <w:bCs/>
        </w:rPr>
        <w:t>招标会场纪律及要求</w:t>
      </w:r>
      <w:r>
        <w:rPr>
          <w:rFonts w:hint="eastAsia" w:ascii="黑体" w:hAnsi="黑体" w:eastAsia="黑体" w:cs="黑体"/>
          <w:b w:val="0"/>
          <w:bCs/>
          <w:lang w:eastAsia="zh-CN"/>
        </w:rPr>
        <w:t>：</w:t>
      </w:r>
      <w:r>
        <w:rPr>
          <w:rFonts w:hint="eastAsia" w:ascii="黑体" w:hAnsi="黑体" w:eastAsia="黑体" w:cs="黑体"/>
          <w:bCs/>
          <w:sz w:val="24"/>
          <w:szCs w:val="24"/>
        </w:rPr>
        <w:t>会议按照“公开、公平、公正、诚信”的原则。</w:t>
      </w:r>
    </w:p>
    <w:p>
      <w:pPr>
        <w:spacing w:line="360" w:lineRule="auto"/>
        <w:ind w:left="1199" w:leftChars="436" w:hanging="240" w:hangingChars="100"/>
        <w:rPr>
          <w:rFonts w:hint="eastAsia" w:ascii="黑体" w:hAnsi="黑体" w:eastAsia="黑体" w:cs="黑体"/>
          <w:bCs/>
          <w:sz w:val="24"/>
          <w:szCs w:val="24"/>
        </w:rPr>
      </w:pPr>
      <w:r>
        <w:rPr>
          <w:rFonts w:hint="eastAsia" w:ascii="黑体" w:hAnsi="黑体" w:eastAsia="黑体" w:cs="黑体"/>
          <w:bCs/>
          <w:sz w:val="24"/>
          <w:szCs w:val="24"/>
        </w:rPr>
        <w:t>凡没有按</w:t>
      </w:r>
      <w:r>
        <w:rPr>
          <w:rFonts w:hint="eastAsia" w:ascii="黑体" w:hAnsi="黑体" w:eastAsia="黑体" w:cs="黑体"/>
          <w:sz w:val="24"/>
          <w:szCs w:val="24"/>
        </w:rPr>
        <w:t>投标</w:t>
      </w:r>
      <w:r>
        <w:rPr>
          <w:rFonts w:hint="eastAsia" w:ascii="黑体" w:hAnsi="黑体" w:eastAsia="黑体" w:cs="黑体"/>
          <w:kern w:val="0"/>
          <w:sz w:val="24"/>
          <w:szCs w:val="24"/>
        </w:rPr>
        <w:t>报价截止时间</w:t>
      </w:r>
      <w:r>
        <w:rPr>
          <w:rFonts w:hint="eastAsia" w:ascii="黑体" w:hAnsi="黑体" w:eastAsia="黑体" w:cs="黑体"/>
          <w:bCs/>
          <w:sz w:val="24"/>
          <w:szCs w:val="24"/>
        </w:rPr>
        <w:t>准时到场的投标人、评审专家、与招标活动有关的工作人员（即监标人、采购人代表、工作人员等），一律不允许进场。</w:t>
      </w:r>
    </w:p>
    <w:p>
      <w:pPr>
        <w:ind w:left="719" w:leftChars="327" w:firstLine="240" w:firstLineChars="100"/>
        <w:rPr>
          <w:rFonts w:hint="eastAsia" w:ascii="黑体" w:hAnsi="黑体" w:eastAsia="黑体" w:cs="黑体"/>
        </w:rPr>
      </w:pPr>
      <w:r>
        <w:rPr>
          <w:rFonts w:hint="eastAsia" w:ascii="黑体" w:hAnsi="黑体" w:eastAsia="黑体" w:cs="黑体"/>
          <w:sz w:val="24"/>
          <w:szCs w:val="24"/>
        </w:rPr>
        <w:t>与会人员要关闭手机等一切通讯工具，严禁在会场大声喧哗。否则，将请你离开会场。</w:t>
      </w:r>
    </w:p>
    <w:p>
      <w:pPr>
        <w:widowControl/>
        <w:spacing w:line="360" w:lineRule="auto"/>
        <w:ind w:left="719" w:leftChars="327" w:firstLine="0" w:firstLineChars="0"/>
        <w:jc w:val="left"/>
        <w:rPr>
          <w:rFonts w:hint="eastAsia" w:ascii="黑体" w:hAnsi="黑体" w:eastAsia="黑体" w:cs="黑体"/>
          <w:b w:val="0"/>
          <w:bCs/>
          <w:sz w:val="24"/>
          <w:szCs w:val="24"/>
        </w:rPr>
      </w:pPr>
      <w:r>
        <w:rPr>
          <w:rFonts w:hint="eastAsia" w:ascii="黑体" w:hAnsi="黑体" w:eastAsia="黑体" w:cs="黑体"/>
          <w:b w:val="0"/>
          <w:bCs/>
          <w:sz w:val="24"/>
          <w:szCs w:val="24"/>
        </w:rPr>
        <w:t>投标</w:t>
      </w:r>
      <w:r>
        <w:rPr>
          <w:rFonts w:hint="eastAsia" w:ascii="黑体" w:hAnsi="黑体" w:eastAsia="黑体" w:cs="黑体"/>
          <w:b w:val="0"/>
          <w:bCs/>
          <w:kern w:val="0"/>
          <w:sz w:val="24"/>
          <w:szCs w:val="24"/>
        </w:rPr>
        <w:t>截止时间到后，</w:t>
      </w:r>
      <w:r>
        <w:rPr>
          <w:rFonts w:hint="eastAsia" w:ascii="黑体" w:hAnsi="黑体" w:eastAsia="黑体" w:cs="黑体"/>
          <w:b w:val="0"/>
          <w:bCs/>
          <w:sz w:val="24"/>
          <w:szCs w:val="24"/>
        </w:rPr>
        <w:t>不允许已到场的所有投标人二次进出，招标现场对投标方的所有投标资质及评标所需的资料证明等均不接受二次提供，且不允许与外界有任何方式的联系与沟通。否则，将直接取消其投标资格。</w:t>
      </w:r>
    </w:p>
    <w:p>
      <w:pPr>
        <w:pStyle w:val="54"/>
        <w:numPr>
          <w:ilvl w:val="0"/>
          <w:numId w:val="0"/>
        </w:numPr>
        <w:tabs>
          <w:tab w:val="left" w:pos="1585"/>
        </w:tabs>
        <w:spacing w:line="360" w:lineRule="auto"/>
        <w:ind w:left="1038" w:leftChars="0" w:right="567" w:rightChars="0"/>
        <w:jc w:val="both"/>
        <w:rPr>
          <w:rFonts w:hint="eastAsia" w:ascii="黑体" w:hAnsi="黑体" w:eastAsia="黑体" w:cs="黑体"/>
          <w:b w:val="0"/>
          <w:bCs/>
          <w:lang w:eastAsia="zh-CN"/>
        </w:rPr>
      </w:pPr>
      <w:r>
        <w:rPr>
          <w:rFonts w:hint="eastAsia" w:ascii="黑体" w:hAnsi="黑体" w:eastAsia="黑体" w:cs="黑体"/>
          <w:sz w:val="24"/>
          <w:szCs w:val="24"/>
        </w:rPr>
        <w:t>严禁投标方会议期间与评委单</w:t>
      </w:r>
      <w:r>
        <w:rPr>
          <w:rFonts w:hint="eastAsia" w:ascii="黑体" w:hAnsi="黑体" w:eastAsia="黑体" w:cs="黑体"/>
          <w:bCs/>
          <w:sz w:val="24"/>
          <w:szCs w:val="24"/>
        </w:rPr>
        <w:t>独接触和交往。</w:t>
      </w:r>
    </w:p>
    <w:p>
      <w:pPr>
        <w:pStyle w:val="54"/>
        <w:numPr>
          <w:ilvl w:val="0"/>
          <w:numId w:val="0"/>
        </w:numPr>
        <w:tabs>
          <w:tab w:val="left" w:pos="1585"/>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21.3</w:t>
      </w:r>
      <w:r>
        <w:rPr>
          <w:rFonts w:hint="eastAsia" w:ascii="黑体" w:hAnsi="黑体" w:eastAsia="黑体" w:cs="黑体"/>
          <w:color w:val="auto"/>
          <w:sz w:val="24"/>
          <w:highlight w:val="none"/>
        </w:rPr>
        <w:t>采购人或采购代理机构将对开标过程进行记录，由参加开标的各代表和相关工作人员签字确认，并存档备查。</w:t>
      </w:r>
    </w:p>
    <w:p>
      <w:pPr>
        <w:pStyle w:val="54"/>
        <w:numPr>
          <w:ilvl w:val="0"/>
          <w:numId w:val="0"/>
        </w:numPr>
        <w:tabs>
          <w:tab w:val="left" w:pos="1585"/>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21.4</w:t>
      </w:r>
      <w:r>
        <w:rPr>
          <w:rFonts w:hint="eastAsia" w:ascii="黑体" w:hAnsi="黑体" w:eastAsia="黑体" w:cs="黑体"/>
          <w:color w:val="auto"/>
          <w:sz w:val="24"/>
          <w:highlight w:val="none"/>
        </w:rPr>
        <w:t>投标人代表对开标过程和开标记录有疑义，以及认为采购人、采购代理机构相关工作人员有需要回避的情形的，应当场提出询问或者回避申请。</w:t>
      </w:r>
    </w:p>
    <w:p>
      <w:pPr>
        <w:pStyle w:val="54"/>
        <w:numPr>
          <w:ilvl w:val="0"/>
          <w:numId w:val="0"/>
        </w:numPr>
        <w:tabs>
          <w:tab w:val="left" w:pos="1585"/>
        </w:tabs>
        <w:spacing w:line="360" w:lineRule="auto"/>
        <w:ind w:left="1072"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 xml:space="preserve"> 资格审查及组建评标委员会</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22.1 </w:t>
      </w:r>
      <w:r>
        <w:rPr>
          <w:rFonts w:hint="eastAsia" w:ascii="黑体" w:hAnsi="黑体" w:eastAsia="黑体" w:cs="黑体"/>
          <w:color w:val="auto"/>
          <w:sz w:val="24"/>
          <w:szCs w:val="24"/>
          <w:highlight w:val="none"/>
        </w:rPr>
        <w:t>采购人或采购代理机构依据法律法规和招标文件中规定的内容，对投标人及其服务的资格进行审查，未通过资格审查的投标人不进入评标；通过资格审查的投标人少于不足三家的，不得评标。</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22.2 </w:t>
      </w:r>
      <w:r>
        <w:rPr>
          <w:rFonts w:hint="eastAsia" w:ascii="黑体" w:hAnsi="黑体" w:eastAsia="黑体" w:cs="黑体"/>
          <w:color w:val="auto"/>
          <w:sz w:val="24"/>
          <w:szCs w:val="24"/>
          <w:highlight w:val="none"/>
        </w:rPr>
        <w:t>采购人或采购代理机构将在开标前1个工作日至投标截止后1小时的期间内查询投标人的信用记录。投标人存在不良信用记录的，其投标将被认定为投标无效。</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22.3 </w:t>
      </w:r>
      <w:r>
        <w:rPr>
          <w:rFonts w:hint="eastAsia" w:ascii="黑体" w:hAnsi="黑体" w:eastAsia="黑体" w:cs="黑体"/>
          <w:color w:val="auto"/>
          <w:sz w:val="24"/>
          <w:szCs w:val="24"/>
          <w:highlight w:val="none"/>
        </w:rPr>
        <w:t>不良信用记录指：投标人在中国政府采购网（www.ccgp.gov.cn）被列入政府采购严重违法失信行为记录名单，或在“信用中国”网站（www.creditchina.gov.cn）被列入失信被执行人、重大税收违法案件当事人名单，裁判文书网以及存在《中华人民共和国政府采购法实施条例》第十九条规定的行政处罚记录。以联合体形式参加投标的，联合体任何成员存在以上不良信用记录的，联合体投标将被认定为投标无效.</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22.4 </w:t>
      </w:r>
      <w:r>
        <w:rPr>
          <w:rFonts w:hint="eastAsia" w:ascii="黑体" w:hAnsi="黑体" w:eastAsia="黑体" w:cs="黑体"/>
          <w:color w:val="auto"/>
          <w:sz w:val="24"/>
          <w:szCs w:val="24"/>
          <w:highlight w:val="none"/>
        </w:rPr>
        <w:t>查询及记录方式：采购人或采购代理机构经办人将查询网页打印、签字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22.5 </w:t>
      </w:r>
      <w:r>
        <w:rPr>
          <w:rFonts w:hint="eastAsia" w:ascii="黑体" w:hAnsi="黑体" w:eastAsia="黑体" w:cs="黑体"/>
          <w:color w:val="auto"/>
          <w:sz w:val="24"/>
          <w:szCs w:val="24"/>
          <w:highlight w:val="none"/>
        </w:rPr>
        <w:t>按照《中华人民共和国政府采购法》、《中华人民共和国政府采购法实施条例》及本项目本级和上级财政部门的有关规定依法组建的评标委员会，负责评标工作。</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23、</w:t>
      </w:r>
      <w:r>
        <w:rPr>
          <w:rFonts w:hint="eastAsia" w:ascii="黑体" w:hAnsi="黑体" w:eastAsia="黑体" w:cs="黑体"/>
          <w:color w:val="auto"/>
          <w:sz w:val="24"/>
          <w:highlight w:val="none"/>
        </w:rPr>
        <w:t>投标文件符合性审查与澄清</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b w:val="0"/>
          <w:bCs w:val="0"/>
          <w:color w:val="auto"/>
          <w:sz w:val="22"/>
          <w:szCs w:val="22"/>
          <w:highlight w:val="none"/>
          <w:lang w:val="en-US" w:eastAsia="zh-CN"/>
        </w:rPr>
        <w:t xml:space="preserve">23.1 </w:t>
      </w:r>
      <w:r>
        <w:rPr>
          <w:rFonts w:hint="eastAsia" w:ascii="黑体" w:hAnsi="黑体" w:eastAsia="黑体" w:cs="黑体"/>
          <w:color w:val="auto"/>
          <w:sz w:val="24"/>
          <w:szCs w:val="24"/>
          <w:highlight w:val="none"/>
        </w:rPr>
        <w:t>符合性审查是指依据招</w:t>
      </w:r>
      <w:r>
        <w:rPr>
          <w:rFonts w:hint="eastAsia" w:ascii="黑体" w:hAnsi="黑体" w:eastAsia="黑体" w:cs="黑体"/>
          <w:color w:val="auto"/>
          <w:sz w:val="24"/>
          <w:highlight w:val="none"/>
        </w:rPr>
        <w:t>标文件的规定，从投标文件的有效性和完整性对招标文件的响应程度进行审查，以确定是否对招标文件</w:t>
      </w:r>
      <w:r>
        <w:rPr>
          <w:rFonts w:hint="eastAsia" w:ascii="黑体" w:hAnsi="黑体" w:eastAsia="黑体" w:cs="黑体"/>
          <w:color w:val="auto"/>
          <w:sz w:val="24"/>
          <w:szCs w:val="24"/>
          <w:highlight w:val="none"/>
        </w:rPr>
        <w:t>的实质性要求做出响应。</w:t>
      </w:r>
    </w:p>
    <w:p>
      <w:pPr>
        <w:pStyle w:val="54"/>
        <w:numPr>
          <w:ilvl w:val="0"/>
          <w:numId w:val="0"/>
        </w:numPr>
        <w:tabs>
          <w:tab w:val="left" w:pos="1515"/>
        </w:tabs>
        <w:spacing w:line="360" w:lineRule="auto"/>
        <w:ind w:left="1008" w:leftChars="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 xml:space="preserve">23.2 </w:t>
      </w:r>
      <w:r>
        <w:rPr>
          <w:rFonts w:hint="eastAsia" w:ascii="黑体" w:hAnsi="黑体" w:eastAsia="黑体" w:cs="黑体"/>
          <w:color w:val="auto"/>
          <w:sz w:val="24"/>
          <w:highlight w:val="none"/>
        </w:rPr>
        <w:t>投标文件的澄清：</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23.2.1 </w:t>
      </w:r>
      <w:r>
        <w:rPr>
          <w:rFonts w:hint="eastAsia" w:ascii="黑体" w:hAnsi="黑体" w:eastAsia="黑体" w:cs="黑体"/>
          <w:color w:val="auto"/>
          <w:sz w:val="24"/>
          <w:szCs w:val="24"/>
          <w:highlight w:val="none"/>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允许下，并在规定的时间内以书面方式进行，并不得超出投标文件范围或者改变投标文件的实质性内容。</w:t>
      </w:r>
    </w:p>
    <w:p>
      <w:pPr>
        <w:pStyle w:val="54"/>
        <w:numPr>
          <w:ilvl w:val="0"/>
          <w:numId w:val="0"/>
        </w:numPr>
        <w:tabs>
          <w:tab w:val="left" w:pos="1698"/>
        </w:tabs>
        <w:spacing w:line="360" w:lineRule="auto"/>
        <w:ind w:left="1008" w:lef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23.2.2 </w:t>
      </w:r>
      <w:r>
        <w:rPr>
          <w:rFonts w:hint="eastAsia" w:ascii="黑体" w:hAnsi="黑体" w:eastAsia="黑体" w:cs="黑体"/>
          <w:color w:val="auto"/>
          <w:spacing w:val="-2"/>
          <w:sz w:val="24"/>
          <w:highlight w:val="none"/>
        </w:rPr>
        <w:t>投标人的的澄清、说明或补正将作为投标文件的一部分。</w:t>
      </w:r>
    </w:p>
    <w:p>
      <w:pPr>
        <w:pStyle w:val="54"/>
        <w:numPr>
          <w:ilvl w:val="0"/>
          <w:numId w:val="0"/>
        </w:numPr>
        <w:tabs>
          <w:tab w:val="left" w:pos="1698"/>
        </w:tabs>
        <w:spacing w:line="360" w:lineRule="auto"/>
        <w:ind w:left="1008" w:leftChars="0"/>
        <w:jc w:val="both"/>
        <w:rPr>
          <w:rFonts w:hint="eastAsia" w:ascii="黑体" w:hAnsi="黑体" w:eastAsia="黑体" w:cs="黑体"/>
          <w:color w:val="auto"/>
          <w:spacing w:val="-2"/>
          <w:sz w:val="24"/>
          <w:szCs w:val="24"/>
          <w:highlight w:val="none"/>
        </w:rPr>
      </w:pPr>
      <w:r>
        <w:rPr>
          <w:rFonts w:hint="eastAsia" w:ascii="黑体" w:hAnsi="黑体" w:eastAsia="黑体" w:cs="黑体"/>
          <w:color w:val="auto"/>
          <w:sz w:val="24"/>
          <w:szCs w:val="24"/>
          <w:highlight w:val="none"/>
          <w:lang w:val="en-US" w:eastAsia="zh-CN"/>
        </w:rPr>
        <w:t xml:space="preserve">23.3 </w:t>
      </w:r>
      <w:r>
        <w:rPr>
          <w:rFonts w:hint="eastAsia" w:ascii="黑体" w:hAnsi="黑体" w:eastAsia="黑体" w:cs="黑体"/>
          <w:color w:val="auto"/>
          <w:sz w:val="24"/>
          <w:szCs w:val="24"/>
          <w:highlight w:val="none"/>
        </w:rPr>
        <w:t>投标文件报价出现前后不一致的，按照下列规定修正</w:t>
      </w:r>
      <w:r>
        <w:rPr>
          <w:rFonts w:hint="eastAsia" w:ascii="黑体" w:hAnsi="黑体" w:eastAsia="黑体" w:cs="黑体"/>
          <w:color w:val="auto"/>
          <w:spacing w:val="-2"/>
          <w:sz w:val="24"/>
          <w:szCs w:val="24"/>
          <w:highlight w:val="none"/>
        </w:rPr>
        <w:t>：</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23.3.1 </w:t>
      </w:r>
      <w:r>
        <w:rPr>
          <w:rFonts w:hint="eastAsia" w:ascii="黑体" w:hAnsi="黑体" w:eastAsia="黑体" w:cs="黑体"/>
          <w:color w:val="auto"/>
          <w:spacing w:val="-2"/>
          <w:sz w:val="24"/>
          <w:highlight w:val="none"/>
        </w:rPr>
        <w:t>投标文件中开标一览表（报价表）内容与投标文件中相应内容不一致的，以正本（报价表）为准；</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23.3.2 </w:t>
      </w:r>
      <w:r>
        <w:rPr>
          <w:rFonts w:hint="eastAsia" w:ascii="黑体" w:hAnsi="黑体" w:eastAsia="黑体" w:cs="黑体"/>
          <w:color w:val="auto"/>
          <w:spacing w:val="-2"/>
          <w:sz w:val="24"/>
          <w:highlight w:val="none"/>
        </w:rPr>
        <w:t>大写金额和小写金额不一致的，以大写金额为准；</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23.3.3 </w:t>
      </w:r>
      <w:r>
        <w:rPr>
          <w:rFonts w:hint="eastAsia" w:ascii="黑体" w:hAnsi="黑体" w:eastAsia="黑体" w:cs="黑体"/>
          <w:color w:val="auto"/>
          <w:spacing w:val="-2"/>
          <w:sz w:val="24"/>
          <w:highlight w:val="none"/>
        </w:rPr>
        <w:t>单价金额小数点或者百分比有明显错位的，以正本总价为准，并修改单价；</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23.4 </w:t>
      </w:r>
      <w:r>
        <w:rPr>
          <w:rFonts w:hint="eastAsia" w:ascii="黑体" w:hAnsi="黑体" w:eastAsia="黑体" w:cs="黑体"/>
          <w:color w:val="auto"/>
          <w:spacing w:val="-2"/>
          <w:sz w:val="24"/>
          <w:highlight w:val="none"/>
        </w:rPr>
        <w:t>总价金额与按单价汇总金额不一致的，以单价金额计算结果为准。同时出现两种以上不一致的，按照前款规定的顺序修正。修正后的报价经投标人确认后产生约束力，投标人不确认的，其投标将被认定为投标无效。对不同文字文本投标文件的解释发生异议的，以中文文本为准。</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23.4 </w:t>
      </w:r>
      <w:r>
        <w:rPr>
          <w:rFonts w:hint="eastAsia" w:ascii="黑体" w:hAnsi="黑体" w:eastAsia="黑体" w:cs="黑体"/>
          <w:color w:val="auto"/>
          <w:spacing w:val="-2"/>
          <w:sz w:val="24"/>
          <w:highlight w:val="none"/>
        </w:rPr>
        <w:t>如一个分包内只有一种产品，不同投标人所投产品为同一品牌的，按如下方式处理：</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23.4.1 </w:t>
      </w:r>
      <w:r>
        <w:rPr>
          <w:rFonts w:hint="eastAsia" w:ascii="黑体" w:hAnsi="黑体" w:eastAsia="黑体" w:cs="黑体"/>
          <w:color w:val="auto"/>
          <w:spacing w:val="-2"/>
          <w:sz w:val="24"/>
          <w:highlight w:val="none"/>
        </w:rPr>
        <w:t>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23.4.2 </w:t>
      </w:r>
      <w:r>
        <w:rPr>
          <w:rFonts w:hint="eastAsia" w:ascii="黑体" w:hAnsi="黑体" w:eastAsia="黑体" w:cs="黑体"/>
          <w:color w:val="auto"/>
          <w:spacing w:val="-2"/>
          <w:sz w:val="24"/>
          <w:highlight w:val="none"/>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23.5 </w:t>
      </w:r>
      <w:r>
        <w:rPr>
          <w:rFonts w:hint="eastAsia" w:ascii="黑体" w:hAnsi="黑体" w:eastAsia="黑体" w:cs="黑体"/>
          <w:color w:val="auto"/>
          <w:spacing w:val="-2"/>
          <w:sz w:val="24"/>
          <w:highlight w:val="none"/>
        </w:rPr>
        <w:t>如一个分包内包含多种产品的，采购人或采购代理机构将在投标人须知资料表中载明核心产品。</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23.6 </w:t>
      </w:r>
      <w:r>
        <w:rPr>
          <w:rFonts w:hint="eastAsia" w:ascii="黑体" w:hAnsi="黑体" w:eastAsia="黑体" w:cs="黑体"/>
          <w:color w:val="auto"/>
          <w:spacing w:val="-2"/>
          <w:sz w:val="24"/>
          <w:highlight w:val="none"/>
        </w:rPr>
        <w:t>投标人所投产品如被列入财政部与国家主管部门颁发的节能产品目录或环境标志产品目录或无线局域网产品目录，应提供相关证明，在评标时予以优先采购，具体优先采购办法见第四章评标方法和标准。如采购人所采购产品为政府强制采购的节能产品，投标人所投产品的品牌及型号必须为清单中有效期内产品并提供证明文件，否则其投标将被认定为投标无效。</w:t>
      </w:r>
      <w:bookmarkStart w:id="40" w:name="_Toc515647782"/>
      <w:bookmarkStart w:id="41" w:name="_Toc6364"/>
      <w:bookmarkStart w:id="42" w:name="_Toc18529"/>
      <w:bookmarkStart w:id="43" w:name="_Toc9469"/>
    </w:p>
    <w:p>
      <w:pPr>
        <w:pStyle w:val="54"/>
        <w:numPr>
          <w:ilvl w:val="0"/>
          <w:numId w:val="0"/>
        </w:numPr>
        <w:tabs>
          <w:tab w:val="left" w:pos="1698"/>
        </w:tabs>
        <w:spacing w:line="360" w:lineRule="auto"/>
        <w:ind w:left="1038" w:leftChars="0" w:right="567" w:rightChars="0"/>
        <w:rPr>
          <w:rFonts w:hint="eastAsia" w:ascii="黑体" w:hAnsi="黑体" w:eastAsia="黑体" w:cs="黑体"/>
          <w:color w:val="auto"/>
          <w:spacing w:val="-2"/>
          <w:sz w:val="24"/>
          <w:highlight w:val="none"/>
        </w:rPr>
      </w:pPr>
      <w:r>
        <w:rPr>
          <w:rFonts w:hint="eastAsia" w:ascii="黑体" w:hAnsi="黑体" w:eastAsia="黑体" w:cs="黑体"/>
          <w:color w:val="auto"/>
          <w:sz w:val="24"/>
          <w:highlight w:val="none"/>
          <w:lang w:val="en-US" w:eastAsia="zh-CN"/>
        </w:rPr>
        <w:t>24、</w:t>
      </w:r>
      <w:r>
        <w:rPr>
          <w:rFonts w:hint="eastAsia" w:ascii="黑体" w:hAnsi="黑体" w:eastAsia="黑体" w:cs="黑体"/>
          <w:color w:val="auto"/>
          <w:sz w:val="24"/>
          <w:highlight w:val="none"/>
        </w:rPr>
        <w:t>投标偏离</w:t>
      </w:r>
      <w:bookmarkEnd w:id="40"/>
      <w:bookmarkEnd w:id="41"/>
      <w:bookmarkEnd w:id="42"/>
      <w:bookmarkEnd w:id="43"/>
    </w:p>
    <w:p>
      <w:pPr>
        <w:spacing w:line="360" w:lineRule="auto"/>
        <w:ind w:left="848" w:leftChars="99" w:hanging="630" w:hangingChars="267"/>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rPr>
        <w:t xml:space="preserve">      </w:t>
      </w:r>
      <w:r>
        <w:rPr>
          <w:rFonts w:hint="eastAsia" w:ascii="黑体" w:hAnsi="黑体" w:eastAsia="黑体" w:cs="黑体"/>
          <w:color w:val="auto"/>
          <w:spacing w:val="-2"/>
          <w:sz w:val="24"/>
          <w:highlight w:val="none"/>
          <w:lang w:val="en-US" w:eastAsia="zh-CN"/>
        </w:rPr>
        <w:t xml:space="preserve">      </w:t>
      </w:r>
      <w:r>
        <w:rPr>
          <w:rFonts w:hint="eastAsia" w:ascii="黑体" w:hAnsi="黑体" w:eastAsia="黑体" w:cs="黑体"/>
          <w:color w:val="auto"/>
          <w:spacing w:val="-2"/>
          <w:sz w:val="24"/>
          <w:highlight w:val="none"/>
        </w:rPr>
        <w:t>评标委员会不接受投标文件中实质性偏离的不正规或不一致内容。</w:t>
      </w:r>
      <w:bookmarkStart w:id="44" w:name="_Toc515647783"/>
      <w:bookmarkStart w:id="45" w:name="_Toc23936"/>
      <w:bookmarkStart w:id="46" w:name="_Toc6092"/>
      <w:bookmarkStart w:id="47" w:name="_Toc4950"/>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25、</w:t>
      </w:r>
      <w:r>
        <w:rPr>
          <w:rFonts w:hint="eastAsia" w:ascii="黑体" w:hAnsi="黑体" w:eastAsia="黑体" w:cs="黑体"/>
          <w:color w:val="auto"/>
          <w:sz w:val="24"/>
          <w:highlight w:val="none"/>
        </w:rPr>
        <w:t>投标</w:t>
      </w:r>
      <w:bookmarkEnd w:id="44"/>
      <w:r>
        <w:rPr>
          <w:rFonts w:hint="eastAsia" w:ascii="黑体" w:hAnsi="黑体" w:eastAsia="黑体" w:cs="黑体"/>
          <w:color w:val="auto"/>
          <w:sz w:val="24"/>
          <w:highlight w:val="none"/>
        </w:rPr>
        <w:t>无效</w:t>
      </w:r>
      <w:bookmarkEnd w:id="45"/>
      <w:bookmarkEnd w:id="46"/>
      <w:bookmarkEnd w:id="47"/>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25.1</w:t>
      </w:r>
      <w:r>
        <w:rPr>
          <w:rFonts w:hint="eastAsia" w:ascii="黑体" w:hAnsi="黑体" w:eastAsia="黑体" w:cs="黑体"/>
          <w:color w:val="auto"/>
          <w:spacing w:val="-2"/>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25.2</w:t>
      </w:r>
      <w:r>
        <w:rPr>
          <w:rFonts w:hint="eastAsia" w:ascii="黑体" w:hAnsi="黑体" w:eastAsia="黑体" w:cs="黑体"/>
          <w:color w:val="auto"/>
          <w:spacing w:val="-2"/>
          <w:sz w:val="24"/>
          <w:highlight w:val="none"/>
        </w:rPr>
        <w:t>评标委员会决定投标的响应性只根据招标文件要求、投标文件内容及财政主管部门指定相关信息发布媒体。</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w:t>
      </w:r>
      <w:r>
        <w:rPr>
          <w:rFonts w:hint="eastAsia" w:ascii="黑体" w:hAnsi="黑体" w:eastAsia="黑体" w:cs="黑体"/>
          <w:color w:val="auto"/>
          <w:spacing w:val="-2"/>
          <w:sz w:val="24"/>
          <w:highlight w:val="none"/>
        </w:rPr>
        <w:t>如发现下列情况之一的，其投标将被认定为投标无效：（以下情形应当在招标文件中规定，并以醒目的方式标明）</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25.3.1</w:t>
      </w:r>
      <w:r>
        <w:rPr>
          <w:rFonts w:hint="eastAsia" w:ascii="黑体" w:hAnsi="黑体" w:eastAsia="黑体" w:cs="黑体"/>
          <w:color w:val="auto"/>
          <w:spacing w:val="-2"/>
          <w:sz w:val="24"/>
          <w:highlight w:val="none"/>
        </w:rPr>
        <w:t>未按招标文件规定的形式和金额提交投标保证金的；</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25.3.2</w:t>
      </w:r>
      <w:r>
        <w:rPr>
          <w:rFonts w:hint="eastAsia" w:ascii="黑体" w:hAnsi="黑体" w:eastAsia="黑体" w:cs="黑体"/>
          <w:color w:val="auto"/>
          <w:spacing w:val="-2"/>
          <w:sz w:val="24"/>
          <w:highlight w:val="none"/>
        </w:rPr>
        <w:t>未按照招标文件规定要求签署、盖章的；</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25.3.3</w:t>
      </w:r>
      <w:r>
        <w:rPr>
          <w:rFonts w:hint="eastAsia" w:ascii="黑体" w:hAnsi="黑体" w:eastAsia="黑体" w:cs="黑体"/>
          <w:color w:val="auto"/>
          <w:spacing w:val="-2"/>
          <w:sz w:val="24"/>
          <w:highlight w:val="none"/>
        </w:rPr>
        <w:t>未满足招标文件中技术条款的实质性要求；</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25.3.4</w:t>
      </w:r>
      <w:r>
        <w:rPr>
          <w:rFonts w:hint="eastAsia" w:ascii="黑体" w:hAnsi="黑体" w:eastAsia="黑体" w:cs="黑体"/>
          <w:color w:val="auto"/>
          <w:spacing w:val="-2"/>
          <w:sz w:val="24"/>
          <w:highlight w:val="none"/>
        </w:rPr>
        <w:t>与其他投标人串通投标，或者与招标人串通投标；</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z w:val="24"/>
          <w:szCs w:val="24"/>
          <w:highlight w:val="none"/>
          <w:lang w:val="en-US" w:eastAsia="zh-CN"/>
        </w:rPr>
        <w:t>25.3.5</w:t>
      </w:r>
      <w:r>
        <w:rPr>
          <w:rFonts w:hint="eastAsia" w:ascii="黑体" w:hAnsi="黑体" w:eastAsia="黑体" w:cs="黑体"/>
          <w:color w:val="auto"/>
          <w:sz w:val="24"/>
          <w:szCs w:val="24"/>
          <w:highlight w:val="none"/>
        </w:rPr>
        <w:t>属</w:t>
      </w:r>
      <w:r>
        <w:rPr>
          <w:rFonts w:hint="eastAsia" w:ascii="黑体" w:hAnsi="黑体" w:eastAsia="黑体" w:cs="黑体"/>
          <w:color w:val="auto"/>
          <w:spacing w:val="-2"/>
          <w:sz w:val="24"/>
          <w:highlight w:val="none"/>
        </w:rPr>
        <w:t>于招标文件规定的其他投标无效情形；</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25.3.6</w:t>
      </w:r>
      <w:r>
        <w:rPr>
          <w:rFonts w:hint="eastAsia" w:ascii="黑体" w:hAnsi="黑体" w:eastAsia="黑体" w:cs="黑体"/>
          <w:color w:val="auto"/>
          <w:spacing w:val="-2"/>
          <w:sz w:val="24"/>
          <w:highlight w:val="none"/>
        </w:rPr>
        <w:t>评标委员会认为投标人的报价明显低于其他通过符合性检查投标人的报价，有可能影响履约的，且投标人未按照规定证明其报价合理性的；</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25.3.7</w:t>
      </w:r>
      <w:r>
        <w:rPr>
          <w:rFonts w:hint="eastAsia" w:ascii="黑体" w:hAnsi="黑体" w:eastAsia="黑体" w:cs="黑体"/>
          <w:color w:val="auto"/>
          <w:spacing w:val="-2"/>
          <w:sz w:val="24"/>
          <w:highlight w:val="none"/>
        </w:rPr>
        <w:t>投标文件含有采购人不能接受的附加条件的；</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25.3.8</w:t>
      </w:r>
      <w:r>
        <w:rPr>
          <w:rFonts w:hint="eastAsia" w:ascii="黑体" w:hAnsi="黑体" w:eastAsia="黑体" w:cs="黑体"/>
          <w:color w:val="auto"/>
          <w:spacing w:val="-2"/>
          <w:sz w:val="24"/>
          <w:highlight w:val="none"/>
        </w:rPr>
        <w:t>不符合法规和招标文件中规定的其他实质性要求的。</w:t>
      </w:r>
      <w:bookmarkStart w:id="48" w:name="_Toc515647784"/>
      <w:bookmarkStart w:id="49" w:name="_Toc8521"/>
      <w:bookmarkStart w:id="50" w:name="_Toc13652"/>
      <w:bookmarkStart w:id="51" w:name="_Toc22941"/>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26、</w:t>
      </w:r>
      <w:r>
        <w:rPr>
          <w:rFonts w:hint="eastAsia" w:ascii="黑体" w:hAnsi="黑体" w:eastAsia="黑体" w:cs="黑体"/>
          <w:color w:val="auto"/>
          <w:sz w:val="24"/>
          <w:highlight w:val="none"/>
        </w:rPr>
        <w:t>比较与评价</w:t>
      </w:r>
      <w:bookmarkEnd w:id="48"/>
      <w:bookmarkEnd w:id="49"/>
      <w:bookmarkEnd w:id="50"/>
      <w:bookmarkEnd w:id="51"/>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26.1</w:t>
      </w:r>
      <w:r>
        <w:rPr>
          <w:rFonts w:hint="eastAsia" w:ascii="黑体" w:hAnsi="黑体" w:eastAsia="黑体" w:cs="黑体"/>
          <w:color w:val="auto"/>
          <w:spacing w:val="-2"/>
          <w:sz w:val="24"/>
          <w:highlight w:val="none"/>
        </w:rPr>
        <w:t>经符合性审查合格的投标文件，评标委员会将根据招标文件确定的评标方法和标准，对其技术部分和商务部分作进一步的比较和评价。</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26.2</w:t>
      </w:r>
      <w:r>
        <w:rPr>
          <w:rFonts w:hint="eastAsia" w:ascii="黑体" w:hAnsi="黑体" w:eastAsia="黑体" w:cs="黑体"/>
          <w:color w:val="auto"/>
          <w:spacing w:val="-2"/>
          <w:sz w:val="24"/>
          <w:highlight w:val="none"/>
        </w:rPr>
        <w:t>评标严格按照招标文件的要求和条件进行。根据实际情况，在投标人须知资料表中规定采用下列一种评标方法，详细评标标准见招标文件第四章：</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26.3</w:t>
      </w:r>
      <w:r>
        <w:rPr>
          <w:rFonts w:hint="eastAsia" w:ascii="黑体" w:hAnsi="黑体" w:eastAsia="黑体" w:cs="黑体"/>
          <w:color w:val="auto"/>
          <w:spacing w:val="-2"/>
          <w:sz w:val="24"/>
          <w:highlight w:val="none"/>
        </w:rPr>
        <w:t>最低评标价法，是指投标文件满足招标文件全部实质性要求，且投标报价最低的投标人为中标候选人的评标方法。</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26.4</w:t>
      </w:r>
      <w:r>
        <w:rPr>
          <w:rFonts w:hint="eastAsia" w:ascii="黑体" w:hAnsi="黑体" w:eastAsia="黑体" w:cs="黑体"/>
          <w:color w:val="auto"/>
          <w:spacing w:val="-2"/>
          <w:sz w:val="24"/>
          <w:highlight w:val="none"/>
        </w:rPr>
        <w:t>综合评分法，是指投标文件满足招标文件全部实质性要求，且按照评审因素的量化指标评审得分最高的投标人为中标候选人的评标方法。</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26.5</w:t>
      </w:r>
      <w:r>
        <w:rPr>
          <w:rFonts w:hint="eastAsia" w:ascii="黑体" w:hAnsi="黑体" w:eastAsia="黑体" w:cs="黑体"/>
          <w:color w:val="auto"/>
          <w:spacing w:val="-2"/>
          <w:sz w:val="24"/>
          <w:highlight w:val="none"/>
        </w:rPr>
        <w:t>根据《政府采购促进中小企业发展暂行办法》（财库[2011]181号）、《财政部司法部关于政府采购支持监狱企业发展有关问题的通知》（财库〔2014〕68号）和《三部门联合发布关于促进残疾人就业政府采购政策的通知》（</w:t>
      </w:r>
      <w:bookmarkStart w:id="52" w:name="sendNo"/>
      <w:r>
        <w:rPr>
          <w:rFonts w:hint="eastAsia" w:ascii="黑体" w:hAnsi="黑体" w:eastAsia="黑体" w:cs="黑体"/>
          <w:color w:val="auto"/>
          <w:spacing w:val="-2"/>
          <w:sz w:val="24"/>
          <w:highlight w:val="none"/>
        </w:rPr>
        <w:t>财库〔</w:t>
      </w:r>
      <w:bookmarkEnd w:id="52"/>
      <w:r>
        <w:rPr>
          <w:rFonts w:hint="eastAsia" w:ascii="黑体" w:hAnsi="黑体" w:eastAsia="黑体" w:cs="黑体"/>
          <w:color w:val="auto"/>
          <w:spacing w:val="-2"/>
          <w:sz w:val="24"/>
          <w:highlight w:val="none"/>
        </w:rPr>
        <w:t>2017〕141号）的规定，对满足价格扣除条件且在投标文件中提交了《投标人企业类型声明函》或省级以上监狱管理局、戒毒管理局（含新疆生产建设兵团）出具的属于监狱企业的证明文件的投标人，其投标报价扣除6-10%后参与评审。</w:t>
      </w:r>
      <w:bookmarkStart w:id="53" w:name="_Toc20227"/>
      <w:bookmarkStart w:id="54" w:name="_Toc9378"/>
      <w:bookmarkStart w:id="55" w:name="_Toc31728"/>
      <w:bookmarkStart w:id="56" w:name="_Toc515647785"/>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z w:val="24"/>
          <w:highlight w:val="none"/>
          <w:lang w:val="en-US" w:eastAsia="zh-CN"/>
        </w:rPr>
        <w:t>27</w:t>
      </w:r>
      <w:r>
        <w:rPr>
          <w:rFonts w:hint="eastAsia" w:ascii="黑体" w:hAnsi="黑体" w:eastAsia="黑体" w:cs="黑体"/>
          <w:color w:val="auto"/>
          <w:sz w:val="24"/>
          <w:highlight w:val="none"/>
        </w:rPr>
        <w:t>废标</w:t>
      </w:r>
      <w:bookmarkEnd w:id="53"/>
      <w:bookmarkEnd w:id="54"/>
      <w:bookmarkEnd w:id="55"/>
      <w:bookmarkEnd w:id="56"/>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w:t>
      </w:r>
      <w:r>
        <w:rPr>
          <w:rFonts w:hint="eastAsia" w:ascii="黑体" w:hAnsi="黑体" w:eastAsia="黑体" w:cs="黑体"/>
          <w:color w:val="auto"/>
          <w:spacing w:val="-2"/>
          <w:sz w:val="24"/>
          <w:highlight w:val="none"/>
        </w:rPr>
        <w:t>出现</w:t>
      </w:r>
      <w:r>
        <w:rPr>
          <w:rFonts w:hint="eastAsia" w:ascii="黑体" w:hAnsi="黑体" w:eastAsia="黑体" w:cs="黑体"/>
          <w:color w:val="auto"/>
          <w:highlight w:val="none"/>
        </w:rPr>
        <w:t>下列</w:t>
      </w:r>
      <w:r>
        <w:rPr>
          <w:rFonts w:hint="eastAsia" w:ascii="黑体" w:hAnsi="黑体" w:eastAsia="黑体" w:cs="黑体"/>
          <w:color w:val="auto"/>
          <w:spacing w:val="-2"/>
          <w:sz w:val="24"/>
          <w:highlight w:val="none"/>
        </w:rPr>
        <w:t>情形之一，将导致项目废标：</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27.1.1</w:t>
      </w:r>
      <w:r>
        <w:rPr>
          <w:rFonts w:hint="eastAsia" w:ascii="黑体" w:hAnsi="黑体" w:eastAsia="黑体" w:cs="黑体"/>
          <w:color w:val="auto"/>
          <w:spacing w:val="-2"/>
          <w:sz w:val="24"/>
          <w:highlight w:val="none"/>
        </w:rPr>
        <w:t>符合专业条件的供应商或者对招标文件做实质性响应的供应商不足三家；</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27.1.2</w:t>
      </w:r>
      <w:r>
        <w:rPr>
          <w:rFonts w:hint="eastAsia" w:ascii="黑体" w:hAnsi="黑体" w:eastAsia="黑体" w:cs="黑体"/>
          <w:color w:val="auto"/>
          <w:spacing w:val="-2"/>
          <w:sz w:val="24"/>
          <w:highlight w:val="none"/>
        </w:rPr>
        <w:t>出现影响采购公正的违法、违规行为的；</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27.1.3</w:t>
      </w:r>
      <w:r>
        <w:rPr>
          <w:rFonts w:hint="eastAsia" w:ascii="黑体" w:hAnsi="黑体" w:eastAsia="黑体" w:cs="黑体"/>
          <w:color w:val="auto"/>
          <w:spacing w:val="-2"/>
          <w:sz w:val="24"/>
          <w:highlight w:val="none"/>
        </w:rPr>
        <w:t>投标人的报价均超过了采购预算，采购人不能支付的；</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27.1.4</w:t>
      </w:r>
      <w:r>
        <w:rPr>
          <w:rFonts w:hint="eastAsia" w:ascii="黑体" w:hAnsi="黑体" w:eastAsia="黑体" w:cs="黑体"/>
          <w:color w:val="auto"/>
          <w:spacing w:val="-2"/>
          <w:sz w:val="24"/>
          <w:highlight w:val="none"/>
        </w:rPr>
        <w:t>因重大变故，采购任务取消的。</w:t>
      </w:r>
      <w:bookmarkStart w:id="57" w:name="_Toc24972"/>
      <w:bookmarkStart w:id="58" w:name="_Toc515647786"/>
      <w:bookmarkStart w:id="59" w:name="_Toc11175"/>
      <w:bookmarkStart w:id="60" w:name="_Toc31289"/>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z w:val="24"/>
          <w:highlight w:val="none"/>
          <w:lang w:val="en-US" w:eastAsia="zh-CN"/>
        </w:rPr>
        <w:t xml:space="preserve">28  </w:t>
      </w:r>
      <w:r>
        <w:rPr>
          <w:rFonts w:hint="eastAsia" w:ascii="黑体" w:hAnsi="黑体" w:eastAsia="黑体" w:cs="黑体"/>
          <w:color w:val="auto"/>
          <w:sz w:val="24"/>
          <w:highlight w:val="none"/>
        </w:rPr>
        <w:t>保密原则</w:t>
      </w:r>
      <w:bookmarkEnd w:id="57"/>
      <w:bookmarkEnd w:id="58"/>
      <w:bookmarkEnd w:id="59"/>
      <w:bookmarkEnd w:id="60"/>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28.1</w:t>
      </w:r>
      <w:r>
        <w:rPr>
          <w:rFonts w:hint="eastAsia" w:ascii="黑体" w:hAnsi="黑体" w:eastAsia="黑体" w:cs="黑体"/>
          <w:color w:val="auto"/>
          <w:spacing w:val="-2"/>
          <w:sz w:val="24"/>
          <w:highlight w:val="none"/>
        </w:rPr>
        <w:t>评标将在严格保密的情况下进行;</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28.2</w:t>
      </w:r>
      <w:r>
        <w:rPr>
          <w:rFonts w:hint="eastAsia" w:ascii="黑体" w:hAnsi="黑体" w:eastAsia="黑体" w:cs="黑体"/>
          <w:color w:val="auto"/>
          <w:spacing w:val="-2"/>
          <w:sz w:val="24"/>
          <w:highlight w:val="none"/>
        </w:rPr>
        <w:t>政府采购评审专家应当遵守评审工作纪律，不得泄露评审文件、评审情况和评审中获悉的商业秘密。</w:t>
      </w:r>
    </w:p>
    <w:p>
      <w:pPr>
        <w:pStyle w:val="6"/>
        <w:spacing w:before="203" w:line="360" w:lineRule="auto"/>
        <w:ind w:right="84"/>
        <w:rPr>
          <w:rFonts w:hint="eastAsia" w:ascii="黑体" w:hAnsi="黑体" w:eastAsia="黑体" w:cs="黑体"/>
          <w:color w:val="auto"/>
          <w:highlight w:val="none"/>
          <w:lang w:val="en-US" w:eastAsia="zh-CN"/>
        </w:rPr>
      </w:pPr>
    </w:p>
    <w:p>
      <w:pP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br w:type="page"/>
      </w:r>
    </w:p>
    <w:p>
      <w:pPr>
        <w:pStyle w:val="6"/>
        <w:spacing w:before="203" w:line="360" w:lineRule="auto"/>
        <w:ind w:right="84"/>
        <w:rPr>
          <w:rFonts w:hint="eastAsia" w:ascii="黑体" w:hAnsi="黑体" w:eastAsia="黑体" w:cs="黑体"/>
          <w:color w:val="auto"/>
          <w:highlight w:val="none"/>
        </w:rPr>
      </w:pPr>
      <w:r>
        <w:rPr>
          <w:rFonts w:hint="eastAsia" w:ascii="黑体" w:hAnsi="黑体" w:eastAsia="黑体" w:cs="黑体"/>
          <w:b/>
          <w:bCs/>
          <w:color w:val="auto"/>
          <w:sz w:val="36"/>
          <w:szCs w:val="36"/>
          <w:highlight w:val="none"/>
          <w:lang w:val="en-US" w:eastAsia="zh-CN"/>
        </w:rPr>
        <w:t>五</w:t>
      </w:r>
      <w:r>
        <w:rPr>
          <w:rFonts w:hint="eastAsia" w:ascii="黑体" w:hAnsi="黑体" w:eastAsia="黑体" w:cs="黑体"/>
          <w:b/>
          <w:bCs/>
          <w:color w:val="auto"/>
          <w:sz w:val="36"/>
          <w:szCs w:val="36"/>
          <w:highlight w:val="none"/>
        </w:rPr>
        <w:t>．定标与签订合同</w:t>
      </w:r>
    </w:p>
    <w:p>
      <w:pPr>
        <w:spacing w:before="231" w:line="360" w:lineRule="auto"/>
        <w:ind w:left="1001"/>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29</w:t>
      </w:r>
      <w:r>
        <w:rPr>
          <w:rFonts w:hint="eastAsia" w:ascii="黑体" w:hAnsi="黑体" w:eastAsia="黑体" w:cs="黑体"/>
          <w:color w:val="auto"/>
          <w:sz w:val="24"/>
          <w:highlight w:val="none"/>
        </w:rPr>
        <w:t>.定标</w:t>
      </w:r>
    </w:p>
    <w:p>
      <w:pPr>
        <w:pStyle w:val="54"/>
        <w:numPr>
          <w:ilvl w:val="0"/>
          <w:numId w:val="0"/>
        </w:numPr>
        <w:tabs>
          <w:tab w:val="left" w:pos="1539"/>
        </w:tabs>
        <w:spacing w:before="7"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29.1</w:t>
      </w:r>
      <w:r>
        <w:rPr>
          <w:rFonts w:hint="eastAsia" w:ascii="黑体" w:hAnsi="黑体" w:eastAsia="黑体" w:cs="黑体"/>
          <w:color w:val="auto"/>
          <w:sz w:val="24"/>
          <w:highlight w:val="none"/>
        </w:rPr>
        <w:t>投标有效性评审后，评标委员会应当按招标文件规定的标准和方法提出独立评审意见，推荐中标候选供应商。</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29.2</w:t>
      </w:r>
      <w:r>
        <w:rPr>
          <w:rFonts w:hint="eastAsia" w:ascii="黑体" w:hAnsi="黑体" w:eastAsia="黑体" w:cs="黑体"/>
          <w:color w:val="auto"/>
          <w:sz w:val="24"/>
          <w:highlight w:val="none"/>
        </w:rPr>
        <w:t>如评标委员会认为有必要，首先对中标候选供应商就投标文件所提供的内容是否符合招标文件的要求进行资格后审。资格后审视为本项目采购活动的延续，以书面报告作为最终审查的结果。</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29.3</w:t>
      </w:r>
      <w:r>
        <w:rPr>
          <w:rFonts w:hint="eastAsia" w:ascii="黑体" w:hAnsi="黑体" w:eastAsia="黑体" w:cs="黑体"/>
          <w:color w:val="auto"/>
          <w:sz w:val="24"/>
          <w:highlight w:val="none"/>
        </w:rPr>
        <w:t>如果确定中标候选供应商无法履行合同，将按排名依次对其余中标候选供应商进</w:t>
      </w:r>
      <w:r>
        <w:rPr>
          <w:rFonts w:hint="eastAsia" w:ascii="黑体" w:hAnsi="黑体" w:eastAsia="黑体" w:cs="黑体"/>
          <w:color w:val="auto"/>
          <w:sz w:val="24"/>
          <w:szCs w:val="24"/>
          <w:highlight w:val="none"/>
        </w:rPr>
        <w:t>行类似的审查。</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29.4</w:t>
      </w:r>
      <w:r>
        <w:rPr>
          <w:rFonts w:hint="eastAsia" w:ascii="黑体" w:hAnsi="黑体" w:eastAsia="黑体" w:cs="黑体"/>
          <w:color w:val="auto"/>
          <w:sz w:val="24"/>
          <w:szCs w:val="24"/>
          <w:highlight w:val="none"/>
        </w:rPr>
        <w:t>中标供应商放弃中标、因不可抗力不能履行合同、不按照招标文件要求提交履约保证</w:t>
      </w:r>
      <w:bookmarkStart w:id="61" w:name="_bookmark8"/>
      <w:bookmarkEnd w:id="61"/>
      <w:bookmarkStart w:id="62" w:name="六．定标与签订合同"/>
      <w:bookmarkEnd w:id="62"/>
      <w:r>
        <w:rPr>
          <w:rFonts w:hint="eastAsia" w:ascii="黑体" w:hAnsi="黑体" w:eastAsia="黑体" w:cs="黑体"/>
          <w:color w:val="auto"/>
          <w:sz w:val="24"/>
          <w:szCs w:val="24"/>
          <w:highlight w:val="none"/>
        </w:rPr>
        <w:t>金，或者被查实存在影响中标结果的违法行为等情形，不符合中标条件的，采购人可以按照评标委员会提出的中标候选供应商名单排序依次确定其他中标候选供应商为中标供应商，也可以重新招标。</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29.5</w:t>
      </w:r>
      <w:r>
        <w:rPr>
          <w:rFonts w:hint="eastAsia" w:ascii="黑体" w:hAnsi="黑体" w:eastAsia="黑体" w:cs="黑体"/>
          <w:color w:val="auto"/>
          <w:sz w:val="24"/>
          <w:szCs w:val="24"/>
          <w:highlight w:val="none"/>
        </w:rPr>
        <w:t>投标供应商对采购过程、中标结果提出质疑，质疑成立且影响或者可能影响中标结果的，合格投标供应商符合法定数量时，可以从合格的中标候选供应商中另行确定中标供应商的，应当依法另行确定中标供应商；否则应当重新招标。</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29.6</w:t>
      </w:r>
      <w:r>
        <w:rPr>
          <w:rFonts w:hint="eastAsia" w:ascii="黑体" w:hAnsi="黑体" w:eastAsia="黑体" w:cs="黑体"/>
          <w:color w:val="auto"/>
          <w:sz w:val="24"/>
          <w:szCs w:val="24"/>
          <w:highlight w:val="none"/>
        </w:rPr>
        <w:t>原则上把合同授予实质上响应招标文件要求的排名最前的中标候选供应商或通过资格审查的中标候选供应商。</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29.7</w:t>
      </w:r>
      <w:r>
        <w:rPr>
          <w:rFonts w:hint="eastAsia" w:ascii="黑体" w:hAnsi="黑体" w:eastAsia="黑体" w:cs="黑体"/>
          <w:color w:val="auto"/>
          <w:sz w:val="24"/>
          <w:highlight w:val="none"/>
        </w:rPr>
        <w:t>最低报价并不是被授予合同的保证。</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29.8</w:t>
      </w:r>
      <w:r>
        <w:rPr>
          <w:rFonts w:hint="eastAsia" w:ascii="黑体" w:hAnsi="黑体" w:eastAsia="黑体" w:cs="黑体"/>
          <w:color w:val="auto"/>
          <w:sz w:val="24"/>
          <w:highlight w:val="none"/>
        </w:rPr>
        <w:t>凡发现中标候选供应商有下列行为之一的，其中标无效，并移交监督管理部门依法处理：</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29.8.1</w:t>
      </w:r>
      <w:r>
        <w:rPr>
          <w:rFonts w:hint="eastAsia" w:ascii="黑体" w:hAnsi="黑体" w:eastAsia="黑体" w:cs="黑体"/>
          <w:color w:val="auto"/>
          <w:sz w:val="24"/>
          <w:highlight w:val="none"/>
        </w:rPr>
        <w:t>以他人名义投标或提供虚假材料弄虚作假谋取中标的；</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pacing w:val="-9"/>
          <w:sz w:val="24"/>
          <w:highlight w:val="none"/>
          <w:lang w:val="en-US" w:eastAsia="zh-CN"/>
        </w:rPr>
        <w:t>29.8.2</w:t>
      </w:r>
      <w:r>
        <w:rPr>
          <w:rFonts w:hint="eastAsia" w:ascii="黑体" w:hAnsi="黑体" w:eastAsia="黑体" w:cs="黑体"/>
          <w:color w:val="auto"/>
          <w:spacing w:val="-9"/>
          <w:sz w:val="24"/>
          <w:highlight w:val="none"/>
        </w:rPr>
        <w:t>以他人名义投标，是指使用通过受让或者租借等方式获取的资格、资质证书投</w:t>
      </w:r>
      <w:r>
        <w:rPr>
          <w:rFonts w:hint="eastAsia" w:ascii="黑体" w:hAnsi="黑体" w:eastAsia="黑体" w:cs="黑体"/>
          <w:color w:val="auto"/>
          <w:highlight w:val="none"/>
        </w:rPr>
        <w:t>标。</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w:t>
      </w:r>
      <w:r>
        <w:rPr>
          <w:rFonts w:hint="eastAsia" w:ascii="黑体" w:hAnsi="黑体" w:eastAsia="黑体" w:cs="黑体"/>
          <w:color w:val="auto"/>
          <w:sz w:val="24"/>
          <w:highlight w:val="none"/>
        </w:rPr>
        <w:t>投标供应商有下列情形之一的，属于提供虚假材料的行为：</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29.9.1</w:t>
      </w:r>
      <w:r>
        <w:rPr>
          <w:rFonts w:hint="eastAsia" w:ascii="黑体" w:hAnsi="黑体" w:eastAsia="黑体" w:cs="黑体"/>
          <w:color w:val="auto"/>
          <w:sz w:val="24"/>
          <w:highlight w:val="none"/>
        </w:rPr>
        <w:t>使用伪造、变造的许可证件；</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29.9.2</w:t>
      </w:r>
      <w:r>
        <w:rPr>
          <w:rFonts w:hint="eastAsia" w:ascii="黑体" w:hAnsi="黑体" w:eastAsia="黑体" w:cs="黑体"/>
          <w:color w:val="auto"/>
          <w:sz w:val="24"/>
          <w:highlight w:val="none"/>
        </w:rPr>
        <w:t>提供虚假的财务状况或者业绩；</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29.9.3</w:t>
      </w:r>
      <w:r>
        <w:rPr>
          <w:rFonts w:hint="eastAsia" w:ascii="黑体" w:hAnsi="黑体" w:eastAsia="黑体" w:cs="黑体"/>
          <w:color w:val="auto"/>
          <w:sz w:val="24"/>
          <w:highlight w:val="none"/>
        </w:rPr>
        <w:t>提供虚假的项目负责人或者主要技术人员简历、劳动关系证明；</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29.9.4</w:t>
      </w:r>
      <w:r>
        <w:rPr>
          <w:rFonts w:hint="eastAsia" w:ascii="黑体" w:hAnsi="黑体" w:eastAsia="黑体" w:cs="黑体"/>
          <w:color w:val="auto"/>
          <w:sz w:val="24"/>
          <w:highlight w:val="none"/>
        </w:rPr>
        <w:t>提供虚假的信用状况；</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29.9.5</w:t>
      </w:r>
      <w:r>
        <w:rPr>
          <w:rFonts w:hint="eastAsia" w:ascii="黑体" w:hAnsi="黑体" w:eastAsia="黑体" w:cs="黑体"/>
          <w:color w:val="auto"/>
          <w:sz w:val="24"/>
          <w:highlight w:val="none"/>
        </w:rPr>
        <w:t>其他弄虚作假的行为；</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29.9.6</w:t>
      </w:r>
      <w:r>
        <w:rPr>
          <w:rFonts w:hint="eastAsia" w:ascii="黑体" w:hAnsi="黑体" w:eastAsia="黑体" w:cs="黑体"/>
          <w:color w:val="auto"/>
          <w:sz w:val="24"/>
          <w:highlight w:val="none"/>
        </w:rPr>
        <w:t>与采购人、其他供应商或者招标代理机构工作人员恶意串通的；</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29.9.7</w:t>
      </w:r>
      <w:r>
        <w:rPr>
          <w:rFonts w:hint="eastAsia" w:ascii="黑体" w:hAnsi="黑体" w:eastAsia="黑体" w:cs="黑体"/>
          <w:color w:val="auto"/>
          <w:sz w:val="24"/>
          <w:highlight w:val="none"/>
        </w:rPr>
        <w:t>向采购人、评审专家、招标代理机构工作人员行贿或者提供其他不正当</w:t>
      </w:r>
      <w:r>
        <w:rPr>
          <w:rFonts w:hint="eastAsia" w:ascii="黑体" w:hAnsi="黑体" w:eastAsia="黑体" w:cs="黑体"/>
          <w:color w:val="auto"/>
          <w:highlight w:val="none"/>
        </w:rPr>
        <w:t>利益的；</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29.9.8</w:t>
      </w:r>
      <w:r>
        <w:rPr>
          <w:rFonts w:hint="eastAsia" w:ascii="黑体" w:hAnsi="黑体" w:eastAsia="黑体" w:cs="黑体"/>
          <w:color w:val="auto"/>
          <w:sz w:val="24"/>
          <w:highlight w:val="none"/>
        </w:rPr>
        <w:t>有法律、法规规定的其他损害采购人利益和社会公共利益情形的；</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29.9.9</w:t>
      </w:r>
      <w:r>
        <w:rPr>
          <w:rFonts w:hint="eastAsia" w:ascii="黑体" w:hAnsi="黑体" w:eastAsia="黑体" w:cs="黑体"/>
          <w:color w:val="auto"/>
          <w:sz w:val="24"/>
          <w:highlight w:val="none"/>
        </w:rPr>
        <w:t>其他违反政府采购法律、法规和规章强制性规定的行为。</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30 </w:t>
      </w:r>
      <w:r>
        <w:rPr>
          <w:rFonts w:hint="eastAsia" w:ascii="黑体" w:hAnsi="黑体" w:eastAsia="黑体" w:cs="黑体"/>
          <w:color w:val="auto"/>
          <w:sz w:val="24"/>
          <w:szCs w:val="24"/>
          <w:highlight w:val="none"/>
        </w:rPr>
        <w:t>中标通知书</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30.1</w:t>
      </w:r>
      <w:r>
        <w:rPr>
          <w:rFonts w:hint="eastAsia" w:ascii="黑体" w:hAnsi="黑体" w:eastAsia="黑体" w:cs="黑体"/>
          <w:color w:val="auto"/>
          <w:sz w:val="24"/>
          <w:szCs w:val="24"/>
          <w:highlight w:val="none"/>
        </w:rPr>
        <w:t>中标供应商确定后,招标代理机构将在刊登本次招标公告的媒体上发布中标公告，同时以书面形式向中标供应商发出中标通知书。中标供应商应委派专人凭介绍信或公司授权书（须携带身份证明）到我公司领取中标通知书。中标通知书对采购人和中标供应商具有同等法律效力。中标通知书发出以后，采购人改变中标结果或者中标供应商放弃中标，应当承担相应的法律责任。</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30.2</w:t>
      </w:r>
      <w:r>
        <w:rPr>
          <w:rFonts w:hint="eastAsia" w:ascii="黑体" w:hAnsi="黑体" w:eastAsia="黑体" w:cs="黑体"/>
          <w:color w:val="auto"/>
          <w:sz w:val="24"/>
          <w:szCs w:val="24"/>
          <w:highlight w:val="none"/>
        </w:rPr>
        <w:t>招标代理机构对未中标的投标供应商不做未中标原因的解释。</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 xml:space="preserve">31 </w:t>
      </w:r>
      <w:r>
        <w:rPr>
          <w:rFonts w:hint="eastAsia" w:ascii="黑体" w:hAnsi="黑体" w:eastAsia="黑体" w:cs="黑体"/>
          <w:color w:val="auto"/>
          <w:sz w:val="24"/>
          <w:highlight w:val="none"/>
        </w:rPr>
        <w:t>中标服务费</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31.1</w:t>
      </w:r>
      <w:r>
        <w:rPr>
          <w:rFonts w:hint="eastAsia" w:ascii="黑体" w:hAnsi="黑体" w:eastAsia="黑体" w:cs="黑体"/>
          <w:color w:val="auto"/>
          <w:sz w:val="24"/>
          <w:highlight w:val="none"/>
        </w:rPr>
        <w:t>中标供应商在领取中标通知书时向招标代理机构一次性交纳中标服务费。</w:t>
      </w:r>
    </w:p>
    <w:p>
      <w:pPr>
        <w:pStyle w:val="54"/>
        <w:numPr>
          <w:ilvl w:val="0"/>
          <w:numId w:val="0"/>
        </w:numPr>
        <w:tabs>
          <w:tab w:val="left" w:pos="1506"/>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3"/>
          <w:sz w:val="24"/>
          <w:highlight w:val="none"/>
          <w:lang w:val="en-US" w:eastAsia="zh-CN"/>
        </w:rPr>
        <w:t>31.2</w:t>
      </w:r>
      <w:r>
        <w:rPr>
          <w:rFonts w:hint="eastAsia" w:ascii="黑体" w:hAnsi="黑体" w:eastAsia="黑体" w:cs="黑体"/>
          <w:color w:val="auto"/>
          <w:spacing w:val="-3"/>
          <w:sz w:val="24"/>
          <w:highlight w:val="none"/>
        </w:rPr>
        <w:t>投标供应商须知前附表约定收取定额中标服务费或免收中标服务费的，从其规定。</w:t>
      </w:r>
    </w:p>
    <w:p>
      <w:pPr>
        <w:pStyle w:val="54"/>
        <w:numPr>
          <w:ilvl w:val="0"/>
          <w:numId w:val="0"/>
        </w:numPr>
        <w:tabs>
          <w:tab w:val="left" w:pos="1506"/>
        </w:tabs>
        <w:spacing w:line="360" w:lineRule="auto"/>
        <w:ind w:left="1038" w:leftChars="0" w:right="220" w:rightChars="10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 xml:space="preserve">32 </w:t>
      </w:r>
      <w:r>
        <w:rPr>
          <w:rFonts w:hint="eastAsia" w:ascii="黑体" w:hAnsi="黑体" w:eastAsia="黑体" w:cs="黑体"/>
          <w:color w:val="auto"/>
          <w:sz w:val="24"/>
          <w:highlight w:val="none"/>
        </w:rPr>
        <w:t>履约保证金</w:t>
      </w:r>
    </w:p>
    <w:p>
      <w:pPr>
        <w:pStyle w:val="54"/>
        <w:numPr>
          <w:ilvl w:val="1"/>
          <w:numId w:val="64"/>
        </w:numPr>
        <w:tabs>
          <w:tab w:val="left" w:pos="1506"/>
        </w:tabs>
        <w:spacing w:line="360" w:lineRule="auto"/>
        <w:ind w:left="567" w:right="220" w:rightChars="100" w:firstLine="471"/>
        <w:rPr>
          <w:rFonts w:hint="eastAsia" w:ascii="黑体" w:hAnsi="黑体" w:eastAsia="黑体" w:cs="黑体"/>
          <w:color w:val="auto"/>
          <w:sz w:val="24"/>
          <w:highlight w:val="none"/>
        </w:rPr>
      </w:pPr>
      <w:r>
        <w:rPr>
          <w:rFonts w:hint="eastAsia" w:ascii="黑体" w:hAnsi="黑体" w:eastAsia="黑体" w:cs="黑体"/>
          <w:color w:val="auto"/>
          <w:sz w:val="24"/>
          <w:highlight w:val="none"/>
        </w:rPr>
        <w:t>签订合同前，中标供应商</w:t>
      </w:r>
      <w:r>
        <w:rPr>
          <w:rFonts w:hint="eastAsia" w:ascii="黑体" w:hAnsi="黑体" w:eastAsia="黑体" w:cs="黑体"/>
          <w:color w:val="auto"/>
          <w:sz w:val="24"/>
          <w:highlight w:val="none"/>
          <w:lang w:val="en-US" w:eastAsia="zh-CN"/>
        </w:rPr>
        <w:t>签订合同之日后3日内需</w:t>
      </w:r>
      <w:r>
        <w:rPr>
          <w:rFonts w:hint="eastAsia" w:ascii="黑体" w:hAnsi="黑体" w:eastAsia="黑体" w:cs="黑体"/>
          <w:color w:val="auto"/>
          <w:sz w:val="24"/>
          <w:highlight w:val="none"/>
        </w:rPr>
        <w:t>向业主方提交</w:t>
      </w:r>
      <w:r>
        <w:rPr>
          <w:rFonts w:hint="eastAsia" w:ascii="黑体" w:hAnsi="黑体" w:eastAsia="黑体" w:cs="黑体"/>
          <w:color w:val="auto"/>
          <w:sz w:val="24"/>
          <w:highlight w:val="none"/>
          <w:lang w:val="en-US" w:eastAsia="zh-CN"/>
        </w:rPr>
        <w:t>合同价款10%的</w:t>
      </w:r>
      <w:r>
        <w:rPr>
          <w:rFonts w:hint="eastAsia" w:ascii="黑体" w:hAnsi="黑体" w:eastAsia="黑体" w:cs="黑体"/>
          <w:color w:val="auto"/>
          <w:sz w:val="24"/>
          <w:highlight w:val="none"/>
        </w:rPr>
        <w:t>履约保证金。</w:t>
      </w:r>
      <w:r>
        <w:rPr>
          <w:rFonts w:hint="eastAsia" w:ascii="黑体" w:hAnsi="黑体" w:eastAsia="黑体" w:cs="黑体"/>
          <w:color w:val="auto"/>
          <w:sz w:val="24"/>
          <w:highlight w:val="none"/>
          <w:lang w:val="en-US" w:eastAsia="zh-CN"/>
        </w:rPr>
        <w:t>货到验收合格设备启用后退还10%履约保证金。</w:t>
      </w:r>
    </w:p>
    <w:p>
      <w:pPr>
        <w:pStyle w:val="54"/>
        <w:numPr>
          <w:ilvl w:val="0"/>
          <w:numId w:val="0"/>
        </w:numPr>
        <w:tabs>
          <w:tab w:val="left" w:pos="1506"/>
        </w:tabs>
        <w:spacing w:line="360" w:lineRule="auto"/>
        <w:ind w:left="1038" w:leftChars="0" w:right="220" w:rightChars="10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33.</w:t>
      </w:r>
      <w:r>
        <w:rPr>
          <w:rFonts w:hint="eastAsia" w:ascii="黑体" w:hAnsi="黑体" w:eastAsia="黑体" w:cs="黑体"/>
          <w:color w:val="auto"/>
          <w:sz w:val="24"/>
          <w:highlight w:val="none"/>
        </w:rPr>
        <w:t>签订合同</w:t>
      </w:r>
    </w:p>
    <w:p>
      <w:pPr>
        <w:pStyle w:val="54"/>
        <w:numPr>
          <w:ilvl w:val="0"/>
          <w:numId w:val="0"/>
        </w:numPr>
        <w:tabs>
          <w:tab w:val="left" w:pos="1506"/>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33.1</w:t>
      </w:r>
      <w:r>
        <w:rPr>
          <w:rFonts w:hint="eastAsia" w:ascii="黑体" w:hAnsi="黑体" w:eastAsia="黑体" w:cs="黑体"/>
          <w:color w:val="auto"/>
          <w:sz w:val="24"/>
          <w:highlight w:val="none"/>
        </w:rPr>
        <w:t>中标供应商应在中标通知书发出之日起三十日内与采购人签订合同。招标文件、中标供应商的投标文件及澄清文件等，均作为合同的附件。合同签订前中标供应商应向业主方出示履约保证金缴纳证明。</w:t>
      </w:r>
    </w:p>
    <w:p>
      <w:pPr>
        <w:pStyle w:val="54"/>
        <w:numPr>
          <w:ilvl w:val="0"/>
          <w:numId w:val="0"/>
        </w:numPr>
        <w:tabs>
          <w:tab w:val="left" w:pos="157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pacing w:val="-3"/>
          <w:sz w:val="24"/>
          <w:highlight w:val="none"/>
          <w:lang w:val="en-US" w:eastAsia="zh-CN"/>
        </w:rPr>
        <w:t>33.2</w:t>
      </w:r>
      <w:r>
        <w:rPr>
          <w:rFonts w:hint="eastAsia" w:ascii="黑体" w:hAnsi="黑体" w:eastAsia="黑体" w:cs="黑体"/>
          <w:color w:val="auto"/>
          <w:spacing w:val="-3"/>
          <w:sz w:val="24"/>
          <w:highlight w:val="none"/>
        </w:rPr>
        <w:t>采购双方必须严格按照招标文件、投标文件及有关承诺签订采购合同，不得擅自变更。合同的标的、价款、质量、履行期限等主要条款应当与招标文件和中标供应商的投标文件的内容一致，采购人和中标供应商不得再行订立背离合同实质性内容的其他协议。对任何因双方擅自变更合同引起的问题招标代理机构概</w:t>
      </w:r>
      <w:r>
        <w:rPr>
          <w:rFonts w:hint="eastAsia" w:ascii="黑体" w:hAnsi="黑体" w:eastAsia="黑体" w:cs="黑体"/>
          <w:color w:val="auto"/>
          <w:spacing w:val="-3"/>
          <w:sz w:val="24"/>
          <w:szCs w:val="24"/>
          <w:highlight w:val="none"/>
        </w:rPr>
        <w:t>不负责，合同风险由双方自行承担。</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33.3</w:t>
      </w:r>
      <w:r>
        <w:rPr>
          <w:rFonts w:hint="eastAsia" w:ascii="黑体" w:hAnsi="黑体" w:eastAsia="黑体" w:cs="黑体"/>
          <w:color w:val="auto"/>
          <w:sz w:val="24"/>
          <w:szCs w:val="24"/>
          <w:highlight w:val="none"/>
        </w:rPr>
        <w:t>采购人保留以书面形式要求合同的卖方对其所投货物的装运方式、交货地点及服务细则等作适当调整的权利。</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33.4</w:t>
      </w:r>
      <w:r>
        <w:rPr>
          <w:rFonts w:hint="eastAsia" w:ascii="黑体" w:hAnsi="黑体" w:eastAsia="黑体" w:cs="黑体"/>
          <w:color w:val="auto"/>
          <w:sz w:val="24"/>
          <w:szCs w:val="24"/>
          <w:highlight w:val="none"/>
        </w:rPr>
        <w:t>无论基于何种原因，各项本应作拒绝处理的情形即便未被及时发现而使该投标供应商进入评审或其它后续程序，包括已经签约的情形，一旦在任何时间被发现，招标代理机构均有权决定取消该投标供应商此前评议的结果或对该报价予以拒绝，并有权采取相应的补救或纠正措施。一旦该投标供应商被拒绝或被取消此前评议结果，其现有的位置将被其他投标供应商依序替代或重新组织采购，相关的一切损失均由该投标供应商自行承担。</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34</w:t>
      </w:r>
      <w:r>
        <w:rPr>
          <w:rFonts w:hint="eastAsia" w:ascii="黑体" w:hAnsi="黑体" w:eastAsia="黑体" w:cs="黑体"/>
          <w:color w:val="auto"/>
          <w:sz w:val="24"/>
          <w:szCs w:val="24"/>
          <w:highlight w:val="none"/>
        </w:rPr>
        <w:t>验收</w:t>
      </w:r>
    </w:p>
    <w:p>
      <w:pPr>
        <w:pStyle w:val="54"/>
        <w:numPr>
          <w:ilvl w:val="0"/>
          <w:numId w:val="0"/>
        </w:numPr>
        <w:tabs>
          <w:tab w:val="left" w:pos="1506"/>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lang w:val="en-US" w:eastAsia="zh-CN"/>
        </w:rPr>
        <w:t>34.1</w:t>
      </w:r>
      <w:r>
        <w:rPr>
          <w:rFonts w:hint="eastAsia" w:ascii="黑体" w:hAnsi="黑体" w:eastAsia="黑体" w:cs="黑体"/>
          <w:color w:val="auto"/>
          <w:spacing w:val="-5"/>
          <w:sz w:val="24"/>
          <w:szCs w:val="24"/>
          <w:highlight w:val="none"/>
        </w:rPr>
        <w:t>采购人为政府采购项目履约验收的责任主体，负责政府采购项目的履约验收工作。</w:t>
      </w:r>
      <w:r>
        <w:rPr>
          <w:rFonts w:hint="eastAsia" w:ascii="黑体" w:hAnsi="黑体" w:eastAsia="黑体" w:cs="黑体"/>
          <w:color w:val="auto"/>
          <w:sz w:val="24"/>
          <w:szCs w:val="24"/>
          <w:highlight w:val="none"/>
        </w:rPr>
        <w:t>采购人与中标供应商应当根据合同法的约定依法履行合同义务。采购合同的履行、违约责任和解决争议的方式等适用《中华人民共和国合同法》。 采购人应当加强对中标供应商的履约管理，并按照采购合同约定，及时向中标供应商支付采购资金。对于中标供应商违反采购合同约定的行为，采购人应该及时处理，依法追究其违约责任。</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34.2</w:t>
      </w:r>
      <w:r>
        <w:rPr>
          <w:rFonts w:hint="eastAsia" w:ascii="黑体" w:hAnsi="黑体" w:eastAsia="黑体" w:cs="黑体"/>
          <w:color w:val="auto"/>
          <w:sz w:val="24"/>
          <w:szCs w:val="24"/>
          <w:highlight w:val="none"/>
        </w:rPr>
        <w:t>采购人验收时，应成立三人以上（由合同双方、技术人员、纪检等相关人员组成）验收小组，明确责任，严格依照采购文件、中标通知书、政府采购合同及相关验收规范进行核对、验收，形成验收结论，并出具书面验收报告。</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34.3</w:t>
      </w:r>
      <w:r>
        <w:rPr>
          <w:rFonts w:hint="eastAsia" w:ascii="黑体" w:hAnsi="黑体" w:eastAsia="黑体" w:cs="黑体"/>
          <w:color w:val="auto"/>
          <w:sz w:val="24"/>
          <w:szCs w:val="24"/>
          <w:highlight w:val="none"/>
        </w:rPr>
        <w:t>涉及安全、消防、环保等其他需要由质检或行业主管部门进行验收的项目，必须邀请相关部门或相关专家参与验收。检测、验收费用均由合同乙方（中标供应商）承担。</w:t>
      </w:r>
    </w:p>
    <w:p>
      <w:pPr>
        <w:pStyle w:val="54"/>
        <w:numPr>
          <w:ilvl w:val="0"/>
          <w:numId w:val="0"/>
        </w:numPr>
        <w:tabs>
          <w:tab w:val="left" w:pos="1539"/>
        </w:tabs>
        <w:spacing w:line="360" w:lineRule="auto"/>
        <w:ind w:left="1038" w:leftChars="0" w:right="220" w:rightChars="10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w:t>
      </w:r>
      <w:r>
        <w:rPr>
          <w:rFonts w:hint="eastAsia" w:ascii="黑体" w:hAnsi="黑体" w:eastAsia="黑体" w:cs="黑体"/>
          <w:color w:val="auto"/>
          <w:sz w:val="24"/>
          <w:szCs w:val="24"/>
          <w:highlight w:val="none"/>
        </w:rPr>
        <w:t>质疑</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35.1</w:t>
      </w:r>
      <w:r>
        <w:rPr>
          <w:rFonts w:hint="eastAsia" w:ascii="黑体" w:hAnsi="黑体" w:eastAsia="黑体" w:cs="黑体"/>
          <w:color w:val="auto"/>
          <w:sz w:val="24"/>
          <w:szCs w:val="24"/>
          <w:highlight w:val="none"/>
        </w:rPr>
        <w:t>质疑人认为招标文件、采购过程、中标结果使自己的权益受到损害的，可以在知</w:t>
      </w:r>
      <w:r>
        <w:rPr>
          <w:rFonts w:hint="eastAsia" w:ascii="黑体" w:hAnsi="黑体" w:eastAsia="黑体" w:cs="黑体"/>
          <w:color w:val="auto"/>
          <w:spacing w:val="-3"/>
          <w:sz w:val="24"/>
          <w:szCs w:val="24"/>
          <w:highlight w:val="none"/>
        </w:rPr>
        <w:t>道或者应知其权益受到损害之日起即</w:t>
      </w:r>
      <w:r>
        <w:rPr>
          <w:rFonts w:hint="eastAsia" w:ascii="黑体" w:hAnsi="黑体" w:eastAsia="黑体" w:cs="黑体"/>
          <w:color w:val="auto"/>
          <w:sz w:val="24"/>
          <w:szCs w:val="24"/>
          <w:highlight w:val="none"/>
        </w:rPr>
        <w:t>法定质疑期内，向采购人、招标代理机构提出质</w:t>
      </w:r>
      <w:r>
        <w:rPr>
          <w:rFonts w:hint="eastAsia" w:ascii="黑体" w:hAnsi="黑体" w:eastAsia="黑体" w:cs="黑体"/>
          <w:color w:val="auto"/>
          <w:spacing w:val="-6"/>
          <w:sz w:val="24"/>
          <w:szCs w:val="24"/>
          <w:highlight w:val="none"/>
        </w:rPr>
        <w:t>疑。质疑材料递交方式：书面形式。</w:t>
      </w:r>
    </w:p>
    <w:p>
      <w:pPr>
        <w:pStyle w:val="54"/>
        <w:numPr>
          <w:ilvl w:val="0"/>
          <w:numId w:val="0"/>
        </w:numPr>
        <w:tabs>
          <w:tab w:val="left" w:pos="1539"/>
        </w:tabs>
        <w:spacing w:before="8"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35.2</w:t>
      </w:r>
      <w:r>
        <w:rPr>
          <w:rFonts w:hint="eastAsia" w:ascii="黑体" w:hAnsi="黑体" w:eastAsia="黑体" w:cs="黑体"/>
          <w:color w:val="auto"/>
          <w:sz w:val="24"/>
          <w:szCs w:val="24"/>
          <w:highlight w:val="none"/>
        </w:rPr>
        <w:t>质疑实行实名制，应当有具体的事项及根据，不得进行虚假、恶意质疑，扰乱公共资源交易活动的正常工作秩序。</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35.3</w:t>
      </w:r>
      <w:r>
        <w:rPr>
          <w:rFonts w:hint="eastAsia" w:ascii="黑体" w:hAnsi="黑体" w:eastAsia="黑体" w:cs="黑体"/>
          <w:color w:val="auto"/>
          <w:sz w:val="24"/>
          <w:szCs w:val="24"/>
          <w:highlight w:val="none"/>
        </w:rPr>
        <w:t xml:space="preserve">质疑人对招标文件、采购过程、中标结果的质疑，应当在法定质疑期内一次性提出针对同一采购程序环节的质疑。 </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35.4</w:t>
      </w:r>
      <w:r>
        <w:rPr>
          <w:rFonts w:hint="eastAsia" w:ascii="黑体" w:hAnsi="黑体" w:eastAsia="黑体" w:cs="黑体"/>
          <w:color w:val="auto"/>
          <w:sz w:val="24"/>
          <w:highlight w:val="none"/>
        </w:rPr>
        <w:t>质疑应以书面形式实名提出，书面质疑材料应当包括以下内容：</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35.4.1</w:t>
      </w:r>
      <w:r>
        <w:rPr>
          <w:rFonts w:hint="eastAsia" w:ascii="黑体" w:hAnsi="黑体" w:eastAsia="黑体" w:cs="黑体"/>
          <w:color w:val="auto"/>
          <w:sz w:val="24"/>
          <w:highlight w:val="none"/>
        </w:rPr>
        <w:t xml:space="preserve">质疑人的姓名或者名称、地址、邮编、联系人及联系电话； </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35.4.2</w:t>
      </w:r>
      <w:r>
        <w:rPr>
          <w:rFonts w:hint="eastAsia" w:ascii="黑体" w:hAnsi="黑体" w:eastAsia="黑体" w:cs="黑体"/>
          <w:color w:val="auto"/>
          <w:sz w:val="24"/>
          <w:highlight w:val="none"/>
        </w:rPr>
        <w:t>质疑项目的名称、编号，包别号（如有）；</w:t>
      </w:r>
    </w:p>
    <w:p>
      <w:pPr>
        <w:tabs>
          <w:tab w:val="left" w:pos="1515"/>
        </w:tabs>
        <w:spacing w:line="360" w:lineRule="auto"/>
        <w:ind w:right="567" w:firstLine="810" w:firstLineChars="450"/>
        <w:rPr>
          <w:rFonts w:hint="eastAsia" w:ascii="黑体" w:hAnsi="黑体" w:eastAsia="黑体" w:cs="黑体"/>
          <w:color w:val="auto"/>
          <w:sz w:val="24"/>
          <w:highlight w:val="none"/>
        </w:rPr>
      </w:pPr>
      <w:r>
        <w:rPr>
          <w:rFonts w:hint="eastAsia" w:ascii="黑体" w:hAnsi="黑体" w:eastAsia="黑体" w:cs="黑体"/>
          <w:color w:val="auto"/>
          <w:sz w:val="18"/>
          <w:szCs w:val="24"/>
          <w:highlight w:val="none"/>
        </w:rPr>
        <w:t xml:space="preserve">     </w:t>
      </w:r>
      <w:r>
        <w:rPr>
          <w:rFonts w:hint="eastAsia" w:ascii="黑体" w:hAnsi="黑体" w:eastAsia="黑体" w:cs="黑体"/>
          <w:color w:val="auto"/>
          <w:sz w:val="18"/>
          <w:szCs w:val="24"/>
          <w:highlight w:val="none"/>
          <w:lang w:val="en-US" w:eastAsia="zh-CN"/>
        </w:rPr>
        <w:t>35.4.3</w:t>
      </w:r>
      <w:r>
        <w:rPr>
          <w:rFonts w:hint="eastAsia" w:ascii="黑体" w:hAnsi="黑体" w:eastAsia="黑体" w:cs="黑体"/>
          <w:color w:val="auto"/>
          <w:sz w:val="24"/>
          <w:highlight w:val="none"/>
        </w:rPr>
        <w:t>具体、明确的质疑事项和与质疑事项相关的请求；</w:t>
      </w:r>
    </w:p>
    <w:p>
      <w:pPr>
        <w:pStyle w:val="54"/>
        <w:tabs>
          <w:tab w:val="left" w:pos="1515"/>
        </w:tabs>
        <w:spacing w:line="360" w:lineRule="auto"/>
        <w:ind w:left="1038" w:right="567" w:firstLine="0"/>
        <w:rPr>
          <w:rFonts w:hint="eastAsia" w:ascii="黑体" w:hAnsi="黑体" w:eastAsia="黑体" w:cs="黑体"/>
          <w:color w:val="auto"/>
          <w:sz w:val="24"/>
          <w:highlight w:val="none"/>
        </w:rPr>
      </w:pPr>
      <w:r>
        <w:rPr>
          <w:rFonts w:hint="eastAsia" w:ascii="黑体" w:hAnsi="黑体" w:eastAsia="黑体" w:cs="黑体"/>
          <w:color w:val="auto"/>
          <w:sz w:val="18"/>
          <w:szCs w:val="24"/>
          <w:highlight w:val="none"/>
          <w:lang w:val="en-US" w:eastAsia="zh-CN"/>
        </w:rPr>
        <w:t>35.4.4</w:t>
      </w:r>
      <w:r>
        <w:rPr>
          <w:rFonts w:hint="eastAsia" w:ascii="黑体" w:hAnsi="黑体" w:eastAsia="黑体" w:cs="黑体"/>
          <w:color w:val="auto"/>
          <w:sz w:val="24"/>
          <w:highlight w:val="none"/>
        </w:rPr>
        <w:t>事实依据；</w:t>
      </w:r>
    </w:p>
    <w:p>
      <w:pPr>
        <w:pStyle w:val="54"/>
        <w:tabs>
          <w:tab w:val="left" w:pos="1515"/>
        </w:tabs>
        <w:spacing w:line="360" w:lineRule="auto"/>
        <w:ind w:left="1038" w:right="567" w:firstLine="0"/>
        <w:rPr>
          <w:rFonts w:hint="eastAsia" w:ascii="黑体" w:hAnsi="黑体" w:eastAsia="黑体" w:cs="黑体"/>
          <w:color w:val="auto"/>
          <w:sz w:val="24"/>
          <w:highlight w:val="none"/>
        </w:rPr>
      </w:pPr>
      <w:r>
        <w:rPr>
          <w:rFonts w:hint="eastAsia" w:ascii="黑体" w:hAnsi="黑体" w:eastAsia="黑体" w:cs="黑体"/>
          <w:color w:val="auto"/>
          <w:sz w:val="18"/>
          <w:szCs w:val="24"/>
          <w:highlight w:val="none"/>
        </w:rPr>
        <w:t>3</w:t>
      </w:r>
      <w:r>
        <w:rPr>
          <w:rFonts w:hint="eastAsia" w:ascii="黑体" w:hAnsi="黑体" w:eastAsia="黑体" w:cs="黑体"/>
          <w:color w:val="auto"/>
          <w:sz w:val="18"/>
          <w:szCs w:val="24"/>
          <w:highlight w:val="none"/>
          <w:lang w:val="en-US" w:eastAsia="zh-CN"/>
        </w:rPr>
        <w:t>5</w:t>
      </w:r>
      <w:r>
        <w:rPr>
          <w:rFonts w:hint="eastAsia" w:ascii="黑体" w:hAnsi="黑体" w:eastAsia="黑体" w:cs="黑体"/>
          <w:color w:val="auto"/>
          <w:sz w:val="18"/>
          <w:szCs w:val="24"/>
          <w:highlight w:val="none"/>
        </w:rPr>
        <w:t>.4.5</w:t>
      </w:r>
      <w:r>
        <w:rPr>
          <w:rFonts w:hint="eastAsia" w:ascii="黑体" w:hAnsi="黑体" w:eastAsia="黑体" w:cs="黑体"/>
          <w:color w:val="auto"/>
          <w:sz w:val="24"/>
          <w:highlight w:val="none"/>
        </w:rPr>
        <w:t>必要的法律依据；</w:t>
      </w:r>
    </w:p>
    <w:p>
      <w:pPr>
        <w:pStyle w:val="54"/>
        <w:tabs>
          <w:tab w:val="left" w:pos="1515"/>
        </w:tabs>
        <w:spacing w:line="360" w:lineRule="auto"/>
        <w:ind w:left="1038" w:right="567" w:firstLine="0"/>
        <w:rPr>
          <w:rFonts w:hint="eastAsia" w:ascii="黑体" w:hAnsi="黑体" w:eastAsia="黑体" w:cs="黑体"/>
          <w:color w:val="auto"/>
          <w:sz w:val="24"/>
          <w:szCs w:val="24"/>
          <w:highlight w:val="none"/>
        </w:rPr>
      </w:pPr>
      <w:r>
        <w:rPr>
          <w:rFonts w:hint="eastAsia" w:ascii="黑体" w:hAnsi="黑体" w:eastAsia="黑体" w:cs="黑体"/>
          <w:color w:val="auto"/>
          <w:sz w:val="18"/>
          <w:szCs w:val="24"/>
          <w:highlight w:val="none"/>
        </w:rPr>
        <w:t>3</w:t>
      </w:r>
      <w:r>
        <w:rPr>
          <w:rFonts w:hint="eastAsia" w:ascii="黑体" w:hAnsi="黑体" w:eastAsia="黑体" w:cs="黑体"/>
          <w:color w:val="auto"/>
          <w:sz w:val="18"/>
          <w:szCs w:val="24"/>
          <w:highlight w:val="none"/>
          <w:lang w:val="en-US" w:eastAsia="zh-CN"/>
        </w:rPr>
        <w:t>5</w:t>
      </w:r>
      <w:r>
        <w:rPr>
          <w:rFonts w:hint="eastAsia" w:ascii="黑体" w:hAnsi="黑体" w:eastAsia="黑体" w:cs="黑体"/>
          <w:color w:val="auto"/>
          <w:sz w:val="18"/>
          <w:szCs w:val="24"/>
          <w:highlight w:val="none"/>
        </w:rPr>
        <w:t>.4.6</w:t>
      </w:r>
      <w:r>
        <w:rPr>
          <w:rFonts w:hint="eastAsia" w:ascii="黑体" w:hAnsi="黑体" w:eastAsia="黑体" w:cs="黑体"/>
          <w:color w:val="auto"/>
          <w:sz w:val="24"/>
          <w:szCs w:val="24"/>
          <w:highlight w:val="none"/>
        </w:rPr>
        <w:t>提出质疑的日期。</w:t>
      </w:r>
    </w:p>
    <w:p>
      <w:pPr>
        <w:pStyle w:val="54"/>
        <w:tabs>
          <w:tab w:val="left" w:pos="1515"/>
        </w:tabs>
        <w:spacing w:line="360" w:lineRule="auto"/>
        <w:ind w:left="1038" w:right="567" w:firstLine="0"/>
        <w:jc w:val="both"/>
        <w:rPr>
          <w:rFonts w:hint="eastAsia" w:ascii="黑体" w:hAnsi="黑体" w:eastAsia="黑体" w:cs="黑体"/>
          <w:color w:val="auto"/>
          <w:sz w:val="24"/>
          <w:szCs w:val="24"/>
          <w:highlight w:val="none"/>
        </w:rPr>
      </w:pPr>
      <w:r>
        <w:rPr>
          <w:rFonts w:hint="eastAsia" w:ascii="黑体" w:hAnsi="黑体" w:eastAsia="黑体" w:cs="黑体"/>
          <w:color w:val="auto"/>
          <w:sz w:val="18"/>
          <w:szCs w:val="24"/>
          <w:highlight w:val="none"/>
        </w:rPr>
        <w:t>3</w:t>
      </w:r>
      <w:r>
        <w:rPr>
          <w:rFonts w:hint="eastAsia" w:ascii="黑体" w:hAnsi="黑体" w:eastAsia="黑体" w:cs="黑体"/>
          <w:color w:val="auto"/>
          <w:sz w:val="18"/>
          <w:szCs w:val="24"/>
          <w:highlight w:val="none"/>
          <w:lang w:val="en-US" w:eastAsia="zh-CN"/>
        </w:rPr>
        <w:t>5</w:t>
      </w:r>
      <w:r>
        <w:rPr>
          <w:rFonts w:hint="eastAsia" w:ascii="黑体" w:hAnsi="黑体" w:eastAsia="黑体" w:cs="黑体"/>
          <w:color w:val="auto"/>
          <w:sz w:val="18"/>
          <w:szCs w:val="24"/>
          <w:highlight w:val="none"/>
        </w:rPr>
        <w:t>.4.7</w:t>
      </w:r>
      <w:r>
        <w:rPr>
          <w:rFonts w:hint="eastAsia" w:ascii="黑体" w:hAnsi="黑体" w:eastAsia="黑体" w:cs="黑体"/>
          <w:color w:val="auto"/>
          <w:sz w:val="24"/>
          <w:szCs w:val="24"/>
          <w:highlight w:val="none"/>
        </w:rPr>
        <w:t>质疑人为自然人的，应当由本人签字；质疑人为法人或者其他组织的，应当由法定代表人、主要负责人，或者其授权代表签字或者盖章，并加盖公章。</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w:t>
      </w:r>
      <w:r>
        <w:rPr>
          <w:rFonts w:hint="eastAsia" w:ascii="黑体" w:hAnsi="黑体" w:eastAsia="黑体" w:cs="黑体"/>
          <w:color w:val="auto"/>
          <w:sz w:val="24"/>
          <w:highlight w:val="none"/>
        </w:rPr>
        <w:t>有下列情形之一的，不予受理：</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35.5.1</w:t>
      </w:r>
      <w:r>
        <w:rPr>
          <w:rFonts w:hint="eastAsia" w:ascii="黑体" w:hAnsi="黑体" w:eastAsia="黑体" w:cs="黑体"/>
          <w:color w:val="auto"/>
          <w:sz w:val="24"/>
          <w:highlight w:val="none"/>
        </w:rPr>
        <w:t>提起质疑的主体不是参与该政府采购项目活动的供应商；</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35.5.2</w:t>
      </w:r>
      <w:r>
        <w:rPr>
          <w:rFonts w:hint="eastAsia" w:ascii="黑体" w:hAnsi="黑体" w:eastAsia="黑体" w:cs="黑体"/>
          <w:color w:val="auto"/>
          <w:sz w:val="24"/>
          <w:highlight w:val="none"/>
        </w:rPr>
        <w:t>提起质疑的时间超过规定时限的；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35.5.3</w:t>
      </w:r>
      <w:r>
        <w:rPr>
          <w:rFonts w:hint="eastAsia" w:ascii="黑体" w:hAnsi="黑体" w:eastAsia="黑体" w:cs="黑体"/>
          <w:color w:val="auto"/>
          <w:sz w:val="24"/>
          <w:highlight w:val="none"/>
        </w:rPr>
        <w:t>质疑材料不完整的；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35.5.4</w:t>
      </w:r>
      <w:r>
        <w:rPr>
          <w:rFonts w:hint="eastAsia" w:ascii="黑体" w:hAnsi="黑体" w:eastAsia="黑体" w:cs="黑体"/>
          <w:color w:val="auto"/>
          <w:sz w:val="24"/>
          <w:highlight w:val="none"/>
        </w:rPr>
        <w:t>质疑事项含有主观猜测等内容且未提供有效线索、难以查证的；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35.5.5</w:t>
      </w:r>
      <w:r>
        <w:rPr>
          <w:rFonts w:hint="eastAsia" w:ascii="黑体" w:hAnsi="黑体" w:eastAsia="黑体" w:cs="黑体"/>
          <w:color w:val="auto"/>
          <w:sz w:val="24"/>
          <w:highlight w:val="none"/>
        </w:rPr>
        <w:t>对其他投标供应商的投标文件详细内容质疑，无法提供合法来源渠道的；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35.5.6</w:t>
      </w:r>
      <w:r>
        <w:rPr>
          <w:rFonts w:hint="eastAsia" w:ascii="黑体" w:hAnsi="黑体" w:eastAsia="黑体" w:cs="黑体"/>
          <w:color w:val="auto"/>
          <w:sz w:val="24"/>
          <w:highlight w:val="none"/>
        </w:rPr>
        <w:t>质疑事项已进入投诉处理、行政复议或行政诉讼程序的。</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35.6</w:t>
      </w:r>
      <w:r>
        <w:rPr>
          <w:rFonts w:hint="eastAsia" w:ascii="黑体" w:hAnsi="黑体" w:eastAsia="黑体" w:cs="黑体"/>
          <w:color w:val="auto"/>
          <w:sz w:val="24"/>
          <w:highlight w:val="none"/>
        </w:rPr>
        <w:t>经审查符合质疑条件的，自收到质疑之日起即为受理。招标代理机构将在</w:t>
      </w:r>
      <w:r>
        <w:rPr>
          <w:rFonts w:hint="eastAsia" w:ascii="黑体" w:hAnsi="黑体" w:eastAsia="黑体" w:cs="黑体"/>
          <w:color w:val="auto"/>
          <w:spacing w:val="-9"/>
          <w:sz w:val="24"/>
          <w:highlight w:val="none"/>
        </w:rPr>
        <w:t>质疑受理后</w:t>
      </w:r>
      <w:r>
        <w:rPr>
          <w:rFonts w:hint="eastAsia" w:ascii="黑体" w:hAnsi="黑体" w:eastAsia="黑体" w:cs="黑体"/>
          <w:color w:val="auto"/>
          <w:sz w:val="24"/>
          <w:highlight w:val="none"/>
        </w:rPr>
        <w:t>7</w:t>
      </w:r>
      <w:r>
        <w:rPr>
          <w:rFonts w:hint="eastAsia" w:ascii="黑体" w:hAnsi="黑体" w:eastAsia="黑体" w:cs="黑体"/>
          <w:color w:val="auto"/>
          <w:spacing w:val="-2"/>
          <w:sz w:val="24"/>
          <w:highlight w:val="none"/>
        </w:rPr>
        <w:t>个工作日内作出答复或相关处理决定</w:t>
      </w:r>
      <w:r>
        <w:rPr>
          <w:rFonts w:hint="eastAsia" w:ascii="黑体" w:hAnsi="黑体" w:eastAsia="黑体" w:cs="黑体"/>
          <w:color w:val="auto"/>
          <w:sz w:val="24"/>
          <w:highlight w:val="none"/>
        </w:rPr>
        <w:t>（</w:t>
      </w:r>
      <w:r>
        <w:rPr>
          <w:rFonts w:hint="eastAsia" w:ascii="黑体" w:hAnsi="黑体" w:eastAsia="黑体" w:cs="黑体"/>
          <w:color w:val="auto"/>
          <w:spacing w:val="-8"/>
          <w:sz w:val="24"/>
          <w:highlight w:val="none"/>
        </w:rPr>
        <w:t>需要检验、检测、鉴定、专家评审的，所需时间不计算在内），并以书面形式通知质疑人，答复的内容不得涉及商业秘密。</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35.7</w:t>
      </w:r>
      <w:r>
        <w:rPr>
          <w:rFonts w:hint="eastAsia" w:ascii="黑体" w:hAnsi="黑体" w:eastAsia="黑体" w:cs="黑体"/>
          <w:color w:val="auto"/>
          <w:sz w:val="24"/>
          <w:highlight w:val="none"/>
        </w:rPr>
        <w:t>质疑人在答复期满前撤回质疑的，应由法定代表人或授权代表人签字确认</w:t>
      </w:r>
      <w:r>
        <w:rPr>
          <w:rFonts w:hint="eastAsia" w:ascii="黑体" w:hAnsi="黑体" w:eastAsia="黑体" w:cs="黑体"/>
          <w:color w:val="auto"/>
          <w:sz w:val="24"/>
          <w:szCs w:val="24"/>
          <w:highlight w:val="none"/>
        </w:rPr>
        <w:t>，招标代理机构即终止质疑处理程序。质疑人不得以同一理由再次提出质疑。</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35.8</w:t>
      </w:r>
      <w:r>
        <w:rPr>
          <w:rFonts w:hint="eastAsia" w:ascii="黑体" w:hAnsi="黑体" w:eastAsia="黑体" w:cs="黑体"/>
          <w:color w:val="auto"/>
          <w:sz w:val="24"/>
          <w:szCs w:val="24"/>
          <w:highlight w:val="none"/>
        </w:rPr>
        <w:t>质疑人对质疑答复不满意或招标代理机构未在规定时间内做出答复的，可以在规定期限内向监督管理部门提起投诉。质疑人应在答复期满后十五个工作日内提起投诉。</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35.9</w:t>
      </w:r>
      <w:r>
        <w:rPr>
          <w:rFonts w:hint="eastAsia" w:ascii="黑体" w:hAnsi="黑体" w:eastAsia="黑体" w:cs="黑体"/>
          <w:color w:val="auto"/>
          <w:sz w:val="24"/>
          <w:highlight w:val="none"/>
        </w:rPr>
        <w:t>质疑人有下列情形之一的，属于虚假、恶意质疑，招标代理机构将报监督管理部门予以处理。</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35.9.1</w:t>
      </w:r>
      <w:r>
        <w:rPr>
          <w:rFonts w:hint="eastAsia" w:ascii="黑体" w:hAnsi="黑体" w:eastAsia="黑体" w:cs="黑体"/>
          <w:color w:val="auto"/>
          <w:sz w:val="24"/>
          <w:highlight w:val="none"/>
        </w:rPr>
        <w:t>一年内三次以上质疑均查无实据的；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35.9.2</w:t>
      </w:r>
      <w:r>
        <w:rPr>
          <w:rFonts w:hint="eastAsia" w:ascii="黑体" w:hAnsi="黑体" w:eastAsia="黑体" w:cs="黑体"/>
          <w:color w:val="auto"/>
          <w:sz w:val="24"/>
          <w:highlight w:val="none"/>
        </w:rPr>
        <w:t>捏造事实；</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35.9.3</w:t>
      </w:r>
      <w:r>
        <w:rPr>
          <w:rFonts w:hint="eastAsia" w:ascii="黑体" w:hAnsi="黑体" w:eastAsia="黑体" w:cs="黑体"/>
          <w:color w:val="auto"/>
          <w:sz w:val="24"/>
          <w:highlight w:val="none"/>
        </w:rPr>
        <w:t>提供虚假材料；</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pacing w:val="-2"/>
          <w:sz w:val="24"/>
          <w:highlight w:val="none"/>
          <w:lang w:val="en-US" w:eastAsia="zh-CN"/>
        </w:rPr>
        <w:t>35.9.4</w:t>
      </w:r>
      <w:r>
        <w:rPr>
          <w:rFonts w:hint="eastAsia" w:ascii="黑体" w:hAnsi="黑体" w:eastAsia="黑体" w:cs="黑体"/>
          <w:color w:val="auto"/>
          <w:spacing w:val="-2"/>
          <w:sz w:val="24"/>
          <w:highlight w:val="none"/>
        </w:rPr>
        <w:t>以非法手段取得证明材料。证据来源的合法性存在明显疑问，投诉人无法</w:t>
      </w:r>
      <w:r>
        <w:rPr>
          <w:rFonts w:hint="eastAsia" w:ascii="黑体" w:hAnsi="黑体" w:eastAsia="黑体" w:cs="黑体"/>
          <w:color w:val="auto"/>
          <w:spacing w:val="-2"/>
          <w:sz w:val="24"/>
          <w:szCs w:val="24"/>
          <w:highlight w:val="none"/>
        </w:rPr>
        <w:t>证明其取得方式合法的，视为以非法手段取得证明材料。</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未尽事宜</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w w:val="105"/>
          <w:sz w:val="24"/>
          <w:szCs w:val="24"/>
          <w:highlight w:val="none"/>
          <w:lang w:val="en-US" w:eastAsia="zh-CN"/>
        </w:rPr>
        <w:t>36.1</w:t>
      </w:r>
      <w:r>
        <w:rPr>
          <w:rFonts w:hint="eastAsia" w:ascii="黑体" w:hAnsi="黑体" w:eastAsia="黑体" w:cs="黑体"/>
          <w:color w:val="auto"/>
          <w:w w:val="105"/>
          <w:sz w:val="24"/>
          <w:szCs w:val="24"/>
          <w:highlight w:val="none"/>
        </w:rPr>
        <w:t>按政府采购法律法规的规定执行。</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37</w:t>
      </w:r>
      <w:r>
        <w:rPr>
          <w:rFonts w:hint="eastAsia" w:ascii="黑体" w:hAnsi="黑体" w:eastAsia="黑体" w:cs="黑体"/>
          <w:color w:val="auto"/>
          <w:sz w:val="24"/>
          <w:szCs w:val="24"/>
          <w:highlight w:val="none"/>
        </w:rPr>
        <w:t>解释权</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sectPr>
          <w:pgSz w:w="11910" w:h="16850"/>
          <w:pgMar w:top="1440" w:right="1080" w:bottom="1440" w:left="1080" w:header="877" w:footer="1068" w:gutter="0"/>
          <w:cols w:space="720" w:num="1"/>
        </w:sectPr>
      </w:pPr>
      <w:r>
        <w:rPr>
          <w:rFonts w:hint="eastAsia" w:ascii="黑体" w:hAnsi="黑体" w:eastAsia="黑体" w:cs="黑体"/>
          <w:color w:val="auto"/>
          <w:sz w:val="24"/>
          <w:szCs w:val="24"/>
          <w:highlight w:val="none"/>
          <w:lang w:val="en-US" w:eastAsia="zh-CN"/>
        </w:rPr>
        <w:t>37.1</w:t>
      </w:r>
      <w:r>
        <w:rPr>
          <w:rFonts w:hint="eastAsia" w:ascii="黑体" w:hAnsi="黑体" w:eastAsia="黑体" w:cs="黑体"/>
          <w:color w:val="auto"/>
          <w:sz w:val="24"/>
          <w:szCs w:val="24"/>
          <w:highlight w:val="none"/>
        </w:rPr>
        <w:t>本招标文件的解释权属于</w:t>
      </w:r>
      <w:r>
        <w:rPr>
          <w:rFonts w:hint="eastAsia" w:ascii="黑体" w:hAnsi="黑体" w:eastAsia="黑体" w:cs="黑体"/>
          <w:color w:val="auto"/>
          <w:sz w:val="24"/>
          <w:szCs w:val="24"/>
          <w:highlight w:val="none"/>
          <w:lang w:eastAsia="zh-CN"/>
        </w:rPr>
        <w:t>新疆安航工程项目管理有限公司</w:t>
      </w:r>
      <w:r>
        <w:rPr>
          <w:rFonts w:hint="eastAsia" w:ascii="黑体" w:hAnsi="黑体" w:eastAsia="黑体" w:cs="黑体"/>
          <w:color w:val="auto"/>
          <w:sz w:val="24"/>
          <w:szCs w:val="24"/>
          <w:highlight w:val="none"/>
        </w:rPr>
        <w:t>。</w:t>
      </w:r>
    </w:p>
    <w:p>
      <w:pPr>
        <w:pStyle w:val="5"/>
        <w:spacing w:line="511" w:lineRule="exact"/>
        <w:ind w:right="82"/>
        <w:jc w:val="center"/>
        <w:rPr>
          <w:rFonts w:hint="eastAsia" w:ascii="黑体" w:hAnsi="黑体" w:eastAsia="黑体" w:cs="黑体"/>
          <w:b/>
          <w:color w:val="auto"/>
          <w:sz w:val="36"/>
          <w:szCs w:val="36"/>
          <w:highlight w:val="none"/>
        </w:rPr>
      </w:pPr>
      <w:bookmarkStart w:id="63" w:name="第四章_评标办法"/>
      <w:bookmarkEnd w:id="63"/>
      <w:bookmarkStart w:id="64" w:name="_bookmark9"/>
      <w:bookmarkEnd w:id="64"/>
      <w:bookmarkStart w:id="65" w:name="_Toc5817"/>
      <w:r>
        <w:rPr>
          <w:rFonts w:hint="eastAsia" w:ascii="黑体" w:hAnsi="黑体" w:eastAsia="黑体" w:cs="黑体"/>
          <w:b/>
          <w:color w:val="auto"/>
          <w:sz w:val="36"/>
          <w:szCs w:val="36"/>
          <w:highlight w:val="none"/>
        </w:rPr>
        <w:t>第四章 评标办法</w:t>
      </w:r>
      <w:bookmarkEnd w:id="65"/>
    </w:p>
    <w:p>
      <w:pPr>
        <w:pStyle w:val="19"/>
        <w:tabs>
          <w:tab w:val="left" w:pos="967"/>
          <w:tab w:val="left" w:pos="1447"/>
        </w:tabs>
        <w:spacing w:before="37" w:line="360" w:lineRule="auto"/>
        <w:ind w:left="0" w:right="336"/>
        <w:jc w:val="center"/>
        <w:rPr>
          <w:rFonts w:hint="eastAsia" w:ascii="黑体" w:hAnsi="黑体" w:eastAsia="黑体" w:cs="黑体"/>
          <w:color w:val="auto"/>
          <w:highlight w:val="none"/>
        </w:rPr>
      </w:pPr>
      <w:r>
        <w:rPr>
          <w:rFonts w:hint="eastAsia" w:ascii="黑体" w:hAnsi="黑体" w:eastAsia="黑体" w:cs="黑体"/>
          <w:color w:val="auto"/>
          <w:highlight w:val="none"/>
        </w:rPr>
        <w:t>一．</w:t>
      </w:r>
      <w:r>
        <w:rPr>
          <w:rFonts w:hint="eastAsia" w:ascii="黑体" w:hAnsi="黑体" w:eastAsia="黑体" w:cs="黑体"/>
          <w:color w:val="auto"/>
          <w:highlight w:val="none"/>
        </w:rPr>
        <w:tab/>
      </w:r>
      <w:r>
        <w:rPr>
          <w:rFonts w:hint="eastAsia" w:ascii="黑体" w:hAnsi="黑体" w:eastAsia="黑体" w:cs="黑体"/>
          <w:color w:val="auto"/>
          <w:highlight w:val="none"/>
        </w:rPr>
        <w:t>总</w:t>
      </w:r>
      <w:r>
        <w:rPr>
          <w:rFonts w:hint="eastAsia" w:ascii="黑体" w:hAnsi="黑体" w:eastAsia="黑体" w:cs="黑体"/>
          <w:color w:val="auto"/>
          <w:highlight w:val="none"/>
        </w:rPr>
        <w:tab/>
      </w:r>
      <w:r>
        <w:rPr>
          <w:rFonts w:hint="eastAsia" w:ascii="黑体" w:hAnsi="黑体" w:eastAsia="黑体" w:cs="黑体"/>
          <w:color w:val="auto"/>
          <w:highlight w:val="none"/>
        </w:rPr>
        <w:t>则</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第一条 为了做好</w:t>
      </w:r>
      <w:r>
        <w:rPr>
          <w:rFonts w:hint="eastAsia" w:ascii="黑体" w:hAnsi="黑体" w:eastAsia="黑体" w:cs="黑体"/>
          <w:color w:val="auto"/>
          <w:highlight w:val="none"/>
          <w:lang w:eastAsia="zh-CN"/>
        </w:rPr>
        <w:t>轮台县卫生健康委员会轮台县卫生健康委员会核酸检测实验室医疗设备采购项目</w:t>
      </w:r>
      <w:r>
        <w:rPr>
          <w:rFonts w:hint="eastAsia" w:ascii="黑体" w:hAnsi="黑体" w:eastAsia="黑体" w:cs="黑体"/>
          <w:color w:val="auto"/>
          <w:highlight w:val="none"/>
        </w:rPr>
        <w:t>的招标评标工作，保证项目评审工作的正常有序进行，维护采购人、投标供应商的合法权益，依据政府采购法律法规，本着公开、公平、公正的原则，制定本评标办法。</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第二条 本项目评标办法采用综合评分法。</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第三条 本项目将依法组建不少于</w:t>
      </w:r>
      <w:r>
        <w:rPr>
          <w:rFonts w:hint="eastAsia" w:ascii="黑体" w:hAnsi="黑体" w:eastAsia="黑体" w:cs="黑体"/>
          <w:color w:val="auto"/>
          <w:highlight w:val="none"/>
          <w:lang w:val="en-US"/>
        </w:rPr>
        <w:t>5</w:t>
      </w:r>
      <w:r>
        <w:rPr>
          <w:rFonts w:hint="eastAsia" w:ascii="黑体" w:hAnsi="黑体" w:eastAsia="黑体" w:cs="黑体"/>
          <w:color w:val="auto"/>
          <w:highlight w:val="none"/>
        </w:rPr>
        <w:t>人组成的评标委员会，负责本项目的评标工作。</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第四条 评标委员会按照“公平、公正、科学、择优”的原则，评价参加本次招标的投标供应商所提供的产品价格、性能、质量、服务及其投标文件的符合性及响应性。</w:t>
      </w:r>
    </w:p>
    <w:p>
      <w:pPr>
        <w:pStyle w:val="19"/>
        <w:spacing w:before="7" w:line="360" w:lineRule="auto"/>
        <w:ind w:left="567" w:right="567" w:firstLine="471"/>
        <w:jc w:val="center"/>
        <w:rPr>
          <w:rFonts w:hint="eastAsia" w:ascii="黑体" w:hAnsi="黑体" w:eastAsia="黑体" w:cs="黑体"/>
          <w:color w:val="auto"/>
          <w:highlight w:val="none"/>
        </w:rPr>
      </w:pPr>
      <w:r>
        <w:rPr>
          <w:rFonts w:hint="eastAsia" w:ascii="黑体" w:hAnsi="黑体" w:eastAsia="黑体" w:cs="黑体"/>
          <w:color w:val="auto"/>
          <w:highlight w:val="none"/>
        </w:rPr>
        <w:t>二．评标程序及评审细则</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第五条 评标工作于开标后进行。评标委员会应认真研究招标文件，至少应了解和熟悉以下内容：</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（一）招标的目的；</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（二）招标项目的范围和性质；</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（三）招标文件中规定的主要技术要求、标准和商务条款；</w:t>
      </w:r>
    </w:p>
    <w:p>
      <w:pPr>
        <w:pStyle w:val="19"/>
        <w:spacing w:before="7" w:line="360" w:lineRule="auto"/>
        <w:ind w:left="220" w:leftChars="100" w:right="567" w:firstLine="840" w:firstLineChars="350"/>
        <w:jc w:val="both"/>
        <w:rPr>
          <w:rFonts w:hint="eastAsia" w:ascii="黑体" w:hAnsi="黑体" w:eastAsia="黑体" w:cs="黑体"/>
          <w:color w:val="auto"/>
          <w:highlight w:val="none"/>
        </w:rPr>
      </w:pPr>
      <w:r>
        <w:rPr>
          <w:rFonts w:hint="eastAsia" w:ascii="黑体" w:hAnsi="黑体" w:eastAsia="黑体" w:cs="黑体"/>
          <w:color w:val="auto"/>
          <w:highlight w:val="none"/>
        </w:rPr>
        <w:t>（四）招标文件规定的评标标准、评标方法和在评标过程中考虑的相关因素。</w:t>
      </w:r>
    </w:p>
    <w:p>
      <w:pPr>
        <w:pStyle w:val="19"/>
        <w:spacing w:before="7" w:line="360" w:lineRule="auto"/>
        <w:ind w:left="220" w:leftChars="100" w:right="567" w:firstLine="720" w:firstLineChars="300"/>
        <w:jc w:val="both"/>
        <w:rPr>
          <w:rFonts w:hint="eastAsia" w:ascii="黑体" w:hAnsi="黑体" w:eastAsia="黑体" w:cs="黑体"/>
          <w:color w:val="auto"/>
          <w:highlight w:val="none"/>
        </w:rPr>
      </w:pPr>
      <w:r>
        <w:rPr>
          <w:rFonts w:hint="eastAsia" w:ascii="黑体" w:hAnsi="黑体" w:eastAsia="黑体" w:cs="黑体"/>
          <w:color w:val="auto"/>
          <w:highlight w:val="none"/>
        </w:rPr>
        <w:t>第六条 有效投标应符合以下原则：</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（一）满足招标文件的实质性要求；</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（二）无重大偏离、保留或采购人不能接受的附加条件；</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（三）通过投标有效性评审；</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（四）评标委员会依据招标文件认定的其他原则。</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第七条 评标委员会遵循公开、公平、公正和科学诚信的原则，按照招标文件规定的评标办法对投标文件采用相同程序和标准独立进行评定。</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第八条 综合评分法，是指投标文件满足招标文件全部实质性要求且按照评审因素的量化指标评审得分最高的供应商为中标候选供应商的评标方法。综合评分法的主要因素：投标文件中的技术、</w:t>
      </w:r>
      <w:r>
        <w:rPr>
          <w:rFonts w:hint="eastAsia" w:ascii="黑体" w:hAnsi="黑体" w:eastAsia="黑体" w:cs="黑体"/>
          <w:color w:val="auto"/>
          <w:highlight w:val="none"/>
          <w:lang w:val="en-US"/>
        </w:rPr>
        <w:t>商务</w:t>
      </w:r>
      <w:r>
        <w:rPr>
          <w:rFonts w:hint="eastAsia" w:ascii="黑体" w:hAnsi="黑体" w:eastAsia="黑体" w:cs="黑体"/>
          <w:color w:val="auto"/>
          <w:highlight w:val="none"/>
        </w:rPr>
        <w:t>、价格及相应的分值权重，满分为 100 分。分值及评审程序构成如下：</w:t>
      </w:r>
    </w:p>
    <w:tbl>
      <w:tblPr>
        <w:tblStyle w:val="42"/>
        <w:tblpPr w:leftFromText="180" w:rightFromText="180" w:vertAnchor="text" w:horzAnchor="page" w:tblpX="1303" w:tblpY="143"/>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525" w:type="dxa"/>
            <w:shd w:val="clear" w:color="auto" w:fill="auto"/>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分值构成</w:t>
            </w:r>
          </w:p>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（总分100分）</w:t>
            </w:r>
          </w:p>
        </w:tc>
        <w:tc>
          <w:tcPr>
            <w:tcW w:w="7540" w:type="dxa"/>
            <w:shd w:val="clear" w:color="auto" w:fill="auto"/>
            <w:vAlign w:val="center"/>
          </w:tcPr>
          <w:p>
            <w:pPr>
              <w:spacing w:line="360" w:lineRule="auto"/>
              <w:rPr>
                <w:rFonts w:hint="eastAsia" w:ascii="黑体" w:hAnsi="黑体" w:eastAsia="黑体" w:cs="黑体"/>
                <w:color w:val="auto"/>
                <w:szCs w:val="21"/>
                <w:highlight w:val="none"/>
                <w:u w:val="single"/>
              </w:rPr>
            </w:pPr>
            <w:r>
              <w:rPr>
                <w:rFonts w:hint="eastAsia" w:ascii="黑体" w:hAnsi="黑体" w:eastAsia="黑体" w:cs="黑体"/>
                <w:color w:val="auto"/>
                <w:szCs w:val="21"/>
                <w:highlight w:val="none"/>
              </w:rPr>
              <w:t>价格分值：</w:t>
            </w:r>
            <w:r>
              <w:rPr>
                <w:rFonts w:hint="eastAsia" w:ascii="黑体" w:hAnsi="黑体" w:eastAsia="黑体" w:cs="黑体"/>
                <w:color w:val="auto"/>
                <w:szCs w:val="21"/>
                <w:highlight w:val="none"/>
                <w:u w:val="single"/>
              </w:rPr>
              <w:t>30分</w:t>
            </w:r>
          </w:p>
          <w:p>
            <w:pPr>
              <w:spacing w:line="360" w:lineRule="auto"/>
              <w:rPr>
                <w:rFonts w:hint="eastAsia" w:ascii="黑体" w:hAnsi="黑体" w:eastAsia="黑体" w:cs="黑体"/>
                <w:color w:val="auto"/>
                <w:szCs w:val="21"/>
                <w:highlight w:val="none"/>
                <w:u w:val="single"/>
              </w:rPr>
            </w:pPr>
            <w:r>
              <w:rPr>
                <w:rFonts w:hint="eastAsia" w:ascii="黑体" w:hAnsi="黑体" w:eastAsia="黑体" w:cs="黑体"/>
                <w:color w:val="auto"/>
                <w:szCs w:val="21"/>
                <w:highlight w:val="none"/>
              </w:rPr>
              <w:t>商务部分：</w:t>
            </w:r>
            <w:r>
              <w:rPr>
                <w:rFonts w:hint="eastAsia" w:ascii="黑体" w:hAnsi="黑体" w:eastAsia="黑体" w:cs="黑体"/>
                <w:color w:val="auto"/>
                <w:szCs w:val="21"/>
                <w:highlight w:val="none"/>
                <w:u w:val="single"/>
                <w:lang w:val="en-US" w:eastAsia="zh-CN"/>
              </w:rPr>
              <w:t>10</w:t>
            </w:r>
            <w:r>
              <w:rPr>
                <w:rFonts w:hint="eastAsia" w:ascii="黑体" w:hAnsi="黑体" w:eastAsia="黑体" w:cs="黑体"/>
                <w:color w:val="auto"/>
                <w:szCs w:val="21"/>
                <w:highlight w:val="none"/>
                <w:u w:val="single"/>
              </w:rPr>
              <w:t>分</w:t>
            </w:r>
          </w:p>
          <w:p>
            <w:pPr>
              <w:spacing w:line="360" w:lineRule="auto"/>
              <w:rPr>
                <w:rFonts w:hint="eastAsia" w:ascii="黑体" w:hAnsi="黑体" w:eastAsia="黑体" w:cs="黑体"/>
                <w:color w:val="auto"/>
                <w:szCs w:val="21"/>
                <w:highlight w:val="none"/>
                <w:u w:val="single"/>
              </w:rPr>
            </w:pPr>
            <w:r>
              <w:rPr>
                <w:rFonts w:hint="eastAsia" w:ascii="黑体" w:hAnsi="黑体" w:eastAsia="黑体" w:cs="黑体"/>
                <w:color w:val="auto"/>
                <w:szCs w:val="21"/>
                <w:highlight w:val="none"/>
              </w:rPr>
              <w:t>技术部分：</w:t>
            </w:r>
            <w:r>
              <w:rPr>
                <w:rFonts w:hint="eastAsia" w:ascii="黑体" w:hAnsi="黑体" w:eastAsia="黑体" w:cs="黑体"/>
                <w:color w:val="auto"/>
                <w:szCs w:val="21"/>
                <w:highlight w:val="none"/>
                <w:u w:val="single"/>
                <w:lang w:val="en-US" w:eastAsia="zh-CN"/>
              </w:rPr>
              <w:t>60</w:t>
            </w:r>
            <w:r>
              <w:rPr>
                <w:rFonts w:hint="eastAsia" w:ascii="黑体" w:hAnsi="黑体" w:eastAsia="黑体" w:cs="黑体"/>
                <w:color w:val="auto"/>
                <w:szCs w:val="21"/>
                <w:highlight w:val="none"/>
                <w:u w:val="single"/>
              </w:rPr>
              <w:t>分</w:t>
            </w:r>
          </w:p>
        </w:tc>
      </w:tr>
    </w:tbl>
    <w:p>
      <w:pPr>
        <w:pStyle w:val="19"/>
        <w:tabs>
          <w:tab w:val="left" w:pos="8742"/>
          <w:tab w:val="left" w:pos="9222"/>
          <w:tab w:val="left" w:pos="9702"/>
        </w:tabs>
        <w:spacing w:line="220" w:lineRule="auto"/>
        <w:ind w:left="0" w:right="1121"/>
        <w:rPr>
          <w:rFonts w:hint="eastAsia" w:ascii="黑体" w:hAnsi="黑体" w:eastAsia="黑体" w:cs="黑体"/>
          <w:color w:val="auto"/>
          <w:highlight w:val="none"/>
        </w:rPr>
      </w:pPr>
    </w:p>
    <w:p>
      <w:pPr>
        <w:pStyle w:val="19"/>
        <w:numPr>
          <w:ilvl w:val="0"/>
          <w:numId w:val="65"/>
        </w:numPr>
        <w:tabs>
          <w:tab w:val="left" w:pos="8742"/>
          <w:tab w:val="left" w:pos="9222"/>
          <w:tab w:val="left" w:pos="9702"/>
        </w:tabs>
        <w:spacing w:line="220" w:lineRule="auto"/>
        <w:ind w:left="0" w:right="1121" w:firstLine="720" w:firstLineChars="300"/>
        <w:rPr>
          <w:rFonts w:hint="eastAsia" w:ascii="黑体" w:hAnsi="黑体" w:eastAsia="黑体" w:cs="黑体"/>
          <w:color w:val="auto"/>
          <w:highlight w:val="none"/>
        </w:rPr>
      </w:pPr>
      <w:r>
        <w:rPr>
          <w:rFonts w:hint="eastAsia" w:ascii="黑体" w:hAnsi="黑体" w:eastAsia="黑体" w:cs="黑体"/>
          <w:color w:val="auto"/>
          <w:highlight w:val="none"/>
        </w:rPr>
        <w:t>采购人代表或公正部门人员对投标人资格进行资格审查。</w:t>
      </w:r>
    </w:p>
    <w:p>
      <w:pPr>
        <w:pStyle w:val="224"/>
        <w:spacing w:line="288" w:lineRule="auto"/>
        <w:rPr>
          <w:rFonts w:hint="eastAsia" w:ascii="黑体" w:hAnsi="黑体" w:eastAsia="黑体" w:cs="黑体"/>
          <w:color w:val="auto"/>
          <w:sz w:val="24"/>
          <w:szCs w:val="24"/>
        </w:rPr>
      </w:pPr>
      <w:r>
        <w:rPr>
          <w:rFonts w:hint="eastAsia" w:ascii="黑体" w:hAnsi="黑体" w:eastAsia="黑体" w:cs="黑体"/>
          <w:color w:val="auto"/>
          <w:sz w:val="28"/>
          <w:szCs w:val="24"/>
          <w:highlight w:val="none"/>
        </w:rPr>
        <w:t>1、</w:t>
      </w:r>
      <w:r>
        <w:rPr>
          <w:rFonts w:hint="eastAsia" w:ascii="黑体" w:hAnsi="黑体" w:eastAsia="黑体" w:cs="黑体"/>
          <w:color w:val="auto"/>
          <w:sz w:val="24"/>
          <w:szCs w:val="24"/>
        </w:rPr>
        <w:t>符合《中华人民共和国政府采购法》第二十二条的规定。国内工商登记注册，有能力完成本项目的全部要求的供应商；</w:t>
      </w:r>
    </w:p>
    <w:p>
      <w:pPr>
        <w:pStyle w:val="224"/>
        <w:spacing w:line="288" w:lineRule="auto"/>
        <w:rPr>
          <w:rFonts w:hint="eastAsia" w:ascii="黑体" w:hAnsi="黑体" w:eastAsia="黑体" w:cs="黑体"/>
          <w:color w:val="auto"/>
          <w:sz w:val="24"/>
          <w:szCs w:val="24"/>
        </w:rPr>
      </w:pPr>
      <w:r>
        <w:rPr>
          <w:rFonts w:hint="eastAsia" w:ascii="黑体" w:hAnsi="黑体" w:eastAsia="黑体" w:cs="黑体"/>
          <w:color w:val="auto"/>
          <w:sz w:val="24"/>
          <w:szCs w:val="24"/>
        </w:rPr>
        <w:t xml:space="preserve">2、投标人资质要求： </w:t>
      </w:r>
    </w:p>
    <w:p>
      <w:pPr>
        <w:pStyle w:val="54"/>
        <w:spacing w:line="288" w:lineRule="auto"/>
        <w:ind w:left="0" w:leftChars="0" w:firstLine="0"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rPr>
        <w:t>（</w:t>
      </w:r>
      <w:r>
        <w:rPr>
          <w:rFonts w:hint="eastAsia" w:ascii="黑体" w:hAnsi="黑体" w:eastAsia="黑体" w:cs="黑体"/>
          <w:color w:val="auto"/>
          <w:sz w:val="24"/>
          <w:szCs w:val="24"/>
          <w:u w:val="none"/>
        </w:rPr>
        <w:t>1）单位负责人为同一人或者存在直接控股、管理关系的不同供应商不得参加本项目同一包的投标；</w:t>
      </w:r>
    </w:p>
    <w:p>
      <w:pPr>
        <w:pStyle w:val="54"/>
        <w:spacing w:line="288" w:lineRule="auto"/>
        <w:ind w:left="0" w:leftChars="0" w:firstLine="0"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lang w:val="en-US" w:eastAsia="zh-CN"/>
        </w:rPr>
        <w:t>2）</w:t>
      </w:r>
      <w:r>
        <w:rPr>
          <w:rFonts w:hint="eastAsia" w:ascii="黑体" w:hAnsi="黑体" w:eastAsia="黑体" w:cs="黑体"/>
          <w:color w:val="auto"/>
          <w:sz w:val="24"/>
          <w:szCs w:val="24"/>
          <w:u w:val="none"/>
        </w:rPr>
        <w:t>供应商未列入失信被执行人、重大税收违法案件当事人名单、政府采购严重违法失信行为记录名单（财库[2016]125号）。</w:t>
      </w:r>
    </w:p>
    <w:p>
      <w:pPr>
        <w:pStyle w:val="54"/>
        <w:numPr>
          <w:ilvl w:val="0"/>
          <w:numId w:val="0"/>
        </w:numPr>
        <w:spacing w:line="288" w:lineRule="auto"/>
        <w:ind w:leftChars="0"/>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（3）具有独立承担民事责任的能力，合法经营具备工商营业执照、组织机构代码证（三证合一企业无需提供）、税务登记证（三证合一企业无需提供）；</w:t>
      </w:r>
    </w:p>
    <w:p>
      <w:pPr>
        <w:pStyle w:val="54"/>
        <w:numPr>
          <w:ilvl w:val="0"/>
          <w:numId w:val="0"/>
        </w:numPr>
        <w:spacing w:line="288" w:lineRule="auto"/>
        <w:ind w:left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4）具有有效的医疗器械经营许可证供应商须具有第二类医疗器械经营许可证(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5）具有良好信誉和财务状况，在经营活动中没有违法记录。</w:t>
      </w:r>
    </w:p>
    <w:p>
      <w:pPr>
        <w:numPr>
          <w:ilvl w:val="0"/>
          <w:numId w:val="0"/>
        </w:numPr>
        <w:spacing w:line="409" w:lineRule="exact"/>
        <w:rPr>
          <w:rFonts w:hint="eastAsia" w:ascii="黑体" w:hAnsi="黑体" w:eastAsia="黑体" w:cs="黑体"/>
          <w:color w:val="auto"/>
          <w:sz w:val="24"/>
          <w:szCs w:val="24"/>
          <w:u w:val="single"/>
          <w:lang w:val="en-US" w:eastAsia="zh-CN"/>
        </w:rPr>
      </w:pPr>
      <w:r>
        <w:rPr>
          <w:rFonts w:hint="eastAsia" w:ascii="黑体" w:hAnsi="黑体" w:eastAsia="黑体" w:cs="黑体"/>
          <w:color w:val="auto"/>
          <w:sz w:val="24"/>
          <w:szCs w:val="24"/>
          <w:u w:val="none"/>
          <w:lang w:val="en-US" w:eastAsia="zh-CN"/>
        </w:rPr>
        <w:t>3、本项目不接受联合体投标</w:t>
      </w:r>
    </w:p>
    <w:p>
      <w:pPr>
        <w:pStyle w:val="19"/>
        <w:tabs>
          <w:tab w:val="left" w:pos="8742"/>
          <w:tab w:val="left" w:pos="9222"/>
          <w:tab w:val="left" w:pos="9702"/>
        </w:tabs>
        <w:spacing w:line="220" w:lineRule="auto"/>
        <w:ind w:left="0" w:right="1121"/>
        <w:rPr>
          <w:rFonts w:hint="eastAsia" w:ascii="黑体" w:hAnsi="黑体" w:eastAsia="黑体" w:cs="黑体"/>
          <w:color w:val="auto"/>
          <w:spacing w:val="-3"/>
          <w:highlight w:val="none"/>
        </w:rPr>
      </w:pPr>
    </w:p>
    <w:p>
      <w:pPr>
        <w:rPr>
          <w:rFonts w:hint="eastAsia" w:ascii="黑体" w:hAnsi="黑体" w:eastAsia="黑体" w:cs="黑体"/>
          <w:color w:val="auto"/>
          <w:highlight w:val="none"/>
        </w:rPr>
      </w:pPr>
      <w:r>
        <w:rPr>
          <w:rFonts w:hint="eastAsia" w:ascii="黑体" w:hAnsi="黑体" w:eastAsia="黑体" w:cs="黑体"/>
          <w:color w:val="auto"/>
          <w:highlight w:val="none"/>
        </w:rPr>
        <w:br w:type="page"/>
      </w:r>
    </w:p>
    <w:p>
      <w:pPr>
        <w:pStyle w:val="19"/>
        <w:tabs>
          <w:tab w:val="left" w:pos="8742"/>
          <w:tab w:val="left" w:pos="9222"/>
          <w:tab w:val="left" w:pos="9702"/>
        </w:tabs>
        <w:spacing w:line="220" w:lineRule="auto"/>
        <w:ind w:left="0" w:right="1121"/>
        <w:rPr>
          <w:rFonts w:hint="eastAsia" w:ascii="黑体" w:hAnsi="黑体" w:eastAsia="黑体" w:cs="黑体"/>
          <w:color w:val="auto"/>
          <w:highlight w:val="none"/>
        </w:rPr>
      </w:pPr>
      <w:r>
        <w:rPr>
          <w:rFonts w:hint="eastAsia" w:ascii="黑体" w:hAnsi="黑体" w:eastAsia="黑体" w:cs="黑体"/>
          <w:color w:val="auto"/>
          <w:highlight w:val="none"/>
        </w:rPr>
        <w:t>2、 资格审查合格后，评标委员会对投标文件进行符合性审查。</w:t>
      </w:r>
    </w:p>
    <w:tbl>
      <w:tblPr>
        <w:tblStyle w:val="42"/>
        <w:tblW w:w="9700"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94"/>
        <w:gridCol w:w="1051"/>
        <w:gridCol w:w="1500"/>
        <w:gridCol w:w="4608"/>
        <w:gridCol w:w="996"/>
        <w:gridCol w:w="85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45"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评分因素</w:t>
            </w:r>
          </w:p>
        </w:tc>
        <w:tc>
          <w:tcPr>
            <w:tcW w:w="1500"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评分点</w:t>
            </w:r>
          </w:p>
        </w:tc>
        <w:tc>
          <w:tcPr>
            <w:tcW w:w="4608"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评分标准</w:t>
            </w:r>
          </w:p>
        </w:tc>
        <w:tc>
          <w:tcPr>
            <w:tcW w:w="1847"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45"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500"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4608"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是</w:t>
            </w: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5" w:hRule="atLeast"/>
        </w:trPr>
        <w:tc>
          <w:tcPr>
            <w:tcW w:w="694" w:type="dxa"/>
            <w:vMerge w:val="restart"/>
            <w:tcBorders>
              <w:top w:val="outset" w:color="auto" w:sz="6" w:space="0"/>
              <w:left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color w:val="auto"/>
              </w:rPr>
              <w:t>初步评审</w:t>
            </w:r>
          </w:p>
        </w:tc>
        <w:tc>
          <w:tcPr>
            <w:tcW w:w="1051" w:type="dxa"/>
            <w:vMerge w:val="restart"/>
            <w:tcBorders>
              <w:top w:val="outset" w:color="auto" w:sz="6" w:space="0"/>
              <w:left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资格检查</w:t>
            </w: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营业执照</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是否具备有效的营业执照</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right w:val="outset" w:color="auto" w:sz="6" w:space="0"/>
            </w:tcBorders>
            <w:noWrap w:val="0"/>
            <w:vAlign w:val="center"/>
          </w:tcPr>
          <w:p>
            <w:pPr>
              <w:jc w:val="both"/>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lang w:val="en-US" w:eastAsia="zh-CN"/>
              </w:rPr>
            </w:pPr>
            <w:r>
              <w:rPr>
                <w:rFonts w:hint="eastAsia" w:ascii="黑体" w:hAnsi="黑体" w:eastAsia="黑体" w:cs="黑体"/>
                <w:color w:val="auto"/>
              </w:rPr>
              <w:t>保证金</w:t>
            </w:r>
            <w:r>
              <w:rPr>
                <w:rFonts w:hint="eastAsia" w:ascii="黑体" w:hAnsi="黑体" w:eastAsia="黑体" w:cs="黑体"/>
                <w:color w:val="auto"/>
                <w:lang w:val="en-US" w:eastAsia="zh-CN"/>
              </w:rPr>
              <w:t>缴纳</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是否按照招标文件要求缴纳投标保证金</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35"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right w:val="outset" w:color="auto" w:sz="6" w:space="0"/>
            </w:tcBorders>
            <w:noWrap w:val="0"/>
            <w:vAlign w:val="center"/>
          </w:tcPr>
          <w:p>
            <w:pPr>
              <w:jc w:val="both"/>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lang w:val="en-US" w:eastAsia="zh-CN"/>
              </w:rPr>
              <w:t>医疗器械经营许可证</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default" w:ascii="黑体" w:hAnsi="黑体" w:eastAsia="黑体" w:cs="黑体"/>
                <w:color w:val="auto"/>
                <w:lang w:val="en-US"/>
              </w:rPr>
            </w:pPr>
            <w:r>
              <w:rPr>
                <w:rFonts w:hint="eastAsia" w:ascii="黑体" w:hAnsi="黑体" w:eastAsia="黑体" w:cs="黑体"/>
                <w:color w:val="auto"/>
              </w:rPr>
              <w:t>是否具备有效的</w:t>
            </w:r>
            <w:r>
              <w:rPr>
                <w:rFonts w:hint="eastAsia" w:ascii="黑体" w:hAnsi="黑体" w:eastAsia="黑体" w:cs="黑体"/>
                <w:color w:val="auto"/>
                <w:lang w:val="en-US" w:eastAsia="zh-CN"/>
              </w:rPr>
              <w:t>第二类医疗器械经营许可证；生产商</w:t>
            </w:r>
            <w:r>
              <w:rPr>
                <w:rFonts w:hint="eastAsia" w:ascii="黑体" w:hAnsi="黑体" w:eastAsia="黑体" w:cs="黑体"/>
                <w:color w:val="auto"/>
              </w:rPr>
              <w:t>是否具备有效的</w:t>
            </w:r>
            <w:r>
              <w:rPr>
                <w:rFonts w:hint="eastAsia" w:ascii="黑体" w:hAnsi="黑体" w:eastAsia="黑体" w:cs="黑体"/>
                <w:color w:val="auto"/>
                <w:lang w:val="en-US" w:eastAsia="zh-CN"/>
              </w:rPr>
              <w:t>医疗器械生产许可证；生产商是否提供</w:t>
            </w:r>
            <w:r>
              <w:rPr>
                <w:rFonts w:hint="eastAsia" w:ascii="黑体" w:hAnsi="黑体" w:eastAsia="黑体" w:cs="黑体"/>
                <w:color w:val="auto"/>
              </w:rPr>
              <w:t>所投产品的医疗器械</w:t>
            </w:r>
            <w:r>
              <w:rPr>
                <w:rFonts w:hint="eastAsia" w:ascii="黑体" w:hAnsi="黑体" w:eastAsia="黑体" w:cs="黑体"/>
                <w:color w:val="auto"/>
                <w:lang w:val="en-US" w:eastAsia="zh-CN"/>
              </w:rPr>
              <w:t>注册</w:t>
            </w:r>
            <w:r>
              <w:rPr>
                <w:rFonts w:hint="eastAsia" w:ascii="黑体" w:hAnsi="黑体" w:eastAsia="黑体" w:cs="黑体"/>
                <w:color w:val="auto"/>
              </w:rPr>
              <w:t>证</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95"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right w:val="outset" w:color="auto" w:sz="6" w:space="0"/>
            </w:tcBorders>
            <w:noWrap w:val="0"/>
            <w:vAlign w:val="center"/>
          </w:tcPr>
          <w:p>
            <w:pPr>
              <w:jc w:val="both"/>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sz w:val="22"/>
                <w:szCs w:val="22"/>
                <w:lang w:val="en-US" w:eastAsia="zh-CN"/>
              </w:rPr>
              <w:t>信用中国</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lang w:val="en-US" w:eastAsia="zh-CN"/>
              </w:rPr>
            </w:pPr>
            <w:r>
              <w:rPr>
                <w:rFonts w:hint="eastAsia" w:ascii="黑体" w:hAnsi="黑体" w:eastAsia="黑体" w:cs="黑体"/>
                <w:color w:val="auto"/>
                <w:sz w:val="22"/>
                <w:szCs w:val="22"/>
                <w:lang w:val="en-US" w:eastAsia="zh-CN"/>
              </w:rPr>
              <w:t>通过“信用中国”渠道查询的加盖公章的主体信用记录网页截图（时间节点为开标前20日内）</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95"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right w:val="outset" w:color="auto" w:sz="6" w:space="0"/>
            </w:tcBorders>
            <w:noWrap w:val="0"/>
            <w:vAlign w:val="center"/>
          </w:tcPr>
          <w:p>
            <w:pPr>
              <w:jc w:val="both"/>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sz w:val="22"/>
                <w:szCs w:val="22"/>
                <w:lang w:val="en-US" w:eastAsia="zh-CN"/>
              </w:rPr>
              <w:t>政府采购网</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lang w:val="en-US" w:eastAsia="zh-CN"/>
              </w:rPr>
            </w:pPr>
            <w:r>
              <w:rPr>
                <w:rFonts w:hint="eastAsia" w:ascii="黑体" w:hAnsi="黑体" w:eastAsia="黑体" w:cs="黑体"/>
                <w:color w:val="auto"/>
                <w:sz w:val="22"/>
                <w:szCs w:val="22"/>
                <w:lang w:val="en-US" w:eastAsia="zh-CN"/>
              </w:rPr>
              <w:t>“中国政府采购网”渠道查询的加盖公章的主体信用记录网页截图（时间节点为开标前20日内）</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restart"/>
            <w:tcBorders>
              <w:top w:val="outset" w:color="auto" w:sz="6" w:space="0"/>
              <w:left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color w:val="auto"/>
              </w:rPr>
              <w:t>符合性检查</w:t>
            </w: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lang w:val="en-US" w:eastAsia="zh-CN"/>
              </w:rPr>
              <w:t>投标报价</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只允许一个有效报价，且不超过项目预算；经评标委员会认定不低于成本的</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投标人名称</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是否与营业执照、税务登记证、资质证书一致</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供货期、质量</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供货期、质量是否符合招标文件要求</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其他要求</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投标文件未附有招标人不能接受的条件；没有不满足招标文件实质性要求的其他情形；</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lang w:val="en-US" w:eastAsia="zh-CN"/>
              </w:rPr>
              <w:t>投标有效期</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lang w:val="en-US" w:eastAsia="zh-CN"/>
              </w:rPr>
              <w:t>满足招标文件要求</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4" w:type="dxa"/>
            <w:vMerge w:val="continue"/>
            <w:tcBorders>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051" w:type="dxa"/>
            <w:vMerge w:val="continue"/>
            <w:tcBorders>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lang w:val="en-US" w:eastAsia="zh-CN"/>
              </w:rPr>
              <w:t>投标文件的内容和签署</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rPr>
            </w:pPr>
            <w:r>
              <w:rPr>
                <w:rFonts w:hint="eastAsia" w:ascii="黑体" w:hAnsi="黑体" w:eastAsia="黑体" w:cs="黑体"/>
                <w:color w:val="auto"/>
              </w:rPr>
              <w:t>投标文件按照规定由企业法人或法人授权代表逐一签章、盖章；投标内容符合招标文件要求</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rPr>
            </w:pPr>
          </w:p>
        </w:tc>
      </w:tr>
    </w:tbl>
    <w:p>
      <w:pPr>
        <w:pStyle w:val="19"/>
        <w:tabs>
          <w:tab w:val="left" w:pos="8742"/>
          <w:tab w:val="left" w:pos="9222"/>
          <w:tab w:val="left" w:pos="9702"/>
        </w:tabs>
        <w:spacing w:line="220" w:lineRule="auto"/>
        <w:ind w:left="0" w:right="1121"/>
        <w:rPr>
          <w:rFonts w:hint="eastAsia" w:ascii="黑体" w:hAnsi="黑体" w:eastAsia="黑体" w:cs="黑体"/>
          <w:color w:val="auto"/>
          <w:highlight w:val="none"/>
        </w:rPr>
      </w:pPr>
    </w:p>
    <w:p>
      <w:pPr>
        <w:pStyle w:val="19"/>
        <w:spacing w:before="33" w:line="360" w:lineRule="auto"/>
        <w:ind w:left="480" w:leftChars="218" w:right="567" w:firstLine="480" w:firstLineChars="200"/>
        <w:jc w:val="both"/>
        <w:rPr>
          <w:rFonts w:hint="eastAsia" w:ascii="黑体" w:hAnsi="黑体" w:eastAsia="黑体" w:cs="黑体"/>
          <w:color w:val="auto"/>
          <w:highlight w:val="none"/>
        </w:rPr>
      </w:pPr>
      <w:r>
        <w:rPr>
          <w:rFonts w:hint="eastAsia" w:ascii="黑体" w:hAnsi="黑体" w:eastAsia="黑体" w:cs="黑体"/>
          <w:color w:val="auto"/>
          <w:highlight w:val="none"/>
        </w:rPr>
        <w:t>3</w:t>
      </w:r>
      <w:r>
        <w:rPr>
          <w:rFonts w:hint="eastAsia" w:ascii="黑体" w:hAnsi="黑体" w:eastAsia="黑体" w:cs="黑体"/>
          <w:color w:val="auto"/>
          <w:spacing w:val="-9"/>
          <w:highlight w:val="none"/>
        </w:rPr>
        <w:t>、对投标文件进行详细审查。评标委员会只对通过符合性审查，实质上响应招标文件要求的投标文件按照下述指标表进行详细审查。</w:t>
      </w:r>
    </w:p>
    <w:p>
      <w:pPr>
        <w:pStyle w:val="19"/>
        <w:tabs>
          <w:tab w:val="left" w:pos="3792"/>
          <w:tab w:val="left" w:pos="5472"/>
        </w:tabs>
        <w:spacing w:line="360" w:lineRule="auto"/>
        <w:ind w:right="567" w:firstLine="252" w:firstLineChars="100"/>
        <w:jc w:val="both"/>
        <w:rPr>
          <w:rFonts w:hint="eastAsia" w:ascii="黑体" w:hAnsi="黑体" w:eastAsia="黑体" w:cs="黑体"/>
          <w:color w:val="auto"/>
          <w:w w:val="105"/>
          <w:highlight w:val="none"/>
        </w:rPr>
      </w:pPr>
      <w:r>
        <w:rPr>
          <w:rFonts w:hint="eastAsia" w:ascii="黑体" w:hAnsi="黑体" w:eastAsia="黑体" w:cs="黑体"/>
          <w:color w:val="auto"/>
          <w:w w:val="105"/>
          <w:highlight w:val="none"/>
        </w:rPr>
        <w:t>4、本项目技术分值占总分值的权重为</w:t>
      </w:r>
      <w:r>
        <w:rPr>
          <w:rFonts w:hint="eastAsia" w:ascii="黑体" w:hAnsi="黑体" w:eastAsia="黑体" w:cs="黑体"/>
          <w:color w:val="auto"/>
          <w:w w:val="105"/>
          <w:highlight w:val="none"/>
          <w:u w:val="single"/>
          <w:lang w:val="en-US" w:eastAsia="zh-CN"/>
        </w:rPr>
        <w:t>60</w:t>
      </w:r>
      <w:r>
        <w:rPr>
          <w:rFonts w:hint="eastAsia" w:ascii="黑体" w:hAnsi="黑体" w:eastAsia="黑体" w:cs="黑体"/>
          <w:color w:val="auto"/>
          <w:w w:val="105"/>
          <w:highlight w:val="none"/>
          <w:u w:val="single"/>
        </w:rPr>
        <w:tab/>
      </w:r>
      <w:r>
        <w:rPr>
          <w:rFonts w:hint="eastAsia" w:ascii="黑体" w:hAnsi="黑体" w:eastAsia="黑体" w:cs="黑体"/>
          <w:color w:val="auto"/>
          <w:spacing w:val="-29"/>
          <w:w w:val="105"/>
          <w:highlight w:val="none"/>
        </w:rPr>
        <w:t>%，商务部分</w:t>
      </w:r>
      <w:r>
        <w:rPr>
          <w:rFonts w:hint="eastAsia" w:ascii="黑体" w:hAnsi="黑体" w:eastAsia="黑体" w:cs="黑体"/>
          <w:color w:val="auto"/>
          <w:w w:val="105"/>
          <w:highlight w:val="none"/>
        </w:rPr>
        <w:t>分值的权重为</w:t>
      </w:r>
      <w:r>
        <w:rPr>
          <w:rFonts w:hint="eastAsia" w:ascii="黑体" w:hAnsi="黑体" w:eastAsia="黑体" w:cs="黑体"/>
          <w:color w:val="auto"/>
          <w:w w:val="105"/>
          <w:highlight w:val="none"/>
          <w:u w:val="single"/>
          <w:lang w:val="en-US" w:eastAsia="zh-CN"/>
        </w:rPr>
        <w:t>10</w:t>
      </w:r>
      <w:r>
        <w:rPr>
          <w:rFonts w:hint="eastAsia" w:ascii="黑体" w:hAnsi="黑体" w:eastAsia="黑体" w:cs="黑体"/>
          <w:color w:val="auto"/>
          <w:spacing w:val="-30"/>
          <w:w w:val="105"/>
          <w:highlight w:val="none"/>
          <w:u w:val="single"/>
        </w:rPr>
        <w:t>%</w:t>
      </w:r>
      <w:r>
        <w:rPr>
          <w:rFonts w:hint="eastAsia" w:ascii="黑体" w:hAnsi="黑体" w:eastAsia="黑体" w:cs="黑体"/>
          <w:color w:val="auto"/>
          <w:spacing w:val="-30"/>
          <w:w w:val="105"/>
          <w:highlight w:val="none"/>
        </w:rPr>
        <w:t>，</w:t>
      </w:r>
      <w:r>
        <w:rPr>
          <w:rFonts w:hint="eastAsia" w:ascii="黑体" w:hAnsi="黑体" w:eastAsia="黑体" w:cs="黑体"/>
          <w:color w:val="auto"/>
          <w:spacing w:val="-60"/>
          <w:w w:val="105"/>
          <w:highlight w:val="none"/>
        </w:rPr>
        <w:t>价</w:t>
      </w:r>
      <w:r>
        <w:rPr>
          <w:rFonts w:hint="eastAsia" w:ascii="黑体" w:hAnsi="黑体" w:eastAsia="黑体" w:cs="黑体"/>
          <w:color w:val="auto"/>
          <w:w w:val="105"/>
          <w:highlight w:val="none"/>
        </w:rPr>
        <w:t>格分值占总分值的权重为</w:t>
      </w:r>
      <w:r>
        <w:rPr>
          <w:rFonts w:hint="eastAsia" w:ascii="黑体" w:hAnsi="黑体" w:eastAsia="黑体" w:cs="黑体"/>
          <w:color w:val="auto"/>
          <w:w w:val="105"/>
          <w:highlight w:val="none"/>
          <w:u w:val="single"/>
        </w:rPr>
        <w:t>30</w:t>
      </w:r>
      <w:r>
        <w:rPr>
          <w:rFonts w:hint="eastAsia" w:ascii="黑体" w:hAnsi="黑体" w:eastAsia="黑体" w:cs="黑体"/>
          <w:color w:val="auto"/>
          <w:w w:val="105"/>
          <w:highlight w:val="none"/>
        </w:rPr>
        <w:t>%。具体评分细则见第八章。</w:t>
      </w:r>
    </w:p>
    <w:p>
      <w:pPr>
        <w:keepNext w:val="0"/>
        <w:keepLines w:val="0"/>
        <w:pageBreakBefore w:val="0"/>
        <w:widowControl w:val="0"/>
        <w:kinsoku/>
        <w:wordWrap/>
        <w:overflowPunct/>
        <w:topLinePunct w:val="0"/>
        <w:autoSpaceDE/>
        <w:autoSpaceDN/>
        <w:bidi w:val="0"/>
        <w:adjustRightInd w:val="0"/>
        <w:snapToGrid w:val="0"/>
        <w:spacing w:before="0" w:beforeLines="100" w:after="0" w:afterLines="100" w:line="360" w:lineRule="auto"/>
        <w:ind w:left="444" w:leftChars="202" w:firstLine="252" w:firstLineChars="100"/>
        <w:textAlignment w:val="auto"/>
        <w:rPr>
          <w:rFonts w:hint="eastAsia" w:ascii="黑体" w:hAnsi="黑体" w:eastAsia="黑体" w:cs="黑体"/>
          <w:color w:val="auto"/>
          <w:w w:val="105"/>
          <w:highlight w:val="none"/>
        </w:rPr>
      </w:pPr>
      <w:r>
        <w:rPr>
          <w:rFonts w:hint="eastAsia" w:ascii="黑体" w:hAnsi="黑体" w:eastAsia="黑体" w:cs="黑体"/>
          <w:color w:val="auto"/>
          <w:w w:val="105"/>
          <w:sz w:val="24"/>
          <w:szCs w:val="24"/>
          <w:highlight w:val="none"/>
          <w:lang w:val="en-US" w:eastAsia="zh-CN" w:bidi="zh-CN"/>
        </w:rPr>
        <w:t>5、</w:t>
      </w:r>
      <w:r>
        <w:rPr>
          <w:rFonts w:hint="eastAsia" w:ascii="黑体" w:hAnsi="黑体" w:eastAsia="黑体" w:cs="黑体"/>
          <w:color w:val="auto"/>
          <w:w w:val="105"/>
          <w:sz w:val="24"/>
          <w:szCs w:val="24"/>
          <w:highlight w:val="none"/>
          <w:lang w:val="zh-CN" w:eastAsia="zh-CN" w:bidi="zh-CN"/>
        </w:rPr>
        <w:t>评标委员会认为供应商的报价明显低于其他供应商的报价，有可能影响产品质量或者不能诚信履约的，应当要求其在评审现场合理的时间内提供书面说明，必要时提交相关证明材料；供应商不能证明其报价合理性的，评审小组应当将其按响应无效处理。</w:t>
      </w:r>
    </w:p>
    <w:p>
      <w:pPr>
        <w:pStyle w:val="19"/>
        <w:spacing w:before="33" w:line="360" w:lineRule="auto"/>
        <w:ind w:right="567" w:firstLine="240" w:firstLineChars="100"/>
        <w:jc w:val="both"/>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6</w:t>
      </w:r>
      <w:r>
        <w:rPr>
          <w:rFonts w:hint="eastAsia" w:ascii="黑体" w:hAnsi="黑体" w:eastAsia="黑体" w:cs="黑体"/>
          <w:color w:val="auto"/>
          <w:highlight w:val="none"/>
        </w:rPr>
        <w:t>、得分汇总</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（1）将每个有效投标供应商的技术及商务之和加上根据上述标准计算出的价格分， 即为该投标供应商的综合总得分。</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（2）按照有效投标供应商综合总得分由高到低依次排出中标供应商及中标候选供应商。</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第九条 评委独立评审后，评标委员会对投标供应商某项指标如有不同意见，按照少数服从多数的原则确定。各投标供应商的得分分值一经得出，并核对无误后，任何人不得更改。</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第十条 评标委员会在评标过程中发现的问题，应当区别情形及时作出处理或者向采购人提出处理建议，并作书面记录。</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第十一条 投标供应商有串通投标、弄虚作假、行贿等违法行为，评委会有权否决其投标。</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第十二条 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第十三条 评标委员会成员应当在评标报告上签字，对自己的评审意见承担法律责任。对评标报告有异议的，应当在评标报告上签署不同意见，并说明理由，否则视为同意评标报告。</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三．评标纪律</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第十四条 评标委员会和评标工作人员应严格遵守国家的法律、法规和规章制度；严格按照本次招标文件进行评标；公正廉洁、不徇私情，不得损害国家利益；保护采购人、投标供应商的合法权益。</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第十五条 在评标过程中，评委及其他评标工作人员必须对评标情况严格保密，任何人不得将评标情况透露给与投标供应商有关的单位和个人。如有违反评标纪律的情况发生， 将依据政府采购法律法规的规定，追究有关当事人的责任。</w:t>
      </w:r>
    </w:p>
    <w:p>
      <w:pPr>
        <w:pStyle w:val="15"/>
        <w:rPr>
          <w:rFonts w:hint="eastAsia" w:ascii="黑体" w:hAnsi="黑体" w:eastAsia="黑体" w:cs="黑体"/>
          <w:b/>
          <w:color w:val="auto"/>
          <w:highlight w:val="none"/>
        </w:rPr>
      </w:pPr>
      <w:bookmarkStart w:id="66" w:name="_bookmark10"/>
      <w:bookmarkEnd w:id="66"/>
      <w:bookmarkStart w:id="67" w:name="第五章_采购合同"/>
      <w:bookmarkEnd w:id="67"/>
    </w:p>
    <w:p>
      <w:pPr>
        <w:pStyle w:val="15"/>
        <w:rPr>
          <w:rFonts w:hint="eastAsia" w:ascii="黑体" w:hAnsi="黑体" w:eastAsia="黑体" w:cs="黑体"/>
          <w:b/>
          <w:color w:val="auto"/>
          <w:highlight w:val="none"/>
        </w:rPr>
      </w:pPr>
    </w:p>
    <w:p>
      <w:pPr>
        <w:rPr>
          <w:rFonts w:hint="eastAsia" w:ascii="黑体" w:hAnsi="黑体" w:eastAsia="黑体" w:cs="黑体"/>
          <w:b/>
          <w:color w:val="auto"/>
          <w:sz w:val="36"/>
        </w:rPr>
      </w:pPr>
      <w:bookmarkStart w:id="68" w:name="_Toc18985"/>
      <w:r>
        <w:rPr>
          <w:rFonts w:hint="eastAsia" w:ascii="黑体" w:hAnsi="黑体" w:eastAsia="黑体" w:cs="黑体"/>
          <w:b/>
          <w:color w:val="auto"/>
          <w:sz w:val="36"/>
        </w:rPr>
        <w:br w:type="page"/>
      </w:r>
    </w:p>
    <w:p>
      <w:pPr>
        <w:pStyle w:val="3"/>
        <w:tabs>
          <w:tab w:val="left" w:pos="0"/>
        </w:tabs>
        <w:spacing w:line="360" w:lineRule="auto"/>
        <w:ind w:left="0" w:leftChars="0" w:firstLine="0" w:firstLineChars="0"/>
        <w:jc w:val="center"/>
        <w:outlineLvl w:val="0"/>
        <w:rPr>
          <w:rFonts w:hint="eastAsia" w:ascii="黑体" w:hAnsi="黑体" w:eastAsia="黑体" w:cs="黑体"/>
          <w:b/>
          <w:color w:val="auto"/>
          <w:sz w:val="36"/>
        </w:rPr>
      </w:pPr>
      <w:r>
        <w:rPr>
          <w:rFonts w:hint="eastAsia" w:ascii="黑体" w:hAnsi="黑体" w:eastAsia="黑体" w:cs="黑体"/>
          <w:b/>
          <w:color w:val="auto"/>
          <w:sz w:val="36"/>
        </w:rPr>
        <w:t>第五章</w:t>
      </w:r>
      <w:r>
        <w:rPr>
          <w:rFonts w:hint="eastAsia" w:ascii="黑体" w:hAnsi="黑体" w:eastAsia="黑体" w:cs="黑体"/>
          <w:b/>
          <w:color w:val="auto"/>
          <w:sz w:val="36"/>
          <w:lang w:val="en-US" w:eastAsia="zh-CN"/>
        </w:rPr>
        <w:t xml:space="preserve"> </w:t>
      </w:r>
      <w:r>
        <w:rPr>
          <w:rFonts w:hint="eastAsia" w:ascii="黑体" w:hAnsi="黑体" w:eastAsia="黑体" w:cs="黑体"/>
          <w:b/>
          <w:color w:val="auto"/>
          <w:sz w:val="36"/>
        </w:rPr>
        <w:t>政府采购合同</w:t>
      </w:r>
      <w:bookmarkEnd w:id="68"/>
    </w:p>
    <w:p>
      <w:pPr>
        <w:rPr>
          <w:rFonts w:hint="eastAsia" w:ascii="黑体" w:hAnsi="黑体" w:eastAsia="黑体" w:cs="黑体"/>
          <w:color w:val="auto"/>
          <w:highlight w:val="red"/>
        </w:rPr>
      </w:pPr>
    </w:p>
    <w:p>
      <w:pPr>
        <w:pStyle w:val="225"/>
        <w:rPr>
          <w:rFonts w:hint="eastAsia" w:ascii="黑体" w:hAnsi="黑体" w:eastAsia="黑体" w:cs="黑体"/>
          <w:color w:val="auto"/>
        </w:rPr>
      </w:pPr>
    </w:p>
    <w:p>
      <w:pPr>
        <w:pStyle w:val="257"/>
        <w:rPr>
          <w:rFonts w:hint="eastAsia" w:ascii="黑体" w:hAnsi="黑体" w:eastAsia="黑体" w:cs="黑体"/>
          <w:b/>
          <w:bCs/>
          <w:color w:val="auto"/>
          <w:sz w:val="24"/>
          <w:szCs w:val="24"/>
        </w:rPr>
      </w:pPr>
      <w:r>
        <w:rPr>
          <w:rFonts w:hint="eastAsia" w:ascii="黑体" w:hAnsi="黑体" w:eastAsia="黑体" w:cs="黑体"/>
          <w:b/>
          <w:bCs/>
          <w:color w:val="auto"/>
          <w:sz w:val="24"/>
          <w:szCs w:val="24"/>
        </w:rPr>
        <w:t>一、合同格式：</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 xml:space="preserve"> </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政府采购合同</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 xml:space="preserve"> </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 xml:space="preserve"> </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 xml:space="preserve"> </w:t>
      </w:r>
    </w:p>
    <w:p>
      <w:pPr>
        <w:pStyle w:val="257"/>
        <w:ind w:firstLine="1597" w:firstLineChars="497"/>
        <w:rPr>
          <w:rFonts w:hint="eastAsia" w:ascii="黑体" w:hAnsi="黑体" w:eastAsia="黑体" w:cs="黑体"/>
          <w:b/>
          <w:bCs/>
          <w:color w:val="auto"/>
          <w:sz w:val="32"/>
          <w:szCs w:val="32"/>
        </w:rPr>
      </w:pPr>
      <w:r>
        <w:rPr>
          <w:rFonts w:hint="eastAsia" w:ascii="黑体" w:hAnsi="黑体" w:eastAsia="黑体" w:cs="黑体"/>
          <w:b/>
          <w:bCs/>
          <w:color w:val="auto"/>
          <w:sz w:val="32"/>
          <w:szCs w:val="32"/>
        </w:rPr>
        <w:t>项目名称:</w:t>
      </w:r>
      <w:r>
        <w:rPr>
          <w:rFonts w:hint="eastAsia" w:ascii="黑体" w:hAnsi="黑体" w:eastAsia="黑体" w:cs="黑体"/>
          <w:b/>
          <w:bCs/>
          <w:color w:val="auto"/>
          <w:sz w:val="32"/>
          <w:szCs w:val="32"/>
          <w:u w:val="single"/>
        </w:rPr>
        <w:t xml:space="preserve">                    </w:t>
      </w:r>
    </w:p>
    <w:p>
      <w:pPr>
        <w:pStyle w:val="257"/>
        <w:spacing w:before="312" w:beforeLines="100"/>
        <w:ind w:firstLine="1597" w:firstLineChars="497"/>
        <w:rPr>
          <w:rFonts w:hint="eastAsia" w:ascii="黑体" w:hAnsi="黑体" w:eastAsia="黑体" w:cs="黑体"/>
          <w:b/>
          <w:bCs/>
          <w:color w:val="auto"/>
          <w:sz w:val="32"/>
          <w:szCs w:val="32"/>
          <w:u w:val="single"/>
        </w:rPr>
      </w:pPr>
      <w:r>
        <w:rPr>
          <w:rFonts w:hint="eastAsia" w:ascii="黑体" w:hAnsi="黑体" w:eastAsia="黑体" w:cs="黑体"/>
          <w:b/>
          <w:bCs/>
          <w:color w:val="auto"/>
          <w:sz w:val="32"/>
          <w:szCs w:val="32"/>
        </w:rPr>
        <w:t>项目编号:</w:t>
      </w:r>
      <w:r>
        <w:rPr>
          <w:rFonts w:hint="eastAsia" w:ascii="黑体" w:hAnsi="黑体" w:eastAsia="黑体" w:cs="黑体"/>
          <w:b/>
          <w:bCs/>
          <w:color w:val="auto"/>
          <w:sz w:val="32"/>
          <w:szCs w:val="32"/>
          <w:u w:val="single"/>
        </w:rPr>
        <w:t xml:space="preserve">                    </w:t>
      </w:r>
    </w:p>
    <w:p>
      <w:pPr>
        <w:pStyle w:val="257"/>
        <w:spacing w:before="312" w:beforeLines="100"/>
        <w:ind w:firstLine="1597" w:firstLineChars="497"/>
        <w:rPr>
          <w:rFonts w:hint="eastAsia" w:ascii="黑体" w:hAnsi="黑体" w:eastAsia="黑体" w:cs="黑体"/>
          <w:b/>
          <w:bCs/>
          <w:color w:val="auto"/>
          <w:sz w:val="32"/>
          <w:szCs w:val="32"/>
          <w:u w:val="single"/>
        </w:rPr>
      </w:pPr>
      <w:r>
        <w:rPr>
          <w:rFonts w:hint="eastAsia" w:ascii="黑体" w:hAnsi="黑体" w:eastAsia="黑体" w:cs="黑体"/>
          <w:b/>
          <w:bCs/>
          <w:color w:val="auto"/>
          <w:kern w:val="0"/>
          <w:sz w:val="32"/>
          <w:szCs w:val="32"/>
        </w:rPr>
        <w:t>合同编号:</w:t>
      </w:r>
      <w:r>
        <w:rPr>
          <w:rFonts w:hint="eastAsia" w:ascii="黑体" w:hAnsi="黑体" w:eastAsia="黑体" w:cs="黑体"/>
          <w:b/>
          <w:bCs/>
          <w:color w:val="auto"/>
          <w:sz w:val="32"/>
          <w:szCs w:val="32"/>
          <w:u w:val="single"/>
        </w:rPr>
        <w:t xml:space="preserve">                    </w:t>
      </w:r>
    </w:p>
    <w:p>
      <w:pPr>
        <w:pStyle w:val="257"/>
        <w:spacing w:before="312" w:beforeLines="100"/>
        <w:jc w:val="center"/>
        <w:rPr>
          <w:rFonts w:hint="eastAsia" w:ascii="黑体" w:hAnsi="黑体" w:eastAsia="黑体" w:cs="黑体"/>
          <w:b/>
          <w:bCs/>
          <w:color w:val="auto"/>
          <w:sz w:val="32"/>
          <w:szCs w:val="32"/>
          <w:u w:val="single"/>
        </w:rPr>
      </w:pPr>
    </w:p>
    <w:p>
      <w:pPr>
        <w:pStyle w:val="257"/>
        <w:spacing w:before="312" w:beforeLines="100"/>
        <w:jc w:val="center"/>
        <w:rPr>
          <w:rFonts w:hint="eastAsia" w:ascii="黑体" w:hAnsi="黑体" w:eastAsia="黑体" w:cs="黑体"/>
          <w:b/>
          <w:bCs/>
          <w:color w:val="auto"/>
          <w:sz w:val="32"/>
          <w:szCs w:val="32"/>
          <w:u w:val="single"/>
        </w:rPr>
      </w:pPr>
    </w:p>
    <w:p>
      <w:pPr>
        <w:pStyle w:val="257"/>
        <w:spacing w:before="312" w:beforeLines="100"/>
        <w:jc w:val="center"/>
        <w:rPr>
          <w:rFonts w:hint="eastAsia" w:ascii="黑体" w:hAnsi="黑体" w:eastAsia="黑体" w:cs="黑体"/>
          <w:b/>
          <w:bCs/>
          <w:color w:val="auto"/>
          <w:sz w:val="32"/>
          <w:szCs w:val="32"/>
          <w:u w:val="single"/>
        </w:rPr>
      </w:pPr>
    </w:p>
    <w:p>
      <w:pPr>
        <w:pStyle w:val="257"/>
        <w:ind w:firstLine="1606" w:firstLineChars="500"/>
        <w:rPr>
          <w:rFonts w:hint="eastAsia" w:ascii="黑体" w:hAnsi="黑体" w:eastAsia="黑体" w:cs="黑体"/>
          <w:b/>
          <w:bCs/>
          <w:color w:val="auto"/>
          <w:sz w:val="32"/>
          <w:szCs w:val="32"/>
        </w:rPr>
      </w:pPr>
      <w:r>
        <w:rPr>
          <w:rFonts w:hint="eastAsia" w:ascii="黑体" w:hAnsi="黑体" w:eastAsia="黑体" w:cs="黑体"/>
          <w:b/>
          <w:bCs/>
          <w:color w:val="auto"/>
          <w:sz w:val="32"/>
          <w:szCs w:val="32"/>
        </w:rPr>
        <w:t>甲    方:</w:t>
      </w:r>
      <w:r>
        <w:rPr>
          <w:rFonts w:hint="eastAsia" w:ascii="黑体" w:hAnsi="黑体" w:eastAsia="黑体" w:cs="黑体"/>
          <w:b/>
          <w:bCs/>
          <w:color w:val="auto"/>
          <w:sz w:val="32"/>
          <w:szCs w:val="32"/>
          <w:u w:val="single"/>
        </w:rPr>
        <w:t xml:space="preserve">                    </w:t>
      </w:r>
    </w:p>
    <w:p>
      <w:pPr>
        <w:pStyle w:val="257"/>
        <w:spacing w:before="312" w:beforeLines="100"/>
        <w:ind w:firstLine="1606" w:firstLineChars="500"/>
        <w:rPr>
          <w:rFonts w:hint="eastAsia" w:ascii="黑体" w:hAnsi="黑体" w:eastAsia="黑体" w:cs="黑体"/>
          <w:color w:val="auto"/>
          <w:sz w:val="24"/>
          <w:szCs w:val="24"/>
          <w:u w:val="single"/>
        </w:rPr>
      </w:pPr>
      <w:r>
        <w:rPr>
          <w:rFonts w:hint="eastAsia" w:ascii="黑体" w:hAnsi="黑体" w:eastAsia="黑体" w:cs="黑体"/>
          <w:b/>
          <w:bCs/>
          <w:color w:val="auto"/>
          <w:sz w:val="32"/>
          <w:szCs w:val="32"/>
        </w:rPr>
        <w:t>乙    方:</w:t>
      </w:r>
      <w:r>
        <w:rPr>
          <w:rFonts w:hint="eastAsia" w:ascii="黑体" w:hAnsi="黑体" w:eastAsia="黑体" w:cs="黑体"/>
          <w:b/>
          <w:bCs/>
          <w:color w:val="auto"/>
          <w:sz w:val="32"/>
          <w:szCs w:val="32"/>
          <w:u w:val="single"/>
        </w:rPr>
        <w:t xml:space="preserve">                    </w:t>
      </w:r>
      <w:r>
        <w:rPr>
          <w:rFonts w:hint="eastAsia" w:ascii="黑体" w:hAnsi="黑体" w:eastAsia="黑体" w:cs="黑体"/>
          <w:b/>
          <w:bCs/>
          <w:color w:val="auto"/>
          <w:kern w:val="0"/>
          <w:sz w:val="32"/>
          <w:szCs w:val="32"/>
          <w:u w:val="single"/>
        </w:rPr>
        <w:br w:type="page"/>
      </w:r>
    </w:p>
    <w:p>
      <w:pPr>
        <w:pStyle w:val="257"/>
        <w:spacing w:before="312" w:beforeLines="100"/>
        <w:ind w:firstLine="1200" w:firstLineChars="500"/>
        <w:rPr>
          <w:rFonts w:hint="eastAsia" w:ascii="黑体" w:hAnsi="黑体" w:eastAsia="黑体" w:cs="黑体"/>
          <w:color w:val="auto"/>
          <w:kern w:val="0"/>
          <w:sz w:val="24"/>
          <w:szCs w:val="24"/>
        </w:rPr>
      </w:pPr>
      <w:r>
        <w:rPr>
          <w:rFonts w:hint="eastAsia" w:ascii="黑体" w:hAnsi="黑体" w:eastAsia="黑体" w:cs="黑体"/>
          <w:color w:val="auto"/>
          <w:sz w:val="24"/>
          <w:szCs w:val="24"/>
          <w:u w:val="single"/>
        </w:rPr>
        <w:t xml:space="preserve">               </w:t>
      </w:r>
      <w:r>
        <w:rPr>
          <w:rFonts w:hint="eastAsia" w:ascii="黑体" w:hAnsi="黑体" w:eastAsia="黑体" w:cs="黑体"/>
          <w:color w:val="auto"/>
          <w:kern w:val="0"/>
          <w:sz w:val="24"/>
          <w:szCs w:val="24"/>
        </w:rPr>
        <w:t>（甲方）所需</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kern w:val="0"/>
          <w:sz w:val="24"/>
          <w:szCs w:val="24"/>
        </w:rPr>
        <w:t>(项目名称)经</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kern w:val="0"/>
          <w:sz w:val="24"/>
          <w:szCs w:val="24"/>
        </w:rPr>
        <w:t>以</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kern w:val="0"/>
          <w:sz w:val="24"/>
          <w:szCs w:val="24"/>
        </w:rPr>
        <w:t>（项目编号）招标文件在国内以公开招标方式进行采购。经评标委员会确定</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kern w:val="0"/>
          <w:sz w:val="24"/>
          <w:szCs w:val="24"/>
        </w:rPr>
        <w:t>（乙方）为中标人。甲、乙双方根据《中华人民共和国政府采购法》、《中华人民共和国合同法》等相关法律以及本项目招标文件的规定，经平等协商达成合同如下：</w:t>
      </w:r>
    </w:p>
    <w:p>
      <w:pPr>
        <w:pStyle w:val="257"/>
        <w:widowControl/>
        <w:snapToGrid w:val="0"/>
        <w:spacing w:line="360" w:lineRule="auto"/>
        <w:ind w:firstLine="482" w:firstLineChars="200"/>
        <w:jc w:val="left"/>
        <w:rPr>
          <w:rFonts w:hint="eastAsia" w:ascii="黑体" w:hAnsi="黑体" w:eastAsia="黑体" w:cs="黑体"/>
          <w:color w:val="auto"/>
          <w:kern w:val="0"/>
          <w:sz w:val="24"/>
          <w:szCs w:val="24"/>
        </w:rPr>
      </w:pPr>
      <w:r>
        <w:rPr>
          <w:rFonts w:hint="eastAsia" w:ascii="黑体" w:hAnsi="黑体" w:eastAsia="黑体" w:cs="黑体"/>
          <w:b/>
          <w:bCs/>
          <w:color w:val="auto"/>
          <w:sz w:val="24"/>
          <w:szCs w:val="24"/>
        </w:rPr>
        <w:t>一、合同文件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本合同所附下列文件是构成本合同不可分割的部分：</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（一）本项目招标文件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（二）中标人投标文件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（三）合同格式、合同条款</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（四）中标人在评标过程中做出的有关澄清、说明或者补正文件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（五）中标通知书</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（六）本合同附件</w:t>
      </w:r>
    </w:p>
    <w:p>
      <w:pPr>
        <w:pStyle w:val="257"/>
        <w:widowControl/>
        <w:snapToGrid w:val="0"/>
        <w:spacing w:line="360" w:lineRule="auto"/>
        <w:ind w:firstLine="482" w:firstLineChars="200"/>
        <w:jc w:val="left"/>
        <w:rPr>
          <w:rFonts w:hint="eastAsia" w:ascii="黑体" w:hAnsi="黑体" w:eastAsia="黑体" w:cs="黑体"/>
          <w:color w:val="auto"/>
          <w:kern w:val="0"/>
          <w:sz w:val="24"/>
          <w:szCs w:val="24"/>
        </w:rPr>
      </w:pPr>
      <w:r>
        <w:rPr>
          <w:rFonts w:hint="eastAsia" w:ascii="黑体" w:hAnsi="黑体" w:eastAsia="黑体" w:cs="黑体"/>
          <w:b/>
          <w:bCs/>
          <w:color w:val="auto"/>
          <w:sz w:val="24"/>
          <w:szCs w:val="24"/>
        </w:rPr>
        <w:t>二、合同的范围和条件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本合同的范围和条件应与上述合同文件的规定相一致。</w:t>
      </w:r>
    </w:p>
    <w:p>
      <w:pPr>
        <w:pStyle w:val="257"/>
        <w:widowControl/>
        <w:snapToGrid w:val="0"/>
        <w:spacing w:line="360" w:lineRule="auto"/>
        <w:ind w:firstLine="482" w:firstLineChars="200"/>
        <w:jc w:val="left"/>
        <w:rPr>
          <w:rFonts w:hint="eastAsia" w:ascii="黑体" w:hAnsi="黑体" w:eastAsia="黑体" w:cs="黑体"/>
          <w:color w:val="auto"/>
          <w:kern w:val="0"/>
          <w:sz w:val="24"/>
          <w:szCs w:val="24"/>
        </w:rPr>
      </w:pPr>
      <w:r>
        <w:rPr>
          <w:rFonts w:hint="eastAsia" w:ascii="黑体" w:hAnsi="黑体" w:eastAsia="黑体" w:cs="黑体"/>
          <w:b/>
          <w:bCs/>
          <w:color w:val="auto"/>
          <w:sz w:val="24"/>
          <w:szCs w:val="24"/>
        </w:rPr>
        <w:t>三、货物、数量及规格</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本合同所提供的货物、数量及规格详见合同货物清单（附件一）（同投标文件中报价明细表，下同）。</w:t>
      </w:r>
    </w:p>
    <w:p>
      <w:pPr>
        <w:pStyle w:val="257"/>
        <w:widowControl/>
        <w:snapToGrid w:val="0"/>
        <w:spacing w:line="360" w:lineRule="auto"/>
        <w:ind w:firstLine="482" w:firstLineChars="200"/>
        <w:jc w:val="left"/>
        <w:rPr>
          <w:rFonts w:hint="eastAsia" w:ascii="黑体" w:hAnsi="黑体" w:eastAsia="黑体" w:cs="黑体"/>
          <w:b/>
          <w:bCs/>
          <w:color w:val="auto"/>
          <w:sz w:val="24"/>
          <w:szCs w:val="24"/>
        </w:rPr>
      </w:pPr>
      <w:r>
        <w:rPr>
          <w:rFonts w:hint="eastAsia" w:ascii="黑体" w:hAnsi="黑体" w:eastAsia="黑体" w:cs="黑体"/>
          <w:b/>
          <w:bCs/>
          <w:color w:val="auto"/>
          <w:sz w:val="24"/>
          <w:szCs w:val="24"/>
        </w:rPr>
        <w:t>四、合同金额</w:t>
      </w:r>
    </w:p>
    <w:p>
      <w:pPr>
        <w:pStyle w:val="257"/>
        <w:widowControl/>
        <w:snapToGrid w:val="0"/>
        <w:spacing w:line="360" w:lineRule="auto"/>
        <w:ind w:firstLine="480" w:firstLineChars="200"/>
        <w:jc w:val="left"/>
        <w:rPr>
          <w:rFonts w:hint="eastAsia" w:ascii="黑体" w:hAnsi="黑体" w:eastAsia="黑体" w:cs="黑体"/>
          <w:color w:val="auto"/>
          <w:sz w:val="24"/>
          <w:szCs w:val="24"/>
        </w:rPr>
      </w:pPr>
      <w:r>
        <w:rPr>
          <w:rFonts w:hint="eastAsia" w:ascii="黑体" w:hAnsi="黑体" w:eastAsia="黑体" w:cs="黑体"/>
          <w:color w:val="auto"/>
          <w:sz w:val="24"/>
          <w:szCs w:val="24"/>
        </w:rPr>
        <w:t>根据上述合同文件要求，合同金额为人民币</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元，大写：</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。（分项价格详见合同货物清单）。</w:t>
      </w:r>
    </w:p>
    <w:p>
      <w:pPr>
        <w:pStyle w:val="257"/>
        <w:widowControl/>
        <w:snapToGrid w:val="0"/>
        <w:spacing w:line="360" w:lineRule="auto"/>
        <w:ind w:firstLine="480" w:firstLineChars="200"/>
        <w:jc w:val="left"/>
        <w:rPr>
          <w:rFonts w:hint="eastAsia" w:ascii="黑体" w:hAnsi="黑体" w:eastAsia="黑体" w:cs="黑体"/>
          <w:color w:val="auto"/>
          <w:sz w:val="24"/>
          <w:szCs w:val="24"/>
        </w:rPr>
      </w:pPr>
      <w:r>
        <w:rPr>
          <w:rFonts w:hint="eastAsia" w:ascii="黑体" w:hAnsi="黑体" w:eastAsia="黑体" w:cs="黑体"/>
          <w:color w:val="auto"/>
          <w:sz w:val="24"/>
          <w:szCs w:val="24"/>
        </w:rPr>
        <w:t>乙方开户单位：</w:t>
      </w:r>
    </w:p>
    <w:p>
      <w:pPr>
        <w:pStyle w:val="257"/>
        <w:widowControl/>
        <w:snapToGrid w:val="0"/>
        <w:spacing w:line="360" w:lineRule="auto"/>
        <w:ind w:firstLine="480" w:firstLineChars="200"/>
        <w:jc w:val="left"/>
        <w:rPr>
          <w:rFonts w:hint="eastAsia" w:ascii="黑体" w:hAnsi="黑体" w:eastAsia="黑体" w:cs="黑体"/>
          <w:color w:val="auto"/>
          <w:sz w:val="24"/>
          <w:szCs w:val="24"/>
        </w:rPr>
      </w:pPr>
      <w:r>
        <w:rPr>
          <w:rFonts w:hint="eastAsia" w:ascii="黑体" w:hAnsi="黑体" w:eastAsia="黑体" w:cs="黑体"/>
          <w:color w:val="auto"/>
          <w:sz w:val="24"/>
          <w:szCs w:val="24"/>
        </w:rPr>
        <w:t>开户银行：                           帐号：</w:t>
      </w:r>
    </w:p>
    <w:p>
      <w:pPr>
        <w:pStyle w:val="257"/>
        <w:widowControl/>
        <w:snapToGrid w:val="0"/>
        <w:spacing w:line="360" w:lineRule="auto"/>
        <w:ind w:firstLine="482" w:firstLineChars="200"/>
        <w:jc w:val="left"/>
        <w:rPr>
          <w:rFonts w:hint="eastAsia" w:ascii="黑体" w:hAnsi="黑体" w:eastAsia="黑体" w:cs="黑体"/>
          <w:b/>
          <w:bCs/>
          <w:color w:val="auto"/>
          <w:sz w:val="24"/>
          <w:szCs w:val="24"/>
        </w:rPr>
      </w:pPr>
      <w:r>
        <w:rPr>
          <w:rFonts w:hint="eastAsia" w:ascii="黑体" w:hAnsi="黑体" w:eastAsia="黑体" w:cs="黑体"/>
          <w:b/>
          <w:bCs/>
          <w:color w:val="auto"/>
          <w:sz w:val="24"/>
          <w:szCs w:val="24"/>
        </w:rPr>
        <w:t>五、付款途径</w:t>
      </w:r>
    </w:p>
    <w:p>
      <w:pPr>
        <w:pStyle w:val="257"/>
        <w:widowControl/>
        <w:snapToGrid w:val="0"/>
        <w:spacing w:line="360" w:lineRule="auto"/>
        <w:ind w:firstLine="480" w:firstLineChars="200"/>
        <w:jc w:val="left"/>
        <w:rPr>
          <w:rFonts w:hint="eastAsia" w:ascii="黑体" w:hAnsi="黑体" w:eastAsia="黑体" w:cs="黑体"/>
          <w:b/>
          <w:bCs/>
          <w:color w:val="auto"/>
          <w:sz w:val="24"/>
          <w:szCs w:val="24"/>
        </w:rPr>
      </w:pPr>
      <w:r>
        <w:rPr>
          <w:rFonts w:hint="eastAsia" w:ascii="黑体" w:hAnsi="黑体" w:eastAsia="黑体" w:cs="黑体"/>
          <w:color w:val="auto"/>
          <w:sz w:val="24"/>
          <w:szCs w:val="24"/>
        </w:rPr>
        <w:t>□ 国库集中支付   □甲方支付    □ 国库与甲方共同支付</w:t>
      </w:r>
    </w:p>
    <w:p>
      <w:pPr>
        <w:pStyle w:val="257"/>
        <w:widowControl/>
        <w:snapToGrid w:val="0"/>
        <w:spacing w:line="360" w:lineRule="auto"/>
        <w:ind w:firstLine="480" w:firstLineChars="200"/>
        <w:jc w:val="left"/>
        <w:rPr>
          <w:rFonts w:hint="eastAsia" w:ascii="黑体" w:hAnsi="黑体" w:eastAsia="黑体" w:cs="黑体"/>
          <w:b/>
          <w:bCs/>
          <w:color w:val="auto"/>
          <w:sz w:val="24"/>
          <w:szCs w:val="24"/>
        </w:rPr>
      </w:pPr>
      <w:r>
        <w:rPr>
          <w:rFonts w:hint="eastAsia" w:ascii="黑体" w:hAnsi="黑体" w:eastAsia="黑体" w:cs="黑体"/>
          <w:color w:val="auto"/>
          <w:sz w:val="24"/>
          <w:szCs w:val="24"/>
        </w:rPr>
        <w:t>□ 财政性资金</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元          □ 自筹性资金</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元</w:t>
      </w:r>
    </w:p>
    <w:p>
      <w:pPr>
        <w:pStyle w:val="257"/>
        <w:widowControl/>
        <w:snapToGrid w:val="0"/>
        <w:spacing w:line="360" w:lineRule="auto"/>
        <w:ind w:firstLine="480" w:firstLineChars="200"/>
        <w:jc w:val="left"/>
        <w:rPr>
          <w:rFonts w:hint="eastAsia" w:ascii="黑体" w:hAnsi="黑体" w:eastAsia="黑体" w:cs="黑体"/>
          <w:b/>
          <w:bCs/>
          <w:color w:val="auto"/>
          <w:sz w:val="24"/>
          <w:szCs w:val="24"/>
        </w:rPr>
      </w:pPr>
      <w:r>
        <w:rPr>
          <w:rFonts w:hint="eastAsia" w:ascii="黑体" w:hAnsi="黑体" w:eastAsia="黑体" w:cs="黑体"/>
          <w:color w:val="auto"/>
          <w:sz w:val="24"/>
          <w:szCs w:val="24"/>
        </w:rPr>
        <w:t>属国库集中支付的财政性资金，甲方应按合同约定的付款期限，及时向财政部门报送资金支付申请，财政部门对支付申请审核无误后，将货款直接支付至乙方账户。</w:t>
      </w:r>
    </w:p>
    <w:p>
      <w:pPr>
        <w:pStyle w:val="257"/>
        <w:widowControl/>
        <w:snapToGrid w:val="0"/>
        <w:spacing w:line="360" w:lineRule="auto"/>
        <w:ind w:firstLine="482" w:firstLineChars="200"/>
        <w:jc w:val="left"/>
        <w:rPr>
          <w:rFonts w:hint="eastAsia" w:ascii="黑体" w:hAnsi="黑体" w:eastAsia="黑体" w:cs="黑体"/>
          <w:b/>
          <w:bCs/>
          <w:color w:val="auto"/>
          <w:sz w:val="24"/>
          <w:szCs w:val="24"/>
        </w:rPr>
      </w:pPr>
      <w:r>
        <w:rPr>
          <w:rFonts w:hint="eastAsia" w:ascii="黑体" w:hAnsi="黑体" w:eastAsia="黑体" w:cs="黑体"/>
          <w:b/>
          <w:bCs/>
          <w:color w:val="auto"/>
          <w:sz w:val="24"/>
          <w:szCs w:val="24"/>
        </w:rPr>
        <w:t>六、付款方式</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付款方式：</w:t>
      </w:r>
      <w:r>
        <w:rPr>
          <w:rFonts w:hint="eastAsia" w:ascii="黑体" w:hAnsi="黑体" w:eastAsia="黑体" w:cs="黑体"/>
          <w:color w:val="auto"/>
          <w:sz w:val="24"/>
          <w:szCs w:val="24"/>
          <w:u w:val="single"/>
        </w:rPr>
        <w:t xml:space="preserve">                                                    </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七、交付日期、地点</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1、交付日期：合同生效之日起</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日内交付。</w:t>
      </w:r>
    </w:p>
    <w:p>
      <w:pPr>
        <w:pStyle w:val="257"/>
        <w:spacing w:line="360" w:lineRule="auto"/>
        <w:ind w:firstLine="480" w:firstLineChars="200"/>
        <w:rPr>
          <w:rFonts w:hint="eastAsia" w:ascii="黑体" w:hAnsi="黑体" w:eastAsia="黑体" w:cs="黑体"/>
          <w:color w:val="auto"/>
          <w:sz w:val="24"/>
          <w:szCs w:val="24"/>
          <w:u w:val="single"/>
        </w:rPr>
      </w:pPr>
      <w:r>
        <w:rPr>
          <w:rFonts w:hint="eastAsia" w:ascii="黑体" w:hAnsi="黑体" w:eastAsia="黑体" w:cs="黑体"/>
          <w:color w:val="auto"/>
          <w:sz w:val="24"/>
          <w:szCs w:val="24"/>
        </w:rPr>
        <w:t>2、交付地点：</w:t>
      </w:r>
      <w:r>
        <w:rPr>
          <w:rFonts w:hint="eastAsia" w:ascii="黑体" w:hAnsi="黑体" w:eastAsia="黑体" w:cs="黑体"/>
          <w:color w:val="auto"/>
          <w:sz w:val="24"/>
          <w:szCs w:val="24"/>
          <w:u w:val="single"/>
        </w:rPr>
        <w:t xml:space="preserve">                                                 </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八、履约保证金</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履约保证金在项目交付验收合格无质量问题后，填写《履约保证金退付表》、《政府采购项目验收单》和资金往来收款收据交</w:t>
      </w:r>
      <w:r>
        <w:rPr>
          <w:rFonts w:hint="eastAsia" w:ascii="黑体" w:hAnsi="黑体" w:eastAsia="黑体" w:cs="黑体"/>
          <w:color w:val="auto"/>
          <w:sz w:val="24"/>
          <w:szCs w:val="24"/>
          <w:lang w:val="en-US" w:eastAsia="zh-CN"/>
        </w:rPr>
        <w:t>甲方</w:t>
      </w:r>
      <w:r>
        <w:rPr>
          <w:rFonts w:hint="eastAsia" w:ascii="黑体" w:hAnsi="黑体" w:eastAsia="黑体" w:cs="黑体"/>
          <w:color w:val="auto"/>
          <w:sz w:val="24"/>
          <w:szCs w:val="24"/>
        </w:rPr>
        <w:t>后20个工作日内退还。</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九、合同生效</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本合同经甲乙双方签字盖章，乙方提交履约保证金后，经备案后生效。</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十、合同保存</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本合同一式五份，甲方一份，乙方一份，交易中心一份，甲方同级财政部门两份。</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2" w:firstLineChars="200"/>
        <w:outlineLvl w:val="0"/>
        <w:rPr>
          <w:rFonts w:hint="eastAsia" w:ascii="黑体" w:hAnsi="黑体" w:eastAsia="黑体" w:cs="黑体"/>
          <w:b/>
          <w:bCs/>
          <w:color w:val="auto"/>
          <w:sz w:val="24"/>
          <w:szCs w:val="24"/>
        </w:rPr>
      </w:pPr>
      <w:bookmarkStart w:id="69" w:name="_Toc20096"/>
      <w:bookmarkStart w:id="70" w:name="_Toc27893"/>
      <w:r>
        <w:rPr>
          <w:rFonts w:hint="eastAsia" w:ascii="黑体" w:hAnsi="黑体" w:eastAsia="黑体" w:cs="黑体"/>
          <w:b/>
          <w:bCs/>
          <w:color w:val="auto"/>
          <w:sz w:val="24"/>
          <w:szCs w:val="24"/>
        </w:rPr>
        <w:t>甲    方：                            乙    方：</w:t>
      </w:r>
      <w:bookmarkEnd w:id="69"/>
      <w:bookmarkEnd w:id="70"/>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单位名称(公章)：                      单位名称(公章)：</w:t>
      </w:r>
    </w:p>
    <w:p>
      <w:pPr>
        <w:pStyle w:val="257"/>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法定代表人或授权代理人：（签字）       法定代表人或授权代理人：（签字）</w:t>
      </w:r>
    </w:p>
    <w:p>
      <w:pPr>
        <w:pStyle w:val="257"/>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电    话：                            电    话：</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签订日期：                            签订日期：</w:t>
      </w:r>
    </w:p>
    <w:p>
      <w:pPr>
        <w:pStyle w:val="257"/>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 xml:space="preserve"> </w:t>
      </w:r>
    </w:p>
    <w:p>
      <w:pPr>
        <w:pStyle w:val="257"/>
        <w:spacing w:line="360" w:lineRule="auto"/>
        <w:rPr>
          <w:rFonts w:hint="eastAsia" w:ascii="黑体" w:hAnsi="黑体" w:eastAsia="黑体" w:cs="黑体"/>
          <w:b/>
          <w:bCs/>
          <w:color w:val="auto"/>
          <w:sz w:val="24"/>
          <w:szCs w:val="24"/>
        </w:rPr>
      </w:pPr>
      <w:r>
        <w:rPr>
          <w:rFonts w:hint="eastAsia" w:ascii="黑体" w:hAnsi="黑体" w:eastAsia="黑体" w:cs="黑体"/>
          <w:b/>
          <w:bCs/>
          <w:color w:val="auto"/>
          <w:kern w:val="0"/>
          <w:sz w:val="24"/>
          <w:szCs w:val="24"/>
        </w:rPr>
        <w:br w:type="page"/>
      </w:r>
      <w:r>
        <w:rPr>
          <w:rFonts w:hint="eastAsia" w:ascii="黑体" w:hAnsi="黑体" w:eastAsia="黑体" w:cs="黑体"/>
          <w:b/>
          <w:bCs/>
          <w:color w:val="auto"/>
          <w:sz w:val="24"/>
          <w:szCs w:val="24"/>
        </w:rPr>
        <w:t>二、合同条款</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甲方在本项目中所需货物和服务由</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sz w:val="24"/>
          <w:szCs w:val="24"/>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一、定义</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除非另有特别解释或说明，在本合同及与本合同相关的，双方另行签署的其他文件（包括但不限于本合同的附件）中，下述词语均依如下定义进行解释：</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1、“合同”指甲乙双方签署的，与本项目相关的协议、附件、附录和其他一切文件，还包括招标文件、投标文件中的相关内容及其有效补充文件。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2、“附件”是指与本合同的订立、履行有关的，经甲乙双方认可的，对本合同约定的内容进行细化、补充、修改、变更的文件、图纸、音像制品等资料。</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3、“货物”指合同货物清单（附件1）（同投标文件中货物明细表，下同）中所规定的硬件、软件、安装材料、备件及专用器具、文件资料等内容。</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5、“检验”指按照本合同约定的标准对合同货物进行的检测与查验。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6、“政府采购项目验收单”指甲、乙双方验收完成后由合同双方签署的最终验收确认书。</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7、“技术资料”指安装、调试、使用、维修合同货物所应具备的产品使用说明书和／或使用指南、操作手册、维修指南、服务手册、电路图、产品演示等文件。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8、“保修期”指自验收单签署之日起，乙方免费对所卖给甲方货物更换整件或零部件，维修、保养及技术支持、产品升级并以自担费用方式保证项目正常运行的时期。</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9、“第三人”是指本合同双方以外的任何中国境内、外的自然人、法人或其他经济组织。</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10、“法律、法规”是指由中国有关部门制定的法律、行政法规、地方性法规、规章及其他规范性文件以及经全国人民代表大会常务委员会批准的中国缔结、参加的国际条（公）约的有关规定。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11、“招标文件”指采购代理机构发布的本项目招标文件。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12、“投标文件”指乙方按照本项目招标文件的要求编制和投递，并最终经采购代理机构接收的投标文件。</w:t>
      </w:r>
    </w:p>
    <w:p>
      <w:pPr>
        <w:pStyle w:val="257"/>
        <w:spacing w:line="360" w:lineRule="auto"/>
        <w:ind w:firstLine="501" w:firstLineChars="208"/>
        <w:rPr>
          <w:rFonts w:hint="eastAsia" w:ascii="黑体" w:hAnsi="黑体" w:eastAsia="黑体" w:cs="黑体"/>
          <w:b/>
          <w:bCs/>
          <w:color w:val="auto"/>
          <w:sz w:val="24"/>
          <w:szCs w:val="24"/>
        </w:rPr>
      </w:pPr>
      <w:r>
        <w:rPr>
          <w:rFonts w:hint="eastAsia" w:ascii="黑体" w:hAnsi="黑体" w:eastAsia="黑体" w:cs="黑体"/>
          <w:b/>
          <w:bCs/>
          <w:color w:val="auto"/>
          <w:sz w:val="24"/>
          <w:szCs w:val="24"/>
        </w:rPr>
        <w:t>二、货物、数量及规格</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本合同所提供的货物、数量及规格详见合同货物清单（附件一）（同投标文件中报价明细表）。</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三、合同价格</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1、合同金额详见合同格式。</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3、合同货物详细目录及销售价格详见合同格式附件1合同货物清单（同投标文件中报价明细表）。</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四、付款</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1、双方因本合同发生的一切费用均以人民币结算及支付。</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2、双方的帐户名称、开户银行及帐号以本合同提供的为准。</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3、付款途径：按照招标文件的规定。</w:t>
      </w:r>
    </w:p>
    <w:p>
      <w:pPr>
        <w:pStyle w:val="259"/>
        <w:spacing w:after="0"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4、付款方式：按照招标文件</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rPr>
        <w:t>规定。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6、甲方直接与乙方付款结算，采购代理机构不对其付款承担连带责任或任何其它责任，在任何情形下乙方亦只能直接向甲方追索而不应当向采购代理机构追索。</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五、交付</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1、乙方负责办理运输和保险，将货物运抵交货地点。有关运输、保险和装卸等一切相关的费用由乙方承担。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2、货物应运至甲方指定地点，并卸至甲方指定位置，开箱清点及初步检验时双方应派人员参加。</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3、所有货物运抵现场并且安装完毕经检验合格交付甲方，该日期为交付日期。双方签署交付收货单后为交付完毕。交付完毕货物所有权发生转移，此前货物毁坏的风险由乙方承担。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4、交付日期：按照招标文件的规定。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5、交付地点：按照招标文件的规定。</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六、包装和标记</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1、乙方交付的所有合同货物应具有适于运输的坚固包装，并且乙方应根据合同货物的不同特性和要求采取防潮、防雨、防锈、防震、防腐等保护措施，以确保合同货物安全无损地送达交货地点。</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2、凡由于乙方对合同货物包装不善、标记不明、防护措施不当或在合同货物装箱前保管不良，致使合同货物遭到损坏或丢失，乙方应负责免费修理或更换，并承担由此给甲方造成的一切损失。</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七、质量标准和检验方式</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1、乙方应保证提供给甲方的合同货物是货物生产厂商原造的，全新、未使用过的，是用一流的工艺和优质材料制造而成的，并完全符合本项目招标文件规定的质量、性能和规格的要求。</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4、乙方应保证所提供的货物经正确安装、合理操作和维护保养在其使用寿命期内具有令甲方满意的性能，并对由于合同货物的设计、工艺或材料的缺陷而发生的任何故障负责。</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6、甲方对合同货物的数量、规格和质量的检验，应依据本项目招标文件中的有关规定进行。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7、若检验时发现货物数量不足、规格与合同要求不符或开箱时虽然货物外包装完好无损，但箱内货物短缺或损伤，双方应签署书面形式证明，乙方应根据该证明及时补足或更换。</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八、技术服务和保修责任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4、在免费保修期内，如果由于乙方更换、修理和续补货物或更换服务，而造成本合同不得不停止运行，保修期应依照停止运行的实际时间加以延长，如因此给甲方造成损失，乙方应负责赔偿。</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7、若由于甲方提出增加并不涉及安全性的新功能而引起的软件升级，相关成本费由甲方承担，乙方不得赚取利润或拒绝、拖延。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8、若由于乙方增加并不涉及安全性的新功能引起软件升级，而且甲方愿意增加该新功能时，由双方协商解决。</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九、违约责任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1）在甲方同意延长的期限内交付全部货物、提供服务并承担由此给甲方造成的直接损失及甲方因此产生的对第三方的责任。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4）按合同规定的同种货币将甲方所退货物已支付的货款全部退还给甲方，并承担由此发生的直接损失和相关费用及甲方因此产生的对第三方的责任。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5）甲方有权部分或全部解除合同并要求乙方赔偿由此造成的损失及甲方因此产生的对第三方的责任。此时甲方可采取必要的补救措施，相关费用由乙方承担。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6）此外，上述情形下甲方为采取必要的补救措施或因防止损失扩大而支出的合理费用应由乙方承担。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4、除有另行约定外，甲方如延期付款，每逾期1日，按应付金额0.3‰支付违约金；乙方如延期交付，每延迟1日，按应交付货物总额0.3‰支付违约金。</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7、以上各项交付的违约金并不影响违约方履行合同的各项义务。</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十、不可抗力</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1、不可抗力指下列事件：战争、动乱、瘟疫、严重火灾、洪水、地震、风暴或其他自然灾害，以及本合同各方不可预见、不可防止并不能避免或克服的一切其他因素及事件。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4、合同各方应根据不可抗力对本合同履行的影响程度，协商确定是否终止本合同，或是继续履行本合同。</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十一、联系方式</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3、上述发出通知、回复的费用由发出一方承担。</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十二、保密条款</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1、任何一方对其获知的本合同及附件中其他各方的商业秘密和国家秘密负有保密义务。</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十三、合同的解释</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1、任何一方对本合同及其附件的解释均应遵循诚实信用原则,依照本合同签订时有效的中国法律、法规以及通常的理解进行。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2、本合同标题仅供查阅方便，并非对本合同的诠释或解释；本合同中以日表述的时间期限均指自然日。</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3、对本合同的任何解释均应以书面做出。</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十四、合同的终止</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1、本合同因下列原因而终止：</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1）本合同正常履行完毕；</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2）合同双方协议终止本合同的履行；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3）不可抗力事件导致本合同无法履行或履行不必要；</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4）任何一方行使解除权，解除本合同。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2、对本合同终止有过错的一方应赔偿另一方因合同终止而受到的损失。对合同终止双方均无过错的，则各自承担所受到的损失。</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十五、法律适用</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1、本合同及附件的订立、效力、解释、履行、争议的解决等适用本合同签订时有效的中华人民共和国法律、法规的有关规定。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十六、权利的保留</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十七、争议的解决</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合同双方应通过友好协商解决因解释﹑执行本合同所发生的和本合同有关的一切争议。如果经协商不能达成协议，可以采用以下方式解决（按照招标文件第二部分“投标人须知前附表”第32项的规定）：（1）提交仲裁委员会仲裁；（2）向甲方所在地人民法院起诉。</w:t>
      </w:r>
    </w:p>
    <w:p>
      <w:pPr>
        <w:pStyle w:val="257"/>
        <w:spacing w:line="360" w:lineRule="auto"/>
        <w:ind w:firstLine="360" w:firstLineChars="150"/>
        <w:rPr>
          <w:rFonts w:hint="eastAsia" w:ascii="黑体" w:hAnsi="黑体" w:eastAsia="黑体" w:cs="黑体"/>
          <w:color w:val="auto"/>
          <w:sz w:val="24"/>
          <w:szCs w:val="24"/>
        </w:rPr>
      </w:pPr>
      <w:r>
        <w:rPr>
          <w:rFonts w:hint="eastAsia" w:ascii="黑体" w:hAnsi="黑体" w:eastAsia="黑体" w:cs="黑体"/>
          <w:color w:val="auto"/>
          <w:sz w:val="24"/>
          <w:szCs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3、在争议解决期间，除了诉讼或仲裁进行过程中正在解决的那部分问题外，合同其余部分应继续履行。</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十八、合同的生效</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本合同经甲乙双方法定代表人或授权代理人签字加盖单位公章，乙方按时、足额提交履约保证金，备案后生效。</w:t>
      </w:r>
    </w:p>
    <w:p>
      <w:pPr>
        <w:pStyle w:val="257"/>
        <w:numPr>
          <w:ilvl w:val="0"/>
          <w:numId w:val="66"/>
        </w:numPr>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rPr>
        <w:t>其他约定事项</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1</w:t>
      </w:r>
      <w:r>
        <w:rPr>
          <w:rFonts w:hint="eastAsia" w:ascii="黑体" w:hAnsi="黑体" w:eastAsia="黑体" w:cs="黑体"/>
          <w:color w:val="auto"/>
          <w:sz w:val="24"/>
          <w:szCs w:val="24"/>
        </w:rPr>
        <w:t>、本合同中的附件均为本合同不可分割的部分，与本合同具有相同的法律效力。</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、不得将合同转让给第三人，有关分包事项或服务委托等须事先取得甲方和采购代理机构书面同意并且须遵守相关法律、法规；有关联合投标须在本次招标允许的情况下并须符合本次招标的全部规定。</w:t>
      </w:r>
    </w:p>
    <w:p>
      <w:pPr>
        <w:pStyle w:val="19"/>
        <w:spacing w:before="7" w:line="360" w:lineRule="auto"/>
        <w:ind w:left="220" w:leftChars="100" w:right="220" w:rightChars="100" w:firstLine="480" w:firstLineChars="200"/>
        <w:jc w:val="both"/>
        <w:rPr>
          <w:rFonts w:hint="eastAsia" w:ascii="黑体" w:hAnsi="黑体" w:eastAsia="黑体" w:cs="黑体"/>
          <w:color w:val="auto"/>
          <w:spacing w:val="-4"/>
          <w:highlight w:val="none"/>
        </w:rPr>
      </w:pP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、本合同一式五份，具有同等法律效力。</w:t>
      </w:r>
    </w:p>
    <w:p>
      <w:pPr>
        <w:widowControl/>
        <w:autoSpaceDE/>
        <w:autoSpaceDN/>
        <w:rPr>
          <w:rFonts w:hint="eastAsia" w:ascii="黑体" w:hAnsi="黑体" w:eastAsia="黑体" w:cs="黑体"/>
          <w:b/>
          <w:color w:val="auto"/>
          <w:sz w:val="36"/>
          <w:szCs w:val="36"/>
          <w:highlight w:val="none"/>
        </w:rPr>
      </w:pPr>
      <w:bookmarkStart w:id="71" w:name="_bookmark11"/>
      <w:bookmarkEnd w:id="71"/>
      <w:bookmarkStart w:id="72" w:name="第六章_采购需求"/>
      <w:bookmarkEnd w:id="72"/>
      <w:r>
        <w:rPr>
          <w:rFonts w:hint="eastAsia" w:ascii="黑体" w:hAnsi="黑体" w:eastAsia="黑体" w:cs="黑体"/>
          <w:b/>
          <w:color w:val="auto"/>
          <w:sz w:val="36"/>
          <w:szCs w:val="36"/>
          <w:highlight w:val="none"/>
        </w:rPr>
        <w:br w:type="page"/>
      </w:r>
    </w:p>
    <w:p>
      <w:pPr>
        <w:pStyle w:val="5"/>
        <w:numPr>
          <w:ilvl w:val="0"/>
          <w:numId w:val="67"/>
        </w:numPr>
        <w:spacing w:line="662" w:lineRule="exact"/>
        <w:ind w:right="82"/>
        <w:jc w:val="center"/>
        <w:rPr>
          <w:rFonts w:hint="eastAsia" w:ascii="黑体" w:hAnsi="黑体" w:eastAsia="黑体" w:cs="黑体"/>
          <w:b/>
          <w:color w:val="auto"/>
          <w:sz w:val="36"/>
          <w:szCs w:val="36"/>
          <w:highlight w:val="none"/>
        </w:rPr>
      </w:pPr>
      <w:bookmarkStart w:id="73" w:name="_Toc23023"/>
      <w:r>
        <w:rPr>
          <w:rFonts w:hint="eastAsia" w:ascii="黑体" w:hAnsi="黑体" w:eastAsia="黑体" w:cs="黑体"/>
          <w:b/>
          <w:color w:val="auto"/>
          <w:sz w:val="36"/>
          <w:szCs w:val="36"/>
          <w:highlight w:val="none"/>
        </w:rPr>
        <w:t>采购货物需求及货物参数</w:t>
      </w:r>
      <w:bookmarkEnd w:id="73"/>
    </w:p>
    <w:p>
      <w:pPr>
        <w:numPr>
          <w:ilvl w:val="0"/>
          <w:numId w:val="0"/>
        </w:numPr>
        <w:rPr>
          <w:rFonts w:hint="eastAsia" w:ascii="黑体" w:hAnsi="黑体" w:eastAsia="黑体" w:cs="黑体"/>
        </w:rPr>
      </w:pPr>
    </w:p>
    <w:p>
      <w:pPr>
        <w:spacing w:line="360" w:lineRule="exact"/>
        <w:rPr>
          <w:rFonts w:hint="eastAsia" w:ascii="黑体" w:hAnsi="黑体" w:eastAsia="黑体" w:cs="黑体"/>
          <w:b/>
          <w:bCs/>
          <w:color w:val="auto"/>
          <w:sz w:val="24"/>
          <w:szCs w:val="24"/>
        </w:rPr>
      </w:pPr>
      <w:r>
        <w:rPr>
          <w:rFonts w:hint="eastAsia" w:ascii="黑体" w:hAnsi="黑体" w:eastAsia="黑体" w:cs="黑体"/>
          <w:b/>
          <w:bCs/>
          <w:color w:val="auto"/>
          <w:sz w:val="24"/>
          <w:szCs w:val="24"/>
        </w:rPr>
        <w:t>注：1、下列技术指标中凡有品牌描述或指向某品牌的指标描述均为参考指标，同时作为衡定同类产品的依据，供应商可投同档次产品或更优产品。</w:t>
      </w:r>
    </w:p>
    <w:p>
      <w:pPr>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附件1、</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4726"/>
        <w:gridCol w:w="1572"/>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序号</w:t>
            </w:r>
          </w:p>
        </w:tc>
        <w:tc>
          <w:tcPr>
            <w:tcW w:w="4726"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品目名称</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数量</w:t>
            </w:r>
          </w:p>
        </w:tc>
        <w:tc>
          <w:tcPr>
            <w:tcW w:w="2491"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1</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临床检验专用冰箱 1</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5</w:t>
            </w:r>
          </w:p>
        </w:tc>
        <w:tc>
          <w:tcPr>
            <w:tcW w:w="2491"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2</w:t>
            </w:r>
          </w:p>
        </w:tc>
        <w:tc>
          <w:tcPr>
            <w:tcW w:w="4726"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临床检验专用冰箱 2</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4</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3</w:t>
            </w:r>
          </w:p>
        </w:tc>
        <w:tc>
          <w:tcPr>
            <w:tcW w:w="4726"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临床检验专用冰箱 3</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2</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4</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 试管架</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600</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5</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 混匀振荡器</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12</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6</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 八联管离心机</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12</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7</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 微孔板离心机</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4</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8</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 医用洁净工作台</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2</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9</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临床检验 生物安全柜</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8</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10</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立式压力蒸汽灭菌器</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8</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11</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多用途恒温箱（干式恒温箱）</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4</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12</w:t>
            </w:r>
          </w:p>
        </w:tc>
        <w:tc>
          <w:tcPr>
            <w:tcW w:w="4726"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 xml:space="preserve">全自动医用PCR分析系统 </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16</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5"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13</w:t>
            </w:r>
          </w:p>
        </w:tc>
        <w:tc>
          <w:tcPr>
            <w:tcW w:w="4726"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样本前处理系统</w:t>
            </w:r>
          </w:p>
        </w:tc>
        <w:tc>
          <w:tcPr>
            <w:tcW w:w="1572" w:type="dxa"/>
            <w:vAlign w:val="top"/>
          </w:tcPr>
          <w:p>
            <w:pPr>
              <w:jc w:val="both"/>
              <w:rPr>
                <w:rFonts w:hint="default"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2</w:t>
            </w:r>
          </w:p>
        </w:tc>
        <w:tc>
          <w:tcPr>
            <w:tcW w:w="2491" w:type="dxa"/>
            <w:vAlign w:val="top"/>
          </w:tcPr>
          <w:p>
            <w:pPr>
              <w:jc w:val="both"/>
              <w:rPr>
                <w:rFonts w:hint="eastAsia" w:ascii="黑体" w:hAnsi="黑体" w:eastAsia="黑体" w:cs="黑体"/>
                <w:b/>
                <w:bCs/>
                <w:color w:val="auto"/>
                <w:sz w:val="24"/>
                <w:szCs w:val="24"/>
                <w:highlight w:val="none"/>
                <w:vertAlign w:val="baseline"/>
                <w:lang w:val="en-US" w:eastAsia="zh-CN"/>
              </w:rPr>
            </w:pPr>
            <w:r>
              <w:rPr>
                <w:rFonts w:hint="eastAsia" w:ascii="黑体" w:hAnsi="黑体" w:eastAsia="黑体" w:cs="黑体"/>
                <w:b/>
                <w:bCs/>
                <w:color w:val="auto"/>
                <w:sz w:val="24"/>
                <w:szCs w:val="24"/>
                <w:highlight w:val="none"/>
                <w:vertAlign w:val="baseline"/>
                <w:lang w:val="en-US" w:eastAsia="zh-CN"/>
              </w:rPr>
              <w:t>详见参数附表</w:t>
            </w:r>
          </w:p>
        </w:tc>
      </w:tr>
    </w:tbl>
    <w:p>
      <w:pPr>
        <w:rPr>
          <w:rFonts w:hint="eastAsia" w:ascii="黑体" w:hAnsi="黑体" w:eastAsia="黑体" w:cs="黑体"/>
          <w:b/>
          <w:bCs/>
          <w:color w:val="auto"/>
          <w:sz w:val="24"/>
          <w:szCs w:val="24"/>
          <w:highlight w:val="none"/>
          <w:lang w:val="en-US" w:eastAsia="zh-CN"/>
        </w:rPr>
      </w:pPr>
    </w:p>
    <w:p>
      <w:pPr>
        <w:rPr>
          <w:rFonts w:hint="eastAsia" w:ascii="宋体" w:hAnsi="宋体" w:eastAsia="宋体" w:cs="宋体"/>
          <w:b/>
          <w:bCs/>
          <w:color w:val="000000" w:themeColor="text1"/>
          <w:kern w:val="0"/>
          <w:sz w:val="24"/>
          <w:szCs w:val="24"/>
          <w:lang w:eastAsia="zh-CN"/>
          <w14:textFill>
            <w14:solidFill>
              <w14:schemeClr w14:val="tx1"/>
            </w14:solidFill>
          </w14:textFill>
        </w:rPr>
      </w:pPr>
      <w:bookmarkStart w:id="74" w:name="OLE_LINK22"/>
      <w:bookmarkStart w:id="75" w:name="OLE_LINK23"/>
      <w:r>
        <w:rPr>
          <w:rFonts w:hint="eastAsia" w:ascii="宋体" w:hAnsi="宋体" w:eastAsia="宋体" w:cs="宋体"/>
          <w:b/>
          <w:bCs/>
          <w:color w:val="000000" w:themeColor="text1"/>
          <w:kern w:val="0"/>
          <w:sz w:val="24"/>
          <w:szCs w:val="24"/>
          <w:lang w:eastAsia="zh-CN"/>
          <w14:textFill>
            <w14:solidFill>
              <w14:schemeClr w14:val="tx1"/>
            </w14:solidFill>
          </w14:textFill>
        </w:rPr>
        <w:br w:type="page"/>
      </w:r>
    </w:p>
    <w:p>
      <w:pPr>
        <w:autoSpaceDE w:val="0"/>
        <w:autoSpaceDN w:val="0"/>
        <w:adjustRightInd w:val="0"/>
        <w:jc w:val="center"/>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临床检验专用冰箱性能参数</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1</w:t>
      </w:r>
    </w:p>
    <w:p>
      <w:pPr>
        <w:autoSpaceDE w:val="0"/>
        <w:autoSpaceDN w:val="0"/>
        <w:adjustRightInd w:val="0"/>
        <w:jc w:val="center"/>
        <w:rPr>
          <w:rFonts w:hint="eastAsia" w:ascii="宋体" w:hAnsi="宋体" w:eastAsia="宋体" w:cs="宋体"/>
          <w:b/>
          <w:bCs/>
          <w:color w:val="000000" w:themeColor="text1"/>
          <w:kern w:val="0"/>
          <w:sz w:val="24"/>
          <w:szCs w:val="24"/>
          <w:lang w:eastAsia="zh-CN"/>
          <w14:textFill>
            <w14:solidFill>
              <w14:schemeClr w14:val="tx1"/>
            </w14:solidFill>
          </w14:textFill>
        </w:rPr>
      </w:pPr>
    </w:p>
    <w:p>
      <w:pPr>
        <w:autoSpaceDE w:val="0"/>
        <w:autoSpaceDN w:val="0"/>
        <w:adjustRightInd w:val="0"/>
        <w:jc w:val="left"/>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1、温度范围-10°C～-30°C可调节，箱内特性点温度均匀度±4℃；</w:t>
      </w:r>
    </w:p>
    <w:p>
      <w:pPr>
        <w:pStyle w:val="54"/>
        <w:numPr>
          <w:ilvl w:val="0"/>
          <w:numId w:val="68"/>
        </w:numPr>
        <w:autoSpaceDE w:val="0"/>
        <w:autoSpaceDN w:val="0"/>
        <w:adjustRightInd w:val="0"/>
        <w:ind w:firstLineChars="0"/>
        <w:jc w:val="left"/>
        <w:rPr>
          <w:rFonts w:hint="eastAsia" w:ascii="黑体" w:hAnsi="黑体" w:eastAsia="黑体" w:cs="黑体"/>
          <w:color w:val="auto"/>
          <w:kern w:val="0"/>
          <w:sz w:val="24"/>
          <w:szCs w:val="24"/>
        </w:rPr>
      </w:pPr>
      <w:r>
        <w:rPr>
          <w:rFonts w:hint="eastAsia" w:ascii="黑体" w:hAnsi="黑体" w:eastAsia="黑体" w:cs="黑体"/>
          <w:sz w:val="24"/>
          <w:szCs w:val="24"/>
        </w:rPr>
        <w:t>微电脑控制</w:t>
      </w:r>
      <w:r>
        <w:rPr>
          <w:rFonts w:hint="eastAsia" w:ascii="黑体" w:hAnsi="黑体" w:eastAsia="黑体" w:cs="黑体"/>
          <w:color w:val="auto"/>
          <w:sz w:val="24"/>
          <w:szCs w:val="24"/>
        </w:rPr>
        <w:t>，LCD数字显示箱内温度，</w:t>
      </w:r>
      <w:r>
        <w:rPr>
          <w:rFonts w:hint="eastAsia" w:ascii="黑体" w:hAnsi="黑体" w:eastAsia="黑体" w:cs="黑体"/>
          <w:bCs/>
          <w:color w:val="auto"/>
          <w:sz w:val="24"/>
          <w:szCs w:val="24"/>
        </w:rPr>
        <w:t>显示精度0.1℃</w:t>
      </w:r>
      <w:r>
        <w:rPr>
          <w:rFonts w:hint="eastAsia" w:ascii="黑体" w:hAnsi="黑体" w:eastAsia="黑体" w:cs="黑体"/>
          <w:color w:val="auto"/>
          <w:kern w:val="0"/>
          <w:sz w:val="24"/>
          <w:szCs w:val="24"/>
        </w:rPr>
        <w:t>；</w:t>
      </w:r>
    </w:p>
    <w:p>
      <w:pPr>
        <w:autoSpaceDE w:val="0"/>
        <w:autoSpaceDN w:val="0"/>
        <w:adjustRightInd w:val="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3、</w:t>
      </w:r>
      <w:bookmarkStart w:id="76" w:name="OLE_LINK46"/>
      <w:bookmarkStart w:id="77" w:name="OLE_LINK45"/>
      <w:r>
        <w:rPr>
          <w:rFonts w:hint="eastAsia" w:ascii="黑体" w:hAnsi="黑体" w:eastAsia="黑体" w:cs="黑体"/>
          <w:color w:val="auto"/>
          <w:kern w:val="0"/>
          <w:sz w:val="24"/>
          <w:szCs w:val="24"/>
        </w:rPr>
        <w:t>具有多种故障报警：高温报警、低温报警、传感器故障报警、断电报警、超温限报警</w:t>
      </w:r>
      <w:bookmarkEnd w:id="76"/>
      <w:bookmarkEnd w:id="77"/>
      <w:r>
        <w:rPr>
          <w:rFonts w:hint="eastAsia" w:ascii="黑体" w:hAnsi="黑体" w:eastAsia="黑体" w:cs="黑体"/>
          <w:color w:val="auto"/>
          <w:kern w:val="0"/>
          <w:sz w:val="24"/>
          <w:szCs w:val="24"/>
        </w:rPr>
        <w:t>，24小时内高低温报警信息记录查看功能；</w:t>
      </w:r>
    </w:p>
    <w:p>
      <w:pPr>
        <w:autoSpaceDE w:val="0"/>
        <w:autoSpaceDN w:val="0"/>
        <w:adjustRightInd w:val="0"/>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4、具有两种报警方式：声音蜂鸣报警、灯光闪烁报警；</w:t>
      </w:r>
    </w:p>
    <w:p>
      <w:pPr>
        <w:autoSpaceDE w:val="0"/>
        <w:autoSpaceDN w:val="0"/>
        <w:adjustRightInd w:val="0"/>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5、多重保护功能：开机延时保护、停机间隔</w:t>
      </w:r>
      <w:r>
        <w:rPr>
          <w:rFonts w:hint="eastAsia" w:ascii="黑体" w:hAnsi="黑体" w:eastAsia="黑体" w:cs="黑体"/>
          <w:color w:val="auto"/>
          <w:sz w:val="24"/>
          <w:szCs w:val="24"/>
        </w:rPr>
        <w:t>保护、</w:t>
      </w:r>
      <w:r>
        <w:rPr>
          <w:rFonts w:hint="eastAsia" w:ascii="黑体" w:hAnsi="黑体" w:eastAsia="黑体" w:cs="黑体"/>
          <w:color w:val="auto"/>
          <w:kern w:val="0"/>
          <w:sz w:val="24"/>
          <w:szCs w:val="24"/>
        </w:rPr>
        <w:t xml:space="preserve">显示面板密码保护、断电记忆数据保护、传感器故障保护运行； </w:t>
      </w:r>
    </w:p>
    <w:p>
      <w:pPr>
        <w:autoSpaceDE w:val="0"/>
        <w:autoSpaceDN w:val="0"/>
        <w:adjustRightInd w:val="0"/>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6、断电后报警持续24小时以上</w:t>
      </w:r>
      <w:r>
        <w:rPr>
          <w:rFonts w:hint="eastAsia" w:ascii="黑体" w:hAnsi="黑体" w:eastAsia="黑体" w:cs="黑体"/>
          <w:color w:val="auto"/>
          <w:sz w:val="24"/>
          <w:szCs w:val="24"/>
        </w:rPr>
        <w:t>；</w:t>
      </w:r>
    </w:p>
    <w:p>
      <w:pPr>
        <w:autoSpaceDE w:val="0"/>
        <w:autoSpaceDN w:val="0"/>
        <w:adjustRightInd w:val="0"/>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7、测试孔设计，方便用户测控使用；</w:t>
      </w:r>
    </w:p>
    <w:p>
      <w:pPr>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8、碳氢节能压缩机，优化碳氢制冷系统，节能环保；</w:t>
      </w:r>
    </w:p>
    <w:p>
      <w:pPr>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9、采用进口名牌SECOP碳氢高效节能压缩机和德国EBM风机，高效制冷，使用寿命更长；</w:t>
      </w:r>
    </w:p>
    <w:p>
      <w:pPr>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10、优化系统与结构低噪音设计，彻底消除刺耳的高频噪音；</w:t>
      </w:r>
    </w:p>
    <w:p>
      <w:pPr>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11、立式单门结构，90mm超厚保温层，优化嵌入式双密封条设计，</w:t>
      </w:r>
      <w:bookmarkStart w:id="78" w:name="OLE_LINK26"/>
      <w:bookmarkStart w:id="79" w:name="OLE_LINK24"/>
      <w:bookmarkStart w:id="80" w:name="OLE_LINK27"/>
      <w:bookmarkStart w:id="81" w:name="OLE_LINK25"/>
      <w:r>
        <w:rPr>
          <w:rFonts w:hint="eastAsia" w:ascii="黑体" w:hAnsi="黑体" w:eastAsia="黑体" w:cs="黑体"/>
          <w:color w:val="auto"/>
          <w:kern w:val="0"/>
          <w:sz w:val="24"/>
          <w:szCs w:val="24"/>
        </w:rPr>
        <w:t>密封保温效果好</w:t>
      </w:r>
      <w:bookmarkEnd w:id="78"/>
      <w:bookmarkEnd w:id="79"/>
      <w:bookmarkEnd w:id="80"/>
      <w:bookmarkEnd w:id="81"/>
      <w:r>
        <w:rPr>
          <w:rFonts w:hint="eastAsia" w:ascii="黑体" w:hAnsi="黑体" w:eastAsia="黑体" w:cs="黑体"/>
          <w:color w:val="auto"/>
          <w:kern w:val="0"/>
          <w:sz w:val="24"/>
          <w:szCs w:val="24"/>
        </w:rPr>
        <w:t>，环保节能；</w:t>
      </w:r>
    </w:p>
    <w:p>
      <w:pPr>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12、外壳喷涂钢板设计，内胆采用PS板吸附材质，永不生锈，防腐可靠，易于清洁；</w:t>
      </w:r>
    </w:p>
    <w:p>
      <w:pPr>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13、门锁+门锁扣设计，即可一把钥匙一把锁，又可外加挂锁，可随意配置任意挂锁，实现多人管理，保证存储物品安全；新式滚轮轴承锁扣设计，开合更轻松；</w:t>
      </w:r>
    </w:p>
    <w:p>
      <w:pPr>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14、配备6个塑料抽屉，每个抽屉均带标示贴槽，便于用户分开存储不同类型的物品，防止保存物品交叉影响；</w:t>
      </w:r>
    </w:p>
    <w:p>
      <w:pPr>
        <w:jc w:val="left"/>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15、搁架式蒸发器设计，保证箱内温度在最短的时间内降到用户需要温度；</w:t>
      </w:r>
    </w:p>
    <w:p>
      <w:pPr>
        <w:jc w:val="left"/>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16、脚轮+底脚设计，便于移动和锁定；</w:t>
      </w:r>
    </w:p>
    <w:p>
      <w:pPr>
        <w:jc w:val="lef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17</w:t>
      </w:r>
      <w:bookmarkEnd w:id="74"/>
      <w:bookmarkEnd w:id="75"/>
      <w:r>
        <w:rPr>
          <w:rFonts w:hint="eastAsia" w:ascii="黑体" w:hAnsi="黑体" w:eastAsia="黑体" w:cs="黑体"/>
          <w:color w:val="000000" w:themeColor="text1"/>
          <w:kern w:val="0"/>
          <w:sz w:val="24"/>
          <w:szCs w:val="24"/>
          <w14:textFill>
            <w14:solidFill>
              <w14:schemeClr w14:val="tx1"/>
            </w14:solidFill>
          </w14:textFill>
        </w:rPr>
        <w:t>、</w:t>
      </w:r>
      <w:r>
        <w:rPr>
          <w:rFonts w:hint="eastAsia" w:ascii="黑体" w:hAnsi="黑体" w:eastAsia="黑体" w:cs="黑体"/>
          <w:b/>
          <w:bCs/>
          <w:color w:val="000000" w:themeColor="text1"/>
          <w:kern w:val="0"/>
          <w:sz w:val="24"/>
          <w:szCs w:val="24"/>
          <w14:textFill>
            <w14:solidFill>
              <w14:schemeClr w14:val="tx1"/>
            </w14:solidFill>
          </w14:textFill>
        </w:rPr>
        <w:t>医疗器械注册证。</w:t>
      </w:r>
    </w:p>
    <w:tbl>
      <w:tblPr>
        <w:tblStyle w:val="42"/>
        <w:tblW w:w="97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798" w:type="dxa"/>
            <w:vAlign w:val="center"/>
          </w:tcPr>
          <w:p>
            <w:pPr>
              <w:spacing w:line="30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一、功能描述：保存血浆、生物制品、远洋制品、电子器件、特殊材料的低温试验等，适用于血站、医院、防疫站、畜牧兽医站、科研院所、电子化工等企业实验室、生物医学工程研究所，远洋渔业公司等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9798" w:type="dxa"/>
            <w:vAlign w:val="center"/>
          </w:tcPr>
          <w:p>
            <w:pPr>
              <w:spacing w:line="30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二、技术要求及配置：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9798" w:type="dxa"/>
            <w:vAlign w:val="center"/>
          </w:tcPr>
          <w:p>
            <w:pPr>
              <w:spacing w:line="30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2.1、工作条件：环境温度10～32℃，电源220V/50Hz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798" w:type="dxa"/>
            <w:vAlign w:val="center"/>
          </w:tcPr>
          <w:p>
            <w:pPr>
              <w:spacing w:line="30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2.2、样式：立式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9798" w:type="dxa"/>
            <w:vAlign w:val="center"/>
          </w:tcPr>
          <w:p>
            <w:pPr>
              <w:spacing w:line="30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2.3、有效容积：</w:t>
            </w:r>
            <w:r>
              <w:rPr>
                <w:rFonts w:hint="eastAsia" w:ascii="黑体" w:hAnsi="黑体" w:eastAsia="黑体" w:cs="黑体"/>
                <w:color w:val="000000" w:themeColor="text1"/>
                <w:sz w:val="24"/>
                <w:szCs w:val="24"/>
                <w:lang w:eastAsia="zh-CN"/>
                <w14:textFill>
                  <w14:solidFill>
                    <w14:schemeClr w14:val="tx1"/>
                  </w14:solidFill>
                </w14:textFill>
              </w:rPr>
              <w:t>≥</w:t>
            </w:r>
            <w:r>
              <w:rPr>
                <w:rFonts w:hint="eastAsia" w:ascii="黑体" w:hAnsi="黑体" w:eastAsia="黑体" w:cs="黑体"/>
                <w:color w:val="000000" w:themeColor="text1"/>
                <w:sz w:val="24"/>
                <w:szCs w:val="24"/>
                <w14:textFill>
                  <w14:solidFill>
                    <w14:schemeClr w14:val="tx1"/>
                  </w14:solidFill>
                </w14:textFill>
              </w:rPr>
              <w:t>27</w:t>
            </w:r>
            <w:r>
              <w:rPr>
                <w:rFonts w:hint="eastAsia" w:ascii="黑体" w:hAnsi="黑体" w:eastAsia="黑体" w:cs="黑体"/>
                <w:color w:val="000000" w:themeColor="text1"/>
                <w:sz w:val="24"/>
                <w:szCs w:val="24"/>
                <w:lang w:val="en-US" w:eastAsia="zh-CN"/>
                <w14:textFill>
                  <w14:solidFill>
                    <w14:schemeClr w14:val="tx1"/>
                  </w14:solidFill>
                </w14:textFill>
              </w:rPr>
              <w:t>0</w:t>
            </w:r>
            <w:r>
              <w:rPr>
                <w:rFonts w:hint="eastAsia" w:ascii="黑体" w:hAnsi="黑体" w:eastAsia="黑体" w:cs="黑体"/>
                <w:color w:val="000000" w:themeColor="text1"/>
                <w:sz w:val="24"/>
                <w:szCs w:val="24"/>
                <w14:textFill>
                  <w14:solidFill>
                    <w14:schemeClr w14:val="tx1"/>
                  </w14:solidFill>
                </w14:textFill>
              </w:rPr>
              <w:t>L</w:t>
            </w:r>
          </w:p>
        </w:tc>
      </w:tr>
    </w:tbl>
    <w:p>
      <w:pPr>
        <w:widowControl/>
        <w:kinsoku w:val="0"/>
        <w:overflowPunct w:val="0"/>
        <w:spacing w:line="360" w:lineRule="auto"/>
        <w:jc w:val="center"/>
        <w:textAlignment w:val="baseline"/>
        <w:rPr>
          <w:rFonts w:hint="eastAsia" w:ascii="宋体" w:hAnsi="宋体" w:eastAsia="宋体" w:cs="宋体"/>
          <w:b/>
          <w:bCs/>
          <w:color w:val="000000" w:themeColor="text1"/>
          <w:kern w:val="0"/>
          <w:sz w:val="24"/>
          <w:szCs w:val="24"/>
          <w:lang w:eastAsia="zh-CN"/>
          <w14:textFill>
            <w14:solidFill>
              <w14:schemeClr w14:val="tx1"/>
            </w14:solidFill>
          </w14:textFill>
        </w:rPr>
      </w:pPr>
    </w:p>
    <w:p>
      <w:pPr>
        <w:widowControl/>
        <w:kinsoku w:val="0"/>
        <w:overflowPunct w:val="0"/>
        <w:spacing w:line="360" w:lineRule="auto"/>
        <w:jc w:val="center"/>
        <w:textAlignment w:val="baseline"/>
        <w:rPr>
          <w:rFonts w:hint="eastAsia" w:ascii="宋体" w:hAnsi="宋体" w:eastAsia="宋体" w:cs="宋体"/>
          <w:b/>
          <w:bCs/>
          <w:color w:val="000000" w:themeColor="text1"/>
          <w:kern w:val="0"/>
          <w:sz w:val="24"/>
          <w:szCs w:val="24"/>
          <w:lang w:eastAsia="zh-CN"/>
          <w14:textFill>
            <w14:solidFill>
              <w14:schemeClr w14:val="tx1"/>
            </w14:solidFill>
          </w14:textFill>
        </w:rPr>
      </w:pPr>
    </w:p>
    <w:p>
      <w:pPr>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br w:type="page"/>
      </w:r>
    </w:p>
    <w:p>
      <w:pPr>
        <w:widowControl/>
        <w:kinsoku w:val="0"/>
        <w:overflowPunct w:val="0"/>
        <w:spacing w:line="360" w:lineRule="auto"/>
        <w:jc w:val="center"/>
        <w:textAlignment w:val="baseline"/>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临床检验专用冰箱性能参数</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w:t>
      </w:r>
      <w:r>
        <w:rPr>
          <w:rFonts w:hint="eastAsia" w:ascii="宋体" w:hAnsi="宋体" w:cs="宋体"/>
          <w:b/>
          <w:bCs/>
          <w:color w:val="000000" w:themeColor="text1"/>
          <w:kern w:val="0"/>
          <w:sz w:val="24"/>
          <w:szCs w:val="24"/>
          <w:lang w:val="en-US" w:eastAsia="zh-CN"/>
          <w14:textFill>
            <w14:solidFill>
              <w14:schemeClr w14:val="tx1"/>
            </w14:solidFill>
          </w14:textFill>
        </w:rPr>
        <w:t>2</w:t>
      </w:r>
    </w:p>
    <w:p>
      <w:pPr>
        <w:widowControl/>
        <w:kinsoku w:val="0"/>
        <w:overflowPunct w:val="0"/>
        <w:spacing w:line="360" w:lineRule="auto"/>
        <w:jc w:val="left"/>
        <w:textAlignment w:val="baseline"/>
        <w:rPr>
          <w:rFonts w:hint="eastAsia" w:ascii="黑体" w:hAnsi="黑体" w:eastAsia="黑体" w:cs="黑体"/>
          <w:kern w:val="24"/>
          <w:sz w:val="24"/>
        </w:rPr>
      </w:pPr>
      <w:r>
        <w:rPr>
          <w:rFonts w:hint="eastAsia" w:ascii="黑体" w:hAnsi="黑体" w:eastAsia="黑体" w:cs="黑体"/>
          <w:kern w:val="24"/>
          <w:sz w:val="24"/>
        </w:rPr>
        <w:t>1、有效容积≥31</w:t>
      </w:r>
      <w:r>
        <w:rPr>
          <w:rFonts w:hint="eastAsia" w:ascii="黑体" w:hAnsi="黑体" w:eastAsia="黑体" w:cs="黑体"/>
          <w:kern w:val="24"/>
          <w:sz w:val="24"/>
          <w:lang w:val="en-US" w:eastAsia="zh-CN"/>
        </w:rPr>
        <w:t>0</w:t>
      </w:r>
      <w:r>
        <w:rPr>
          <w:rFonts w:hint="eastAsia" w:ascii="黑体" w:hAnsi="黑体" w:eastAsia="黑体" w:cs="黑体"/>
          <w:kern w:val="24"/>
          <w:sz w:val="24"/>
        </w:rPr>
        <w:t>L。</w:t>
      </w:r>
    </w:p>
    <w:p>
      <w:pPr>
        <w:widowControl/>
        <w:kinsoku w:val="0"/>
        <w:overflowPunct w:val="0"/>
        <w:spacing w:line="360" w:lineRule="auto"/>
        <w:jc w:val="left"/>
        <w:textAlignment w:val="baseline"/>
        <w:rPr>
          <w:rFonts w:hint="eastAsia" w:ascii="黑体" w:hAnsi="黑体" w:eastAsia="黑体" w:cs="黑体"/>
          <w:color w:val="FF0000"/>
          <w:kern w:val="24"/>
          <w:sz w:val="24"/>
        </w:rPr>
      </w:pPr>
      <w:r>
        <w:rPr>
          <w:rFonts w:hint="eastAsia" w:ascii="黑体" w:hAnsi="黑体" w:eastAsia="黑体" w:cs="黑体"/>
          <w:kern w:val="24"/>
          <w:sz w:val="24"/>
        </w:rPr>
        <w:t>2、电脑板控制，冷藏冷冻温度同时显示，冷藏显示精度0.1 ℃，冷冻显示精度1 ℃。冷藏温度范围2～8℃，冷冻温度-10~-30℃可调。</w:t>
      </w:r>
    </w:p>
    <w:p>
      <w:pPr>
        <w:widowControl/>
        <w:kinsoku w:val="0"/>
        <w:overflowPunct w:val="0"/>
        <w:spacing w:line="360" w:lineRule="auto"/>
        <w:jc w:val="left"/>
        <w:textAlignment w:val="baseline"/>
        <w:rPr>
          <w:rFonts w:hint="eastAsia" w:ascii="黑体" w:hAnsi="黑体" w:eastAsia="黑体" w:cs="黑体"/>
          <w:color w:val="FF0000"/>
          <w:kern w:val="24"/>
          <w:sz w:val="24"/>
        </w:rPr>
      </w:pPr>
      <w:r>
        <w:rPr>
          <w:rFonts w:hint="eastAsia" w:ascii="黑体" w:hAnsi="黑体" w:eastAsia="黑体" w:cs="黑体"/>
          <w:kern w:val="24"/>
          <w:sz w:val="24"/>
        </w:rPr>
        <w:t>3、多种报警功能：超温报警、传感器故障报警、环温超标报警、断电报警、电池电量低报警；两种报警方式（声音蜂鸣报警、闪烁报警），可接远程报警；断电报警持续48小时。</w:t>
      </w:r>
    </w:p>
    <w:p>
      <w:pPr>
        <w:widowControl/>
        <w:kinsoku w:val="0"/>
        <w:overflowPunct w:val="0"/>
        <w:spacing w:line="360" w:lineRule="auto"/>
        <w:jc w:val="left"/>
        <w:textAlignment w:val="baseline"/>
        <w:rPr>
          <w:rFonts w:hint="eastAsia" w:ascii="黑体" w:hAnsi="黑体" w:eastAsia="黑体" w:cs="黑体"/>
          <w:kern w:val="24"/>
          <w:sz w:val="24"/>
        </w:rPr>
      </w:pPr>
      <w:r>
        <w:rPr>
          <w:rFonts w:hint="eastAsia" w:ascii="黑体" w:hAnsi="黑体" w:eastAsia="黑体" w:cs="黑体"/>
          <w:kern w:val="24"/>
          <w:sz w:val="24"/>
        </w:rPr>
        <w:t>4、名牌压缩机，碳氢制冷剂。</w:t>
      </w:r>
    </w:p>
    <w:p>
      <w:pPr>
        <w:widowControl/>
        <w:kinsoku w:val="0"/>
        <w:overflowPunct w:val="0"/>
        <w:spacing w:line="360" w:lineRule="auto"/>
        <w:jc w:val="left"/>
        <w:textAlignment w:val="baseline"/>
        <w:rPr>
          <w:rFonts w:hint="eastAsia" w:ascii="黑体" w:hAnsi="黑体" w:eastAsia="黑体" w:cs="黑体"/>
          <w:kern w:val="24"/>
          <w:sz w:val="24"/>
        </w:rPr>
      </w:pPr>
      <w:r>
        <w:rPr>
          <w:rFonts w:hint="eastAsia" w:ascii="黑体" w:hAnsi="黑体" w:eastAsia="黑体" w:cs="黑体"/>
          <w:kern w:val="24"/>
          <w:sz w:val="24"/>
        </w:rPr>
        <w:t>5、ADDA风机，冷藏温度更均匀。</w:t>
      </w:r>
    </w:p>
    <w:p>
      <w:pPr>
        <w:widowControl/>
        <w:kinsoku w:val="0"/>
        <w:overflowPunct w:val="0"/>
        <w:spacing w:line="360" w:lineRule="auto"/>
        <w:jc w:val="left"/>
        <w:textAlignment w:val="baseline"/>
        <w:rPr>
          <w:rFonts w:hint="eastAsia" w:ascii="黑体" w:hAnsi="黑体" w:eastAsia="黑体" w:cs="黑体"/>
          <w:color w:val="FF0000"/>
          <w:kern w:val="24"/>
          <w:sz w:val="24"/>
        </w:rPr>
      </w:pPr>
      <w:r>
        <w:rPr>
          <w:rFonts w:hint="eastAsia" w:ascii="黑体" w:hAnsi="黑体" w:eastAsia="黑体" w:cs="黑体"/>
          <w:kern w:val="24"/>
          <w:sz w:val="24"/>
        </w:rPr>
        <w:t>6、安全设计：双门双</w:t>
      </w:r>
      <w:r>
        <w:rPr>
          <w:rFonts w:hint="eastAsia" w:ascii="黑体" w:hAnsi="黑体" w:eastAsia="黑体" w:cs="黑体"/>
          <w:bCs/>
          <w:kern w:val="24"/>
          <w:sz w:val="24"/>
        </w:rPr>
        <w:t>锁扣设计，每个锁扣均可外挂锁，满足安全要求</w:t>
      </w:r>
      <w:r>
        <w:rPr>
          <w:rFonts w:hint="eastAsia" w:ascii="黑体" w:hAnsi="黑体" w:eastAsia="黑体" w:cs="黑体"/>
          <w:kern w:val="24"/>
          <w:sz w:val="24"/>
        </w:rPr>
        <w:t>；</w:t>
      </w:r>
      <w:r>
        <w:rPr>
          <w:rFonts w:hint="eastAsia" w:ascii="黑体" w:hAnsi="黑体" w:eastAsia="黑体" w:cs="黑体"/>
          <w:color w:val="FF0000"/>
          <w:kern w:val="24"/>
          <w:sz w:val="24"/>
        </w:rPr>
        <w:t xml:space="preserve"> </w:t>
      </w:r>
    </w:p>
    <w:p>
      <w:pPr>
        <w:widowControl/>
        <w:kinsoku w:val="0"/>
        <w:overflowPunct w:val="0"/>
        <w:spacing w:line="360" w:lineRule="auto"/>
        <w:jc w:val="left"/>
        <w:textAlignment w:val="baseline"/>
        <w:rPr>
          <w:rFonts w:hint="eastAsia" w:ascii="黑体" w:hAnsi="黑体" w:eastAsia="黑体" w:cs="黑体"/>
          <w:color w:val="FF0000"/>
          <w:kern w:val="24"/>
          <w:sz w:val="24"/>
        </w:rPr>
      </w:pPr>
      <w:r>
        <w:rPr>
          <w:rFonts w:hint="eastAsia" w:ascii="黑体" w:hAnsi="黑体" w:eastAsia="黑体" w:cs="黑体"/>
          <w:kern w:val="24"/>
          <w:sz w:val="24"/>
        </w:rPr>
        <w:t>7、冷藏、冷冻双功能。</w:t>
      </w:r>
      <w:r>
        <w:rPr>
          <w:rFonts w:hint="eastAsia" w:ascii="黑体" w:hAnsi="黑体" w:eastAsia="黑体" w:cs="黑体"/>
          <w:kern w:val="24"/>
          <w:sz w:val="24"/>
          <w:lang w:eastAsia="zh-CN"/>
        </w:rPr>
        <w:t>≥</w:t>
      </w:r>
      <w:r>
        <w:rPr>
          <w:rFonts w:hint="eastAsia" w:ascii="黑体" w:hAnsi="黑体" w:eastAsia="黑体" w:cs="黑体"/>
          <w:kern w:val="24"/>
          <w:sz w:val="24"/>
        </w:rPr>
        <w:t>21</w:t>
      </w:r>
      <w:r>
        <w:rPr>
          <w:rFonts w:hint="eastAsia" w:ascii="黑体" w:hAnsi="黑体" w:eastAsia="黑体" w:cs="黑体"/>
          <w:kern w:val="24"/>
          <w:sz w:val="24"/>
          <w:lang w:val="en-US" w:eastAsia="zh-CN"/>
        </w:rPr>
        <w:t>5</w:t>
      </w:r>
      <w:r>
        <w:rPr>
          <w:rFonts w:hint="eastAsia" w:ascii="黑体" w:hAnsi="黑体" w:eastAsia="黑体" w:cs="黑体"/>
          <w:kern w:val="24"/>
          <w:sz w:val="24"/>
        </w:rPr>
        <w:t>L大冷藏室,</w:t>
      </w:r>
      <w:r>
        <w:rPr>
          <w:rFonts w:hint="eastAsia" w:ascii="黑体" w:hAnsi="黑体" w:eastAsia="黑体" w:cs="黑体"/>
          <w:kern w:val="24"/>
          <w:sz w:val="24"/>
          <w:lang w:eastAsia="zh-CN"/>
        </w:rPr>
        <w:t>≥</w:t>
      </w:r>
      <w:r>
        <w:rPr>
          <w:rFonts w:hint="eastAsia" w:ascii="黑体" w:hAnsi="黑体" w:eastAsia="黑体" w:cs="黑体"/>
          <w:kern w:val="24"/>
          <w:sz w:val="24"/>
          <w:lang w:val="en-US" w:eastAsia="zh-CN"/>
        </w:rPr>
        <w:t>95</w:t>
      </w:r>
      <w:r>
        <w:rPr>
          <w:rFonts w:hint="eastAsia" w:ascii="黑体" w:hAnsi="黑体" w:eastAsia="黑体" w:cs="黑体"/>
          <w:kern w:val="24"/>
          <w:sz w:val="24"/>
        </w:rPr>
        <w:t>L冷冻室。</w:t>
      </w:r>
    </w:p>
    <w:p>
      <w:pPr>
        <w:widowControl/>
        <w:kinsoku w:val="0"/>
        <w:overflowPunct w:val="0"/>
        <w:spacing w:line="360" w:lineRule="auto"/>
        <w:jc w:val="left"/>
        <w:textAlignment w:val="baseline"/>
        <w:rPr>
          <w:rFonts w:hint="eastAsia" w:ascii="黑体" w:hAnsi="黑体" w:eastAsia="黑体" w:cs="黑体"/>
          <w:kern w:val="24"/>
          <w:sz w:val="24"/>
        </w:rPr>
      </w:pPr>
      <w:r>
        <w:rPr>
          <w:rFonts w:hint="eastAsia" w:ascii="黑体" w:hAnsi="黑体" w:eastAsia="黑体" w:cs="黑体"/>
          <w:kern w:val="24"/>
          <w:sz w:val="24"/>
        </w:rPr>
        <w:t>8、冷藏、冷冻独立制冷系统，可单独停用。</w:t>
      </w:r>
    </w:p>
    <w:p>
      <w:pPr>
        <w:widowControl/>
        <w:kinsoku w:val="0"/>
        <w:overflowPunct w:val="0"/>
        <w:spacing w:line="360" w:lineRule="auto"/>
        <w:jc w:val="left"/>
        <w:textAlignment w:val="baseline"/>
        <w:rPr>
          <w:rFonts w:hint="eastAsia" w:ascii="黑体" w:hAnsi="黑体" w:eastAsia="黑体" w:cs="黑体"/>
          <w:kern w:val="24"/>
          <w:sz w:val="24"/>
        </w:rPr>
      </w:pPr>
      <w:r>
        <w:rPr>
          <w:rFonts w:hint="eastAsia" w:ascii="黑体" w:hAnsi="黑体" w:eastAsia="黑体" w:cs="黑体"/>
          <w:kern w:val="24"/>
          <w:sz w:val="24"/>
        </w:rPr>
        <w:t>9、产品带有2个测试孔，方便用户对箱内温度进行监测。</w:t>
      </w:r>
    </w:p>
    <w:p>
      <w:pPr>
        <w:widowControl/>
        <w:kinsoku w:val="0"/>
        <w:overflowPunct w:val="0"/>
        <w:spacing w:line="360" w:lineRule="auto"/>
        <w:jc w:val="left"/>
        <w:textAlignment w:val="baseline"/>
        <w:rPr>
          <w:rFonts w:hint="eastAsia" w:ascii="黑体" w:hAnsi="黑体" w:eastAsia="黑体" w:cs="黑体"/>
          <w:sz w:val="24"/>
        </w:rPr>
      </w:pPr>
      <w:r>
        <w:rPr>
          <w:rFonts w:hint="eastAsia" w:ascii="黑体" w:hAnsi="黑体" w:eastAsia="黑体" w:cs="黑体"/>
          <w:kern w:val="24"/>
          <w:sz w:val="24"/>
        </w:rPr>
        <w:t>10、选配USB</w:t>
      </w:r>
      <w:r>
        <w:rPr>
          <w:rFonts w:hint="eastAsia" w:ascii="黑体" w:hAnsi="黑体" w:eastAsia="黑体" w:cs="黑体"/>
          <w:sz w:val="24"/>
        </w:rPr>
        <w:t>接口模块，</w:t>
      </w:r>
      <w:r>
        <w:rPr>
          <w:rFonts w:hint="eastAsia" w:ascii="黑体" w:hAnsi="黑体" w:eastAsia="黑体" w:cs="黑体"/>
          <w:kern w:val="24"/>
          <w:sz w:val="24"/>
        </w:rPr>
        <w:t>可自动保存箱内十年温度数据，</w:t>
      </w:r>
      <w:r>
        <w:rPr>
          <w:rFonts w:hint="eastAsia" w:ascii="黑体" w:hAnsi="黑体" w:eastAsia="黑体" w:cs="黑体"/>
          <w:sz w:val="24"/>
        </w:rPr>
        <w:t>方便人员导出数据。</w:t>
      </w:r>
    </w:p>
    <w:p>
      <w:pPr>
        <w:widowControl/>
        <w:kinsoku w:val="0"/>
        <w:overflowPunct w:val="0"/>
        <w:spacing w:line="360" w:lineRule="auto"/>
        <w:jc w:val="left"/>
        <w:textAlignment w:val="baseline"/>
        <w:rPr>
          <w:rFonts w:hint="eastAsia" w:ascii="黑体" w:hAnsi="黑体" w:eastAsia="黑体" w:cs="黑体"/>
          <w:kern w:val="24"/>
          <w:sz w:val="24"/>
        </w:rPr>
      </w:pPr>
      <w:r>
        <w:rPr>
          <w:rFonts w:hint="eastAsia" w:ascii="黑体" w:hAnsi="黑体" w:eastAsia="黑体" w:cs="黑体"/>
          <w:kern w:val="24"/>
          <w:sz w:val="24"/>
        </w:rPr>
        <w:t>11、选配打印机。</w:t>
      </w:r>
    </w:p>
    <w:p>
      <w:pPr>
        <w:widowControl/>
        <w:kinsoku w:val="0"/>
        <w:overflowPunct w:val="0"/>
        <w:spacing w:line="360" w:lineRule="auto"/>
        <w:jc w:val="left"/>
        <w:textAlignment w:val="baseline"/>
        <w:rPr>
          <w:rFonts w:hint="eastAsia" w:ascii="黑体" w:hAnsi="黑体" w:eastAsia="黑体" w:cs="黑体"/>
          <w:kern w:val="24"/>
          <w:sz w:val="24"/>
        </w:rPr>
      </w:pPr>
      <w:r>
        <w:rPr>
          <w:rFonts w:hint="eastAsia" w:ascii="黑体" w:hAnsi="黑体" w:eastAsia="黑体" w:cs="黑体"/>
          <w:kern w:val="24"/>
          <w:sz w:val="24"/>
        </w:rPr>
        <w:t>12、设有监控功能，可远程报警、可网络监控（选配）</w:t>
      </w:r>
    </w:p>
    <w:p>
      <w:pPr>
        <w:spacing w:line="360" w:lineRule="auto"/>
        <w:rPr>
          <w:rFonts w:hint="eastAsia" w:ascii="黑体" w:hAnsi="黑体" w:eastAsia="黑体" w:cs="黑体"/>
          <w:sz w:val="24"/>
        </w:rPr>
      </w:pPr>
      <w:r>
        <w:rPr>
          <w:rFonts w:hint="eastAsia" w:ascii="黑体" w:hAnsi="黑体" w:eastAsia="黑体" w:cs="黑体"/>
          <w:sz w:val="24"/>
        </w:rPr>
        <w:t>13、发泡门设计，满足避光保存要求。</w:t>
      </w:r>
    </w:p>
    <w:p>
      <w:pPr>
        <w:spacing w:line="360" w:lineRule="auto"/>
        <w:rPr>
          <w:rFonts w:hint="eastAsia" w:ascii="黑体" w:hAnsi="黑体" w:eastAsia="黑体" w:cs="黑体"/>
          <w:sz w:val="24"/>
        </w:rPr>
      </w:pPr>
      <w:r>
        <w:rPr>
          <w:rFonts w:hint="eastAsia" w:ascii="黑体" w:hAnsi="黑体" w:eastAsia="黑体" w:cs="黑体"/>
          <w:sz w:val="24"/>
        </w:rPr>
        <w:t>14、</w:t>
      </w:r>
      <w:r>
        <w:rPr>
          <w:rFonts w:hint="eastAsia" w:ascii="黑体" w:hAnsi="黑体" w:eastAsia="黑体" w:cs="黑体"/>
          <w:kern w:val="0"/>
          <w:sz w:val="24"/>
        </w:rPr>
        <w:t>产品具有医疗器械注册证</w:t>
      </w:r>
    </w:p>
    <w:p>
      <w:pPr>
        <w:spacing w:line="360" w:lineRule="auto"/>
        <w:rPr>
          <w:rFonts w:hint="eastAsia" w:ascii="黑体" w:hAnsi="黑体" w:eastAsia="黑体" w:cs="黑体"/>
          <w:sz w:val="24"/>
        </w:rPr>
      </w:pPr>
      <w:r>
        <w:rPr>
          <w:rFonts w:hint="eastAsia" w:ascii="黑体" w:hAnsi="黑体" w:eastAsia="黑体" w:cs="黑体"/>
          <w:sz w:val="24"/>
        </w:rPr>
        <w:t>15、产品配有4个脚轮和2个平衡底脚；</w:t>
      </w:r>
    </w:p>
    <w:p>
      <w:pPr>
        <w:spacing w:line="360" w:lineRule="auto"/>
        <w:rPr>
          <w:rFonts w:hint="eastAsia" w:ascii="黑体" w:hAnsi="黑体" w:eastAsia="黑体" w:cs="黑体"/>
          <w:sz w:val="24"/>
        </w:rPr>
      </w:pPr>
      <w:r>
        <w:rPr>
          <w:rFonts w:hint="eastAsia" w:ascii="黑体" w:hAnsi="黑体" w:eastAsia="黑体" w:cs="黑体"/>
          <w:sz w:val="24"/>
        </w:rPr>
        <w:t>16、WiFi功能配合收集APP实时监控冰箱运行状况。</w:t>
      </w:r>
    </w:p>
    <w:p>
      <w:pPr>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br w:type="page"/>
      </w:r>
    </w:p>
    <w:p>
      <w:pPr>
        <w:spacing w:line="360" w:lineRule="auto"/>
        <w:jc w:val="center"/>
        <w:rPr>
          <w:rFonts w:hint="eastAsia"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临床检验专用冰箱性能参数</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w:t>
      </w:r>
      <w:r>
        <w:rPr>
          <w:rFonts w:hint="eastAsia" w:cs="宋体"/>
          <w:b/>
          <w:bCs/>
          <w:color w:val="000000" w:themeColor="text1"/>
          <w:kern w:val="0"/>
          <w:sz w:val="24"/>
          <w:szCs w:val="24"/>
          <w:lang w:val="en-US" w:eastAsia="zh-CN"/>
          <w14:textFill>
            <w14:solidFill>
              <w14:schemeClr w14:val="tx1"/>
            </w14:solidFill>
          </w14:textFill>
        </w:rPr>
        <w:t>3</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 xml:space="preserve">一、用途：保存生物制品、病毒、病菌、红细胞、白细胞等，适用于医院、血站、疾控中心、科研院所等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 xml:space="preserve">二、技术要求及配置：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 xml:space="preserve">2.1、工作条件：环境温度10～32℃，工作环境湿度：20-80%，电源220V±10% ，50 Hz±1HZ。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 xml:space="preserve">2.2、样式：立式。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2.3、有效容积：</w:t>
      </w:r>
      <w:r>
        <w:rPr>
          <w:rFonts w:hint="eastAsia" w:ascii="黑体" w:hAnsi="黑体" w:eastAsia="黑体" w:cs="黑体"/>
          <w:color w:val="000000"/>
          <w:sz w:val="24"/>
          <w:lang w:eastAsia="zh-CN"/>
        </w:rPr>
        <w:t>≥</w:t>
      </w:r>
      <w:r>
        <w:rPr>
          <w:rFonts w:hint="eastAsia" w:ascii="黑体" w:hAnsi="黑体" w:eastAsia="黑体" w:cs="黑体"/>
          <w:color w:val="000000"/>
          <w:sz w:val="24"/>
        </w:rPr>
        <w:t xml:space="preserve">340L。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2.4、显示：LED数码温度显示，可实时显示箱内温度和各种设定参数（温度、电压、环境温度、压缩机运行状态等），运行状态一目了然。</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2.5、温度控制：高精度微电脑温度控制系统，箱内温度-40℃～-86℃范围内任意设定且可稳定运行。</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 xml:space="preserve">2.6、箱体材料：优质结构钢板，经先进防腐磷化、喷涂工艺。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2.7、内胆材料：采用全不锈钢材质内胆，抗腐蚀，使用寿命长，清洗方便。</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2.8、保温材料：采用加厚保温层及VIP保温板，多道门封设计，保温效果好。</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 xml:space="preserve">2.9、安全存储：完善的声光报警系统（高低温、开门、电压异常、断电报警、传感器故障、冷凝器散热差、系统故障等），物品存储更安全；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2.10、双锁设计，键盘锁定和密码保护功能，防止随意调整运行参数；</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2.115、进口高效压缩机，动力强劲，质量更可靠，进口EBM低噪音风机，节能高效。冷凝风机及压缩机散热风机可根据环境温度变化及压缩机运行状态智能开停。</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 xml:space="preserve">2.12、测试孔设计，方便测试箱内温度。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 xml:space="preserve">2.13、25℃环温时，降温速度≤4.2小时。 </w:t>
      </w:r>
    </w:p>
    <w:p>
      <w:pPr>
        <w:spacing w:line="360" w:lineRule="auto"/>
        <w:rPr>
          <w:rFonts w:hint="eastAsia" w:ascii="黑体" w:hAnsi="黑体" w:eastAsia="黑体" w:cs="黑体"/>
          <w:color w:val="000000"/>
          <w:sz w:val="24"/>
        </w:rPr>
      </w:pPr>
      <w:r>
        <w:rPr>
          <w:rFonts w:hint="eastAsia" w:ascii="黑体" w:hAnsi="黑体" w:eastAsia="黑体" w:cs="黑体"/>
          <w:color w:val="000000"/>
          <w:sz w:val="24"/>
        </w:rPr>
        <w:t>2.14、可存储2英寸标准冻存盒</w:t>
      </w:r>
      <w:r>
        <w:rPr>
          <w:rFonts w:hint="eastAsia" w:ascii="黑体" w:hAnsi="黑体" w:eastAsia="黑体" w:cs="黑体"/>
          <w:color w:val="000000"/>
          <w:sz w:val="24"/>
          <w:lang w:eastAsia="zh-CN"/>
        </w:rPr>
        <w:t>≥</w:t>
      </w:r>
      <w:r>
        <w:rPr>
          <w:rFonts w:hint="eastAsia" w:ascii="黑体" w:hAnsi="黑体" w:eastAsia="黑体" w:cs="黑体"/>
          <w:color w:val="000000"/>
          <w:sz w:val="24"/>
        </w:rPr>
        <w:t>21</w:t>
      </w:r>
      <w:r>
        <w:rPr>
          <w:rFonts w:hint="eastAsia" w:ascii="黑体" w:hAnsi="黑体" w:eastAsia="黑体" w:cs="黑体"/>
          <w:color w:val="000000"/>
          <w:sz w:val="24"/>
          <w:lang w:val="en-US" w:eastAsia="zh-CN"/>
        </w:rPr>
        <w:t>0</w:t>
      </w:r>
      <w:r>
        <w:rPr>
          <w:rFonts w:hint="eastAsia" w:ascii="黑体" w:hAnsi="黑体" w:eastAsia="黑体" w:cs="黑体"/>
          <w:color w:val="000000"/>
          <w:sz w:val="24"/>
        </w:rPr>
        <w:t>个，2ml内旋冻存管21</w:t>
      </w:r>
      <w:r>
        <w:rPr>
          <w:rFonts w:hint="eastAsia" w:ascii="黑体" w:hAnsi="黑体" w:eastAsia="黑体" w:cs="黑体"/>
          <w:color w:val="000000"/>
          <w:sz w:val="24"/>
          <w:lang w:val="en-US" w:eastAsia="zh-CN"/>
        </w:rPr>
        <w:t>0</w:t>
      </w:r>
      <w:r>
        <w:rPr>
          <w:rFonts w:hint="eastAsia" w:ascii="黑体" w:hAnsi="黑体" w:eastAsia="黑体" w:cs="黑体"/>
          <w:color w:val="000000"/>
          <w:sz w:val="24"/>
        </w:rPr>
        <w:t>00个。</w:t>
      </w:r>
    </w:p>
    <w:p>
      <w:pPr>
        <w:spacing w:line="360" w:lineRule="auto"/>
        <w:rPr>
          <w:rFonts w:hint="eastAsia" w:ascii="黑体" w:hAnsi="黑体" w:eastAsia="黑体" w:cs="黑体"/>
          <w:color w:val="000000"/>
          <w:sz w:val="24"/>
          <w:lang w:eastAsia="zh-CN"/>
        </w:rPr>
      </w:pPr>
      <w:r>
        <w:rPr>
          <w:rFonts w:hint="eastAsia" w:ascii="黑体" w:hAnsi="黑体" w:eastAsia="黑体" w:cs="黑体"/>
          <w:color w:val="000000"/>
          <w:sz w:val="24"/>
        </w:rPr>
        <w:t>2.15、医疗器械产品注册证</w:t>
      </w:r>
      <w:r>
        <w:rPr>
          <w:rFonts w:hint="eastAsia" w:ascii="黑体" w:hAnsi="黑体" w:eastAsia="黑体" w:cs="黑体"/>
          <w:color w:val="000000"/>
          <w:sz w:val="24"/>
          <w:lang w:eastAsia="zh-CN"/>
        </w:rPr>
        <w:t>。</w:t>
      </w:r>
    </w:p>
    <w:p>
      <w:pPr>
        <w:spacing w:line="360" w:lineRule="auto"/>
        <w:rPr>
          <w:rFonts w:hint="eastAsia" w:ascii="黑体" w:hAnsi="黑体" w:eastAsia="黑体" w:cs="黑体"/>
          <w:color w:val="000000"/>
          <w:sz w:val="24"/>
        </w:rPr>
      </w:pPr>
      <w:r>
        <w:rPr>
          <w:rFonts w:hint="eastAsia" w:ascii="黑体" w:hAnsi="黑体" w:eastAsia="黑体" w:cs="黑体"/>
          <w:color w:val="000000"/>
          <w:sz w:val="24"/>
          <w:lang w:val="en-US" w:eastAsia="zh-CN"/>
        </w:rPr>
        <w:t>2.16</w:t>
      </w:r>
      <w:r>
        <w:rPr>
          <w:rFonts w:hint="eastAsia" w:ascii="黑体" w:hAnsi="黑体" w:eastAsia="黑体" w:cs="黑体"/>
          <w:color w:val="000000"/>
          <w:sz w:val="24"/>
        </w:rPr>
        <w:t>验收合格后，整机免费保修五年。</w:t>
      </w:r>
    </w:p>
    <w:p>
      <w:pPr>
        <w:spacing w:line="360" w:lineRule="auto"/>
        <w:rPr>
          <w:rFonts w:hint="eastAsia" w:ascii="黑体" w:hAnsi="黑体" w:eastAsia="黑体" w:cs="黑体"/>
          <w:color w:val="000000"/>
          <w:sz w:val="24"/>
        </w:rPr>
      </w:pPr>
      <w:r>
        <w:rPr>
          <w:rFonts w:hint="eastAsia" w:ascii="黑体" w:hAnsi="黑体" w:eastAsia="黑体" w:cs="黑体"/>
          <w:color w:val="000000"/>
          <w:sz w:val="24"/>
          <w:lang w:val="en-US" w:eastAsia="zh-CN"/>
        </w:rPr>
        <w:t>2.17</w:t>
      </w:r>
      <w:r>
        <w:rPr>
          <w:rFonts w:hint="eastAsia" w:ascii="黑体" w:hAnsi="黑体" w:eastAsia="黑体" w:cs="黑体"/>
          <w:color w:val="000000"/>
          <w:sz w:val="24"/>
        </w:rPr>
        <w:t>接到维修通知后，2小时内响应，48小时内实施维修服务。</w:t>
      </w:r>
    </w:p>
    <w:p>
      <w:pPr>
        <w:rPr>
          <w:rFonts w:hint="eastAsia"/>
          <w:b/>
          <w:bCs/>
          <w:sz w:val="24"/>
          <w:szCs w:val="32"/>
          <w:lang w:eastAsia="zh-CN"/>
        </w:rPr>
      </w:pPr>
      <w:r>
        <w:rPr>
          <w:rFonts w:hint="eastAsia"/>
          <w:b/>
          <w:bCs/>
          <w:sz w:val="24"/>
          <w:szCs w:val="32"/>
          <w:lang w:eastAsia="zh-CN"/>
        </w:rPr>
        <w:br w:type="page"/>
      </w:r>
    </w:p>
    <w:p>
      <w:pPr>
        <w:jc w:val="center"/>
        <w:rPr>
          <w:rFonts w:hint="eastAsia"/>
          <w:b/>
          <w:bCs/>
          <w:sz w:val="24"/>
          <w:szCs w:val="32"/>
          <w:lang w:val="en-US" w:eastAsia="zh-CN"/>
        </w:rPr>
      </w:pPr>
      <w:r>
        <w:rPr>
          <w:rFonts w:hint="eastAsia"/>
          <w:b/>
          <w:bCs/>
          <w:sz w:val="24"/>
          <w:szCs w:val="32"/>
          <w:lang w:eastAsia="zh-CN"/>
        </w:rPr>
        <w:t>临床检验试管架</w:t>
      </w:r>
      <w:r>
        <w:rPr>
          <w:rFonts w:hint="eastAsia"/>
          <w:b/>
          <w:bCs/>
          <w:sz w:val="24"/>
          <w:szCs w:val="32"/>
          <w:lang w:val="en-US" w:eastAsia="zh-CN"/>
        </w:rPr>
        <w:t xml:space="preserve"> 性能参数</w:t>
      </w:r>
    </w:p>
    <w:p>
      <w:pPr>
        <w:jc w:val="center"/>
        <w:rPr>
          <w:rFonts w:hint="eastAsia"/>
          <w:b/>
          <w:bCs/>
          <w:sz w:val="24"/>
          <w:szCs w:val="32"/>
          <w:lang w:val="en-US" w:eastAsia="zh-CN"/>
        </w:rPr>
      </w:pPr>
    </w:p>
    <w:p>
      <w:pPr>
        <w:jc w:val="center"/>
        <w:rPr>
          <w:rFonts w:hint="eastAsia"/>
          <w:b/>
          <w:bCs/>
          <w:sz w:val="24"/>
          <w:szCs w:val="32"/>
          <w:lang w:val="en-US" w:eastAsia="zh-CN"/>
        </w:rPr>
      </w:pPr>
    </w:p>
    <w:p>
      <w:pPr>
        <w:rPr>
          <w:rFonts w:hint="eastAsia" w:ascii="黑体" w:hAnsi="黑体" w:eastAsia="黑体" w:cs="黑体"/>
          <w:sz w:val="24"/>
          <w:szCs w:val="32"/>
        </w:rPr>
      </w:pPr>
      <w:r>
        <w:rPr>
          <w:rFonts w:hint="eastAsia" w:ascii="黑体" w:hAnsi="黑体" w:eastAsia="黑体" w:cs="黑体"/>
          <w:sz w:val="24"/>
          <w:szCs w:val="32"/>
        </w:rPr>
        <w:t>96孔试管架参数: (10 混1)</w:t>
      </w:r>
    </w:p>
    <w:p>
      <w:pPr>
        <w:rPr>
          <w:rFonts w:hint="eastAsia" w:ascii="黑体" w:hAnsi="黑体" w:eastAsia="黑体" w:cs="黑体"/>
          <w:sz w:val="24"/>
          <w:szCs w:val="32"/>
        </w:rPr>
      </w:pPr>
      <w:r>
        <w:rPr>
          <w:rFonts w:hint="eastAsia" w:ascii="黑体" w:hAnsi="黑体" w:eastAsia="黑体" w:cs="黑体"/>
          <w:sz w:val="24"/>
          <w:szCs w:val="32"/>
        </w:rPr>
        <w:t>孔数: 96孔(10混1)</w:t>
      </w:r>
    </w:p>
    <w:p>
      <w:pPr>
        <w:rPr>
          <w:rFonts w:hint="eastAsia" w:ascii="黑体" w:hAnsi="黑体" w:eastAsia="黑体" w:cs="黑体"/>
          <w:sz w:val="24"/>
          <w:szCs w:val="32"/>
        </w:rPr>
      </w:pPr>
      <w:r>
        <w:rPr>
          <w:rFonts w:hint="eastAsia" w:ascii="黑体" w:hAnsi="黑体" w:eastAsia="黑体" w:cs="黑体"/>
          <w:sz w:val="24"/>
          <w:szCs w:val="32"/>
        </w:rPr>
        <w:t>孔径: 19mm</w:t>
      </w:r>
    </w:p>
    <w:p>
      <w:pPr>
        <w:jc w:val="center"/>
        <w:rPr>
          <w:rFonts w:hint="eastAsia" w:eastAsiaTheme="minorEastAsia"/>
          <w:b/>
          <w:bCs/>
          <w:lang w:eastAsia="zh-CN"/>
        </w:rPr>
      </w:pPr>
      <w:r>
        <w:rPr>
          <w:rFonts w:hint="eastAsia"/>
          <w:b/>
          <w:bCs/>
          <w:sz w:val="32"/>
          <w:szCs w:val="32"/>
        </w:rPr>
        <w:t>混匀振荡器</w:t>
      </w:r>
      <w:r>
        <w:rPr>
          <w:rFonts w:hint="eastAsia"/>
          <w:b/>
          <w:bCs/>
          <w:sz w:val="32"/>
          <w:szCs w:val="32"/>
          <w:lang w:eastAsia="zh-CN"/>
        </w:rPr>
        <w:t>性能参数</w:t>
      </w:r>
    </w:p>
    <w:p>
      <w:pPr>
        <w:rPr>
          <w:rFonts w:hint="eastAsia" w:ascii="黑体" w:hAnsi="黑体" w:eastAsia="黑体" w:cs="黑体"/>
          <w:sz w:val="24"/>
          <w:szCs w:val="24"/>
        </w:rPr>
      </w:pPr>
      <w:r>
        <w:rPr>
          <w:rFonts w:hint="eastAsia" w:ascii="黑体" w:hAnsi="黑体" w:eastAsia="黑体" w:cs="黑体"/>
          <w:sz w:val="24"/>
          <w:szCs w:val="24"/>
        </w:rPr>
        <w:t>一、产品特点:</w:t>
      </w:r>
    </w:p>
    <w:p>
      <w:pPr>
        <w:rPr>
          <w:rFonts w:hint="eastAsia" w:ascii="黑体" w:hAnsi="黑体" w:eastAsia="黑体" w:cs="黑体"/>
          <w:sz w:val="24"/>
          <w:szCs w:val="24"/>
        </w:rPr>
      </w:pPr>
      <w:r>
        <w:rPr>
          <w:rFonts w:hint="eastAsia" w:ascii="黑体" w:hAnsi="黑体" w:eastAsia="黑体" w:cs="黑体"/>
          <w:sz w:val="24"/>
          <w:szCs w:val="24"/>
        </w:rPr>
        <w:t>1、外形迷你小巧，功能强大，吸盘式机脚，超强防震，适合高速工</w:t>
      </w:r>
    </w:p>
    <w:p>
      <w:pPr>
        <w:rPr>
          <w:rFonts w:hint="eastAsia" w:ascii="黑体" w:hAnsi="黑体" w:eastAsia="黑体" w:cs="黑体"/>
          <w:sz w:val="24"/>
          <w:szCs w:val="24"/>
        </w:rPr>
      </w:pPr>
      <w:r>
        <w:rPr>
          <w:rFonts w:hint="eastAsia" w:ascii="黑体" w:hAnsi="黑体" w:eastAsia="黑体" w:cs="黑体"/>
          <w:sz w:val="24"/>
          <w:szCs w:val="24"/>
        </w:rPr>
        <w:t>作。</w:t>
      </w:r>
    </w:p>
    <w:p>
      <w:pPr>
        <w:rPr>
          <w:rFonts w:hint="eastAsia" w:ascii="黑体" w:hAnsi="黑体" w:eastAsia="黑体" w:cs="黑体"/>
          <w:sz w:val="24"/>
          <w:szCs w:val="24"/>
        </w:rPr>
      </w:pPr>
      <w:r>
        <w:rPr>
          <w:rFonts w:hint="eastAsia" w:ascii="黑体" w:hAnsi="黑体" w:eastAsia="黑体" w:cs="黑体"/>
          <w:sz w:val="24"/>
          <w:szCs w:val="24"/>
        </w:rPr>
        <w:t>2、多种混匀模式，有点动模式和连续运行模式。</w:t>
      </w:r>
    </w:p>
    <w:p>
      <w:pPr>
        <w:rPr>
          <w:rFonts w:hint="eastAsia" w:ascii="黑体" w:hAnsi="黑体" w:eastAsia="黑体" w:cs="黑体"/>
          <w:sz w:val="24"/>
          <w:szCs w:val="24"/>
        </w:rPr>
      </w:pPr>
      <w:r>
        <w:rPr>
          <w:rFonts w:hint="eastAsia" w:ascii="黑体" w:hAnsi="黑体" w:eastAsia="黑体" w:cs="黑体"/>
          <w:sz w:val="24"/>
          <w:szCs w:val="24"/>
        </w:rPr>
        <w:t>3、转速可调，速度范围广，0-2800rpm/min, 电机无级调速，低速平</w:t>
      </w:r>
    </w:p>
    <w:p>
      <w:pPr>
        <w:rPr>
          <w:rFonts w:hint="eastAsia" w:ascii="黑体" w:hAnsi="黑体" w:eastAsia="黑体" w:cs="黑体"/>
          <w:sz w:val="24"/>
          <w:szCs w:val="24"/>
        </w:rPr>
      </w:pPr>
      <w:r>
        <w:rPr>
          <w:rFonts w:hint="eastAsia" w:ascii="黑体" w:hAnsi="黑体" w:eastAsia="黑体" w:cs="黑体"/>
          <w:sz w:val="24"/>
          <w:szCs w:val="24"/>
        </w:rPr>
        <w:t>稳，高速强劲。</w:t>
      </w:r>
    </w:p>
    <w:p>
      <w:pPr>
        <w:rPr>
          <w:rFonts w:hint="eastAsia" w:ascii="黑体" w:hAnsi="黑体" w:eastAsia="黑体" w:cs="黑体"/>
          <w:sz w:val="24"/>
          <w:szCs w:val="24"/>
        </w:rPr>
      </w:pPr>
      <w:r>
        <w:rPr>
          <w:rFonts w:hint="eastAsia" w:ascii="黑体" w:hAnsi="黑体" w:eastAsia="黑体" w:cs="黑体"/>
          <w:sz w:val="24"/>
          <w:szCs w:val="24"/>
        </w:rPr>
        <w:t>4、振动模块安装方便，产品稳固可靠，偏心轴承设计经久耐用。</w:t>
      </w:r>
    </w:p>
    <w:p>
      <w:pPr>
        <w:rPr>
          <w:rFonts w:hint="eastAsia" w:ascii="黑体" w:hAnsi="黑体" w:eastAsia="黑体" w:cs="黑体"/>
          <w:sz w:val="24"/>
          <w:szCs w:val="24"/>
        </w:rPr>
      </w:pPr>
      <w:r>
        <w:rPr>
          <w:rFonts w:hint="eastAsia" w:ascii="黑体" w:hAnsi="黑体" w:eastAsia="黑体" w:cs="黑体"/>
          <w:sz w:val="24"/>
          <w:szCs w:val="24"/>
        </w:rPr>
        <w:t>5、有多种振动模块适配</w:t>
      </w:r>
      <w:r>
        <w:rPr>
          <w:rFonts w:hint="eastAsia" w:ascii="黑体" w:hAnsi="黑体" w:eastAsia="黑体" w:cs="黑体"/>
          <w:sz w:val="24"/>
          <w:szCs w:val="24"/>
          <w:lang w:eastAsia="zh-CN"/>
        </w:rPr>
        <w:t>器可供选择</w:t>
      </w:r>
      <w:r>
        <w:rPr>
          <w:rFonts w:hint="eastAsia" w:ascii="黑体" w:hAnsi="黑体" w:eastAsia="黑体" w:cs="黑体"/>
          <w:sz w:val="24"/>
          <w:szCs w:val="24"/>
        </w:rPr>
        <w:t>(可用于Eppendorf管等)。</w:t>
      </w:r>
    </w:p>
    <w:p>
      <w:pPr>
        <w:rPr>
          <w:rFonts w:hint="eastAsia" w:ascii="黑体" w:hAnsi="黑体" w:eastAsia="黑体" w:cs="黑体"/>
          <w:sz w:val="24"/>
          <w:szCs w:val="24"/>
        </w:rPr>
      </w:pPr>
      <w:r>
        <w:rPr>
          <w:rFonts w:hint="eastAsia" w:ascii="黑体" w:hAnsi="黑体" w:eastAsia="黑体" w:cs="黑体"/>
          <w:sz w:val="24"/>
          <w:szCs w:val="24"/>
        </w:rPr>
        <w:t>二、产品参数:</w:t>
      </w:r>
    </w:p>
    <w:p>
      <w:pPr>
        <w:rPr>
          <w:rFonts w:hint="eastAsia" w:ascii="黑体" w:hAnsi="黑体" w:eastAsia="黑体" w:cs="黑体"/>
          <w:sz w:val="24"/>
          <w:szCs w:val="24"/>
          <w:lang w:val="en-US" w:eastAsia="zh-CN"/>
        </w:rPr>
      </w:pPr>
      <w:r>
        <w:rPr>
          <w:rFonts w:hint="eastAsia" w:ascii="黑体" w:hAnsi="黑体" w:eastAsia="黑体" w:cs="黑体"/>
          <w:sz w:val="24"/>
          <w:szCs w:val="24"/>
        </w:rPr>
        <w:t>1.操作显示方式:</w:t>
      </w:r>
      <w:r>
        <w:rPr>
          <w:rFonts w:hint="eastAsia" w:ascii="黑体" w:hAnsi="黑体" w:eastAsia="黑体" w:cs="黑体"/>
          <w:sz w:val="24"/>
          <w:szCs w:val="24"/>
          <w:lang w:eastAsia="zh-CN"/>
        </w:rPr>
        <w:t>旋钮</w:t>
      </w:r>
      <w:r>
        <w:rPr>
          <w:rFonts w:hint="eastAsia" w:ascii="黑体" w:hAnsi="黑体" w:eastAsia="黑体" w:cs="黑体"/>
          <w:sz w:val="24"/>
          <w:szCs w:val="24"/>
          <w:lang w:val="en-US" w:eastAsia="zh-CN"/>
        </w:rPr>
        <w:t>+刻度</w:t>
      </w:r>
    </w:p>
    <w:p>
      <w:pPr>
        <w:rPr>
          <w:rFonts w:hint="eastAsia" w:ascii="黑体" w:hAnsi="黑体" w:eastAsia="黑体" w:cs="黑体"/>
          <w:sz w:val="24"/>
          <w:szCs w:val="24"/>
        </w:rPr>
      </w:pPr>
      <w:r>
        <w:rPr>
          <w:rFonts w:hint="eastAsia" w:ascii="黑体" w:hAnsi="黑体" w:eastAsia="黑体" w:cs="黑体"/>
          <w:sz w:val="24"/>
          <w:szCs w:val="24"/>
        </w:rPr>
        <w:t xml:space="preserve">2.圆周直径: 3mm </w:t>
      </w:r>
    </w:p>
    <w:p>
      <w:pPr>
        <w:rPr>
          <w:rFonts w:hint="eastAsia" w:ascii="黑体" w:hAnsi="黑体" w:eastAsia="黑体" w:cs="黑体"/>
          <w:sz w:val="24"/>
          <w:szCs w:val="24"/>
        </w:rPr>
      </w:pPr>
      <w:r>
        <w:rPr>
          <w:rFonts w:hint="eastAsia" w:ascii="黑体" w:hAnsi="黑体" w:eastAsia="黑体" w:cs="黑体"/>
          <w:sz w:val="24"/>
          <w:szCs w:val="24"/>
        </w:rPr>
        <w:t>3.振荡方式:圆周</w:t>
      </w:r>
    </w:p>
    <w:p>
      <w:pPr>
        <w:rPr>
          <w:rFonts w:hint="eastAsia" w:ascii="黑体" w:hAnsi="黑体" w:eastAsia="黑体" w:cs="黑体"/>
          <w:sz w:val="24"/>
          <w:szCs w:val="24"/>
          <w:lang w:eastAsia="zh-CN"/>
        </w:rPr>
      </w:pPr>
      <w:r>
        <w:rPr>
          <w:rFonts w:hint="eastAsia" w:ascii="黑体" w:hAnsi="黑体" w:eastAsia="黑体" w:cs="黑体"/>
          <w:sz w:val="24"/>
          <w:szCs w:val="24"/>
        </w:rPr>
        <w:t>4.运行方式:连续运转或</w:t>
      </w:r>
      <w:r>
        <w:rPr>
          <w:rFonts w:hint="eastAsia" w:ascii="黑体" w:hAnsi="黑体" w:eastAsia="黑体" w:cs="黑体"/>
          <w:sz w:val="24"/>
          <w:szCs w:val="24"/>
          <w:lang w:eastAsia="zh-CN"/>
        </w:rPr>
        <w:t>点动</w:t>
      </w:r>
    </w:p>
    <w:p>
      <w:pPr>
        <w:rPr>
          <w:rFonts w:hint="eastAsia" w:ascii="黑体" w:hAnsi="黑体" w:eastAsia="黑体" w:cs="黑体"/>
          <w:sz w:val="24"/>
          <w:szCs w:val="24"/>
        </w:rPr>
      </w:pPr>
      <w:r>
        <w:rPr>
          <w:rFonts w:hint="eastAsia" w:ascii="黑体" w:hAnsi="黑体" w:eastAsia="黑体" w:cs="黑体"/>
          <w:sz w:val="24"/>
          <w:szCs w:val="24"/>
        </w:rPr>
        <w:t>5.速度范围: 0-2800rpm .</w:t>
      </w:r>
    </w:p>
    <w:p>
      <w:pPr>
        <w:rPr>
          <w:rFonts w:hint="eastAsia" w:ascii="黑体" w:hAnsi="黑体" w:eastAsia="黑体" w:cs="黑体"/>
          <w:sz w:val="24"/>
          <w:szCs w:val="24"/>
        </w:rPr>
      </w:pPr>
      <w:r>
        <w:rPr>
          <w:rFonts w:hint="eastAsia" w:ascii="黑体" w:hAnsi="黑体" w:eastAsia="黑体" w:cs="黑体"/>
          <w:sz w:val="24"/>
          <w:szCs w:val="24"/>
        </w:rPr>
        <w:t>6.定时范围: /</w:t>
      </w:r>
    </w:p>
    <w:p>
      <w:pPr>
        <w:rPr>
          <w:rFonts w:hint="eastAsia" w:ascii="黑体" w:hAnsi="黑体" w:eastAsia="黑体" w:cs="黑体"/>
          <w:sz w:val="24"/>
          <w:szCs w:val="24"/>
        </w:rPr>
      </w:pPr>
      <w:r>
        <w:rPr>
          <w:rFonts w:hint="eastAsia" w:ascii="黑体" w:hAnsi="黑体" w:eastAsia="黑体" w:cs="黑体"/>
          <w:sz w:val="24"/>
          <w:szCs w:val="24"/>
        </w:rPr>
        <w:t>7.输入电源: AC 220V/ AC 110V, 50/60Hz</w:t>
      </w:r>
    </w:p>
    <w:p>
      <w:pPr>
        <w:rPr>
          <w:rFonts w:hint="eastAsia" w:ascii="黑体" w:hAnsi="黑体" w:eastAsia="黑体" w:cs="黑体"/>
          <w:sz w:val="24"/>
          <w:szCs w:val="24"/>
        </w:rPr>
      </w:pPr>
      <w:r>
        <w:rPr>
          <w:rFonts w:hint="eastAsia" w:ascii="黑体" w:hAnsi="黑体" w:eastAsia="黑体" w:cs="黑体"/>
          <w:sz w:val="24"/>
          <w:szCs w:val="24"/>
        </w:rPr>
        <w:t>8.功率: 60W</w:t>
      </w:r>
    </w:p>
    <w:p>
      <w:pPr>
        <w:jc w:val="center"/>
      </w:pPr>
      <w:r>
        <w:rPr>
          <w:rFonts w:hint="eastAsia"/>
          <w:b/>
          <w:bCs/>
          <w:sz w:val="30"/>
          <w:szCs w:val="30"/>
          <w:lang w:eastAsia="zh-CN"/>
        </w:rPr>
        <w:t>八联管离心机参数</w:t>
      </w:r>
      <w:r>
        <w:rPr>
          <w:rFonts w:hint="eastAsia"/>
          <w:lang w:val="en-US" w:eastAsia="zh-CN"/>
        </w:rPr>
        <w:t xml:space="preserve">       </w:t>
      </w:r>
    </w:p>
    <w:p>
      <w:pPr>
        <w:keepNext w:val="0"/>
        <w:keepLines w:val="0"/>
        <w:pageBreakBefore w:val="0"/>
        <w:widowControl/>
        <w:kinsoku/>
        <w:wordWrap/>
        <w:overflowPunct/>
        <w:topLinePunct w:val="0"/>
        <w:autoSpaceDE/>
        <w:autoSpaceDN/>
        <w:bidi w:val="0"/>
        <w:adjustRightInd/>
        <w:snapToGrid/>
        <w:spacing w:before="75" w:after="75" w:line="360" w:lineRule="auto"/>
        <w:rPr>
          <w:rFonts w:hint="eastAsia" w:ascii="黑体" w:hAnsi="黑体" w:eastAsia="黑体" w:cs="黑体"/>
          <w:sz w:val="24"/>
          <w:szCs w:val="24"/>
          <w:lang w:eastAsia="zh-CN"/>
        </w:rPr>
      </w:pPr>
      <w:r>
        <w:rPr>
          <w:rFonts w:hint="eastAsia" w:ascii="黑体" w:hAnsi="黑体" w:eastAsia="黑体" w:cs="黑体"/>
          <w:bCs/>
          <w:kern w:val="0"/>
          <w:sz w:val="24"/>
          <w:szCs w:val="24"/>
        </w:rPr>
        <w:t>一、技术参数</w:t>
      </w:r>
    </w:p>
    <w:tbl>
      <w:tblPr>
        <w:tblStyle w:val="42"/>
        <w:tblpPr w:leftFromText="180" w:rightFromText="180" w:vertAnchor="text" w:horzAnchor="page" w:tblpX="1834" w:tblpY="45"/>
        <w:tblOverlap w:val="never"/>
        <w:tblW w:w="8460" w:type="dxa"/>
        <w:tblInd w:w="0" w:type="dxa"/>
        <w:shd w:val="clear" w:color="auto" w:fill="auto"/>
        <w:tblLayout w:type="fixed"/>
        <w:tblCellMar>
          <w:top w:w="0" w:type="dxa"/>
          <w:left w:w="0" w:type="dxa"/>
          <w:bottom w:w="0" w:type="dxa"/>
          <w:right w:w="0" w:type="dxa"/>
        </w:tblCellMar>
      </w:tblPr>
      <w:tblGrid>
        <w:gridCol w:w="2295"/>
        <w:gridCol w:w="6165"/>
      </w:tblGrid>
      <w:tr>
        <w:tblPrEx>
          <w:shd w:val="clear" w:color="auto" w:fill="auto"/>
          <w:tblCellMar>
            <w:top w:w="0" w:type="dxa"/>
            <w:left w:w="0" w:type="dxa"/>
            <w:bottom w:w="0" w:type="dxa"/>
            <w:right w:w="0" w:type="dxa"/>
          </w:tblCellMar>
        </w:tblPrEx>
        <w:trPr>
          <w:trHeight w:val="600" w:hRule="atLeast"/>
        </w:trPr>
        <w:tc>
          <w:tcPr>
            <w:tcW w:w="229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性能参数    产品参数</w:t>
            </w:r>
          </w:p>
        </w:tc>
        <w:tc>
          <w:tcPr>
            <w:tcW w:w="6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p>
        </w:tc>
      </w:tr>
      <w:tr>
        <w:tblPrEx>
          <w:shd w:val="clear" w:color="auto" w:fill="auto"/>
          <w:tblCellMar>
            <w:top w:w="0" w:type="dxa"/>
            <w:left w:w="0" w:type="dxa"/>
            <w:bottom w:w="0" w:type="dxa"/>
            <w:right w:w="0" w:type="dxa"/>
          </w:tblCellMar>
        </w:tblPrEx>
        <w:trPr>
          <w:trHeight w:val="455"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最大转速</w:t>
            </w:r>
          </w:p>
        </w:tc>
        <w:tc>
          <w:tcPr>
            <w:tcW w:w="6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5000rpm</w:t>
            </w:r>
          </w:p>
        </w:tc>
      </w:tr>
      <w:tr>
        <w:tblPrEx>
          <w:shd w:val="clear" w:color="auto" w:fill="auto"/>
          <w:tblCellMar>
            <w:top w:w="0" w:type="dxa"/>
            <w:left w:w="0" w:type="dxa"/>
            <w:bottom w:w="0" w:type="dxa"/>
            <w:right w:w="0" w:type="dxa"/>
          </w:tblCellMar>
        </w:tblPrEx>
        <w:trPr>
          <w:trHeight w:val="44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最大相对离心力</w:t>
            </w:r>
          </w:p>
        </w:tc>
        <w:tc>
          <w:tcPr>
            <w:tcW w:w="6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1350X g</w:t>
            </w:r>
          </w:p>
        </w:tc>
      </w:tr>
      <w:tr>
        <w:tblPrEx>
          <w:shd w:val="clear" w:color="auto" w:fill="auto"/>
          <w:tblCellMar>
            <w:top w:w="0" w:type="dxa"/>
            <w:left w:w="0" w:type="dxa"/>
            <w:bottom w:w="0" w:type="dxa"/>
            <w:right w:w="0" w:type="dxa"/>
          </w:tblCellMar>
        </w:tblPrEx>
        <w:trPr>
          <w:trHeight w:val="60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样品处理量</w:t>
            </w:r>
          </w:p>
        </w:tc>
        <w:tc>
          <w:tcPr>
            <w:tcW w:w="6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0.2/0.5/1.5/2.0mlx8;</w:t>
            </w:r>
            <w:r>
              <w:rPr>
                <w:rFonts w:hint="eastAsia" w:ascii="黑体" w:hAnsi="黑体" w:eastAsia="黑体" w:cs="黑体"/>
                <w:i w:val="0"/>
                <w:color w:val="auto"/>
                <w:kern w:val="0"/>
                <w:sz w:val="24"/>
                <w:szCs w:val="24"/>
                <w:u w:val="none"/>
                <w:lang w:val="en-US" w:eastAsia="zh-CN" w:bidi="ar"/>
              </w:rPr>
              <w:br w:type="textWrapping"/>
            </w:r>
            <w:r>
              <w:rPr>
                <w:rFonts w:hint="eastAsia" w:ascii="黑体" w:hAnsi="黑体" w:eastAsia="黑体" w:cs="黑体"/>
                <w:i w:val="0"/>
                <w:color w:val="auto"/>
                <w:kern w:val="0"/>
                <w:sz w:val="24"/>
                <w:szCs w:val="24"/>
                <w:u w:val="none"/>
                <w:lang w:val="en-US" w:eastAsia="zh-CN" w:bidi="ar"/>
              </w:rPr>
              <w:t>8x4x0.2ml PCR排管（可用8联管）</w:t>
            </w:r>
          </w:p>
        </w:tc>
      </w:tr>
      <w:tr>
        <w:tblPrEx>
          <w:shd w:val="clear" w:color="auto" w:fill="auto"/>
          <w:tblCellMar>
            <w:top w:w="0" w:type="dxa"/>
            <w:left w:w="0" w:type="dxa"/>
            <w:bottom w:w="0" w:type="dxa"/>
            <w:right w:w="0" w:type="dxa"/>
          </w:tblCellMar>
        </w:tblPrEx>
        <w:trPr>
          <w:trHeight w:val="515"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电源参数</w:t>
            </w:r>
          </w:p>
        </w:tc>
        <w:tc>
          <w:tcPr>
            <w:tcW w:w="6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AC110/220V，50/60Hz  20W</w:t>
            </w:r>
          </w:p>
        </w:tc>
      </w:tr>
      <w:tr>
        <w:tblPrEx>
          <w:shd w:val="clear" w:color="auto" w:fill="auto"/>
          <w:tblCellMar>
            <w:top w:w="0" w:type="dxa"/>
            <w:left w:w="0" w:type="dxa"/>
            <w:bottom w:w="0" w:type="dxa"/>
            <w:right w:w="0" w:type="dxa"/>
          </w:tblCellMar>
        </w:tblPrEx>
        <w:trPr>
          <w:trHeight w:val="44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噪音</w:t>
            </w:r>
          </w:p>
        </w:tc>
        <w:tc>
          <w:tcPr>
            <w:tcW w:w="6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≤45dB</w:t>
            </w:r>
          </w:p>
        </w:tc>
      </w:tr>
    </w:tbl>
    <w:p>
      <w:pPr>
        <w:keepNext w:val="0"/>
        <w:keepLines w:val="0"/>
        <w:pageBreakBefore w:val="0"/>
        <w:kinsoku/>
        <w:wordWrap/>
        <w:overflowPunct/>
        <w:topLinePunct w:val="0"/>
        <w:autoSpaceDE/>
        <w:autoSpaceDN/>
        <w:bidi w:val="0"/>
        <w:adjustRightInd/>
        <w:snapToGrid/>
        <w:spacing w:line="360" w:lineRule="auto"/>
        <w:rPr>
          <w:rFonts w:hint="eastAsia" w:ascii="黑体" w:hAnsi="黑体" w:eastAsia="黑体" w:cs="黑体"/>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jc w:val="left"/>
        <w:rPr>
          <w:rFonts w:hint="eastAsia" w:ascii="黑体" w:hAnsi="黑体" w:eastAsia="黑体" w:cs="黑体"/>
          <w:bCs/>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jc w:val="left"/>
        <w:rPr>
          <w:rFonts w:hint="eastAsia" w:ascii="黑体" w:hAnsi="黑体" w:eastAsia="黑体" w:cs="黑体"/>
          <w:bCs/>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jc w:val="left"/>
        <w:rPr>
          <w:rFonts w:hint="eastAsia" w:ascii="黑体" w:hAnsi="黑体" w:eastAsia="黑体" w:cs="黑体"/>
          <w:bCs/>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jc w:val="left"/>
        <w:rPr>
          <w:rFonts w:hint="eastAsia" w:ascii="黑体" w:hAnsi="黑体" w:eastAsia="黑体" w:cs="黑体"/>
          <w:bCs/>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jc w:val="left"/>
        <w:rPr>
          <w:rFonts w:hint="eastAsia" w:ascii="黑体" w:hAnsi="黑体" w:eastAsia="黑体" w:cs="黑体"/>
          <w:bCs/>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jc w:val="left"/>
        <w:rPr>
          <w:rFonts w:hint="eastAsia" w:ascii="黑体" w:hAnsi="黑体" w:eastAsia="黑体" w:cs="黑体"/>
          <w:bCs/>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jc w:val="left"/>
        <w:rPr>
          <w:rFonts w:hint="eastAsia" w:ascii="黑体" w:hAnsi="黑体" w:eastAsia="黑体" w:cs="黑体"/>
          <w:bCs/>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75" w:after="75" w:line="360" w:lineRule="auto"/>
        <w:jc w:val="left"/>
        <w:rPr>
          <w:rFonts w:hint="eastAsia" w:ascii="黑体" w:hAnsi="黑体" w:eastAsia="黑体" w:cs="黑体"/>
          <w:sz w:val="24"/>
          <w:szCs w:val="24"/>
          <w:lang w:eastAsia="zh-CN"/>
        </w:rPr>
      </w:pPr>
      <w:r>
        <w:rPr>
          <w:rFonts w:hint="eastAsia" w:ascii="黑体" w:hAnsi="黑体" w:eastAsia="黑体" w:cs="黑体"/>
          <w:bCs/>
          <w:kern w:val="0"/>
          <w:sz w:val="24"/>
          <w:szCs w:val="24"/>
          <w:lang w:eastAsia="zh-CN"/>
        </w:rPr>
        <w:t>二、主要作用</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迷你离心机主要用于微量离心、快速从试管壁或试管盖上甩下试剂以及试管或排管的慢速离心。具有特质卡扣设计，轻松安装和更换转头，不翻盖开关功能，合盖即转，开盖即停，操作简单。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lang w:eastAsia="zh-CN"/>
        </w:rPr>
      </w:pPr>
      <w:r>
        <w:rPr>
          <w:rFonts w:hint="eastAsia" w:ascii="黑体" w:hAnsi="黑体" w:eastAsia="黑体" w:cs="黑体"/>
          <w:bCs/>
          <w:kern w:val="0"/>
          <w:sz w:val="24"/>
          <w:szCs w:val="24"/>
          <w:lang w:eastAsia="zh-CN"/>
        </w:rPr>
        <w:t>三、主要特点</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1、独特的转子卡扣设计，方便转子更换；</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 xml:space="preserve">    2</w:t>
      </w:r>
      <w:r>
        <w:rPr>
          <w:rFonts w:hint="eastAsia" w:ascii="黑体" w:hAnsi="黑体" w:eastAsia="黑体" w:cs="黑体"/>
          <w:sz w:val="24"/>
          <w:szCs w:val="24"/>
        </w:rPr>
        <w:t>、直流电机：连续运行模式；</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3</w:t>
      </w:r>
      <w:r>
        <w:rPr>
          <w:rFonts w:hint="eastAsia" w:ascii="黑体" w:hAnsi="黑体" w:eastAsia="黑体" w:cs="黑体"/>
          <w:sz w:val="24"/>
          <w:szCs w:val="24"/>
        </w:rPr>
        <w:t>、运行平稳，超低噪音，噪音≤45dB；</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4</w:t>
      </w:r>
      <w:r>
        <w:rPr>
          <w:rFonts w:hint="eastAsia" w:ascii="黑体" w:hAnsi="黑体" w:eastAsia="黑体" w:cs="黑体"/>
          <w:sz w:val="24"/>
          <w:szCs w:val="24"/>
        </w:rPr>
        <w:t>、外型小巧美观，一机多用</w:t>
      </w:r>
      <w:r>
        <w:rPr>
          <w:rFonts w:hint="eastAsia" w:ascii="黑体" w:hAnsi="黑体" w:eastAsia="黑体" w:cs="黑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四、适配转子</w:t>
      </w:r>
    </w:p>
    <w:p>
      <w:pPr>
        <w:pStyle w:val="2"/>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b/>
          <w:bCs/>
          <w:sz w:val="32"/>
          <w:szCs w:val="32"/>
        </w:rPr>
      </w:pPr>
      <w:r>
        <w:rPr>
          <w:rFonts w:hint="eastAsia" w:ascii="黑体" w:hAnsi="黑体" w:eastAsia="黑体" w:cs="黑体"/>
          <w:b w:val="0"/>
          <w:bCs w:val="0"/>
          <w:sz w:val="24"/>
          <w:szCs w:val="24"/>
          <w:lang w:val="en-US" w:eastAsia="zh-CN"/>
        </w:rPr>
        <w:t>离心机配备两个转子：8x2/1.5ml转子，8x4x0.2ml转子可供4排8孔x0.2ml的PCR专用试管使用。随机附带0.2ml和0.5ml试管适配器。</w:t>
      </w:r>
    </w:p>
    <w:p>
      <w:pPr>
        <w:jc w:val="center"/>
        <w:rPr>
          <w:rFonts w:hint="eastAsia" w:eastAsiaTheme="minorEastAsia"/>
          <w:b/>
          <w:bCs/>
          <w:sz w:val="32"/>
          <w:szCs w:val="32"/>
          <w:lang w:eastAsia="zh-CN"/>
        </w:rPr>
      </w:pPr>
      <w:r>
        <w:rPr>
          <w:rFonts w:hint="eastAsia"/>
          <w:b/>
          <w:bCs/>
          <w:sz w:val="32"/>
          <w:szCs w:val="32"/>
        </w:rPr>
        <w:t>微孔板离心机</w:t>
      </w:r>
      <w:r>
        <w:rPr>
          <w:rFonts w:hint="eastAsia"/>
          <w:b/>
          <w:bCs/>
          <w:sz w:val="32"/>
          <w:szCs w:val="32"/>
          <w:lang w:eastAsia="zh-CN"/>
        </w:rPr>
        <w:t>性能参数</w:t>
      </w:r>
    </w:p>
    <w:p>
      <w:pPr>
        <w:rPr>
          <w:rFonts w:hint="eastAsia"/>
          <w:sz w:val="28"/>
          <w:szCs w:val="28"/>
        </w:rPr>
      </w:pPr>
    </w:p>
    <w:p>
      <w:pPr>
        <w:rPr>
          <w:rFonts w:hint="eastAsia" w:ascii="黑体" w:hAnsi="黑体" w:eastAsia="黑体" w:cs="黑体"/>
          <w:sz w:val="24"/>
          <w:szCs w:val="24"/>
        </w:rPr>
      </w:pPr>
      <w:r>
        <w:rPr>
          <w:rFonts w:hint="eastAsia" w:ascii="黑体" w:hAnsi="黑体" w:eastAsia="黑体" w:cs="黑体"/>
          <w:sz w:val="24"/>
          <w:szCs w:val="24"/>
        </w:rPr>
        <w:t>技术参数:</w:t>
      </w:r>
    </w:p>
    <w:p>
      <w:pPr>
        <w:rPr>
          <w:rFonts w:hint="eastAsia" w:ascii="黑体" w:hAnsi="黑体" w:eastAsia="黑体" w:cs="黑体"/>
          <w:sz w:val="24"/>
          <w:szCs w:val="24"/>
        </w:rPr>
      </w:pPr>
      <w:r>
        <w:rPr>
          <w:rFonts w:hint="eastAsia" w:ascii="黑体" w:hAnsi="黑体" w:eastAsia="黑体" w:cs="黑体"/>
          <w:sz w:val="24"/>
          <w:szCs w:val="24"/>
          <w:lang w:eastAsia="zh-CN"/>
        </w:rPr>
        <w:t>转速</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2800rpm</w:t>
      </w:r>
    </w:p>
    <w:p>
      <w:pPr>
        <w:rPr>
          <w:rFonts w:hint="eastAsia" w:ascii="黑体" w:hAnsi="黑体" w:eastAsia="黑体" w:cs="黑体"/>
          <w:sz w:val="24"/>
          <w:szCs w:val="24"/>
        </w:rPr>
      </w:pPr>
      <w:r>
        <w:rPr>
          <w:rFonts w:hint="eastAsia" w:ascii="黑体" w:hAnsi="黑体" w:eastAsia="黑体" w:cs="黑体"/>
          <w:sz w:val="24"/>
          <w:szCs w:val="24"/>
          <w:lang w:eastAsia="zh-CN"/>
        </w:rPr>
        <w:t>最</w:t>
      </w:r>
      <w:r>
        <w:rPr>
          <w:rFonts w:hint="eastAsia" w:ascii="黑体" w:hAnsi="黑体" w:eastAsia="黑体" w:cs="黑体"/>
          <w:sz w:val="24"/>
          <w:szCs w:val="24"/>
        </w:rPr>
        <w:t>大容量</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2块标准PCR动孔板</w:t>
      </w:r>
    </w:p>
    <w:p>
      <w:pPr>
        <w:rPr>
          <w:rFonts w:hint="eastAsia" w:ascii="黑体" w:hAnsi="黑体" w:eastAsia="黑体" w:cs="黑体"/>
          <w:sz w:val="24"/>
          <w:szCs w:val="24"/>
        </w:rPr>
      </w:pPr>
      <w:r>
        <w:rPr>
          <w:rFonts w:hint="eastAsia" w:ascii="黑体" w:hAnsi="黑体" w:eastAsia="黑体" w:cs="黑体"/>
          <w:sz w:val="24"/>
          <w:szCs w:val="24"/>
        </w:rPr>
        <w:t>最大相对离心力</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600xg</w:t>
      </w:r>
    </w:p>
    <w:p>
      <w:pPr>
        <w:rPr>
          <w:rFonts w:hint="eastAsia" w:ascii="黑体" w:hAnsi="黑体" w:eastAsia="黑体" w:cs="黑体"/>
          <w:sz w:val="24"/>
          <w:szCs w:val="24"/>
          <w:lang w:eastAsia="zh-CN"/>
        </w:rPr>
      </w:pPr>
      <w:r>
        <w:rPr>
          <w:rFonts w:hint="eastAsia" w:ascii="黑体" w:hAnsi="黑体" w:eastAsia="黑体" w:cs="黑体"/>
          <w:sz w:val="24"/>
          <w:szCs w:val="24"/>
        </w:rPr>
        <w:t>定时范围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15-995</w:t>
      </w:r>
      <w:r>
        <w:rPr>
          <w:rFonts w:hint="eastAsia" w:ascii="黑体" w:hAnsi="黑体" w:eastAsia="黑体" w:cs="黑体"/>
          <w:sz w:val="24"/>
          <w:szCs w:val="24"/>
          <w:lang w:eastAsia="zh-CN"/>
        </w:rPr>
        <w:t>秒</w:t>
      </w:r>
    </w:p>
    <w:p>
      <w:pPr>
        <w:rPr>
          <w:rFonts w:hint="eastAsia" w:ascii="黑体" w:hAnsi="黑体" w:eastAsia="黑体" w:cs="黑体"/>
          <w:sz w:val="24"/>
          <w:szCs w:val="24"/>
          <w:lang w:eastAsia="zh-CN"/>
        </w:rPr>
      </w:pPr>
      <w:r>
        <w:rPr>
          <w:rFonts w:hint="eastAsia" w:ascii="黑体" w:hAnsi="黑体" w:eastAsia="黑体" w:cs="黑体"/>
          <w:sz w:val="24"/>
          <w:szCs w:val="24"/>
        </w:rPr>
        <w:t>最快加/减连时间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10/45</w:t>
      </w:r>
      <w:r>
        <w:rPr>
          <w:rFonts w:hint="eastAsia" w:ascii="黑体" w:hAnsi="黑体" w:eastAsia="黑体" w:cs="黑体"/>
          <w:sz w:val="24"/>
          <w:szCs w:val="24"/>
          <w:lang w:eastAsia="zh-CN"/>
        </w:rPr>
        <w:t>秒</w:t>
      </w:r>
    </w:p>
    <w:p>
      <w:pPr>
        <w:rPr>
          <w:rFonts w:hint="eastAsia" w:ascii="黑体" w:hAnsi="黑体" w:eastAsia="黑体" w:cs="黑体"/>
          <w:sz w:val="24"/>
          <w:szCs w:val="24"/>
        </w:rPr>
      </w:pPr>
      <w:r>
        <w:rPr>
          <w:rFonts w:hint="eastAsia" w:ascii="黑体" w:hAnsi="黑体" w:eastAsia="黑体" w:cs="黑体"/>
          <w:sz w:val="24"/>
          <w:szCs w:val="24"/>
        </w:rPr>
        <w:t>开盖停机</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变持</w:t>
      </w:r>
    </w:p>
    <w:p>
      <w:pPr>
        <w:rPr>
          <w:rFonts w:hint="eastAsia" w:ascii="黑体" w:hAnsi="黑体" w:eastAsia="黑体" w:cs="黑体"/>
          <w:sz w:val="24"/>
          <w:szCs w:val="24"/>
        </w:rPr>
      </w:pPr>
      <w:r>
        <w:rPr>
          <w:rFonts w:hint="eastAsia" w:ascii="黑体" w:hAnsi="黑体" w:eastAsia="黑体" w:cs="黑体"/>
          <w:sz w:val="24"/>
          <w:szCs w:val="24"/>
        </w:rPr>
        <w:t>支持电源</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AC220+22V 5060Hz 5A</w:t>
      </w:r>
    </w:p>
    <w:p>
      <w:pPr>
        <w:rPr>
          <w:color w:val="000000" w:themeColor="text1"/>
          <w:sz w:val="18"/>
          <w:szCs w:val="18"/>
          <w14:textFill>
            <w14:solidFill>
              <w14:schemeClr w14:val="tx1"/>
            </w14:solidFill>
          </w14:textFill>
        </w:rPr>
      </w:pPr>
    </w:p>
    <w:p>
      <w:pPr>
        <w:jc w:val="center"/>
        <w:rPr>
          <w:b/>
          <w:color w:val="auto"/>
          <w:sz w:val="24"/>
          <w:szCs w:val="28"/>
        </w:rPr>
      </w:pPr>
      <w:r>
        <w:rPr>
          <w:rFonts w:hint="eastAsia"/>
          <w:b/>
          <w:bCs/>
          <w:sz w:val="32"/>
          <w:szCs w:val="32"/>
        </w:rPr>
        <w:t>垂直流洁净工作台</w:t>
      </w:r>
      <w:r>
        <w:rPr>
          <w:rFonts w:hint="eastAsia"/>
          <w:b/>
          <w:bCs/>
          <w:sz w:val="32"/>
          <w:szCs w:val="32"/>
          <w:lang w:eastAsia="zh-CN"/>
        </w:rPr>
        <w:t>性能</w:t>
      </w:r>
      <w:r>
        <w:rPr>
          <w:rFonts w:hint="eastAsia"/>
          <w:b/>
          <w:bCs/>
          <w:sz w:val="32"/>
          <w:szCs w:val="32"/>
        </w:rPr>
        <w:t>参数</w:t>
      </w:r>
    </w:p>
    <w:p>
      <w:pPr>
        <w:spacing w:line="360" w:lineRule="auto"/>
        <w:rPr>
          <w:rFonts w:hint="eastAsia" w:ascii="黑体" w:hAnsi="黑体" w:eastAsia="黑体" w:cs="黑体"/>
          <w:b/>
          <w:color w:val="auto"/>
          <w:sz w:val="24"/>
          <w:szCs w:val="24"/>
        </w:rPr>
      </w:pPr>
      <w:r>
        <w:rPr>
          <w:rFonts w:hint="eastAsia" w:ascii="黑体" w:hAnsi="黑体" w:eastAsia="黑体" w:cs="黑体"/>
          <w:b/>
          <w:color w:val="auto"/>
          <w:sz w:val="24"/>
          <w:szCs w:val="24"/>
        </w:rPr>
        <w:t>一：产品用途</w:t>
      </w:r>
    </w:p>
    <w:p>
      <w:pPr>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提供局部高洁净度工作环境，保护动物不受外界环境感染。</w:t>
      </w:r>
    </w:p>
    <w:p>
      <w:pPr>
        <w:spacing w:line="360" w:lineRule="auto"/>
        <w:rPr>
          <w:rFonts w:hint="eastAsia" w:ascii="黑体" w:hAnsi="黑体" w:eastAsia="黑体" w:cs="黑体"/>
          <w:b/>
          <w:color w:val="auto"/>
          <w:sz w:val="24"/>
          <w:szCs w:val="24"/>
        </w:rPr>
      </w:pPr>
      <w:r>
        <w:rPr>
          <w:rFonts w:hint="eastAsia" w:ascii="黑体" w:hAnsi="黑体" w:eastAsia="黑体" w:cs="黑体"/>
          <w:b/>
          <w:color w:val="auto"/>
          <w:sz w:val="24"/>
          <w:szCs w:val="24"/>
        </w:rPr>
        <w:t>二：使用环境条件</w:t>
      </w:r>
    </w:p>
    <w:p>
      <w:pPr>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温度：5℃-35℃；</w:t>
      </w:r>
    </w:p>
    <w:p>
      <w:pPr>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相 对 湿 度：</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85%（+35℃时）；</w:t>
      </w:r>
    </w:p>
    <w:p>
      <w:pPr>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大 气 压力：86kPa∽106kPa；</w:t>
      </w:r>
    </w:p>
    <w:p>
      <w:pPr>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电源：AC 220V，50Hz。</w:t>
      </w:r>
    </w:p>
    <w:p>
      <w:pPr>
        <w:spacing w:line="360" w:lineRule="auto"/>
        <w:rPr>
          <w:rFonts w:hint="eastAsia" w:ascii="黑体" w:hAnsi="黑体" w:eastAsia="黑体" w:cs="黑体"/>
          <w:b/>
          <w:color w:val="auto"/>
          <w:sz w:val="24"/>
          <w:szCs w:val="24"/>
        </w:rPr>
      </w:pPr>
      <w:r>
        <w:rPr>
          <w:rFonts w:hint="eastAsia" w:ascii="黑体" w:hAnsi="黑体" w:eastAsia="黑体" w:cs="黑体"/>
          <w:b/>
          <w:color w:val="auto"/>
          <w:sz w:val="24"/>
          <w:szCs w:val="24"/>
        </w:rPr>
        <w:t>三：产品结构组成</w:t>
      </w:r>
    </w:p>
    <w:p>
      <w:pPr>
        <w:pStyle w:val="54"/>
        <w:numPr>
          <w:ilvl w:val="0"/>
          <w:numId w:val="69"/>
        </w:numPr>
        <w:spacing w:line="360" w:lineRule="auto"/>
        <w:ind w:left="357" w:hanging="357" w:firstLineChars="0"/>
        <w:rPr>
          <w:rFonts w:hint="eastAsia" w:ascii="黑体" w:hAnsi="黑体" w:eastAsia="黑体" w:cs="黑体"/>
          <w:color w:val="auto"/>
          <w:sz w:val="24"/>
          <w:szCs w:val="24"/>
        </w:rPr>
      </w:pPr>
      <w:r>
        <w:rPr>
          <w:rFonts w:hint="eastAsia" w:ascii="黑体" w:hAnsi="黑体" w:eastAsia="黑体" w:cs="黑体"/>
          <w:color w:val="auto"/>
          <w:sz w:val="24"/>
          <w:szCs w:val="24"/>
        </w:rPr>
        <w:t>工作台由机箱、高效过滤器、可变风量送风机组、工作台面、操作板组成，机箱采用优质冷轧钢板制作，表面经酸洗磷化烤漆。</w:t>
      </w:r>
    </w:p>
    <w:p>
      <w:pPr>
        <w:pStyle w:val="54"/>
        <w:numPr>
          <w:ilvl w:val="0"/>
          <w:numId w:val="69"/>
        </w:numPr>
        <w:spacing w:line="360" w:lineRule="auto"/>
        <w:ind w:left="357" w:hanging="357" w:firstLineChars="0"/>
        <w:rPr>
          <w:rFonts w:hint="eastAsia" w:ascii="黑体" w:hAnsi="黑体" w:eastAsia="黑体" w:cs="黑体"/>
          <w:color w:val="auto"/>
          <w:sz w:val="24"/>
          <w:szCs w:val="24"/>
        </w:rPr>
      </w:pPr>
      <w:r>
        <w:rPr>
          <w:rFonts w:hint="eastAsia" w:ascii="黑体" w:hAnsi="黑体" w:eastAsia="黑体" w:cs="黑体"/>
          <w:color w:val="auto"/>
          <w:sz w:val="24"/>
          <w:szCs w:val="24"/>
          <w:lang w:val="zh-CN"/>
        </w:rPr>
        <w:t>设备工作区台面应采用304不锈钢拉丝板，板厚≥1.2mm。</w:t>
      </w:r>
    </w:p>
    <w:p>
      <w:pPr>
        <w:pStyle w:val="54"/>
        <w:numPr>
          <w:ilvl w:val="0"/>
          <w:numId w:val="69"/>
        </w:numPr>
        <w:spacing w:line="360" w:lineRule="auto"/>
        <w:ind w:left="357" w:hanging="357" w:firstLineChars="0"/>
        <w:rPr>
          <w:rFonts w:hint="eastAsia" w:ascii="黑体" w:hAnsi="黑体" w:eastAsia="黑体" w:cs="黑体"/>
          <w:color w:val="auto"/>
          <w:sz w:val="24"/>
          <w:szCs w:val="24"/>
        </w:rPr>
      </w:pPr>
      <w:r>
        <w:rPr>
          <w:rFonts w:hint="eastAsia" w:ascii="黑体" w:hAnsi="黑体" w:eastAsia="黑体" w:cs="黑体"/>
          <w:color w:val="auto"/>
          <w:sz w:val="24"/>
          <w:szCs w:val="24"/>
        </w:rPr>
        <w:t>应</w:t>
      </w:r>
      <w:r>
        <w:rPr>
          <w:rFonts w:hint="eastAsia" w:ascii="黑体" w:hAnsi="黑体" w:eastAsia="黑体" w:cs="黑体"/>
          <w:color w:val="auto"/>
          <w:sz w:val="24"/>
          <w:szCs w:val="24"/>
          <w:lang w:val="zh-CN"/>
        </w:rPr>
        <w:t>内置</w:t>
      </w:r>
      <w:r>
        <w:rPr>
          <w:rFonts w:hint="eastAsia" w:ascii="黑体" w:hAnsi="黑体" w:eastAsia="黑体" w:cs="黑体"/>
          <w:color w:val="auto"/>
          <w:sz w:val="24"/>
          <w:szCs w:val="24"/>
        </w:rPr>
        <w:t>紫外线杀菌灯、荧光灯。</w:t>
      </w:r>
    </w:p>
    <w:p>
      <w:pPr>
        <w:pStyle w:val="54"/>
        <w:numPr>
          <w:ilvl w:val="0"/>
          <w:numId w:val="69"/>
        </w:numPr>
        <w:tabs>
          <w:tab w:val="left" w:pos="1110"/>
        </w:tabs>
        <w:autoSpaceDE w:val="0"/>
        <w:autoSpaceDN w:val="0"/>
        <w:adjustRightInd w:val="0"/>
        <w:spacing w:line="360" w:lineRule="auto"/>
        <w:ind w:left="357" w:hanging="357" w:firstLineChars="0"/>
        <w:rPr>
          <w:rFonts w:hint="eastAsia" w:ascii="黑体" w:hAnsi="黑体" w:eastAsia="黑体" w:cs="黑体"/>
          <w:color w:val="auto"/>
          <w:sz w:val="24"/>
          <w:szCs w:val="24"/>
        </w:rPr>
      </w:pPr>
      <w:r>
        <w:rPr>
          <w:rFonts w:hint="eastAsia" w:ascii="黑体" w:hAnsi="黑体" w:eastAsia="黑体" w:cs="黑体"/>
          <w:color w:val="auto"/>
          <w:sz w:val="24"/>
          <w:szCs w:val="24"/>
        </w:rPr>
        <w:t>产品应采用可调风量的风机系统，风机输出可以多档位控制，至少3档。</w:t>
      </w:r>
    </w:p>
    <w:p>
      <w:pPr>
        <w:spacing w:line="360" w:lineRule="auto"/>
        <w:rPr>
          <w:rFonts w:hint="eastAsia" w:ascii="黑体" w:hAnsi="黑体" w:eastAsia="黑体" w:cs="黑体"/>
          <w:b/>
          <w:color w:val="auto"/>
          <w:sz w:val="24"/>
          <w:szCs w:val="24"/>
        </w:rPr>
      </w:pPr>
      <w:r>
        <w:rPr>
          <w:rFonts w:hint="eastAsia" w:ascii="黑体" w:hAnsi="黑体" w:eastAsia="黑体" w:cs="黑体"/>
          <w:b/>
          <w:color w:val="auto"/>
          <w:sz w:val="24"/>
          <w:szCs w:val="24"/>
        </w:rPr>
        <w:t>四：产品技术参数</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洁净等级：ISO5级 （100级）；</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风速≥0.2m/s（可调）；</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菌落数≤0.5个/皿·时；</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噪声≤65dB(A)；</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振动半峰值≤4um；</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电源：AC,单相220V/50Hz；</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最大功耗≤0.4kW；</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前窗应采用配重式升降系统，不能采用卷簧形式，防止卷簧疲劳断裂发生故障。</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设备应预留高效过滤器漏过率检测口。</w:t>
      </w:r>
    </w:p>
    <w:p>
      <w:pPr>
        <w:pStyle w:val="54"/>
        <w:numPr>
          <w:ilvl w:val="0"/>
          <w:numId w:val="70"/>
        </w:numPr>
        <w:spacing w:line="360" w:lineRule="auto"/>
        <w:ind w:firstLineChars="0"/>
        <w:rPr>
          <w:rFonts w:hint="eastAsia" w:ascii="黑体" w:hAnsi="黑体" w:eastAsia="黑体" w:cs="黑体"/>
          <w:color w:val="auto"/>
          <w:sz w:val="24"/>
          <w:szCs w:val="24"/>
        </w:rPr>
      </w:pPr>
      <w:r>
        <w:rPr>
          <w:rFonts w:hint="eastAsia" w:ascii="黑体" w:hAnsi="黑体" w:eastAsia="黑体" w:cs="黑体"/>
          <w:color w:val="auto"/>
          <w:sz w:val="24"/>
          <w:szCs w:val="24"/>
        </w:rPr>
        <w:t>产品应取得医疗器械注册证</w:t>
      </w:r>
    </w:p>
    <w:p>
      <w:pPr>
        <w:jc w:val="center"/>
        <w:rPr>
          <w:rFonts w:hint="eastAsia"/>
          <w:b/>
          <w:bCs/>
          <w:sz w:val="32"/>
          <w:szCs w:val="32"/>
        </w:rPr>
      </w:pPr>
      <w:r>
        <w:rPr>
          <w:rFonts w:hint="eastAsia"/>
          <w:b/>
          <w:bCs/>
          <w:sz w:val="32"/>
          <w:szCs w:val="32"/>
        </w:rPr>
        <w:t>生物安全柜主要技术参数</w:t>
      </w:r>
    </w:p>
    <w:p>
      <w:pPr>
        <w:widowControl/>
        <w:spacing w:before="75" w:after="75"/>
        <w:rPr>
          <w:rFonts w:hint="eastAsia" w:ascii="黑体" w:hAnsi="黑体" w:eastAsia="黑体" w:cs="黑体"/>
          <w:bCs/>
          <w:kern w:val="0"/>
          <w:sz w:val="24"/>
        </w:rPr>
      </w:pPr>
      <w:r>
        <w:rPr>
          <w:rFonts w:hint="eastAsia" w:ascii="黑体" w:hAnsi="黑体" w:eastAsia="黑体" w:cs="黑体"/>
          <w:bCs/>
          <w:kern w:val="0"/>
          <w:sz w:val="24"/>
        </w:rPr>
        <w:t>一、技术参数</w:t>
      </w:r>
    </w:p>
    <w:p>
      <w:pPr>
        <w:widowControl/>
        <w:spacing w:before="75" w:after="75"/>
        <w:ind w:firstLine="120" w:firstLineChars="50"/>
        <w:rPr>
          <w:rFonts w:hint="eastAsia" w:ascii="黑体" w:hAnsi="黑体" w:eastAsia="黑体" w:cs="黑体"/>
          <w:bCs/>
          <w:kern w:val="0"/>
          <w:sz w:val="24"/>
        </w:rPr>
      </w:pPr>
      <w:r>
        <w:rPr>
          <w:rFonts w:hint="eastAsia" w:ascii="黑体" w:hAnsi="黑体" w:eastAsia="黑体" w:cs="黑体"/>
          <w:bCs/>
          <w:kern w:val="0"/>
          <w:sz w:val="24"/>
        </w:rPr>
        <w:t>1、安全柜基本参数：</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（1）分类：A2型，30%外排，70%循环</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w:t>
      </w:r>
      <w:r>
        <w:rPr>
          <w:rFonts w:hint="eastAsia" w:ascii="黑体" w:hAnsi="黑体" w:eastAsia="黑体" w:cs="黑体"/>
          <w:bCs/>
          <w:kern w:val="0"/>
          <w:sz w:val="24"/>
          <w:lang w:val="en-US" w:eastAsia="zh-CN"/>
        </w:rPr>
        <w:t>2</w:t>
      </w:r>
      <w:r>
        <w:rPr>
          <w:rFonts w:hint="eastAsia" w:ascii="黑体" w:hAnsi="黑体" w:eastAsia="黑体" w:cs="黑体"/>
          <w:bCs/>
          <w:kern w:val="0"/>
          <w:sz w:val="24"/>
        </w:rPr>
        <w:t>）台面距离地面高度：750mm（尺寸可根据要求订制修改）</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w:t>
      </w:r>
      <w:r>
        <w:rPr>
          <w:rFonts w:hint="eastAsia" w:ascii="黑体" w:hAnsi="黑体" w:eastAsia="黑体" w:cs="黑体"/>
          <w:bCs/>
          <w:kern w:val="0"/>
          <w:sz w:val="24"/>
          <w:lang w:val="en-US" w:eastAsia="zh-CN"/>
        </w:rPr>
        <w:t>3</w:t>
      </w:r>
      <w:r>
        <w:rPr>
          <w:rFonts w:hint="eastAsia" w:ascii="黑体" w:hAnsi="黑体" w:eastAsia="黑体" w:cs="黑体"/>
          <w:bCs/>
          <w:kern w:val="0"/>
          <w:sz w:val="24"/>
        </w:rPr>
        <w:t>）风速： 平均下降风速：0.33±0.025m/s； 平均吸入口风速0.53±0.025m/s</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w:t>
      </w:r>
      <w:r>
        <w:rPr>
          <w:rFonts w:hint="eastAsia" w:ascii="黑体" w:hAnsi="黑体" w:eastAsia="黑体" w:cs="黑体"/>
          <w:bCs/>
          <w:kern w:val="0"/>
          <w:sz w:val="24"/>
          <w:lang w:val="en-US" w:eastAsia="zh-CN"/>
        </w:rPr>
        <w:t>4</w:t>
      </w:r>
      <w:r>
        <w:rPr>
          <w:rFonts w:hint="eastAsia" w:ascii="黑体" w:hAnsi="黑体" w:eastAsia="黑体" w:cs="黑体"/>
          <w:bCs/>
          <w:kern w:val="0"/>
          <w:sz w:val="24"/>
        </w:rPr>
        <w:t xml:space="preserve">）系统排风总量：500 </w:t>
      </w:r>
      <w:r>
        <w:rPr>
          <w:rFonts w:hint="eastAsia" w:ascii="黑体" w:hAnsi="黑体" w:eastAsia="黑体" w:cs="黑体"/>
          <w:bCs/>
          <w:kern w:val="0"/>
          <w:sz w:val="24"/>
          <w:lang w:val="en-US" w:eastAsia="zh-CN"/>
        </w:rPr>
        <w:t>m³</w:t>
      </w:r>
      <w:r>
        <w:rPr>
          <w:rFonts w:hint="eastAsia" w:ascii="黑体" w:hAnsi="黑体" w:eastAsia="黑体" w:cs="黑体"/>
          <w:bCs/>
          <w:kern w:val="0"/>
          <w:sz w:val="24"/>
        </w:rPr>
        <w:t>/h</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w:t>
      </w:r>
      <w:r>
        <w:rPr>
          <w:rFonts w:hint="eastAsia" w:ascii="黑体" w:hAnsi="黑体" w:eastAsia="黑体" w:cs="黑体"/>
          <w:bCs/>
          <w:kern w:val="0"/>
          <w:sz w:val="24"/>
          <w:lang w:val="en-US" w:eastAsia="zh-CN"/>
        </w:rPr>
        <w:t>5</w:t>
      </w:r>
      <w:r>
        <w:rPr>
          <w:rFonts w:hint="eastAsia" w:ascii="黑体" w:hAnsi="黑体" w:eastAsia="黑体" w:cs="黑体"/>
          <w:bCs/>
          <w:kern w:val="0"/>
          <w:sz w:val="24"/>
        </w:rPr>
        <w:t>）额定功率：18</w:t>
      </w:r>
      <w:r>
        <w:rPr>
          <w:rFonts w:hint="eastAsia" w:ascii="黑体" w:hAnsi="黑体" w:eastAsia="黑体" w:cs="黑体"/>
          <w:bCs/>
          <w:kern w:val="0"/>
          <w:sz w:val="24"/>
          <w:lang w:val="en-US" w:eastAsia="zh-CN"/>
        </w:rPr>
        <w:t>5</w:t>
      </w:r>
      <w:r>
        <w:rPr>
          <w:rFonts w:hint="eastAsia" w:ascii="黑体" w:hAnsi="黑体" w:eastAsia="黑体" w:cs="黑体"/>
          <w:bCs/>
          <w:kern w:val="0"/>
          <w:sz w:val="24"/>
        </w:rPr>
        <w:t>0W（包含操作区插座负载500W）</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w:t>
      </w:r>
      <w:r>
        <w:rPr>
          <w:rFonts w:hint="eastAsia" w:ascii="黑体" w:hAnsi="黑体" w:eastAsia="黑体" w:cs="黑体"/>
          <w:bCs/>
          <w:kern w:val="0"/>
          <w:sz w:val="24"/>
          <w:lang w:val="en-US" w:eastAsia="zh-CN"/>
        </w:rPr>
        <w:t>6</w:t>
      </w:r>
      <w:r>
        <w:rPr>
          <w:rFonts w:hint="eastAsia" w:ascii="黑体" w:hAnsi="黑体" w:eastAsia="黑体" w:cs="黑体"/>
          <w:bCs/>
          <w:kern w:val="0"/>
          <w:sz w:val="24"/>
        </w:rPr>
        <w:t>）噪音等级：≤6</w:t>
      </w:r>
      <w:r>
        <w:rPr>
          <w:rFonts w:hint="eastAsia" w:ascii="黑体" w:hAnsi="黑体" w:eastAsia="黑体" w:cs="黑体"/>
          <w:bCs/>
          <w:kern w:val="0"/>
          <w:sz w:val="24"/>
          <w:lang w:val="en-US" w:eastAsia="zh-CN"/>
        </w:rPr>
        <w:t>7</w:t>
      </w:r>
      <w:r>
        <w:rPr>
          <w:rFonts w:hint="eastAsia" w:ascii="黑体" w:hAnsi="黑体" w:eastAsia="黑体" w:cs="黑体"/>
          <w:bCs/>
          <w:kern w:val="0"/>
          <w:sz w:val="24"/>
        </w:rPr>
        <w:t>dB（A）</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w:t>
      </w:r>
      <w:r>
        <w:rPr>
          <w:rFonts w:hint="eastAsia" w:ascii="黑体" w:hAnsi="黑体" w:eastAsia="黑体" w:cs="黑体"/>
          <w:bCs/>
          <w:kern w:val="0"/>
          <w:sz w:val="24"/>
          <w:lang w:val="en-US" w:eastAsia="zh-CN"/>
        </w:rPr>
        <w:t>7</w:t>
      </w:r>
      <w:r>
        <w:rPr>
          <w:rFonts w:hint="eastAsia" w:ascii="黑体" w:hAnsi="黑体" w:eastAsia="黑体" w:cs="黑体"/>
          <w:bCs/>
          <w:kern w:val="0"/>
          <w:sz w:val="24"/>
        </w:rPr>
        <w:t>）照明：≥</w:t>
      </w:r>
      <w:r>
        <w:rPr>
          <w:rFonts w:hint="eastAsia" w:ascii="黑体" w:hAnsi="黑体" w:eastAsia="黑体" w:cs="黑体"/>
          <w:bCs/>
          <w:kern w:val="0"/>
          <w:sz w:val="24"/>
          <w:lang w:val="en-US" w:eastAsia="zh-CN"/>
        </w:rPr>
        <w:t>10</w:t>
      </w:r>
      <w:r>
        <w:rPr>
          <w:rFonts w:hint="eastAsia" w:ascii="黑体" w:hAnsi="黑体" w:eastAsia="黑体" w:cs="黑体"/>
          <w:bCs/>
          <w:kern w:val="0"/>
          <w:sz w:val="24"/>
        </w:rPr>
        <w:t>00lx</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w:t>
      </w:r>
      <w:r>
        <w:rPr>
          <w:rFonts w:hint="eastAsia" w:ascii="黑体" w:hAnsi="黑体" w:eastAsia="黑体" w:cs="黑体"/>
          <w:bCs/>
          <w:kern w:val="0"/>
          <w:sz w:val="24"/>
          <w:lang w:val="en-US" w:eastAsia="zh-CN"/>
        </w:rPr>
        <w:t>8</w:t>
      </w:r>
      <w:r>
        <w:rPr>
          <w:rFonts w:hint="eastAsia" w:ascii="黑体" w:hAnsi="黑体" w:eastAsia="黑体" w:cs="黑体"/>
          <w:bCs/>
          <w:kern w:val="0"/>
          <w:sz w:val="24"/>
        </w:rPr>
        <w:t>）过滤效率:送风和排风过滤器均采用世界知名品牌的硼硅酸盐玻璃纤维材质的ULPA高效过滤器，对0.12μm颗粒过滤效率≥99.9995%</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w:t>
      </w:r>
      <w:r>
        <w:rPr>
          <w:rFonts w:hint="eastAsia" w:ascii="黑体" w:hAnsi="黑体" w:eastAsia="黑体" w:cs="黑体"/>
          <w:bCs/>
          <w:kern w:val="0"/>
          <w:sz w:val="24"/>
          <w:lang w:val="en-US" w:eastAsia="zh-CN"/>
        </w:rPr>
        <w:t>9</w:t>
      </w:r>
      <w:r>
        <w:rPr>
          <w:rFonts w:hint="eastAsia" w:ascii="黑体" w:hAnsi="黑体" w:eastAsia="黑体" w:cs="黑体"/>
          <w:bCs/>
          <w:kern w:val="0"/>
          <w:sz w:val="24"/>
        </w:rPr>
        <w:t>）使用人数：1—2人</w:t>
      </w:r>
    </w:p>
    <w:p>
      <w:pPr>
        <w:widowControl/>
        <w:spacing w:before="75" w:after="75" w:line="276" w:lineRule="auto"/>
        <w:ind w:firstLine="120" w:firstLineChars="50"/>
        <w:rPr>
          <w:rFonts w:hint="eastAsia" w:ascii="黑体" w:hAnsi="黑体" w:eastAsia="黑体" w:cs="黑体"/>
          <w:bCs/>
          <w:kern w:val="0"/>
          <w:sz w:val="24"/>
        </w:rPr>
      </w:pPr>
      <w:r>
        <w:rPr>
          <w:rFonts w:hint="eastAsia" w:ascii="黑体" w:hAnsi="黑体" w:eastAsia="黑体" w:cs="黑体"/>
          <w:bCs/>
          <w:kern w:val="0"/>
          <w:sz w:val="24"/>
        </w:rPr>
        <w:t>2、生物安全性：</w:t>
      </w:r>
    </w:p>
    <w:p>
      <w:pPr>
        <w:widowControl/>
        <w:spacing w:before="75" w:after="75" w:line="276" w:lineRule="auto"/>
        <w:ind w:firstLine="360" w:firstLineChars="150"/>
        <w:rPr>
          <w:rFonts w:hint="eastAsia" w:ascii="黑体" w:hAnsi="黑体" w:eastAsia="黑体" w:cs="黑体"/>
          <w:bCs/>
          <w:kern w:val="0"/>
          <w:sz w:val="24"/>
        </w:rPr>
      </w:pPr>
      <w:r>
        <w:rPr>
          <w:rFonts w:hint="eastAsia" w:ascii="黑体" w:hAnsi="黑体" w:eastAsia="黑体" w:cs="黑体"/>
          <w:bCs/>
          <w:kern w:val="0"/>
          <w:sz w:val="24"/>
          <w:lang w:val="en-US" w:eastAsia="zh-CN"/>
        </w:rPr>
        <w:t xml:space="preserve"> </w:t>
      </w:r>
      <w:r>
        <w:rPr>
          <w:rFonts w:hint="eastAsia" w:ascii="黑体" w:hAnsi="黑体" w:eastAsia="黑体" w:cs="黑体"/>
          <w:bCs/>
          <w:kern w:val="0"/>
          <w:sz w:val="24"/>
        </w:rPr>
        <w:t>（1） 人员安全性：用碘化钾（KI）法测试，前窗操作口的保护因子应</w:t>
      </w:r>
      <w:r>
        <w:rPr>
          <w:rFonts w:hint="eastAsia" w:ascii="黑体" w:hAnsi="黑体" w:eastAsia="黑体" w:cs="黑体"/>
          <w:bCs/>
          <w:kern w:val="0"/>
          <w:sz w:val="24"/>
          <w:lang w:eastAsia="zh-CN"/>
        </w:rPr>
        <w:t>≥</w:t>
      </w:r>
      <w:r>
        <w:rPr>
          <w:rFonts w:hint="eastAsia" w:ascii="黑体" w:hAnsi="黑体" w:eastAsia="黑体" w:cs="黑体"/>
          <w:bCs/>
          <w:kern w:val="0"/>
          <w:sz w:val="24"/>
        </w:rPr>
        <w:t>1×10</w:t>
      </w:r>
      <w:r>
        <w:rPr>
          <w:rFonts w:hint="eastAsia" w:ascii="黑体" w:hAnsi="黑体" w:eastAsia="黑体" w:cs="黑体"/>
          <w:kern w:val="0"/>
          <w:sz w:val="24"/>
          <w:vertAlign w:val="superscript"/>
        </w:rPr>
        <w:t>5</w:t>
      </w:r>
      <w:r>
        <w:rPr>
          <w:rFonts w:hint="eastAsia" w:ascii="黑体" w:hAnsi="黑体" w:eastAsia="黑体" w:cs="黑体"/>
          <w:bCs/>
          <w:kern w:val="0"/>
          <w:sz w:val="24"/>
        </w:rPr>
        <w:t xml:space="preserve"> </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 xml:space="preserve">（2） 产品安全性：菌落数≤5CFU/次 </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（3） 交叉污染安全性：菌落数≤2CFU/次</w:t>
      </w:r>
    </w:p>
    <w:p>
      <w:pPr>
        <w:widowControl/>
        <w:spacing w:before="75" w:after="75" w:line="276" w:lineRule="auto"/>
        <w:rPr>
          <w:rFonts w:hint="eastAsia" w:ascii="黑体" w:hAnsi="黑体" w:eastAsia="黑体" w:cs="黑体"/>
          <w:bCs/>
          <w:kern w:val="0"/>
          <w:sz w:val="24"/>
        </w:rPr>
      </w:pPr>
      <w:r>
        <w:rPr>
          <w:rFonts w:hint="eastAsia" w:ascii="黑体" w:hAnsi="黑体" w:eastAsia="黑体" w:cs="黑体"/>
          <w:bCs/>
          <w:kern w:val="0"/>
          <w:sz w:val="24"/>
        </w:rPr>
        <w:t>二、结构功能特点：</w:t>
      </w:r>
    </w:p>
    <w:p>
      <w:pPr>
        <w:widowControl/>
        <w:spacing w:before="75" w:after="75" w:line="276" w:lineRule="auto"/>
        <w:ind w:left="910" w:leftChars="250" w:hanging="360" w:hangingChars="150"/>
        <w:rPr>
          <w:rFonts w:hint="eastAsia" w:ascii="黑体" w:hAnsi="黑体" w:eastAsia="黑体" w:cs="黑体"/>
          <w:bCs/>
          <w:kern w:val="0"/>
          <w:sz w:val="24"/>
        </w:rPr>
      </w:pPr>
      <w:r>
        <w:rPr>
          <w:rFonts w:hint="eastAsia" w:ascii="黑体" w:hAnsi="黑体" w:eastAsia="黑体" w:cs="黑体"/>
          <w:bCs/>
          <w:kern w:val="0"/>
          <w:sz w:val="24"/>
        </w:rPr>
        <w:t>1、</w:t>
      </w:r>
    </w:p>
    <w:p>
      <w:pPr>
        <w:widowControl/>
        <w:spacing w:before="75" w:after="75" w:line="276" w:lineRule="auto"/>
        <w:ind w:left="1050" w:leftChars="150" w:hanging="720" w:hangingChars="300"/>
        <w:rPr>
          <w:rFonts w:hint="eastAsia" w:ascii="黑体" w:hAnsi="黑体" w:eastAsia="黑体" w:cs="黑体"/>
          <w:bCs/>
          <w:kern w:val="0"/>
          <w:sz w:val="24"/>
        </w:rPr>
      </w:pPr>
      <w:r>
        <w:rPr>
          <w:rFonts w:hint="eastAsia" w:ascii="黑体" w:hAnsi="黑体" w:eastAsia="黑体" w:cs="黑体"/>
          <w:bCs/>
          <w:kern w:val="0"/>
          <w:sz w:val="24"/>
          <w:lang w:val="en-US" w:eastAsia="zh-CN"/>
        </w:rPr>
        <w:t xml:space="preserve"> </w:t>
      </w:r>
      <w:r>
        <w:rPr>
          <w:rFonts w:hint="eastAsia" w:ascii="黑体" w:hAnsi="黑体" w:eastAsia="黑体" w:cs="黑体"/>
          <w:bCs/>
          <w:kern w:val="0"/>
          <w:sz w:val="24"/>
        </w:rPr>
        <w:t xml:space="preserve"> 2、柜体采用10°倾斜角设计，符合人体工程学原理，视角更大，操作方便且更加人性化；   </w:t>
      </w:r>
    </w:p>
    <w:p>
      <w:pPr>
        <w:widowControl/>
        <w:spacing w:before="75" w:after="75" w:line="276" w:lineRule="auto"/>
        <w:ind w:left="930" w:leftChars="150" w:hanging="600" w:hangingChars="250"/>
        <w:rPr>
          <w:rFonts w:hint="eastAsia" w:ascii="黑体" w:hAnsi="黑体" w:eastAsia="黑体" w:cs="黑体"/>
          <w:bCs/>
          <w:kern w:val="0"/>
          <w:sz w:val="24"/>
        </w:rPr>
      </w:pPr>
      <w:r>
        <w:rPr>
          <w:rFonts w:hint="eastAsia" w:ascii="黑体" w:hAnsi="黑体" w:eastAsia="黑体" w:cs="黑体"/>
          <w:bCs/>
          <w:kern w:val="0"/>
          <w:sz w:val="24"/>
        </w:rPr>
        <w:t xml:space="preserve">  3、安全柜裸露工作区三侧壁板采用优质304#不锈钢一体化结构，内部可清洗部位采用8mm大圆角处理，不留死角，易于清洁；</w:t>
      </w:r>
    </w:p>
    <w:p>
      <w:pPr>
        <w:widowControl/>
        <w:spacing w:before="75" w:after="75" w:line="276" w:lineRule="auto"/>
        <w:ind w:left="1020" w:leftChars="300" w:hanging="360" w:hangingChars="150"/>
        <w:rPr>
          <w:rFonts w:hint="eastAsia" w:ascii="黑体" w:hAnsi="黑体" w:eastAsia="黑体" w:cs="黑体"/>
          <w:bCs/>
          <w:kern w:val="0"/>
          <w:sz w:val="24"/>
        </w:rPr>
      </w:pPr>
      <w:r>
        <w:rPr>
          <w:rFonts w:hint="eastAsia" w:ascii="黑体" w:hAnsi="黑体" w:eastAsia="黑体" w:cs="黑体"/>
          <w:bCs/>
          <w:kern w:val="0"/>
          <w:sz w:val="24"/>
        </w:rPr>
        <w:t>4、工作区采用四面（左右二侧、后部、底部）负压环绕设计工作区内，保护性更好、更安全；</w:t>
      </w:r>
    </w:p>
    <w:p>
      <w:pPr>
        <w:widowControl/>
        <w:spacing w:before="75" w:after="75" w:line="276" w:lineRule="auto"/>
        <w:ind w:left="1030" w:leftChars="250" w:hanging="480" w:hangingChars="200"/>
        <w:rPr>
          <w:rFonts w:hint="eastAsia" w:ascii="黑体" w:hAnsi="黑体" w:eastAsia="黑体" w:cs="黑体"/>
          <w:bCs/>
          <w:kern w:val="0"/>
          <w:sz w:val="24"/>
        </w:rPr>
      </w:pPr>
      <w:r>
        <w:rPr>
          <w:rFonts w:hint="eastAsia" w:ascii="黑体" w:hAnsi="黑体" w:eastAsia="黑体" w:cs="黑体"/>
          <w:bCs/>
          <w:kern w:val="0"/>
          <w:sz w:val="24"/>
        </w:rPr>
        <w:t xml:space="preserve"> 5、工作台面材质为优质304#不锈钢，采用盆状式设计，即使实验有废液溢出，也不会流入积液槽中，便于清理；</w:t>
      </w:r>
    </w:p>
    <w:p>
      <w:pPr>
        <w:widowControl/>
        <w:spacing w:before="75" w:after="75" w:line="276" w:lineRule="auto"/>
        <w:ind w:left="950" w:leftChars="50" w:hanging="840" w:hangingChars="350"/>
        <w:rPr>
          <w:rFonts w:hint="eastAsia" w:ascii="黑体" w:hAnsi="黑体" w:eastAsia="黑体" w:cs="黑体"/>
          <w:bCs/>
          <w:kern w:val="0"/>
          <w:sz w:val="24"/>
        </w:rPr>
      </w:pPr>
      <w:r>
        <w:rPr>
          <w:rFonts w:hint="eastAsia" w:ascii="黑体" w:hAnsi="黑体" w:eastAsia="黑体" w:cs="黑体"/>
          <w:bCs/>
          <w:kern w:val="0"/>
          <w:sz w:val="24"/>
        </w:rPr>
        <w:t xml:space="preserve">   6、福马脚轮设计：脚轮与支架一体化设计，安全柜即可通过脚轮安全移动，也可以通过调节脚轮支脚进行固定和调平；</w:t>
      </w:r>
    </w:p>
    <w:p>
      <w:pPr>
        <w:widowControl/>
        <w:spacing w:before="75" w:after="75" w:line="276" w:lineRule="auto"/>
        <w:ind w:firstLine="283" w:firstLineChars="118"/>
        <w:rPr>
          <w:rFonts w:hint="eastAsia" w:ascii="黑体" w:hAnsi="黑体" w:eastAsia="黑体" w:cs="黑体"/>
          <w:bCs/>
          <w:kern w:val="0"/>
          <w:sz w:val="24"/>
        </w:rPr>
      </w:pPr>
      <w:r>
        <w:rPr>
          <w:rFonts w:hint="eastAsia" w:ascii="黑体" w:hAnsi="黑体" w:eastAsia="黑体" w:cs="黑体"/>
          <w:bCs/>
          <w:kern w:val="0"/>
          <w:sz w:val="24"/>
        </w:rPr>
        <w:t xml:space="preserve"> </w:t>
      </w:r>
      <w:r>
        <w:rPr>
          <w:rFonts w:hint="eastAsia" w:ascii="黑体" w:hAnsi="黑体" w:eastAsia="黑体" w:cs="黑体"/>
          <w:bCs/>
          <w:kern w:val="0"/>
          <w:sz w:val="24"/>
          <w:lang w:val="en-US" w:eastAsia="zh-CN"/>
        </w:rPr>
        <w:t xml:space="preserve"> </w:t>
      </w:r>
      <w:r>
        <w:rPr>
          <w:rFonts w:hint="eastAsia" w:ascii="黑体" w:hAnsi="黑体" w:eastAsia="黑体" w:cs="黑体"/>
          <w:bCs/>
          <w:kern w:val="0"/>
          <w:sz w:val="24"/>
        </w:rPr>
        <w:t xml:space="preserve"> 7、柜体和支架可分离，支架高度可根据实际情况订制修改；</w:t>
      </w:r>
    </w:p>
    <w:p>
      <w:pPr>
        <w:widowControl/>
        <w:spacing w:before="75" w:after="75" w:line="276" w:lineRule="auto"/>
        <w:ind w:left="980" w:leftChars="118" w:hanging="720" w:hangingChars="300"/>
        <w:rPr>
          <w:rFonts w:hint="eastAsia" w:ascii="黑体" w:hAnsi="黑体" w:eastAsia="黑体" w:cs="黑体"/>
          <w:bCs/>
          <w:kern w:val="0"/>
          <w:sz w:val="24"/>
        </w:rPr>
      </w:pPr>
      <w:r>
        <w:rPr>
          <w:rFonts w:hint="eastAsia" w:ascii="黑体" w:hAnsi="黑体" w:eastAsia="黑体" w:cs="黑体"/>
          <w:bCs/>
          <w:kern w:val="0"/>
          <w:sz w:val="24"/>
        </w:rPr>
        <w:t xml:space="preserve">   8、合理的结构设计：安全柜过滤器和风机的维修、更换，都可在安全柜的前侧进行，更加方便、快捷。</w:t>
      </w:r>
    </w:p>
    <w:p>
      <w:pPr>
        <w:widowControl/>
        <w:spacing w:before="75" w:after="75" w:line="276" w:lineRule="auto"/>
        <w:ind w:left="1000" w:leftChars="182" w:hanging="600" w:hangingChars="250"/>
        <w:rPr>
          <w:rFonts w:hint="eastAsia" w:ascii="黑体" w:hAnsi="黑体" w:eastAsia="黑体" w:cs="黑体"/>
          <w:bCs/>
          <w:kern w:val="0"/>
          <w:sz w:val="24"/>
        </w:rPr>
      </w:pPr>
      <w:r>
        <w:rPr>
          <w:rFonts w:hint="eastAsia" w:ascii="黑体" w:hAnsi="黑体" w:eastAsia="黑体" w:cs="黑体"/>
          <w:bCs/>
          <w:kern w:val="0"/>
          <w:sz w:val="24"/>
        </w:rPr>
        <w:t>9、前窗玻璃采用双层夹胶防爆安全玻璃；即使玻璃破损，也不会伤人，并且生物安全柜还能正常工作，直到实验结束，更好的保护了人员及实验的安全；</w:t>
      </w:r>
    </w:p>
    <w:p>
      <w:pPr>
        <w:widowControl/>
        <w:spacing w:before="75" w:after="75" w:line="276" w:lineRule="auto"/>
        <w:ind w:left="860" w:leftChars="118" w:hanging="600" w:hangingChars="250"/>
        <w:rPr>
          <w:rFonts w:hint="eastAsia" w:ascii="黑体" w:hAnsi="黑体" w:eastAsia="黑体" w:cs="黑体"/>
          <w:bCs/>
          <w:kern w:val="0"/>
          <w:sz w:val="24"/>
        </w:rPr>
      </w:pPr>
      <w:r>
        <w:rPr>
          <w:rFonts w:hint="eastAsia" w:ascii="黑体" w:hAnsi="黑体" w:eastAsia="黑体" w:cs="黑体"/>
          <w:bCs/>
          <w:kern w:val="0"/>
          <w:sz w:val="24"/>
        </w:rPr>
        <w:t xml:space="preserve"> </w:t>
      </w:r>
      <w:r>
        <w:rPr>
          <w:rFonts w:hint="eastAsia" w:ascii="黑体" w:hAnsi="黑体" w:eastAsia="黑体" w:cs="黑体"/>
          <w:bCs/>
          <w:kern w:val="0"/>
          <w:sz w:val="24"/>
          <w:lang w:val="en-US" w:eastAsia="zh-CN"/>
        </w:rPr>
        <w:t>1</w:t>
      </w:r>
      <w:r>
        <w:rPr>
          <w:rFonts w:hint="eastAsia" w:ascii="黑体" w:hAnsi="黑体" w:eastAsia="黑体" w:cs="黑体"/>
          <w:bCs/>
          <w:kern w:val="0"/>
          <w:sz w:val="24"/>
        </w:rPr>
        <w:t>0、</w:t>
      </w:r>
      <w:r>
        <w:rPr>
          <w:rFonts w:hint="eastAsia" w:ascii="黑体" w:hAnsi="黑体" w:eastAsia="黑体" w:cs="黑体"/>
          <w:bCs/>
          <w:kern w:val="0"/>
          <w:sz w:val="24"/>
          <w:lang w:eastAsia="zh-CN"/>
        </w:rPr>
        <w:t>≥</w:t>
      </w:r>
      <w:r>
        <w:rPr>
          <w:rFonts w:hint="eastAsia" w:ascii="黑体" w:hAnsi="黑体" w:eastAsia="黑体" w:cs="黑体"/>
          <w:bCs/>
          <w:kern w:val="0"/>
          <w:sz w:val="24"/>
        </w:rPr>
        <w:t>4.</w:t>
      </w:r>
      <w:r>
        <w:rPr>
          <w:rFonts w:hint="eastAsia" w:ascii="黑体" w:hAnsi="黑体" w:eastAsia="黑体" w:cs="黑体"/>
          <w:bCs/>
          <w:kern w:val="0"/>
          <w:sz w:val="24"/>
          <w:lang w:val="en-US" w:eastAsia="zh-CN"/>
        </w:rPr>
        <w:t>5</w:t>
      </w:r>
      <w:r>
        <w:rPr>
          <w:rFonts w:hint="eastAsia" w:ascii="黑体" w:hAnsi="黑体" w:eastAsia="黑体" w:cs="黑体"/>
          <w:bCs/>
          <w:kern w:val="0"/>
          <w:sz w:val="24"/>
        </w:rPr>
        <w:t>寸L</w:t>
      </w:r>
      <w:r>
        <w:rPr>
          <w:rFonts w:hint="eastAsia" w:ascii="黑体" w:hAnsi="黑体" w:eastAsia="黑体" w:cs="黑体"/>
          <w:bCs/>
          <w:kern w:val="0"/>
          <w:sz w:val="24"/>
          <w:lang w:val="en-US" w:eastAsia="zh-CN"/>
        </w:rPr>
        <w:t>C</w:t>
      </w:r>
      <w:r>
        <w:rPr>
          <w:rFonts w:hint="eastAsia" w:ascii="黑体" w:hAnsi="黑体" w:eastAsia="黑体" w:cs="黑体"/>
          <w:bCs/>
          <w:kern w:val="0"/>
          <w:sz w:val="24"/>
        </w:rPr>
        <w:t>D液晶显示屏，全参数显示,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一目了然；</w:t>
      </w:r>
    </w:p>
    <w:p>
      <w:pPr>
        <w:widowControl/>
        <w:spacing w:before="75" w:after="75" w:line="276" w:lineRule="auto"/>
        <w:ind w:left="860" w:leftChars="118" w:hanging="600" w:hangingChars="250"/>
        <w:rPr>
          <w:rFonts w:hint="eastAsia" w:ascii="黑体" w:hAnsi="黑体" w:eastAsia="黑体" w:cs="黑体"/>
          <w:bCs/>
          <w:kern w:val="0"/>
          <w:sz w:val="24"/>
        </w:rPr>
      </w:pPr>
      <w:r>
        <w:rPr>
          <w:rFonts w:hint="eastAsia" w:ascii="黑体" w:hAnsi="黑体" w:eastAsia="黑体" w:cs="黑体"/>
          <w:bCs/>
          <w:kern w:val="0"/>
          <w:sz w:val="24"/>
        </w:rPr>
        <w:t xml:space="preserve"> 11、脚踏电动、手动按键、遥控电动三种方式灵活控制玻璃门升降，玻璃门升降到安全操作高度时，自动停止升降，使操作更加方便；且玻璃门升降时不用直接接触玻璃，使实验人员更安全；</w:t>
      </w:r>
    </w:p>
    <w:p>
      <w:pPr>
        <w:widowControl/>
        <w:spacing w:before="75" w:after="75" w:line="276" w:lineRule="auto"/>
        <w:ind w:left="860" w:leftChars="118" w:hanging="600" w:hangingChars="250"/>
        <w:rPr>
          <w:rFonts w:hint="eastAsia" w:ascii="黑体" w:hAnsi="黑体" w:eastAsia="黑体" w:cs="黑体"/>
          <w:bCs/>
          <w:kern w:val="0"/>
          <w:sz w:val="24"/>
        </w:rPr>
      </w:pPr>
      <w:r>
        <w:rPr>
          <w:rFonts w:hint="eastAsia" w:ascii="黑体" w:hAnsi="黑体" w:eastAsia="黑体" w:cs="黑体"/>
          <w:bCs/>
          <w:kern w:val="0"/>
          <w:sz w:val="24"/>
        </w:rPr>
        <w:t xml:space="preserve">  12、遥控控制：安全柜的所有按键操作，都可通过遥控控制实现，使安全柜的使用更加快捷方便；且遥控器的使用，大大减少了使用者与安全柜的直接接触，更加保护了使用者的人身安全；</w:t>
      </w:r>
    </w:p>
    <w:p>
      <w:pPr>
        <w:widowControl/>
        <w:spacing w:before="75" w:after="75" w:line="276" w:lineRule="auto"/>
        <w:ind w:left="860" w:leftChars="118" w:hanging="600" w:hangingChars="250"/>
        <w:rPr>
          <w:rFonts w:hint="eastAsia" w:ascii="黑体" w:hAnsi="黑体" w:eastAsia="黑体" w:cs="黑体"/>
          <w:bCs/>
          <w:kern w:val="0"/>
          <w:sz w:val="24"/>
        </w:rPr>
      </w:pPr>
      <w:r>
        <w:rPr>
          <w:rFonts w:hint="eastAsia" w:ascii="黑体" w:hAnsi="黑体" w:eastAsia="黑体" w:cs="黑体"/>
          <w:bCs/>
          <w:kern w:val="0"/>
          <w:sz w:val="24"/>
        </w:rPr>
        <w:t xml:space="preserve">  13、具有预约定时功能，能自动设定安全柜定时开机、关机及紫外灯消毒时间，大大节省了工作时间，提高了工作效率；</w:t>
      </w:r>
    </w:p>
    <w:p>
      <w:pPr>
        <w:widowControl/>
        <w:spacing w:before="75" w:after="75" w:line="276" w:lineRule="auto"/>
        <w:ind w:firstLine="523" w:firstLineChars="218"/>
        <w:rPr>
          <w:rFonts w:hint="eastAsia" w:ascii="黑体" w:hAnsi="黑体" w:eastAsia="黑体" w:cs="黑体"/>
          <w:bCs/>
          <w:kern w:val="0"/>
          <w:sz w:val="24"/>
        </w:rPr>
      </w:pPr>
      <w:r>
        <w:rPr>
          <w:rFonts w:hint="eastAsia" w:ascii="黑体" w:hAnsi="黑体" w:eastAsia="黑体" w:cs="黑体"/>
          <w:bCs/>
          <w:kern w:val="0"/>
          <w:sz w:val="24"/>
        </w:rPr>
        <w:t>14、严格的气密性检测：安全柜内加压500Pa，保持30min后气压不低于450Pa。</w:t>
      </w:r>
    </w:p>
    <w:p>
      <w:pPr>
        <w:widowControl/>
        <w:spacing w:before="75" w:after="75" w:line="276" w:lineRule="auto"/>
        <w:ind w:firstLine="523" w:firstLineChars="218"/>
        <w:rPr>
          <w:rFonts w:hint="eastAsia" w:ascii="黑体" w:hAnsi="黑体" w:eastAsia="黑体" w:cs="黑体"/>
          <w:bCs/>
          <w:kern w:val="0"/>
          <w:sz w:val="24"/>
        </w:rPr>
      </w:pPr>
      <w:r>
        <w:rPr>
          <w:rFonts w:hint="eastAsia" w:ascii="黑体" w:hAnsi="黑体" w:eastAsia="黑体" w:cs="黑体"/>
          <w:bCs/>
          <w:kern w:val="0"/>
          <w:sz w:val="24"/>
        </w:rPr>
        <w:t>15、前窗气流隔断设计：防止了气流通过前窗侧壁及上侧进行泄露，使试验更加安全；</w:t>
      </w:r>
    </w:p>
    <w:p>
      <w:pPr>
        <w:widowControl/>
        <w:spacing w:before="75" w:after="75" w:line="276" w:lineRule="auto"/>
        <w:ind w:left="590" w:leftChars="268"/>
        <w:rPr>
          <w:rFonts w:hint="eastAsia" w:ascii="黑体" w:hAnsi="黑体" w:eastAsia="黑体" w:cs="黑体"/>
          <w:bCs/>
          <w:kern w:val="0"/>
          <w:sz w:val="24"/>
        </w:rPr>
      </w:pPr>
      <w:r>
        <w:rPr>
          <w:rFonts w:hint="eastAsia" w:ascii="黑体" w:hAnsi="黑体" w:eastAsia="黑体" w:cs="黑体"/>
          <w:bCs/>
          <w:kern w:val="0"/>
          <w:sz w:val="24"/>
        </w:rPr>
        <w:t>16、优良的风机选用：风机的电机当安全柜在正常运行而不调整电机的速度控制，经过滤器的风压下降50%时，风机的排气量下降不超过10%</w:t>
      </w:r>
    </w:p>
    <w:p>
      <w:pPr>
        <w:widowControl/>
        <w:spacing w:before="75" w:after="75" w:line="276" w:lineRule="auto"/>
        <w:ind w:firstLine="480" w:firstLineChars="200"/>
        <w:rPr>
          <w:rFonts w:hint="eastAsia" w:ascii="黑体" w:hAnsi="黑体" w:eastAsia="黑体" w:cs="黑体"/>
          <w:bCs/>
          <w:kern w:val="0"/>
          <w:sz w:val="24"/>
        </w:rPr>
      </w:pPr>
      <w:r>
        <w:rPr>
          <w:rFonts w:hint="eastAsia" w:ascii="黑体" w:hAnsi="黑体" w:eastAsia="黑体" w:cs="黑体"/>
          <w:bCs/>
          <w:kern w:val="0"/>
          <w:sz w:val="24"/>
        </w:rPr>
        <w:t>17、完善的报警系统：</w:t>
      </w:r>
    </w:p>
    <w:p>
      <w:pPr>
        <w:widowControl/>
        <w:spacing w:before="75" w:after="75" w:line="276" w:lineRule="auto"/>
        <w:ind w:left="1370" w:leftChars="350" w:hanging="600" w:hangingChars="250"/>
        <w:rPr>
          <w:rFonts w:hint="eastAsia" w:ascii="黑体" w:hAnsi="黑体" w:eastAsia="黑体" w:cs="黑体"/>
          <w:bCs/>
          <w:kern w:val="0"/>
          <w:sz w:val="24"/>
        </w:rPr>
      </w:pPr>
      <w:r>
        <w:rPr>
          <w:rFonts w:hint="eastAsia" w:ascii="黑体" w:hAnsi="黑体" w:eastAsia="黑体" w:cs="黑体"/>
          <w:bCs/>
          <w:kern w:val="0"/>
          <w:sz w:val="24"/>
        </w:rPr>
        <w:t>（1）玻璃门不在安全高度报警：玻璃门安全高度为200mm，当安全柜前侧高于或低于安全高度时，安全柜会声光报警；</w:t>
      </w:r>
    </w:p>
    <w:p>
      <w:pPr>
        <w:widowControl/>
        <w:spacing w:before="75" w:after="75" w:line="276" w:lineRule="auto"/>
        <w:ind w:firstLine="720" w:firstLineChars="300"/>
        <w:rPr>
          <w:rFonts w:hint="eastAsia" w:ascii="黑体" w:hAnsi="黑体" w:eastAsia="黑体" w:cs="黑体"/>
          <w:bCs/>
          <w:kern w:val="0"/>
          <w:sz w:val="24"/>
        </w:rPr>
      </w:pPr>
      <w:r>
        <w:rPr>
          <w:rFonts w:hint="eastAsia" w:ascii="黑体" w:hAnsi="黑体" w:eastAsia="黑体" w:cs="黑体"/>
          <w:bCs/>
          <w:kern w:val="0"/>
          <w:sz w:val="24"/>
        </w:rPr>
        <w:t>（2）过滤器压力超高报警：当过滤器的阻力变大，安全柜会声光报警</w:t>
      </w:r>
    </w:p>
    <w:p>
      <w:pPr>
        <w:widowControl/>
        <w:spacing w:before="75" w:after="75" w:line="276" w:lineRule="auto"/>
        <w:ind w:firstLine="720" w:firstLineChars="300"/>
        <w:rPr>
          <w:rFonts w:hint="eastAsia" w:ascii="黑体" w:hAnsi="黑体" w:eastAsia="黑体" w:cs="黑体"/>
          <w:bCs/>
          <w:kern w:val="0"/>
          <w:sz w:val="24"/>
        </w:rPr>
      </w:pPr>
      <w:r>
        <w:rPr>
          <w:rFonts w:hint="eastAsia" w:ascii="黑体" w:hAnsi="黑体" w:eastAsia="黑体" w:cs="黑体"/>
          <w:bCs/>
          <w:kern w:val="0"/>
          <w:sz w:val="24"/>
        </w:rPr>
        <w:t>（3）过滤器失效更换报警：当过滤器寿命使用到期后，会有过滤器更换声光报警；</w:t>
      </w:r>
    </w:p>
    <w:p>
      <w:pPr>
        <w:widowControl/>
        <w:spacing w:before="75" w:after="75" w:line="276" w:lineRule="auto"/>
        <w:ind w:firstLine="720" w:firstLineChars="300"/>
        <w:rPr>
          <w:rFonts w:hint="eastAsia" w:ascii="黑体" w:hAnsi="黑体" w:eastAsia="黑体" w:cs="黑体"/>
          <w:bCs/>
          <w:kern w:val="0"/>
          <w:sz w:val="24"/>
        </w:rPr>
      </w:pPr>
      <w:r>
        <w:rPr>
          <w:rFonts w:hint="eastAsia" w:ascii="黑体" w:hAnsi="黑体" w:eastAsia="黑体" w:cs="黑体"/>
          <w:bCs/>
          <w:kern w:val="0"/>
          <w:sz w:val="24"/>
        </w:rPr>
        <w:t>（4）气流波动报警：当安全柜的气流波动超过标称值的20%时，声光报警，</w:t>
      </w:r>
    </w:p>
    <w:p>
      <w:pPr>
        <w:widowControl/>
        <w:spacing w:before="75" w:after="75" w:line="276" w:lineRule="auto"/>
        <w:ind w:left="330" w:leftChars="150" w:firstLine="120" w:firstLineChars="50"/>
        <w:rPr>
          <w:rFonts w:hint="eastAsia" w:ascii="黑体" w:hAnsi="黑体" w:eastAsia="黑体" w:cs="黑体"/>
          <w:bCs/>
          <w:kern w:val="0"/>
          <w:sz w:val="24"/>
        </w:rPr>
      </w:pPr>
      <w:r>
        <w:rPr>
          <w:rFonts w:hint="eastAsia" w:ascii="黑体" w:hAnsi="黑体" w:eastAsia="黑体" w:cs="黑体"/>
          <w:bCs/>
          <w:kern w:val="0"/>
          <w:sz w:val="24"/>
        </w:rPr>
        <w:t>18、安全的连锁保护设计：对误操作均设置连锁保护，即使误操作，也不会造成伤害</w:t>
      </w:r>
    </w:p>
    <w:p>
      <w:pPr>
        <w:widowControl/>
        <w:spacing w:before="75" w:after="75" w:line="276" w:lineRule="auto"/>
        <w:ind w:left="557" w:leftChars="253" w:firstLine="240" w:firstLineChars="100"/>
        <w:rPr>
          <w:rFonts w:hint="eastAsia" w:ascii="黑体" w:hAnsi="黑体" w:eastAsia="黑体" w:cs="黑体"/>
          <w:bCs/>
          <w:kern w:val="0"/>
          <w:sz w:val="24"/>
        </w:rPr>
      </w:pPr>
      <w:r>
        <w:rPr>
          <w:rFonts w:hint="eastAsia" w:ascii="黑体" w:hAnsi="黑体" w:eastAsia="黑体" w:cs="黑体"/>
          <w:bCs/>
          <w:kern w:val="0"/>
          <w:sz w:val="24"/>
        </w:rPr>
        <w:t>（1）安全柜风机与玻璃门互锁：当安全柜玻璃门落到最底部时，安全柜风机自动关闭，更改保护了安全柜的使用，增加了安全柜的使用寿命</w:t>
      </w:r>
    </w:p>
    <w:p>
      <w:pPr>
        <w:pStyle w:val="8"/>
        <w:rPr>
          <w:rFonts w:hint="eastAsia" w:ascii="黑体" w:hAnsi="黑体" w:eastAsia="黑体" w:cs="黑体"/>
          <w:bCs/>
          <w:kern w:val="0"/>
          <w:sz w:val="24"/>
        </w:rPr>
      </w:pPr>
      <w:r>
        <w:rPr>
          <w:rFonts w:hint="eastAsia" w:ascii="黑体" w:hAnsi="黑体" w:eastAsia="黑体" w:cs="黑体"/>
          <w:bCs/>
          <w:kern w:val="0"/>
          <w:sz w:val="24"/>
        </w:rPr>
        <w:t>（2）紫外灯与安全柜玻璃门、风机及照明灯互锁：当玻璃落到底部且照明灯不开启时，紫外灯才能开启，防止紫外灯误操作对人体造成危害，更加保护了人员的安全；</w:t>
      </w:r>
    </w:p>
    <w:p>
      <w:pPr>
        <w:pStyle w:val="8"/>
        <w:jc w:val="center"/>
        <w:rPr>
          <w:rFonts w:hint="eastAsia"/>
        </w:rPr>
      </w:pPr>
      <w:r>
        <w:rPr>
          <w:rFonts w:hint="eastAsia" w:ascii="Noto Sans Mono CJK JP Regular" w:hAnsi="Noto Sans Mono CJK JP Regular" w:eastAsia="Noto Sans Mono CJK JP Regular" w:cs="Noto Sans Mono CJK JP Regular"/>
          <w:b/>
          <w:bCs/>
          <w:sz w:val="32"/>
          <w:szCs w:val="32"/>
          <w:lang w:val="zh-CN" w:eastAsia="zh-CN" w:bidi="zh-CN"/>
        </w:rPr>
        <w:t>立式灭菌器参数</w:t>
      </w:r>
    </w:p>
    <w:p>
      <w:pPr>
        <w:numPr>
          <w:ilvl w:val="0"/>
          <w:numId w:val="71"/>
        </w:numPr>
        <w:spacing w:line="276" w:lineRule="auto"/>
        <w:rPr>
          <w:rFonts w:hint="eastAsia" w:ascii="黑体" w:hAnsi="黑体" w:eastAsia="黑体" w:cs="黑体"/>
          <w:b/>
          <w:bCs/>
          <w:color w:val="333333"/>
          <w:sz w:val="24"/>
          <w:szCs w:val="24"/>
          <w:shd w:val="clear" w:color="auto" w:fill="FFFFFF"/>
        </w:rPr>
      </w:pPr>
      <w:r>
        <w:rPr>
          <w:rFonts w:hint="eastAsia" w:ascii="黑体" w:hAnsi="黑体" w:eastAsia="黑体" w:cs="黑体"/>
          <w:b/>
          <w:bCs/>
          <w:color w:val="333333"/>
          <w:sz w:val="24"/>
          <w:szCs w:val="24"/>
          <w:shd w:val="clear" w:color="auto" w:fill="FFFFFF"/>
        </w:rPr>
        <w:t>产品技术参数.</w:t>
      </w:r>
    </w:p>
    <w:p>
      <w:pPr>
        <w:numPr>
          <w:ilvl w:val="0"/>
          <w:numId w:val="0"/>
        </w:numPr>
        <w:spacing w:line="276" w:lineRule="auto"/>
        <w:rPr>
          <w:rFonts w:hint="eastAsia" w:ascii="黑体" w:hAnsi="黑体" w:eastAsia="黑体" w:cs="黑体"/>
          <w:b/>
          <w:bCs/>
          <w:color w:val="333333"/>
          <w:sz w:val="24"/>
          <w:szCs w:val="24"/>
          <w:shd w:val="clear" w:color="auto" w:fill="FFFFFF"/>
          <w:lang w:eastAsia="zh-CN"/>
        </w:rPr>
      </w:pPr>
      <w:r>
        <w:rPr>
          <w:rFonts w:hint="eastAsia" w:ascii="黑体" w:hAnsi="黑体" w:eastAsia="黑体" w:cs="黑体"/>
          <w:color w:val="000000"/>
          <w:kern w:val="0"/>
          <w:sz w:val="24"/>
          <w:szCs w:val="24"/>
        </w:rPr>
        <w:t>容积</w:t>
      </w:r>
      <w:r>
        <w:rPr>
          <w:rFonts w:hint="eastAsia" w:ascii="黑体" w:hAnsi="黑体" w:eastAsia="黑体" w:cs="黑体"/>
          <w:color w:val="000000"/>
          <w:kern w:val="0"/>
          <w:sz w:val="24"/>
          <w:szCs w:val="24"/>
          <w:lang w:eastAsia="zh-CN"/>
        </w:rPr>
        <w:t>：≥</w:t>
      </w:r>
      <w:r>
        <w:rPr>
          <w:rFonts w:hint="eastAsia" w:ascii="黑体" w:hAnsi="黑体" w:eastAsia="黑体" w:cs="黑体"/>
          <w:color w:val="000000"/>
          <w:kern w:val="0"/>
          <w:sz w:val="24"/>
          <w:szCs w:val="24"/>
        </w:rPr>
        <w:t>100L</w:t>
      </w:r>
    </w:p>
    <w:p>
      <w:pPr>
        <w:numPr>
          <w:ilvl w:val="0"/>
          <w:numId w:val="72"/>
        </w:numPr>
        <w:spacing w:line="276" w:lineRule="auto"/>
        <w:rPr>
          <w:rFonts w:hint="eastAsia" w:ascii="黑体" w:hAnsi="黑体" w:eastAsia="黑体" w:cs="黑体"/>
          <w:color w:val="333333"/>
          <w:sz w:val="24"/>
          <w:szCs w:val="24"/>
          <w:shd w:val="clear" w:color="auto" w:fill="FFFFFF"/>
        </w:rPr>
      </w:pPr>
      <w:r>
        <w:rPr>
          <w:rFonts w:hint="eastAsia" w:ascii="黑体" w:hAnsi="黑体" w:eastAsia="黑体" w:cs="黑体"/>
          <w:b/>
          <w:bCs/>
          <w:color w:val="333333"/>
          <w:sz w:val="24"/>
          <w:szCs w:val="24"/>
          <w:shd w:val="clear" w:color="auto" w:fill="FFFFFF"/>
        </w:rPr>
        <w:t>产品技术特点</w:t>
      </w:r>
    </w:p>
    <w:p>
      <w:pPr>
        <w:spacing w:line="276" w:lineRule="auto"/>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rPr>
        <w:t>1.额定工作压力0.23M</w:t>
      </w:r>
      <w:r>
        <w:rPr>
          <w:rFonts w:hint="eastAsia" w:ascii="黑体" w:hAnsi="黑体" w:eastAsia="黑体" w:cs="黑体"/>
          <w:color w:val="333333"/>
          <w:sz w:val="24"/>
          <w:szCs w:val="24"/>
          <w:shd w:val="clear" w:color="auto" w:fill="FFFFFF"/>
          <w:lang w:val="en-US" w:eastAsia="zh-CN"/>
        </w:rPr>
        <w:t>P</w:t>
      </w:r>
      <w:r>
        <w:rPr>
          <w:rFonts w:hint="eastAsia" w:ascii="黑体" w:hAnsi="黑体" w:eastAsia="黑体" w:cs="黑体"/>
          <w:color w:val="333333"/>
          <w:sz w:val="24"/>
          <w:szCs w:val="24"/>
          <w:shd w:val="clear" w:color="auto" w:fill="FFFFFF"/>
        </w:rPr>
        <w:t>a，</w:t>
      </w:r>
      <w:r>
        <w:rPr>
          <w:rFonts w:hint="eastAsia" w:ascii="黑体" w:hAnsi="黑体" w:eastAsia="黑体" w:cs="黑体"/>
          <w:color w:val="333333"/>
          <w:sz w:val="24"/>
          <w:szCs w:val="24"/>
          <w:shd w:val="clear" w:color="auto" w:fill="FFFFFF"/>
          <w:lang w:val="en-US" w:eastAsia="zh-CN"/>
        </w:rPr>
        <w:t>设计压力0.28MPa，安全阀整定压力 0.28MPa。压力表量程：0-0.4MPa，精度等级1.6级。</w:t>
      </w:r>
    </w:p>
    <w:p>
      <w:pPr>
        <w:spacing w:line="276" w:lineRule="auto"/>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rPr>
        <w:t>2.额定工作温度134℃</w:t>
      </w:r>
      <w:r>
        <w:rPr>
          <w:rFonts w:hint="eastAsia" w:ascii="黑体" w:hAnsi="黑体" w:eastAsia="黑体" w:cs="黑体"/>
          <w:color w:val="333333"/>
          <w:sz w:val="24"/>
          <w:szCs w:val="24"/>
          <w:shd w:val="clear" w:color="auto" w:fill="FFFFFF"/>
          <w:lang w:eastAsia="zh-CN"/>
        </w:rPr>
        <w:t>，</w:t>
      </w:r>
      <w:r>
        <w:rPr>
          <w:rFonts w:hint="eastAsia" w:ascii="黑体" w:hAnsi="黑体" w:eastAsia="黑体" w:cs="黑体"/>
          <w:color w:val="333333"/>
          <w:sz w:val="24"/>
          <w:szCs w:val="24"/>
          <w:shd w:val="clear" w:color="auto" w:fill="FFFFFF"/>
          <w:lang w:val="en-US" w:eastAsia="zh-CN"/>
        </w:rPr>
        <w:t xml:space="preserve">设计温度150℃ </w:t>
      </w:r>
    </w:p>
    <w:p>
      <w:pPr>
        <w:spacing w:line="276" w:lineRule="auto"/>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rPr>
        <w:t>3.使用温度105～136℃</w:t>
      </w:r>
      <w:r>
        <w:rPr>
          <w:rFonts w:hint="eastAsia" w:ascii="黑体" w:hAnsi="黑体" w:eastAsia="黑体" w:cs="黑体"/>
          <w:color w:val="333333"/>
          <w:sz w:val="24"/>
          <w:szCs w:val="24"/>
          <w:shd w:val="clear" w:color="auto" w:fill="FFFFFF"/>
          <w:lang w:eastAsia="zh-CN"/>
        </w:rPr>
        <w:t>，</w:t>
      </w:r>
      <w:r>
        <w:rPr>
          <w:rFonts w:hint="eastAsia" w:ascii="黑体" w:hAnsi="黑体" w:eastAsia="黑体" w:cs="黑体"/>
          <w:color w:val="333333"/>
          <w:sz w:val="24"/>
          <w:szCs w:val="24"/>
          <w:shd w:val="clear" w:color="auto" w:fill="FFFFFF"/>
          <w:lang w:val="en-US" w:eastAsia="zh-CN"/>
        </w:rPr>
        <w:t>灭菌时间0-999min</w:t>
      </w:r>
    </w:p>
    <w:p>
      <w:pPr>
        <w:spacing w:line="276" w:lineRule="auto"/>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lang w:val="en-US" w:eastAsia="zh-CN"/>
        </w:rPr>
        <w:t>保温温度45-60℃，保温时间0-99min</w:t>
      </w:r>
    </w:p>
    <w:p>
      <w:pPr>
        <w:spacing w:line="276" w:lineRule="auto"/>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lang w:val="en-US" w:eastAsia="zh-CN"/>
        </w:rPr>
        <w:t>具有快排和慢排两种排气方式</w:t>
      </w:r>
    </w:p>
    <w:p>
      <w:pPr>
        <w:spacing w:line="276" w:lineRule="auto"/>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4.</w:t>
      </w:r>
      <w:r>
        <w:rPr>
          <w:rFonts w:hint="eastAsia" w:ascii="黑体" w:hAnsi="黑体" w:eastAsia="黑体" w:cs="黑体"/>
          <w:sz w:val="24"/>
          <w:szCs w:val="24"/>
        </w:rPr>
        <w:t>可提供经国家食品药品监督管理局认可检验中心的检测报告。</w:t>
      </w:r>
    </w:p>
    <w:p>
      <w:pPr>
        <w:spacing w:line="276" w:lineRule="auto"/>
        <w:rPr>
          <w:rFonts w:hint="eastAsia"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rPr>
        <w:t>5.灭菌腔体、灭菌提篮均为优质不锈钢SUS304材质制成，内部抛光处理，</w:t>
      </w:r>
      <w:r>
        <w:rPr>
          <w:rFonts w:hint="eastAsia" w:ascii="黑体" w:hAnsi="黑体" w:eastAsia="黑体" w:cs="黑体"/>
          <w:color w:val="333333"/>
          <w:sz w:val="24"/>
          <w:szCs w:val="24"/>
          <w:shd w:val="clear" w:color="auto" w:fill="FFFFFF"/>
          <w:lang w:eastAsia="zh-CN"/>
        </w:rPr>
        <w:t>机器内置水箱，</w:t>
      </w:r>
      <w:r>
        <w:rPr>
          <w:rFonts w:hint="eastAsia" w:ascii="黑体" w:hAnsi="黑体" w:eastAsia="黑体" w:cs="黑体"/>
          <w:color w:val="333333"/>
          <w:sz w:val="24"/>
          <w:szCs w:val="24"/>
          <w:shd w:val="clear" w:color="auto" w:fill="FFFFFF"/>
        </w:rPr>
        <w:t>汽水内循环。</w:t>
      </w:r>
    </w:p>
    <w:p>
      <w:pPr>
        <w:pStyle w:val="54"/>
        <w:spacing w:line="276" w:lineRule="auto"/>
        <w:ind w:left="-374" w:leftChars="-170" w:firstLine="0" w:firstLineChars="0"/>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 xml:space="preserve">   6.手轮式平移门结构，并具有门安全联锁装置及门检测装置，有压力时门无法打开，门关闭不到位程序不能运行。</w:t>
      </w:r>
    </w:p>
    <w:p>
      <w:pPr>
        <w:pStyle w:val="54"/>
        <w:spacing w:line="276" w:lineRule="auto"/>
        <w:ind w:left="-374" w:leftChars="-170" w:firstLine="0" w:firstLineChars="0"/>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 xml:space="preserve">   7.具有防干烧报警、超压自泄、超温保护、电力安全保护，所有报警具有声光警示。</w:t>
      </w:r>
    </w:p>
    <w:p>
      <w:pPr>
        <w:pStyle w:val="54"/>
        <w:spacing w:line="276" w:lineRule="auto"/>
        <w:ind w:left="-374" w:leftChars="-170" w:firstLine="420" w:firstLineChars="0"/>
        <w:rPr>
          <w:rFonts w:hint="eastAsia"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rPr>
        <w:t>防干烧保护装置：水位过低时，系统自动切断加热电源</w:t>
      </w:r>
      <w:r>
        <w:rPr>
          <w:rFonts w:hint="eastAsia" w:ascii="黑体" w:hAnsi="黑体" w:eastAsia="黑体" w:cs="黑体"/>
          <w:color w:val="333333"/>
          <w:sz w:val="24"/>
          <w:szCs w:val="24"/>
          <w:shd w:val="clear" w:color="auto" w:fill="FFFFFF"/>
          <w:lang w:eastAsia="zh-CN"/>
        </w:rPr>
        <w:t>。</w:t>
      </w:r>
    </w:p>
    <w:p>
      <w:pPr>
        <w:pStyle w:val="54"/>
        <w:spacing w:line="276" w:lineRule="auto"/>
        <w:ind w:left="-374" w:leftChars="-170" w:firstLine="420" w:firstLineChars="0"/>
        <w:rPr>
          <w:rFonts w:hint="eastAsia"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水位检测报警功能：灭菌器内水位未达到规定水位，低水位报警，自动切断加热电源。</w:t>
      </w:r>
    </w:p>
    <w:p>
      <w:pPr>
        <w:pStyle w:val="54"/>
        <w:spacing w:line="276" w:lineRule="auto"/>
        <w:ind w:left="-374" w:leftChars="-170" w:firstLine="420" w:firstLineChars="0"/>
        <w:rPr>
          <w:rFonts w:hint="eastAsia"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过流保护装置：设备电流过载时，过流保护开关动作，系统自动切断电源。</w:t>
      </w:r>
    </w:p>
    <w:p>
      <w:pPr>
        <w:pStyle w:val="54"/>
        <w:spacing w:line="276" w:lineRule="auto"/>
        <w:ind w:left="-374" w:leftChars="-170" w:firstLine="420" w:firstLineChars="0"/>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lang w:val="en-US" w:eastAsia="zh-CN"/>
        </w:rPr>
        <w:t>8.采用重力置换和正压脉动排气方式，脉动次数0-9次。</w:t>
      </w:r>
    </w:p>
    <w:p>
      <w:pPr>
        <w:pStyle w:val="54"/>
        <w:spacing w:line="276" w:lineRule="auto"/>
        <w:ind w:left="-374" w:leftChars="-170" w:firstLine="420" w:firstLineChars="0"/>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lang w:val="en-US" w:eastAsia="zh-CN"/>
        </w:rPr>
        <w:t>9.蒸汽产生方式：主体内加热，直接产生饱和蒸汽，无需外接蒸汽源。</w:t>
      </w:r>
    </w:p>
    <w:p>
      <w:pPr>
        <w:pStyle w:val="54"/>
        <w:spacing w:line="276" w:lineRule="auto"/>
        <w:ind w:left="-374" w:leftChars="-170" w:firstLine="420" w:firstLineChars="0"/>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lang w:val="en-US" w:eastAsia="zh-CN"/>
        </w:rPr>
        <w:t>10.门罩采用玻璃钢高效隔热材料。</w:t>
      </w:r>
    </w:p>
    <w:p>
      <w:pPr>
        <w:pStyle w:val="54"/>
        <w:spacing w:line="276" w:lineRule="auto"/>
        <w:ind w:left="-374" w:leftChars="-170" w:firstLine="420" w:firstLineChars="0"/>
        <w:rPr>
          <w:rFonts w:hint="eastAsia" w:ascii="黑体" w:hAnsi="黑体" w:eastAsia="黑体" w:cs="黑体"/>
          <w:color w:val="333333"/>
          <w:sz w:val="24"/>
          <w:szCs w:val="24"/>
          <w:shd w:val="clear" w:color="auto" w:fill="FFFFFF"/>
          <w:lang w:val="en-US" w:eastAsia="zh-CN"/>
        </w:rPr>
      </w:pPr>
      <w:r>
        <w:rPr>
          <w:rFonts w:hint="eastAsia" w:ascii="黑体" w:hAnsi="黑体" w:eastAsia="黑体" w:cs="黑体"/>
          <w:color w:val="333333"/>
          <w:sz w:val="24"/>
          <w:szCs w:val="24"/>
          <w:shd w:val="clear" w:color="auto" w:fill="FFFFFF"/>
          <w:lang w:val="en-US" w:eastAsia="zh-CN"/>
        </w:rPr>
        <w:t>11.测试接口为G1/2A接口。</w:t>
      </w:r>
    </w:p>
    <w:p>
      <w:pPr>
        <w:pStyle w:val="54"/>
        <w:spacing w:line="276" w:lineRule="auto"/>
        <w:ind w:firstLine="0" w:firstLineChars="0"/>
        <w:rPr>
          <w:rFonts w:hint="eastAsia" w:ascii="黑体" w:hAnsi="黑体" w:eastAsia="黑体" w:cs="黑体"/>
          <w:sz w:val="24"/>
          <w:szCs w:val="24"/>
        </w:rPr>
      </w:pPr>
      <w:r>
        <w:rPr>
          <w:rFonts w:hint="eastAsia" w:ascii="黑体" w:hAnsi="黑体" w:eastAsia="黑体" w:cs="黑体"/>
          <w:color w:val="333333"/>
          <w:sz w:val="24"/>
          <w:szCs w:val="24"/>
          <w:shd w:val="clear" w:color="auto" w:fill="FFFFFF"/>
          <w:lang w:val="en-US" w:eastAsia="zh-CN"/>
        </w:rPr>
        <w:t>12</w:t>
      </w:r>
      <w:r>
        <w:rPr>
          <w:rFonts w:hint="eastAsia" w:ascii="黑体" w:hAnsi="黑体" w:eastAsia="黑体" w:cs="黑体"/>
          <w:color w:val="333333"/>
          <w:sz w:val="24"/>
          <w:szCs w:val="24"/>
          <w:shd w:val="clear" w:color="auto" w:fill="FFFFFF"/>
        </w:rPr>
        <w:t>.</w:t>
      </w:r>
      <w:r>
        <w:rPr>
          <w:rFonts w:hint="eastAsia" w:ascii="黑体" w:hAnsi="黑体" w:eastAsia="黑体" w:cs="黑体"/>
          <w:sz w:val="24"/>
          <w:szCs w:val="24"/>
        </w:rPr>
        <w:t>LED数字显示灭菌腔内温度、时间和故障报警代码。</w:t>
      </w:r>
      <w:r>
        <w:rPr>
          <w:rFonts w:hint="eastAsia" w:ascii="黑体" w:hAnsi="黑体" w:eastAsia="黑体" w:cs="黑体"/>
          <w:sz w:val="24"/>
          <w:szCs w:val="24"/>
          <w:lang w:val="en-US" w:eastAsia="zh-CN"/>
        </w:rPr>
        <w:t>温度显示精度0.1℃。</w:t>
      </w:r>
    </w:p>
    <w:p>
      <w:pPr>
        <w:pStyle w:val="54"/>
        <w:spacing w:line="276" w:lineRule="auto"/>
        <w:ind w:firstLine="0" w:firstLineChars="0"/>
        <w:rPr>
          <w:rFonts w:hint="eastAsia" w:ascii="黑体" w:hAnsi="黑体" w:eastAsia="黑体" w:cs="黑体"/>
          <w:sz w:val="24"/>
          <w:szCs w:val="24"/>
        </w:rPr>
      </w:pPr>
      <w:r>
        <w:rPr>
          <w:rFonts w:hint="eastAsia" w:ascii="黑体" w:hAnsi="黑体" w:eastAsia="黑体" w:cs="黑体"/>
          <w:sz w:val="24"/>
          <w:szCs w:val="24"/>
          <w:lang w:val="en-US" w:eastAsia="zh-CN"/>
        </w:rPr>
        <w:t>13</w:t>
      </w:r>
      <w:r>
        <w:rPr>
          <w:rFonts w:hint="eastAsia" w:ascii="黑体" w:hAnsi="黑体" w:eastAsia="黑体" w:cs="黑体"/>
          <w:sz w:val="24"/>
          <w:szCs w:val="24"/>
        </w:rPr>
        <w:t>.自胀式硅橡胶密封圈，密封效果好，使用寿命长。</w:t>
      </w:r>
    </w:p>
    <w:p>
      <w:pPr>
        <w:pStyle w:val="54"/>
        <w:spacing w:line="276" w:lineRule="auto"/>
        <w:ind w:left="-374" w:leftChars="-170" w:firstLine="0" w:firstLineChars="0"/>
        <w:rPr>
          <w:rFonts w:hint="eastAsia" w:ascii="黑体" w:hAnsi="黑体" w:eastAsia="黑体" w:cs="黑体"/>
          <w:sz w:val="24"/>
          <w:szCs w:val="24"/>
        </w:rPr>
      </w:pPr>
      <w:r>
        <w:rPr>
          <w:rFonts w:hint="eastAsia" w:ascii="黑体" w:hAnsi="黑体" w:eastAsia="黑体" w:cs="黑体"/>
          <w:color w:val="333333"/>
          <w:sz w:val="24"/>
          <w:szCs w:val="24"/>
          <w:shd w:val="clear" w:color="auto" w:fill="FFFFFF"/>
        </w:rPr>
        <w:t xml:space="preserve">  1</w:t>
      </w:r>
      <w:r>
        <w:rPr>
          <w:rFonts w:hint="eastAsia" w:ascii="黑体" w:hAnsi="黑体" w:eastAsia="黑体" w:cs="黑体"/>
          <w:color w:val="333333"/>
          <w:sz w:val="24"/>
          <w:szCs w:val="24"/>
          <w:shd w:val="clear" w:color="auto" w:fill="FFFFFF"/>
          <w:lang w:val="en-US" w:eastAsia="zh-CN"/>
        </w:rPr>
        <w:t>4</w:t>
      </w:r>
      <w:r>
        <w:rPr>
          <w:rFonts w:hint="eastAsia" w:ascii="黑体" w:hAnsi="黑体" w:eastAsia="黑体" w:cs="黑体"/>
          <w:color w:val="333333"/>
          <w:sz w:val="24"/>
          <w:szCs w:val="24"/>
          <w:shd w:val="clear" w:color="auto" w:fill="FFFFFF"/>
        </w:rPr>
        <w:t>.</w:t>
      </w:r>
      <w:r>
        <w:rPr>
          <w:rFonts w:hint="eastAsia" w:ascii="黑体" w:hAnsi="黑体" w:eastAsia="黑体" w:cs="黑体"/>
          <w:sz w:val="24"/>
          <w:szCs w:val="24"/>
        </w:rPr>
        <w:t>电磁阀使用</w:t>
      </w:r>
      <w:r>
        <w:rPr>
          <w:rFonts w:hint="eastAsia" w:ascii="黑体" w:hAnsi="黑体" w:eastAsia="黑体" w:cs="黑体"/>
          <w:sz w:val="24"/>
          <w:szCs w:val="24"/>
          <w:lang w:val="en-US" w:eastAsia="zh-CN"/>
        </w:rPr>
        <w:t>国际知名</w:t>
      </w:r>
      <w:r>
        <w:rPr>
          <w:rFonts w:hint="eastAsia" w:ascii="黑体" w:hAnsi="黑体" w:eastAsia="黑体" w:cs="黑体"/>
          <w:sz w:val="24"/>
          <w:szCs w:val="24"/>
        </w:rPr>
        <w:t>品牌，压力表、安全阀均按照国家标准提供编号、铭牌、合格证等强制性资料。</w:t>
      </w:r>
    </w:p>
    <w:p>
      <w:pPr>
        <w:pStyle w:val="54"/>
        <w:spacing w:line="276" w:lineRule="auto"/>
        <w:ind w:left="-374" w:leftChars="-170" w:firstLine="0" w:firstLineChars="0"/>
        <w:rPr>
          <w:rFonts w:hint="eastAsia" w:ascii="黑体" w:hAnsi="黑体" w:eastAsia="黑体" w:cs="黑体"/>
          <w:sz w:val="24"/>
          <w:szCs w:val="24"/>
        </w:rPr>
      </w:pPr>
      <w:r>
        <w:rPr>
          <w:rFonts w:hint="eastAsia" w:ascii="黑体" w:hAnsi="黑体" w:eastAsia="黑体" w:cs="黑体"/>
          <w:color w:val="333333"/>
          <w:sz w:val="24"/>
          <w:szCs w:val="24"/>
          <w:shd w:val="clear" w:color="auto" w:fill="FFFFFF"/>
        </w:rPr>
        <w:t xml:space="preserve">  1</w:t>
      </w:r>
      <w:r>
        <w:rPr>
          <w:rFonts w:hint="eastAsia" w:ascii="黑体" w:hAnsi="黑体" w:eastAsia="黑体" w:cs="黑体"/>
          <w:color w:val="333333"/>
          <w:sz w:val="24"/>
          <w:szCs w:val="24"/>
          <w:shd w:val="clear" w:color="auto" w:fill="FFFFFF"/>
          <w:lang w:val="en-US" w:eastAsia="zh-CN"/>
        </w:rPr>
        <w:t>5</w:t>
      </w:r>
      <w:r>
        <w:rPr>
          <w:rFonts w:hint="eastAsia" w:ascii="黑体" w:hAnsi="黑体" w:eastAsia="黑体" w:cs="黑体"/>
          <w:color w:val="333333"/>
          <w:sz w:val="24"/>
          <w:szCs w:val="24"/>
          <w:shd w:val="clear" w:color="auto" w:fill="FFFFFF"/>
        </w:rPr>
        <w:t>.</w:t>
      </w:r>
      <w:r>
        <w:rPr>
          <w:rFonts w:hint="eastAsia" w:ascii="黑体" w:hAnsi="黑体" w:eastAsia="黑体" w:cs="黑体"/>
          <w:sz w:val="24"/>
          <w:szCs w:val="24"/>
        </w:rPr>
        <w:t>微电脑控制，具有器械、敷料、液体等五项固定程序，两项自定义程序，并具有干燥功能。</w:t>
      </w:r>
    </w:p>
    <w:p>
      <w:pPr>
        <w:pStyle w:val="54"/>
        <w:spacing w:line="276" w:lineRule="auto"/>
        <w:ind w:left="-374" w:leftChars="-170" w:firstLine="0" w:firstLineChars="0"/>
        <w:rPr>
          <w:rFonts w:hint="eastAsia" w:ascii="黑体" w:hAnsi="黑体" w:eastAsia="黑体" w:cs="黑体"/>
          <w:sz w:val="24"/>
          <w:szCs w:val="24"/>
        </w:rPr>
      </w:pPr>
      <w:r>
        <w:rPr>
          <w:rFonts w:hint="eastAsia" w:ascii="黑体" w:hAnsi="黑体" w:eastAsia="黑体" w:cs="黑体"/>
          <w:sz w:val="24"/>
          <w:szCs w:val="24"/>
        </w:rPr>
        <w:t xml:space="preserve">  1</w:t>
      </w:r>
      <w:r>
        <w:rPr>
          <w:rFonts w:hint="eastAsia" w:ascii="黑体" w:hAnsi="黑体" w:eastAsia="黑体" w:cs="黑体"/>
          <w:sz w:val="24"/>
          <w:szCs w:val="24"/>
          <w:lang w:val="en-US" w:eastAsia="zh-CN"/>
        </w:rPr>
        <w:t>6</w:t>
      </w:r>
      <w:r>
        <w:rPr>
          <w:rFonts w:hint="eastAsia" w:ascii="黑体" w:hAnsi="黑体" w:eastAsia="黑体" w:cs="黑体"/>
          <w:sz w:val="24"/>
          <w:szCs w:val="24"/>
        </w:rPr>
        <w:t>.设备注水、升温、灭菌、排气、干燥整个流程全自动运行，灭菌完成后声光提醒。</w:t>
      </w:r>
    </w:p>
    <w:p>
      <w:pPr>
        <w:pStyle w:val="54"/>
        <w:spacing w:line="276" w:lineRule="auto"/>
        <w:ind w:left="-374" w:leftChars="-170" w:firstLine="0" w:firstLineChars="0"/>
        <w:rPr>
          <w:rFonts w:hint="eastAsia" w:ascii="黑体" w:hAnsi="黑体" w:eastAsia="黑体" w:cs="黑体"/>
          <w:color w:val="333333"/>
          <w:sz w:val="24"/>
          <w:szCs w:val="24"/>
          <w:shd w:val="clear" w:color="auto" w:fill="FFFFFF"/>
        </w:rPr>
      </w:pPr>
      <w:r>
        <w:rPr>
          <w:rFonts w:hint="eastAsia" w:ascii="黑体" w:hAnsi="黑体" w:eastAsia="黑体" w:cs="黑体"/>
          <w:sz w:val="24"/>
          <w:szCs w:val="24"/>
        </w:rPr>
        <w:t xml:space="preserve">  1</w:t>
      </w:r>
      <w:r>
        <w:rPr>
          <w:rFonts w:hint="eastAsia" w:ascii="黑体" w:hAnsi="黑体" w:eastAsia="黑体" w:cs="黑体"/>
          <w:sz w:val="24"/>
          <w:szCs w:val="24"/>
          <w:lang w:val="en-US" w:eastAsia="zh-CN"/>
        </w:rPr>
        <w:t>7</w:t>
      </w:r>
      <w:r>
        <w:rPr>
          <w:rFonts w:hint="eastAsia" w:ascii="黑体" w:hAnsi="黑体" w:eastAsia="黑体" w:cs="黑体"/>
          <w:sz w:val="24"/>
          <w:szCs w:val="24"/>
        </w:rPr>
        <w:t>.</w:t>
      </w:r>
      <w:r>
        <w:rPr>
          <w:rFonts w:hint="eastAsia" w:ascii="黑体" w:hAnsi="黑体" w:eastAsia="黑体" w:cs="黑体"/>
          <w:color w:val="333333"/>
          <w:sz w:val="24"/>
          <w:szCs w:val="24"/>
          <w:shd w:val="clear" w:color="auto" w:fill="FFFFFF"/>
        </w:rPr>
        <w:t>灭菌腔体温度均匀性：≤2℃，干燥温度范围：50~120℃。</w:t>
      </w:r>
    </w:p>
    <w:p>
      <w:pPr>
        <w:pStyle w:val="54"/>
        <w:spacing w:line="276" w:lineRule="auto"/>
        <w:ind w:left="-374" w:leftChars="-170" w:firstLine="0" w:firstLineChars="0"/>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 xml:space="preserve">  1</w:t>
      </w:r>
      <w:r>
        <w:rPr>
          <w:rFonts w:hint="eastAsia" w:ascii="黑体" w:hAnsi="黑体" w:eastAsia="黑体" w:cs="黑体"/>
          <w:color w:val="333333"/>
          <w:sz w:val="24"/>
          <w:szCs w:val="24"/>
          <w:shd w:val="clear" w:color="auto" w:fill="FFFFFF"/>
          <w:lang w:val="en-US" w:eastAsia="zh-CN"/>
        </w:rPr>
        <w:t>8</w:t>
      </w:r>
      <w:r>
        <w:rPr>
          <w:rFonts w:hint="eastAsia" w:ascii="黑体" w:hAnsi="黑体" w:eastAsia="黑体" w:cs="黑体"/>
          <w:color w:val="333333"/>
          <w:sz w:val="24"/>
          <w:szCs w:val="24"/>
          <w:shd w:val="clear" w:color="auto" w:fill="FFFFFF"/>
        </w:rPr>
        <w:t>.脉动排气技术，确保蒸汽饱和度。</w:t>
      </w:r>
    </w:p>
    <w:p>
      <w:pPr>
        <w:pStyle w:val="54"/>
        <w:spacing w:line="276" w:lineRule="auto"/>
        <w:ind w:left="-374" w:leftChars="-170" w:firstLine="0" w:firstLineChars="0"/>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 xml:space="preserve">  1</w:t>
      </w:r>
      <w:r>
        <w:rPr>
          <w:rFonts w:hint="eastAsia" w:ascii="黑体" w:hAnsi="黑体" w:eastAsia="黑体" w:cs="黑体"/>
          <w:color w:val="333333"/>
          <w:sz w:val="24"/>
          <w:szCs w:val="24"/>
          <w:shd w:val="clear" w:color="auto" w:fill="FFFFFF"/>
          <w:lang w:val="en-US" w:eastAsia="zh-CN"/>
        </w:rPr>
        <w:t>9</w:t>
      </w:r>
      <w:r>
        <w:rPr>
          <w:rFonts w:hint="eastAsia" w:ascii="黑体" w:hAnsi="黑体" w:eastAsia="黑体" w:cs="黑体"/>
          <w:color w:val="333333"/>
          <w:sz w:val="24"/>
          <w:szCs w:val="24"/>
          <w:shd w:val="clear" w:color="auto" w:fill="FFFFFF"/>
        </w:rPr>
        <w:t>.全防护式门罩，铰链、转轴均不外露。</w:t>
      </w:r>
    </w:p>
    <w:p>
      <w:pPr>
        <w:pStyle w:val="54"/>
        <w:spacing w:line="276" w:lineRule="auto"/>
        <w:ind w:left="-374" w:leftChars="-170" w:firstLine="0" w:firstLineChars="0"/>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 xml:space="preserve">  </w:t>
      </w:r>
      <w:r>
        <w:rPr>
          <w:rFonts w:hint="eastAsia" w:ascii="黑体" w:hAnsi="黑体" w:eastAsia="黑体" w:cs="黑体"/>
          <w:color w:val="333333"/>
          <w:sz w:val="24"/>
          <w:szCs w:val="24"/>
          <w:shd w:val="clear" w:color="auto" w:fill="FFFFFF"/>
          <w:lang w:val="en-US" w:eastAsia="zh-CN"/>
        </w:rPr>
        <w:t>20</w:t>
      </w:r>
      <w:r>
        <w:rPr>
          <w:rFonts w:hint="eastAsia" w:ascii="黑体" w:hAnsi="黑体" w:eastAsia="黑体" w:cs="黑体"/>
          <w:color w:val="333333"/>
          <w:sz w:val="24"/>
          <w:szCs w:val="24"/>
          <w:shd w:val="clear" w:color="auto" w:fill="FFFFFF"/>
        </w:rPr>
        <w:t>.具有快速排气和慢速排气功能，避免灭菌液体溢出</w:t>
      </w:r>
      <w:r>
        <w:rPr>
          <w:rFonts w:hint="eastAsia" w:ascii="黑体" w:hAnsi="黑体" w:eastAsia="黑体" w:cs="黑体"/>
          <w:color w:val="333333"/>
          <w:sz w:val="24"/>
          <w:szCs w:val="24"/>
          <w:shd w:val="clear" w:color="auto" w:fill="FFFFFF"/>
          <w:lang w:eastAsia="zh-CN"/>
        </w:rPr>
        <w:t>，</w:t>
      </w:r>
      <w:r>
        <w:rPr>
          <w:rFonts w:hint="eastAsia" w:ascii="黑体" w:hAnsi="黑体" w:eastAsia="黑体" w:cs="黑体"/>
          <w:color w:val="333333"/>
          <w:sz w:val="24"/>
          <w:szCs w:val="24"/>
          <w:shd w:val="clear" w:color="auto" w:fill="FFFFFF"/>
          <w:lang w:val="en-US" w:eastAsia="zh-CN"/>
        </w:rPr>
        <w:t>慢排采用316慢排螺钉耐腐蚀性能优良</w:t>
      </w:r>
      <w:r>
        <w:rPr>
          <w:rFonts w:hint="eastAsia" w:ascii="黑体" w:hAnsi="黑体" w:eastAsia="黑体" w:cs="黑体"/>
          <w:color w:val="333333"/>
          <w:sz w:val="24"/>
          <w:szCs w:val="24"/>
          <w:shd w:val="clear" w:color="auto" w:fill="FFFFFF"/>
        </w:rPr>
        <w:t>。</w:t>
      </w:r>
    </w:p>
    <w:p>
      <w:pPr>
        <w:pStyle w:val="54"/>
        <w:spacing w:line="276" w:lineRule="auto"/>
        <w:ind w:left="-374" w:leftChars="-170" w:firstLine="0" w:firstLineChars="0"/>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 xml:space="preserve">  </w:t>
      </w:r>
      <w:r>
        <w:rPr>
          <w:rFonts w:hint="eastAsia" w:ascii="黑体" w:hAnsi="黑体" w:eastAsia="黑体" w:cs="黑体"/>
          <w:color w:val="333333"/>
          <w:sz w:val="24"/>
          <w:szCs w:val="24"/>
          <w:shd w:val="clear" w:color="auto" w:fill="FFFFFF"/>
          <w:lang w:val="en-US" w:eastAsia="zh-CN"/>
        </w:rPr>
        <w:t>21</w:t>
      </w:r>
      <w:r>
        <w:rPr>
          <w:rFonts w:hint="eastAsia" w:ascii="黑体" w:hAnsi="黑体" w:eastAsia="黑体" w:cs="黑体"/>
          <w:color w:val="333333"/>
          <w:sz w:val="24"/>
          <w:szCs w:val="24"/>
          <w:shd w:val="clear" w:color="auto" w:fill="FFFFFF"/>
        </w:rPr>
        <w:t>.具有快速维修窗口，电气部分维护无需拆解外罩。</w:t>
      </w:r>
    </w:p>
    <w:p>
      <w:pPr>
        <w:pStyle w:val="54"/>
        <w:spacing w:line="276" w:lineRule="auto"/>
        <w:ind w:left="-374" w:leftChars="-170" w:firstLine="240" w:firstLineChars="100"/>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lang w:val="en-US" w:eastAsia="zh-CN"/>
        </w:rPr>
        <w:t>22</w:t>
      </w:r>
      <w:r>
        <w:rPr>
          <w:rFonts w:hint="eastAsia" w:ascii="黑体" w:hAnsi="黑体" w:eastAsia="黑体" w:cs="黑体"/>
          <w:color w:val="333333"/>
          <w:sz w:val="24"/>
          <w:szCs w:val="24"/>
          <w:shd w:val="clear" w:color="auto" w:fill="FFFFFF"/>
        </w:rPr>
        <w:t>.</w:t>
      </w:r>
      <w:r>
        <w:rPr>
          <w:rFonts w:hint="eastAsia" w:ascii="黑体" w:hAnsi="黑体" w:eastAsia="黑体" w:cs="黑体"/>
          <w:color w:val="333333"/>
          <w:sz w:val="24"/>
          <w:szCs w:val="24"/>
          <w:shd w:val="clear" w:color="auto" w:fill="FFFFFF"/>
          <w:lang w:val="en-US" w:eastAsia="zh-CN"/>
        </w:rPr>
        <w:t>防水型门检测开关，部件性能更加可靠稳定。</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多用途恒温箱（干式恒温箱  性能参数</w:t>
      </w:r>
    </w:p>
    <w:p>
      <w:pPr>
        <w:rPr>
          <w:rFonts w:hint="eastAsia" w:ascii="黑体" w:hAnsi="黑体" w:eastAsia="黑体" w:cs="黑体"/>
          <w:sz w:val="24"/>
          <w:szCs w:val="24"/>
          <w:lang w:val="en-US" w:eastAsia="zh-CN"/>
        </w:rPr>
      </w:pP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产品形式：立式</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冷却/加热方式：风冷+发热丝</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噪    音：≤50dB(a)</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功    率：200W</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电    源：AC220V，50Hz</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温度范围：0-100℃</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有效容积：≥430L</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温度显示：LCD数字式</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外门锁扣：有</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1、产品结构为立式箱体。主体分为四部分：电气控制系统，制冷系统、加热系统、显示系统。</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2、箱门内侧门胆采用凹凸型结构设计，增加了箱门的保温性能，门上装有大视野三层钢化玻璃观察窗，便于随时观察箱体内物品。</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3、门与箱体密闭处采用耐高温、抗老化性好的纳米材料门封条，有效的防止热量损失,并可以延长加热元件寿命,有效保证工作室的密封性。</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4、箱体内部采用高密度聚氨酯整体发泡，保温层厚度合理设计，使设备在高温运行时热量不外传，保温效果好。</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5、自动化霜功能，适合高温高湿地区，外门防凝露的应用，85%湿度无凝露。</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6、微电脑程序控制温度，LCD数码显示、无须按键输入，屏幕直接触摸选项，可随意设定所需温度，数字式显示，读数极为方便，控温精度高。</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7、完善的报警系统，可实现高低温报警系统、断电报警、传感器故障报警保证安全运行防止发生意外</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8、采用新型风道设计和循环系统设计，气流方向更加科学合理，使工作室内温度均匀恒温。采用高性能电机及风叶，具有空气对流微风装置，内腔空气可以更新循环。制冷系统与制热系统匹配合理，降温或加热速度快，设定的温度在短时间里，即可达到设置温度要求、温度度高。</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9、采用新型全封闭压缩机，运转平衡，噪音低，使用寿命长。</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10、 此产品可做嵌入式恒温加热设备，可将产品直接嵌入在壁橱或墙壁中，不占用多余空间。</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11、箱体外壳均采用优良A3钢板数控机床加工成型,外壳表面进行防静电\防腐化喷塑处理,增加了外观质感和洁净度。</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12、箱体采用双重安全锁设计，可实现双人双管，保证物品安全，</w:t>
      </w:r>
    </w:p>
    <w:p>
      <w:pPr>
        <w:rPr>
          <w:rFonts w:hint="eastAsia" w:ascii="黑体" w:hAnsi="Arial" w:eastAsia="黑体"/>
          <w:sz w:val="36"/>
          <w:szCs w:val="36"/>
        </w:rPr>
      </w:pPr>
      <w:r>
        <w:rPr>
          <w:rFonts w:hint="eastAsia" w:ascii="黑体" w:hAnsi="黑体" w:eastAsia="黑体" w:cs="黑体"/>
          <w:sz w:val="24"/>
          <w:szCs w:val="24"/>
          <w:lang w:val="en-US" w:eastAsia="zh-CN"/>
        </w:rPr>
        <w:t>13、机器底部采用高可固定式PU万向轮。</w:t>
      </w:r>
    </w:p>
    <w:p>
      <w:pPr>
        <w:jc w:val="center"/>
        <w:rPr>
          <w:rFonts w:hint="eastAsia" w:ascii="黑体" w:hAnsi="Arial" w:eastAsia="黑体"/>
          <w:b/>
          <w:bCs/>
          <w:sz w:val="36"/>
          <w:szCs w:val="36"/>
        </w:rPr>
      </w:pPr>
      <w:r>
        <w:rPr>
          <w:rFonts w:hint="eastAsia" w:ascii="黑体" w:hAnsi="Arial" w:eastAsia="黑体"/>
          <w:b/>
          <w:bCs/>
          <w:sz w:val="36"/>
          <w:szCs w:val="36"/>
        </w:rPr>
        <w:t>实时荧光定量PCR仪技术参数表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260"/>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728" w:type="dxa"/>
            <w:noWrap w:val="0"/>
            <w:vAlign w:val="center"/>
          </w:tcPr>
          <w:p>
            <w:pPr>
              <w:rPr>
                <w:rFonts w:hint="eastAsia" w:ascii="黑体" w:hAnsi="黑体" w:eastAsia="黑体" w:cs="黑体"/>
                <w:sz w:val="24"/>
                <w:szCs w:val="28"/>
              </w:rPr>
            </w:pPr>
            <w:r>
              <w:rPr>
                <w:rFonts w:hint="eastAsia" w:ascii="黑体" w:hAnsi="黑体" w:eastAsia="黑体" w:cs="黑体"/>
                <w:sz w:val="24"/>
                <w:szCs w:val="28"/>
              </w:rPr>
              <w:t>技术参数名称</w:t>
            </w:r>
          </w:p>
        </w:tc>
        <w:tc>
          <w:tcPr>
            <w:tcW w:w="3260" w:type="dxa"/>
            <w:noWrap w:val="0"/>
            <w:vAlign w:val="center"/>
          </w:tcPr>
          <w:p>
            <w:pPr>
              <w:jc w:val="both"/>
              <w:rPr>
                <w:rFonts w:hint="eastAsia" w:ascii="黑体" w:hAnsi="黑体" w:eastAsia="黑体" w:cs="黑体"/>
                <w:sz w:val="24"/>
                <w:szCs w:val="24"/>
              </w:rPr>
            </w:pPr>
            <w:r>
              <w:rPr>
                <w:rFonts w:hint="eastAsia" w:ascii="黑体" w:hAnsi="黑体" w:eastAsia="黑体" w:cs="黑体"/>
                <w:sz w:val="24"/>
                <w:szCs w:val="24"/>
              </w:rPr>
              <w:t>实时荧光定量PCR</w:t>
            </w:r>
          </w:p>
          <w:p>
            <w:pPr>
              <w:jc w:val="center"/>
              <w:rPr>
                <w:rFonts w:hint="eastAsia" w:ascii="黑体" w:hAnsi="黑体" w:eastAsia="黑体" w:cs="黑体"/>
                <w:sz w:val="24"/>
                <w:szCs w:val="24"/>
              </w:rPr>
            </w:pPr>
            <w:r>
              <w:rPr>
                <w:rFonts w:hint="eastAsia" w:ascii="黑体" w:hAnsi="黑体" w:eastAsia="黑体" w:cs="黑体"/>
                <w:sz w:val="24"/>
                <w:szCs w:val="24"/>
              </w:rPr>
              <w:t>检测系统主要技术参数</w:t>
            </w:r>
          </w:p>
        </w:tc>
        <w:tc>
          <w:tcPr>
            <w:tcW w:w="3937"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激发光源</w:t>
            </w:r>
          </w:p>
        </w:tc>
        <w:tc>
          <w:tcPr>
            <w:tcW w:w="3260" w:type="dxa"/>
            <w:noWrap w:val="0"/>
            <w:vAlign w:val="center"/>
          </w:tcPr>
          <w:p>
            <w:pPr>
              <w:rPr>
                <w:rFonts w:hint="eastAsia" w:ascii="黑体" w:hAnsi="黑体" w:eastAsia="黑体" w:cs="黑体"/>
                <w:sz w:val="24"/>
                <w:szCs w:val="24"/>
              </w:rPr>
            </w:pPr>
            <w:r>
              <w:rPr>
                <w:rFonts w:hint="eastAsia" w:ascii="黑体" w:hAnsi="黑体" w:eastAsia="黑体" w:cs="黑体"/>
                <w:sz w:val="24"/>
                <w:szCs w:val="24"/>
              </w:rPr>
              <w:t xml:space="preserve">    大功率LED光源</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冷光源，10万小时免维护,比同类仪器LED光源灵敏度更高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检测器</w:t>
            </w:r>
          </w:p>
        </w:tc>
        <w:tc>
          <w:tcPr>
            <w:tcW w:w="3260"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高灵敏度光电传感器</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灵敏度比CCD探测器高10倍，无孔间的边缘干扰影响。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宋体" w:hAnsi="宋体" w:cs="宋体"/>
                <w:szCs w:val="21"/>
              </w:rPr>
              <w:t>▲</w:t>
            </w:r>
            <w:r>
              <w:rPr>
                <w:rFonts w:hint="eastAsia" w:ascii="黑体" w:hAnsi="黑体" w:eastAsia="黑体" w:cs="黑体"/>
                <w:b/>
                <w:color w:val="000000"/>
                <w:sz w:val="24"/>
                <w:szCs w:val="28"/>
              </w:rPr>
              <w:t>样本容量</w:t>
            </w:r>
          </w:p>
        </w:tc>
        <w:tc>
          <w:tcPr>
            <w:tcW w:w="3260" w:type="dxa"/>
            <w:noWrap w:val="0"/>
            <w:vAlign w:val="center"/>
          </w:tcPr>
          <w:p>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96孔</w:t>
            </w:r>
          </w:p>
          <w:p>
            <w:pPr>
              <w:jc w:val="center"/>
              <w:rPr>
                <w:rFonts w:hint="eastAsia" w:ascii="黑体" w:hAnsi="黑体" w:eastAsia="黑体" w:cs="黑体"/>
                <w:color w:val="000000"/>
                <w:sz w:val="24"/>
                <w:szCs w:val="24"/>
              </w:rPr>
            </w:pPr>
          </w:p>
        </w:tc>
        <w:tc>
          <w:tcPr>
            <w:tcW w:w="3937" w:type="dxa"/>
            <w:noWrap w:val="0"/>
            <w:vAlign w:val="center"/>
          </w:tcPr>
          <w:p>
            <w:pPr>
              <w:snapToGrid w:val="0"/>
              <w:rPr>
                <w:rFonts w:hint="eastAsia" w:ascii="黑体" w:hAnsi="黑体" w:eastAsia="黑体" w:cs="黑体"/>
                <w:bCs/>
                <w:color w:val="000000"/>
                <w:sz w:val="24"/>
                <w:szCs w:val="24"/>
              </w:rPr>
            </w:pPr>
            <w:r>
              <w:rPr>
                <w:rFonts w:hint="eastAsia" w:ascii="黑体" w:hAnsi="黑体" w:eastAsia="黑体" w:cs="黑体"/>
                <w:bCs/>
                <w:color w:val="000000"/>
                <w:sz w:val="24"/>
                <w:szCs w:val="24"/>
              </w:rPr>
              <w:t>同时运行两个不同的反应程序，具有两台荧光PCR仪器的功能(如:DNA和RNA反应程序同时运行)，运行同一个程序时，是一台96*0.2ml的荧光PCR仪，灵活应用，是目前唯一的双反应模块仪器。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荧光检测波长</w:t>
            </w:r>
          </w:p>
          <w:p>
            <w:pPr>
              <w:rPr>
                <w:rFonts w:hint="eastAsia" w:ascii="黑体" w:hAnsi="黑体" w:eastAsia="黑体" w:cs="黑体"/>
                <w:b/>
                <w:color w:val="000000"/>
                <w:sz w:val="24"/>
                <w:szCs w:val="28"/>
              </w:rPr>
            </w:pPr>
          </w:p>
        </w:tc>
        <w:tc>
          <w:tcPr>
            <w:tcW w:w="3260" w:type="dxa"/>
            <w:noWrap w:val="0"/>
            <w:vAlign w:val="center"/>
          </w:tcPr>
          <w:p>
            <w:pPr>
              <w:snapToGrid w:val="0"/>
              <w:rPr>
                <w:rFonts w:hint="eastAsia" w:ascii="黑体" w:hAnsi="黑体" w:eastAsia="黑体" w:cs="黑体"/>
                <w:color w:val="000000"/>
                <w:sz w:val="24"/>
                <w:szCs w:val="24"/>
              </w:rPr>
            </w:pPr>
            <w:r>
              <w:rPr>
                <w:rFonts w:hint="eastAsia" w:ascii="黑体" w:hAnsi="黑体" w:eastAsia="黑体" w:cs="黑体"/>
                <w:color w:val="000000"/>
                <w:sz w:val="24"/>
                <w:szCs w:val="24"/>
              </w:rPr>
              <w:t>通道1:470nm-510nm</w:t>
            </w:r>
          </w:p>
          <w:p>
            <w:pPr>
              <w:snapToGrid w:val="0"/>
              <w:rPr>
                <w:rFonts w:hint="eastAsia" w:ascii="黑体" w:hAnsi="黑体" w:eastAsia="黑体" w:cs="黑体"/>
                <w:color w:val="000000"/>
                <w:sz w:val="24"/>
                <w:szCs w:val="24"/>
              </w:rPr>
            </w:pPr>
            <w:r>
              <w:rPr>
                <w:rFonts w:hint="eastAsia" w:ascii="黑体" w:hAnsi="黑体" w:eastAsia="黑体" w:cs="黑体"/>
                <w:color w:val="000000"/>
                <w:sz w:val="24"/>
                <w:szCs w:val="24"/>
              </w:rPr>
              <w:t>通道2:530nm-565nm</w:t>
            </w:r>
          </w:p>
          <w:p>
            <w:pPr>
              <w:snapToGrid w:val="0"/>
              <w:rPr>
                <w:rFonts w:hint="eastAsia" w:ascii="黑体" w:hAnsi="黑体" w:eastAsia="黑体" w:cs="黑体"/>
                <w:color w:val="000000"/>
                <w:sz w:val="24"/>
                <w:szCs w:val="24"/>
              </w:rPr>
            </w:pPr>
            <w:r>
              <w:rPr>
                <w:rFonts w:hint="eastAsia" w:ascii="黑体" w:hAnsi="黑体" w:eastAsia="黑体" w:cs="黑体"/>
                <w:color w:val="000000"/>
                <w:sz w:val="24"/>
                <w:szCs w:val="24"/>
              </w:rPr>
              <w:t>通道3:580nm-620nm</w:t>
            </w:r>
          </w:p>
          <w:p>
            <w:pPr>
              <w:snapToGrid w:val="0"/>
              <w:rPr>
                <w:rFonts w:hint="eastAsia" w:ascii="黑体" w:hAnsi="黑体" w:eastAsia="黑体" w:cs="黑体"/>
                <w:color w:val="000000"/>
                <w:sz w:val="24"/>
                <w:szCs w:val="24"/>
              </w:rPr>
            </w:pPr>
            <w:r>
              <w:rPr>
                <w:rFonts w:hint="eastAsia" w:ascii="黑体" w:hAnsi="黑体" w:eastAsia="黑体" w:cs="黑体"/>
                <w:color w:val="000000"/>
                <w:sz w:val="24"/>
                <w:szCs w:val="24"/>
              </w:rPr>
              <w:t>通道4:630nm-665nm</w:t>
            </w:r>
          </w:p>
          <w:p>
            <w:pPr>
              <w:snapToGrid w:val="0"/>
              <w:rPr>
                <w:rFonts w:hint="eastAsia" w:ascii="黑体" w:hAnsi="黑体" w:eastAsia="黑体" w:cs="黑体"/>
                <w:color w:val="000000"/>
                <w:sz w:val="24"/>
                <w:szCs w:val="24"/>
              </w:rPr>
            </w:pPr>
            <w:r>
              <w:rPr>
                <w:rFonts w:hint="eastAsia" w:ascii="黑体" w:hAnsi="黑体" w:eastAsia="黑体" w:cs="黑体"/>
                <w:color w:val="000000"/>
                <w:sz w:val="24"/>
                <w:szCs w:val="24"/>
              </w:rPr>
              <w:t>通道5: 预留</w:t>
            </w:r>
          </w:p>
          <w:p>
            <w:pPr>
              <w:snapToGrid w:val="0"/>
              <w:rPr>
                <w:rFonts w:hint="eastAsia" w:ascii="黑体" w:hAnsi="黑体" w:eastAsia="黑体" w:cs="黑体"/>
                <w:color w:val="000000"/>
                <w:sz w:val="24"/>
                <w:szCs w:val="24"/>
              </w:rPr>
            </w:pPr>
            <w:r>
              <w:rPr>
                <w:rFonts w:hint="eastAsia" w:ascii="黑体" w:hAnsi="黑体" w:eastAsia="黑体" w:cs="黑体"/>
                <w:color w:val="000000"/>
                <w:sz w:val="24"/>
                <w:szCs w:val="24"/>
              </w:rPr>
              <w:t>通道6: 预留</w:t>
            </w:r>
          </w:p>
        </w:tc>
        <w:tc>
          <w:tcPr>
            <w:tcW w:w="3937" w:type="dxa"/>
            <w:noWrap w:val="0"/>
            <w:vAlign w:val="center"/>
          </w:tcPr>
          <w:p>
            <w:pPr>
              <w:rPr>
                <w:rFonts w:hint="eastAsia" w:ascii="黑体" w:hAnsi="黑体" w:eastAsia="黑体" w:cs="黑体"/>
                <w:color w:val="000000"/>
                <w:sz w:val="24"/>
                <w:szCs w:val="24"/>
              </w:rPr>
            </w:pPr>
            <w:r>
              <w:rPr>
                <w:rFonts w:hint="eastAsia" w:ascii="黑体" w:hAnsi="黑体" w:eastAsia="黑体" w:cs="黑体"/>
                <w:color w:val="000000"/>
                <w:sz w:val="24"/>
                <w:szCs w:val="24"/>
              </w:rPr>
              <w:t>多通道检测完全规避交叉干扰，无需任何繁杂的校正。</w:t>
            </w:r>
          </w:p>
          <w:p>
            <w:pPr>
              <w:rPr>
                <w:rFonts w:hint="eastAsia" w:ascii="黑体" w:hAnsi="黑体" w:eastAsia="黑体" w:cs="黑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可检测的荧光素及染料</w:t>
            </w:r>
          </w:p>
        </w:tc>
        <w:tc>
          <w:tcPr>
            <w:tcW w:w="3260" w:type="dxa"/>
            <w:noWrap w:val="0"/>
            <w:vAlign w:val="center"/>
          </w:tcPr>
          <w:p>
            <w:pPr>
              <w:snapToGrid w:val="0"/>
              <w:jc w:val="left"/>
              <w:rPr>
                <w:rFonts w:hint="eastAsia" w:ascii="黑体" w:hAnsi="黑体" w:eastAsia="黑体" w:cs="黑体"/>
                <w:sz w:val="24"/>
                <w:szCs w:val="24"/>
              </w:rPr>
            </w:pPr>
            <w:r>
              <w:rPr>
                <w:rFonts w:hint="eastAsia" w:ascii="黑体" w:hAnsi="黑体" w:eastAsia="黑体" w:cs="黑体"/>
                <w:sz w:val="24"/>
                <w:szCs w:val="24"/>
              </w:rPr>
              <w:t>FAM,SYBR，VIC, HEX, Joe, TET，TMRA，CY3，ROX, Texas Red, CY5</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使用最佳滤光片组合,通道之间无干扰，仪器适用开放式试剂。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检测方式</w:t>
            </w:r>
          </w:p>
        </w:tc>
        <w:tc>
          <w:tcPr>
            <w:tcW w:w="3260" w:type="dxa"/>
            <w:noWrap w:val="0"/>
            <w:vAlign w:val="center"/>
          </w:tcPr>
          <w:p>
            <w:pPr>
              <w:snapToGrid w:val="0"/>
              <w:rPr>
                <w:rFonts w:hint="eastAsia" w:ascii="黑体" w:hAnsi="黑体" w:eastAsia="黑体" w:cs="黑体"/>
                <w:sz w:val="24"/>
                <w:szCs w:val="24"/>
              </w:rPr>
            </w:pPr>
            <w:r>
              <w:rPr>
                <w:rFonts w:hint="eastAsia" w:ascii="黑体" w:hAnsi="黑体" w:eastAsia="黑体" w:cs="黑体"/>
                <w:sz w:val="24"/>
                <w:szCs w:val="24"/>
              </w:rPr>
              <w:t>反应管的底部侧面激发、检测</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提高光源的传输及检测效率、灵敏度。 光的检测效率高，因为底部侧面是反应管壁最薄处，同时，非常适合磁珠吸附法的PCR反应检测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激发、检测光的传输模式</w:t>
            </w:r>
          </w:p>
        </w:tc>
        <w:tc>
          <w:tcPr>
            <w:tcW w:w="3260" w:type="dxa"/>
            <w:noWrap w:val="0"/>
            <w:vAlign w:val="center"/>
          </w:tcPr>
          <w:p>
            <w:pPr>
              <w:snapToGrid w:val="0"/>
              <w:rPr>
                <w:rFonts w:hint="eastAsia" w:ascii="黑体" w:hAnsi="黑体" w:eastAsia="黑体" w:cs="黑体"/>
                <w:sz w:val="24"/>
                <w:szCs w:val="24"/>
              </w:rPr>
            </w:pPr>
            <w:r>
              <w:rPr>
                <w:rFonts w:hint="eastAsia" w:ascii="黑体" w:hAnsi="黑体" w:eastAsia="黑体" w:cs="黑体"/>
                <w:sz w:val="24"/>
                <w:szCs w:val="24"/>
              </w:rPr>
              <w:t>每一反应孔独立的光纤传输</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独立的输入输出光纤传导对应着每一反应孔，无孔与孔间的光检测干扰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szCs w:val="21"/>
              </w:rPr>
            </w:pPr>
            <w:r>
              <w:rPr>
                <w:rFonts w:hint="eastAsia" w:ascii="黑体" w:hAnsi="黑体" w:eastAsia="黑体" w:cs="黑体"/>
                <w:b/>
                <w:szCs w:val="21"/>
              </w:rPr>
              <w:t>软件应用模式</w:t>
            </w:r>
          </w:p>
        </w:tc>
        <w:tc>
          <w:tcPr>
            <w:tcW w:w="3260" w:type="dxa"/>
            <w:noWrap w:val="0"/>
            <w:vAlign w:val="center"/>
          </w:tcPr>
          <w:p>
            <w:pPr>
              <w:snapToGrid w:val="0"/>
              <w:rPr>
                <w:rFonts w:hint="eastAsia" w:ascii="黑体" w:hAnsi="黑体" w:eastAsia="黑体" w:cs="黑体"/>
                <w:sz w:val="24"/>
                <w:szCs w:val="24"/>
              </w:rPr>
            </w:pPr>
            <w:r>
              <w:rPr>
                <w:rFonts w:hint="eastAsia" w:ascii="黑体" w:hAnsi="黑体" w:eastAsia="黑体" w:cs="黑体"/>
                <w:sz w:val="24"/>
                <w:szCs w:val="24"/>
              </w:rPr>
              <w:t>定量/定性、熔解曲线、多管多项目分析、相对定量、等位基因、HRM、SAT实时荧光等温扩增</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多项目管理设置程序管理、项目实验运行程序安全密码锁定功能,分析软件试剂封装技术功能,自动判断分析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模块温度范围</w:t>
            </w:r>
          </w:p>
        </w:tc>
        <w:tc>
          <w:tcPr>
            <w:tcW w:w="3260"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4℃-99℃</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控温范围广，试剂可以在机器上4℃保存.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检测动力学范围</w:t>
            </w:r>
          </w:p>
        </w:tc>
        <w:tc>
          <w:tcPr>
            <w:tcW w:w="3260" w:type="dxa"/>
            <w:noWrap w:val="0"/>
            <w:vAlign w:val="center"/>
          </w:tcPr>
          <w:p>
            <w:pPr>
              <w:jc w:val="center"/>
              <w:rPr>
                <w:rFonts w:hint="eastAsia" w:ascii="黑体" w:hAnsi="黑体" w:eastAsia="黑体" w:cs="黑体"/>
                <w:sz w:val="24"/>
                <w:szCs w:val="24"/>
                <w:vertAlign w:val="superscript"/>
              </w:rPr>
            </w:pPr>
            <w:r>
              <w:rPr>
                <w:rFonts w:hint="eastAsia" w:ascii="黑体" w:hAnsi="黑体" w:eastAsia="黑体" w:cs="黑体"/>
                <w:sz w:val="24"/>
                <w:szCs w:val="24"/>
              </w:rPr>
              <w:t>10</w:t>
            </w:r>
            <w:r>
              <w:rPr>
                <w:rFonts w:hint="eastAsia" w:ascii="黑体" w:hAnsi="黑体" w:eastAsia="黑体" w:cs="黑体"/>
                <w:sz w:val="24"/>
                <w:szCs w:val="24"/>
                <w:vertAlign w:val="superscript"/>
              </w:rPr>
              <w:t>0</w:t>
            </w:r>
            <w:r>
              <w:rPr>
                <w:rFonts w:hint="eastAsia" w:ascii="黑体" w:hAnsi="黑体" w:eastAsia="黑体" w:cs="黑体"/>
                <w:sz w:val="24"/>
                <w:szCs w:val="24"/>
                <w:vertAlign w:val="superscript"/>
              </w:rPr>
              <w:softHyphen/>
            </w:r>
            <w:r>
              <w:rPr>
                <w:rFonts w:hint="eastAsia" w:ascii="黑体" w:hAnsi="黑体" w:eastAsia="黑体" w:cs="黑体"/>
                <w:sz w:val="24"/>
                <w:szCs w:val="24"/>
              </w:rPr>
              <w:t>-10</w:t>
            </w:r>
            <w:r>
              <w:rPr>
                <w:rFonts w:hint="eastAsia" w:ascii="黑体" w:hAnsi="黑体" w:eastAsia="黑体" w:cs="黑体"/>
                <w:color w:val="000000"/>
                <w:sz w:val="24"/>
                <w:szCs w:val="24"/>
                <w:vertAlign w:val="superscript"/>
              </w:rPr>
              <w:t>10</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宽广的动力学范围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最小检测模板</w:t>
            </w:r>
          </w:p>
        </w:tc>
        <w:tc>
          <w:tcPr>
            <w:tcW w:w="3260"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单个拷贝</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在理想的实验环境，可以达到100%的扩增分析,高扩增效率.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反应容积</w:t>
            </w:r>
          </w:p>
        </w:tc>
        <w:tc>
          <w:tcPr>
            <w:tcW w:w="3260" w:type="dxa"/>
            <w:noWrap w:val="0"/>
            <w:vAlign w:val="center"/>
          </w:tcPr>
          <w:p>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15ul-100ul</w:t>
            </w:r>
          </w:p>
        </w:tc>
        <w:tc>
          <w:tcPr>
            <w:tcW w:w="3937" w:type="dxa"/>
            <w:noWrap w:val="0"/>
            <w:vAlign w:val="center"/>
          </w:tcPr>
          <w:p>
            <w:pPr>
              <w:rPr>
                <w:rFonts w:hint="eastAsia" w:ascii="黑体" w:hAnsi="黑体" w:eastAsia="黑体" w:cs="黑体"/>
                <w:bCs/>
                <w:color w:val="000000"/>
                <w:sz w:val="24"/>
                <w:szCs w:val="24"/>
              </w:rPr>
            </w:pPr>
            <w:r>
              <w:rPr>
                <w:rFonts w:hint="eastAsia" w:ascii="黑体" w:hAnsi="黑体" w:eastAsia="黑体" w:cs="黑体"/>
                <w:bCs/>
                <w:color w:val="000000"/>
                <w:sz w:val="24"/>
                <w:szCs w:val="24"/>
              </w:rPr>
              <w:t>宽广的反应体系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控温模式</w:t>
            </w:r>
          </w:p>
        </w:tc>
        <w:tc>
          <w:tcPr>
            <w:tcW w:w="3260" w:type="dxa"/>
            <w:noWrap w:val="0"/>
            <w:vAlign w:val="center"/>
          </w:tcPr>
          <w:p>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半导体热电模块</w:t>
            </w:r>
          </w:p>
        </w:tc>
        <w:tc>
          <w:tcPr>
            <w:tcW w:w="3937" w:type="dxa"/>
            <w:noWrap w:val="0"/>
            <w:vAlign w:val="center"/>
          </w:tcPr>
          <w:p>
            <w:pPr>
              <w:rPr>
                <w:rFonts w:hint="eastAsia" w:ascii="黑体" w:hAnsi="黑体" w:eastAsia="黑体" w:cs="黑体"/>
                <w:bCs/>
                <w:color w:val="000000"/>
                <w:sz w:val="24"/>
                <w:szCs w:val="24"/>
              </w:rPr>
            </w:pPr>
            <w:r>
              <w:rPr>
                <w:rFonts w:hint="eastAsia" w:ascii="黑体" w:hAnsi="黑体" w:eastAsia="黑体" w:cs="黑体"/>
                <w:bCs/>
                <w:color w:val="000000"/>
                <w:sz w:val="24"/>
                <w:szCs w:val="24"/>
              </w:rPr>
              <w:t>多种控温模式,控温稳定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升温速率(MAX)</w:t>
            </w:r>
          </w:p>
        </w:tc>
        <w:tc>
          <w:tcPr>
            <w:tcW w:w="3260" w:type="dxa"/>
            <w:noWrap w:val="0"/>
            <w:vAlign w:val="center"/>
          </w:tcPr>
          <w:p>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4℃/S</w:t>
            </w:r>
          </w:p>
        </w:tc>
        <w:tc>
          <w:tcPr>
            <w:tcW w:w="3937" w:type="dxa"/>
            <w:noWrap w:val="0"/>
            <w:vAlign w:val="center"/>
          </w:tcPr>
          <w:p>
            <w:pPr>
              <w:rPr>
                <w:rFonts w:hint="eastAsia" w:ascii="黑体" w:hAnsi="黑体" w:eastAsia="黑体" w:cs="黑体"/>
                <w:color w:val="000000"/>
                <w:sz w:val="24"/>
                <w:szCs w:val="24"/>
              </w:rPr>
            </w:pPr>
            <w:r>
              <w:rPr>
                <w:rFonts w:hint="eastAsia" w:ascii="黑体" w:hAnsi="黑体" w:eastAsia="黑体" w:cs="黑体"/>
                <w:color w:val="000000"/>
                <w:sz w:val="24"/>
                <w:szCs w:val="24"/>
              </w:rPr>
              <w:t>快速的升降温速率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温控精度</w:t>
            </w:r>
          </w:p>
          <w:p>
            <w:pPr>
              <w:rPr>
                <w:rFonts w:hint="eastAsia" w:ascii="黑体" w:hAnsi="黑体" w:eastAsia="黑体" w:cs="黑体"/>
                <w:b/>
                <w:color w:val="000000"/>
                <w:sz w:val="24"/>
                <w:szCs w:val="28"/>
              </w:rPr>
            </w:pPr>
            <w:r>
              <w:rPr>
                <w:rFonts w:hint="eastAsia" w:ascii="黑体" w:hAnsi="黑体" w:eastAsia="黑体" w:cs="黑体"/>
                <w:b/>
                <w:color w:val="000000"/>
                <w:sz w:val="24"/>
                <w:szCs w:val="28"/>
              </w:rPr>
              <w:t>（HRM高分辨熔解曲线）</w:t>
            </w:r>
          </w:p>
        </w:tc>
        <w:tc>
          <w:tcPr>
            <w:tcW w:w="3260" w:type="dxa"/>
            <w:noWrap w:val="0"/>
            <w:vAlign w:val="center"/>
          </w:tcPr>
          <w:p>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±0.1℃</w:t>
            </w:r>
          </w:p>
        </w:tc>
        <w:tc>
          <w:tcPr>
            <w:tcW w:w="3937" w:type="dxa"/>
            <w:noWrap w:val="0"/>
            <w:vAlign w:val="center"/>
          </w:tcPr>
          <w:p>
            <w:pPr>
              <w:rPr>
                <w:rFonts w:hint="eastAsia" w:ascii="黑体" w:hAnsi="黑体" w:eastAsia="黑体" w:cs="黑体"/>
                <w:color w:val="000000"/>
                <w:sz w:val="24"/>
                <w:szCs w:val="24"/>
              </w:rPr>
            </w:pPr>
            <w:r>
              <w:rPr>
                <w:rFonts w:hint="eastAsia" w:ascii="黑体" w:hAnsi="黑体" w:eastAsia="黑体" w:cs="黑体"/>
                <w:color w:val="000000"/>
                <w:sz w:val="24"/>
                <w:szCs w:val="24"/>
              </w:rPr>
              <w:t>控温精度达到±0.1,以保证实验的精确</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rPr>
              <w:t>可做HRM，这是许多同类仪器无法达到的精度。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样品间温度</w:t>
            </w:r>
          </w:p>
          <w:p>
            <w:pPr>
              <w:rPr>
                <w:rFonts w:hint="eastAsia" w:ascii="黑体" w:hAnsi="黑体" w:eastAsia="黑体" w:cs="黑体"/>
                <w:b/>
                <w:color w:val="000000"/>
                <w:sz w:val="24"/>
                <w:szCs w:val="28"/>
              </w:rPr>
            </w:pPr>
            <w:r>
              <w:rPr>
                <w:rFonts w:hint="eastAsia" w:ascii="黑体" w:hAnsi="黑体" w:eastAsia="黑体" w:cs="黑体"/>
                <w:b/>
                <w:color w:val="000000"/>
                <w:sz w:val="24"/>
                <w:szCs w:val="28"/>
              </w:rPr>
              <w:t>均匀性</w:t>
            </w:r>
          </w:p>
        </w:tc>
        <w:tc>
          <w:tcPr>
            <w:tcW w:w="3260" w:type="dxa"/>
            <w:noWrap w:val="0"/>
            <w:vAlign w:val="center"/>
          </w:tcPr>
          <w:p>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±0.1℃</w:t>
            </w:r>
          </w:p>
        </w:tc>
        <w:tc>
          <w:tcPr>
            <w:tcW w:w="3937" w:type="dxa"/>
            <w:noWrap w:val="0"/>
            <w:vAlign w:val="center"/>
          </w:tcPr>
          <w:p>
            <w:pPr>
              <w:rPr>
                <w:rFonts w:hint="eastAsia" w:ascii="黑体" w:hAnsi="黑体" w:eastAsia="黑体" w:cs="黑体"/>
                <w:bCs/>
                <w:color w:val="000000"/>
                <w:sz w:val="24"/>
                <w:szCs w:val="24"/>
              </w:rPr>
            </w:pPr>
            <w:r>
              <w:rPr>
                <w:rFonts w:hint="eastAsia" w:ascii="黑体" w:hAnsi="黑体" w:eastAsia="黑体" w:cs="黑体"/>
                <w:color w:val="000000"/>
                <w:sz w:val="24"/>
                <w:szCs w:val="24"/>
              </w:rPr>
              <w:t>完美的温度均匀性。 实测温度均匀性为±0.1，保证孔与孔之间温度完全一致。</w:t>
            </w:r>
          </w:p>
        </w:tc>
      </w:tr>
      <w:tr>
        <w:tblPrEx>
          <w:tblCellMar>
            <w:top w:w="0" w:type="dxa"/>
            <w:left w:w="108" w:type="dxa"/>
            <w:bottom w:w="0" w:type="dxa"/>
            <w:right w:w="108" w:type="dxa"/>
          </w:tblCellMar>
        </w:tblPrEx>
        <w:trPr>
          <w:trHeight w:val="588"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重量</w:t>
            </w:r>
          </w:p>
        </w:tc>
        <w:tc>
          <w:tcPr>
            <w:tcW w:w="3260" w:type="dxa"/>
            <w:noWrap w:val="0"/>
            <w:vAlign w:val="center"/>
          </w:tcPr>
          <w:p>
            <w:pPr>
              <w:jc w:val="center"/>
              <w:rPr>
                <w:rFonts w:hint="eastAsia" w:ascii="黑体" w:hAnsi="黑体" w:eastAsia="黑体" w:cs="黑体"/>
                <w:color w:val="000000"/>
                <w:sz w:val="24"/>
                <w:szCs w:val="24"/>
              </w:rPr>
            </w:pPr>
          </w:p>
        </w:tc>
        <w:tc>
          <w:tcPr>
            <w:tcW w:w="3937" w:type="dxa"/>
            <w:noWrap w:val="0"/>
            <w:vAlign w:val="center"/>
          </w:tcPr>
          <w:p>
            <w:pPr>
              <w:rPr>
                <w:rFonts w:hint="eastAsia" w:ascii="黑体" w:hAnsi="黑体" w:eastAsia="黑体" w:cs="黑体"/>
                <w:bCs/>
                <w:color w:val="000000"/>
                <w:sz w:val="24"/>
                <w:szCs w:val="24"/>
              </w:rPr>
            </w:pPr>
            <w:r>
              <w:rPr>
                <w:rFonts w:hint="eastAsia" w:ascii="黑体" w:hAnsi="黑体" w:eastAsia="黑体" w:cs="黑体"/>
                <w:bCs/>
                <w:color w:val="000000"/>
                <w:sz w:val="24"/>
                <w:szCs w:val="24"/>
              </w:rPr>
              <w:t>重量轻便于移动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728" w:type="dxa"/>
            <w:noWrap w:val="0"/>
            <w:vAlign w:val="center"/>
          </w:tcPr>
          <w:p>
            <w:pPr>
              <w:rPr>
                <w:rFonts w:hint="eastAsia" w:ascii="黑体" w:hAnsi="黑体" w:eastAsia="黑体" w:cs="黑体"/>
                <w:b/>
                <w:color w:val="000000"/>
                <w:sz w:val="24"/>
                <w:szCs w:val="28"/>
                <w:lang w:eastAsia="zh-CN"/>
              </w:rPr>
            </w:pPr>
            <w:r>
              <w:rPr>
                <w:rFonts w:hint="eastAsia" w:ascii="黑体" w:hAnsi="黑体" w:eastAsia="黑体" w:cs="黑体"/>
                <w:b/>
                <w:color w:val="000000"/>
                <w:sz w:val="24"/>
                <w:szCs w:val="28"/>
                <w:lang w:eastAsia="zh-CN"/>
              </w:rPr>
              <w:t>体积</w:t>
            </w:r>
          </w:p>
        </w:tc>
        <w:tc>
          <w:tcPr>
            <w:tcW w:w="3260" w:type="dxa"/>
            <w:noWrap w:val="0"/>
            <w:vAlign w:val="center"/>
          </w:tcPr>
          <w:p>
            <w:pPr>
              <w:jc w:val="center"/>
              <w:rPr>
                <w:rFonts w:hint="eastAsia" w:ascii="黑体" w:hAnsi="黑体" w:eastAsia="黑体" w:cs="黑体"/>
                <w:color w:val="000000"/>
                <w:sz w:val="24"/>
                <w:szCs w:val="24"/>
              </w:rPr>
            </w:pPr>
          </w:p>
        </w:tc>
        <w:tc>
          <w:tcPr>
            <w:tcW w:w="3937" w:type="dxa"/>
            <w:noWrap w:val="0"/>
            <w:vAlign w:val="center"/>
          </w:tcPr>
          <w:p>
            <w:pPr>
              <w:rPr>
                <w:rFonts w:hint="eastAsia" w:ascii="黑体" w:hAnsi="黑体" w:eastAsia="黑体" w:cs="黑体"/>
                <w:bCs/>
                <w:color w:val="000000"/>
                <w:sz w:val="24"/>
                <w:szCs w:val="24"/>
              </w:rPr>
            </w:pPr>
            <w:r>
              <w:rPr>
                <w:rFonts w:hint="eastAsia" w:ascii="黑体" w:hAnsi="黑体" w:eastAsia="黑体" w:cs="黑体"/>
                <w:bCs/>
                <w:color w:val="000000"/>
                <w:sz w:val="24"/>
                <w:szCs w:val="24"/>
              </w:rPr>
              <w:t>体积小，外形美观，采用一次成形模具合成，仪器使用寿命长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断电保护</w:t>
            </w:r>
          </w:p>
        </w:tc>
        <w:tc>
          <w:tcPr>
            <w:tcW w:w="3260" w:type="dxa"/>
            <w:noWrap w:val="0"/>
            <w:vAlign w:val="center"/>
          </w:tcPr>
          <w:p>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有断电保护功能</w:t>
            </w:r>
          </w:p>
        </w:tc>
        <w:tc>
          <w:tcPr>
            <w:tcW w:w="3937" w:type="dxa"/>
            <w:noWrap w:val="0"/>
            <w:vAlign w:val="center"/>
          </w:tcPr>
          <w:p>
            <w:pPr>
              <w:rPr>
                <w:rFonts w:hint="eastAsia" w:ascii="黑体" w:hAnsi="黑体" w:eastAsia="黑体" w:cs="黑体"/>
                <w:bCs/>
                <w:color w:val="000000"/>
                <w:sz w:val="24"/>
                <w:szCs w:val="24"/>
              </w:rPr>
            </w:pPr>
            <w:r>
              <w:rPr>
                <w:rFonts w:hint="eastAsia" w:ascii="黑体" w:hAnsi="黑体" w:eastAsia="黑体" w:cs="黑体"/>
                <w:bCs/>
                <w:color w:val="000000"/>
                <w:sz w:val="24"/>
                <w:szCs w:val="24"/>
              </w:rPr>
              <w:t>在实验过程中遇到断电时,具有程序记忆功能,来电时可继续运行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输入电源</w:t>
            </w:r>
          </w:p>
        </w:tc>
        <w:tc>
          <w:tcPr>
            <w:tcW w:w="3260" w:type="dxa"/>
            <w:noWrap w:val="0"/>
            <w:vAlign w:val="center"/>
          </w:tcPr>
          <w:p>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AC200V-240V  50HZ</w:t>
            </w:r>
          </w:p>
        </w:tc>
        <w:tc>
          <w:tcPr>
            <w:tcW w:w="3937" w:type="dxa"/>
            <w:noWrap w:val="0"/>
            <w:vAlign w:val="center"/>
          </w:tcPr>
          <w:p>
            <w:pPr>
              <w:rPr>
                <w:rFonts w:hint="eastAsia" w:ascii="黑体" w:hAnsi="黑体" w:eastAsia="黑体" w:cs="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28" w:type="dxa"/>
            <w:noWrap w:val="0"/>
            <w:vAlign w:val="center"/>
          </w:tcPr>
          <w:p>
            <w:pPr>
              <w:rPr>
                <w:rFonts w:hint="eastAsia" w:ascii="黑体" w:hAnsi="黑体" w:eastAsia="黑体" w:cs="黑体"/>
                <w:szCs w:val="21"/>
              </w:rPr>
            </w:pPr>
            <w:r>
              <w:rPr>
                <w:rFonts w:hint="eastAsia" w:ascii="黑体" w:hAnsi="黑体" w:eastAsia="黑体" w:cs="黑体"/>
                <w:b/>
                <w:sz w:val="24"/>
                <w:szCs w:val="28"/>
              </w:rPr>
              <w:t>耗能</w:t>
            </w:r>
          </w:p>
        </w:tc>
        <w:tc>
          <w:tcPr>
            <w:tcW w:w="3260"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≤850VA</w:t>
            </w:r>
          </w:p>
        </w:tc>
        <w:tc>
          <w:tcPr>
            <w:tcW w:w="3937" w:type="dxa"/>
            <w:noWrap w:val="0"/>
            <w:vAlign w:val="center"/>
          </w:tcPr>
          <w:p>
            <w:pPr>
              <w:rPr>
                <w:rFonts w:hint="eastAsia" w:ascii="黑体" w:hAnsi="黑体" w:eastAsia="黑体" w:cs="黑体"/>
                <w:bCs/>
                <w:sz w:val="24"/>
                <w:szCs w:val="24"/>
              </w:rPr>
            </w:pPr>
            <w:r>
              <w:rPr>
                <w:rFonts w:hint="eastAsia" w:ascii="黑体" w:hAnsi="黑体" w:eastAsia="黑体" w:cs="黑体"/>
                <w:bCs/>
                <w:sz w:val="24"/>
                <w:szCs w:val="24"/>
              </w:rPr>
              <w:t>耗能低，噪音小，节能环保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28" w:type="dxa"/>
            <w:noWrap w:val="0"/>
            <w:vAlign w:val="center"/>
          </w:tcPr>
          <w:p>
            <w:pPr>
              <w:rPr>
                <w:rFonts w:hint="eastAsia" w:ascii="黑体" w:hAnsi="黑体" w:eastAsia="黑体" w:cs="黑体"/>
                <w:b/>
                <w:color w:val="000000"/>
                <w:sz w:val="24"/>
                <w:szCs w:val="28"/>
              </w:rPr>
            </w:pPr>
            <w:r>
              <w:rPr>
                <w:rFonts w:hint="eastAsia" w:ascii="黑体" w:hAnsi="黑体" w:eastAsia="黑体" w:cs="黑体"/>
                <w:b/>
                <w:color w:val="000000"/>
                <w:sz w:val="24"/>
                <w:szCs w:val="28"/>
              </w:rPr>
              <w:t>操作系统</w:t>
            </w:r>
          </w:p>
        </w:tc>
        <w:tc>
          <w:tcPr>
            <w:tcW w:w="3260" w:type="dxa"/>
            <w:noWrap w:val="0"/>
            <w:vAlign w:val="center"/>
          </w:tcPr>
          <w:p>
            <w:pPr>
              <w:snapToGrid w:val="0"/>
              <w:rPr>
                <w:rFonts w:hint="eastAsia" w:ascii="黑体" w:hAnsi="黑体" w:eastAsia="黑体" w:cs="黑体"/>
                <w:color w:val="000000"/>
                <w:sz w:val="24"/>
                <w:szCs w:val="24"/>
              </w:rPr>
            </w:pPr>
            <w:r>
              <w:rPr>
                <w:rFonts w:hint="eastAsia" w:ascii="黑体" w:hAnsi="黑体" w:eastAsia="黑体" w:cs="黑体"/>
                <w:color w:val="000000"/>
                <w:sz w:val="24"/>
                <w:szCs w:val="24"/>
              </w:rPr>
              <w:t>中、英文Win 7/8/10</w:t>
            </w:r>
          </w:p>
        </w:tc>
        <w:tc>
          <w:tcPr>
            <w:tcW w:w="3937" w:type="dxa"/>
            <w:noWrap w:val="0"/>
            <w:vAlign w:val="center"/>
          </w:tcPr>
          <w:p>
            <w:pPr>
              <w:rPr>
                <w:rFonts w:hint="eastAsia" w:ascii="黑体" w:hAnsi="黑体" w:eastAsia="黑体" w:cs="黑体"/>
                <w:color w:val="000000"/>
                <w:sz w:val="24"/>
                <w:szCs w:val="24"/>
              </w:rPr>
            </w:pPr>
            <w:r>
              <w:rPr>
                <w:rFonts w:hint="eastAsia" w:ascii="黑体" w:hAnsi="黑体" w:eastAsia="黑体" w:cs="黑体"/>
                <w:bCs/>
                <w:color w:val="000000"/>
                <w:sz w:val="24"/>
                <w:szCs w:val="24"/>
              </w:rPr>
              <w:t>适合多种操作系统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热 盖</w:t>
            </w:r>
          </w:p>
        </w:tc>
        <w:tc>
          <w:tcPr>
            <w:tcW w:w="3260"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电子自动锁控热盖</w:t>
            </w:r>
          </w:p>
        </w:tc>
        <w:tc>
          <w:tcPr>
            <w:tcW w:w="3937" w:type="dxa"/>
            <w:noWrap w:val="0"/>
            <w:vAlign w:val="center"/>
          </w:tcPr>
          <w:p>
            <w:pPr>
              <w:rPr>
                <w:rFonts w:hint="eastAsia" w:ascii="黑体" w:hAnsi="黑体" w:eastAsia="黑体" w:cs="黑体"/>
                <w:sz w:val="24"/>
                <w:szCs w:val="24"/>
              </w:rPr>
            </w:pPr>
            <w:r>
              <w:rPr>
                <w:rFonts w:hint="eastAsia" w:ascii="黑体" w:hAnsi="黑体" w:eastAsia="黑体" w:cs="黑体"/>
                <w:bCs/>
                <w:sz w:val="24"/>
                <w:szCs w:val="24"/>
              </w:rPr>
              <w:t>运行时热盖自动调节及锁住功能，根据不同的反应管而自动调节位置，保证反应体系不挥发，确保定量的准确性。在运行时自动锁住功能可以防止实验时误操作。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操作软件</w:t>
            </w:r>
          </w:p>
        </w:tc>
        <w:tc>
          <w:tcPr>
            <w:tcW w:w="3260"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全中文/全英文</w:t>
            </w:r>
          </w:p>
        </w:tc>
        <w:tc>
          <w:tcPr>
            <w:tcW w:w="3937" w:type="dxa"/>
            <w:noWrap w:val="0"/>
            <w:vAlign w:val="center"/>
          </w:tcPr>
          <w:p>
            <w:pPr>
              <w:rPr>
                <w:rFonts w:hint="eastAsia" w:ascii="黑体" w:hAnsi="黑体" w:eastAsia="黑体" w:cs="黑体"/>
                <w:sz w:val="24"/>
                <w:szCs w:val="24"/>
              </w:rPr>
            </w:pPr>
            <w:r>
              <w:rPr>
                <w:rFonts w:hint="eastAsia" w:ascii="黑体" w:hAnsi="黑体" w:eastAsia="黑体" w:cs="黑体"/>
                <w:bCs/>
                <w:sz w:val="24"/>
                <w:szCs w:val="24"/>
              </w:rPr>
              <w:t>检测分析软件升级方便，功能齐全，容错性强，模板编辑便捷，自动生成独立的打印报告单，数据可共享，</w:t>
            </w:r>
            <w:r>
              <w:rPr>
                <w:rFonts w:hint="eastAsia" w:ascii="黑体" w:hAnsi="黑体" w:eastAsia="黑体" w:cs="黑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28" w:type="dxa"/>
            <w:noWrap w:val="0"/>
            <w:vAlign w:val="center"/>
          </w:tcPr>
          <w:p>
            <w:pPr>
              <w:rPr>
                <w:rFonts w:hint="eastAsia" w:ascii="黑体" w:hAnsi="黑体" w:eastAsia="黑体" w:cs="黑体"/>
                <w:b/>
                <w:sz w:val="24"/>
                <w:szCs w:val="28"/>
              </w:rPr>
            </w:pPr>
            <w:r>
              <w:rPr>
                <w:rFonts w:hint="eastAsia" w:ascii="黑体" w:hAnsi="黑体" w:eastAsia="黑体" w:cs="黑体"/>
                <w:b/>
                <w:sz w:val="24"/>
                <w:szCs w:val="28"/>
              </w:rPr>
              <w:t>注册认证</w:t>
            </w:r>
          </w:p>
        </w:tc>
        <w:tc>
          <w:tcPr>
            <w:tcW w:w="3260" w:type="dxa"/>
            <w:noWrap w:val="0"/>
            <w:vAlign w:val="center"/>
          </w:tcPr>
          <w:p>
            <w:pPr>
              <w:jc w:val="center"/>
              <w:rPr>
                <w:rFonts w:hint="eastAsia" w:ascii="黑体" w:hAnsi="黑体" w:eastAsia="黑体" w:cs="黑体"/>
                <w:sz w:val="24"/>
                <w:szCs w:val="24"/>
              </w:rPr>
            </w:pPr>
            <w:r>
              <w:rPr>
                <w:rFonts w:hint="eastAsia" w:ascii="黑体" w:hAnsi="黑体" w:eastAsia="黑体" w:cs="黑体"/>
                <w:sz w:val="24"/>
                <w:szCs w:val="24"/>
              </w:rPr>
              <w:t>CFDA、CE</w:t>
            </w:r>
          </w:p>
          <w:p>
            <w:pPr>
              <w:jc w:val="center"/>
              <w:rPr>
                <w:rFonts w:hint="eastAsia" w:ascii="黑体" w:hAnsi="黑体" w:eastAsia="黑体" w:cs="黑体"/>
                <w:sz w:val="24"/>
                <w:szCs w:val="24"/>
              </w:rPr>
            </w:pPr>
          </w:p>
        </w:tc>
        <w:tc>
          <w:tcPr>
            <w:tcW w:w="3937" w:type="dxa"/>
            <w:noWrap w:val="0"/>
            <w:vAlign w:val="center"/>
          </w:tcPr>
          <w:p>
            <w:pPr>
              <w:rPr>
                <w:rFonts w:hint="eastAsia" w:ascii="黑体" w:hAnsi="黑体" w:eastAsia="黑体" w:cs="黑体"/>
                <w:bCs/>
                <w:sz w:val="24"/>
                <w:szCs w:val="24"/>
                <w:highlight w:val="yellow"/>
              </w:rPr>
            </w:pPr>
            <w:r>
              <w:rPr>
                <w:rFonts w:hint="eastAsia" w:ascii="黑体" w:hAnsi="黑体" w:eastAsia="黑体" w:cs="黑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728" w:type="dxa"/>
            <w:noWrap w:val="0"/>
            <w:vAlign w:val="center"/>
          </w:tcPr>
          <w:p>
            <w:pPr>
              <w:rPr>
                <w:rFonts w:hint="eastAsia" w:ascii="黑体" w:hAnsi="黑体" w:eastAsia="黑体" w:cs="黑体"/>
                <w:b/>
                <w:sz w:val="32"/>
                <w:szCs w:val="32"/>
              </w:rPr>
            </w:pPr>
            <w:r>
              <w:rPr>
                <w:rFonts w:hint="eastAsia" w:ascii="黑体" w:hAnsi="黑体" w:eastAsia="黑体" w:cs="黑体"/>
                <w:b/>
                <w:sz w:val="24"/>
                <w:szCs w:val="24"/>
              </w:rPr>
              <w:t>备注</w:t>
            </w:r>
          </w:p>
        </w:tc>
        <w:tc>
          <w:tcPr>
            <w:tcW w:w="3260" w:type="dxa"/>
            <w:noWrap w:val="0"/>
            <w:vAlign w:val="center"/>
          </w:tcPr>
          <w:p>
            <w:pPr>
              <w:jc w:val="center"/>
              <w:rPr>
                <w:rFonts w:hint="eastAsia" w:ascii="黑体" w:hAnsi="黑体" w:eastAsia="黑体" w:cs="黑体"/>
                <w:sz w:val="30"/>
                <w:szCs w:val="30"/>
              </w:rPr>
            </w:pPr>
          </w:p>
        </w:tc>
        <w:tc>
          <w:tcPr>
            <w:tcW w:w="3937" w:type="dxa"/>
            <w:noWrap w:val="0"/>
            <w:vAlign w:val="center"/>
          </w:tcPr>
          <w:p>
            <w:pPr>
              <w:snapToGrid w:val="0"/>
              <w:rPr>
                <w:rFonts w:hint="eastAsia" w:ascii="黑体" w:hAnsi="黑体" w:eastAsia="黑体" w:cs="黑体"/>
                <w:bCs/>
                <w:szCs w:val="21"/>
              </w:rPr>
            </w:pPr>
          </w:p>
        </w:tc>
      </w:tr>
    </w:tbl>
    <w:p>
      <w:pPr>
        <w:rPr>
          <w:rFonts w:hint="eastAsia" w:ascii="黑体" w:hAnsi="Arial" w:eastAsia="黑体"/>
          <w:b/>
          <w:bCs/>
          <w:sz w:val="36"/>
          <w:szCs w:val="36"/>
        </w:rPr>
      </w:pPr>
      <w:r>
        <w:rPr>
          <w:rFonts w:hint="eastAsia" w:ascii="黑体" w:hAnsi="Arial" w:eastAsia="黑体"/>
          <w:b/>
          <w:bCs/>
          <w:sz w:val="36"/>
          <w:szCs w:val="36"/>
        </w:rPr>
        <w:br w:type="page"/>
      </w:r>
    </w:p>
    <w:p>
      <w:pPr>
        <w:jc w:val="center"/>
        <w:rPr>
          <w:rFonts w:hint="eastAsia" w:ascii="黑体" w:hAnsi="Arial" w:eastAsia="黑体"/>
          <w:b/>
          <w:bCs/>
          <w:sz w:val="36"/>
          <w:szCs w:val="36"/>
        </w:rPr>
      </w:pPr>
      <w:r>
        <w:rPr>
          <w:rFonts w:hint="eastAsia" w:ascii="黑体" w:hAnsi="Arial" w:eastAsia="黑体"/>
          <w:b/>
          <w:bCs/>
          <w:sz w:val="36"/>
          <w:szCs w:val="36"/>
        </w:rPr>
        <w:t>样本前处理系统CDS-606 参数 V1</w:t>
      </w:r>
    </w:p>
    <w:p>
      <w:pPr>
        <w:pStyle w:val="54"/>
        <w:numPr>
          <w:ilvl w:val="0"/>
          <w:numId w:val="73"/>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主要用途：</w:t>
      </w:r>
    </w:p>
    <w:p>
      <w:pPr>
        <w:pStyle w:val="54"/>
        <w:snapToGrid w:val="0"/>
        <w:spacing w:line="360" w:lineRule="auto"/>
        <w:ind w:left="720" w:firstLine="0" w:firstLineChars="0"/>
        <w:rPr>
          <w:rFonts w:hint="eastAsia" w:ascii="黑体" w:hAnsi="黑体" w:eastAsia="黑体" w:cs="黑体"/>
          <w:sz w:val="24"/>
          <w:szCs w:val="24"/>
        </w:rPr>
      </w:pPr>
      <w:r>
        <w:rPr>
          <w:rFonts w:hint="eastAsia" w:ascii="黑体" w:hAnsi="黑体" w:eastAsia="黑体" w:cs="黑体"/>
          <w:sz w:val="24"/>
          <w:szCs w:val="24"/>
        </w:rPr>
        <w:t>适用于新冠病毒核酸检测大量样品的前处理，日处理通量超万份。支持一键式软件操作，可以高效、安全准确的将样品从采集管快速分装到96孔深孔板中，处理后的样品管，原盖盖回，深孔板可继续进行后续的自动化核酸提取及检测，整个处理过程中信息实时同步，无缝对接。</w:t>
      </w:r>
    </w:p>
    <w:p>
      <w:pPr>
        <w:pStyle w:val="54"/>
        <w:numPr>
          <w:ilvl w:val="0"/>
          <w:numId w:val="73"/>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参数</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设备可自动对样本进行扫码识别、开盖、样品快速分装至96深孔板、关盖、样本复位、整个过程无需人工操作。</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支持孔板类型：96孔ANSI各种高度的深孔板和浅孔板。</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自动开盖模块：≥4个。</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进样类型：可适配常规螺旋型10mL/15ml的采样管的开盖和关盖，原管上样，无需取出拭子；适配5混1，10混1等多种混检模式（内含多个拭子），无须将拭子头取出即可吸样；其余规格如5ml可定制适配器。</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lang w:val="en-US" w:eastAsia="zh-CN"/>
        </w:rPr>
        <w:t>设备同时可以选配20混1升级方案，适配20ml/30ml采样管，快速实现20混1混检模式。</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*设备支持无码、一维码、二维码多种类型采样管上机。</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配备条码扫描模块：≥3个</w:t>
      </w:r>
      <w:bookmarkStart w:id="82" w:name="_Hlk93499133"/>
      <w:r>
        <w:rPr>
          <w:rFonts w:hint="eastAsia" w:ascii="黑体" w:hAnsi="黑体" w:eastAsia="黑体" w:cs="黑体"/>
          <w:sz w:val="24"/>
          <w:szCs w:val="24"/>
        </w:rPr>
        <w:t>，一维码、二维码通用</w:t>
      </w:r>
      <w:bookmarkEnd w:id="82"/>
      <w:r>
        <w:rPr>
          <w:rFonts w:hint="eastAsia" w:ascii="黑体" w:hAnsi="黑体" w:eastAsia="黑体" w:cs="黑体"/>
          <w:sz w:val="24"/>
          <w:szCs w:val="24"/>
        </w:rPr>
        <w:t>。</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扫码、开盖模块可同时并行工作。</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*异常不停机，如可自动识别扫码错误、未开盖样品管、堵塞错误等，错误样品管自动放回原位，继续运行。</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移液通道：≥4个。</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*处理</w:t>
      </w:r>
      <w:r>
        <w:rPr>
          <w:rFonts w:hint="eastAsia" w:ascii="黑体" w:hAnsi="黑体" w:eastAsia="黑体" w:cs="黑体"/>
          <w:sz w:val="24"/>
          <w:szCs w:val="24"/>
          <w:lang w:val="en-US" w:eastAsia="zh-CN"/>
        </w:rPr>
        <w:t>速度</w:t>
      </w:r>
      <w:r>
        <w:rPr>
          <w:rFonts w:hint="eastAsia" w:ascii="黑体" w:hAnsi="黑体" w:eastAsia="黑体" w:cs="黑体"/>
          <w:sz w:val="24"/>
          <w:szCs w:val="24"/>
        </w:rPr>
        <w:t>：</w:t>
      </w:r>
      <w:r>
        <w:rPr>
          <w:rFonts w:hint="eastAsia" w:ascii="黑体" w:hAnsi="黑体" w:eastAsia="黑体" w:cs="黑体"/>
          <w:sz w:val="24"/>
          <w:szCs w:val="24"/>
          <w:lang w:val="en-US" w:eastAsia="zh-CN"/>
        </w:rPr>
        <w:t>96样本</w:t>
      </w:r>
      <w:r>
        <w:rPr>
          <w:rFonts w:hint="eastAsia" w:ascii="黑体" w:hAnsi="黑体" w:eastAsia="黑体" w:cs="黑体"/>
          <w:sz w:val="24"/>
          <w:szCs w:val="24"/>
        </w:rPr>
        <w:t>/</w:t>
      </w:r>
      <w:r>
        <w:rPr>
          <w:rFonts w:hint="eastAsia" w:ascii="黑体" w:hAnsi="黑体" w:eastAsia="黑体" w:cs="黑体"/>
          <w:sz w:val="24"/>
          <w:szCs w:val="24"/>
          <w:lang w:val="en-US" w:eastAsia="zh-CN"/>
        </w:rPr>
        <w:t>10分钟</w:t>
      </w:r>
      <w:r>
        <w:rPr>
          <w:rFonts w:hint="eastAsia" w:ascii="黑体" w:hAnsi="黑体" w:eastAsia="黑体" w:cs="黑体"/>
          <w:sz w:val="24"/>
          <w:szCs w:val="24"/>
        </w:rPr>
        <w:t>。</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移液范围：1μL-1000μL；CV 值：100μl≤0.75%。</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*上料料盘：单个料盘存储量，96个</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5-15ml采样管</w:t>
      </w:r>
      <w:r>
        <w:rPr>
          <w:rFonts w:hint="eastAsia" w:ascii="黑体" w:hAnsi="黑体" w:eastAsia="黑体" w:cs="黑体"/>
          <w:sz w:val="24"/>
          <w:szCs w:val="24"/>
          <w:lang w:eastAsia="zh-CN"/>
        </w:rPr>
        <w:t>）</w:t>
      </w:r>
      <w:r>
        <w:rPr>
          <w:rFonts w:hint="eastAsia" w:ascii="黑体" w:hAnsi="黑体" w:eastAsia="黑体" w:cs="黑体"/>
          <w:sz w:val="24"/>
          <w:szCs w:val="24"/>
        </w:rPr>
        <w:t>；每批次上样料盘6个，样品总储存量：576</w:t>
      </w:r>
      <w:r>
        <w:rPr>
          <w:rFonts w:hint="eastAsia" w:ascii="黑体" w:hAnsi="黑体" w:eastAsia="黑体" w:cs="黑体"/>
          <w:sz w:val="24"/>
          <w:szCs w:val="24"/>
          <w:lang w:val="en-US" w:eastAsia="zh-CN"/>
        </w:rPr>
        <w:t>个</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5-15ml采样管</w:t>
      </w:r>
      <w:r>
        <w:rPr>
          <w:rFonts w:hint="eastAsia" w:ascii="黑体" w:hAnsi="黑体" w:eastAsia="黑体" w:cs="黑体"/>
          <w:sz w:val="24"/>
          <w:szCs w:val="24"/>
          <w:lang w:eastAsia="zh-CN"/>
        </w:rPr>
        <w:t>）</w:t>
      </w:r>
      <w:r>
        <w:rPr>
          <w:rFonts w:hint="eastAsia" w:ascii="黑体" w:hAnsi="黑体" w:eastAsia="黑体" w:cs="黑体"/>
          <w:sz w:val="24"/>
          <w:szCs w:val="24"/>
        </w:rPr>
        <w:t>/批次。</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lang w:val="en-US" w:eastAsia="zh-CN"/>
        </w:rPr>
        <w:t>支持选配20ml-30ml采样管</w:t>
      </w:r>
      <w:r>
        <w:rPr>
          <w:rFonts w:hint="eastAsia" w:ascii="黑体" w:hAnsi="黑体" w:eastAsia="黑体" w:cs="黑体"/>
          <w:sz w:val="24"/>
          <w:szCs w:val="24"/>
        </w:rPr>
        <w:t>上料料盘：单个料盘存储量，</w:t>
      </w:r>
      <w:r>
        <w:rPr>
          <w:rFonts w:hint="eastAsia" w:ascii="黑体" w:hAnsi="黑体" w:eastAsia="黑体" w:cs="黑体"/>
          <w:sz w:val="24"/>
          <w:szCs w:val="24"/>
          <w:lang w:val="en-US" w:eastAsia="zh-CN"/>
        </w:rPr>
        <w:t>48</w:t>
      </w:r>
      <w:r>
        <w:rPr>
          <w:rFonts w:hint="eastAsia" w:ascii="黑体" w:hAnsi="黑体" w:eastAsia="黑体" w:cs="黑体"/>
          <w:sz w:val="24"/>
          <w:szCs w:val="24"/>
        </w:rPr>
        <w:t>个</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20-30ml采样管</w:t>
      </w:r>
      <w:r>
        <w:rPr>
          <w:rFonts w:hint="eastAsia" w:ascii="黑体" w:hAnsi="黑体" w:eastAsia="黑体" w:cs="黑体"/>
          <w:sz w:val="24"/>
          <w:szCs w:val="24"/>
          <w:lang w:eastAsia="zh-CN"/>
        </w:rPr>
        <w:t>）</w:t>
      </w:r>
      <w:r>
        <w:rPr>
          <w:rFonts w:hint="eastAsia" w:ascii="黑体" w:hAnsi="黑体" w:eastAsia="黑体" w:cs="黑体"/>
          <w:sz w:val="24"/>
          <w:szCs w:val="24"/>
        </w:rPr>
        <w:t>；每批次上样料盘6个，样品总储存量：</w:t>
      </w:r>
      <w:r>
        <w:rPr>
          <w:rFonts w:hint="eastAsia" w:ascii="黑体" w:hAnsi="黑体" w:eastAsia="黑体" w:cs="黑体"/>
          <w:sz w:val="24"/>
          <w:szCs w:val="24"/>
          <w:lang w:val="en-US" w:eastAsia="zh-CN"/>
        </w:rPr>
        <w:t>192个</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20-30ml采样管</w:t>
      </w:r>
      <w:r>
        <w:rPr>
          <w:rFonts w:hint="eastAsia" w:ascii="黑体" w:hAnsi="黑体" w:eastAsia="黑体" w:cs="黑体"/>
          <w:sz w:val="24"/>
          <w:szCs w:val="24"/>
          <w:lang w:eastAsia="zh-CN"/>
        </w:rPr>
        <w:t>）</w:t>
      </w:r>
      <w:r>
        <w:rPr>
          <w:rFonts w:hint="eastAsia" w:ascii="黑体" w:hAnsi="黑体" w:eastAsia="黑体" w:cs="黑体"/>
          <w:sz w:val="24"/>
          <w:szCs w:val="24"/>
        </w:rPr>
        <w:t>/批次。</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*枪头存储量：576个/批次。</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*深孔板存储量：6块/批次。</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lang w:val="en-US" w:eastAsia="zh-CN"/>
        </w:rPr>
        <w:t>*</w:t>
      </w:r>
      <w:r>
        <w:rPr>
          <w:rFonts w:hint="eastAsia" w:ascii="黑体" w:hAnsi="黑体" w:eastAsia="黑体" w:cs="黑体"/>
          <w:sz w:val="24"/>
          <w:szCs w:val="24"/>
        </w:rPr>
        <w:t>支持16/96通道核酸抽提板的样本排列方式，兼容大部分核酸抽提试剂盒和核酸抽提仪</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支持1分1和1分6两种模式。</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自带HEPA负压系统，回风过滤器为H14级，</w:t>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"mailto:过滤效率99.995%25@0.3μm" </w:instrText>
      </w:r>
      <w:r>
        <w:rPr>
          <w:rFonts w:hint="eastAsia" w:ascii="黑体" w:hAnsi="黑体" w:eastAsia="黑体" w:cs="黑体"/>
          <w:sz w:val="24"/>
          <w:szCs w:val="24"/>
        </w:rPr>
        <w:fldChar w:fldCharType="separate"/>
      </w:r>
      <w:r>
        <w:rPr>
          <w:rStyle w:val="48"/>
          <w:rFonts w:hint="eastAsia" w:ascii="黑体" w:hAnsi="黑体" w:eastAsia="黑体" w:cs="黑体"/>
          <w:color w:val="auto"/>
          <w:sz w:val="24"/>
          <w:szCs w:val="24"/>
          <w:u w:val="none"/>
        </w:rPr>
        <w:t>过滤效率99.995%@0.3μm</w:t>
      </w:r>
      <w:r>
        <w:rPr>
          <w:rStyle w:val="48"/>
          <w:rFonts w:hint="eastAsia" w:ascii="黑体" w:hAnsi="黑体" w:eastAsia="黑体" w:cs="黑体"/>
          <w:color w:val="auto"/>
          <w:sz w:val="24"/>
          <w:szCs w:val="24"/>
          <w:u w:val="none"/>
        </w:rPr>
        <w:fldChar w:fldCharType="end"/>
      </w:r>
      <w:r>
        <w:rPr>
          <w:rFonts w:hint="eastAsia" w:ascii="黑体" w:hAnsi="黑体" w:eastAsia="黑体" w:cs="黑体"/>
          <w:sz w:val="24"/>
          <w:szCs w:val="24"/>
        </w:rPr>
        <w:t>。保证全程处于密闭负压环境，避免污染物泄露。</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具备开机自检、状态监测、错误报警、日志管理、用户权限管理、操作界面多语言等功能，开盖、扫码、分装错误时可自动报警，并记录错误孔位。</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*数据定期自动备份，可与LIS、LIMS等系统对接，方便数据信息化共享。</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rPr>
        <w:t>具有安全防护面板，配备门锁和门锁感应器，可防止非法进入工作台面，可在任一时间进行暂停，处理异常事件。</w:t>
      </w:r>
    </w:p>
    <w:p>
      <w:pPr>
        <w:pStyle w:val="54"/>
        <w:numPr>
          <w:ilvl w:val="1"/>
          <w:numId w:val="74"/>
        </w:numPr>
        <w:snapToGrid w:val="0"/>
        <w:spacing w:line="360" w:lineRule="auto"/>
        <w:ind w:firstLineChars="0"/>
        <w:rPr>
          <w:rFonts w:hint="eastAsia" w:ascii="黑体" w:hAnsi="黑体" w:eastAsia="黑体" w:cs="黑体"/>
          <w:sz w:val="24"/>
          <w:szCs w:val="24"/>
        </w:rPr>
      </w:pPr>
      <w:r>
        <w:rPr>
          <w:rFonts w:hint="eastAsia" w:ascii="黑体" w:hAnsi="黑体" w:eastAsia="黑体" w:cs="黑体"/>
          <w:sz w:val="24"/>
          <w:szCs w:val="24"/>
          <w:lang w:val="en-US" w:eastAsia="zh-CN"/>
        </w:rPr>
        <w:t>*投标产品需要提供相关自主知识产品凭证（包括产品测试报告或原型机文件等证明资料）。</w:t>
      </w:r>
    </w:p>
    <w:p>
      <w:pPr>
        <w:pStyle w:val="54"/>
        <w:numPr>
          <w:ilvl w:val="1"/>
          <w:numId w:val="74"/>
        </w:numPr>
        <w:snapToGrid w:val="0"/>
        <w:spacing w:line="360" w:lineRule="auto"/>
        <w:ind w:firstLineChars="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设备随机配备200个上样料盘</w:t>
      </w:r>
    </w:p>
    <w:p>
      <w:pPr>
        <w:pStyle w:val="54"/>
        <w:numPr>
          <w:ilvl w:val="1"/>
          <w:numId w:val="74"/>
        </w:numPr>
        <w:snapToGrid w:val="0"/>
        <w:spacing w:line="360" w:lineRule="auto"/>
        <w:ind w:firstLineChars="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质保期3年以上。</w:t>
      </w:r>
    </w:p>
    <w:p>
      <w:pPr>
        <w:pStyle w:val="266"/>
        <w:numPr>
          <w:ilvl w:val="0"/>
          <w:numId w:val="0"/>
        </w:numPr>
        <w:spacing w:line="360" w:lineRule="auto"/>
        <w:jc w:val="lef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1、</w:t>
      </w:r>
      <w:r>
        <w:rPr>
          <w:rFonts w:hint="eastAsia" w:ascii="黑体" w:hAnsi="黑体" w:eastAsia="黑体" w:cs="黑体"/>
          <w:b/>
          <w:bCs/>
          <w:color w:val="auto"/>
          <w:sz w:val="24"/>
          <w:szCs w:val="24"/>
          <w:highlight w:val="none"/>
        </w:rPr>
        <w:t>为有助于投标人选择投标产品，</w:t>
      </w:r>
      <w:r>
        <w:rPr>
          <w:rFonts w:hint="eastAsia" w:ascii="黑体" w:hAnsi="黑体" w:eastAsia="黑体" w:cs="黑体"/>
          <w:b/>
          <w:bCs/>
          <w:color w:val="auto"/>
          <w:sz w:val="24"/>
          <w:szCs w:val="24"/>
          <w:highlight w:val="none"/>
          <w:lang w:val="en-US" w:eastAsia="zh-CN"/>
        </w:rPr>
        <w:t>如果参数</w:t>
      </w:r>
      <w:r>
        <w:rPr>
          <w:rFonts w:hint="eastAsia" w:ascii="黑体" w:hAnsi="黑体" w:eastAsia="黑体" w:cs="黑体"/>
          <w:b/>
          <w:bCs/>
          <w:color w:val="auto"/>
          <w:sz w:val="24"/>
          <w:szCs w:val="24"/>
          <w:highlight w:val="none"/>
        </w:rPr>
        <w:t>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pPr>
        <w:pStyle w:val="266"/>
        <w:spacing w:line="360" w:lineRule="auto"/>
        <w:jc w:val="lef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2</w:t>
      </w:r>
      <w:r>
        <w:rPr>
          <w:rFonts w:hint="eastAsia" w:ascii="黑体" w:hAnsi="黑体" w:eastAsia="黑体" w:cs="黑体"/>
          <w:b/>
          <w:bCs/>
          <w:color w:val="auto"/>
          <w:sz w:val="24"/>
          <w:szCs w:val="24"/>
          <w:highlight w:val="none"/>
        </w:rPr>
        <w:t>、投标人应当在投标文件中列出完成本项目并通过验收所需的所有各项服务等明细表及全部费用。中标人必须确保整体通过用户方及有关主管部门验收，所发生的验收费用由中标人承担。</w:t>
      </w:r>
    </w:p>
    <w:p>
      <w:pPr>
        <w:pStyle w:val="266"/>
        <w:spacing w:line="360" w:lineRule="auto"/>
        <w:jc w:val="lef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3</w:t>
      </w:r>
      <w:r>
        <w:rPr>
          <w:rFonts w:hint="eastAsia" w:ascii="黑体" w:hAnsi="黑体" w:eastAsia="黑体" w:cs="黑体"/>
          <w:b/>
          <w:bCs/>
          <w:color w:val="auto"/>
          <w:sz w:val="24"/>
          <w:szCs w:val="24"/>
          <w:highlight w:val="none"/>
        </w:rPr>
        <w:t>、如对本招标文件有任何疑问或要求澄清，请按本招标文件的规定提出，否则视同理解和接受。</w:t>
      </w:r>
    </w:p>
    <w:p>
      <w:pPr>
        <w:widowControl/>
        <w:autoSpaceDE/>
        <w:autoSpaceDN/>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4</w:t>
      </w:r>
      <w:r>
        <w:rPr>
          <w:rFonts w:hint="eastAsia" w:ascii="黑体" w:hAnsi="黑体" w:eastAsia="黑体" w:cs="黑体"/>
          <w:b/>
          <w:bCs/>
          <w:color w:val="auto"/>
          <w:sz w:val="24"/>
          <w:szCs w:val="24"/>
          <w:highlight w:val="none"/>
        </w:rPr>
        <w:t>、如投标文件中提供了相应的承诺函，中标后，招标文件中服务要求及上述服务承诺未能兑现的，采购人有权终止合同，由此产生的后果及责任由中标供应商承担。</w:t>
      </w:r>
    </w:p>
    <w:p>
      <w:pPr>
        <w:widowControl/>
        <w:autoSpaceDE/>
        <w:autoSpaceDN/>
        <w:rPr>
          <w:rFonts w:hint="eastAsia" w:ascii="黑体" w:hAnsi="黑体" w:eastAsia="黑体" w:cs="黑体"/>
          <w:b/>
          <w:color w:val="auto"/>
          <w:sz w:val="32"/>
          <w:szCs w:val="32"/>
          <w:highlight w:val="none"/>
        </w:rPr>
      </w:pPr>
      <w:r>
        <w:rPr>
          <w:rFonts w:hint="eastAsia" w:ascii="黑体" w:hAnsi="黑体" w:eastAsia="黑体" w:cs="黑体"/>
          <w:b/>
          <w:color w:val="auto"/>
          <w:highlight w:val="none"/>
        </w:rPr>
        <w:br w:type="page"/>
      </w:r>
    </w:p>
    <w:p>
      <w:pPr>
        <w:pStyle w:val="5"/>
        <w:spacing w:line="665" w:lineRule="exact"/>
        <w:jc w:val="center"/>
        <w:rPr>
          <w:rFonts w:hint="eastAsia" w:ascii="黑体" w:hAnsi="黑体" w:eastAsia="黑体" w:cs="黑体"/>
          <w:b/>
          <w:color w:val="auto"/>
          <w:sz w:val="44"/>
          <w:szCs w:val="44"/>
          <w:highlight w:val="none"/>
        </w:rPr>
      </w:pPr>
      <w:bookmarkStart w:id="83" w:name="_Toc22729"/>
      <w:r>
        <w:rPr>
          <w:rFonts w:hint="eastAsia" w:ascii="黑体" w:hAnsi="黑体" w:eastAsia="黑体" w:cs="黑体"/>
          <w:b/>
          <w:color w:val="auto"/>
          <w:sz w:val="44"/>
          <w:szCs w:val="44"/>
          <w:highlight w:val="none"/>
        </w:rPr>
        <w:t>第七章</w:t>
      </w:r>
      <w:r>
        <w:rPr>
          <w:rFonts w:hint="eastAsia" w:ascii="黑体" w:hAnsi="黑体" w:eastAsia="黑体" w:cs="黑体"/>
          <w:b/>
          <w:color w:val="auto"/>
          <w:sz w:val="44"/>
          <w:szCs w:val="44"/>
          <w:highlight w:val="none"/>
          <w:lang w:val="en-US" w:eastAsia="zh-CN"/>
        </w:rPr>
        <w:t xml:space="preserve">  </w:t>
      </w:r>
      <w:r>
        <w:rPr>
          <w:rFonts w:hint="eastAsia" w:ascii="黑体" w:hAnsi="黑体" w:eastAsia="黑体" w:cs="黑体"/>
          <w:b/>
          <w:color w:val="auto"/>
          <w:sz w:val="44"/>
          <w:szCs w:val="44"/>
          <w:highlight w:val="none"/>
        </w:rPr>
        <w:t>投标文件格式</w:t>
      </w:r>
      <w:bookmarkEnd w:id="83"/>
    </w:p>
    <w:p>
      <w:pPr>
        <w:pStyle w:val="19"/>
        <w:spacing w:before="2"/>
        <w:ind w:left="0"/>
        <w:rPr>
          <w:rFonts w:hint="eastAsia" w:ascii="黑体" w:hAnsi="黑体" w:eastAsia="黑体" w:cs="黑体"/>
          <w:color w:val="auto"/>
          <w:sz w:val="21"/>
          <w:highlight w:val="none"/>
        </w:rPr>
      </w:pPr>
    </w:p>
    <w:p>
      <w:pPr>
        <w:spacing w:line="283" w:lineRule="auto"/>
        <w:ind w:left="4872" w:right="5591"/>
        <w:jc w:val="both"/>
        <w:rPr>
          <w:rFonts w:hint="eastAsia" w:ascii="黑体" w:hAnsi="黑体" w:eastAsia="黑体" w:cs="黑体"/>
          <w:color w:val="auto"/>
          <w:sz w:val="72"/>
          <w:highlight w:val="none"/>
        </w:rPr>
      </w:pPr>
      <w:r>
        <w:rPr>
          <w:rFonts w:hint="eastAsia" w:ascii="黑体" w:hAnsi="黑体" w:eastAsia="黑体" w:cs="黑体"/>
          <w:color w:val="auto"/>
          <w:sz w:val="72"/>
          <w:highlight w:val="none"/>
        </w:rPr>
        <w:t>投标文件</w:t>
      </w:r>
    </w:p>
    <w:p>
      <w:pPr>
        <w:pStyle w:val="19"/>
        <w:ind w:left="0"/>
        <w:rPr>
          <w:rFonts w:hint="eastAsia" w:ascii="黑体" w:hAnsi="黑体" w:eastAsia="黑体" w:cs="黑体"/>
          <w:color w:val="auto"/>
          <w:sz w:val="72"/>
          <w:highlight w:val="none"/>
        </w:rPr>
      </w:pPr>
    </w:p>
    <w:p>
      <w:pPr>
        <w:pStyle w:val="19"/>
        <w:spacing w:before="7"/>
        <w:ind w:left="0"/>
        <w:rPr>
          <w:rFonts w:hint="eastAsia" w:ascii="黑体" w:hAnsi="黑体" w:eastAsia="黑体" w:cs="黑体"/>
          <w:color w:val="auto"/>
          <w:sz w:val="62"/>
          <w:highlight w:val="none"/>
        </w:rPr>
      </w:pPr>
    </w:p>
    <w:p>
      <w:pPr>
        <w:tabs>
          <w:tab w:val="left" w:pos="7463"/>
        </w:tabs>
        <w:spacing w:line="649" w:lineRule="exact"/>
        <w:ind w:left="3050"/>
        <w:rPr>
          <w:rFonts w:hint="eastAsia" w:ascii="黑体" w:hAnsi="黑体" w:eastAsia="黑体" w:cs="黑体"/>
          <w:b/>
          <w:color w:val="auto"/>
          <w:sz w:val="32"/>
          <w:highlight w:val="none"/>
        </w:rPr>
      </w:pPr>
      <w:r>
        <w:rPr>
          <w:rFonts w:hint="eastAsia" w:ascii="黑体" w:hAnsi="黑体" w:eastAsia="黑体" w:cs="黑体"/>
          <w:color w:val="auto"/>
          <w:sz w:val="32"/>
          <w:highlight w:val="none"/>
        </w:rPr>
        <w:t>投标供应</w:t>
      </w:r>
      <w:r>
        <w:rPr>
          <w:rFonts w:hint="eastAsia" w:ascii="黑体" w:hAnsi="黑体" w:eastAsia="黑体" w:cs="黑体"/>
          <w:color w:val="auto"/>
          <w:spacing w:val="3"/>
          <w:sz w:val="32"/>
          <w:highlight w:val="none"/>
        </w:rPr>
        <w:t>商</w:t>
      </w:r>
      <w:r>
        <w:rPr>
          <w:rFonts w:hint="eastAsia" w:ascii="黑体" w:hAnsi="黑体" w:eastAsia="黑体" w:cs="黑体"/>
          <w:color w:val="auto"/>
          <w:sz w:val="32"/>
          <w:highlight w:val="none"/>
        </w:rPr>
        <w:t>：</w:t>
      </w:r>
      <w:r>
        <w:rPr>
          <w:rFonts w:hint="eastAsia" w:ascii="黑体" w:hAnsi="黑体" w:eastAsia="黑体" w:cs="黑体"/>
          <w:b/>
          <w:color w:val="auto"/>
          <w:sz w:val="32"/>
          <w:highlight w:val="none"/>
          <w:u w:val="single"/>
        </w:rPr>
        <w:tab/>
      </w:r>
    </w:p>
    <w:p>
      <w:pPr>
        <w:tabs>
          <w:tab w:val="left" w:pos="1044"/>
          <w:tab w:val="left" w:pos="1757"/>
        </w:tabs>
        <w:spacing w:line="649" w:lineRule="exact"/>
        <w:ind w:left="398"/>
        <w:jc w:val="center"/>
        <w:rPr>
          <w:rFonts w:hint="eastAsia" w:ascii="黑体" w:hAnsi="黑体" w:eastAsia="黑体" w:cs="黑体"/>
          <w:b/>
          <w:color w:val="auto"/>
          <w:sz w:val="32"/>
          <w:highlight w:val="none"/>
        </w:rPr>
      </w:pPr>
      <w:r>
        <w:rPr>
          <w:rFonts w:hint="eastAsia" w:ascii="黑体" w:hAnsi="黑体" w:eastAsia="黑体" w:cs="黑体"/>
          <w:color w:val="auto"/>
          <w:sz w:val="32"/>
          <w:highlight w:val="none"/>
          <w:u w:val="single"/>
        </w:rPr>
        <w:tab/>
      </w:r>
      <w:r>
        <w:rPr>
          <w:rFonts w:hint="eastAsia" w:ascii="黑体" w:hAnsi="黑体" w:eastAsia="黑体" w:cs="黑体"/>
          <w:color w:val="auto"/>
          <w:sz w:val="32"/>
          <w:highlight w:val="none"/>
        </w:rPr>
        <w:t xml:space="preserve">年 </w:t>
      </w:r>
      <w:r>
        <w:rPr>
          <w:rFonts w:hint="eastAsia" w:ascii="黑体" w:hAnsi="黑体" w:eastAsia="黑体" w:cs="黑体"/>
          <w:color w:val="auto"/>
          <w:sz w:val="32"/>
          <w:highlight w:val="none"/>
          <w:u w:val="single"/>
        </w:rPr>
        <w:tab/>
      </w:r>
      <w:r>
        <w:rPr>
          <w:rFonts w:hint="eastAsia" w:ascii="黑体" w:hAnsi="黑体" w:eastAsia="黑体" w:cs="黑体"/>
          <w:color w:val="auto"/>
          <w:sz w:val="32"/>
          <w:highlight w:val="none"/>
          <w:u w:val="single"/>
        </w:rPr>
        <w:t xml:space="preserve">  </w:t>
      </w:r>
      <w:r>
        <w:rPr>
          <w:rFonts w:hint="eastAsia" w:ascii="黑体" w:hAnsi="黑体" w:eastAsia="黑体" w:cs="黑体"/>
          <w:color w:val="auto"/>
          <w:sz w:val="32"/>
          <w:highlight w:val="none"/>
        </w:rPr>
        <w:t xml:space="preserve">月 </w:t>
      </w:r>
      <w:r>
        <w:rPr>
          <w:rFonts w:hint="eastAsia" w:ascii="黑体" w:hAnsi="黑体" w:eastAsia="黑体" w:cs="黑体"/>
          <w:b/>
          <w:color w:val="auto"/>
          <w:sz w:val="32"/>
          <w:highlight w:val="none"/>
          <w:u w:val="single"/>
        </w:rPr>
        <w:tab/>
      </w:r>
      <w:r>
        <w:rPr>
          <w:rFonts w:hint="eastAsia" w:ascii="黑体" w:hAnsi="黑体" w:eastAsia="黑体" w:cs="黑体"/>
          <w:color w:val="auto"/>
          <w:sz w:val="32"/>
          <w:highlight w:val="none"/>
        </w:rPr>
        <w:t>日</w:t>
      </w:r>
    </w:p>
    <w:p>
      <w:pPr>
        <w:spacing w:line="649" w:lineRule="exact"/>
        <w:jc w:val="center"/>
        <w:rPr>
          <w:rFonts w:hint="eastAsia" w:ascii="黑体" w:hAnsi="黑体" w:eastAsia="黑体" w:cs="黑体"/>
          <w:color w:val="auto"/>
          <w:sz w:val="32"/>
          <w:highlight w:val="none"/>
        </w:rPr>
        <w:sectPr>
          <w:pgSz w:w="11910" w:h="16850"/>
          <w:pgMar w:top="1440" w:right="1080" w:bottom="1440" w:left="1080" w:header="877" w:footer="1068" w:gutter="0"/>
          <w:cols w:space="720" w:num="1"/>
        </w:sectPr>
      </w:pPr>
    </w:p>
    <w:p>
      <w:pPr>
        <w:pStyle w:val="6"/>
        <w:adjustRightInd w:val="0"/>
        <w:snapToGrid w:val="0"/>
        <w:spacing w:line="400" w:lineRule="atLeast"/>
        <w:jc w:val="left"/>
        <w:rPr>
          <w:rFonts w:hint="eastAsia" w:ascii="黑体" w:hAnsi="黑体" w:eastAsia="黑体" w:cs="黑体"/>
          <w:b/>
          <w:bCs/>
          <w:sz w:val="24"/>
        </w:rPr>
      </w:pPr>
      <w:bookmarkStart w:id="84" w:name="_Toc15235"/>
      <w:bookmarkStart w:id="85" w:name="_Toc27014"/>
      <w:bookmarkStart w:id="86" w:name="_Toc39945705"/>
      <w:bookmarkStart w:id="87" w:name="_Toc39669644"/>
      <w:r>
        <w:rPr>
          <w:rFonts w:hint="eastAsia" w:ascii="黑体" w:hAnsi="黑体" w:eastAsia="黑体" w:cs="黑体"/>
          <w:b/>
          <w:bCs/>
          <w:sz w:val="24"/>
        </w:rPr>
        <w:t>附件一：投 标 书</w:t>
      </w:r>
      <w:bookmarkEnd w:id="84"/>
      <w:bookmarkEnd w:id="85"/>
      <w:bookmarkEnd w:id="86"/>
      <w:bookmarkEnd w:id="87"/>
    </w:p>
    <w:p>
      <w:pPr>
        <w:adjustRightInd w:val="0"/>
        <w:snapToGrid w:val="0"/>
        <w:spacing w:line="400" w:lineRule="atLeast"/>
        <w:rPr>
          <w:rFonts w:hint="eastAsia" w:ascii="黑体" w:hAnsi="黑体" w:eastAsia="黑体" w:cs="黑体"/>
          <w:sz w:val="24"/>
          <w:u w:val="single"/>
        </w:rPr>
      </w:pPr>
      <w:r>
        <w:rPr>
          <w:rFonts w:hint="eastAsia" w:ascii="黑体" w:hAnsi="黑体" w:eastAsia="黑体" w:cs="黑体"/>
          <w:sz w:val="24"/>
        </w:rPr>
        <w:t>致：</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 xml:space="preserve">                    </w:t>
      </w:r>
      <w:r>
        <w:rPr>
          <w:rFonts w:hint="eastAsia" w:ascii="黑体" w:hAnsi="黑体" w:eastAsia="黑体" w:cs="黑体"/>
          <w:sz w:val="24"/>
          <w:u w:val="single"/>
        </w:rPr>
        <w:t xml:space="preserve">  </w:t>
      </w:r>
    </w:p>
    <w:p>
      <w:pPr>
        <w:adjustRightInd w:val="0"/>
        <w:snapToGrid w:val="0"/>
        <w:spacing w:line="400" w:lineRule="atLeast"/>
        <w:ind w:firstLine="555"/>
        <w:rPr>
          <w:rFonts w:hint="eastAsia" w:ascii="黑体" w:hAnsi="黑体" w:eastAsia="黑体" w:cs="黑体"/>
          <w:sz w:val="24"/>
        </w:rPr>
      </w:pPr>
      <w:r>
        <w:rPr>
          <w:rFonts w:hint="eastAsia" w:ascii="黑体" w:hAnsi="黑体" w:eastAsia="黑体" w:cs="黑体"/>
          <w:sz w:val="24"/>
        </w:rPr>
        <w:t>根据贵方为</w:t>
      </w:r>
      <w:r>
        <w:rPr>
          <w:rFonts w:hint="eastAsia" w:ascii="黑体" w:hAnsi="黑体" w:eastAsia="黑体" w:cs="黑体"/>
          <w:sz w:val="24"/>
          <w:u w:val="single"/>
        </w:rPr>
        <w:t xml:space="preserve">　　　（项目名称）    </w:t>
      </w:r>
      <w:r>
        <w:rPr>
          <w:rFonts w:hint="eastAsia" w:ascii="黑体" w:hAnsi="黑体" w:eastAsia="黑体" w:cs="黑体"/>
          <w:sz w:val="24"/>
        </w:rPr>
        <w:t>项目</w:t>
      </w:r>
      <w:r>
        <w:rPr>
          <w:rFonts w:hint="eastAsia" w:ascii="黑体" w:hAnsi="黑体" w:eastAsia="黑体" w:cs="黑体"/>
          <w:sz w:val="24"/>
          <w:lang w:val="en-US" w:eastAsia="zh-CN"/>
        </w:rPr>
        <w:t>招标</w:t>
      </w:r>
      <w:r>
        <w:rPr>
          <w:rFonts w:hint="eastAsia" w:ascii="黑体" w:hAnsi="黑体" w:eastAsia="黑体" w:cs="黑体"/>
          <w:sz w:val="24"/>
        </w:rPr>
        <w:t>公告</w:t>
      </w:r>
      <w:r>
        <w:rPr>
          <w:rFonts w:hint="eastAsia" w:ascii="黑体" w:hAnsi="黑体" w:eastAsia="黑体" w:cs="黑体"/>
          <w:sz w:val="24"/>
          <w:u w:val="single"/>
        </w:rPr>
        <w:t>（项目编号）</w:t>
      </w:r>
      <w:r>
        <w:rPr>
          <w:rFonts w:hint="eastAsia" w:ascii="黑体" w:hAnsi="黑体" w:eastAsia="黑体" w:cs="黑体"/>
          <w:sz w:val="24"/>
        </w:rPr>
        <w:t>，签字代表</w:t>
      </w:r>
      <w:r>
        <w:rPr>
          <w:rFonts w:hint="eastAsia" w:ascii="黑体" w:hAnsi="黑体" w:eastAsia="黑体" w:cs="黑体"/>
          <w:sz w:val="24"/>
          <w:u w:val="single"/>
        </w:rPr>
        <w:t>（姓名、职务）</w:t>
      </w:r>
      <w:r>
        <w:rPr>
          <w:rFonts w:hint="eastAsia" w:ascii="黑体" w:hAnsi="黑体" w:eastAsia="黑体" w:cs="黑体"/>
          <w:sz w:val="24"/>
        </w:rPr>
        <w:t>经正式授权并代表供应商</w:t>
      </w:r>
      <w:r>
        <w:rPr>
          <w:rFonts w:hint="eastAsia" w:ascii="黑体" w:hAnsi="黑体" w:eastAsia="黑体" w:cs="黑体"/>
          <w:sz w:val="24"/>
          <w:u w:val="single"/>
        </w:rPr>
        <w:t>（供应商名称、地址）</w:t>
      </w:r>
      <w:r>
        <w:rPr>
          <w:rFonts w:hint="eastAsia" w:ascii="黑体" w:hAnsi="黑体" w:eastAsia="黑体" w:cs="黑体"/>
          <w:sz w:val="24"/>
        </w:rPr>
        <w:t>提交下述文件正本一份和副本贰份。</w:t>
      </w:r>
    </w:p>
    <w:p>
      <w:pPr>
        <w:numPr>
          <w:ilvl w:val="0"/>
          <w:numId w:val="75"/>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开标一览表</w:t>
      </w:r>
    </w:p>
    <w:p>
      <w:pPr>
        <w:numPr>
          <w:ilvl w:val="0"/>
          <w:numId w:val="75"/>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投标分项报价表</w:t>
      </w:r>
    </w:p>
    <w:p>
      <w:pPr>
        <w:numPr>
          <w:ilvl w:val="0"/>
          <w:numId w:val="75"/>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规格、技术参数、功能偏离表</w:t>
      </w:r>
    </w:p>
    <w:p>
      <w:pPr>
        <w:numPr>
          <w:ilvl w:val="0"/>
          <w:numId w:val="75"/>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技术条款偏离表</w:t>
      </w:r>
    </w:p>
    <w:p>
      <w:pPr>
        <w:numPr>
          <w:ilvl w:val="0"/>
          <w:numId w:val="75"/>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商务条款偏离表</w:t>
      </w:r>
    </w:p>
    <w:p>
      <w:pPr>
        <w:numPr>
          <w:ilvl w:val="0"/>
          <w:numId w:val="75"/>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按</w:t>
      </w:r>
      <w:r>
        <w:rPr>
          <w:rFonts w:hint="eastAsia" w:ascii="黑体" w:hAnsi="黑体" w:eastAsia="黑体" w:cs="黑体"/>
          <w:sz w:val="24"/>
          <w:lang w:val="en-US" w:eastAsia="zh-CN"/>
        </w:rPr>
        <w:t>招标</w:t>
      </w:r>
      <w:r>
        <w:rPr>
          <w:rFonts w:hint="eastAsia" w:ascii="黑体" w:hAnsi="黑体" w:eastAsia="黑体" w:cs="黑体"/>
          <w:sz w:val="24"/>
        </w:rPr>
        <w:t>文件供应商须知、技术规格要求及其他要求提供有关文件</w:t>
      </w:r>
    </w:p>
    <w:p>
      <w:pPr>
        <w:numPr>
          <w:ilvl w:val="0"/>
          <w:numId w:val="75"/>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资格证明文件</w:t>
      </w:r>
    </w:p>
    <w:p>
      <w:pPr>
        <w:numPr>
          <w:ilvl w:val="0"/>
          <w:numId w:val="75"/>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投标保证金，形式</w:t>
      </w:r>
      <w:r>
        <w:rPr>
          <w:rFonts w:hint="eastAsia" w:ascii="黑体" w:hAnsi="黑体" w:eastAsia="黑体" w:cs="黑体"/>
          <w:sz w:val="24"/>
          <w:u w:val="single"/>
        </w:rPr>
        <w:t>（汇票或电汇）</w:t>
      </w:r>
      <w:r>
        <w:rPr>
          <w:rFonts w:hint="eastAsia" w:ascii="黑体" w:hAnsi="黑体" w:eastAsia="黑体" w:cs="黑体"/>
          <w:sz w:val="24"/>
        </w:rPr>
        <w:t>，金额为</w:t>
      </w:r>
      <w:r>
        <w:rPr>
          <w:rFonts w:hint="eastAsia" w:ascii="黑体" w:hAnsi="黑体" w:eastAsia="黑体" w:cs="黑体"/>
          <w:sz w:val="24"/>
          <w:u w:val="single"/>
        </w:rPr>
        <w:t>（注明币种）</w:t>
      </w:r>
      <w:r>
        <w:rPr>
          <w:rFonts w:hint="eastAsia" w:ascii="黑体" w:hAnsi="黑体" w:eastAsia="黑体" w:cs="黑体"/>
          <w:sz w:val="24"/>
        </w:rPr>
        <w:t>。</w:t>
      </w:r>
    </w:p>
    <w:p>
      <w:pPr>
        <w:adjustRightInd w:val="0"/>
        <w:snapToGrid w:val="0"/>
        <w:spacing w:line="400" w:lineRule="atLeast"/>
        <w:ind w:firstLine="555"/>
        <w:rPr>
          <w:rFonts w:hint="eastAsia" w:ascii="黑体" w:hAnsi="黑体" w:eastAsia="黑体" w:cs="黑体"/>
          <w:sz w:val="24"/>
        </w:rPr>
      </w:pPr>
      <w:r>
        <w:rPr>
          <w:rFonts w:hint="eastAsia" w:ascii="黑体" w:hAnsi="黑体" w:eastAsia="黑体" w:cs="黑体"/>
          <w:sz w:val="24"/>
        </w:rPr>
        <w:t>据此函，签字代表宣布同意如下：</w:t>
      </w:r>
    </w:p>
    <w:p>
      <w:pPr>
        <w:adjustRightInd w:val="0"/>
        <w:snapToGrid w:val="0"/>
        <w:spacing w:line="400" w:lineRule="atLeast"/>
        <w:ind w:left="1112" w:hanging="560"/>
        <w:rPr>
          <w:rFonts w:hint="eastAsia" w:ascii="黑体" w:hAnsi="黑体" w:eastAsia="黑体" w:cs="黑体"/>
          <w:sz w:val="24"/>
        </w:rPr>
      </w:pPr>
      <w:r>
        <w:rPr>
          <w:rFonts w:hint="eastAsia" w:ascii="黑体" w:hAnsi="黑体" w:eastAsia="黑体" w:cs="黑体"/>
          <w:sz w:val="24"/>
        </w:rPr>
        <w:t>1．所附投标报价表中规定的应提交和交付的货物和服务投标总价为</w:t>
      </w:r>
      <w:r>
        <w:rPr>
          <w:rFonts w:hint="eastAsia" w:ascii="黑体" w:hAnsi="黑体" w:eastAsia="黑体" w:cs="黑体"/>
          <w:sz w:val="24"/>
          <w:u w:val="single"/>
        </w:rPr>
        <w:t>（注明币种，并用文字和数字表示的投标总价</w:t>
      </w:r>
      <w:r>
        <w:rPr>
          <w:rFonts w:hint="eastAsia" w:ascii="黑体" w:hAnsi="黑体" w:eastAsia="黑体" w:cs="黑体"/>
          <w:sz w:val="24"/>
        </w:rPr>
        <w:t>）。</w:t>
      </w:r>
    </w:p>
    <w:p>
      <w:pPr>
        <w:adjustRightInd w:val="0"/>
        <w:snapToGrid w:val="0"/>
        <w:spacing w:line="400" w:lineRule="atLeast"/>
        <w:ind w:firstLine="555"/>
        <w:rPr>
          <w:rFonts w:hint="eastAsia" w:ascii="黑体" w:hAnsi="黑体" w:eastAsia="黑体" w:cs="黑体"/>
          <w:sz w:val="24"/>
        </w:rPr>
      </w:pPr>
      <w:r>
        <w:rPr>
          <w:rFonts w:hint="eastAsia" w:ascii="黑体" w:hAnsi="黑体" w:eastAsia="黑体" w:cs="黑体"/>
          <w:sz w:val="24"/>
        </w:rPr>
        <w:t>2．供应商将按</w:t>
      </w:r>
      <w:r>
        <w:rPr>
          <w:rFonts w:hint="eastAsia" w:ascii="黑体" w:hAnsi="黑体" w:eastAsia="黑体" w:cs="黑体"/>
          <w:sz w:val="24"/>
          <w:lang w:val="en-US" w:eastAsia="zh-CN"/>
        </w:rPr>
        <w:t>招标</w:t>
      </w:r>
      <w:r>
        <w:rPr>
          <w:rFonts w:hint="eastAsia" w:ascii="黑体" w:hAnsi="黑体" w:eastAsia="黑体" w:cs="黑体"/>
          <w:sz w:val="24"/>
        </w:rPr>
        <w:t>文件的规定履行合同责任和义务；</w:t>
      </w:r>
    </w:p>
    <w:p>
      <w:pPr>
        <w:adjustRightInd w:val="0"/>
        <w:snapToGrid w:val="0"/>
        <w:spacing w:line="400" w:lineRule="atLeast"/>
        <w:ind w:left="1112" w:hanging="560"/>
        <w:rPr>
          <w:rFonts w:hint="eastAsia" w:ascii="黑体" w:hAnsi="黑体" w:eastAsia="黑体" w:cs="黑体"/>
          <w:sz w:val="24"/>
        </w:rPr>
      </w:pPr>
      <w:r>
        <w:rPr>
          <w:rFonts w:hint="eastAsia" w:ascii="黑体" w:hAnsi="黑体" w:eastAsia="黑体" w:cs="黑体"/>
          <w:sz w:val="24"/>
        </w:rPr>
        <w:t>3．供应商已详细审查全部</w:t>
      </w:r>
      <w:r>
        <w:rPr>
          <w:rFonts w:hint="eastAsia" w:ascii="黑体" w:hAnsi="黑体" w:eastAsia="黑体" w:cs="黑体"/>
          <w:sz w:val="24"/>
          <w:lang w:val="en-US" w:eastAsia="zh-CN"/>
        </w:rPr>
        <w:t>招标</w:t>
      </w:r>
      <w:r>
        <w:rPr>
          <w:rFonts w:hint="eastAsia" w:ascii="黑体" w:hAnsi="黑体" w:eastAsia="黑体" w:cs="黑体"/>
          <w:sz w:val="24"/>
        </w:rPr>
        <w:t>文件，包括修改文件（如有的话）。我们完全理解并同意放弃对这方面有不明及误解的权利。</w:t>
      </w:r>
    </w:p>
    <w:p>
      <w:pPr>
        <w:adjustRightInd w:val="0"/>
        <w:snapToGrid w:val="0"/>
        <w:spacing w:line="400" w:lineRule="atLeast"/>
        <w:ind w:firstLine="555"/>
        <w:rPr>
          <w:rFonts w:hint="eastAsia" w:ascii="黑体" w:hAnsi="黑体" w:eastAsia="黑体" w:cs="黑体"/>
          <w:sz w:val="24"/>
        </w:rPr>
      </w:pPr>
      <w:r>
        <w:rPr>
          <w:rFonts w:hint="eastAsia" w:ascii="黑体" w:hAnsi="黑体" w:eastAsia="黑体" w:cs="黑体"/>
          <w:sz w:val="24"/>
        </w:rPr>
        <w:t>4．本投标有效期自开标之日起</w:t>
      </w:r>
      <w:r>
        <w:rPr>
          <w:rFonts w:hint="eastAsia" w:ascii="黑体" w:hAnsi="黑体" w:eastAsia="黑体" w:cs="黑体"/>
          <w:sz w:val="24"/>
          <w:u w:val="single"/>
        </w:rPr>
        <w:t>　　　　</w:t>
      </w:r>
      <w:r>
        <w:rPr>
          <w:rFonts w:hint="eastAsia" w:ascii="黑体" w:hAnsi="黑体" w:eastAsia="黑体" w:cs="黑体"/>
          <w:sz w:val="24"/>
        </w:rPr>
        <w:t>个日历日。</w:t>
      </w:r>
    </w:p>
    <w:p>
      <w:pPr>
        <w:adjustRightInd w:val="0"/>
        <w:snapToGrid w:val="0"/>
        <w:spacing w:line="400" w:lineRule="atLeast"/>
        <w:ind w:left="900" w:hanging="348"/>
        <w:rPr>
          <w:rFonts w:hint="eastAsia" w:ascii="黑体" w:hAnsi="黑体" w:eastAsia="黑体" w:cs="黑体"/>
          <w:sz w:val="24"/>
        </w:rPr>
      </w:pPr>
      <w:r>
        <w:rPr>
          <w:rFonts w:hint="eastAsia" w:ascii="黑体" w:hAnsi="黑体" w:eastAsia="黑体" w:cs="黑体"/>
          <w:sz w:val="24"/>
        </w:rPr>
        <w:t>5．如果在规定的开标时间后，供应商在投标有效期内撤回投标，其投标保证金将被贵方没收。</w:t>
      </w:r>
    </w:p>
    <w:p>
      <w:pPr>
        <w:adjustRightInd w:val="0"/>
        <w:snapToGrid w:val="0"/>
        <w:spacing w:line="400" w:lineRule="atLeast"/>
        <w:ind w:left="900" w:hanging="335"/>
        <w:rPr>
          <w:rFonts w:hint="eastAsia" w:ascii="黑体" w:hAnsi="黑体" w:eastAsia="黑体" w:cs="黑体"/>
          <w:sz w:val="24"/>
        </w:rPr>
      </w:pPr>
      <w:r>
        <w:rPr>
          <w:rFonts w:hint="eastAsia" w:ascii="黑体" w:hAnsi="黑体" w:eastAsia="黑体" w:cs="黑体"/>
          <w:sz w:val="24"/>
        </w:rPr>
        <w:t>6．供应商同意提供按照贵方可能要求的与其投标有关的一切数据或资料，完全理解贵方不一定要接受最低价的投标或收到的任何投标。</w:t>
      </w:r>
    </w:p>
    <w:p>
      <w:pPr>
        <w:adjustRightInd w:val="0"/>
        <w:snapToGrid w:val="0"/>
        <w:spacing w:line="400" w:lineRule="atLeast"/>
        <w:ind w:firstLine="570"/>
        <w:rPr>
          <w:rFonts w:hint="eastAsia" w:ascii="黑体" w:hAnsi="黑体" w:eastAsia="黑体" w:cs="黑体"/>
          <w:sz w:val="24"/>
        </w:rPr>
      </w:pPr>
      <w:r>
        <w:rPr>
          <w:rFonts w:hint="eastAsia" w:ascii="黑体" w:hAnsi="黑体" w:eastAsia="黑体" w:cs="黑体"/>
          <w:sz w:val="24"/>
        </w:rPr>
        <w:t>7．与本投标有关的一切正式往来信函请寄：</w:t>
      </w:r>
    </w:p>
    <w:p>
      <w:pPr>
        <w:adjustRightInd w:val="0"/>
        <w:snapToGrid w:val="0"/>
        <w:spacing w:line="400" w:lineRule="atLeast"/>
        <w:ind w:firstLine="280"/>
        <w:rPr>
          <w:rFonts w:hint="eastAsia" w:ascii="黑体" w:hAnsi="黑体" w:eastAsia="黑体" w:cs="黑体"/>
          <w:sz w:val="24"/>
        </w:rPr>
      </w:pPr>
      <w:r>
        <w:rPr>
          <w:rFonts w:hint="eastAsia" w:ascii="黑体" w:hAnsi="黑体" w:eastAsia="黑体" w:cs="黑体"/>
          <w:sz w:val="24"/>
        </w:rPr>
        <w:t>地址：</w:t>
      </w:r>
      <w:r>
        <w:rPr>
          <w:rFonts w:hint="eastAsia" w:ascii="黑体" w:hAnsi="黑体" w:eastAsia="黑体" w:cs="黑体"/>
          <w:sz w:val="24"/>
          <w:u w:val="single"/>
        </w:rPr>
        <w:t>　　　　　　　　    　　</w:t>
      </w:r>
      <w:r>
        <w:rPr>
          <w:rFonts w:hint="eastAsia" w:ascii="黑体" w:hAnsi="黑体" w:eastAsia="黑体" w:cs="黑体"/>
          <w:sz w:val="24"/>
        </w:rPr>
        <w:t>邮编：</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电话：</w:t>
      </w:r>
      <w:r>
        <w:rPr>
          <w:rFonts w:hint="eastAsia" w:ascii="黑体" w:hAnsi="黑体" w:eastAsia="黑体" w:cs="黑体"/>
          <w:sz w:val="24"/>
          <w:u w:val="single"/>
        </w:rPr>
        <w:t xml:space="preserve">　　　　　　　　　　    </w:t>
      </w:r>
      <w:r>
        <w:rPr>
          <w:rFonts w:hint="eastAsia" w:ascii="黑体" w:hAnsi="黑体" w:eastAsia="黑体" w:cs="黑体"/>
          <w:sz w:val="24"/>
        </w:rPr>
        <w:t>传真：</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w:t>
      </w:r>
      <w:r>
        <w:rPr>
          <w:rFonts w:hint="eastAsia" w:ascii="黑体" w:hAnsi="黑体" w:eastAsia="黑体" w:cs="黑体"/>
          <w:sz w:val="24"/>
          <w:lang w:eastAsia="zh-CN"/>
        </w:rPr>
        <w:t>供应商法人或授权代表签字</w:t>
      </w:r>
      <w:r>
        <w:rPr>
          <w:rFonts w:hint="eastAsia" w:ascii="黑体" w:hAnsi="黑体" w:eastAsia="黑体" w:cs="黑体"/>
          <w:sz w:val="24"/>
        </w:rPr>
        <w:t>：</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供应商名称：</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公      章：</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日　　　期：</w:t>
      </w:r>
      <w:r>
        <w:rPr>
          <w:rFonts w:hint="eastAsia" w:ascii="黑体" w:hAnsi="黑体" w:eastAsia="黑体" w:cs="黑体"/>
          <w:sz w:val="24"/>
          <w:u w:val="single"/>
        </w:rPr>
        <w:t>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w:t>
      </w:r>
      <w:r>
        <w:rPr>
          <w:rFonts w:hint="eastAsia" w:ascii="黑体" w:hAnsi="黑体" w:eastAsia="黑体" w:cs="黑体"/>
          <w:sz w:val="24"/>
          <w:u w:val="single"/>
        </w:rPr>
        <w:t xml:space="preserve">  　</w:t>
      </w:r>
      <w:r>
        <w:rPr>
          <w:rFonts w:hint="eastAsia" w:ascii="黑体" w:hAnsi="黑体" w:eastAsia="黑体" w:cs="黑体"/>
          <w:sz w:val="24"/>
        </w:rPr>
        <w:t>日</w:t>
      </w:r>
    </w:p>
    <w:p>
      <w:pPr>
        <w:adjustRightInd w:val="0"/>
        <w:snapToGrid w:val="0"/>
        <w:spacing w:line="400" w:lineRule="atLeast"/>
        <w:rPr>
          <w:rFonts w:hint="eastAsia" w:ascii="黑体" w:hAnsi="黑体" w:eastAsia="黑体" w:cs="黑体"/>
          <w:sz w:val="24"/>
        </w:rPr>
        <w:sectPr>
          <w:pgSz w:w="11907" w:h="16840"/>
          <w:pgMar w:top="1440" w:right="1080" w:bottom="1440" w:left="1080" w:header="851" w:footer="68" w:gutter="0"/>
          <w:pgNumType w:fmt="decimal"/>
          <w:cols w:space="720" w:num="1"/>
          <w:docGrid w:type="lines" w:linePitch="409" w:charSpace="0"/>
        </w:sectPr>
      </w:pPr>
    </w:p>
    <w:p>
      <w:pPr>
        <w:pStyle w:val="6"/>
        <w:jc w:val="left"/>
        <w:rPr>
          <w:rFonts w:hint="eastAsia" w:ascii="黑体" w:hAnsi="黑体" w:eastAsia="黑体" w:cs="黑体"/>
          <w:b/>
          <w:bCs/>
          <w:sz w:val="24"/>
        </w:rPr>
      </w:pPr>
      <w:bookmarkStart w:id="88" w:name="_Toc2721"/>
      <w:bookmarkStart w:id="89" w:name="_Toc39669645"/>
      <w:bookmarkStart w:id="90" w:name="_Toc39945706"/>
      <w:bookmarkStart w:id="91" w:name="_Toc18124"/>
      <w:r>
        <w:rPr>
          <w:rFonts w:hint="eastAsia" w:ascii="黑体" w:hAnsi="黑体" w:eastAsia="黑体" w:cs="黑体"/>
          <w:b/>
          <w:bCs/>
          <w:sz w:val="24"/>
        </w:rPr>
        <w:t>附件二：开标一览表</w:t>
      </w:r>
      <w:bookmarkEnd w:id="88"/>
      <w:bookmarkEnd w:id="89"/>
      <w:bookmarkEnd w:id="90"/>
      <w:bookmarkEnd w:id="91"/>
    </w:p>
    <w:p>
      <w:pPr>
        <w:spacing w:line="500" w:lineRule="exact"/>
        <w:rPr>
          <w:rFonts w:hint="eastAsia" w:ascii="黑体" w:hAnsi="黑体" w:eastAsia="黑体" w:cs="黑体"/>
          <w:color w:val="auto"/>
          <w:sz w:val="24"/>
          <w:highlight w:val="none"/>
          <w:u w:val="single"/>
          <w:lang w:val="en-US" w:eastAsia="zh-CN"/>
        </w:rPr>
      </w:pPr>
      <w:r>
        <w:rPr>
          <w:rFonts w:hint="eastAsia" w:ascii="黑体" w:hAnsi="黑体" w:eastAsia="黑体" w:cs="黑体"/>
          <w:color w:val="auto"/>
          <w:sz w:val="24"/>
          <w:highlight w:val="none"/>
        </w:rPr>
        <w:t>项目名称：</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u w:val="single"/>
        </w:rPr>
        <w:t xml:space="preserve">  </w:t>
      </w:r>
      <w:r>
        <w:rPr>
          <w:rFonts w:hint="eastAsia" w:ascii="黑体" w:hAnsi="黑体" w:eastAsia="黑体" w:cs="黑体"/>
          <w:sz w:val="24"/>
        </w:rPr>
        <w:t>项目编号/包号：</w:t>
      </w:r>
      <w:r>
        <w:rPr>
          <w:rFonts w:hint="eastAsia" w:ascii="黑体" w:hAnsi="黑体" w:eastAsia="黑体" w:cs="黑体"/>
          <w:color w:val="auto"/>
          <w:sz w:val="24"/>
          <w:highlight w:val="none"/>
          <w:lang w:val="en-US" w:eastAsia="zh-CN"/>
        </w:rPr>
        <w:t xml:space="preserve"> </w:t>
      </w:r>
      <w:r>
        <w:rPr>
          <w:rFonts w:hint="eastAsia" w:ascii="黑体" w:hAnsi="黑体" w:eastAsia="黑体" w:cs="黑体"/>
          <w:color w:val="auto"/>
          <w:sz w:val="24"/>
          <w:highlight w:val="none"/>
          <w:u w:val="single"/>
          <w:lang w:val="en-US" w:eastAsia="zh-CN"/>
        </w:rPr>
        <w:t xml:space="preserve">                      </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供应商</w:t>
            </w:r>
            <w:r>
              <w:rPr>
                <w:rFonts w:hint="eastAsia" w:ascii="黑体" w:hAnsi="黑体" w:eastAsia="黑体" w:cs="黑体"/>
                <w:color w:val="auto"/>
                <w:highlight w:val="none"/>
              </w:rPr>
              <w:t>名称</w:t>
            </w:r>
          </w:p>
        </w:tc>
        <w:tc>
          <w:tcPr>
            <w:tcW w:w="8126" w:type="dxa"/>
          </w:tcPr>
          <w:p>
            <w:pPr>
              <w:pStyle w:val="64"/>
              <w:spacing w:line="500" w:lineRule="exact"/>
              <w:jc w:val="both"/>
              <w:rPr>
                <w:rFonts w:hint="eastAsia" w:ascii="黑体" w:hAnsi="黑体" w:eastAsia="黑体" w:cs="黑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rPr>
              <w:t>投标报价</w:t>
            </w:r>
          </w:p>
        </w:tc>
        <w:tc>
          <w:tcPr>
            <w:tcW w:w="8126" w:type="dxa"/>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tcPr>
          <w:p>
            <w:pPr>
              <w:pStyle w:val="64"/>
              <w:spacing w:line="500" w:lineRule="exact"/>
              <w:jc w:val="both"/>
              <w:rPr>
                <w:rFonts w:hint="eastAsia" w:ascii="黑体" w:hAnsi="黑体" w:eastAsia="黑体" w:cs="黑体"/>
                <w:color w:val="auto"/>
                <w:highlight w:val="none"/>
              </w:rPr>
            </w:pPr>
          </w:p>
        </w:tc>
        <w:tc>
          <w:tcPr>
            <w:tcW w:w="8126" w:type="dxa"/>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rPr>
              <w:t>交货期</w:t>
            </w:r>
          </w:p>
        </w:tc>
        <w:tc>
          <w:tcPr>
            <w:tcW w:w="8126" w:type="dxa"/>
          </w:tcPr>
          <w:p>
            <w:pPr>
              <w:pStyle w:val="64"/>
              <w:spacing w:line="500" w:lineRule="exact"/>
              <w:jc w:val="both"/>
              <w:rPr>
                <w:rFonts w:hint="eastAsia" w:ascii="黑体" w:hAnsi="黑体" w:eastAsia="黑体" w:cs="黑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64"/>
              <w:spacing w:line="500" w:lineRule="exact"/>
              <w:jc w:val="both"/>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质保期</w:t>
            </w:r>
          </w:p>
        </w:tc>
        <w:tc>
          <w:tcPr>
            <w:tcW w:w="8126" w:type="dxa"/>
          </w:tcPr>
          <w:p>
            <w:pPr>
              <w:pStyle w:val="64"/>
              <w:spacing w:line="500" w:lineRule="exact"/>
              <w:jc w:val="both"/>
              <w:rPr>
                <w:rFonts w:hint="eastAsia" w:ascii="黑体" w:hAnsi="黑体" w:eastAsia="黑体" w:cs="黑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64"/>
              <w:spacing w:line="500" w:lineRule="exact"/>
              <w:jc w:val="both"/>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备注</w:t>
            </w:r>
          </w:p>
        </w:tc>
        <w:tc>
          <w:tcPr>
            <w:tcW w:w="8126" w:type="dxa"/>
          </w:tcPr>
          <w:p>
            <w:pPr>
              <w:pStyle w:val="64"/>
              <w:spacing w:line="500" w:lineRule="exact"/>
              <w:jc w:val="both"/>
              <w:rPr>
                <w:rFonts w:hint="eastAsia" w:ascii="黑体" w:hAnsi="黑体" w:eastAsia="黑体" w:cs="黑体"/>
                <w:color w:val="auto"/>
                <w:highlight w:val="none"/>
              </w:rPr>
            </w:pPr>
          </w:p>
        </w:tc>
      </w:tr>
    </w:tbl>
    <w:p>
      <w:pPr>
        <w:pStyle w:val="64"/>
        <w:spacing w:line="500" w:lineRule="exact"/>
        <w:rPr>
          <w:rFonts w:hint="eastAsia" w:ascii="黑体" w:hAnsi="黑体" w:eastAsia="黑体" w:cs="黑体"/>
          <w:color w:val="auto"/>
          <w:highlight w:val="none"/>
        </w:rPr>
      </w:pPr>
      <w:r>
        <w:rPr>
          <w:rFonts w:hint="eastAsia" w:ascii="黑体" w:hAnsi="黑体" w:eastAsia="黑体" w:cs="黑体"/>
          <w:color w:val="auto"/>
          <w:highlight w:val="none"/>
        </w:rPr>
        <w:t>兹声明：以上投标报价在投标有效期内一直有效。</w:t>
      </w:r>
    </w:p>
    <w:p>
      <w:pPr>
        <w:spacing w:line="500" w:lineRule="exact"/>
        <w:rPr>
          <w:rFonts w:hint="eastAsia" w:ascii="黑体" w:hAnsi="黑体" w:eastAsia="黑体" w:cs="黑体"/>
          <w:bCs/>
          <w:color w:val="auto"/>
          <w:sz w:val="24"/>
          <w:highlight w:val="none"/>
        </w:rPr>
      </w:pPr>
      <w:r>
        <w:rPr>
          <w:rFonts w:hint="eastAsia" w:ascii="黑体" w:hAnsi="黑体" w:eastAsia="黑体" w:cs="黑体"/>
          <w:color w:val="auto"/>
          <w:highlight w:val="none"/>
          <w:lang w:val="en-US" w:eastAsia="zh-CN"/>
        </w:rPr>
        <w:t>供应商</w:t>
      </w:r>
      <w:r>
        <w:rPr>
          <w:rFonts w:hint="eastAsia" w:ascii="黑体" w:hAnsi="黑体" w:eastAsia="黑体" w:cs="黑体"/>
          <w:color w:val="auto"/>
          <w:highlight w:val="none"/>
        </w:rPr>
        <w:t>名称</w:t>
      </w:r>
      <w:r>
        <w:rPr>
          <w:rFonts w:hint="eastAsia" w:ascii="黑体" w:hAnsi="黑体" w:eastAsia="黑体" w:cs="黑体"/>
          <w:bCs/>
          <w:color w:val="auto"/>
          <w:sz w:val="24"/>
          <w:highlight w:val="none"/>
        </w:rPr>
        <w:t>（公章）：</w:t>
      </w:r>
    </w:p>
    <w:p>
      <w:pPr>
        <w:pStyle w:val="65"/>
        <w:keepNext w:val="0"/>
        <w:keepLines w:val="0"/>
        <w:adjustRightInd/>
        <w:spacing w:before="0" w:line="500" w:lineRule="exact"/>
        <w:textAlignment w:val="auto"/>
        <w:outlineLvl w:val="9"/>
        <w:rPr>
          <w:rFonts w:hint="eastAsia" w:ascii="黑体" w:hAnsi="黑体" w:eastAsia="黑体" w:cs="黑体"/>
          <w:b w:val="0"/>
          <w:color w:val="auto"/>
          <w:kern w:val="2"/>
          <w:sz w:val="24"/>
          <w:highlight w:val="none"/>
          <w:u w:val="single"/>
          <w:lang w:val="en-US" w:eastAsia="zh-CN"/>
        </w:rPr>
      </w:pPr>
      <w:r>
        <w:rPr>
          <w:rFonts w:hint="eastAsia" w:ascii="黑体" w:hAnsi="黑体" w:eastAsia="黑体" w:cs="黑体"/>
          <w:b w:val="0"/>
          <w:bCs w:val="0"/>
          <w:sz w:val="24"/>
          <w:szCs w:val="22"/>
          <w:lang w:val="zh-CN" w:eastAsia="zh-CN" w:bidi="zh-CN"/>
        </w:rPr>
        <w:t>供应商法人或授权代表签字</w:t>
      </w:r>
      <w:r>
        <w:rPr>
          <w:rFonts w:hint="eastAsia" w:ascii="黑体" w:hAnsi="黑体" w:eastAsia="黑体" w:cs="黑体"/>
          <w:b w:val="0"/>
          <w:color w:val="auto"/>
          <w:sz w:val="24"/>
          <w:highlight w:val="none"/>
        </w:rPr>
        <w:t>：</w:t>
      </w:r>
      <w:r>
        <w:rPr>
          <w:rFonts w:hint="eastAsia" w:ascii="黑体" w:hAnsi="黑体" w:eastAsia="黑体" w:cs="黑体"/>
          <w:b w:val="0"/>
          <w:color w:val="auto"/>
          <w:sz w:val="24"/>
          <w:highlight w:val="none"/>
          <w:u w:val="single"/>
          <w:lang w:val="en-US" w:eastAsia="zh-CN"/>
        </w:rPr>
        <w:t xml:space="preserve">                       </w:t>
      </w:r>
    </w:p>
    <w:p>
      <w:pPr>
        <w:pStyle w:val="65"/>
        <w:keepNext w:val="0"/>
        <w:keepLines w:val="0"/>
        <w:adjustRightInd/>
        <w:spacing w:before="0" w:line="500" w:lineRule="exact"/>
        <w:textAlignment w:val="auto"/>
        <w:outlineLvl w:val="9"/>
        <w:rPr>
          <w:rFonts w:hint="eastAsia" w:ascii="黑体" w:hAnsi="黑体" w:eastAsia="黑体" w:cs="黑体"/>
          <w:b w:val="0"/>
          <w:color w:val="auto"/>
          <w:kern w:val="2"/>
          <w:sz w:val="24"/>
          <w:highlight w:val="none"/>
        </w:rPr>
      </w:pPr>
      <w:r>
        <w:rPr>
          <w:rFonts w:hint="eastAsia" w:ascii="黑体" w:hAnsi="黑体" w:eastAsia="黑体" w:cs="黑体"/>
          <w:b w:val="0"/>
          <w:color w:val="auto"/>
          <w:spacing w:val="36"/>
          <w:kern w:val="2"/>
          <w:sz w:val="24"/>
          <w:highlight w:val="none"/>
        </w:rPr>
        <w:t>日期</w:t>
      </w:r>
      <w:r>
        <w:rPr>
          <w:rFonts w:hint="eastAsia" w:ascii="黑体" w:hAnsi="黑体" w:eastAsia="黑体" w:cs="黑体"/>
          <w:b w:val="0"/>
          <w:color w:val="auto"/>
          <w:kern w:val="2"/>
          <w:sz w:val="24"/>
          <w:highlight w:val="none"/>
        </w:rPr>
        <w:t>：   年   月   日</w:t>
      </w:r>
    </w:p>
    <w:p>
      <w:pPr>
        <w:pStyle w:val="15"/>
        <w:rPr>
          <w:rFonts w:hint="eastAsia" w:ascii="黑体" w:hAnsi="黑体" w:eastAsia="黑体" w:cs="黑体"/>
          <w:sz w:val="24"/>
        </w:rPr>
        <w:sectPr>
          <w:pgSz w:w="11906" w:h="16838"/>
          <w:pgMar w:top="1080" w:right="1440" w:bottom="1080" w:left="1440" w:header="851" w:footer="992" w:gutter="0"/>
          <w:pgNumType w:fmt="decimal"/>
          <w:cols w:space="720" w:num="1"/>
          <w:docGrid w:type="linesAndChars" w:linePitch="312" w:charSpace="0"/>
        </w:sectPr>
      </w:pPr>
    </w:p>
    <w:p>
      <w:pPr>
        <w:pStyle w:val="6"/>
        <w:jc w:val="left"/>
        <w:rPr>
          <w:rFonts w:hint="eastAsia" w:ascii="黑体" w:hAnsi="黑体" w:eastAsia="黑体" w:cs="黑体"/>
          <w:b/>
          <w:bCs/>
          <w:sz w:val="24"/>
        </w:rPr>
      </w:pPr>
      <w:bookmarkStart w:id="92" w:name="_Toc39669646"/>
      <w:bookmarkStart w:id="93" w:name="_Toc39945707"/>
      <w:bookmarkStart w:id="94" w:name="_Toc4263"/>
      <w:bookmarkStart w:id="95" w:name="_Toc30583"/>
      <w:bookmarkStart w:id="96" w:name="_Toc277841205"/>
      <w:r>
        <w:rPr>
          <w:rFonts w:hint="eastAsia" w:ascii="黑体" w:hAnsi="黑体" w:eastAsia="黑体" w:cs="黑体"/>
          <w:b/>
          <w:bCs/>
          <w:sz w:val="24"/>
        </w:rPr>
        <w:t>附件三：分项报价表</w:t>
      </w:r>
      <w:bookmarkEnd w:id="92"/>
      <w:bookmarkEnd w:id="93"/>
      <w:bookmarkEnd w:id="94"/>
      <w:bookmarkEnd w:id="95"/>
      <w:bookmarkEnd w:id="96"/>
    </w:p>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u w:val="single"/>
        </w:rPr>
      </w:pPr>
      <w:r>
        <w:rPr>
          <w:rFonts w:hint="eastAsia" w:ascii="黑体" w:hAnsi="黑体" w:eastAsia="黑体" w:cs="黑体"/>
          <w:sz w:val="24"/>
        </w:rPr>
        <w:t>供应商名称（公章）：</w:t>
      </w:r>
      <w:r>
        <w:rPr>
          <w:rFonts w:hint="eastAsia" w:ascii="黑体" w:hAnsi="黑体" w:eastAsia="黑体" w:cs="黑体"/>
          <w:sz w:val="24"/>
          <w:u w:val="single"/>
        </w:rPr>
        <w:t xml:space="preserve">         　</w:t>
      </w:r>
      <w:r>
        <w:rPr>
          <w:rFonts w:hint="eastAsia" w:ascii="黑体" w:hAnsi="黑体" w:eastAsia="黑体" w:cs="黑体"/>
          <w:sz w:val="24"/>
        </w:rPr>
        <w:t>项目编号/包号：</w:t>
      </w:r>
      <w:r>
        <w:rPr>
          <w:rFonts w:hint="eastAsia" w:ascii="黑体" w:hAnsi="黑体" w:eastAsia="黑体" w:cs="黑体"/>
          <w:sz w:val="24"/>
          <w:u w:val="single"/>
        </w:rPr>
        <w:t xml:space="preserve">　　　　　　　　 </w:t>
      </w:r>
    </w:p>
    <w:tbl>
      <w:tblPr>
        <w:tblStyle w:val="42"/>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80"/>
        <w:gridCol w:w="732"/>
        <w:gridCol w:w="1800"/>
        <w:gridCol w:w="1032"/>
        <w:gridCol w:w="996"/>
        <w:gridCol w:w="176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0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序号</w:t>
            </w:r>
          </w:p>
        </w:tc>
        <w:tc>
          <w:tcPr>
            <w:tcW w:w="1380"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名称</w:t>
            </w:r>
          </w:p>
        </w:tc>
        <w:tc>
          <w:tcPr>
            <w:tcW w:w="732"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品牌</w:t>
            </w:r>
          </w:p>
        </w:tc>
        <w:tc>
          <w:tcPr>
            <w:tcW w:w="1800"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规格型号</w:t>
            </w:r>
          </w:p>
        </w:tc>
        <w:tc>
          <w:tcPr>
            <w:tcW w:w="1032"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制造商</w:t>
            </w:r>
          </w:p>
        </w:tc>
        <w:tc>
          <w:tcPr>
            <w:tcW w:w="996"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数量</w:t>
            </w:r>
          </w:p>
        </w:tc>
        <w:tc>
          <w:tcPr>
            <w:tcW w:w="1763"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单价</w:t>
            </w:r>
          </w:p>
        </w:tc>
        <w:tc>
          <w:tcPr>
            <w:tcW w:w="1483"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1</w:t>
            </w: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2</w:t>
            </w: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3</w:t>
            </w: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9" w:type="dxa"/>
            <w:noWrap w:val="0"/>
            <w:vAlign w:val="center"/>
          </w:tcPr>
          <w:p>
            <w:pPr>
              <w:spacing w:line="400" w:lineRule="atLeast"/>
              <w:rPr>
                <w:rFonts w:hint="eastAsia" w:ascii="黑体" w:hAnsi="黑体" w:eastAsia="黑体" w:cs="黑体"/>
                <w:sz w:val="24"/>
              </w:rPr>
            </w:pP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9" w:type="dxa"/>
            <w:noWrap w:val="0"/>
            <w:vAlign w:val="center"/>
          </w:tcPr>
          <w:p>
            <w:pPr>
              <w:spacing w:line="400" w:lineRule="atLeast"/>
              <w:rPr>
                <w:rFonts w:hint="eastAsia" w:ascii="黑体" w:hAnsi="黑体" w:eastAsia="黑体" w:cs="黑体"/>
                <w:sz w:val="24"/>
              </w:rPr>
            </w:pP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9" w:type="dxa"/>
            <w:noWrap w:val="0"/>
            <w:vAlign w:val="center"/>
          </w:tcPr>
          <w:p>
            <w:pPr>
              <w:spacing w:line="400" w:lineRule="atLeast"/>
              <w:rPr>
                <w:rFonts w:hint="eastAsia" w:ascii="黑体" w:hAnsi="黑体" w:eastAsia="黑体" w:cs="黑体"/>
                <w:sz w:val="24"/>
              </w:rPr>
            </w:pP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9" w:type="dxa"/>
            <w:noWrap w:val="0"/>
            <w:vAlign w:val="center"/>
          </w:tcPr>
          <w:p>
            <w:pPr>
              <w:spacing w:line="400" w:lineRule="atLeast"/>
              <w:jc w:val="center"/>
              <w:rPr>
                <w:rFonts w:hint="eastAsia" w:ascii="黑体" w:hAnsi="黑体" w:eastAsia="黑体" w:cs="黑体"/>
                <w:sz w:val="24"/>
              </w:rPr>
            </w:pPr>
          </w:p>
        </w:tc>
        <w:tc>
          <w:tcPr>
            <w:tcW w:w="1380" w:type="dxa"/>
            <w:noWrap w:val="0"/>
            <w:vAlign w:val="center"/>
          </w:tcPr>
          <w:p>
            <w:pPr>
              <w:spacing w:line="400" w:lineRule="atLeast"/>
              <w:rPr>
                <w:rFonts w:hint="eastAsia" w:ascii="黑体" w:hAnsi="黑体" w:eastAsia="黑体" w:cs="黑体"/>
                <w:sz w:val="24"/>
              </w:rPr>
            </w:pPr>
            <w:r>
              <w:rPr>
                <w:rFonts w:hint="eastAsia" w:ascii="黑体" w:hAnsi="黑体" w:eastAsia="黑体" w:cs="黑体"/>
                <w:sz w:val="24"/>
              </w:rPr>
              <w:t>总价</w:t>
            </w:r>
          </w:p>
        </w:tc>
        <w:tc>
          <w:tcPr>
            <w:tcW w:w="732" w:type="dxa"/>
            <w:noWrap w:val="0"/>
            <w:vAlign w:val="center"/>
          </w:tcPr>
          <w:p>
            <w:pPr>
              <w:spacing w:line="400" w:lineRule="atLeast"/>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bl>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p>
      <w:pPr>
        <w:spacing w:line="400" w:lineRule="atLeast"/>
        <w:ind w:left="2880" w:hanging="2880"/>
        <w:rPr>
          <w:rFonts w:hint="eastAsia" w:ascii="黑体" w:hAnsi="黑体" w:eastAsia="黑体" w:cs="黑体"/>
          <w:sz w:val="24"/>
        </w:rPr>
      </w:pPr>
    </w:p>
    <w:p>
      <w:pPr>
        <w:spacing w:line="400" w:lineRule="atLeast"/>
        <w:ind w:left="2880" w:hanging="2880"/>
        <w:rPr>
          <w:rFonts w:hint="eastAsia" w:ascii="黑体" w:hAnsi="黑体" w:eastAsia="黑体" w:cs="黑体"/>
          <w:sz w:val="24"/>
        </w:rPr>
      </w:pPr>
    </w:p>
    <w:p>
      <w:pPr>
        <w:spacing w:line="400" w:lineRule="atLeast"/>
        <w:ind w:left="2880" w:hanging="2880"/>
        <w:rPr>
          <w:rFonts w:hint="eastAsia" w:ascii="黑体" w:hAnsi="黑体" w:eastAsia="黑体" w:cs="黑体"/>
          <w:sz w:val="24"/>
          <w:u w:val="single"/>
        </w:rPr>
      </w:pPr>
      <w:r>
        <w:rPr>
          <w:rFonts w:hint="eastAsia" w:ascii="黑体" w:hAnsi="黑体" w:eastAsia="黑体" w:cs="黑体"/>
          <w:sz w:val="24"/>
          <w:lang w:eastAsia="zh-CN"/>
        </w:rPr>
        <w:t>供应商法人或授权代表签字</w:t>
      </w:r>
      <w:r>
        <w:rPr>
          <w:rFonts w:hint="eastAsia" w:ascii="黑体" w:hAnsi="黑体" w:eastAsia="黑体" w:cs="黑体"/>
          <w:sz w:val="24"/>
        </w:rPr>
        <w:t>：</w:t>
      </w:r>
      <w:r>
        <w:rPr>
          <w:rFonts w:hint="eastAsia" w:ascii="黑体" w:hAnsi="黑体" w:eastAsia="黑体" w:cs="黑体"/>
          <w:sz w:val="24"/>
          <w:u w:val="single"/>
        </w:rPr>
        <w:t>　　　　　　　　　　　　　　　</w:t>
      </w:r>
    </w:p>
    <w:p>
      <w:pPr>
        <w:spacing w:line="400" w:lineRule="atLeast"/>
        <w:ind w:left="2880" w:hanging="2880"/>
        <w:jc w:val="center"/>
        <w:rPr>
          <w:rFonts w:hint="eastAsia" w:ascii="黑体" w:hAnsi="黑体" w:eastAsia="黑体" w:cs="黑体"/>
          <w:b/>
          <w:sz w:val="24"/>
        </w:rPr>
      </w:pPr>
    </w:p>
    <w:p>
      <w:pPr>
        <w:pStyle w:val="6"/>
        <w:outlineLvl w:val="9"/>
        <w:rPr>
          <w:rFonts w:hint="eastAsia" w:ascii="黑体" w:hAnsi="黑体" w:eastAsia="黑体" w:cs="黑体"/>
          <w:sz w:val="24"/>
        </w:rPr>
        <w:sectPr>
          <w:headerReference r:id="rId6" w:type="default"/>
          <w:footerReference r:id="rId7" w:type="default"/>
          <w:pgSz w:w="11906" w:h="16838"/>
          <w:pgMar w:top="1440" w:right="1080" w:bottom="1440" w:left="1080" w:header="851" w:footer="992" w:gutter="0"/>
          <w:pgNumType w:fmt="decimal"/>
          <w:cols w:space="720" w:num="1"/>
          <w:docGrid w:type="linesAndChars" w:linePitch="312" w:charSpace="0"/>
        </w:sectPr>
      </w:pPr>
    </w:p>
    <w:p>
      <w:pPr>
        <w:pStyle w:val="6"/>
        <w:jc w:val="left"/>
        <w:rPr>
          <w:rFonts w:hint="eastAsia" w:ascii="黑体" w:hAnsi="黑体" w:eastAsia="黑体" w:cs="黑体"/>
          <w:b/>
          <w:bCs/>
          <w:sz w:val="24"/>
        </w:rPr>
      </w:pPr>
      <w:bookmarkStart w:id="97" w:name="_Toc4158"/>
      <w:bookmarkStart w:id="98" w:name="_Toc13526"/>
      <w:r>
        <w:rPr>
          <w:rFonts w:hint="eastAsia" w:ascii="黑体" w:hAnsi="黑体" w:eastAsia="黑体" w:cs="黑体"/>
          <w:b/>
          <w:bCs/>
          <w:sz w:val="24"/>
        </w:rPr>
        <w:t>附件四：</w:t>
      </w:r>
      <w:r>
        <w:rPr>
          <w:rFonts w:hint="eastAsia" w:ascii="黑体" w:hAnsi="黑体" w:eastAsia="黑体" w:cs="黑体"/>
          <w:b/>
          <w:bCs/>
          <w:sz w:val="24"/>
          <w:szCs w:val="24"/>
        </w:rPr>
        <w:t>法定代表人身份证明书</w:t>
      </w:r>
      <w:bookmarkEnd w:id="97"/>
      <w:bookmarkEnd w:id="98"/>
    </w:p>
    <w:p>
      <w:pPr>
        <w:jc w:val="left"/>
        <w:rPr>
          <w:rFonts w:hint="eastAsia" w:ascii="黑体" w:hAnsi="黑体" w:eastAsia="黑体" w:cs="黑体"/>
          <w:sz w:val="24"/>
          <w:szCs w:val="24"/>
        </w:rPr>
      </w:pPr>
    </w:p>
    <w:p>
      <w:pPr>
        <w:jc w:val="left"/>
        <w:rPr>
          <w:rFonts w:hint="eastAsia" w:ascii="黑体" w:hAnsi="黑体" w:eastAsia="黑体" w:cs="黑体"/>
          <w:sz w:val="24"/>
          <w:szCs w:val="24"/>
        </w:rPr>
      </w:pPr>
      <w:r>
        <w:rPr>
          <w:rFonts w:hint="eastAsia" w:ascii="黑体" w:hAnsi="黑体" w:eastAsia="黑体" w:cs="黑体"/>
          <w:sz w:val="24"/>
          <w:szCs w:val="24"/>
        </w:rPr>
        <w:t>单位名称：</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p>
    <w:p>
      <w:pPr>
        <w:jc w:val="left"/>
        <w:rPr>
          <w:rFonts w:hint="eastAsia" w:ascii="黑体" w:hAnsi="黑体" w:eastAsia="黑体" w:cs="黑体"/>
          <w:sz w:val="24"/>
          <w:szCs w:val="24"/>
          <w:u w:val="single"/>
        </w:rPr>
      </w:pPr>
      <w:r>
        <w:rPr>
          <w:rFonts w:hint="eastAsia" w:ascii="黑体" w:hAnsi="黑体" w:eastAsia="黑体" w:cs="黑体"/>
          <w:sz w:val="24"/>
          <w:szCs w:val="24"/>
        </w:rPr>
        <w:t>单位性质：</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p>
    <w:p>
      <w:pPr>
        <w:jc w:val="left"/>
        <w:rPr>
          <w:rFonts w:hint="eastAsia" w:ascii="黑体" w:hAnsi="黑体" w:eastAsia="黑体" w:cs="黑体"/>
          <w:sz w:val="24"/>
          <w:szCs w:val="24"/>
          <w:u w:val="single"/>
        </w:rPr>
      </w:pPr>
      <w:r>
        <w:rPr>
          <w:rFonts w:hint="eastAsia" w:ascii="黑体" w:hAnsi="黑体" w:eastAsia="黑体" w:cs="黑体"/>
          <w:sz w:val="24"/>
          <w:szCs w:val="24"/>
        </w:rPr>
        <w:t>地    址：</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 xml:space="preserve">  </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 xml:space="preserve">       </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p>
    <w:p>
      <w:pPr>
        <w:jc w:val="left"/>
        <w:rPr>
          <w:rFonts w:hint="eastAsia" w:ascii="黑体" w:hAnsi="黑体" w:eastAsia="黑体" w:cs="黑体"/>
          <w:sz w:val="24"/>
          <w:szCs w:val="24"/>
        </w:rPr>
      </w:pPr>
      <w:r>
        <w:rPr>
          <w:rFonts w:hint="eastAsia" w:ascii="黑体" w:hAnsi="黑体" w:eastAsia="黑体" w:cs="黑体"/>
          <w:sz w:val="24"/>
          <w:szCs w:val="24"/>
        </w:rPr>
        <w:t>成立时间：</w:t>
      </w:r>
      <w:r>
        <w:rPr>
          <w:rFonts w:hint="eastAsia" w:ascii="黑体" w:hAnsi="黑体" w:eastAsia="黑体" w:cs="黑体"/>
          <w:sz w:val="24"/>
          <w:szCs w:val="24"/>
          <w:u w:val="single"/>
        </w:rPr>
        <w:t xml:space="preserve">            </w:t>
      </w:r>
      <w:r>
        <w:rPr>
          <w:rFonts w:hint="eastAsia" w:ascii="黑体" w:hAnsi="黑体" w:eastAsia="黑体" w:cs="黑体"/>
          <w:sz w:val="24"/>
          <w:szCs w:val="24"/>
        </w:rPr>
        <w:t>年</w:t>
      </w:r>
      <w:r>
        <w:rPr>
          <w:rFonts w:hint="eastAsia" w:ascii="黑体" w:hAnsi="黑体" w:eastAsia="黑体" w:cs="黑体"/>
          <w:sz w:val="24"/>
          <w:szCs w:val="24"/>
          <w:u w:val="single"/>
        </w:rPr>
        <w:t xml:space="preserve">                </w:t>
      </w:r>
      <w:r>
        <w:rPr>
          <w:rFonts w:hint="eastAsia" w:ascii="黑体" w:hAnsi="黑体" w:eastAsia="黑体" w:cs="黑体"/>
          <w:sz w:val="24"/>
          <w:szCs w:val="24"/>
        </w:rPr>
        <w:t>月</w:t>
      </w:r>
      <w:r>
        <w:rPr>
          <w:rFonts w:hint="eastAsia" w:ascii="黑体" w:hAnsi="黑体" w:eastAsia="黑体" w:cs="黑体"/>
          <w:sz w:val="24"/>
          <w:szCs w:val="24"/>
          <w:u w:val="single"/>
        </w:rPr>
        <w:t xml:space="preserve">                  </w:t>
      </w:r>
      <w:r>
        <w:rPr>
          <w:rFonts w:hint="eastAsia" w:ascii="黑体" w:hAnsi="黑体" w:eastAsia="黑体" w:cs="黑体"/>
          <w:sz w:val="24"/>
          <w:szCs w:val="24"/>
        </w:rPr>
        <w:t>日</w:t>
      </w:r>
    </w:p>
    <w:p>
      <w:pPr>
        <w:jc w:val="left"/>
        <w:rPr>
          <w:rFonts w:hint="eastAsia" w:ascii="黑体" w:hAnsi="黑体" w:eastAsia="黑体" w:cs="黑体"/>
          <w:sz w:val="24"/>
          <w:szCs w:val="24"/>
          <w:u w:val="single"/>
        </w:rPr>
      </w:pPr>
      <w:r>
        <w:rPr>
          <w:rFonts w:hint="eastAsia" w:ascii="黑体" w:hAnsi="黑体" w:eastAsia="黑体" w:cs="黑体"/>
          <w:sz w:val="24"/>
          <w:szCs w:val="24"/>
        </w:rPr>
        <w:t>经营期限：</w:t>
      </w:r>
      <w:r>
        <w:rPr>
          <w:rFonts w:hint="eastAsia" w:ascii="黑体" w:hAnsi="黑体" w:eastAsia="黑体" w:cs="黑体"/>
          <w:sz w:val="24"/>
          <w:szCs w:val="24"/>
          <w:u w:val="single"/>
        </w:rPr>
        <w:tab/>
      </w:r>
      <w:r>
        <w:rPr>
          <w:rFonts w:hint="eastAsia" w:ascii="黑体" w:hAnsi="黑体" w:eastAsia="黑体" w:cs="黑体"/>
          <w:sz w:val="24"/>
          <w:szCs w:val="24"/>
          <w:u w:val="single"/>
        </w:rPr>
        <w:t xml:space="preserve">                                               </w:t>
      </w:r>
      <w:r>
        <w:rPr>
          <w:rFonts w:hint="eastAsia" w:ascii="黑体" w:hAnsi="黑体" w:eastAsia="黑体" w:cs="黑体"/>
          <w:sz w:val="24"/>
          <w:szCs w:val="24"/>
          <w:u w:val="single"/>
        </w:rPr>
        <w:tab/>
      </w:r>
    </w:p>
    <w:p>
      <w:pPr>
        <w:jc w:val="left"/>
        <w:rPr>
          <w:rFonts w:hint="eastAsia" w:ascii="黑体" w:hAnsi="黑体" w:eastAsia="黑体" w:cs="黑体"/>
          <w:sz w:val="24"/>
          <w:szCs w:val="24"/>
          <w:u w:val="single"/>
        </w:rPr>
      </w:pPr>
      <w:r>
        <w:rPr>
          <w:rFonts w:hint="eastAsia" w:ascii="黑体" w:hAnsi="黑体" w:eastAsia="黑体" w:cs="黑体"/>
          <w:sz w:val="24"/>
          <w:szCs w:val="24"/>
        </w:rPr>
        <w:t>姓    名：</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性别：</w:t>
      </w:r>
      <w:r>
        <w:rPr>
          <w:rFonts w:hint="eastAsia" w:ascii="黑体" w:hAnsi="黑体" w:eastAsia="黑体" w:cs="黑体"/>
          <w:sz w:val="24"/>
          <w:szCs w:val="24"/>
          <w:u w:val="single"/>
        </w:rPr>
        <w:t xml:space="preserve">      </w:t>
      </w:r>
      <w:r>
        <w:rPr>
          <w:rFonts w:hint="eastAsia" w:ascii="黑体" w:hAnsi="黑体" w:eastAsia="黑体" w:cs="黑体"/>
          <w:sz w:val="24"/>
          <w:szCs w:val="24"/>
        </w:rPr>
        <w:t>年龄：</w:t>
      </w:r>
      <w:r>
        <w:rPr>
          <w:rFonts w:hint="eastAsia" w:ascii="黑体" w:hAnsi="黑体" w:eastAsia="黑体" w:cs="黑体"/>
          <w:sz w:val="24"/>
          <w:szCs w:val="24"/>
          <w:u w:val="single"/>
        </w:rPr>
        <w:t xml:space="preserve">        </w:t>
      </w:r>
      <w:r>
        <w:rPr>
          <w:rFonts w:hint="eastAsia" w:ascii="黑体" w:hAnsi="黑体" w:eastAsia="黑体" w:cs="黑体"/>
          <w:sz w:val="24"/>
          <w:szCs w:val="24"/>
        </w:rPr>
        <w:t>职务：</w:t>
      </w:r>
      <w:r>
        <w:rPr>
          <w:rFonts w:hint="eastAsia" w:ascii="黑体" w:hAnsi="黑体" w:eastAsia="黑体" w:cs="黑体"/>
          <w:sz w:val="24"/>
          <w:szCs w:val="24"/>
          <w:u w:val="single"/>
        </w:rPr>
        <w:tab/>
      </w:r>
      <w:r>
        <w:rPr>
          <w:rFonts w:hint="eastAsia" w:ascii="黑体" w:hAnsi="黑体" w:eastAsia="黑体" w:cs="黑体"/>
          <w:sz w:val="24"/>
          <w:szCs w:val="24"/>
          <w:u w:val="single"/>
        </w:rPr>
        <w:t xml:space="preserve">       </w:t>
      </w:r>
    </w:p>
    <w:p>
      <w:pPr>
        <w:jc w:val="left"/>
        <w:rPr>
          <w:rFonts w:hint="eastAsia" w:ascii="黑体" w:hAnsi="黑体" w:eastAsia="黑体" w:cs="黑体"/>
          <w:sz w:val="24"/>
          <w:szCs w:val="24"/>
          <w:u w:val="single"/>
        </w:rPr>
      </w:pPr>
      <w:r>
        <w:rPr>
          <w:rFonts w:hint="eastAsia" w:ascii="黑体" w:hAnsi="黑体" w:eastAsia="黑体" w:cs="黑体"/>
          <w:sz w:val="24"/>
          <w:szCs w:val="24"/>
        </w:rPr>
        <w:t>身份证号码：</w:t>
      </w:r>
      <w:r>
        <w:rPr>
          <w:rFonts w:hint="eastAsia" w:ascii="黑体" w:hAnsi="黑体" w:eastAsia="黑体" w:cs="黑体"/>
          <w:sz w:val="24"/>
          <w:szCs w:val="24"/>
          <w:u w:val="single"/>
        </w:rPr>
        <w:t xml:space="preserve">        （请随附身份证复印件并加盖申请人单位公章）</w:t>
      </w:r>
      <w:r>
        <w:rPr>
          <w:rFonts w:hint="eastAsia" w:ascii="黑体" w:hAnsi="黑体" w:eastAsia="黑体" w:cs="黑体"/>
          <w:sz w:val="24"/>
          <w:szCs w:val="24"/>
        </w:rPr>
        <w:t xml:space="preserve"> </w:t>
      </w:r>
    </w:p>
    <w:p>
      <w:pPr>
        <w:jc w:val="left"/>
        <w:rPr>
          <w:rFonts w:hint="eastAsia" w:ascii="黑体" w:hAnsi="黑体" w:eastAsia="黑体" w:cs="黑体"/>
          <w:sz w:val="24"/>
          <w:szCs w:val="24"/>
        </w:rPr>
      </w:pPr>
      <w:r>
        <w:rPr>
          <w:rFonts w:hint="eastAsia" w:ascii="黑体" w:hAnsi="黑体" w:eastAsia="黑体" w:cs="黑体"/>
          <w:sz w:val="24"/>
          <w:szCs w:val="24"/>
        </w:rPr>
        <w:t>系</w:t>
      </w:r>
      <w:r>
        <w:rPr>
          <w:rFonts w:hint="eastAsia" w:ascii="黑体" w:hAnsi="黑体" w:eastAsia="黑体" w:cs="黑体"/>
          <w:sz w:val="24"/>
          <w:szCs w:val="24"/>
          <w:u w:val="single"/>
        </w:rPr>
        <w:t xml:space="preserve">               （申请人单位名称）         </w:t>
      </w:r>
      <w:r>
        <w:rPr>
          <w:rFonts w:hint="eastAsia" w:ascii="黑体" w:hAnsi="黑体" w:eastAsia="黑体" w:cs="黑体"/>
          <w:sz w:val="24"/>
          <w:szCs w:val="24"/>
        </w:rPr>
        <w:t>的法定代表人。</w:t>
      </w:r>
    </w:p>
    <w:p>
      <w:pPr>
        <w:jc w:val="left"/>
        <w:rPr>
          <w:rFonts w:hint="eastAsia" w:ascii="黑体" w:hAnsi="黑体" w:eastAsia="黑体" w:cs="黑体"/>
          <w:sz w:val="24"/>
          <w:szCs w:val="24"/>
        </w:rPr>
      </w:pPr>
    </w:p>
    <w:p>
      <w:pPr>
        <w:jc w:val="left"/>
        <w:rPr>
          <w:rFonts w:hint="eastAsia" w:ascii="黑体" w:hAnsi="黑体" w:eastAsia="黑体" w:cs="黑体"/>
          <w:sz w:val="24"/>
          <w:szCs w:val="24"/>
        </w:rPr>
      </w:pPr>
      <w:r>
        <w:rPr>
          <w:rFonts w:hint="eastAsia" w:ascii="黑体" w:hAnsi="黑体" w:eastAsia="黑体" w:cs="黑体"/>
          <w:sz w:val="24"/>
          <w:szCs w:val="24"/>
        </w:rPr>
        <w:t>特此证明。</w:t>
      </w:r>
    </w:p>
    <w:p>
      <w:pPr>
        <w:jc w:val="center"/>
        <w:rPr>
          <w:rFonts w:hint="eastAsia" w:ascii="黑体" w:hAnsi="黑体" w:eastAsia="黑体" w:cs="黑体"/>
          <w:sz w:val="24"/>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noWrap w:val="0"/>
            <w:vAlign w:val="top"/>
          </w:tcPr>
          <w:p>
            <w:pPr>
              <w:jc w:val="center"/>
              <w:rPr>
                <w:rFonts w:hint="eastAsia" w:ascii="黑体" w:hAnsi="黑体" w:eastAsia="黑体" w:cs="黑体"/>
                <w:sz w:val="24"/>
                <w:szCs w:val="24"/>
              </w:rPr>
            </w:pPr>
            <w:r>
              <w:rPr>
                <w:rFonts w:hint="eastAsia" w:ascii="黑体" w:hAnsi="黑体" w:eastAsia="黑体" w:cs="黑体"/>
                <w:sz w:val="24"/>
                <w:szCs w:val="24"/>
              </w:rPr>
              <w:t>法定代表人身份证（正反面）</w:t>
            </w:r>
          </w:p>
        </w:tc>
      </w:tr>
    </w:tbl>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right"/>
        <w:rPr>
          <w:rFonts w:hint="eastAsia" w:ascii="黑体" w:hAnsi="黑体" w:eastAsia="黑体" w:cs="黑体"/>
          <w:sz w:val="24"/>
          <w:szCs w:val="24"/>
        </w:rPr>
      </w:pPr>
      <w:r>
        <w:rPr>
          <w:rFonts w:hint="eastAsia" w:ascii="黑体" w:hAnsi="黑体" w:eastAsia="黑体" w:cs="黑体"/>
          <w:sz w:val="24"/>
          <w:szCs w:val="24"/>
        </w:rPr>
        <w:t>投标申请人：</w:t>
      </w:r>
      <w:r>
        <w:rPr>
          <w:rFonts w:hint="eastAsia" w:ascii="黑体" w:hAnsi="黑体" w:eastAsia="黑体" w:cs="黑体"/>
          <w:sz w:val="24"/>
          <w:szCs w:val="24"/>
          <w:u w:val="single"/>
        </w:rPr>
        <w:t xml:space="preserve">   （加盖申请人单位公章）</w:t>
      </w:r>
    </w:p>
    <w:p>
      <w:pPr>
        <w:spacing w:line="400" w:lineRule="atLeast"/>
        <w:ind w:left="2880" w:hanging="2880"/>
        <w:jc w:val="center"/>
        <w:outlineLvl w:val="0"/>
        <w:rPr>
          <w:rFonts w:hint="eastAsia" w:ascii="黑体" w:hAnsi="黑体" w:eastAsia="黑体" w:cs="黑体"/>
          <w:bCs/>
          <w:sz w:val="24"/>
          <w:szCs w:val="24"/>
        </w:rPr>
        <w:sectPr>
          <w:headerReference r:id="rId8" w:type="default"/>
          <w:pgSz w:w="11906" w:h="16838"/>
          <w:pgMar w:top="1440" w:right="1080" w:bottom="1440" w:left="1080" w:header="851" w:footer="992" w:gutter="0"/>
          <w:pgNumType w:fmt="decimal"/>
          <w:cols w:space="720" w:num="1"/>
          <w:docGrid w:type="lines" w:linePitch="409" w:charSpace="0"/>
        </w:sectPr>
      </w:pPr>
      <w:r>
        <w:rPr>
          <w:rFonts w:hint="eastAsia" w:ascii="黑体" w:hAnsi="黑体" w:eastAsia="黑体" w:cs="黑体"/>
          <w:bCs/>
          <w:sz w:val="24"/>
          <w:szCs w:val="24"/>
        </w:rPr>
        <w:t xml:space="preserve">                                                    </w:t>
      </w:r>
      <w:bookmarkStart w:id="99" w:name="_Toc13605"/>
      <w:bookmarkStart w:id="100" w:name="_Toc20577"/>
      <w:bookmarkStart w:id="101" w:name="_Toc13166"/>
      <w:r>
        <w:rPr>
          <w:rFonts w:hint="eastAsia" w:ascii="黑体" w:hAnsi="黑体" w:eastAsia="黑体" w:cs="黑体"/>
          <w:bCs/>
          <w:sz w:val="24"/>
          <w:szCs w:val="24"/>
        </w:rPr>
        <w:t>年   月   日</w:t>
      </w:r>
      <w:bookmarkEnd w:id="99"/>
      <w:bookmarkEnd w:id="100"/>
      <w:bookmarkEnd w:id="101"/>
    </w:p>
    <w:p>
      <w:pPr>
        <w:pStyle w:val="6"/>
        <w:jc w:val="left"/>
        <w:rPr>
          <w:rFonts w:hint="eastAsia" w:ascii="黑体" w:hAnsi="黑体" w:eastAsia="黑体" w:cs="黑体"/>
          <w:b/>
          <w:bCs/>
          <w:sz w:val="24"/>
        </w:rPr>
      </w:pPr>
      <w:bookmarkStart w:id="102" w:name="_Toc39945712"/>
      <w:bookmarkStart w:id="103" w:name="_Toc39669653"/>
      <w:bookmarkStart w:id="104" w:name="_Toc31174"/>
      <w:bookmarkStart w:id="105" w:name="_Toc7983"/>
      <w:r>
        <w:rPr>
          <w:rFonts w:hint="eastAsia" w:ascii="黑体" w:hAnsi="黑体" w:eastAsia="黑体" w:cs="黑体"/>
          <w:b/>
          <w:bCs/>
          <w:sz w:val="24"/>
        </w:rPr>
        <w:t>附件五：法人代表授权书格式</w:t>
      </w:r>
      <w:bookmarkEnd w:id="102"/>
      <w:bookmarkEnd w:id="103"/>
      <w:bookmarkEnd w:id="104"/>
      <w:bookmarkEnd w:id="105"/>
    </w:p>
    <w:p>
      <w:pPr>
        <w:spacing w:line="400" w:lineRule="atLeast"/>
        <w:rPr>
          <w:rFonts w:hint="eastAsia" w:ascii="黑体" w:hAnsi="黑体" w:eastAsia="黑体" w:cs="黑体"/>
          <w:sz w:val="24"/>
        </w:rPr>
      </w:pPr>
    </w:p>
    <w:p>
      <w:pPr>
        <w:pStyle w:val="3"/>
        <w:spacing w:line="400" w:lineRule="atLeast"/>
        <w:ind w:firstLine="660" w:firstLineChars="300"/>
        <w:rPr>
          <w:rFonts w:hint="eastAsia" w:ascii="黑体" w:hAnsi="黑体" w:eastAsia="黑体" w:cs="黑体"/>
        </w:rPr>
      </w:pPr>
      <w:r>
        <w:rPr>
          <w:rFonts w:hint="eastAsia" w:ascii="黑体" w:hAnsi="黑体" w:eastAsia="黑体" w:cs="黑体"/>
        </w:rPr>
        <w:t>本授权书声明：注册于</w:t>
      </w:r>
      <w:r>
        <w:rPr>
          <w:rFonts w:hint="eastAsia" w:ascii="黑体" w:hAnsi="黑体" w:eastAsia="黑体" w:cs="黑体"/>
          <w:u w:val="single"/>
        </w:rPr>
        <w:t>（地区的名称）</w:t>
      </w:r>
      <w:r>
        <w:rPr>
          <w:rFonts w:hint="eastAsia" w:ascii="黑体" w:hAnsi="黑体" w:eastAsia="黑体" w:cs="黑体"/>
        </w:rPr>
        <w:t>的</w:t>
      </w:r>
      <w:r>
        <w:rPr>
          <w:rFonts w:hint="eastAsia" w:ascii="黑体" w:hAnsi="黑体" w:eastAsia="黑体" w:cs="黑体"/>
          <w:u w:val="single"/>
        </w:rPr>
        <w:t>（公司名称）</w:t>
      </w:r>
      <w:r>
        <w:rPr>
          <w:rFonts w:hint="eastAsia" w:ascii="黑体" w:hAnsi="黑体" w:eastAsia="黑体" w:cs="黑体"/>
        </w:rPr>
        <w:t>的在下面签字的</w:t>
      </w:r>
      <w:r>
        <w:rPr>
          <w:rFonts w:hint="eastAsia" w:ascii="黑体" w:hAnsi="黑体" w:eastAsia="黑体" w:cs="黑体"/>
          <w:u w:val="single"/>
        </w:rPr>
        <w:t>（法人代表姓名、职务）</w:t>
      </w:r>
      <w:r>
        <w:rPr>
          <w:rFonts w:hint="eastAsia" w:ascii="黑体" w:hAnsi="黑体" w:eastAsia="黑体" w:cs="黑体"/>
        </w:rPr>
        <w:t>代表本公司授权</w:t>
      </w:r>
      <w:r>
        <w:rPr>
          <w:rFonts w:hint="eastAsia" w:ascii="黑体" w:hAnsi="黑体" w:eastAsia="黑体" w:cs="黑体"/>
          <w:u w:val="single"/>
        </w:rPr>
        <w:t>（单位名称）</w:t>
      </w:r>
      <w:r>
        <w:rPr>
          <w:rFonts w:hint="eastAsia" w:ascii="黑体" w:hAnsi="黑体" w:eastAsia="黑体" w:cs="黑体"/>
        </w:rPr>
        <w:t>的在下面签字的</w:t>
      </w:r>
      <w:r>
        <w:rPr>
          <w:rFonts w:hint="eastAsia" w:ascii="黑体" w:hAnsi="黑体" w:eastAsia="黑体" w:cs="黑体"/>
          <w:u w:val="single"/>
        </w:rPr>
        <w:t>（被授权人的姓名、职务）</w:t>
      </w:r>
      <w:r>
        <w:rPr>
          <w:rFonts w:hint="eastAsia" w:ascii="黑体" w:hAnsi="黑体" w:eastAsia="黑体" w:cs="黑体"/>
        </w:rPr>
        <w:t>为本公司的合法代理人，就</w:t>
      </w:r>
      <w:r>
        <w:rPr>
          <w:rFonts w:hint="eastAsia" w:ascii="黑体" w:hAnsi="黑体" w:eastAsia="黑体" w:cs="黑体"/>
          <w:u w:val="single"/>
        </w:rPr>
        <w:t>（项目名称、项目编号、设备名称）</w:t>
      </w:r>
      <w:r>
        <w:rPr>
          <w:rFonts w:hint="eastAsia" w:ascii="黑体" w:hAnsi="黑体" w:eastAsia="黑体" w:cs="黑体"/>
        </w:rPr>
        <w:t>的投标，以本公司的名义处理一切与之有关的事务。</w:t>
      </w:r>
    </w:p>
    <w:p>
      <w:pPr>
        <w:spacing w:line="400" w:lineRule="atLeast"/>
        <w:ind w:firstLine="480"/>
        <w:rPr>
          <w:rFonts w:hint="eastAsia" w:ascii="黑体" w:hAnsi="黑体" w:eastAsia="黑体" w:cs="黑体"/>
          <w:sz w:val="24"/>
        </w:rPr>
      </w:pPr>
    </w:p>
    <w:p>
      <w:pPr>
        <w:spacing w:line="400" w:lineRule="atLeast"/>
        <w:ind w:firstLine="480"/>
        <w:rPr>
          <w:rFonts w:hint="eastAsia" w:ascii="黑体" w:hAnsi="黑体" w:eastAsia="黑体" w:cs="黑体"/>
          <w:sz w:val="24"/>
        </w:rPr>
      </w:pPr>
      <w:r>
        <w:rPr>
          <w:rFonts w:hint="eastAsia" w:ascii="黑体" w:hAnsi="黑体" w:eastAsia="黑体" w:cs="黑体"/>
          <w:sz w:val="24"/>
        </w:rPr>
        <w:t>本授权书于</w:t>
      </w:r>
      <w:r>
        <w:rPr>
          <w:rFonts w:hint="eastAsia" w:ascii="黑体" w:hAnsi="黑体" w:eastAsia="黑体" w:cs="黑体"/>
          <w:sz w:val="24"/>
          <w:u w:val="single"/>
        </w:rPr>
        <w:t>　　　　　　</w:t>
      </w:r>
      <w:r>
        <w:rPr>
          <w:rFonts w:hint="eastAsia" w:ascii="黑体" w:hAnsi="黑体" w:eastAsia="黑体" w:cs="黑体"/>
          <w:sz w:val="24"/>
        </w:rPr>
        <w:t>年</w:t>
      </w:r>
      <w:r>
        <w:rPr>
          <w:rFonts w:hint="eastAsia" w:ascii="黑体" w:hAnsi="黑体" w:eastAsia="黑体" w:cs="黑体"/>
          <w:sz w:val="24"/>
          <w:u w:val="single"/>
        </w:rPr>
        <w:t>　　　</w:t>
      </w:r>
      <w:r>
        <w:rPr>
          <w:rFonts w:hint="eastAsia" w:ascii="黑体" w:hAnsi="黑体" w:eastAsia="黑体" w:cs="黑体"/>
          <w:sz w:val="24"/>
        </w:rPr>
        <w:t>月</w:t>
      </w:r>
      <w:r>
        <w:rPr>
          <w:rFonts w:hint="eastAsia" w:ascii="黑体" w:hAnsi="黑体" w:eastAsia="黑体" w:cs="黑体"/>
          <w:sz w:val="24"/>
          <w:u w:val="single"/>
        </w:rPr>
        <w:t>　　</w:t>
      </w:r>
      <w:r>
        <w:rPr>
          <w:rFonts w:hint="eastAsia" w:ascii="黑体" w:hAnsi="黑体" w:eastAsia="黑体" w:cs="黑体"/>
          <w:sz w:val="24"/>
        </w:rPr>
        <w:t>日签字生效，特此声明。</w:t>
      </w:r>
    </w:p>
    <w:p>
      <w:pPr>
        <w:spacing w:line="400" w:lineRule="atLeast"/>
        <w:ind w:firstLine="480"/>
        <w:rPr>
          <w:rFonts w:hint="eastAsia" w:ascii="黑体" w:hAnsi="黑体" w:eastAsia="黑体" w:cs="黑体"/>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noWrap w:val="0"/>
            <w:vAlign w:val="top"/>
          </w:tcPr>
          <w:p>
            <w:pPr>
              <w:spacing w:line="440" w:lineRule="exact"/>
              <w:jc w:val="left"/>
              <w:rPr>
                <w:rFonts w:hint="eastAsia" w:ascii="黑体" w:hAnsi="黑体" w:eastAsia="黑体" w:cs="黑体"/>
                <w:sz w:val="24"/>
                <w:szCs w:val="24"/>
              </w:rPr>
            </w:pPr>
            <w:r>
              <w:rPr>
                <w:rFonts w:hint="eastAsia" w:ascii="黑体" w:hAnsi="黑体" w:eastAsia="黑体" w:cs="黑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noWrap w:val="0"/>
            <w:vAlign w:val="top"/>
          </w:tcPr>
          <w:p>
            <w:pPr>
              <w:spacing w:line="440" w:lineRule="exact"/>
              <w:jc w:val="left"/>
              <w:rPr>
                <w:rFonts w:hint="eastAsia" w:ascii="黑体" w:hAnsi="黑体" w:eastAsia="黑体" w:cs="黑体"/>
                <w:sz w:val="24"/>
                <w:szCs w:val="24"/>
              </w:rPr>
            </w:pPr>
            <w:r>
              <w:rPr>
                <w:rFonts w:hint="eastAsia" w:ascii="黑体" w:hAnsi="黑体" w:eastAsia="黑体" w:cs="黑体"/>
                <w:sz w:val="24"/>
                <w:szCs w:val="24"/>
              </w:rPr>
              <w:t>被授权人的身份证（正反面）</w:t>
            </w:r>
          </w:p>
        </w:tc>
      </w:tr>
    </w:tbl>
    <w:p>
      <w:pPr>
        <w:spacing w:line="400" w:lineRule="atLeast"/>
        <w:ind w:firstLine="480"/>
        <w:rPr>
          <w:rFonts w:hint="eastAsia" w:ascii="黑体" w:hAnsi="黑体" w:eastAsia="黑体" w:cs="黑体"/>
          <w:sz w:val="24"/>
        </w:rPr>
      </w:pPr>
    </w:p>
    <w:p>
      <w:pPr>
        <w:spacing w:line="400" w:lineRule="atLeast"/>
        <w:ind w:firstLine="480"/>
        <w:rPr>
          <w:rFonts w:hint="eastAsia" w:ascii="黑体" w:hAnsi="黑体" w:eastAsia="黑体" w:cs="黑体"/>
          <w:sz w:val="24"/>
        </w:rPr>
      </w:pPr>
    </w:p>
    <w:p>
      <w:pPr>
        <w:spacing w:line="400" w:lineRule="atLeast"/>
        <w:ind w:firstLine="480"/>
        <w:rPr>
          <w:rFonts w:hint="eastAsia" w:ascii="黑体" w:hAnsi="黑体" w:eastAsia="黑体" w:cs="黑体"/>
          <w:sz w:val="24"/>
        </w:rPr>
      </w:pPr>
      <w:r>
        <w:rPr>
          <w:rFonts w:hint="eastAsia" w:ascii="黑体" w:hAnsi="黑体" w:eastAsia="黑体" w:cs="黑体"/>
          <w:sz w:val="24"/>
        </w:rPr>
        <w:t>法人代表签字</w:t>
      </w:r>
      <w:r>
        <w:rPr>
          <w:rFonts w:hint="eastAsia" w:ascii="黑体" w:hAnsi="黑体" w:eastAsia="黑体" w:cs="黑体"/>
          <w:sz w:val="24"/>
          <w:u w:val="single"/>
        </w:rPr>
        <w:t>　　　　　　　　　　　　　　　　　</w:t>
      </w:r>
    </w:p>
    <w:p>
      <w:pPr>
        <w:spacing w:line="400" w:lineRule="atLeast"/>
        <w:ind w:firstLine="480"/>
        <w:rPr>
          <w:rFonts w:hint="eastAsia" w:ascii="黑体" w:hAnsi="黑体" w:eastAsia="黑体" w:cs="黑体"/>
          <w:sz w:val="24"/>
        </w:rPr>
      </w:pPr>
      <w:r>
        <w:rPr>
          <w:rFonts w:hint="eastAsia" w:ascii="黑体" w:hAnsi="黑体" w:eastAsia="黑体" w:cs="黑体"/>
          <w:sz w:val="24"/>
        </w:rPr>
        <w:t>被授权人签字</w:t>
      </w:r>
      <w:r>
        <w:rPr>
          <w:rFonts w:hint="eastAsia" w:ascii="黑体" w:hAnsi="黑体" w:eastAsia="黑体" w:cs="黑体"/>
          <w:sz w:val="24"/>
          <w:u w:val="single"/>
        </w:rPr>
        <w:t>　　　　　　　　　　　　　　　　　</w:t>
      </w:r>
    </w:p>
    <w:p>
      <w:pPr>
        <w:spacing w:line="400" w:lineRule="atLeast"/>
        <w:ind w:firstLine="480"/>
        <w:rPr>
          <w:rFonts w:hint="eastAsia" w:ascii="黑体" w:hAnsi="黑体" w:eastAsia="黑体" w:cs="黑体"/>
          <w:sz w:val="24"/>
        </w:rPr>
      </w:pPr>
      <w:r>
        <w:rPr>
          <w:rFonts w:hint="eastAsia" w:ascii="黑体" w:hAnsi="黑体" w:eastAsia="黑体" w:cs="黑体"/>
          <w:sz w:val="24"/>
        </w:rPr>
        <w:t>公        章：</w:t>
      </w:r>
      <w:r>
        <w:rPr>
          <w:rFonts w:hint="eastAsia" w:ascii="黑体" w:hAnsi="黑体" w:eastAsia="黑体" w:cs="黑体"/>
          <w:sz w:val="24"/>
          <w:u w:val="single"/>
        </w:rPr>
        <w:t xml:space="preserve">                         </w:t>
      </w:r>
    </w:p>
    <w:p>
      <w:pPr>
        <w:spacing w:line="400" w:lineRule="atLeast"/>
        <w:ind w:firstLine="480"/>
        <w:rPr>
          <w:rFonts w:hint="eastAsia" w:ascii="黑体" w:hAnsi="黑体" w:eastAsia="黑体" w:cs="黑体"/>
          <w:sz w:val="24"/>
        </w:rPr>
      </w:pPr>
    </w:p>
    <w:p>
      <w:pPr>
        <w:spacing w:line="400" w:lineRule="atLeast"/>
        <w:rPr>
          <w:rFonts w:hint="eastAsia" w:ascii="黑体" w:hAnsi="黑体" w:eastAsia="黑体" w:cs="黑体"/>
          <w:sz w:val="24"/>
        </w:rPr>
      </w:pPr>
      <w:r>
        <w:rPr>
          <w:rFonts w:hint="eastAsia" w:ascii="黑体" w:hAnsi="黑体" w:eastAsia="黑体" w:cs="黑体"/>
          <w:sz w:val="24"/>
        </w:rPr>
        <w:t>注：</w:t>
      </w:r>
      <w:r>
        <w:rPr>
          <w:rFonts w:hint="eastAsia" w:ascii="黑体" w:hAnsi="黑体" w:eastAsia="黑体" w:cs="黑体"/>
          <w:b/>
          <w:sz w:val="24"/>
        </w:rPr>
        <w:t>提供法人、被授权人身份证复印件</w:t>
      </w:r>
      <w:r>
        <w:rPr>
          <w:rFonts w:hint="eastAsia" w:ascii="黑体" w:hAnsi="黑体" w:eastAsia="黑体" w:cs="黑体"/>
          <w:sz w:val="24"/>
        </w:rPr>
        <w:t>；凡公司法人前来参加投标的供应商，可以不提供此项证明文件。</w:t>
      </w:r>
    </w:p>
    <w:p>
      <w:pPr>
        <w:spacing w:line="400" w:lineRule="atLeast"/>
        <w:ind w:left="2880" w:hanging="2880"/>
        <w:jc w:val="center"/>
        <w:rPr>
          <w:rFonts w:hint="eastAsia" w:ascii="黑体" w:hAnsi="黑体" w:eastAsia="黑体" w:cs="黑体"/>
          <w:bCs/>
          <w:sz w:val="24"/>
          <w:szCs w:val="24"/>
        </w:rPr>
        <w:sectPr>
          <w:pgSz w:w="11906" w:h="16838"/>
          <w:pgMar w:top="1440" w:right="1080" w:bottom="1440" w:left="1080" w:header="851" w:footer="992" w:gutter="0"/>
          <w:pgNumType w:fmt="decimal"/>
          <w:cols w:space="720" w:num="1"/>
          <w:docGrid w:type="lines" w:linePitch="409" w:charSpace="0"/>
        </w:sectPr>
      </w:pPr>
    </w:p>
    <w:p>
      <w:pPr>
        <w:pStyle w:val="6"/>
        <w:jc w:val="left"/>
        <w:rPr>
          <w:rFonts w:hint="eastAsia" w:ascii="黑体" w:hAnsi="黑体" w:eastAsia="黑体" w:cs="黑体"/>
          <w:b/>
          <w:bCs/>
          <w:sz w:val="24"/>
        </w:rPr>
      </w:pPr>
      <w:bookmarkStart w:id="106" w:name="_Toc39945708"/>
      <w:bookmarkStart w:id="107" w:name="_Toc27242"/>
      <w:bookmarkStart w:id="108" w:name="_Toc12862"/>
      <w:bookmarkStart w:id="109" w:name="_Toc39669647"/>
      <w:r>
        <w:rPr>
          <w:rFonts w:hint="eastAsia" w:ascii="黑体" w:hAnsi="黑体" w:eastAsia="黑体" w:cs="黑体"/>
          <w:b/>
          <w:bCs/>
          <w:sz w:val="24"/>
        </w:rPr>
        <w:t>附件六：技术参数、功能偏离表</w:t>
      </w:r>
      <w:bookmarkEnd w:id="106"/>
      <w:bookmarkEnd w:id="107"/>
      <w:bookmarkEnd w:id="108"/>
      <w:bookmarkEnd w:id="109"/>
    </w:p>
    <w:p>
      <w:pPr>
        <w:spacing w:line="400" w:lineRule="atLeast"/>
        <w:rPr>
          <w:rFonts w:hint="eastAsia" w:ascii="黑体" w:hAnsi="黑体" w:eastAsia="黑体" w:cs="黑体"/>
          <w:sz w:val="24"/>
          <w:u w:val="single"/>
        </w:rPr>
      </w:pPr>
      <w:r>
        <w:rPr>
          <w:rFonts w:hint="eastAsia" w:ascii="黑体" w:hAnsi="黑体" w:eastAsia="黑体" w:cs="黑体"/>
          <w:sz w:val="24"/>
        </w:rPr>
        <w:t>供应商名称（公章）：</w:t>
      </w:r>
      <w:r>
        <w:rPr>
          <w:rFonts w:hint="eastAsia" w:ascii="黑体" w:hAnsi="黑体" w:eastAsia="黑体" w:cs="黑体"/>
          <w:sz w:val="24"/>
          <w:u w:val="single"/>
        </w:rPr>
        <w:t xml:space="preserve">         　　　　　  </w:t>
      </w:r>
      <w:r>
        <w:rPr>
          <w:rFonts w:hint="eastAsia" w:ascii="黑体" w:hAnsi="黑体" w:eastAsia="黑体" w:cs="黑体"/>
          <w:sz w:val="24"/>
        </w:rPr>
        <w:t>项目编号/包号：</w:t>
      </w:r>
      <w:r>
        <w:rPr>
          <w:rFonts w:hint="eastAsia" w:ascii="黑体" w:hAnsi="黑体" w:eastAsia="黑体" w:cs="黑体"/>
          <w:sz w:val="24"/>
          <w:u w:val="single"/>
        </w:rPr>
        <w:t>　　　　　　　　　　　</w:t>
      </w:r>
    </w:p>
    <w:tbl>
      <w:tblPr>
        <w:tblStyle w:val="42"/>
        <w:tblW w:w="9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19"/>
        <w:gridCol w:w="1971"/>
        <w:gridCol w:w="1843"/>
        <w:gridCol w:w="1701"/>
        <w:gridCol w:w="969"/>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71"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序号</w:t>
            </w:r>
          </w:p>
        </w:tc>
        <w:tc>
          <w:tcPr>
            <w:tcW w:w="181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文件规格条目号</w:t>
            </w:r>
          </w:p>
        </w:tc>
        <w:tc>
          <w:tcPr>
            <w:tcW w:w="1971"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文件要求规格</w:t>
            </w:r>
          </w:p>
        </w:tc>
        <w:tc>
          <w:tcPr>
            <w:tcW w:w="1843"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投标规格</w:t>
            </w:r>
          </w:p>
        </w:tc>
        <w:tc>
          <w:tcPr>
            <w:tcW w:w="1701"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是否满足</w:t>
            </w:r>
          </w:p>
        </w:tc>
        <w:tc>
          <w:tcPr>
            <w:tcW w:w="96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说明</w:t>
            </w:r>
          </w:p>
        </w:tc>
        <w:tc>
          <w:tcPr>
            <w:tcW w:w="969" w:type="dxa"/>
            <w:noWrap w:val="0"/>
            <w:vAlign w:val="center"/>
          </w:tcPr>
          <w:p>
            <w:pPr>
              <w:spacing w:line="400" w:lineRule="atLeast"/>
              <w:jc w:val="center"/>
              <w:rPr>
                <w:rFonts w:hint="eastAsia" w:ascii="黑体" w:hAnsi="黑体" w:eastAsia="黑体" w:cs="黑体"/>
                <w:sz w:val="24"/>
                <w:lang w:val="en-US" w:eastAsia="zh-CN"/>
              </w:rPr>
            </w:pPr>
            <w:r>
              <w:rPr>
                <w:rFonts w:hint="eastAsia" w:ascii="黑体" w:hAnsi="黑体" w:eastAsia="黑体" w:cs="黑体"/>
                <w:sz w:val="24"/>
                <w:lang w:val="en-US" w:eastAsia="zh-CN"/>
              </w:rPr>
              <w:t>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tc>
        <w:tc>
          <w:tcPr>
            <w:tcW w:w="1819" w:type="dxa"/>
            <w:noWrap w:val="0"/>
            <w:vAlign w:val="top"/>
          </w:tcPr>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43"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bl>
    <w:p>
      <w:pPr>
        <w:spacing w:line="400" w:lineRule="atLeast"/>
        <w:rPr>
          <w:rFonts w:hint="eastAsia" w:ascii="黑体" w:hAnsi="黑体" w:eastAsia="黑体" w:cs="黑体"/>
          <w:b/>
          <w:bCs/>
          <w:sz w:val="24"/>
        </w:rPr>
      </w:pPr>
      <w:r>
        <w:rPr>
          <w:rFonts w:hint="eastAsia" w:ascii="黑体" w:hAnsi="黑体" w:eastAsia="黑体" w:cs="黑体"/>
          <w:b/>
          <w:bCs/>
          <w:sz w:val="24"/>
        </w:rPr>
        <w:t>注：与</w:t>
      </w:r>
      <w:r>
        <w:rPr>
          <w:rFonts w:hint="eastAsia" w:ascii="黑体" w:hAnsi="黑体" w:eastAsia="黑体" w:cs="黑体"/>
          <w:b/>
          <w:bCs/>
          <w:sz w:val="24"/>
          <w:lang w:val="en-US" w:eastAsia="zh-CN"/>
        </w:rPr>
        <w:t>招标</w:t>
      </w:r>
      <w:r>
        <w:rPr>
          <w:rFonts w:hint="eastAsia" w:ascii="黑体" w:hAnsi="黑体" w:eastAsia="黑体" w:cs="黑体"/>
          <w:b/>
          <w:bCs/>
          <w:sz w:val="24"/>
        </w:rPr>
        <w:t>文件要求逐条对应填写，投标规格不得粘贴复制</w:t>
      </w:r>
      <w:r>
        <w:rPr>
          <w:rFonts w:hint="eastAsia" w:ascii="黑体" w:hAnsi="黑体" w:eastAsia="黑体" w:cs="黑体"/>
          <w:b/>
          <w:bCs/>
          <w:sz w:val="24"/>
          <w:lang w:val="en-US" w:eastAsia="zh-CN"/>
        </w:rPr>
        <w:t>招标</w:t>
      </w:r>
      <w:r>
        <w:rPr>
          <w:rFonts w:hint="eastAsia" w:ascii="黑体" w:hAnsi="黑体" w:eastAsia="黑体" w:cs="黑体"/>
          <w:b/>
          <w:bCs/>
          <w:sz w:val="24"/>
        </w:rPr>
        <w:t>文件中的技术参数，否则评分时技术符合程度项不得分。</w:t>
      </w:r>
    </w:p>
    <w:p>
      <w:pPr>
        <w:spacing w:line="400" w:lineRule="atLeast"/>
        <w:rPr>
          <w:rFonts w:hint="eastAsia" w:ascii="黑体" w:hAnsi="黑体" w:eastAsia="黑体" w:cs="黑体"/>
          <w:sz w:val="24"/>
        </w:rPr>
      </w:pPr>
      <w:r>
        <w:rPr>
          <w:rFonts w:hint="eastAsia" w:ascii="黑体" w:hAnsi="黑体" w:eastAsia="黑体" w:cs="黑体"/>
          <w:sz w:val="24"/>
          <w:lang w:eastAsia="zh-CN"/>
        </w:rPr>
        <w:t>供应商法人或授权代表签字</w:t>
      </w:r>
      <w:r>
        <w:rPr>
          <w:rFonts w:hint="eastAsia" w:ascii="黑体" w:hAnsi="黑体" w:eastAsia="黑体" w:cs="黑体"/>
          <w:sz w:val="24"/>
        </w:rPr>
        <w:t>：</w:t>
      </w:r>
      <w:r>
        <w:rPr>
          <w:rFonts w:hint="eastAsia" w:ascii="黑体" w:hAnsi="黑体" w:eastAsia="黑体" w:cs="黑体"/>
          <w:sz w:val="24"/>
          <w:u w:val="single"/>
        </w:rPr>
        <w:t>　　　　　　　　　　　　　　　</w:t>
      </w:r>
    </w:p>
    <w:p>
      <w:pPr>
        <w:pStyle w:val="6"/>
        <w:outlineLvl w:val="9"/>
        <w:rPr>
          <w:rFonts w:hint="eastAsia" w:ascii="黑体" w:hAnsi="黑体" w:eastAsia="黑体" w:cs="黑体"/>
          <w:sz w:val="24"/>
        </w:rPr>
      </w:pPr>
      <w:bookmarkStart w:id="110" w:name="_Toc39669648"/>
      <w:bookmarkStart w:id="111" w:name="_Toc39945709"/>
      <w:bookmarkStart w:id="112" w:name="_Toc14250"/>
      <w:bookmarkStart w:id="113" w:name="_Toc29169"/>
    </w:p>
    <w:p>
      <w:pPr>
        <w:pStyle w:val="6"/>
        <w:outlineLvl w:val="9"/>
        <w:rPr>
          <w:rFonts w:hint="eastAsia" w:ascii="黑体" w:hAnsi="黑体" w:eastAsia="黑体" w:cs="黑体"/>
          <w:sz w:val="24"/>
        </w:rPr>
      </w:pPr>
    </w:p>
    <w:p>
      <w:pPr>
        <w:pStyle w:val="6"/>
        <w:jc w:val="left"/>
        <w:rPr>
          <w:rFonts w:hint="eastAsia" w:ascii="黑体" w:hAnsi="黑体" w:eastAsia="黑体" w:cs="黑体"/>
          <w:b/>
          <w:bCs/>
          <w:sz w:val="24"/>
        </w:rPr>
      </w:pPr>
      <w:r>
        <w:rPr>
          <w:rFonts w:hint="eastAsia" w:ascii="黑体" w:hAnsi="黑体" w:eastAsia="黑体" w:cs="黑体"/>
          <w:b/>
          <w:bCs/>
          <w:sz w:val="24"/>
        </w:rPr>
        <w:t>附件七：商务条款偏离表</w:t>
      </w:r>
      <w:bookmarkEnd w:id="110"/>
      <w:bookmarkEnd w:id="111"/>
      <w:bookmarkEnd w:id="112"/>
      <w:bookmarkEnd w:id="113"/>
    </w:p>
    <w:p>
      <w:pPr>
        <w:spacing w:line="400" w:lineRule="atLeast"/>
        <w:rPr>
          <w:rFonts w:hint="eastAsia" w:ascii="黑体" w:hAnsi="黑体" w:eastAsia="黑体" w:cs="黑体"/>
          <w:sz w:val="24"/>
          <w:u w:val="single"/>
        </w:rPr>
      </w:pPr>
      <w:r>
        <w:rPr>
          <w:rFonts w:hint="eastAsia" w:ascii="黑体" w:hAnsi="黑体" w:eastAsia="黑体" w:cs="黑体"/>
          <w:sz w:val="24"/>
        </w:rPr>
        <w:t>供应商名称（公章）：</w:t>
      </w:r>
      <w:r>
        <w:rPr>
          <w:rFonts w:hint="eastAsia" w:ascii="黑体" w:hAnsi="黑体" w:eastAsia="黑体" w:cs="黑体"/>
          <w:sz w:val="24"/>
          <w:u w:val="single"/>
        </w:rPr>
        <w:t xml:space="preserve">         　　　　　  </w:t>
      </w:r>
      <w:r>
        <w:rPr>
          <w:rFonts w:hint="eastAsia" w:ascii="黑体" w:hAnsi="黑体" w:eastAsia="黑体" w:cs="黑体"/>
          <w:sz w:val="24"/>
        </w:rPr>
        <w:t>项目编号/包号：</w:t>
      </w:r>
      <w:r>
        <w:rPr>
          <w:rFonts w:hint="eastAsia" w:ascii="黑体" w:hAnsi="黑体" w:eastAsia="黑体" w:cs="黑体"/>
          <w:sz w:val="24"/>
          <w:u w:val="single"/>
        </w:rPr>
        <w:t>　　　　　　　　　　　</w:t>
      </w:r>
    </w:p>
    <w:tbl>
      <w:tblPr>
        <w:tblStyle w:val="42"/>
        <w:tblW w:w="10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665"/>
        <w:gridCol w:w="2964"/>
        <w:gridCol w:w="2394"/>
        <w:gridCol w:w="1502"/>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56"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序号</w:t>
            </w:r>
          </w:p>
        </w:tc>
        <w:tc>
          <w:tcPr>
            <w:tcW w:w="1665"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w:t>
            </w:r>
          </w:p>
          <w:p>
            <w:pPr>
              <w:spacing w:line="400" w:lineRule="atLeast"/>
              <w:jc w:val="center"/>
              <w:rPr>
                <w:rFonts w:hint="eastAsia" w:ascii="黑体" w:hAnsi="黑体" w:eastAsia="黑体" w:cs="黑体"/>
                <w:sz w:val="24"/>
              </w:rPr>
            </w:pPr>
            <w:r>
              <w:rPr>
                <w:rFonts w:hint="eastAsia" w:ascii="黑体" w:hAnsi="黑体" w:eastAsia="黑体" w:cs="黑体"/>
                <w:sz w:val="24"/>
              </w:rPr>
              <w:t>条目号</w:t>
            </w:r>
          </w:p>
        </w:tc>
        <w:tc>
          <w:tcPr>
            <w:tcW w:w="2964"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文件的商务条款</w:t>
            </w:r>
          </w:p>
        </w:tc>
        <w:tc>
          <w:tcPr>
            <w:tcW w:w="2394"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文件的商务条款</w:t>
            </w:r>
          </w:p>
        </w:tc>
        <w:tc>
          <w:tcPr>
            <w:tcW w:w="1502"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说明</w:t>
            </w:r>
          </w:p>
        </w:tc>
        <w:tc>
          <w:tcPr>
            <w:tcW w:w="1022" w:type="dxa"/>
            <w:noWrap w:val="0"/>
            <w:vAlign w:val="center"/>
          </w:tcPr>
          <w:p>
            <w:pPr>
              <w:spacing w:line="400" w:lineRule="atLeast"/>
              <w:jc w:val="center"/>
              <w:rPr>
                <w:rFonts w:hint="eastAsia" w:ascii="黑体" w:hAnsi="黑体" w:eastAsia="黑体" w:cs="黑体"/>
                <w:sz w:val="24"/>
                <w:lang w:val="en-US" w:eastAsia="zh-CN"/>
              </w:rPr>
            </w:pPr>
            <w:r>
              <w:rPr>
                <w:rFonts w:hint="eastAsia" w:ascii="黑体" w:hAnsi="黑体" w:eastAsia="黑体" w:cs="黑体"/>
                <w:sz w:val="24"/>
                <w:lang w:val="en-US" w:eastAsia="zh-CN"/>
              </w:rPr>
              <w:t>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bl>
    <w:p>
      <w:pPr>
        <w:spacing w:line="400" w:lineRule="atLeast"/>
        <w:rPr>
          <w:rFonts w:hint="eastAsia" w:ascii="黑体" w:hAnsi="黑体" w:eastAsia="黑体" w:cs="黑体"/>
          <w:sz w:val="24"/>
        </w:rPr>
      </w:pPr>
      <w:r>
        <w:rPr>
          <w:rFonts w:hint="eastAsia" w:ascii="黑体" w:hAnsi="黑体" w:eastAsia="黑体" w:cs="黑体"/>
          <w:sz w:val="24"/>
        </w:rPr>
        <w:t>　</w:t>
      </w:r>
    </w:p>
    <w:p>
      <w:pPr>
        <w:spacing w:line="400" w:lineRule="atLeast"/>
        <w:rPr>
          <w:rFonts w:hint="eastAsia" w:ascii="黑体" w:hAnsi="黑体" w:eastAsia="黑体" w:cs="黑体"/>
          <w:sz w:val="24"/>
        </w:rPr>
      </w:pPr>
      <w:r>
        <w:rPr>
          <w:rFonts w:hint="eastAsia" w:ascii="黑体" w:hAnsi="黑体" w:eastAsia="黑体" w:cs="黑体"/>
          <w:sz w:val="24"/>
          <w:lang w:eastAsia="zh-CN"/>
        </w:rPr>
        <w:t>供应商法人或授权代表签字</w:t>
      </w:r>
      <w:r>
        <w:rPr>
          <w:rFonts w:hint="eastAsia" w:ascii="黑体" w:hAnsi="黑体" w:eastAsia="黑体" w:cs="黑体"/>
          <w:sz w:val="24"/>
        </w:rPr>
        <w:t>：</w:t>
      </w:r>
      <w:r>
        <w:rPr>
          <w:rFonts w:hint="eastAsia" w:ascii="黑体" w:hAnsi="黑体" w:eastAsia="黑体" w:cs="黑体"/>
          <w:sz w:val="24"/>
          <w:u w:val="single"/>
        </w:rPr>
        <w:t>　　　　　　　　　　　　　　　</w:t>
      </w:r>
      <w:r>
        <w:rPr>
          <w:rFonts w:hint="eastAsia" w:ascii="黑体" w:hAnsi="黑体" w:eastAsia="黑体" w:cs="黑体"/>
          <w:sz w:val="24"/>
        </w:rPr>
        <w:t>　</w:t>
      </w:r>
    </w:p>
    <w:p>
      <w:pPr>
        <w:spacing w:line="400" w:lineRule="atLeast"/>
        <w:jc w:val="center"/>
        <w:rPr>
          <w:rFonts w:hint="eastAsia" w:ascii="黑体" w:hAnsi="黑体" w:eastAsia="黑体" w:cs="黑体"/>
          <w:sz w:val="24"/>
        </w:rPr>
      </w:pPr>
    </w:p>
    <w:p>
      <w:pPr>
        <w:pStyle w:val="22"/>
        <w:adjustRightInd w:val="0"/>
        <w:snapToGrid w:val="0"/>
        <w:spacing w:line="400" w:lineRule="atLeast"/>
        <w:jc w:val="left"/>
        <w:outlineLvl w:val="1"/>
        <w:rPr>
          <w:rFonts w:hint="eastAsia" w:ascii="黑体" w:hAnsi="黑体" w:eastAsia="黑体" w:cs="黑体"/>
          <w:b/>
          <w:kern w:val="2"/>
          <w:sz w:val="24"/>
          <w:szCs w:val="22"/>
          <w:lang w:val="en-US" w:eastAsia="zh-CN"/>
        </w:rPr>
      </w:pPr>
      <w:r>
        <w:rPr>
          <w:rFonts w:hint="eastAsia" w:ascii="黑体" w:hAnsi="黑体" w:eastAsia="黑体" w:cs="黑体"/>
          <w:sz w:val="24"/>
        </w:rPr>
        <w:br w:type="page"/>
      </w:r>
      <w:bookmarkStart w:id="114" w:name="_Toc39669651"/>
      <w:bookmarkStart w:id="115" w:name="_Toc39945710"/>
      <w:bookmarkStart w:id="116" w:name="_Toc3290"/>
      <w:bookmarkStart w:id="117" w:name="_Toc8614"/>
      <w:r>
        <w:rPr>
          <w:rFonts w:hint="eastAsia" w:ascii="黑体" w:hAnsi="黑体" w:eastAsia="黑体" w:cs="黑体"/>
          <w:b/>
          <w:bCs/>
          <w:kern w:val="0"/>
          <w:sz w:val="24"/>
          <w:szCs w:val="28"/>
          <w:lang w:val="en-US" w:eastAsia="zh-CN" w:bidi="zh-CN"/>
        </w:rPr>
        <w:t>附件八：制造商出具的授权函</w:t>
      </w:r>
      <w:bookmarkEnd w:id="114"/>
      <w:bookmarkEnd w:id="115"/>
      <w:bookmarkEnd w:id="116"/>
      <w:bookmarkEnd w:id="117"/>
    </w:p>
    <w:p>
      <w:pPr>
        <w:pStyle w:val="22"/>
        <w:adjustRightInd w:val="0"/>
        <w:snapToGrid w:val="0"/>
        <w:spacing w:line="400" w:lineRule="atLeast"/>
        <w:rPr>
          <w:rFonts w:hint="eastAsia" w:ascii="黑体" w:hAnsi="黑体" w:eastAsia="黑体" w:cs="黑体"/>
          <w:i/>
          <w:sz w:val="24"/>
        </w:rPr>
      </w:pPr>
    </w:p>
    <w:p>
      <w:pPr>
        <w:pStyle w:val="22"/>
        <w:adjustRightInd w:val="0"/>
        <w:snapToGrid w:val="0"/>
        <w:spacing w:line="400" w:lineRule="atLeast"/>
        <w:rPr>
          <w:rFonts w:hint="eastAsia" w:ascii="黑体" w:hAnsi="黑体" w:eastAsia="黑体" w:cs="黑体"/>
          <w:i/>
          <w:sz w:val="24"/>
          <w:u w:val="single"/>
        </w:rPr>
      </w:pPr>
      <w:r>
        <w:rPr>
          <w:rFonts w:hint="eastAsia" w:ascii="黑体" w:hAnsi="黑体" w:eastAsia="黑体" w:cs="黑体"/>
          <w:i/>
          <w:sz w:val="24"/>
        </w:rPr>
        <w:t>致：</w:t>
      </w:r>
      <w:r>
        <w:rPr>
          <w:rFonts w:hint="eastAsia" w:ascii="黑体" w:hAnsi="黑体" w:eastAsia="黑体" w:cs="黑体"/>
          <w:i/>
          <w:sz w:val="24"/>
          <w:u w:val="single"/>
        </w:rPr>
        <w:t>(</w:t>
      </w:r>
      <w:r>
        <w:rPr>
          <w:rFonts w:hint="eastAsia" w:ascii="黑体" w:hAnsi="黑体" w:eastAsia="黑体" w:cs="黑体"/>
          <w:i/>
          <w:sz w:val="24"/>
          <w:u w:val="single"/>
          <w:lang w:val="en-US" w:eastAsia="zh-CN"/>
        </w:rPr>
        <w:t>采购代理</w:t>
      </w:r>
      <w:r>
        <w:rPr>
          <w:rFonts w:hint="eastAsia" w:ascii="黑体" w:hAnsi="黑体" w:eastAsia="黑体" w:cs="黑体"/>
          <w:i/>
          <w:sz w:val="24"/>
          <w:u w:val="single"/>
        </w:rPr>
        <w:t xml:space="preserve">机构)   </w:t>
      </w: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我们</w:t>
      </w:r>
      <w:r>
        <w:rPr>
          <w:rFonts w:hint="eastAsia" w:ascii="黑体" w:hAnsi="黑体" w:eastAsia="黑体" w:cs="黑体"/>
          <w:i/>
          <w:sz w:val="24"/>
          <w:u w:val="single"/>
        </w:rPr>
        <w:t>（制造商名称)</w:t>
      </w:r>
      <w:r>
        <w:rPr>
          <w:rFonts w:hint="eastAsia" w:ascii="黑体" w:hAnsi="黑体" w:eastAsia="黑体" w:cs="黑体"/>
          <w:sz w:val="24"/>
        </w:rPr>
        <w:t>兹指派主要营业地点设在</w:t>
      </w:r>
      <w:r>
        <w:rPr>
          <w:rFonts w:hint="eastAsia" w:ascii="黑体" w:hAnsi="黑体" w:eastAsia="黑体" w:cs="黑体"/>
          <w:sz w:val="24"/>
          <w:u w:val="single"/>
        </w:rPr>
        <w:t xml:space="preserve"> </w:t>
      </w:r>
      <w:r>
        <w:rPr>
          <w:rFonts w:hint="eastAsia" w:ascii="黑体" w:hAnsi="黑体" w:eastAsia="黑体" w:cs="黑体"/>
          <w:i/>
          <w:sz w:val="24"/>
          <w:u w:val="single"/>
        </w:rPr>
        <w:t xml:space="preserve">(贸易公司地址) </w:t>
      </w:r>
      <w:r>
        <w:rPr>
          <w:rFonts w:hint="eastAsia" w:ascii="黑体" w:hAnsi="黑体" w:eastAsia="黑体" w:cs="黑体"/>
          <w:sz w:val="24"/>
        </w:rPr>
        <w:t>的</w:t>
      </w:r>
      <w:r>
        <w:rPr>
          <w:rFonts w:hint="eastAsia" w:ascii="黑体" w:hAnsi="黑体" w:eastAsia="黑体" w:cs="黑体"/>
          <w:i/>
          <w:sz w:val="24"/>
          <w:u w:val="single"/>
        </w:rPr>
        <w:t xml:space="preserve">（贸易公司名称) </w:t>
      </w:r>
      <w:r>
        <w:rPr>
          <w:rFonts w:hint="eastAsia" w:ascii="黑体" w:hAnsi="黑体" w:eastAsia="黑体" w:cs="黑体"/>
          <w:sz w:val="24"/>
        </w:rPr>
        <w:t>作为我方真正的和合法的代理人进行下列有效的活动：</w:t>
      </w:r>
    </w:p>
    <w:p>
      <w:pPr>
        <w:pStyle w:val="22"/>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代表我方办理贵方第</w:t>
      </w:r>
      <w:r>
        <w:rPr>
          <w:rFonts w:hint="eastAsia" w:ascii="黑体" w:hAnsi="黑体" w:eastAsia="黑体" w:cs="黑体"/>
          <w:sz w:val="24"/>
          <w:u w:val="single"/>
          <w:lang w:val="en-US" w:eastAsia="zh-CN"/>
        </w:rPr>
        <w:t xml:space="preserve">   </w:t>
      </w:r>
      <w:r>
        <w:rPr>
          <w:rFonts w:hint="eastAsia" w:ascii="黑体" w:hAnsi="黑体" w:eastAsia="黑体" w:cs="黑体"/>
          <w:sz w:val="24"/>
          <w:u w:val="single"/>
        </w:rPr>
        <w:t xml:space="preserve">          </w:t>
      </w:r>
      <w:r>
        <w:rPr>
          <w:rFonts w:hint="eastAsia" w:ascii="黑体" w:hAnsi="黑体" w:eastAsia="黑体" w:cs="黑体"/>
          <w:sz w:val="24"/>
        </w:rPr>
        <w:t>号项目中要求提供的由我方制造</w:t>
      </w:r>
      <w:r>
        <w:rPr>
          <w:rFonts w:hint="eastAsia" w:ascii="黑体" w:hAnsi="黑体" w:eastAsia="黑体" w:cs="黑体"/>
          <w:sz w:val="24"/>
          <w:u w:val="single"/>
        </w:rPr>
        <w:t>（货物名称）</w:t>
      </w:r>
      <w:r>
        <w:rPr>
          <w:rFonts w:hint="eastAsia" w:ascii="黑体" w:hAnsi="黑体" w:eastAsia="黑体" w:cs="黑体"/>
          <w:sz w:val="24"/>
        </w:rPr>
        <w:t>货物的有关事宜，并对我方具有约束力；</w:t>
      </w: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(2)作为制造商，我方保证以投标合作者来约束自己，并对该投标共同和分别承担</w:t>
      </w:r>
      <w:r>
        <w:rPr>
          <w:rFonts w:hint="eastAsia" w:ascii="黑体" w:hAnsi="黑体" w:eastAsia="黑体" w:cs="黑体"/>
          <w:sz w:val="24"/>
          <w:lang w:val="en-US" w:eastAsia="zh-CN"/>
        </w:rPr>
        <w:t>招标</w:t>
      </w:r>
      <w:r>
        <w:rPr>
          <w:rFonts w:hint="eastAsia" w:ascii="黑体" w:hAnsi="黑体" w:eastAsia="黑体" w:cs="黑体"/>
          <w:sz w:val="24"/>
        </w:rPr>
        <w:t>文件中所规定的义务；</w:t>
      </w:r>
    </w:p>
    <w:p>
      <w:pPr>
        <w:pStyle w:val="22"/>
        <w:adjustRightInd w:val="0"/>
        <w:snapToGrid w:val="0"/>
        <w:spacing w:line="400" w:lineRule="atLeast"/>
        <w:ind w:firstLine="480"/>
        <w:rPr>
          <w:rFonts w:hint="eastAsia" w:ascii="黑体" w:hAnsi="黑体" w:eastAsia="黑体" w:cs="黑体"/>
          <w:sz w:val="24"/>
        </w:rPr>
      </w:pPr>
      <w:r>
        <w:rPr>
          <w:rFonts w:hint="eastAsia" w:ascii="黑体" w:hAnsi="黑体" w:eastAsia="黑体" w:cs="黑体"/>
          <w:sz w:val="24"/>
        </w:rPr>
        <w:t>(3)我方兹授予</w:t>
      </w:r>
      <w:r>
        <w:rPr>
          <w:rFonts w:hint="eastAsia" w:ascii="黑体" w:hAnsi="黑体" w:eastAsia="黑体" w:cs="黑体"/>
          <w:i/>
          <w:sz w:val="24"/>
          <w:u w:val="single"/>
        </w:rPr>
        <w:t>（贸易公司名称)</w:t>
      </w:r>
      <w:r>
        <w:rPr>
          <w:rFonts w:hint="eastAsia" w:ascii="黑体" w:hAnsi="黑体" w:eastAsia="黑体" w:cs="黑体"/>
          <w:sz w:val="24"/>
        </w:rPr>
        <w:t>全权办理和履行上述我方为完成上述各点所必须的事宜，具有替换或撤消的全权。兹确认</w:t>
      </w:r>
      <w:r>
        <w:rPr>
          <w:rFonts w:hint="eastAsia" w:ascii="黑体" w:hAnsi="黑体" w:eastAsia="黑体" w:cs="黑体"/>
          <w:i/>
          <w:sz w:val="24"/>
          <w:u w:val="single"/>
        </w:rPr>
        <w:t xml:space="preserve">（贸易公司名称) </w:t>
      </w:r>
      <w:r>
        <w:rPr>
          <w:rFonts w:hint="eastAsia" w:ascii="黑体" w:hAnsi="黑体" w:eastAsia="黑体" w:cs="黑体"/>
          <w:sz w:val="24"/>
        </w:rPr>
        <w:t>或其正式授权代表依此合法地办理一切事宜。</w:t>
      </w:r>
      <w:r>
        <w:rPr>
          <w:rFonts w:hint="eastAsia" w:ascii="黑体" w:hAnsi="黑体" w:eastAsia="黑体" w:cs="黑体"/>
          <w:sz w:val="24"/>
        </w:rPr>
        <w:cr/>
      </w:r>
      <w:r>
        <w:rPr>
          <w:rFonts w:hint="eastAsia" w:ascii="黑体" w:hAnsi="黑体" w:eastAsia="黑体" w:cs="黑体"/>
          <w:sz w:val="24"/>
        </w:rPr>
        <w:t xml:space="preserve">    我方于</w:t>
      </w:r>
      <w:r>
        <w:rPr>
          <w:rFonts w:hint="eastAsia" w:ascii="黑体" w:hAnsi="黑体" w:eastAsia="黑体" w:cs="黑体"/>
          <w:sz w:val="24"/>
          <w:u w:val="single"/>
        </w:rPr>
        <w:t xml:space="preserve">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w:t>
      </w:r>
      <w:r>
        <w:rPr>
          <w:rFonts w:hint="eastAsia" w:ascii="黑体" w:hAnsi="黑体" w:eastAsia="黑体" w:cs="黑体"/>
          <w:sz w:val="24"/>
          <w:u w:val="single"/>
        </w:rPr>
        <w:t xml:space="preserve">     </w:t>
      </w:r>
      <w:r>
        <w:rPr>
          <w:rFonts w:hint="eastAsia" w:ascii="黑体" w:hAnsi="黑体" w:eastAsia="黑体" w:cs="黑体"/>
          <w:sz w:val="24"/>
        </w:rPr>
        <w:t>日签署本文件，</w:t>
      </w:r>
      <w:r>
        <w:rPr>
          <w:rFonts w:hint="eastAsia" w:ascii="黑体" w:hAnsi="黑体" w:eastAsia="黑体" w:cs="黑体"/>
          <w:i/>
          <w:sz w:val="24"/>
          <w:u w:val="single"/>
        </w:rPr>
        <w:t xml:space="preserve">（贸易公司名称) </w:t>
      </w:r>
      <w:r>
        <w:rPr>
          <w:rFonts w:hint="eastAsia" w:ascii="黑体" w:hAnsi="黑体" w:eastAsia="黑体" w:cs="黑体"/>
          <w:sz w:val="24"/>
        </w:rPr>
        <w:t>于</w:t>
      </w:r>
      <w:r>
        <w:rPr>
          <w:rFonts w:hint="eastAsia" w:ascii="黑体" w:hAnsi="黑体" w:eastAsia="黑体" w:cs="黑体"/>
          <w:sz w:val="24"/>
          <w:u w:val="single"/>
        </w:rPr>
        <w:t xml:space="preserve">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w:t>
      </w:r>
      <w:r>
        <w:rPr>
          <w:rFonts w:hint="eastAsia" w:ascii="黑体" w:hAnsi="黑体" w:eastAsia="黑体" w:cs="黑体"/>
          <w:sz w:val="24"/>
          <w:u w:val="single"/>
        </w:rPr>
        <w:t xml:space="preserve">     </w:t>
      </w:r>
      <w:r>
        <w:rPr>
          <w:rFonts w:hint="eastAsia" w:ascii="黑体" w:hAnsi="黑体" w:eastAsia="黑体" w:cs="黑体"/>
          <w:sz w:val="24"/>
        </w:rPr>
        <w:t>日接受此件，以此为证。</w:t>
      </w:r>
    </w:p>
    <w:p>
      <w:pPr>
        <w:pStyle w:val="22"/>
        <w:adjustRightInd w:val="0"/>
        <w:snapToGrid w:val="0"/>
        <w:spacing w:line="400" w:lineRule="atLeast"/>
        <w:rPr>
          <w:rFonts w:hint="eastAsia" w:ascii="黑体" w:hAnsi="黑体" w:eastAsia="黑体" w:cs="黑体"/>
          <w:sz w:val="24"/>
        </w:rPr>
      </w:pP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贸易公司名称</w:t>
      </w:r>
      <w:r>
        <w:rPr>
          <w:rFonts w:hint="eastAsia" w:ascii="黑体" w:hAnsi="黑体" w:eastAsia="黑体" w:cs="黑体"/>
          <w:sz w:val="24"/>
          <w:u w:val="single"/>
        </w:rPr>
        <w:t xml:space="preserve">                  </w:t>
      </w:r>
      <w:r>
        <w:rPr>
          <w:rFonts w:hint="eastAsia" w:ascii="黑体" w:hAnsi="黑体" w:eastAsia="黑体" w:cs="黑体"/>
          <w:sz w:val="24"/>
        </w:rPr>
        <w:t xml:space="preserve">   制造商名称</w:t>
      </w:r>
      <w:r>
        <w:rPr>
          <w:rFonts w:hint="eastAsia" w:ascii="黑体" w:hAnsi="黑体" w:eastAsia="黑体" w:cs="黑体"/>
          <w:sz w:val="24"/>
          <w:u w:val="single"/>
        </w:rPr>
        <w:t xml:space="preserve">                       </w:t>
      </w: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签字人职务和部门</w:t>
      </w:r>
      <w:r>
        <w:rPr>
          <w:rFonts w:hint="eastAsia" w:ascii="黑体" w:hAnsi="黑体" w:eastAsia="黑体" w:cs="黑体"/>
          <w:sz w:val="24"/>
          <w:u w:val="single"/>
        </w:rPr>
        <w:t xml:space="preserve">              </w:t>
      </w:r>
      <w:r>
        <w:rPr>
          <w:rFonts w:hint="eastAsia" w:ascii="黑体" w:hAnsi="黑体" w:eastAsia="黑体" w:cs="黑体"/>
          <w:sz w:val="24"/>
        </w:rPr>
        <w:t xml:space="preserve">   签字人职务和部门</w:t>
      </w:r>
      <w:r>
        <w:rPr>
          <w:rFonts w:hint="eastAsia" w:ascii="黑体" w:hAnsi="黑体" w:eastAsia="黑体" w:cs="黑体"/>
          <w:sz w:val="24"/>
          <w:u w:val="single"/>
        </w:rPr>
        <w:t xml:space="preserve">                 </w:t>
      </w: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签字人姓名</w:t>
      </w:r>
      <w:r>
        <w:rPr>
          <w:rFonts w:hint="eastAsia" w:ascii="黑体" w:hAnsi="黑体" w:eastAsia="黑体" w:cs="黑体"/>
          <w:sz w:val="24"/>
          <w:u w:val="single"/>
        </w:rPr>
        <w:t xml:space="preserve">                    </w:t>
      </w:r>
      <w:r>
        <w:rPr>
          <w:rFonts w:hint="eastAsia" w:ascii="黑体" w:hAnsi="黑体" w:eastAsia="黑体" w:cs="黑体"/>
          <w:sz w:val="24"/>
        </w:rPr>
        <w:t xml:space="preserve">   签字人姓名</w:t>
      </w:r>
      <w:r>
        <w:rPr>
          <w:rFonts w:hint="eastAsia" w:ascii="黑体" w:hAnsi="黑体" w:eastAsia="黑体" w:cs="黑体"/>
          <w:sz w:val="24"/>
          <w:u w:val="single"/>
        </w:rPr>
        <w:t xml:space="preserve">                       </w:t>
      </w:r>
    </w:p>
    <w:p>
      <w:pPr>
        <w:pStyle w:val="22"/>
        <w:adjustRightInd w:val="0"/>
        <w:snapToGrid w:val="0"/>
        <w:spacing w:line="400" w:lineRule="atLeast"/>
        <w:ind w:firstLine="480"/>
        <w:rPr>
          <w:rFonts w:hint="eastAsia" w:ascii="黑体" w:hAnsi="黑体" w:eastAsia="黑体" w:cs="黑体"/>
          <w:sz w:val="24"/>
        </w:rPr>
      </w:pPr>
    </w:p>
    <w:p>
      <w:pPr>
        <w:pStyle w:val="22"/>
        <w:adjustRightInd w:val="0"/>
        <w:snapToGrid w:val="0"/>
        <w:spacing w:line="400" w:lineRule="atLeast"/>
        <w:ind w:firstLine="480"/>
        <w:rPr>
          <w:rFonts w:hint="eastAsia" w:ascii="黑体" w:hAnsi="黑体" w:eastAsia="黑体" w:cs="黑体"/>
          <w:sz w:val="24"/>
        </w:rPr>
      </w:pPr>
      <w:r>
        <w:rPr>
          <w:rFonts w:hint="eastAsia" w:ascii="黑体" w:hAnsi="黑体" w:eastAsia="黑体" w:cs="黑体"/>
          <w:sz w:val="24"/>
        </w:rPr>
        <w:t>注：若制造商作为投标主体直接参与投标，可以不提供此项证明文件。</w:t>
      </w:r>
      <w:bookmarkStart w:id="118" w:name="_Toc39669652"/>
      <w:bookmarkStart w:id="119" w:name="_Toc18205"/>
      <w:bookmarkStart w:id="120" w:name="_Toc31196"/>
      <w:bookmarkStart w:id="121" w:name="_Toc39945711"/>
    </w:p>
    <w:p>
      <w:pPr>
        <w:pStyle w:val="6"/>
        <w:adjustRightInd w:val="0"/>
        <w:snapToGrid w:val="0"/>
        <w:spacing w:line="400" w:lineRule="atLeast"/>
        <w:outlineLvl w:val="9"/>
        <w:rPr>
          <w:rFonts w:hint="eastAsia" w:ascii="黑体" w:hAnsi="黑体" w:eastAsia="黑体" w:cs="黑体"/>
          <w:sz w:val="24"/>
        </w:rPr>
      </w:pPr>
    </w:p>
    <w:p>
      <w:pPr>
        <w:pStyle w:val="6"/>
        <w:adjustRightInd w:val="0"/>
        <w:snapToGrid w:val="0"/>
        <w:spacing w:line="400" w:lineRule="atLeast"/>
        <w:jc w:val="left"/>
        <w:rPr>
          <w:rFonts w:hint="eastAsia" w:ascii="黑体" w:hAnsi="黑体" w:eastAsia="黑体" w:cs="黑体"/>
          <w:b/>
          <w:bCs/>
          <w:sz w:val="24"/>
        </w:rPr>
      </w:pPr>
      <w:r>
        <w:rPr>
          <w:rFonts w:hint="eastAsia" w:ascii="黑体" w:hAnsi="黑体" w:eastAsia="黑体" w:cs="黑体"/>
          <w:b/>
          <w:bCs/>
          <w:sz w:val="24"/>
        </w:rPr>
        <w:t>附件九：近三年内全国性非特定行业项目业绩</w:t>
      </w:r>
      <w:bookmarkEnd w:id="118"/>
      <w:bookmarkEnd w:id="119"/>
      <w:bookmarkEnd w:id="120"/>
      <w:bookmarkEnd w:id="121"/>
    </w:p>
    <w:p>
      <w:pPr>
        <w:rPr>
          <w:rFonts w:hint="eastAsia" w:ascii="黑体" w:hAnsi="黑体" w:eastAsia="黑体" w:cs="黑体"/>
          <w:b/>
          <w:bCs/>
          <w:sz w:val="24"/>
        </w:rPr>
      </w:pPr>
    </w:p>
    <w:p>
      <w:pPr>
        <w:pStyle w:val="15"/>
        <w:rPr>
          <w:rFonts w:hint="eastAsia" w:ascii="黑体" w:hAnsi="黑体" w:eastAsia="黑体" w:cs="黑体"/>
        </w:rPr>
      </w:pPr>
    </w:p>
    <w:p>
      <w:pPr>
        <w:pStyle w:val="6"/>
        <w:adjustRightInd w:val="0"/>
        <w:snapToGrid w:val="0"/>
        <w:spacing w:line="400" w:lineRule="atLeast"/>
        <w:jc w:val="left"/>
        <w:rPr>
          <w:rFonts w:hint="eastAsia" w:ascii="黑体" w:hAnsi="黑体" w:eastAsia="黑体" w:cs="黑体"/>
          <w:b/>
          <w:bCs/>
          <w:sz w:val="24"/>
        </w:rPr>
      </w:pPr>
      <w:bookmarkStart w:id="122" w:name="_Toc39669654"/>
      <w:bookmarkStart w:id="123" w:name="_Toc19626"/>
      <w:bookmarkStart w:id="124" w:name="_Toc27728"/>
      <w:bookmarkStart w:id="125" w:name="_Toc39945713"/>
      <w:r>
        <w:rPr>
          <w:rFonts w:hint="eastAsia" w:ascii="黑体" w:hAnsi="黑体" w:eastAsia="黑体" w:cs="黑体"/>
          <w:b/>
          <w:bCs/>
          <w:sz w:val="24"/>
        </w:rPr>
        <w:t>附件十：资格证明文件</w:t>
      </w:r>
      <w:bookmarkEnd w:id="122"/>
      <w:bookmarkEnd w:id="123"/>
      <w:bookmarkEnd w:id="124"/>
      <w:bookmarkEnd w:id="125"/>
    </w:p>
    <w:p>
      <w:pPr>
        <w:pStyle w:val="8"/>
        <w:autoSpaceDE w:val="0"/>
        <w:autoSpaceDN w:val="0"/>
        <w:adjustRightInd w:val="0"/>
        <w:snapToGrid w:val="0"/>
        <w:spacing w:before="0" w:beforeAutospacing="0" w:after="0" w:afterAutospacing="0" w:line="400" w:lineRule="atLeast"/>
        <w:ind w:firstLine="480" w:firstLineChars="200"/>
        <w:jc w:val="left"/>
        <w:rPr>
          <w:rFonts w:hint="eastAsia" w:ascii="黑体" w:hAnsi="黑体" w:eastAsia="黑体" w:cs="黑体"/>
          <w:color w:val="000000"/>
          <w:kern w:val="0"/>
          <w:sz w:val="24"/>
          <w:szCs w:val="20"/>
          <w:lang w:val="zh-CN" w:bidi="zh-CN"/>
        </w:rPr>
      </w:pPr>
      <w:r>
        <w:rPr>
          <w:rFonts w:hint="eastAsia" w:ascii="黑体" w:hAnsi="黑体" w:eastAsia="黑体" w:cs="黑体"/>
          <w:color w:val="000000"/>
          <w:kern w:val="0"/>
          <w:sz w:val="24"/>
          <w:szCs w:val="20"/>
          <w:lang w:val="zh-CN" w:bidi="zh-CN"/>
        </w:rPr>
        <w:t>（复印件盖公章）</w:t>
      </w:r>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6" w:name="_Toc31490"/>
      <w:r>
        <w:rPr>
          <w:rFonts w:hint="eastAsia" w:ascii="黑体" w:hAnsi="黑体" w:eastAsia="黑体" w:cs="黑体"/>
          <w:color w:val="000000"/>
          <w:kern w:val="0"/>
          <w:sz w:val="24"/>
          <w:szCs w:val="20"/>
          <w:lang w:val="zh-CN" w:bidi="zh-CN"/>
        </w:rPr>
        <w:t>1</w:t>
      </w:r>
      <w:r>
        <w:rPr>
          <w:rFonts w:hint="eastAsia" w:ascii="黑体" w:hAnsi="黑体" w:eastAsia="黑体" w:cs="黑体"/>
          <w:color w:val="000000"/>
          <w:kern w:val="0"/>
          <w:sz w:val="24"/>
          <w:szCs w:val="20"/>
          <w:lang w:val="en-US" w:eastAsia="zh-CN" w:bidi="zh-CN"/>
        </w:rPr>
        <w:t xml:space="preserve"> </w:t>
      </w:r>
      <w:r>
        <w:rPr>
          <w:rFonts w:hint="eastAsia" w:ascii="黑体" w:hAnsi="黑体" w:eastAsia="黑体" w:cs="黑体"/>
          <w:color w:val="000000"/>
          <w:kern w:val="0"/>
          <w:sz w:val="24"/>
          <w:szCs w:val="20"/>
          <w:lang w:val="zh-CN" w:bidi="zh-CN"/>
        </w:rPr>
        <w:t>营业执照副本；</w:t>
      </w:r>
      <w:bookmarkEnd w:id="126"/>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7" w:name="_Toc76132906"/>
      <w:bookmarkStart w:id="128" w:name="_Toc76132193"/>
      <w:bookmarkStart w:id="129" w:name="_Toc31702"/>
      <w:r>
        <w:rPr>
          <w:rFonts w:hint="eastAsia" w:ascii="黑体" w:hAnsi="黑体" w:eastAsia="黑体" w:cs="黑体"/>
          <w:color w:val="000000"/>
          <w:kern w:val="0"/>
          <w:sz w:val="24"/>
          <w:szCs w:val="20"/>
          <w:lang w:val="zh-CN" w:bidi="zh-CN"/>
        </w:rPr>
        <w:t>2</w:t>
      </w:r>
      <w:r>
        <w:rPr>
          <w:rFonts w:hint="eastAsia" w:ascii="黑体" w:hAnsi="黑体" w:eastAsia="黑体" w:cs="黑体"/>
          <w:color w:val="000000"/>
          <w:kern w:val="0"/>
          <w:sz w:val="24"/>
          <w:szCs w:val="20"/>
          <w:lang w:val="en-US" w:eastAsia="zh-CN" w:bidi="zh-CN"/>
        </w:rPr>
        <w:t xml:space="preserve"> </w:t>
      </w:r>
      <w:r>
        <w:rPr>
          <w:rFonts w:hint="eastAsia" w:ascii="黑体" w:hAnsi="黑体" w:eastAsia="黑体" w:cs="黑体"/>
          <w:color w:val="000000"/>
          <w:kern w:val="0"/>
          <w:sz w:val="24"/>
          <w:szCs w:val="20"/>
          <w:lang w:val="zh-CN" w:bidi="zh-CN"/>
        </w:rPr>
        <w:t>法定代表人身份证</w:t>
      </w:r>
      <w:bookmarkEnd w:id="127"/>
      <w:bookmarkEnd w:id="128"/>
      <w:r>
        <w:rPr>
          <w:rFonts w:hint="eastAsia" w:ascii="黑体" w:hAnsi="黑体" w:eastAsia="黑体" w:cs="黑体"/>
          <w:color w:val="000000"/>
          <w:kern w:val="0"/>
          <w:sz w:val="24"/>
          <w:szCs w:val="20"/>
          <w:lang w:val="zh-CN" w:bidi="zh-CN"/>
        </w:rPr>
        <w:t>和相关资格证明文件；</w:t>
      </w:r>
      <w:bookmarkEnd w:id="129"/>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30" w:name="_Toc6245"/>
      <w:r>
        <w:rPr>
          <w:rFonts w:hint="eastAsia" w:ascii="黑体" w:hAnsi="黑体" w:eastAsia="黑体" w:cs="黑体"/>
          <w:color w:val="000000"/>
          <w:kern w:val="0"/>
          <w:sz w:val="24"/>
          <w:szCs w:val="20"/>
          <w:lang w:val="zh-CN" w:bidi="zh-CN"/>
        </w:rPr>
        <w:t>3</w:t>
      </w:r>
      <w:r>
        <w:rPr>
          <w:rFonts w:hint="eastAsia" w:ascii="黑体" w:hAnsi="黑体" w:eastAsia="黑体" w:cs="黑体"/>
          <w:color w:val="000000"/>
          <w:kern w:val="0"/>
          <w:sz w:val="24"/>
          <w:szCs w:val="20"/>
          <w:lang w:val="en-US" w:eastAsia="zh-CN" w:bidi="zh-CN"/>
        </w:rPr>
        <w:t xml:space="preserve"> </w:t>
      </w:r>
      <w:r>
        <w:rPr>
          <w:rFonts w:hint="eastAsia" w:ascii="黑体" w:hAnsi="黑体" w:eastAsia="黑体" w:cs="黑体"/>
          <w:color w:val="000000"/>
          <w:kern w:val="0"/>
          <w:sz w:val="24"/>
          <w:szCs w:val="20"/>
          <w:lang w:val="zh-CN" w:bidi="zh-CN"/>
        </w:rPr>
        <w:t>缴税、社保证明材料；</w:t>
      </w:r>
      <w:bookmarkEnd w:id="130"/>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31" w:name="_Toc16898"/>
      <w:r>
        <w:rPr>
          <w:rFonts w:hint="eastAsia" w:ascii="黑体" w:hAnsi="黑体" w:eastAsia="黑体" w:cs="黑体"/>
          <w:color w:val="000000"/>
          <w:kern w:val="0"/>
          <w:sz w:val="24"/>
          <w:szCs w:val="20"/>
          <w:lang w:val="zh-CN" w:bidi="zh-CN"/>
        </w:rPr>
        <w:t>4 具有健全会计制度的证明材料；</w:t>
      </w:r>
      <w:bookmarkEnd w:id="131"/>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32" w:name="_Toc29181"/>
      <w:r>
        <w:rPr>
          <w:rFonts w:hint="eastAsia" w:ascii="黑体" w:hAnsi="黑体" w:eastAsia="黑体" w:cs="黑体"/>
          <w:color w:val="000000"/>
          <w:kern w:val="0"/>
          <w:sz w:val="24"/>
          <w:szCs w:val="20"/>
          <w:lang w:val="zh-CN" w:bidi="zh-CN"/>
        </w:rPr>
        <w:t>5 资格要求中要求其他证明材料；</w:t>
      </w:r>
      <w:bookmarkEnd w:id="132"/>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33" w:name="_Toc7054"/>
      <w:r>
        <w:rPr>
          <w:rFonts w:hint="eastAsia" w:ascii="黑体" w:hAnsi="黑体" w:eastAsia="黑体" w:cs="黑体"/>
          <w:color w:val="000000"/>
          <w:kern w:val="0"/>
          <w:sz w:val="24"/>
          <w:szCs w:val="20"/>
          <w:lang w:val="zh-CN" w:bidi="zh-CN"/>
        </w:rPr>
        <w:t>6 节能产品认证证书（如有）；</w:t>
      </w:r>
      <w:bookmarkEnd w:id="133"/>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34" w:name="_Toc29315"/>
      <w:r>
        <w:rPr>
          <w:rFonts w:hint="eastAsia" w:ascii="黑体" w:hAnsi="黑体" w:eastAsia="黑体" w:cs="黑体"/>
          <w:color w:val="000000"/>
          <w:kern w:val="0"/>
          <w:sz w:val="24"/>
          <w:szCs w:val="20"/>
          <w:lang w:val="zh-CN" w:bidi="zh-CN"/>
        </w:rPr>
        <w:t>7 环保产品认证证书（如有）；</w:t>
      </w:r>
      <w:bookmarkEnd w:id="134"/>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35" w:name="_Toc12824"/>
      <w:r>
        <w:rPr>
          <w:rFonts w:hint="eastAsia" w:ascii="黑体" w:hAnsi="黑体" w:eastAsia="黑体" w:cs="黑体"/>
          <w:color w:val="000000"/>
          <w:kern w:val="0"/>
          <w:sz w:val="24"/>
          <w:szCs w:val="20"/>
          <w:lang w:val="zh-CN" w:bidi="zh-CN"/>
        </w:rPr>
        <w:t>8 开户许可证；</w:t>
      </w:r>
      <w:bookmarkEnd w:id="135"/>
    </w:p>
    <w:p>
      <w:pPr>
        <w:pStyle w:val="8"/>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36" w:name="_Toc10156"/>
      <w:r>
        <w:rPr>
          <w:rFonts w:hint="eastAsia" w:ascii="黑体" w:hAnsi="黑体" w:eastAsia="黑体" w:cs="黑体"/>
          <w:color w:val="000000"/>
          <w:kern w:val="0"/>
          <w:sz w:val="24"/>
          <w:szCs w:val="20"/>
          <w:lang w:val="zh-CN" w:bidi="zh-CN"/>
        </w:rPr>
        <w:t>9</w:t>
      </w:r>
      <w:r>
        <w:rPr>
          <w:rFonts w:hint="eastAsia" w:ascii="黑体" w:hAnsi="黑体" w:eastAsia="黑体" w:cs="黑体"/>
          <w:color w:val="000000"/>
          <w:kern w:val="0"/>
          <w:sz w:val="24"/>
          <w:szCs w:val="20"/>
          <w:lang w:val="en-US" w:eastAsia="zh-CN" w:bidi="zh-CN"/>
        </w:rPr>
        <w:t xml:space="preserve"> </w:t>
      </w:r>
      <w:r>
        <w:rPr>
          <w:rFonts w:hint="eastAsia" w:ascii="黑体" w:hAnsi="黑体" w:eastAsia="黑体" w:cs="黑体"/>
          <w:color w:val="000000"/>
          <w:kern w:val="0"/>
          <w:sz w:val="24"/>
          <w:szCs w:val="20"/>
          <w:lang w:val="zh-CN" w:bidi="zh-CN"/>
        </w:rPr>
        <w:t>其他相关证明资料。</w:t>
      </w:r>
      <w:bookmarkEnd w:id="136"/>
    </w:p>
    <w:p>
      <w:pPr>
        <w:pStyle w:val="6"/>
        <w:adjustRightInd w:val="0"/>
        <w:snapToGrid w:val="0"/>
        <w:spacing w:line="400" w:lineRule="atLeast"/>
        <w:rPr>
          <w:rFonts w:hint="eastAsia" w:ascii="黑体" w:hAnsi="黑体" w:eastAsia="黑体" w:cs="黑体"/>
          <w:b/>
          <w:bCs/>
          <w:sz w:val="24"/>
        </w:rPr>
      </w:pPr>
      <w:bookmarkStart w:id="137" w:name="_Toc39669655"/>
      <w:bookmarkStart w:id="138" w:name="_Toc19875"/>
      <w:bookmarkStart w:id="139" w:name="_Toc15476"/>
      <w:bookmarkStart w:id="140" w:name="_Toc39945714"/>
      <w:r>
        <w:rPr>
          <w:rFonts w:hint="eastAsia" w:ascii="黑体" w:hAnsi="黑体" w:eastAsia="黑体" w:cs="黑体"/>
          <w:b/>
          <w:bCs/>
          <w:sz w:val="24"/>
        </w:rPr>
        <w:t>附件十一：监狱企业证明文件（如有）、残疾人福利性单位声明函（如有）、小微企业声明函中小微企业证明文件等（如有）。</w:t>
      </w:r>
      <w:bookmarkEnd w:id="137"/>
      <w:bookmarkEnd w:id="138"/>
      <w:bookmarkEnd w:id="139"/>
      <w:bookmarkEnd w:id="140"/>
    </w:p>
    <w:p>
      <w:pPr>
        <w:numPr>
          <w:ilvl w:val="0"/>
          <w:numId w:val="0"/>
        </w:numPr>
        <w:tabs>
          <w:tab w:val="left" w:pos="0"/>
        </w:tabs>
        <w:adjustRightInd w:val="0"/>
        <w:snapToGrid w:val="0"/>
        <w:spacing w:line="400" w:lineRule="atLeast"/>
        <w:ind w:leftChars="0"/>
        <w:jc w:val="center"/>
        <w:outlineLvl w:val="0"/>
        <w:rPr>
          <w:rFonts w:hint="eastAsia" w:ascii="黑体" w:hAnsi="黑体" w:eastAsia="黑体" w:cs="黑体"/>
          <w:sz w:val="24"/>
        </w:rPr>
      </w:pPr>
      <w:bookmarkStart w:id="141" w:name="_Toc25833"/>
      <w:bookmarkStart w:id="142" w:name="_Toc31615"/>
      <w:r>
        <w:rPr>
          <w:rFonts w:hint="eastAsia" w:ascii="黑体" w:hAnsi="黑体" w:eastAsia="黑体" w:cs="黑体"/>
          <w:sz w:val="24"/>
          <w:lang w:val="en-US" w:eastAsia="zh-CN"/>
        </w:rPr>
        <w:t>1.</w:t>
      </w:r>
      <w:r>
        <w:rPr>
          <w:rFonts w:hint="eastAsia" w:ascii="黑体" w:hAnsi="黑体" w:eastAsia="黑体" w:cs="黑体"/>
          <w:sz w:val="24"/>
        </w:rPr>
        <w:t>监狱企业证明文件</w:t>
      </w:r>
      <w:bookmarkEnd w:id="141"/>
      <w:bookmarkEnd w:id="142"/>
    </w:p>
    <w:p>
      <w:pPr>
        <w:adjustRightInd w:val="0"/>
        <w:snapToGrid w:val="0"/>
        <w:spacing w:line="400" w:lineRule="atLeast"/>
        <w:ind w:left="1680"/>
        <w:rPr>
          <w:rFonts w:hint="eastAsia" w:ascii="黑体" w:hAnsi="黑体" w:eastAsia="黑体" w:cs="黑体"/>
          <w:sz w:val="24"/>
          <w:highlight w:val="yellow"/>
        </w:rPr>
      </w:pPr>
    </w:p>
    <w:p>
      <w:pPr>
        <w:adjustRightInd w:val="0"/>
        <w:snapToGrid w:val="0"/>
        <w:spacing w:line="400" w:lineRule="atLeast"/>
        <w:ind w:left="1680"/>
        <w:rPr>
          <w:rFonts w:hint="eastAsia" w:ascii="黑体" w:hAnsi="黑体" w:eastAsia="黑体" w:cs="黑体"/>
          <w:sz w:val="24"/>
          <w:highlight w:val="yellow"/>
        </w:rPr>
      </w:pPr>
    </w:p>
    <w:p>
      <w:pPr>
        <w:adjustRightInd w:val="0"/>
        <w:snapToGrid w:val="0"/>
        <w:spacing w:line="400" w:lineRule="atLeast"/>
        <w:ind w:firstLine="3816" w:firstLineChars="1590"/>
        <w:outlineLvl w:val="0"/>
        <w:rPr>
          <w:rFonts w:hint="eastAsia" w:ascii="黑体" w:hAnsi="黑体" w:eastAsia="黑体" w:cs="黑体"/>
          <w:sz w:val="24"/>
        </w:rPr>
      </w:pPr>
      <w:bookmarkStart w:id="143" w:name="_Toc18626"/>
      <w:bookmarkStart w:id="144" w:name="_Toc25203"/>
      <w:r>
        <w:rPr>
          <w:rFonts w:hint="eastAsia" w:ascii="黑体" w:hAnsi="黑体" w:eastAsia="黑体" w:cs="黑体"/>
          <w:sz w:val="24"/>
        </w:rPr>
        <w:t>2.残疾人福利性单位声明函</w:t>
      </w:r>
      <w:bookmarkEnd w:id="143"/>
      <w:bookmarkEnd w:id="144"/>
    </w:p>
    <w:p>
      <w:pPr>
        <w:adjustRightInd w:val="0"/>
        <w:snapToGrid w:val="0"/>
        <w:spacing w:line="400" w:lineRule="atLeast"/>
        <w:ind w:firstLine="480" w:firstLineChars="200"/>
        <w:jc w:val="left"/>
        <w:rPr>
          <w:rFonts w:hint="eastAsia" w:ascii="黑体" w:hAnsi="黑体" w:eastAsia="黑体" w:cs="黑体"/>
          <w:sz w:val="24"/>
        </w:rPr>
      </w:pPr>
      <w:r>
        <w:rPr>
          <w:rFonts w:hint="eastAsia" w:ascii="黑体" w:hAnsi="黑体" w:eastAsia="黑体" w:cs="黑体"/>
          <w:sz w:val="24"/>
        </w:rPr>
        <w:t>本公司郑重声明，根据《财政部 民政部 中国残疾人联合会关于促进残疾人就业政府采购政策的通知》（财库（2017）141号）的规定，本单位为符合条件的残疾人福利性单位，且本单位参加的</w:t>
      </w:r>
    </w:p>
    <w:p>
      <w:pPr>
        <w:adjustRightInd w:val="0"/>
        <w:snapToGrid w:val="0"/>
        <w:spacing w:line="400" w:lineRule="atLeast"/>
        <w:ind w:firstLine="480" w:firstLineChars="200"/>
        <w:jc w:val="left"/>
        <w:rPr>
          <w:rFonts w:hint="eastAsia" w:ascii="黑体" w:hAnsi="黑体" w:eastAsia="黑体" w:cs="黑体"/>
          <w:sz w:val="24"/>
        </w:rPr>
      </w:pPr>
      <w:r>
        <w:rPr>
          <w:rFonts w:hint="eastAsia" w:ascii="黑体" w:hAnsi="黑体" w:eastAsia="黑体" w:cs="黑体"/>
          <w:sz w:val="24"/>
          <w:u w:val="single"/>
        </w:rPr>
        <w:t xml:space="preserve">                 单位的                        </w:t>
      </w:r>
      <w:r>
        <w:rPr>
          <w:rFonts w:hint="eastAsia" w:ascii="黑体" w:hAnsi="黑体" w:eastAsia="黑体" w:cs="黑体"/>
          <w:sz w:val="24"/>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400" w:lineRule="atLeast"/>
        <w:ind w:firstLine="480" w:firstLineChars="200"/>
        <w:jc w:val="left"/>
        <w:rPr>
          <w:rFonts w:hint="eastAsia" w:ascii="黑体" w:hAnsi="黑体" w:eastAsia="黑体" w:cs="黑体"/>
          <w:sz w:val="24"/>
        </w:rPr>
      </w:pPr>
      <w:r>
        <w:rPr>
          <w:rFonts w:hint="eastAsia" w:ascii="黑体" w:hAnsi="黑体" w:eastAsia="黑体" w:cs="黑体"/>
          <w:sz w:val="24"/>
        </w:rPr>
        <w:t>本单位对上述声明的真实性负责，如有虚假，将依法承担相应责任。</w:t>
      </w:r>
    </w:p>
    <w:p>
      <w:pPr>
        <w:adjustRightInd w:val="0"/>
        <w:snapToGrid w:val="0"/>
        <w:spacing w:line="400" w:lineRule="atLeast"/>
        <w:ind w:firstLine="480" w:firstLineChars="200"/>
        <w:jc w:val="center"/>
        <w:rPr>
          <w:rFonts w:hint="eastAsia" w:ascii="黑体" w:hAnsi="黑体" w:eastAsia="黑体" w:cs="黑体"/>
          <w:sz w:val="24"/>
        </w:rPr>
      </w:pPr>
    </w:p>
    <w:p>
      <w:pPr>
        <w:adjustRightInd w:val="0"/>
        <w:snapToGrid w:val="0"/>
        <w:spacing w:line="400" w:lineRule="atLeast"/>
        <w:ind w:firstLine="7200" w:firstLineChars="3000"/>
        <w:rPr>
          <w:rFonts w:hint="eastAsia" w:ascii="黑体" w:hAnsi="黑体" w:eastAsia="黑体" w:cs="黑体"/>
          <w:sz w:val="24"/>
        </w:rPr>
      </w:pPr>
      <w:r>
        <w:rPr>
          <w:rFonts w:hint="eastAsia" w:ascii="黑体" w:hAnsi="黑体" w:eastAsia="黑体" w:cs="黑体"/>
          <w:sz w:val="24"/>
        </w:rPr>
        <w:t>企业名称（公章）：</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 xml:space="preserve">                                                        日  期：</w:t>
      </w:r>
    </w:p>
    <w:p>
      <w:pPr>
        <w:adjustRightInd w:val="0"/>
        <w:snapToGrid w:val="0"/>
        <w:spacing w:line="400" w:lineRule="atLeast"/>
        <w:ind w:firstLine="480" w:firstLineChars="200"/>
        <w:jc w:val="center"/>
        <w:rPr>
          <w:rFonts w:hint="eastAsia" w:ascii="黑体" w:hAnsi="黑体" w:eastAsia="黑体" w:cs="黑体"/>
          <w:sz w:val="24"/>
          <w:highlight w:val="yellow"/>
        </w:rPr>
      </w:pPr>
    </w:p>
    <w:p>
      <w:pPr>
        <w:adjustRightInd w:val="0"/>
        <w:snapToGrid w:val="0"/>
        <w:spacing w:line="400" w:lineRule="atLeast"/>
        <w:ind w:firstLine="480" w:firstLineChars="200"/>
        <w:jc w:val="center"/>
        <w:rPr>
          <w:rFonts w:hint="eastAsia" w:ascii="黑体" w:hAnsi="黑体" w:eastAsia="黑体" w:cs="黑体"/>
          <w:sz w:val="24"/>
          <w:highlight w:val="yellow"/>
        </w:rPr>
      </w:pPr>
    </w:p>
    <w:p>
      <w:pPr>
        <w:adjustRightInd w:val="0"/>
        <w:snapToGrid w:val="0"/>
        <w:spacing w:line="400" w:lineRule="atLeast"/>
        <w:ind w:firstLine="3840" w:firstLineChars="1600"/>
        <w:outlineLvl w:val="0"/>
        <w:rPr>
          <w:rFonts w:hint="eastAsia" w:ascii="黑体" w:hAnsi="黑体" w:eastAsia="黑体" w:cs="黑体"/>
          <w:sz w:val="24"/>
        </w:rPr>
      </w:pPr>
      <w:bookmarkStart w:id="145" w:name="_Toc24805"/>
      <w:bookmarkStart w:id="146" w:name="_Toc23680"/>
      <w:r>
        <w:rPr>
          <w:rFonts w:hint="eastAsia" w:ascii="黑体" w:hAnsi="黑体" w:eastAsia="黑体" w:cs="黑体"/>
          <w:sz w:val="24"/>
        </w:rPr>
        <w:t>3.中小企业申明函</w:t>
      </w:r>
      <w:bookmarkEnd w:id="145"/>
      <w:bookmarkEnd w:id="146"/>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本公司郑重声明，根据《</w:t>
      </w:r>
      <w:r>
        <w:rPr>
          <w:rFonts w:hint="eastAsia" w:ascii="黑体" w:hAnsi="黑体" w:eastAsia="黑体" w:cs="黑体"/>
          <w:sz w:val="24"/>
          <w:szCs w:val="22"/>
        </w:rPr>
        <w:t>政府采购促进中小企业发展管理办法</w:t>
      </w:r>
      <w:r>
        <w:rPr>
          <w:rFonts w:hint="eastAsia" w:ascii="黑体" w:hAnsi="黑体" w:eastAsia="黑体" w:cs="黑体"/>
          <w:sz w:val="24"/>
        </w:rPr>
        <w:t>》（财库[20</w:t>
      </w:r>
      <w:r>
        <w:rPr>
          <w:rFonts w:hint="eastAsia" w:ascii="黑体" w:hAnsi="黑体" w:eastAsia="黑体" w:cs="黑体"/>
          <w:sz w:val="24"/>
          <w:lang w:val="en-US" w:eastAsia="zh-CN"/>
        </w:rPr>
        <w:t>20</w:t>
      </w:r>
      <w:r>
        <w:rPr>
          <w:rFonts w:hint="eastAsia" w:ascii="黑体" w:hAnsi="黑体" w:eastAsia="黑体" w:cs="黑体"/>
          <w:sz w:val="24"/>
        </w:rPr>
        <w:t>]</w:t>
      </w:r>
      <w:r>
        <w:rPr>
          <w:rFonts w:hint="eastAsia" w:ascii="黑体" w:hAnsi="黑体" w:eastAsia="黑体" w:cs="黑体"/>
          <w:sz w:val="24"/>
          <w:lang w:val="en-US" w:eastAsia="zh-CN"/>
        </w:rPr>
        <w:t>46</w:t>
      </w:r>
      <w:r>
        <w:rPr>
          <w:rFonts w:hint="eastAsia" w:ascii="黑体" w:hAnsi="黑体" w:eastAsia="黑体" w:cs="黑体"/>
          <w:sz w:val="24"/>
        </w:rPr>
        <w:t>号）的规定，本公司为文库</w:t>
      </w:r>
      <w:r>
        <w:rPr>
          <w:rFonts w:hint="eastAsia" w:ascii="黑体" w:hAnsi="黑体" w:eastAsia="黑体" w:cs="黑体"/>
          <w:sz w:val="24"/>
          <w:u w:val="single"/>
        </w:rPr>
        <w:t>   </w:t>
      </w:r>
      <w:r>
        <w:rPr>
          <w:rFonts w:hint="eastAsia" w:ascii="黑体" w:hAnsi="黑体" w:eastAsia="黑体" w:cs="黑体"/>
          <w:sz w:val="24"/>
        </w:rPr>
        <w:t>（请填写：中型、小型、微型）企业。即，本公司同时满足以下条件： </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1.根据《工业和信息化部、国家统计局、国家发展和改革委员会、财政部关于印发中小企业划型标准规定的通知》（工信部联企业[2011]300号）规定的划分标准，本公司为小型（请填写：中型、小型、微型）企业。 </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2.本公司参加</w:t>
      </w:r>
      <w:r>
        <w:rPr>
          <w:rFonts w:hint="eastAsia" w:ascii="黑体" w:hAnsi="黑体" w:eastAsia="黑体" w:cs="黑体"/>
          <w:sz w:val="24"/>
          <w:u w:val="single"/>
        </w:rPr>
        <w:t>                    </w:t>
      </w:r>
      <w:r>
        <w:rPr>
          <w:rFonts w:hint="eastAsia" w:ascii="黑体" w:hAnsi="黑体" w:eastAsia="黑体" w:cs="黑体"/>
          <w:sz w:val="24"/>
        </w:rPr>
        <w:t>单位的参加</w:t>
      </w:r>
      <w:r>
        <w:rPr>
          <w:rFonts w:hint="eastAsia" w:ascii="黑体" w:hAnsi="黑体" w:eastAsia="黑体" w:cs="黑体"/>
          <w:sz w:val="24"/>
          <w:u w:val="single"/>
        </w:rPr>
        <w:t>                    </w:t>
      </w:r>
      <w:r>
        <w:rPr>
          <w:rFonts w:hint="eastAsia" w:ascii="黑体" w:hAnsi="黑体" w:eastAsia="黑体" w:cs="黑体"/>
          <w:sz w:val="24"/>
        </w:rPr>
        <w:t>项目采购活动提供本企业制造的货物，由本企业承担工程、提供服务，或者提供其他</w:t>
      </w:r>
      <w:r>
        <w:rPr>
          <w:rFonts w:hint="eastAsia" w:ascii="黑体" w:hAnsi="黑体" w:eastAsia="黑体" w:cs="黑体"/>
          <w:sz w:val="24"/>
          <w:u w:val="single"/>
        </w:rPr>
        <w:t>     </w:t>
      </w:r>
      <w:r>
        <w:rPr>
          <w:rFonts w:hint="eastAsia" w:ascii="黑体" w:hAnsi="黑体" w:eastAsia="黑体" w:cs="黑体"/>
          <w:sz w:val="24"/>
        </w:rPr>
        <w:t>（请填写：中型、小型、微型）企业制造的货物。本条所称货物不包括使用大型企业注册商标的货物。 </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本公司对上述声明的真实性负责。如有虚假，将依法承担相应责任。</w:t>
      </w:r>
    </w:p>
    <w:p>
      <w:pPr>
        <w:adjustRightInd w:val="0"/>
        <w:snapToGrid w:val="0"/>
        <w:spacing w:line="400" w:lineRule="atLeast"/>
        <w:ind w:firstLine="480" w:firstLineChars="200"/>
        <w:rPr>
          <w:rFonts w:hint="eastAsia" w:ascii="黑体" w:hAnsi="黑体" w:eastAsia="黑体" w:cs="黑体"/>
          <w:sz w:val="24"/>
        </w:rPr>
      </w:pP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 xml:space="preserve">                                                        企业名称（公章）：</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 xml:space="preserve">                                                        日  期：</w:t>
      </w:r>
    </w:p>
    <w:p>
      <w:pPr>
        <w:pStyle w:val="6"/>
        <w:adjustRightInd w:val="0"/>
        <w:snapToGrid w:val="0"/>
        <w:spacing w:line="400" w:lineRule="atLeast"/>
        <w:outlineLvl w:val="9"/>
        <w:rPr>
          <w:rFonts w:hint="eastAsia" w:ascii="黑体" w:hAnsi="黑体" w:eastAsia="黑体" w:cs="黑体"/>
          <w:sz w:val="24"/>
        </w:rPr>
        <w:sectPr>
          <w:pgSz w:w="11906" w:h="16838"/>
          <w:pgMar w:top="1440" w:right="1080" w:bottom="1440" w:left="1080" w:header="851" w:footer="992" w:gutter="0"/>
          <w:pgNumType w:fmt="decimal"/>
          <w:cols w:space="720" w:num="1"/>
          <w:docGrid w:type="linesAndChars" w:linePitch="312" w:charSpace="0"/>
        </w:sectPr>
      </w:pPr>
      <w:bookmarkStart w:id="147" w:name="_Toc39945715"/>
      <w:bookmarkStart w:id="148" w:name="_Toc39669656"/>
    </w:p>
    <w:p>
      <w:pPr>
        <w:pStyle w:val="6"/>
        <w:adjustRightInd w:val="0"/>
        <w:snapToGrid w:val="0"/>
        <w:spacing w:line="400" w:lineRule="atLeast"/>
        <w:rPr>
          <w:rFonts w:hint="eastAsia" w:ascii="黑体" w:hAnsi="黑体" w:eastAsia="黑体" w:cs="黑体"/>
          <w:b/>
          <w:bCs/>
          <w:sz w:val="24"/>
        </w:rPr>
      </w:pPr>
      <w:bookmarkStart w:id="149" w:name="_Toc19302"/>
      <w:bookmarkStart w:id="150" w:name="_Toc6589"/>
      <w:r>
        <w:rPr>
          <w:rFonts w:hint="eastAsia" w:ascii="黑体" w:hAnsi="黑体" w:eastAsia="黑体" w:cs="黑体"/>
          <w:b/>
          <w:bCs/>
          <w:sz w:val="24"/>
        </w:rPr>
        <w:t>附件十二：</w:t>
      </w:r>
      <w:bookmarkEnd w:id="147"/>
      <w:bookmarkEnd w:id="148"/>
      <w:r>
        <w:rPr>
          <w:rFonts w:hint="eastAsia" w:ascii="黑体" w:hAnsi="黑体" w:eastAsia="黑体" w:cs="黑体"/>
          <w:b/>
          <w:bCs/>
          <w:color w:val="000000"/>
          <w:sz w:val="24"/>
        </w:rPr>
        <w:t>售后服务方案、售后服务承诺书、培训计划及</w:t>
      </w:r>
      <w:r>
        <w:rPr>
          <w:rFonts w:hint="eastAsia" w:ascii="黑体" w:hAnsi="黑体" w:eastAsia="黑体" w:cs="黑体"/>
          <w:b/>
          <w:bCs/>
          <w:color w:val="000000"/>
          <w:sz w:val="24"/>
          <w:lang w:val="en-US" w:eastAsia="zh-CN"/>
        </w:rPr>
        <w:t>招标</w:t>
      </w:r>
      <w:r>
        <w:rPr>
          <w:rFonts w:hint="eastAsia" w:ascii="黑体" w:hAnsi="黑体" w:eastAsia="黑体" w:cs="黑体"/>
          <w:b/>
          <w:bCs/>
          <w:color w:val="000000"/>
          <w:sz w:val="24"/>
        </w:rPr>
        <w:t>文件要求提供得承诺函。</w:t>
      </w:r>
      <w:bookmarkEnd w:id="149"/>
      <w:bookmarkEnd w:id="150"/>
    </w:p>
    <w:p>
      <w:pPr>
        <w:adjustRightInd w:val="0"/>
        <w:snapToGrid w:val="0"/>
        <w:spacing w:line="400" w:lineRule="atLeast"/>
        <w:ind w:firstLine="480" w:firstLineChars="200"/>
        <w:jc w:val="center"/>
        <w:rPr>
          <w:rFonts w:hint="eastAsia" w:ascii="黑体" w:hAnsi="黑体" w:eastAsia="黑体" w:cs="黑体"/>
          <w:sz w:val="24"/>
        </w:rPr>
      </w:pPr>
    </w:p>
    <w:p>
      <w:pPr>
        <w:pStyle w:val="15"/>
        <w:rPr>
          <w:rFonts w:hint="eastAsia" w:ascii="黑体" w:hAnsi="黑体" w:eastAsia="黑体" w:cs="黑体"/>
        </w:rPr>
      </w:pPr>
    </w:p>
    <w:p>
      <w:pPr>
        <w:pStyle w:val="6"/>
        <w:adjustRightInd w:val="0"/>
        <w:snapToGrid w:val="0"/>
        <w:spacing w:line="400" w:lineRule="atLeast"/>
        <w:jc w:val="left"/>
        <w:rPr>
          <w:rFonts w:hint="eastAsia" w:ascii="黑体" w:hAnsi="黑体" w:eastAsia="黑体" w:cs="黑体"/>
          <w:b/>
          <w:bCs/>
          <w:sz w:val="24"/>
        </w:rPr>
      </w:pPr>
      <w:bookmarkStart w:id="151" w:name="_Toc39669658"/>
      <w:bookmarkStart w:id="152" w:name="_Toc12789"/>
      <w:bookmarkStart w:id="153" w:name="_Toc39945717"/>
      <w:bookmarkStart w:id="154" w:name="_Toc6936"/>
      <w:r>
        <w:rPr>
          <w:rFonts w:hint="eastAsia" w:ascii="黑体" w:hAnsi="黑体" w:eastAsia="黑体" w:cs="黑体"/>
          <w:b/>
          <w:bCs/>
          <w:sz w:val="24"/>
        </w:rPr>
        <w:t>附件十三：</w:t>
      </w:r>
      <w:bookmarkEnd w:id="151"/>
      <w:r>
        <w:rPr>
          <w:rFonts w:hint="eastAsia" w:ascii="黑体" w:hAnsi="黑体" w:eastAsia="黑体" w:cs="黑体"/>
          <w:b/>
          <w:bCs/>
          <w:sz w:val="24"/>
        </w:rPr>
        <w:t>投标单位(供应商)反商业贿赂承诺书</w:t>
      </w:r>
      <w:bookmarkEnd w:id="152"/>
      <w:bookmarkEnd w:id="153"/>
      <w:bookmarkEnd w:id="154"/>
    </w:p>
    <w:p>
      <w:pPr>
        <w:rPr>
          <w:rFonts w:hint="eastAsia" w:ascii="黑体" w:hAnsi="黑体" w:eastAsia="黑体" w:cs="黑体"/>
          <w:lang w:val="zh-CN"/>
        </w:rPr>
      </w:pPr>
    </w:p>
    <w:p>
      <w:pPr>
        <w:adjustRightInd w:val="0"/>
        <w:snapToGrid w:val="0"/>
        <w:spacing w:line="400" w:lineRule="atLeast"/>
        <w:jc w:val="center"/>
        <w:outlineLvl w:val="0"/>
        <w:rPr>
          <w:rFonts w:hint="eastAsia" w:ascii="黑体" w:hAnsi="黑体" w:eastAsia="黑体" w:cs="黑体"/>
          <w:sz w:val="24"/>
          <w:szCs w:val="24"/>
        </w:rPr>
      </w:pPr>
      <w:bookmarkStart w:id="155" w:name="_Toc7947"/>
      <w:bookmarkStart w:id="156" w:name="_Toc18069"/>
      <w:bookmarkStart w:id="157" w:name="_Toc39669659"/>
      <w:r>
        <w:rPr>
          <w:rFonts w:hint="eastAsia" w:ascii="黑体" w:hAnsi="黑体" w:eastAsia="黑体" w:cs="黑体"/>
          <w:sz w:val="24"/>
          <w:szCs w:val="24"/>
        </w:rPr>
        <w:t>投标单位(供应商)反商业贿赂承诺书</w:t>
      </w:r>
      <w:bookmarkEnd w:id="155"/>
      <w:bookmarkEnd w:id="156"/>
    </w:p>
    <w:p>
      <w:pPr>
        <w:pStyle w:val="15"/>
        <w:rPr>
          <w:rFonts w:hint="eastAsia" w:ascii="黑体" w:hAnsi="黑体" w:eastAsia="黑体" w:cs="黑体"/>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hint="eastAsia" w:ascii="黑体" w:hAnsi="黑体" w:eastAsia="黑体" w:cs="黑体"/>
          <w:sz w:val="24"/>
          <w:szCs w:val="24"/>
        </w:rPr>
      </w:pPr>
      <w:r>
        <w:rPr>
          <w:rFonts w:hint="eastAsia" w:ascii="黑体" w:hAnsi="黑体" w:eastAsia="黑体" w:cs="黑体"/>
          <w:sz w:val="24"/>
          <w:szCs w:val="24"/>
        </w:rPr>
        <w:t>我公司承诺在</w:t>
      </w:r>
      <w:r>
        <w:rPr>
          <w:rFonts w:hint="eastAsia" w:ascii="黑体" w:hAnsi="黑体" w:eastAsia="黑体" w:cs="黑体"/>
          <w:sz w:val="24"/>
          <w:szCs w:val="24"/>
          <w:u w:val="single"/>
        </w:rPr>
        <w:t xml:space="preserve">                       </w:t>
      </w:r>
      <w:r>
        <w:rPr>
          <w:rFonts w:hint="eastAsia" w:ascii="黑体" w:hAnsi="黑体" w:eastAsia="黑体" w:cs="黑体"/>
          <w:sz w:val="24"/>
          <w:szCs w:val="24"/>
        </w:rPr>
        <w:t>项目（编号：</w:t>
      </w:r>
      <w:r>
        <w:rPr>
          <w:rFonts w:hint="eastAsia" w:ascii="黑体" w:hAnsi="黑体" w:eastAsia="黑体" w:cs="黑体"/>
          <w:sz w:val="24"/>
          <w:szCs w:val="24"/>
          <w:u w:val="single"/>
        </w:rPr>
        <w:t xml:space="preserve">           </w:t>
      </w:r>
      <w:r>
        <w:rPr>
          <w:rFonts w:hint="eastAsia" w:ascii="黑体" w:hAnsi="黑体" w:eastAsia="黑体" w:cs="黑体"/>
          <w:sz w:val="24"/>
          <w:szCs w:val="24"/>
        </w:rPr>
        <w:t>）的招标活动中，保证做到：</w:t>
      </w:r>
    </w:p>
    <w:p>
      <w:pPr>
        <w:pStyle w:val="262"/>
        <w:numPr>
          <w:ilvl w:val="0"/>
          <w:numId w:val="76"/>
        </w:numPr>
        <w:adjustRightInd w:val="0"/>
        <w:snapToGrid w:val="0"/>
        <w:spacing w:line="400" w:lineRule="atLeast"/>
        <w:ind w:left="0" w:firstLine="585" w:firstLineChars="0"/>
        <w:rPr>
          <w:rFonts w:hint="eastAsia" w:ascii="黑体" w:hAnsi="黑体" w:eastAsia="黑体" w:cs="黑体"/>
          <w:sz w:val="24"/>
          <w:szCs w:val="24"/>
        </w:rPr>
      </w:pPr>
      <w:r>
        <w:rPr>
          <w:rFonts w:hint="eastAsia" w:ascii="黑体" w:hAnsi="黑体" w:eastAsia="黑体" w:cs="黑体"/>
          <w:sz w:val="24"/>
          <w:szCs w:val="24"/>
        </w:rPr>
        <w:t>公平竞争参加本次招标活动,保证在本次投标活动中提交的所有文件均是真实、有效的.</w:t>
      </w:r>
    </w:p>
    <w:p>
      <w:pPr>
        <w:pStyle w:val="262"/>
        <w:numPr>
          <w:ilvl w:val="0"/>
          <w:numId w:val="76"/>
        </w:numPr>
        <w:adjustRightInd w:val="0"/>
        <w:snapToGrid w:val="0"/>
        <w:spacing w:line="400" w:lineRule="atLeast"/>
        <w:ind w:left="0" w:firstLine="585" w:firstLineChars="0"/>
        <w:rPr>
          <w:rFonts w:hint="eastAsia" w:ascii="黑体" w:hAnsi="黑体" w:eastAsia="黑体" w:cs="黑体"/>
          <w:sz w:val="24"/>
          <w:szCs w:val="24"/>
          <w:u w:val="single"/>
        </w:rPr>
      </w:pPr>
      <w:r>
        <w:rPr>
          <w:rFonts w:hint="eastAsia" w:ascii="黑体" w:hAnsi="黑体" w:eastAsia="黑体" w:cs="黑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262"/>
        <w:numPr>
          <w:ilvl w:val="0"/>
          <w:numId w:val="76"/>
        </w:numPr>
        <w:adjustRightInd w:val="0"/>
        <w:snapToGrid w:val="0"/>
        <w:spacing w:line="400" w:lineRule="atLeast"/>
        <w:ind w:left="0" w:firstLine="585" w:firstLineChars="0"/>
        <w:rPr>
          <w:rFonts w:hint="eastAsia" w:ascii="黑体" w:hAnsi="黑体" w:eastAsia="黑体" w:cs="黑体"/>
          <w:sz w:val="24"/>
          <w:szCs w:val="24"/>
        </w:rPr>
      </w:pPr>
      <w:r>
        <w:rPr>
          <w:rFonts w:hint="eastAsia" w:ascii="黑体" w:hAnsi="黑体" w:eastAsia="黑体" w:cs="黑体"/>
          <w:sz w:val="24"/>
          <w:szCs w:val="24"/>
        </w:rPr>
        <w:t>如果我公司中标，将严格按投标承诺履行合同，保证装机设备与投标设备是一致的. 如有违反,用户有权依照相关法律追究相应责任。</w:t>
      </w:r>
    </w:p>
    <w:p>
      <w:pPr>
        <w:pStyle w:val="262"/>
        <w:numPr>
          <w:ilvl w:val="0"/>
          <w:numId w:val="76"/>
        </w:numPr>
        <w:adjustRightInd w:val="0"/>
        <w:snapToGrid w:val="0"/>
        <w:spacing w:line="400" w:lineRule="atLeast"/>
        <w:ind w:left="0" w:firstLine="585" w:firstLineChars="0"/>
        <w:rPr>
          <w:rFonts w:hint="eastAsia" w:ascii="黑体" w:hAnsi="黑体" w:eastAsia="黑体" w:cs="黑体"/>
          <w:sz w:val="24"/>
          <w:szCs w:val="24"/>
          <w:u w:val="single"/>
        </w:rPr>
      </w:pPr>
      <w:r>
        <w:rPr>
          <w:rFonts w:hint="eastAsia" w:ascii="黑体" w:hAnsi="黑体" w:eastAsia="黑体" w:cs="黑体"/>
          <w:sz w:val="24"/>
          <w:szCs w:val="24"/>
        </w:rPr>
        <w:t>若出现上述行为，我公司及参与投标的工作人员愿意接受按照《反不正当竞争法》等国家法律法规有关规定经予的处罚。</w:t>
      </w:r>
    </w:p>
    <w:p>
      <w:pPr>
        <w:pStyle w:val="262"/>
        <w:adjustRightInd w:val="0"/>
        <w:snapToGrid w:val="0"/>
        <w:spacing w:line="400" w:lineRule="atLeast"/>
        <w:ind w:left="1276" w:firstLine="0" w:firstLineChars="0"/>
        <w:rPr>
          <w:rFonts w:hint="eastAsia" w:ascii="黑体" w:hAnsi="黑体" w:eastAsia="黑体" w:cs="黑体"/>
          <w:sz w:val="24"/>
          <w:szCs w:val="24"/>
          <w:u w:val="single"/>
        </w:rPr>
      </w:pPr>
    </w:p>
    <w:p>
      <w:pPr>
        <w:pStyle w:val="262"/>
        <w:adjustRightInd w:val="0"/>
        <w:snapToGrid w:val="0"/>
        <w:spacing w:line="400" w:lineRule="atLeast"/>
        <w:ind w:right="960" w:firstLine="4320" w:firstLineChars="1800"/>
        <w:rPr>
          <w:rFonts w:hint="eastAsia" w:ascii="黑体" w:hAnsi="黑体" w:eastAsia="黑体" w:cs="黑体"/>
          <w:sz w:val="24"/>
          <w:szCs w:val="24"/>
          <w:u w:val="single"/>
        </w:rPr>
      </w:pPr>
      <w:r>
        <w:rPr>
          <w:rFonts w:hint="eastAsia" w:ascii="黑体" w:hAnsi="黑体" w:eastAsia="黑体" w:cs="黑体"/>
          <w:sz w:val="24"/>
          <w:szCs w:val="24"/>
        </w:rPr>
        <w:t>投标单位：</w:t>
      </w:r>
      <w:r>
        <w:rPr>
          <w:rFonts w:hint="eastAsia" w:ascii="黑体" w:hAnsi="黑体" w:eastAsia="黑体" w:cs="黑体"/>
          <w:sz w:val="24"/>
          <w:szCs w:val="24"/>
          <w:u w:val="single"/>
        </w:rPr>
        <w:t xml:space="preserve">　　　　　　　                      </w:t>
      </w:r>
    </w:p>
    <w:p>
      <w:pPr>
        <w:pStyle w:val="262"/>
        <w:adjustRightInd w:val="0"/>
        <w:snapToGrid w:val="0"/>
        <w:spacing w:line="400" w:lineRule="atLeast"/>
        <w:ind w:left="1276" w:firstLine="0" w:firstLineChars="0"/>
        <w:jc w:val="right"/>
        <w:rPr>
          <w:rFonts w:hint="eastAsia" w:ascii="黑体" w:hAnsi="黑体" w:eastAsia="黑体" w:cs="黑体"/>
          <w:sz w:val="24"/>
          <w:szCs w:val="24"/>
          <w:u w:val="single"/>
        </w:rPr>
      </w:pPr>
      <w:r>
        <w:rPr>
          <w:rFonts w:hint="eastAsia" w:ascii="黑体" w:hAnsi="黑体" w:eastAsia="黑体" w:cs="黑体"/>
          <w:sz w:val="24"/>
          <w:szCs w:val="24"/>
        </w:rPr>
        <w:t>法定代表人或法人授权代表：</w:t>
      </w:r>
      <w:r>
        <w:rPr>
          <w:rFonts w:hint="eastAsia" w:ascii="黑体" w:hAnsi="黑体" w:eastAsia="黑体" w:cs="黑体"/>
          <w:sz w:val="24"/>
          <w:szCs w:val="24"/>
          <w:u w:val="single"/>
        </w:rPr>
        <w:t>　    　　　（签字）</w:t>
      </w:r>
    </w:p>
    <w:p>
      <w:pPr>
        <w:pStyle w:val="262"/>
        <w:adjustRightInd w:val="0"/>
        <w:snapToGrid w:val="0"/>
        <w:spacing w:before="156" w:beforeLines="50" w:after="156" w:afterLines="50" w:line="400" w:lineRule="atLeast"/>
        <w:ind w:left="1276" w:firstLine="0" w:firstLineChars="0"/>
        <w:rPr>
          <w:rFonts w:hint="eastAsia" w:ascii="黑体" w:hAnsi="黑体" w:eastAsia="黑体" w:cs="黑体"/>
          <w:sz w:val="28"/>
          <w:szCs w:val="28"/>
          <w:u w:val="single"/>
        </w:rPr>
      </w:pPr>
    </w:p>
    <w:bookmarkEnd w:id="157"/>
    <w:p>
      <w:pPr>
        <w:widowControl/>
        <w:adjustRightInd w:val="0"/>
        <w:snapToGrid w:val="0"/>
        <w:spacing w:line="400" w:lineRule="atLeast"/>
        <w:jc w:val="center"/>
        <w:rPr>
          <w:rFonts w:hint="eastAsia" w:ascii="黑体" w:hAnsi="黑体" w:eastAsia="黑体" w:cs="黑体"/>
          <w:vanish/>
          <w:kern w:val="0"/>
          <w:sz w:val="18"/>
          <w:szCs w:val="18"/>
        </w:rPr>
      </w:pPr>
    </w:p>
    <w:p>
      <w:pPr>
        <w:adjustRightInd w:val="0"/>
        <w:snapToGrid w:val="0"/>
        <w:spacing w:line="400" w:lineRule="atLeast"/>
        <w:rPr>
          <w:rFonts w:hint="eastAsia" w:ascii="黑体" w:hAnsi="黑体" w:eastAsia="黑体" w:cs="黑体"/>
          <w:sz w:val="24"/>
        </w:rPr>
      </w:pPr>
    </w:p>
    <w:p>
      <w:pPr>
        <w:rPr>
          <w:rFonts w:hint="eastAsia" w:ascii="黑体" w:hAnsi="黑体" w:eastAsia="黑体" w:cs="黑体"/>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240" w:lineRule="auto"/>
        <w:ind w:firstLine="540" w:firstLineChars="150"/>
        <w:jc w:val="center"/>
        <w:outlineLvl w:val="0"/>
        <w:rPr>
          <w:rFonts w:hint="eastAsia" w:ascii="黑体" w:hAnsi="黑体" w:eastAsia="黑体" w:cs="黑体"/>
          <w:color w:val="auto"/>
          <w:highlight w:val="none"/>
        </w:rPr>
      </w:pPr>
      <w:bookmarkStart w:id="158" w:name="_Toc27464"/>
      <w:r>
        <w:rPr>
          <w:rFonts w:hint="eastAsia" w:ascii="黑体" w:hAnsi="黑体" w:eastAsia="黑体" w:cs="黑体"/>
          <w:color w:val="auto"/>
          <w:sz w:val="36"/>
          <w:szCs w:val="32"/>
          <w:highlight w:val="none"/>
        </w:rPr>
        <w:t>第八章评分标准</w:t>
      </w:r>
      <w:bookmarkEnd w:id="158"/>
    </w:p>
    <w:tbl>
      <w:tblPr>
        <w:tblStyle w:val="42"/>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37"/>
        <w:gridCol w:w="5225"/>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90" w:type="dxa"/>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类别</w:t>
            </w:r>
          </w:p>
        </w:tc>
        <w:tc>
          <w:tcPr>
            <w:tcW w:w="1437" w:type="dxa"/>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评分内容</w:t>
            </w:r>
          </w:p>
        </w:tc>
        <w:tc>
          <w:tcPr>
            <w:tcW w:w="5225" w:type="dxa"/>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评分标准</w:t>
            </w:r>
          </w:p>
        </w:tc>
        <w:tc>
          <w:tcPr>
            <w:tcW w:w="1114" w:type="dxa"/>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990" w:type="dxa"/>
            <w:vMerge w:val="restart"/>
            <w:vAlign w:val="center"/>
          </w:tcPr>
          <w:p>
            <w:pPr>
              <w:widowControl/>
              <w:adjustRightInd w:val="0"/>
              <w:snapToGrid w:val="0"/>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技术部分（60）</w:t>
            </w:r>
          </w:p>
        </w:tc>
        <w:tc>
          <w:tcPr>
            <w:tcW w:w="1437" w:type="dxa"/>
            <w:vAlign w:val="center"/>
          </w:tcPr>
          <w:p>
            <w:pPr>
              <w:widowControl/>
              <w:adjustRightInd w:val="0"/>
              <w:snapToGrid w:val="0"/>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技术参数符合程度</w:t>
            </w:r>
          </w:p>
          <w:p>
            <w:pPr>
              <w:widowControl/>
              <w:adjustRightInd w:val="0"/>
              <w:snapToGrid w:val="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kern w:val="0"/>
                <w:sz w:val="24"/>
                <w:szCs w:val="24"/>
                <w:highlight w:val="none"/>
              </w:rPr>
              <w:t>（</w:t>
            </w:r>
            <w:r>
              <w:rPr>
                <w:rFonts w:hint="eastAsia" w:ascii="黑体" w:hAnsi="黑体" w:eastAsia="黑体" w:cs="黑体"/>
                <w:color w:val="auto"/>
                <w:kern w:val="0"/>
                <w:sz w:val="24"/>
                <w:szCs w:val="24"/>
                <w:highlight w:val="none"/>
                <w:lang w:val="en-US" w:eastAsia="zh-CN"/>
              </w:rPr>
              <w:t>45</w:t>
            </w:r>
            <w:r>
              <w:rPr>
                <w:rFonts w:hint="eastAsia" w:ascii="黑体" w:hAnsi="黑体" w:eastAsia="黑体" w:cs="黑体"/>
                <w:color w:val="auto"/>
                <w:kern w:val="0"/>
                <w:sz w:val="24"/>
                <w:szCs w:val="24"/>
                <w:highlight w:val="none"/>
              </w:rPr>
              <w:t>分）</w:t>
            </w:r>
          </w:p>
        </w:tc>
        <w:tc>
          <w:tcPr>
            <w:tcW w:w="5225" w:type="dxa"/>
            <w:vAlign w:val="center"/>
          </w:tcPr>
          <w:p>
            <w:pPr>
              <w:widowControl/>
              <w:adjustRightInd w:val="0"/>
              <w:snapToGrid w:val="0"/>
              <w:rPr>
                <w:rFonts w:hint="eastAsia" w:ascii="黑体" w:hAnsi="黑体" w:eastAsia="黑体" w:cs="黑体"/>
                <w:color w:val="auto"/>
                <w:kern w:val="0"/>
                <w:sz w:val="24"/>
                <w:szCs w:val="24"/>
                <w:highlight w:val="none"/>
              </w:rPr>
            </w:pPr>
            <w:r>
              <w:rPr>
                <w:rFonts w:hint="eastAsia" w:ascii="黑体" w:hAnsi="黑体" w:eastAsia="黑体" w:cs="黑体"/>
                <w:color w:val="000000"/>
                <w:kern w:val="0"/>
                <w:sz w:val="24"/>
                <w:szCs w:val="24"/>
                <w:highlight w:val="none"/>
              </w:rPr>
              <w:t>针对招标文件技术参数，满足招标文件要求，全部满</w:t>
            </w:r>
            <w:r>
              <w:rPr>
                <w:rFonts w:hint="eastAsia" w:ascii="黑体" w:hAnsi="黑体" w:eastAsia="黑体" w:cs="黑体"/>
                <w:color w:val="auto"/>
                <w:kern w:val="0"/>
                <w:sz w:val="24"/>
                <w:szCs w:val="24"/>
                <w:highlight w:val="none"/>
              </w:rPr>
              <w:t>足要求的</w:t>
            </w:r>
            <w:r>
              <w:rPr>
                <w:rFonts w:hint="eastAsia" w:ascii="黑体" w:hAnsi="黑体" w:eastAsia="黑体" w:cs="黑体"/>
                <w:color w:val="auto"/>
                <w:kern w:val="0"/>
                <w:sz w:val="24"/>
                <w:szCs w:val="24"/>
                <w:highlight w:val="none"/>
                <w:lang w:val="en-US" w:eastAsia="zh-CN"/>
              </w:rPr>
              <w:t>45</w:t>
            </w:r>
            <w:r>
              <w:rPr>
                <w:rFonts w:hint="eastAsia" w:ascii="黑体" w:hAnsi="黑体" w:eastAsia="黑体" w:cs="黑体"/>
                <w:color w:val="auto"/>
                <w:kern w:val="0"/>
                <w:sz w:val="24"/>
                <w:szCs w:val="24"/>
                <w:highlight w:val="none"/>
              </w:rPr>
              <w:t>分。（</w:t>
            </w:r>
            <w:r>
              <w:rPr>
                <w:rFonts w:hint="eastAsia" w:ascii="宋体" w:hAnsi="宋体" w:cs="宋体"/>
                <w:color w:val="auto"/>
                <w:szCs w:val="21"/>
              </w:rPr>
              <w:t>▲</w:t>
            </w:r>
            <w:r>
              <w:rPr>
                <w:rFonts w:hint="eastAsia" w:ascii="黑体" w:hAnsi="黑体" w:eastAsia="黑体" w:cs="黑体"/>
                <w:color w:val="auto"/>
                <w:kern w:val="0"/>
                <w:sz w:val="24"/>
                <w:szCs w:val="24"/>
                <w:highlight w:val="none"/>
              </w:rPr>
              <w:t>）号技术参数的每有一项负偏离，扣5分，扣完为止；一般技术参数的每有一项负偏离，按</w:t>
            </w:r>
            <w:r>
              <w:rPr>
                <w:rFonts w:hint="eastAsia" w:ascii="黑体" w:hAnsi="黑体" w:eastAsia="黑体" w:cs="黑体"/>
                <w:color w:val="auto"/>
                <w:kern w:val="0"/>
                <w:sz w:val="24"/>
                <w:szCs w:val="24"/>
                <w:highlight w:val="none"/>
                <w:lang w:val="en-US" w:eastAsia="zh-CN"/>
              </w:rPr>
              <w:t>1</w:t>
            </w:r>
            <w:r>
              <w:rPr>
                <w:rFonts w:hint="eastAsia" w:ascii="黑体" w:hAnsi="黑体" w:eastAsia="黑体" w:cs="黑体"/>
                <w:color w:val="auto"/>
                <w:kern w:val="0"/>
                <w:sz w:val="24"/>
                <w:szCs w:val="24"/>
                <w:highlight w:val="none"/>
              </w:rPr>
              <w:t>分抵扣，扣完为止。</w:t>
            </w:r>
          </w:p>
          <w:p>
            <w:pPr>
              <w:widowControl/>
              <w:adjustRightInd w:val="0"/>
              <w:snapToGrid w:val="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所提供技术参数每优于招标文件要求一项得</w:t>
            </w:r>
            <w:r>
              <w:rPr>
                <w:rFonts w:hint="eastAsia" w:ascii="黑体" w:hAnsi="黑体" w:eastAsia="黑体" w:cs="黑体"/>
                <w:color w:val="auto"/>
                <w:kern w:val="0"/>
                <w:sz w:val="24"/>
                <w:szCs w:val="24"/>
                <w:highlight w:val="none"/>
                <w:lang w:val="en-US" w:eastAsia="zh-CN"/>
              </w:rPr>
              <w:t>1</w:t>
            </w:r>
            <w:r>
              <w:rPr>
                <w:rFonts w:hint="eastAsia" w:ascii="黑体" w:hAnsi="黑体" w:eastAsia="黑体" w:cs="黑体"/>
                <w:color w:val="auto"/>
                <w:kern w:val="0"/>
                <w:sz w:val="24"/>
                <w:szCs w:val="24"/>
                <w:highlight w:val="none"/>
              </w:rPr>
              <w:t xml:space="preserve">    分，此项得分最高不能超过</w:t>
            </w:r>
            <w:r>
              <w:rPr>
                <w:rFonts w:hint="eastAsia" w:ascii="黑体" w:hAnsi="黑体" w:eastAsia="黑体" w:cs="黑体"/>
                <w:color w:val="auto"/>
                <w:kern w:val="0"/>
                <w:sz w:val="24"/>
                <w:szCs w:val="24"/>
                <w:highlight w:val="none"/>
                <w:lang w:val="en-US" w:eastAsia="zh-CN"/>
              </w:rPr>
              <w:t>5</w:t>
            </w:r>
            <w:r>
              <w:rPr>
                <w:rFonts w:hint="eastAsia" w:ascii="黑体" w:hAnsi="黑体" w:eastAsia="黑体" w:cs="黑体"/>
                <w:color w:val="auto"/>
                <w:kern w:val="0"/>
                <w:sz w:val="24"/>
                <w:szCs w:val="24"/>
                <w:highlight w:val="none"/>
              </w:rPr>
              <w:t>分</w:t>
            </w:r>
          </w:p>
          <w:p>
            <w:pPr>
              <w:widowControl/>
              <w:adjustRightInd w:val="0"/>
              <w:snapToGrid w:val="0"/>
              <w:rPr>
                <w:rFonts w:hint="eastAsia"/>
                <w:lang w:val="en-US"/>
              </w:rPr>
            </w:pPr>
            <w:r>
              <w:rPr>
                <w:rFonts w:hint="eastAsia" w:ascii="黑体" w:hAnsi="黑体" w:eastAsia="黑体" w:cs="黑体"/>
                <w:color w:val="auto"/>
                <w:kern w:val="0"/>
                <w:sz w:val="24"/>
                <w:szCs w:val="24"/>
                <w:highlight w:val="none"/>
              </w:rPr>
              <w:t>（注：供应商需如实填写所</w:t>
            </w:r>
            <w:r>
              <w:rPr>
                <w:rFonts w:hint="eastAsia" w:ascii="黑体" w:hAnsi="黑体" w:eastAsia="黑体" w:cs="黑体"/>
                <w:color w:val="000000"/>
                <w:kern w:val="0"/>
                <w:sz w:val="24"/>
                <w:szCs w:val="24"/>
                <w:highlight w:val="none"/>
              </w:rPr>
              <w:t>投产品参数，并提供证明其参数真实有效的证明文件，若提供的证明文件无法证明参数的真实性，视为负偏离或以评审小组集体意见为准。）</w:t>
            </w:r>
          </w:p>
        </w:tc>
        <w:tc>
          <w:tcPr>
            <w:tcW w:w="1114" w:type="dxa"/>
            <w:vAlign w:val="center"/>
          </w:tcPr>
          <w:p>
            <w:pPr>
              <w:pStyle w:val="2"/>
              <w:spacing w:line="380" w:lineRule="exact"/>
              <w:ind w:left="0" w:leftChars="0" w:firstLine="0" w:firstLineChars="0"/>
              <w:jc w:val="center"/>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0分</w:t>
            </w:r>
            <w:r>
              <w:rPr>
                <w:rFonts w:hint="eastAsia" w:ascii="黑体" w:hAnsi="黑体" w:eastAsia="黑体" w:cs="黑体"/>
                <w:color w:val="auto"/>
                <w:sz w:val="24"/>
                <w:szCs w:val="24"/>
                <w:highlight w:val="none"/>
                <w:lang w:val="en-US" w:eastAsia="zh-CN"/>
              </w:rPr>
              <w:t>-45</w:t>
            </w:r>
            <w:r>
              <w:rPr>
                <w:rFonts w:hint="eastAsia" w:ascii="黑体" w:hAnsi="黑体" w:eastAsia="黑体" w:cs="黑体"/>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990" w:type="dxa"/>
            <w:vMerge w:val="continue"/>
            <w:vAlign w:val="center"/>
          </w:tcPr>
          <w:p>
            <w:pPr>
              <w:pStyle w:val="2"/>
              <w:ind w:left="0" w:leftChars="0" w:firstLine="0" w:firstLineChars="0"/>
              <w:jc w:val="center"/>
              <w:rPr>
                <w:rFonts w:hint="eastAsia" w:ascii="黑体" w:hAnsi="黑体" w:eastAsia="黑体" w:cs="黑体"/>
                <w:color w:val="auto"/>
                <w:highlight w:val="none"/>
                <w:lang w:val="en-US"/>
              </w:rPr>
            </w:pPr>
          </w:p>
        </w:tc>
        <w:tc>
          <w:tcPr>
            <w:tcW w:w="1437" w:type="dxa"/>
            <w:vAlign w:val="center"/>
          </w:tcPr>
          <w:p>
            <w:pPr>
              <w:widowControl/>
              <w:adjustRightInd w:val="0"/>
              <w:snapToGrid w:val="0"/>
              <w:jc w:val="center"/>
              <w:rPr>
                <w:rFonts w:hint="eastAsia" w:ascii="黑体" w:hAnsi="黑体" w:eastAsia="黑体" w:cs="黑体"/>
                <w:color w:val="auto"/>
                <w:sz w:val="24"/>
                <w:szCs w:val="24"/>
                <w:highlight w:val="none"/>
                <w:lang w:eastAsia="zh-CN"/>
              </w:rPr>
            </w:pPr>
            <w:r>
              <w:rPr>
                <w:rFonts w:hint="eastAsia" w:ascii="黑体" w:hAnsi="黑体" w:eastAsia="黑体" w:cs="黑体"/>
                <w:color w:val="000000"/>
                <w:kern w:val="0"/>
                <w:sz w:val="24"/>
                <w:szCs w:val="24"/>
                <w:highlight w:val="none"/>
                <w:lang w:eastAsia="zh-CN"/>
              </w:rPr>
              <w:t>质保</w:t>
            </w:r>
            <w:r>
              <w:rPr>
                <w:rFonts w:hint="eastAsia" w:ascii="黑体" w:hAnsi="黑体" w:eastAsia="黑体" w:cs="黑体"/>
                <w:color w:val="000000"/>
                <w:kern w:val="0"/>
                <w:sz w:val="24"/>
                <w:szCs w:val="24"/>
                <w:highlight w:val="none"/>
              </w:rPr>
              <w:t>售后服务</w:t>
            </w:r>
            <w:r>
              <w:rPr>
                <w:rFonts w:hint="eastAsia" w:ascii="黑体" w:hAnsi="黑体" w:eastAsia="黑体" w:cs="黑体"/>
                <w:color w:val="000000"/>
                <w:kern w:val="0"/>
                <w:sz w:val="24"/>
                <w:szCs w:val="24"/>
                <w:highlight w:val="none"/>
                <w:lang w:eastAsia="zh-CN"/>
              </w:rPr>
              <w:t>（</w:t>
            </w:r>
            <w:r>
              <w:rPr>
                <w:rFonts w:hint="eastAsia" w:ascii="黑体" w:hAnsi="黑体" w:eastAsia="黑体" w:cs="黑体"/>
                <w:color w:val="000000"/>
                <w:kern w:val="0"/>
                <w:sz w:val="24"/>
                <w:szCs w:val="24"/>
                <w:highlight w:val="none"/>
                <w:lang w:val="en-US" w:eastAsia="zh-CN"/>
              </w:rPr>
              <w:t>8分</w:t>
            </w:r>
            <w:r>
              <w:rPr>
                <w:rFonts w:hint="eastAsia" w:ascii="黑体" w:hAnsi="黑体" w:eastAsia="黑体" w:cs="黑体"/>
                <w:color w:val="000000"/>
                <w:kern w:val="0"/>
                <w:sz w:val="24"/>
                <w:szCs w:val="24"/>
                <w:highlight w:val="none"/>
                <w:lang w:eastAsia="zh-CN"/>
              </w:rPr>
              <w:t>）</w:t>
            </w:r>
          </w:p>
        </w:tc>
        <w:tc>
          <w:tcPr>
            <w:tcW w:w="5225" w:type="dxa"/>
            <w:vAlign w:val="center"/>
          </w:tcPr>
          <w:p>
            <w:pPr>
              <w:widowControl/>
              <w:adjustRightInd w:val="0"/>
              <w:snapToGrid w:val="0"/>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根据供应商提供的服务要求承诺（含设备维修）、质保期限、故障响应时间情况进行横向对比：</w:t>
            </w:r>
          </w:p>
          <w:p>
            <w:pPr>
              <w:widowControl/>
              <w:adjustRightInd w:val="0"/>
              <w:snapToGrid w:val="0"/>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优于</w:t>
            </w:r>
            <w:r>
              <w:rPr>
                <w:rFonts w:hint="eastAsia" w:ascii="黑体" w:hAnsi="黑体" w:eastAsia="黑体" w:cs="黑体"/>
                <w:color w:val="auto"/>
                <w:sz w:val="24"/>
                <w:szCs w:val="24"/>
                <w:highlight w:val="none"/>
                <w:lang w:val="en-US" w:eastAsia="zh-CN"/>
              </w:rPr>
              <w:t>招标文件要求的</w:t>
            </w:r>
            <w:r>
              <w:rPr>
                <w:rFonts w:hint="eastAsia" w:ascii="黑体" w:hAnsi="黑体" w:eastAsia="黑体" w:cs="黑体"/>
                <w:color w:val="auto"/>
                <w:sz w:val="24"/>
                <w:szCs w:val="24"/>
                <w:highlight w:val="none"/>
                <w:lang w:val="en-US"/>
              </w:rPr>
              <w:t>方案的得</w:t>
            </w:r>
            <w:r>
              <w:rPr>
                <w:rFonts w:hint="eastAsia" w:ascii="黑体" w:hAnsi="黑体" w:eastAsia="黑体" w:cs="黑体"/>
                <w:color w:val="auto"/>
                <w:sz w:val="24"/>
                <w:szCs w:val="24"/>
                <w:highlight w:val="none"/>
                <w:lang w:val="en-US" w:eastAsia="zh-CN"/>
              </w:rPr>
              <w:t>5-8</w:t>
            </w:r>
            <w:r>
              <w:rPr>
                <w:rFonts w:hint="eastAsia" w:ascii="黑体" w:hAnsi="黑体" w:eastAsia="黑体" w:cs="黑体"/>
                <w:color w:val="auto"/>
                <w:sz w:val="24"/>
                <w:szCs w:val="24"/>
                <w:highlight w:val="none"/>
                <w:lang w:val="en-US"/>
              </w:rPr>
              <w:t>分，</w:t>
            </w:r>
          </w:p>
          <w:p>
            <w:pPr>
              <w:widowControl/>
              <w:adjustRightInd w:val="0"/>
              <w:snapToGrid w:val="0"/>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方案满足招标文件要求</w:t>
            </w:r>
            <w:r>
              <w:rPr>
                <w:rFonts w:hint="eastAsia" w:ascii="黑体" w:hAnsi="黑体" w:eastAsia="黑体" w:cs="黑体"/>
                <w:color w:val="auto"/>
                <w:sz w:val="24"/>
                <w:szCs w:val="24"/>
                <w:highlight w:val="none"/>
                <w:lang w:val="en-US" w:eastAsia="zh-CN"/>
              </w:rPr>
              <w:t>2-4</w:t>
            </w:r>
            <w:r>
              <w:rPr>
                <w:rFonts w:hint="eastAsia" w:ascii="黑体" w:hAnsi="黑体" w:eastAsia="黑体" w:cs="黑体"/>
                <w:color w:val="auto"/>
                <w:sz w:val="24"/>
                <w:szCs w:val="24"/>
                <w:highlight w:val="none"/>
                <w:lang w:val="en-US"/>
              </w:rPr>
              <w:t>分，</w:t>
            </w:r>
          </w:p>
          <w:p>
            <w:pPr>
              <w:widowControl/>
              <w:adjustRightInd w:val="0"/>
              <w:snapToGrid w:val="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rPr>
              <w:t xml:space="preserve">服务方案不全面、不具体、可行性低得 </w:t>
            </w:r>
            <w:r>
              <w:rPr>
                <w:rFonts w:hint="eastAsia" w:ascii="黑体" w:hAnsi="黑体" w:eastAsia="黑体" w:cs="黑体"/>
                <w:color w:val="auto"/>
                <w:sz w:val="24"/>
                <w:szCs w:val="24"/>
                <w:highlight w:val="none"/>
                <w:lang w:val="en-US" w:eastAsia="zh-CN"/>
              </w:rPr>
              <w:t>0-1</w:t>
            </w:r>
            <w:r>
              <w:rPr>
                <w:rFonts w:hint="eastAsia" w:ascii="黑体" w:hAnsi="黑体" w:eastAsia="黑体" w:cs="黑体"/>
                <w:color w:val="auto"/>
                <w:sz w:val="24"/>
                <w:szCs w:val="24"/>
                <w:highlight w:val="none"/>
                <w:lang w:val="en-US"/>
              </w:rPr>
              <w:t>分，无内容不得分。</w:t>
            </w:r>
          </w:p>
        </w:tc>
        <w:tc>
          <w:tcPr>
            <w:tcW w:w="1114" w:type="dxa"/>
            <w:vAlign w:val="center"/>
          </w:tcPr>
          <w:p>
            <w:pPr>
              <w:pStyle w:val="2"/>
              <w:ind w:left="0" w:leftChars="0" w:firstLine="0" w:firstLineChars="0"/>
              <w:jc w:val="center"/>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0分-8分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vMerge w:val="continue"/>
          </w:tcPr>
          <w:p>
            <w:pPr>
              <w:pStyle w:val="2"/>
              <w:ind w:left="0" w:leftChars="0" w:firstLine="0" w:firstLineChars="0"/>
              <w:rPr>
                <w:rFonts w:hint="eastAsia" w:ascii="黑体" w:hAnsi="黑体" w:eastAsia="黑体" w:cs="黑体"/>
                <w:color w:val="auto"/>
                <w:highlight w:val="none"/>
              </w:rPr>
            </w:pPr>
          </w:p>
        </w:tc>
        <w:tc>
          <w:tcPr>
            <w:tcW w:w="1437" w:type="dxa"/>
            <w:vAlign w:val="center"/>
          </w:tcPr>
          <w:p>
            <w:pPr>
              <w:widowControl/>
              <w:adjustRightInd w:val="0"/>
              <w:snapToGrid w:val="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实施方案</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4分</w:t>
            </w:r>
            <w:r>
              <w:rPr>
                <w:rFonts w:hint="eastAsia" w:ascii="黑体" w:hAnsi="黑体" w:eastAsia="黑体" w:cs="黑体"/>
                <w:color w:val="auto"/>
                <w:sz w:val="24"/>
                <w:szCs w:val="24"/>
                <w:highlight w:val="none"/>
                <w:lang w:eastAsia="zh-CN"/>
              </w:rPr>
              <w:t>）</w:t>
            </w:r>
          </w:p>
        </w:tc>
        <w:tc>
          <w:tcPr>
            <w:tcW w:w="5225" w:type="dxa"/>
            <w:vAlign w:val="center"/>
          </w:tcPr>
          <w:p>
            <w:pPr>
              <w:widowControl/>
              <w:adjustRightInd w:val="0"/>
              <w:snapToGrid w:val="0"/>
              <w:rPr>
                <w:rFonts w:hint="eastAsia" w:ascii="黑体" w:hAnsi="黑体" w:eastAsia="黑体" w:cs="黑体"/>
                <w:color w:val="000000"/>
                <w:kern w:val="0"/>
                <w:sz w:val="24"/>
                <w:szCs w:val="24"/>
                <w:highlight w:val="none"/>
                <w:lang w:eastAsia="zh-CN"/>
              </w:rPr>
            </w:pPr>
            <w:r>
              <w:rPr>
                <w:rFonts w:hint="eastAsia" w:ascii="黑体" w:hAnsi="黑体" w:eastAsia="黑体" w:cs="黑体"/>
                <w:color w:val="000000"/>
                <w:kern w:val="0"/>
                <w:sz w:val="24"/>
                <w:szCs w:val="24"/>
                <w:highlight w:val="none"/>
                <w:lang w:eastAsia="zh-CN"/>
              </w:rPr>
              <w:t>根据供应商提供的设备质量保证措施、供货安装、项目实施安全措施、突发事件处理措施、各个阶段时间安排进行横向对比并打分；</w:t>
            </w:r>
          </w:p>
          <w:p>
            <w:pPr>
              <w:widowControl/>
              <w:adjustRightInd w:val="0"/>
              <w:snapToGrid w:val="0"/>
              <w:rPr>
                <w:rFonts w:hint="eastAsia" w:ascii="黑体" w:hAnsi="黑体" w:eastAsia="黑体" w:cs="黑体"/>
                <w:color w:val="000000"/>
                <w:kern w:val="0"/>
                <w:sz w:val="24"/>
                <w:szCs w:val="24"/>
                <w:highlight w:val="none"/>
                <w:lang w:eastAsia="zh-CN"/>
              </w:rPr>
            </w:pPr>
            <w:r>
              <w:rPr>
                <w:rFonts w:hint="eastAsia" w:ascii="黑体" w:hAnsi="黑体" w:eastAsia="黑体" w:cs="黑体"/>
                <w:color w:val="000000"/>
                <w:kern w:val="0"/>
                <w:sz w:val="24"/>
                <w:szCs w:val="24"/>
                <w:highlight w:val="none"/>
                <w:lang w:eastAsia="zh-CN"/>
              </w:rPr>
              <w:t>方案</w:t>
            </w:r>
            <w:r>
              <w:rPr>
                <w:rFonts w:hint="eastAsia" w:ascii="黑体" w:hAnsi="黑体" w:eastAsia="黑体" w:cs="黑体"/>
                <w:color w:val="000000"/>
                <w:kern w:val="0"/>
                <w:sz w:val="24"/>
                <w:szCs w:val="24"/>
                <w:highlight w:val="none"/>
                <w:lang w:val="en-US" w:eastAsia="zh-CN"/>
              </w:rPr>
              <w:t>由于其他方案</w:t>
            </w:r>
            <w:r>
              <w:rPr>
                <w:rFonts w:hint="eastAsia" w:ascii="黑体" w:hAnsi="黑体" w:eastAsia="黑体" w:cs="黑体"/>
                <w:color w:val="000000"/>
                <w:kern w:val="0"/>
                <w:sz w:val="24"/>
                <w:szCs w:val="24"/>
                <w:highlight w:val="none"/>
                <w:lang w:eastAsia="zh-CN"/>
              </w:rPr>
              <w:t xml:space="preserve">，具体全面得 </w:t>
            </w:r>
            <w:r>
              <w:rPr>
                <w:rFonts w:hint="eastAsia" w:ascii="黑体" w:hAnsi="黑体" w:eastAsia="黑体" w:cs="黑体"/>
                <w:color w:val="000000"/>
                <w:kern w:val="0"/>
                <w:sz w:val="24"/>
                <w:szCs w:val="24"/>
                <w:highlight w:val="none"/>
                <w:lang w:val="en-US" w:eastAsia="zh-CN"/>
              </w:rPr>
              <w:t>4</w:t>
            </w:r>
            <w:r>
              <w:rPr>
                <w:rFonts w:hint="eastAsia" w:ascii="黑体" w:hAnsi="黑体" w:eastAsia="黑体" w:cs="黑体"/>
                <w:color w:val="000000"/>
                <w:kern w:val="0"/>
                <w:sz w:val="24"/>
                <w:szCs w:val="24"/>
                <w:highlight w:val="none"/>
                <w:lang w:eastAsia="zh-CN"/>
              </w:rPr>
              <w:t>分；</w:t>
            </w:r>
          </w:p>
          <w:p>
            <w:pPr>
              <w:widowControl/>
              <w:adjustRightInd w:val="0"/>
              <w:snapToGrid w:val="0"/>
              <w:rPr>
                <w:rFonts w:hint="eastAsia" w:ascii="黑体" w:hAnsi="黑体" w:eastAsia="黑体" w:cs="黑体"/>
                <w:color w:val="000000"/>
                <w:kern w:val="0"/>
                <w:sz w:val="24"/>
                <w:szCs w:val="24"/>
                <w:highlight w:val="none"/>
                <w:lang w:eastAsia="zh-CN"/>
              </w:rPr>
            </w:pPr>
            <w:r>
              <w:rPr>
                <w:rFonts w:hint="eastAsia" w:ascii="黑体" w:hAnsi="黑体" w:eastAsia="黑体" w:cs="黑体"/>
                <w:color w:val="000000"/>
                <w:kern w:val="0"/>
                <w:sz w:val="24"/>
                <w:szCs w:val="24"/>
                <w:highlight w:val="none"/>
                <w:lang w:eastAsia="zh-CN"/>
              </w:rPr>
              <w:t xml:space="preserve">方案完全满足招标要求得 </w:t>
            </w:r>
            <w:r>
              <w:rPr>
                <w:rFonts w:hint="eastAsia" w:ascii="黑体" w:hAnsi="黑体" w:eastAsia="黑体" w:cs="黑体"/>
                <w:color w:val="000000"/>
                <w:kern w:val="0"/>
                <w:sz w:val="24"/>
                <w:szCs w:val="24"/>
                <w:highlight w:val="none"/>
                <w:lang w:val="en-US" w:eastAsia="zh-CN"/>
              </w:rPr>
              <w:t>2-3</w:t>
            </w:r>
            <w:r>
              <w:rPr>
                <w:rFonts w:hint="eastAsia" w:ascii="黑体" w:hAnsi="黑体" w:eastAsia="黑体" w:cs="黑体"/>
                <w:color w:val="000000"/>
                <w:kern w:val="0"/>
                <w:sz w:val="24"/>
                <w:szCs w:val="24"/>
                <w:highlight w:val="none"/>
                <w:lang w:eastAsia="zh-CN"/>
              </w:rPr>
              <w:t>分；</w:t>
            </w:r>
          </w:p>
          <w:p>
            <w:pPr>
              <w:widowControl/>
              <w:adjustRightInd w:val="0"/>
              <w:snapToGrid w:val="0"/>
              <w:jc w:val="left"/>
              <w:rPr>
                <w:rFonts w:hint="eastAsia" w:ascii="黑体" w:hAnsi="黑体" w:eastAsia="黑体" w:cs="黑体"/>
                <w:color w:val="000000"/>
                <w:kern w:val="0"/>
                <w:sz w:val="24"/>
                <w:szCs w:val="24"/>
                <w:highlight w:val="none"/>
                <w:lang w:eastAsia="zh-CN"/>
              </w:rPr>
            </w:pPr>
            <w:r>
              <w:rPr>
                <w:rFonts w:hint="eastAsia" w:ascii="黑体" w:hAnsi="黑体" w:eastAsia="黑体" w:cs="黑体"/>
                <w:color w:val="000000"/>
                <w:kern w:val="0"/>
                <w:sz w:val="24"/>
                <w:szCs w:val="24"/>
                <w:highlight w:val="none"/>
                <w:lang w:eastAsia="zh-CN"/>
              </w:rPr>
              <w:t>方案不够全面、能基本满足项目要求的得</w:t>
            </w:r>
            <w:r>
              <w:rPr>
                <w:rFonts w:hint="eastAsia" w:ascii="黑体" w:hAnsi="黑体" w:eastAsia="黑体" w:cs="黑体"/>
                <w:color w:val="000000"/>
                <w:kern w:val="0"/>
                <w:sz w:val="24"/>
                <w:szCs w:val="24"/>
                <w:highlight w:val="none"/>
                <w:lang w:val="en-US" w:eastAsia="zh-CN"/>
              </w:rPr>
              <w:t>0-1分</w:t>
            </w:r>
            <w:r>
              <w:rPr>
                <w:rFonts w:hint="eastAsia" w:ascii="黑体" w:hAnsi="黑体" w:eastAsia="黑体" w:cs="黑体"/>
                <w:color w:val="000000"/>
                <w:kern w:val="0"/>
                <w:sz w:val="24"/>
                <w:szCs w:val="24"/>
                <w:highlight w:val="none"/>
                <w:lang w:eastAsia="zh-CN"/>
              </w:rPr>
              <w:t>；</w:t>
            </w:r>
          </w:p>
          <w:p>
            <w:pPr>
              <w:widowControl/>
              <w:adjustRightInd w:val="0"/>
              <w:snapToGrid w:val="0"/>
              <w:rPr>
                <w:rFonts w:hint="eastAsia"/>
              </w:rPr>
            </w:pPr>
            <w:r>
              <w:rPr>
                <w:rFonts w:hint="eastAsia" w:ascii="黑体" w:hAnsi="黑体" w:eastAsia="黑体" w:cs="黑体"/>
                <w:color w:val="000000"/>
                <w:kern w:val="0"/>
                <w:sz w:val="24"/>
                <w:szCs w:val="24"/>
                <w:highlight w:val="none"/>
                <w:lang w:eastAsia="zh-CN"/>
              </w:rPr>
              <w:t>未提供的此项不得分。</w:t>
            </w:r>
          </w:p>
        </w:tc>
        <w:tc>
          <w:tcPr>
            <w:tcW w:w="1114" w:type="dxa"/>
            <w:vAlign w:val="center"/>
          </w:tcPr>
          <w:p>
            <w:pPr>
              <w:pStyle w:val="2"/>
              <w:ind w:left="0" w:leftChars="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0</w:t>
            </w:r>
            <w:r>
              <w:rPr>
                <w:rFonts w:hint="eastAsia" w:ascii="黑体" w:hAnsi="黑体" w:eastAsia="黑体" w:cs="黑体"/>
                <w:color w:val="auto"/>
                <w:sz w:val="24"/>
                <w:szCs w:val="24"/>
                <w:highlight w:val="none"/>
              </w:rPr>
              <w:t>分-</w:t>
            </w: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tcPr>
          <w:p>
            <w:pPr>
              <w:pStyle w:val="2"/>
              <w:ind w:left="0" w:leftChars="0" w:firstLine="0" w:firstLineChars="0"/>
              <w:rPr>
                <w:rFonts w:hint="eastAsia" w:ascii="黑体" w:hAnsi="黑体" w:eastAsia="黑体" w:cs="黑体"/>
                <w:color w:val="auto"/>
                <w:highlight w:val="none"/>
              </w:rPr>
            </w:pPr>
          </w:p>
        </w:tc>
        <w:tc>
          <w:tcPr>
            <w:tcW w:w="1437" w:type="dxa"/>
            <w:vAlign w:val="center"/>
          </w:tcPr>
          <w:p>
            <w:pPr>
              <w:widowControl/>
              <w:adjustRightInd w:val="0"/>
              <w:snapToGrid w:val="0"/>
              <w:jc w:val="center"/>
              <w:rPr>
                <w:rFonts w:hint="eastAsia" w:ascii="黑体" w:hAnsi="黑体" w:eastAsia="黑体" w:cs="黑体"/>
                <w:color w:val="auto"/>
                <w:sz w:val="24"/>
                <w:szCs w:val="24"/>
                <w:highlight w:val="none"/>
                <w:lang w:val="en-US"/>
              </w:rPr>
            </w:pPr>
            <w:r>
              <w:rPr>
                <w:rFonts w:hint="eastAsia" w:ascii="黑体" w:hAnsi="黑体" w:eastAsia="黑体" w:cs="黑体"/>
                <w:color w:val="auto"/>
                <w:kern w:val="0"/>
                <w:sz w:val="24"/>
                <w:szCs w:val="24"/>
                <w:highlight w:val="none"/>
              </w:rPr>
              <w:t>培训方案（</w:t>
            </w:r>
            <w:r>
              <w:rPr>
                <w:rFonts w:hint="eastAsia" w:ascii="黑体" w:hAnsi="黑体" w:eastAsia="黑体" w:cs="黑体"/>
                <w:color w:val="auto"/>
                <w:kern w:val="0"/>
                <w:sz w:val="24"/>
                <w:szCs w:val="24"/>
                <w:highlight w:val="none"/>
                <w:lang w:val="en-US" w:eastAsia="zh-CN"/>
              </w:rPr>
              <w:t>3</w:t>
            </w:r>
            <w:r>
              <w:rPr>
                <w:rFonts w:hint="eastAsia" w:ascii="黑体" w:hAnsi="黑体" w:eastAsia="黑体" w:cs="黑体"/>
                <w:color w:val="auto"/>
                <w:kern w:val="0"/>
                <w:sz w:val="24"/>
                <w:szCs w:val="24"/>
                <w:highlight w:val="none"/>
              </w:rPr>
              <w:t>分）</w:t>
            </w:r>
          </w:p>
        </w:tc>
        <w:tc>
          <w:tcPr>
            <w:tcW w:w="5225" w:type="dxa"/>
            <w:vAlign w:val="center"/>
          </w:tcPr>
          <w:p>
            <w:pPr>
              <w:widowControl/>
              <w:adjustRightInd w:val="0"/>
              <w:snapToGrid w:val="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rPr>
              <w:t>对供应商制定的人员培训方案（培训计划、培训地点、培训方式、培训时间等）进行横向对比，优于</w:t>
            </w:r>
            <w:r>
              <w:rPr>
                <w:rFonts w:hint="eastAsia" w:ascii="黑体" w:hAnsi="黑体" w:eastAsia="黑体" w:cs="黑体"/>
                <w:color w:val="auto"/>
                <w:sz w:val="24"/>
                <w:szCs w:val="24"/>
                <w:highlight w:val="none"/>
                <w:lang w:val="en-US" w:eastAsia="zh-CN"/>
              </w:rPr>
              <w:t>或</w:t>
            </w:r>
            <w:r>
              <w:rPr>
                <w:rFonts w:hint="eastAsia" w:ascii="黑体" w:hAnsi="黑体" w:eastAsia="黑体" w:cs="黑体"/>
                <w:color w:val="auto"/>
                <w:sz w:val="24"/>
                <w:szCs w:val="24"/>
                <w:highlight w:val="none"/>
                <w:lang w:val="en-US"/>
              </w:rPr>
              <w:t>满足招标文件要求</w:t>
            </w:r>
            <w:r>
              <w:rPr>
                <w:rFonts w:hint="eastAsia" w:ascii="黑体" w:hAnsi="黑体" w:eastAsia="黑体" w:cs="黑体"/>
                <w:color w:val="auto"/>
                <w:sz w:val="24"/>
                <w:szCs w:val="24"/>
                <w:highlight w:val="none"/>
                <w:lang w:val="en-US" w:eastAsia="zh-CN"/>
              </w:rPr>
              <w:t>得1-3</w:t>
            </w:r>
            <w:r>
              <w:rPr>
                <w:rFonts w:hint="eastAsia" w:ascii="黑体" w:hAnsi="黑体" w:eastAsia="黑体" w:cs="黑体"/>
                <w:color w:val="auto"/>
                <w:sz w:val="24"/>
                <w:szCs w:val="24"/>
                <w:highlight w:val="none"/>
                <w:lang w:val="en-US"/>
              </w:rPr>
              <w:t>分</w:t>
            </w:r>
            <w:r>
              <w:rPr>
                <w:rFonts w:hint="eastAsia" w:ascii="黑体" w:hAnsi="黑体" w:eastAsia="黑体" w:cs="黑体"/>
                <w:color w:val="auto"/>
                <w:sz w:val="24"/>
                <w:szCs w:val="24"/>
                <w:highlight w:val="none"/>
                <w:lang w:val="en-US" w:eastAsia="zh-CN"/>
              </w:rPr>
              <w:t>；</w:t>
            </w:r>
          </w:p>
          <w:p>
            <w:pPr>
              <w:widowControl/>
              <w:adjustRightInd w:val="0"/>
              <w:snapToGrid w:val="0"/>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服务方案不全面、不具体、可行性低</w:t>
            </w:r>
            <w:r>
              <w:rPr>
                <w:rFonts w:hint="eastAsia" w:ascii="黑体" w:hAnsi="黑体" w:eastAsia="黑体" w:cs="黑体"/>
                <w:color w:val="auto"/>
                <w:sz w:val="24"/>
                <w:szCs w:val="24"/>
                <w:highlight w:val="none"/>
                <w:lang w:val="en-US" w:eastAsia="zh-CN"/>
              </w:rPr>
              <w:t>不得分；</w:t>
            </w:r>
          </w:p>
        </w:tc>
        <w:tc>
          <w:tcPr>
            <w:tcW w:w="1114" w:type="dxa"/>
            <w:vAlign w:val="center"/>
          </w:tcPr>
          <w:p>
            <w:pPr>
              <w:pStyle w:val="2"/>
              <w:ind w:left="0" w:leftChars="0" w:firstLine="0" w:firstLineChars="0"/>
              <w:jc w:val="center"/>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0</w:t>
            </w:r>
            <w:r>
              <w:rPr>
                <w:rFonts w:hint="eastAsia" w:ascii="黑体" w:hAnsi="黑体" w:eastAsia="黑体" w:cs="黑体"/>
                <w:color w:val="auto"/>
                <w:sz w:val="24"/>
                <w:szCs w:val="24"/>
                <w:highlight w:val="none"/>
              </w:rPr>
              <w:t>分-</w:t>
            </w: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lang w:val="en-US"/>
              </w:rPr>
              <w:t>商务部分</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10</w:t>
            </w:r>
            <w:r>
              <w:rPr>
                <w:rFonts w:hint="eastAsia" w:ascii="黑体" w:hAnsi="黑体" w:eastAsia="黑体" w:cs="黑体"/>
                <w:b w:val="0"/>
                <w:bCs w:val="0"/>
                <w:color w:val="auto"/>
                <w:highlight w:val="none"/>
              </w:rPr>
              <w:t>分）</w:t>
            </w:r>
          </w:p>
        </w:tc>
        <w:tc>
          <w:tcPr>
            <w:tcW w:w="1437" w:type="dxa"/>
            <w:vAlign w:val="center"/>
          </w:tcPr>
          <w:p>
            <w:pPr>
              <w:widowControl/>
              <w:adjustRightInd w:val="0"/>
              <w:snapToGrid w:val="0"/>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 xml:space="preserve">行业业绩  </w:t>
            </w:r>
          </w:p>
          <w:p>
            <w:pPr>
              <w:pStyle w:val="2"/>
              <w:ind w:left="0" w:leftChars="0" w:firstLine="0" w:firstLineChars="0"/>
              <w:jc w:val="center"/>
              <w:rPr>
                <w:rFonts w:hint="eastAsia" w:ascii="黑体" w:hAnsi="黑体" w:eastAsia="黑体" w:cs="黑体"/>
                <w:color w:val="auto"/>
                <w:sz w:val="24"/>
                <w:szCs w:val="24"/>
                <w:highlight w:val="none"/>
                <w:lang w:val="en-US"/>
              </w:rPr>
            </w:pPr>
            <w:r>
              <w:rPr>
                <w:rFonts w:hint="eastAsia" w:ascii="黑体" w:hAnsi="黑体" w:eastAsia="黑体" w:cs="黑体"/>
                <w:color w:val="auto"/>
                <w:kern w:val="0"/>
                <w:sz w:val="24"/>
                <w:szCs w:val="24"/>
                <w:highlight w:val="none"/>
              </w:rPr>
              <w:t>（</w:t>
            </w:r>
            <w:r>
              <w:rPr>
                <w:rFonts w:hint="eastAsia" w:ascii="黑体" w:hAnsi="黑体" w:eastAsia="黑体" w:cs="黑体"/>
                <w:color w:val="auto"/>
                <w:kern w:val="0"/>
                <w:sz w:val="24"/>
                <w:szCs w:val="24"/>
                <w:highlight w:val="none"/>
                <w:lang w:val="en-US" w:eastAsia="zh-CN"/>
              </w:rPr>
              <w:t>6</w:t>
            </w:r>
            <w:r>
              <w:rPr>
                <w:rFonts w:hint="eastAsia" w:ascii="黑体" w:hAnsi="黑体" w:eastAsia="黑体" w:cs="黑体"/>
                <w:color w:val="auto"/>
                <w:kern w:val="0"/>
                <w:sz w:val="24"/>
                <w:szCs w:val="24"/>
                <w:highlight w:val="none"/>
              </w:rPr>
              <w:t>分）</w:t>
            </w:r>
          </w:p>
        </w:tc>
        <w:tc>
          <w:tcPr>
            <w:tcW w:w="5225" w:type="dxa"/>
            <w:vAlign w:val="center"/>
          </w:tcPr>
          <w:p>
            <w:pPr>
              <w:spacing w:line="380" w:lineRule="exact"/>
              <w:jc w:val="left"/>
              <w:rPr>
                <w:rFonts w:hint="eastAsia" w:ascii="黑体" w:hAnsi="黑体" w:eastAsia="黑体" w:cs="黑体"/>
                <w:color w:val="auto"/>
                <w:highlight w:val="none"/>
              </w:rPr>
            </w:pPr>
            <w:r>
              <w:rPr>
                <w:rFonts w:hint="eastAsia" w:ascii="黑体" w:hAnsi="黑体" w:eastAsia="黑体" w:cs="黑体"/>
                <w:color w:val="auto"/>
                <w:sz w:val="24"/>
                <w:szCs w:val="24"/>
                <w:highlight w:val="none"/>
                <w:lang w:val="en-US"/>
              </w:rPr>
              <w:t>提供投标供应商近三年内一般同类</w:t>
            </w:r>
            <w:r>
              <w:rPr>
                <w:rFonts w:hint="eastAsia" w:ascii="黑体" w:hAnsi="黑体" w:eastAsia="黑体" w:cs="黑体"/>
                <w:color w:val="auto"/>
                <w:sz w:val="24"/>
                <w:szCs w:val="24"/>
                <w:highlight w:val="none"/>
                <w:lang w:val="en-US" w:eastAsia="zh-CN"/>
              </w:rPr>
              <w:t>产品</w:t>
            </w:r>
            <w:r>
              <w:rPr>
                <w:rFonts w:hint="eastAsia" w:ascii="黑体" w:hAnsi="黑体" w:eastAsia="黑体" w:cs="黑体"/>
                <w:color w:val="auto"/>
                <w:sz w:val="24"/>
                <w:szCs w:val="24"/>
                <w:highlight w:val="none"/>
                <w:lang w:val="en-US"/>
              </w:rPr>
              <w:t>业绩证明材料中（成</w:t>
            </w:r>
            <w:r>
              <w:rPr>
                <w:rFonts w:hint="eastAsia" w:ascii="黑体" w:hAnsi="黑体" w:eastAsia="黑体" w:cs="黑体"/>
                <w:color w:val="auto"/>
                <w:sz w:val="24"/>
                <w:szCs w:val="24"/>
                <w:highlight w:val="none"/>
                <w:lang w:val="en-US" w:eastAsia="zh-CN"/>
              </w:rPr>
              <w:t>交</w:t>
            </w:r>
            <w:r>
              <w:rPr>
                <w:rFonts w:hint="eastAsia" w:ascii="黑体" w:hAnsi="黑体" w:eastAsia="黑体" w:cs="黑体"/>
                <w:color w:val="auto"/>
                <w:sz w:val="24"/>
                <w:szCs w:val="24"/>
                <w:highlight w:val="none"/>
                <w:lang w:val="en-US"/>
              </w:rPr>
              <w:t xml:space="preserve">）标通知书或合同，每提供一个得 </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lang w:val="en-US"/>
              </w:rPr>
              <w:t xml:space="preserve"> 分，共</w:t>
            </w:r>
            <w:r>
              <w:rPr>
                <w:rFonts w:hint="eastAsia" w:ascii="黑体" w:hAnsi="黑体" w:eastAsia="黑体" w:cs="黑体"/>
                <w:color w:val="auto"/>
                <w:sz w:val="24"/>
                <w:szCs w:val="24"/>
                <w:highlight w:val="none"/>
                <w:lang w:val="en-US" w:eastAsia="zh-CN"/>
              </w:rPr>
              <w:t>6分</w:t>
            </w:r>
            <w:r>
              <w:rPr>
                <w:rFonts w:hint="eastAsia" w:ascii="黑体" w:hAnsi="黑体" w:eastAsia="黑体" w:cs="黑体"/>
                <w:color w:val="auto"/>
                <w:sz w:val="24"/>
                <w:szCs w:val="24"/>
                <w:highlight w:val="none"/>
                <w:lang w:val="en-US"/>
              </w:rPr>
              <w:t>。（提供的中（成）标通知书或合同须能体现采购内容，否则属于无效资料。）</w:t>
            </w:r>
          </w:p>
        </w:tc>
        <w:tc>
          <w:tcPr>
            <w:tcW w:w="1114" w:type="dxa"/>
            <w:vAlign w:val="center"/>
          </w:tcPr>
          <w:p>
            <w:pPr>
              <w:pStyle w:val="2"/>
              <w:spacing w:line="380" w:lineRule="exact"/>
              <w:ind w:left="0" w:leftChars="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0分</w:t>
            </w:r>
            <w:r>
              <w:rPr>
                <w:rFonts w:hint="eastAsia" w:ascii="黑体" w:hAnsi="黑体" w:eastAsia="黑体" w:cs="黑体"/>
                <w:color w:val="auto"/>
                <w:sz w:val="24"/>
                <w:szCs w:val="24"/>
                <w:highlight w:val="none"/>
                <w:lang w:val="en-US" w:eastAsia="zh-CN"/>
              </w:rPr>
              <w:t>-6分</w:t>
            </w:r>
            <w:r>
              <w:rPr>
                <w:rFonts w:hint="eastAsia" w:ascii="黑体" w:hAnsi="黑体" w:eastAsia="黑体" w:cs="黑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pPr>
              <w:pStyle w:val="2"/>
              <w:ind w:left="0" w:leftChars="0" w:firstLine="0" w:firstLineChars="0"/>
              <w:jc w:val="center"/>
              <w:rPr>
                <w:rFonts w:hint="eastAsia" w:ascii="黑体" w:hAnsi="黑体" w:eastAsia="黑体" w:cs="黑体"/>
                <w:color w:val="auto"/>
                <w:highlight w:val="none"/>
              </w:rPr>
            </w:pPr>
          </w:p>
        </w:tc>
        <w:tc>
          <w:tcPr>
            <w:tcW w:w="1437" w:type="dxa"/>
            <w:vAlign w:val="center"/>
          </w:tcPr>
          <w:p>
            <w:pPr>
              <w:widowControl/>
              <w:adjustRightInd w:val="0"/>
              <w:snapToGrid w:val="0"/>
              <w:rPr>
                <w:rFonts w:hint="eastAsia" w:ascii="黑体" w:hAnsi="黑体" w:eastAsia="黑体" w:cs="黑体"/>
                <w:color w:val="auto"/>
                <w:sz w:val="24"/>
                <w:szCs w:val="24"/>
                <w:highlight w:val="none"/>
              </w:rPr>
            </w:pPr>
            <w:r>
              <w:rPr>
                <w:rFonts w:hint="eastAsia" w:ascii="黑体" w:hAnsi="黑体" w:eastAsia="黑体" w:cs="黑体"/>
                <w:color w:val="000000"/>
                <w:kern w:val="0"/>
                <w:sz w:val="24"/>
                <w:szCs w:val="24"/>
              </w:rPr>
              <w:t>标书完成情况（</w:t>
            </w:r>
            <w:r>
              <w:rPr>
                <w:rFonts w:hint="eastAsia" w:ascii="黑体" w:hAnsi="黑体" w:eastAsia="黑体" w:cs="黑体"/>
                <w:color w:val="000000"/>
                <w:kern w:val="0"/>
                <w:sz w:val="24"/>
                <w:szCs w:val="24"/>
                <w:lang w:val="en-US" w:eastAsia="zh-CN"/>
              </w:rPr>
              <w:t>4</w:t>
            </w:r>
            <w:r>
              <w:rPr>
                <w:rFonts w:hint="eastAsia" w:ascii="黑体" w:hAnsi="黑体" w:eastAsia="黑体" w:cs="黑体"/>
                <w:color w:val="000000"/>
                <w:kern w:val="0"/>
                <w:sz w:val="24"/>
                <w:szCs w:val="24"/>
              </w:rPr>
              <w:t>分）</w:t>
            </w:r>
          </w:p>
        </w:tc>
        <w:tc>
          <w:tcPr>
            <w:tcW w:w="5225" w:type="dxa"/>
            <w:vAlign w:val="center"/>
          </w:tcPr>
          <w:p>
            <w:pPr>
              <w:widowControl/>
              <w:adjustRightInd w:val="0"/>
              <w:snapToGrid w:val="0"/>
              <w:rPr>
                <w:rStyle w:val="223"/>
                <w:rFonts w:hint="eastAsia" w:ascii="黑体" w:hAnsi="黑体" w:eastAsia="黑体" w:cs="黑体"/>
                <w:color w:val="auto"/>
                <w:highlight w:val="none"/>
              </w:rPr>
            </w:pPr>
            <w:r>
              <w:rPr>
                <w:rFonts w:hint="eastAsia" w:ascii="黑体" w:hAnsi="黑体" w:eastAsia="黑体" w:cs="黑体"/>
                <w:color w:val="000000"/>
                <w:kern w:val="0"/>
                <w:sz w:val="24"/>
                <w:szCs w:val="24"/>
              </w:rPr>
              <w:t>投标文件格式和内容是否按照招标文件要求编制；</w:t>
            </w:r>
            <w:r>
              <w:rPr>
                <w:rFonts w:hint="eastAsia" w:ascii="黑体" w:hAnsi="黑体" w:eastAsia="黑体" w:cs="黑体"/>
                <w:color w:val="000000"/>
                <w:kern w:val="0"/>
                <w:sz w:val="24"/>
                <w:szCs w:val="24"/>
                <w:lang w:val="en-US" w:eastAsia="zh-CN"/>
              </w:rPr>
              <w:t>目录页码准确</w:t>
            </w:r>
            <w:r>
              <w:rPr>
                <w:rFonts w:hint="eastAsia" w:ascii="黑体" w:hAnsi="黑体" w:eastAsia="黑体" w:cs="黑体"/>
                <w:color w:val="000000"/>
                <w:kern w:val="0"/>
                <w:sz w:val="24"/>
                <w:szCs w:val="24"/>
              </w:rPr>
              <w:t>、内容完整性、关联点设置准确、查找方便度。每出现一处明显错误扣</w:t>
            </w:r>
            <w:r>
              <w:rPr>
                <w:rFonts w:hint="eastAsia" w:ascii="黑体" w:hAnsi="黑体" w:eastAsia="黑体" w:cs="黑体"/>
                <w:color w:val="000000"/>
                <w:kern w:val="0"/>
                <w:sz w:val="24"/>
                <w:szCs w:val="24"/>
                <w:lang w:val="en-US" w:eastAsia="zh-CN"/>
              </w:rPr>
              <w:t>1</w:t>
            </w:r>
            <w:r>
              <w:rPr>
                <w:rFonts w:hint="eastAsia" w:ascii="黑体" w:hAnsi="黑体" w:eastAsia="黑体" w:cs="黑体"/>
                <w:color w:val="000000"/>
                <w:kern w:val="0"/>
                <w:sz w:val="24"/>
                <w:szCs w:val="24"/>
              </w:rPr>
              <w:t>分，扣完为止。</w:t>
            </w:r>
          </w:p>
        </w:tc>
        <w:tc>
          <w:tcPr>
            <w:tcW w:w="1114" w:type="dxa"/>
            <w:vAlign w:val="center"/>
          </w:tcPr>
          <w:p>
            <w:pPr>
              <w:pStyle w:val="2"/>
              <w:spacing w:line="380" w:lineRule="exact"/>
              <w:ind w:left="0" w:leftChars="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0分-</w:t>
            </w: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2"/>
              <w:ind w:left="0" w:leftChars="0" w:firstLine="0" w:firstLineChars="0"/>
              <w:jc w:val="center"/>
              <w:rPr>
                <w:rStyle w:val="223"/>
                <w:rFonts w:hint="eastAsia" w:ascii="黑体" w:hAnsi="黑体" w:eastAsia="黑体" w:cs="黑体"/>
                <w:color w:val="auto"/>
                <w:highlight w:val="none"/>
              </w:rPr>
            </w:pPr>
            <w:r>
              <w:rPr>
                <w:rStyle w:val="223"/>
                <w:rFonts w:hint="eastAsia" w:ascii="黑体" w:hAnsi="黑体" w:eastAsia="黑体" w:cs="黑体"/>
                <w:color w:val="auto"/>
                <w:highlight w:val="none"/>
              </w:rPr>
              <w:t>价格分（30分）</w:t>
            </w:r>
          </w:p>
        </w:tc>
        <w:tc>
          <w:tcPr>
            <w:tcW w:w="6662" w:type="dxa"/>
            <w:gridSpan w:val="2"/>
            <w:vAlign w:val="center"/>
          </w:tcPr>
          <w:p>
            <w:pPr>
              <w:spacing w:line="380" w:lineRule="exact"/>
              <w:jc w:val="both"/>
              <w:rPr>
                <w:rStyle w:val="223"/>
                <w:rFonts w:hint="eastAsia" w:ascii="黑体" w:hAnsi="黑体" w:eastAsia="黑体" w:cs="黑体"/>
                <w:color w:val="auto"/>
                <w:highlight w:val="none"/>
              </w:rPr>
            </w:pPr>
            <w:r>
              <w:rPr>
                <w:rStyle w:val="223"/>
                <w:rFonts w:hint="eastAsia" w:ascii="黑体" w:hAnsi="黑体" w:eastAsia="黑体" w:cs="黑体"/>
                <w:color w:val="auto"/>
                <w:highlight w:val="none"/>
              </w:rPr>
              <w:t>投标报价得分</w:t>
            </w:r>
          </w:p>
          <w:p>
            <w:pPr>
              <w:spacing w:line="380" w:lineRule="exact"/>
              <w:jc w:val="both"/>
              <w:rPr>
                <w:rStyle w:val="223"/>
                <w:rFonts w:hint="eastAsia" w:ascii="黑体" w:hAnsi="黑体" w:eastAsia="黑体" w:cs="黑体"/>
                <w:color w:val="auto"/>
                <w:highlight w:val="none"/>
              </w:rPr>
            </w:pPr>
            <w:r>
              <w:rPr>
                <w:rFonts w:hint="eastAsia" w:ascii="黑体" w:hAnsi="黑体" w:eastAsia="黑体" w:cs="黑体"/>
                <w:color w:val="000000"/>
                <w:kern w:val="0"/>
                <w:sz w:val="24"/>
                <w:szCs w:val="24"/>
                <w:highlight w:val="none"/>
              </w:rPr>
              <w:t xml:space="preserve">取投标合格供应商的投标最终报价最低价为基准价。 基准价为 </w:t>
            </w:r>
            <w:r>
              <w:rPr>
                <w:rFonts w:hint="eastAsia" w:ascii="黑体" w:hAnsi="黑体" w:eastAsia="黑体" w:cs="黑体"/>
                <w:color w:val="000000"/>
                <w:kern w:val="0"/>
                <w:sz w:val="24"/>
                <w:szCs w:val="24"/>
                <w:highlight w:val="none"/>
                <w:lang w:val="en-US" w:eastAsia="zh-CN"/>
              </w:rPr>
              <w:t>3</w:t>
            </w:r>
            <w:r>
              <w:rPr>
                <w:rFonts w:hint="eastAsia" w:ascii="黑体" w:hAnsi="黑体" w:eastAsia="黑体" w:cs="黑体"/>
                <w:color w:val="000000"/>
                <w:kern w:val="0"/>
                <w:sz w:val="24"/>
                <w:szCs w:val="24"/>
                <w:highlight w:val="none"/>
              </w:rPr>
              <w:t>0 分。投标报价得分＝（评标基准价/最终投标报价）×</w:t>
            </w:r>
            <w:r>
              <w:rPr>
                <w:rFonts w:hint="eastAsia" w:ascii="黑体" w:hAnsi="黑体" w:eastAsia="黑体" w:cs="黑体"/>
                <w:color w:val="000000"/>
                <w:kern w:val="0"/>
                <w:sz w:val="24"/>
                <w:szCs w:val="24"/>
                <w:highlight w:val="none"/>
                <w:lang w:val="en-US" w:eastAsia="zh-CN"/>
              </w:rPr>
              <w:t>3</w:t>
            </w:r>
            <w:r>
              <w:rPr>
                <w:rFonts w:hint="eastAsia" w:ascii="黑体" w:hAnsi="黑体" w:eastAsia="黑体" w:cs="黑体"/>
                <w:color w:val="000000"/>
                <w:kern w:val="0"/>
                <w:sz w:val="24"/>
                <w:szCs w:val="24"/>
                <w:highlight w:val="none"/>
              </w:rPr>
              <w:t>0%×100（小数点后保留 2 位小数）。（注：对于符合政府采购政策及优惠的企业产品给予一定比例的价格扣除）。</w:t>
            </w:r>
          </w:p>
        </w:tc>
        <w:tc>
          <w:tcPr>
            <w:tcW w:w="1114" w:type="dxa"/>
            <w:vAlign w:val="center"/>
          </w:tcPr>
          <w:p>
            <w:pPr>
              <w:pStyle w:val="2"/>
              <w:spacing w:line="380" w:lineRule="exact"/>
              <w:ind w:left="0" w:leftChars="0" w:firstLine="0" w:firstLineChars="0"/>
              <w:jc w:val="center"/>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0分-30分</w:t>
            </w:r>
          </w:p>
        </w:tc>
      </w:tr>
    </w:tbl>
    <w:p>
      <w:pPr>
        <w:adjustRightInd w:val="0"/>
        <w:spacing w:line="360" w:lineRule="auto"/>
        <w:rPr>
          <w:rFonts w:hint="eastAsia" w:ascii="黑体" w:hAnsi="黑体" w:eastAsia="黑体" w:cs="黑体"/>
          <w:b/>
          <w:color w:val="auto"/>
          <w:sz w:val="20"/>
          <w:szCs w:val="20"/>
          <w:highlight w:val="none"/>
        </w:rPr>
      </w:pPr>
      <w:r>
        <w:rPr>
          <w:rFonts w:hint="eastAsia" w:ascii="黑体" w:hAnsi="黑体" w:eastAsia="黑体" w:cs="黑体"/>
          <w:b/>
          <w:color w:val="auto"/>
          <w:sz w:val="24"/>
          <w:szCs w:val="24"/>
          <w:highlight w:val="none"/>
        </w:rPr>
        <w:t>备注：评分项里有关涉及评分的原件，投标商必须单独提供原件以备查验，否则涉及评分项因素的不得分</w:t>
      </w:r>
      <w:bookmarkStart w:id="159" w:name="_bookmark27"/>
      <w:bookmarkEnd w:id="159"/>
      <w:bookmarkStart w:id="160" w:name="十五．有关证明文件"/>
      <w:bookmarkEnd w:id="160"/>
    </w:p>
    <w:p>
      <w:pPr>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1、经评标委员会认可小、微企业产品和产品报价后，投标人相应产品政策计算公式如下：</w:t>
      </w:r>
    </w:p>
    <w:p>
      <w:pPr>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中小微企业产品价格扣除后的投标人报价=投标人总报价-中小微企业产品报价*扣除幅度。（以价格扣除后的投标人报价作为评审依据）</w:t>
      </w:r>
    </w:p>
    <w:p>
      <w:pPr>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Style w:val="17"/>
        <w:rPr>
          <w:rFonts w:hint="eastAsia" w:ascii="黑体" w:hAnsi="黑体" w:eastAsia="黑体" w:cs="黑体"/>
        </w:rPr>
      </w:pPr>
      <w:r>
        <w:rPr>
          <w:rFonts w:hint="eastAsia" w:ascii="黑体" w:hAnsi="黑体" w:eastAsia="黑体" w:cs="黑体"/>
          <w:color w:val="auto"/>
          <w:sz w:val="24"/>
          <w:highlight w:val="none"/>
        </w:rPr>
        <w:t>4、在任何评标环节中，需评标委员会就某项评审结论做出表决的，由评标委员会全体成员按照少数服从多数的原则，以记名投票方式表决。</w:t>
      </w:r>
    </w:p>
    <w:p>
      <w:pPr>
        <w:pStyle w:val="15"/>
        <w:rPr>
          <w:rFonts w:hint="eastAsia" w:ascii="黑体" w:hAnsi="黑体" w:eastAsia="黑体" w:cs="黑体"/>
          <w:b/>
          <w:color w:val="auto"/>
          <w:sz w:val="20"/>
          <w:szCs w:val="20"/>
          <w:highlight w:val="none"/>
        </w:rPr>
      </w:pPr>
      <w:bookmarkStart w:id="161" w:name="_bookmark29"/>
      <w:bookmarkEnd w:id="161"/>
      <w:bookmarkStart w:id="162" w:name="_bookmark28"/>
      <w:bookmarkEnd w:id="162"/>
      <w:bookmarkStart w:id="163" w:name="十六．投标响应表"/>
      <w:bookmarkEnd w:id="163"/>
      <w:bookmarkStart w:id="164" w:name="第八章_安徽合肥公共资源交易中心网上招投标操作规程（暂行）"/>
      <w:bookmarkEnd w:id="164"/>
    </w:p>
    <w:sectPr>
      <w:pgSz w:w="11910" w:h="16850"/>
      <w:pgMar w:top="1080" w:right="1440" w:bottom="1080" w:left="1440" w:header="877" w:footer="106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BatangChe">
    <w:altName w:val="Malgun Gothic"/>
    <w:panose1 w:val="00000000000000000000"/>
    <w:charset w:val="81"/>
    <w:family w:val="modern"/>
    <w:pitch w:val="default"/>
    <w:sig w:usb0="00000000" w:usb1="00000000" w:usb2="00000030" w:usb3="00000000" w:csb0="000800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dobe 仿宋 Std R">
    <w:altName w:val="仿宋"/>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422443"/>
    </w:sdtPr>
    <w:sdtContent>
      <w:p>
        <w:pPr>
          <w:pStyle w:val="27"/>
          <w:jc w:val="center"/>
        </w:pPr>
        <w:r>
          <w:fldChar w:fldCharType="begin"/>
        </w:r>
        <w:r>
          <w:instrText xml:space="preserve">PAGE   \* MERGEFORMAT</w:instrText>
        </w:r>
        <w:r>
          <w:fldChar w:fldCharType="separate"/>
        </w:r>
        <w:r>
          <w:t>70</w:t>
        </w:r>
        <w:r>
          <w:fldChar w:fldCharType="end"/>
        </w:r>
      </w:p>
    </w:sdtContent>
  </w:sdt>
  <w:p>
    <w:pPr>
      <w:pStyle w:val="19"/>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ordWrap w:val="0"/>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sz w:val="21"/>
      </w:rPr>
    </w:pPr>
    <w:r>
      <w:rPr>
        <w:rFonts w:hint="eastAsia"/>
        <w:sz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D59F72"/>
    <w:multiLevelType w:val="singleLevel"/>
    <w:tmpl w:val="C7D59F72"/>
    <w:lvl w:ilvl="0" w:tentative="0">
      <w:start w:val="6"/>
      <w:numFmt w:val="chineseCounting"/>
      <w:suff w:val="space"/>
      <w:lvlText w:val="第%1章"/>
      <w:lvlJc w:val="left"/>
      <w:rPr>
        <w:rFonts w:hint="eastAsia"/>
      </w:rPr>
    </w:lvl>
  </w:abstractNum>
  <w:abstractNum w:abstractNumId="1">
    <w:nsid w:val="00000000"/>
    <w:multiLevelType w:val="multilevel"/>
    <w:tmpl w:val="00000000"/>
    <w:lvl w:ilvl="0" w:tentative="0">
      <w:start w:val="1"/>
      <w:numFmt w:val="decimal"/>
      <w:lvlText w:val="%1."/>
      <w:lvlJc w:val="left"/>
      <w:pPr>
        <w:ind w:left="360" w:hanging="360"/>
      </w:pPr>
      <w:rPr>
        <w:rFonts w:hint="default" w:ascii="宋体" w:hAnsi="宋体" w:eastAsia="宋体"/>
        <w:b w:val="0"/>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9"/>
    <w:multiLevelType w:val="multilevel"/>
    <w:tmpl w:val="00000019"/>
    <w:lvl w:ilvl="0" w:tentative="0">
      <w:start w:val="1"/>
      <w:numFmt w:val="decimal"/>
      <w:suff w:val="space"/>
      <w:lvlText w:val="第%1章 "/>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none"/>
      <w:isLgl/>
      <w:lvlText w:val=""/>
      <w:lvlJc w:val="left"/>
      <w:pPr>
        <w:tabs>
          <w:tab w:val="left" w:pos="0"/>
        </w:tabs>
        <w:ind w:left="0" w:firstLine="0"/>
      </w:pPr>
      <w:rPr>
        <w:rFonts w:hint="eastAsia"/>
      </w:rPr>
    </w:lvl>
    <w:lvl w:ilvl="4" w:tentative="0">
      <w:start w:val="1"/>
      <w:numFmt w:val="decimal"/>
      <w:pStyle w:val="82"/>
      <w:lvlText w:val="%5"/>
      <w:lvlJc w:val="left"/>
      <w:pPr>
        <w:tabs>
          <w:tab w:val="left" w:pos="0"/>
        </w:tabs>
        <w:ind w:left="839" w:hanging="419"/>
      </w:pPr>
      <w:rPr>
        <w:rFonts w:hint="default" w:ascii="Arial" w:hAnsi="Arial"/>
        <w:b/>
        <w:i/>
        <w:outline/>
        <w:color w:val="000000"/>
        <w:sz w:val="24"/>
        <w14:textOutline w14:w="9525" w14:cap="flat" w14:cmpd="sng" w14:algn="ctr">
          <w14:solidFill>
            <w14:srgbClr w14:val="000000"/>
          </w14:solidFill>
          <w14:prstDash w14:val="solid"/>
          <w14:round/>
        </w14:textOutline>
        <w14:textFill>
          <w14:noFill/>
        </w14:textFill>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431"/>
        </w:tabs>
        <w:ind w:left="3827" w:hanging="1276"/>
      </w:pPr>
      <w:rPr>
        <w:rFonts w:hint="eastAsia"/>
      </w:rPr>
    </w:lvl>
    <w:lvl w:ilvl="7" w:tentative="0">
      <w:start w:val="1"/>
      <w:numFmt w:val="decimal"/>
      <w:lvlText w:val="%1.%2.%3.%4.%5.%6.%7.%8"/>
      <w:lvlJc w:val="left"/>
      <w:pPr>
        <w:tabs>
          <w:tab w:val="left" w:pos="6216"/>
        </w:tabs>
        <w:ind w:left="4394" w:hanging="1418"/>
      </w:pPr>
      <w:rPr>
        <w:rFonts w:hint="eastAsia"/>
      </w:rPr>
    </w:lvl>
    <w:lvl w:ilvl="8" w:tentative="0">
      <w:start w:val="1"/>
      <w:numFmt w:val="decimal"/>
      <w:lvlText w:val="%1.%2.%3.%4.%5.%6.%7.%8.%9"/>
      <w:lvlJc w:val="left"/>
      <w:pPr>
        <w:tabs>
          <w:tab w:val="left" w:pos="7002"/>
        </w:tabs>
        <w:ind w:left="5102" w:hanging="1700"/>
      </w:pPr>
      <w:rPr>
        <w:rFonts w:hint="eastAsia"/>
      </w:rPr>
    </w:lvl>
  </w:abstractNum>
  <w:abstractNum w:abstractNumId="4">
    <w:nsid w:val="03730CF1"/>
    <w:multiLevelType w:val="multilevel"/>
    <w:tmpl w:val="03730CF1"/>
    <w:lvl w:ilvl="0" w:tentative="0">
      <w:start w:val="1"/>
      <w:numFmt w:val="decimal"/>
      <w:pStyle w:val="113"/>
      <w:lvlText w:val="%1."/>
      <w:lvlJc w:val="left"/>
      <w:pPr>
        <w:tabs>
          <w:tab w:val="left" w:pos="703"/>
        </w:tabs>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5">
    <w:nsid w:val="07D53A18"/>
    <w:multiLevelType w:val="multilevel"/>
    <w:tmpl w:val="07D53A18"/>
    <w:lvl w:ilvl="0" w:tentative="0">
      <w:start w:val="6"/>
      <w:numFmt w:val="decimal"/>
      <w:lvlText w:val="%1"/>
      <w:lvlJc w:val="left"/>
      <w:pPr>
        <w:ind w:left="528" w:hanging="375"/>
      </w:pPr>
      <w:rPr>
        <w:rFonts w:hint="default"/>
        <w:lang w:val="zh-CN" w:eastAsia="zh-CN" w:bidi="zh-CN"/>
      </w:rPr>
    </w:lvl>
    <w:lvl w:ilvl="1" w:tentative="0">
      <w:start w:val="1"/>
      <w:numFmt w:val="none"/>
      <w:lvlText w:val="7.3.2"/>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6">
    <w:nsid w:val="083D4B31"/>
    <w:multiLevelType w:val="multilevel"/>
    <w:tmpl w:val="083D4B31"/>
    <w:lvl w:ilvl="0" w:tentative="0">
      <w:start w:val="8"/>
      <w:numFmt w:val="decimal"/>
      <w:lvlText w:val="%1"/>
      <w:lvlJc w:val="left"/>
      <w:pPr>
        <w:ind w:left="1259" w:hanging="375"/>
      </w:pPr>
      <w:rPr>
        <w:rFonts w:hint="default"/>
        <w:lang w:val="zh-CN" w:eastAsia="zh-CN" w:bidi="zh-CN"/>
      </w:rPr>
    </w:lvl>
    <w:lvl w:ilvl="1" w:tentative="0">
      <w:start w:val="1"/>
      <w:numFmt w:val="decimal"/>
      <w:lvlText w:val="%1.%2"/>
      <w:lvlJc w:val="left"/>
      <w:pPr>
        <w:ind w:left="1259"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7">
    <w:nsid w:val="08874946"/>
    <w:multiLevelType w:val="multilevel"/>
    <w:tmpl w:val="08874946"/>
    <w:lvl w:ilvl="0" w:tentative="0">
      <w:start w:val="17"/>
      <w:numFmt w:val="decimal"/>
      <w:lvlText w:val="%1"/>
      <w:lvlJc w:val="left"/>
      <w:pPr>
        <w:ind w:left="528" w:hanging="531"/>
      </w:pPr>
      <w:rPr>
        <w:rFonts w:hint="default"/>
        <w:lang w:val="zh-CN" w:eastAsia="zh-CN" w:bidi="zh-CN"/>
      </w:rPr>
    </w:lvl>
    <w:lvl w:ilvl="1" w:tentative="0">
      <w:start w:val="1"/>
      <w:numFmt w:val="none"/>
      <w:lvlText w:val="17.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8">
    <w:nsid w:val="090E07B1"/>
    <w:multiLevelType w:val="multilevel"/>
    <w:tmpl w:val="090E07B1"/>
    <w:lvl w:ilvl="0" w:tentative="0">
      <w:start w:val="30"/>
      <w:numFmt w:val="decimal"/>
      <w:lvlText w:val="%1"/>
      <w:lvlJc w:val="left"/>
      <w:pPr>
        <w:ind w:left="528" w:hanging="543"/>
      </w:pPr>
      <w:rPr>
        <w:rFonts w:hint="default"/>
        <w:lang w:val="zh-CN" w:eastAsia="zh-CN" w:bidi="zh-CN"/>
      </w:rPr>
    </w:lvl>
    <w:lvl w:ilvl="1" w:tentative="0">
      <w:start w:val="1"/>
      <w:numFmt w:val="none"/>
      <w:lvlText w:val="33.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9">
    <w:nsid w:val="0C12BB26"/>
    <w:multiLevelType w:val="singleLevel"/>
    <w:tmpl w:val="0C12BB26"/>
    <w:lvl w:ilvl="0" w:tentative="0">
      <w:start w:val="1"/>
      <w:numFmt w:val="decimal"/>
      <w:suff w:val="nothing"/>
      <w:lvlText w:val="%1、"/>
      <w:lvlJc w:val="left"/>
    </w:lvl>
  </w:abstractNum>
  <w:abstractNum w:abstractNumId="10">
    <w:nsid w:val="0DFB121F"/>
    <w:multiLevelType w:val="multilevel"/>
    <w:tmpl w:val="0DFB121F"/>
    <w:lvl w:ilvl="0" w:tentative="0">
      <w:start w:val="14"/>
      <w:numFmt w:val="decimal"/>
      <w:lvlText w:val="%1"/>
      <w:lvlJc w:val="left"/>
      <w:pPr>
        <w:ind w:left="1514" w:hanging="507"/>
      </w:pPr>
      <w:rPr>
        <w:rFonts w:hint="default"/>
        <w:lang w:val="zh-CN" w:eastAsia="zh-CN" w:bidi="zh-CN"/>
      </w:rPr>
    </w:lvl>
    <w:lvl w:ilvl="1" w:tentative="0">
      <w:start w:val="1"/>
      <w:numFmt w:val="none"/>
      <w:lvlText w:val="15.6"/>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1">
    <w:nsid w:val="0F9629B4"/>
    <w:multiLevelType w:val="multilevel"/>
    <w:tmpl w:val="0F9629B4"/>
    <w:lvl w:ilvl="0" w:tentative="0">
      <w:start w:val="2"/>
      <w:numFmt w:val="decimal"/>
      <w:lvlText w:val="%1、"/>
      <w:lvlJc w:val="left"/>
      <w:pPr>
        <w:ind w:left="360" w:hanging="360"/>
      </w:pPr>
      <w:rPr>
        <w:rFonts w:hint="default" w:cstheme="minorBidi"/>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15219E0"/>
    <w:multiLevelType w:val="multilevel"/>
    <w:tmpl w:val="115219E0"/>
    <w:lvl w:ilvl="0" w:tentative="0">
      <w:start w:val="18"/>
      <w:numFmt w:val="decimal"/>
      <w:lvlText w:val="%1"/>
      <w:lvlJc w:val="left"/>
      <w:pPr>
        <w:ind w:left="528" w:hanging="507"/>
      </w:pPr>
      <w:rPr>
        <w:rFonts w:hint="default"/>
        <w:lang w:val="zh-CN" w:eastAsia="zh-CN" w:bidi="zh-CN"/>
      </w:rPr>
    </w:lvl>
    <w:lvl w:ilvl="1" w:tentative="0">
      <w:start w:val="1"/>
      <w:numFmt w:val="none"/>
      <w:lvlText w:val="19.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3">
    <w:nsid w:val="135B4071"/>
    <w:multiLevelType w:val="multilevel"/>
    <w:tmpl w:val="135B4071"/>
    <w:lvl w:ilvl="0" w:tentative="0">
      <w:start w:val="18"/>
      <w:numFmt w:val="decimal"/>
      <w:lvlText w:val="%1"/>
      <w:lvlJc w:val="left"/>
      <w:pPr>
        <w:ind w:left="528" w:hanging="507"/>
      </w:pPr>
      <w:rPr>
        <w:rFonts w:hint="default"/>
        <w:lang w:val="zh-CN" w:eastAsia="zh-CN" w:bidi="zh-CN"/>
      </w:rPr>
    </w:lvl>
    <w:lvl w:ilvl="1" w:tentative="0">
      <w:start w:val="1"/>
      <w:numFmt w:val="none"/>
      <w:lvlText w:val="19.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4">
    <w:nsid w:val="13CA6AE4"/>
    <w:multiLevelType w:val="multilevel"/>
    <w:tmpl w:val="13CA6AE4"/>
    <w:lvl w:ilvl="0" w:tentative="0">
      <w:start w:val="1"/>
      <w:numFmt w:val="bullet"/>
      <w:pStyle w:val="78"/>
      <w:lvlText w:val=""/>
      <w:lvlJc w:val="left"/>
      <w:pPr>
        <w:tabs>
          <w:tab w:val="left" w:pos="0"/>
        </w:tabs>
        <w:ind w:left="839" w:hanging="419"/>
      </w:pPr>
      <w:rPr>
        <w:rFonts w:hint="default" w:ascii="Wingdings" w:hAnsi="Wingdings"/>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17206139"/>
    <w:multiLevelType w:val="multilevel"/>
    <w:tmpl w:val="17206139"/>
    <w:lvl w:ilvl="0" w:tentative="0">
      <w:start w:val="18"/>
      <w:numFmt w:val="decimal"/>
      <w:lvlText w:val="%1"/>
      <w:lvlJc w:val="left"/>
      <w:pPr>
        <w:ind w:left="528" w:hanging="507"/>
      </w:pPr>
      <w:rPr>
        <w:rFonts w:hint="default"/>
        <w:lang w:val="zh-CN" w:eastAsia="zh-CN" w:bidi="zh-CN"/>
      </w:rPr>
    </w:lvl>
    <w:lvl w:ilvl="1" w:tentative="0">
      <w:start w:val="1"/>
      <w:numFmt w:val="none"/>
      <w:lvlText w:val="20.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6">
    <w:nsid w:val="185E7E63"/>
    <w:multiLevelType w:val="multilevel"/>
    <w:tmpl w:val="185E7E63"/>
    <w:lvl w:ilvl="0" w:tentative="0">
      <w:start w:val="16"/>
      <w:numFmt w:val="decimal"/>
      <w:lvlText w:val="%1.1.1"/>
      <w:lvlJc w:val="left"/>
      <w:pPr>
        <w:ind w:left="528" w:hanging="531"/>
      </w:pPr>
      <w:rPr>
        <w:rFonts w:hint="default"/>
        <w:lang w:val="zh-CN" w:eastAsia="zh-CN" w:bidi="zh-CN"/>
      </w:rPr>
    </w:lvl>
    <w:lvl w:ilvl="1" w:tentative="0">
      <w:start w:val="1"/>
      <w:numFmt w:val="none"/>
      <w:lvlText w:val="%1.2.4"/>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7">
    <w:nsid w:val="18890540"/>
    <w:multiLevelType w:val="multilevel"/>
    <w:tmpl w:val="18890540"/>
    <w:lvl w:ilvl="0" w:tentative="0">
      <w:start w:val="18"/>
      <w:numFmt w:val="decimal"/>
      <w:lvlText w:val="%1"/>
      <w:lvlJc w:val="left"/>
      <w:pPr>
        <w:ind w:left="528" w:hanging="507"/>
      </w:pPr>
      <w:rPr>
        <w:rFonts w:hint="default"/>
        <w:lang w:val="zh-CN" w:eastAsia="zh-CN" w:bidi="zh-CN"/>
      </w:rPr>
    </w:lvl>
    <w:lvl w:ilvl="1" w:tentative="0">
      <w:start w:val="1"/>
      <w:numFmt w:val="none"/>
      <w:lvlText w:val="20.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8">
    <w:nsid w:val="1A931EEC"/>
    <w:multiLevelType w:val="multilevel"/>
    <w:tmpl w:val="1A931EEC"/>
    <w:lvl w:ilvl="0" w:tentative="0">
      <w:start w:val="16"/>
      <w:numFmt w:val="decimal"/>
      <w:lvlText w:val="%1.1.1"/>
      <w:lvlJc w:val="left"/>
      <w:pPr>
        <w:ind w:left="528" w:hanging="531"/>
      </w:pPr>
      <w:rPr>
        <w:rFonts w:hint="default"/>
        <w:lang w:val="zh-CN" w:eastAsia="zh-CN" w:bidi="zh-CN"/>
      </w:rPr>
    </w:lvl>
    <w:lvl w:ilvl="1" w:tentative="0">
      <w:start w:val="1"/>
      <w:numFmt w:val="none"/>
      <w:lvlText w:val="%1.2.2"/>
      <w:lvlJc w:val="left"/>
      <w:pPr>
        <w:ind w:left="0" w:hanging="3"/>
      </w:pPr>
      <w:rPr>
        <w:rFonts w:hint="eastAsia"/>
        <w:spacing w:val="-1"/>
        <w:w w:val="6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9">
    <w:nsid w:val="1F400B39"/>
    <w:multiLevelType w:val="multilevel"/>
    <w:tmpl w:val="1F400B39"/>
    <w:lvl w:ilvl="0" w:tentative="0">
      <w:start w:val="6"/>
      <w:numFmt w:val="decimal"/>
      <w:lvlText w:val="%1"/>
      <w:lvlJc w:val="left"/>
      <w:pPr>
        <w:ind w:left="528" w:hanging="375"/>
      </w:pPr>
      <w:rPr>
        <w:rFonts w:hint="default"/>
        <w:lang w:val="zh-CN" w:eastAsia="zh-CN" w:bidi="zh-CN"/>
      </w:rPr>
    </w:lvl>
    <w:lvl w:ilvl="1" w:tentative="0">
      <w:start w:val="1"/>
      <w:numFmt w:val="none"/>
      <w:lvlText w:val="7.3.6"/>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20">
    <w:nsid w:val="1FF22BEA"/>
    <w:multiLevelType w:val="multilevel"/>
    <w:tmpl w:val="1FF22BEA"/>
    <w:lvl w:ilvl="0" w:tentative="0">
      <w:start w:val="6"/>
      <w:numFmt w:val="decimal"/>
      <w:lvlText w:val="%1"/>
      <w:lvlJc w:val="left"/>
      <w:pPr>
        <w:ind w:left="528" w:hanging="375"/>
      </w:pPr>
      <w:rPr>
        <w:rFonts w:hint="default"/>
        <w:lang w:val="zh-CN" w:eastAsia="zh-CN" w:bidi="zh-CN"/>
      </w:rPr>
    </w:lvl>
    <w:lvl w:ilvl="1" w:tentative="0">
      <w:start w:val="1"/>
      <w:numFmt w:val="none"/>
      <w:lvlText w:val="7.3.5"/>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21">
    <w:nsid w:val="21F27FF0"/>
    <w:multiLevelType w:val="multilevel"/>
    <w:tmpl w:val="21F27FF0"/>
    <w:lvl w:ilvl="0" w:tentative="0">
      <w:start w:val="16"/>
      <w:numFmt w:val="decimal"/>
      <w:lvlText w:val="%1.1.1"/>
      <w:lvlJc w:val="left"/>
      <w:pPr>
        <w:ind w:left="528" w:hanging="531"/>
      </w:pPr>
      <w:rPr>
        <w:rFonts w:hint="default"/>
        <w:lang w:val="zh-CN" w:eastAsia="zh-CN" w:bidi="zh-CN"/>
      </w:rPr>
    </w:lvl>
    <w:lvl w:ilvl="1" w:tentative="0">
      <w:start w:val="1"/>
      <w:numFmt w:val="none"/>
      <w:lvlText w:val="%1.2.1"/>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22">
    <w:nsid w:val="25BF55E3"/>
    <w:multiLevelType w:val="multilevel"/>
    <w:tmpl w:val="25BF55E3"/>
    <w:lvl w:ilvl="0" w:tentative="0">
      <w:start w:val="15"/>
      <w:numFmt w:val="decimal"/>
      <w:lvlText w:val="%1"/>
      <w:lvlJc w:val="left"/>
      <w:pPr>
        <w:ind w:left="528" w:hanging="531"/>
      </w:pPr>
      <w:rPr>
        <w:rFonts w:hint="default" w:ascii="Times New Roman" w:hAnsi="Times New Roman"/>
        <w:sz w:val="21"/>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23">
    <w:nsid w:val="26862558"/>
    <w:multiLevelType w:val="singleLevel"/>
    <w:tmpl w:val="26862558"/>
    <w:lvl w:ilvl="0" w:tentative="0">
      <w:start w:val="3"/>
      <w:numFmt w:val="decimal"/>
      <w:suff w:val="nothing"/>
      <w:lvlText w:val="%1、"/>
      <w:lvlJc w:val="left"/>
    </w:lvl>
  </w:abstractNum>
  <w:abstractNum w:abstractNumId="24">
    <w:nsid w:val="2E372C0F"/>
    <w:multiLevelType w:val="multilevel"/>
    <w:tmpl w:val="2E372C0F"/>
    <w:lvl w:ilvl="0" w:tentative="0">
      <w:start w:val="6"/>
      <w:numFmt w:val="decimal"/>
      <w:lvlText w:val="%1"/>
      <w:lvlJc w:val="left"/>
      <w:pPr>
        <w:ind w:left="528" w:hanging="375"/>
      </w:pPr>
      <w:rPr>
        <w:rFonts w:hint="default"/>
        <w:lang w:val="zh-CN" w:eastAsia="zh-CN" w:bidi="zh-CN"/>
      </w:rPr>
    </w:lvl>
    <w:lvl w:ilvl="1" w:tentative="0">
      <w:start w:val="1"/>
      <w:numFmt w:val="none"/>
      <w:lvlText w:val="7.3.4"/>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25">
    <w:nsid w:val="3102550A"/>
    <w:multiLevelType w:val="multilevel"/>
    <w:tmpl w:val="3102550A"/>
    <w:lvl w:ilvl="0" w:tentative="0">
      <w:start w:val="18"/>
      <w:numFmt w:val="decimal"/>
      <w:lvlText w:val="%1"/>
      <w:lvlJc w:val="left"/>
      <w:pPr>
        <w:ind w:left="528" w:hanging="507"/>
      </w:pPr>
      <w:rPr>
        <w:rFonts w:hint="default"/>
        <w:lang w:val="zh-CN" w:eastAsia="zh-CN" w:bidi="zh-CN"/>
      </w:rPr>
    </w:lvl>
    <w:lvl w:ilvl="1" w:tentative="0">
      <w:start w:val="1"/>
      <w:numFmt w:val="none"/>
      <w:lvlText w:val="18.8"/>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6">
    <w:nsid w:val="31E556D3"/>
    <w:multiLevelType w:val="multilevel"/>
    <w:tmpl w:val="31E556D3"/>
    <w:lvl w:ilvl="0" w:tentative="0">
      <w:start w:val="18"/>
      <w:numFmt w:val="decimal"/>
      <w:lvlText w:val="%1"/>
      <w:lvlJc w:val="left"/>
      <w:pPr>
        <w:ind w:left="528" w:hanging="507"/>
      </w:pPr>
      <w:rPr>
        <w:rFonts w:hint="default"/>
        <w:lang w:val="zh-CN" w:eastAsia="zh-CN" w:bidi="zh-CN"/>
      </w:rPr>
    </w:lvl>
    <w:lvl w:ilvl="1" w:tentative="0">
      <w:start w:val="1"/>
      <w:numFmt w:val="none"/>
      <w:lvlText w:val="18.7"/>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7">
    <w:nsid w:val="31EA1686"/>
    <w:multiLevelType w:val="multilevel"/>
    <w:tmpl w:val="31EA1686"/>
    <w:lvl w:ilvl="0" w:tentative="0">
      <w:start w:val="18"/>
      <w:numFmt w:val="decimal"/>
      <w:lvlText w:val="%1"/>
      <w:lvlJc w:val="left"/>
      <w:pPr>
        <w:ind w:left="528" w:hanging="507"/>
      </w:pPr>
      <w:rPr>
        <w:rFonts w:hint="default"/>
        <w:lang w:val="zh-CN" w:eastAsia="zh-CN" w:bidi="zh-CN"/>
      </w:rPr>
    </w:lvl>
    <w:lvl w:ilvl="1" w:tentative="0">
      <w:start w:val="1"/>
      <w:numFmt w:val="none"/>
      <w:lvlText w:val="18.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8">
    <w:nsid w:val="3262212A"/>
    <w:multiLevelType w:val="multilevel"/>
    <w:tmpl w:val="3262212A"/>
    <w:lvl w:ilvl="0" w:tentative="0">
      <w:start w:val="12"/>
      <w:numFmt w:val="decimal"/>
      <w:lvlText w:val="%1"/>
      <w:lvlJc w:val="left"/>
      <w:pPr>
        <w:ind w:left="1514" w:hanging="507"/>
      </w:pPr>
      <w:rPr>
        <w:rFonts w:hint="default"/>
        <w:lang w:val="zh-CN" w:eastAsia="zh-CN" w:bidi="zh-CN"/>
      </w:rPr>
    </w:lvl>
    <w:lvl w:ilvl="1" w:tentative="0">
      <w:start w:val="1"/>
      <w:numFmt w:val="decimal"/>
      <w:lvlText w:val="%1.%2"/>
      <w:lvlJc w:val="left"/>
      <w:pPr>
        <w:ind w:left="1514" w:hanging="507"/>
      </w:pPr>
      <w:rPr>
        <w:rFonts w:hint="default" w:ascii="Times New Roman" w:hAnsi="Times New Roman" w:eastAsia="Times New Roman"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Times New Roman"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29">
    <w:nsid w:val="330F0CCF"/>
    <w:multiLevelType w:val="multilevel"/>
    <w:tmpl w:val="330F0CC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37978B1"/>
    <w:multiLevelType w:val="multilevel"/>
    <w:tmpl w:val="337978B1"/>
    <w:lvl w:ilvl="0" w:tentative="0">
      <w:start w:val="15"/>
      <w:numFmt w:val="decimal"/>
      <w:lvlText w:val="%1"/>
      <w:lvlJc w:val="left"/>
      <w:pPr>
        <w:ind w:left="528" w:hanging="531"/>
      </w:pPr>
      <w:rPr>
        <w:rFonts w:hint="default" w:ascii="Times New Roman" w:hAnsi="Times New Roman"/>
        <w:sz w:val="21"/>
      </w:rPr>
    </w:lvl>
    <w:lvl w:ilvl="1" w:tentative="0">
      <w:start w:val="4"/>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31">
    <w:nsid w:val="37B60C35"/>
    <w:multiLevelType w:val="multilevel"/>
    <w:tmpl w:val="37B60C35"/>
    <w:lvl w:ilvl="0" w:tentative="0">
      <w:start w:val="6"/>
      <w:numFmt w:val="decimal"/>
      <w:lvlText w:val="%1"/>
      <w:lvlJc w:val="left"/>
      <w:pPr>
        <w:ind w:left="528" w:hanging="375"/>
      </w:pPr>
      <w:rPr>
        <w:rFonts w:hint="default"/>
        <w:lang w:val="zh-CN" w:eastAsia="zh-CN" w:bidi="zh-CN"/>
      </w:rPr>
    </w:lvl>
    <w:lvl w:ilvl="1" w:tentative="0">
      <w:start w:val="1"/>
      <w:numFmt w:val="none"/>
      <w:lvlText w:val="7.3.1"/>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32">
    <w:nsid w:val="3A8120FB"/>
    <w:multiLevelType w:val="multilevel"/>
    <w:tmpl w:val="3A8120FB"/>
    <w:lvl w:ilvl="0" w:tentative="0">
      <w:start w:val="18"/>
      <w:numFmt w:val="decimal"/>
      <w:lvlText w:val="%1"/>
      <w:lvlJc w:val="left"/>
      <w:pPr>
        <w:ind w:left="528" w:hanging="507"/>
      </w:pPr>
      <w:rPr>
        <w:rFonts w:hint="default"/>
        <w:lang w:val="zh-CN" w:eastAsia="zh-CN" w:bidi="zh-CN"/>
      </w:rPr>
    </w:lvl>
    <w:lvl w:ilvl="1" w:tentative="0">
      <w:start w:val="1"/>
      <w:numFmt w:val="none"/>
      <w:lvlText w:val="18.5"/>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3">
    <w:nsid w:val="3B9A4AA3"/>
    <w:multiLevelType w:val="multilevel"/>
    <w:tmpl w:val="3B9A4AA3"/>
    <w:lvl w:ilvl="0" w:tentative="0">
      <w:start w:val="18"/>
      <w:numFmt w:val="decimal"/>
      <w:lvlText w:val="%1"/>
      <w:lvlJc w:val="left"/>
      <w:pPr>
        <w:ind w:left="528" w:hanging="507"/>
      </w:pPr>
      <w:rPr>
        <w:rFonts w:hint="default"/>
        <w:lang w:val="zh-CN" w:eastAsia="zh-CN" w:bidi="zh-CN"/>
      </w:rPr>
    </w:lvl>
    <w:lvl w:ilvl="1" w:tentative="0">
      <w:start w:val="1"/>
      <w:numFmt w:val="none"/>
      <w:lvlText w:val="19.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4">
    <w:nsid w:val="3BFB5B77"/>
    <w:multiLevelType w:val="multilevel"/>
    <w:tmpl w:val="3BFB5B77"/>
    <w:lvl w:ilvl="0" w:tentative="0">
      <w:start w:val="13"/>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5">
    <w:nsid w:val="3CE31580"/>
    <w:multiLevelType w:val="multilevel"/>
    <w:tmpl w:val="3CE31580"/>
    <w:lvl w:ilvl="0" w:tentative="0">
      <w:start w:val="7"/>
      <w:numFmt w:val="decimal"/>
      <w:lvlText w:val="%1"/>
      <w:lvlJc w:val="left"/>
      <w:pPr>
        <w:ind w:left="528" w:hanging="375"/>
      </w:pPr>
      <w:rPr>
        <w:rFonts w:hint="default"/>
        <w:lang w:val="zh-CN" w:eastAsia="zh-CN" w:bidi="zh-CN"/>
      </w:rPr>
    </w:lvl>
    <w:lvl w:ilvl="1" w:tentative="0">
      <w:start w:val="4"/>
      <w:numFmt w:val="decimal"/>
      <w:lvlText w:val="%1.%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36">
    <w:nsid w:val="40221067"/>
    <w:multiLevelType w:val="multilevel"/>
    <w:tmpl w:val="40221067"/>
    <w:lvl w:ilvl="0" w:tentative="0">
      <w:start w:val="18"/>
      <w:numFmt w:val="decimal"/>
      <w:lvlText w:val="%1"/>
      <w:lvlJc w:val="left"/>
      <w:pPr>
        <w:ind w:left="528" w:hanging="507"/>
      </w:pPr>
      <w:rPr>
        <w:rFonts w:hint="default"/>
        <w:lang w:val="zh-CN" w:eastAsia="zh-CN" w:bidi="zh-CN"/>
      </w:rPr>
    </w:lvl>
    <w:lvl w:ilvl="1" w:tentative="0">
      <w:start w:val="1"/>
      <w:numFmt w:val="none"/>
      <w:lvlText w:val="18.6"/>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7">
    <w:nsid w:val="40DA1D51"/>
    <w:multiLevelType w:val="multilevel"/>
    <w:tmpl w:val="40DA1D51"/>
    <w:lvl w:ilvl="0" w:tentative="0">
      <w:start w:val="18"/>
      <w:numFmt w:val="decimal"/>
      <w:lvlText w:val="%1"/>
      <w:lvlJc w:val="left"/>
      <w:pPr>
        <w:ind w:left="528"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8">
    <w:nsid w:val="420E52C0"/>
    <w:multiLevelType w:val="multilevel"/>
    <w:tmpl w:val="420E52C0"/>
    <w:lvl w:ilvl="0" w:tentative="0">
      <w:start w:val="8"/>
      <w:numFmt w:val="decimal"/>
      <w:lvlText w:val="%1"/>
      <w:lvlJc w:val="left"/>
      <w:pPr>
        <w:ind w:left="1259" w:hanging="375"/>
      </w:pPr>
      <w:rPr>
        <w:rFonts w:hint="default"/>
        <w:lang w:val="zh-CN" w:eastAsia="zh-CN" w:bidi="zh-CN"/>
      </w:rPr>
    </w:lvl>
    <w:lvl w:ilvl="1" w:tentative="0">
      <w:start w:val="1"/>
      <w:numFmt w:val="none"/>
      <w:lvlText w:val="9.1"/>
      <w:lvlJc w:val="left"/>
      <w:pPr>
        <w:ind w:left="1259"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39">
    <w:nsid w:val="428E13C2"/>
    <w:multiLevelType w:val="multilevel"/>
    <w:tmpl w:val="428E13C2"/>
    <w:lvl w:ilvl="0" w:tentative="0">
      <w:start w:val="1"/>
      <w:numFmt w:val="bullet"/>
      <w:pStyle w:val="7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60"/>
        </w:tabs>
        <w:ind w:left="-360" w:hanging="420"/>
      </w:pPr>
      <w:rPr>
        <w:rFonts w:hint="default" w:ascii="Wingdings" w:hAnsi="Wingdings"/>
      </w:rPr>
    </w:lvl>
    <w:lvl w:ilvl="2" w:tentative="0">
      <w:start w:val="1"/>
      <w:numFmt w:val="bullet"/>
      <w:lvlText w:val=""/>
      <w:lvlJc w:val="left"/>
      <w:pPr>
        <w:tabs>
          <w:tab w:val="left" w:pos="60"/>
        </w:tabs>
        <w:ind w:left="60" w:hanging="420"/>
      </w:pPr>
      <w:rPr>
        <w:rFonts w:hint="default" w:ascii="Wingdings" w:hAnsi="Wingdings"/>
      </w:rPr>
    </w:lvl>
    <w:lvl w:ilvl="3" w:tentative="0">
      <w:start w:val="1"/>
      <w:numFmt w:val="bullet"/>
      <w:lvlText w:val=""/>
      <w:lvlJc w:val="left"/>
      <w:pPr>
        <w:tabs>
          <w:tab w:val="left" w:pos="480"/>
        </w:tabs>
        <w:ind w:left="480" w:hanging="420"/>
      </w:pPr>
      <w:rPr>
        <w:rFonts w:hint="default" w:ascii="Wingdings" w:hAnsi="Wingdings"/>
      </w:rPr>
    </w:lvl>
    <w:lvl w:ilvl="4" w:tentative="0">
      <w:start w:val="1"/>
      <w:numFmt w:val="bullet"/>
      <w:lvlText w:val=""/>
      <w:lvlJc w:val="left"/>
      <w:pPr>
        <w:tabs>
          <w:tab w:val="left" w:pos="900"/>
        </w:tabs>
        <w:ind w:left="900" w:hanging="420"/>
      </w:pPr>
      <w:rPr>
        <w:rFonts w:hint="default" w:ascii="Wingdings" w:hAnsi="Wingdings"/>
      </w:rPr>
    </w:lvl>
    <w:lvl w:ilvl="5" w:tentative="0">
      <w:start w:val="1"/>
      <w:numFmt w:val="bullet"/>
      <w:lvlText w:val=""/>
      <w:lvlJc w:val="left"/>
      <w:pPr>
        <w:tabs>
          <w:tab w:val="left" w:pos="1320"/>
        </w:tabs>
        <w:ind w:left="1320" w:hanging="420"/>
      </w:pPr>
      <w:rPr>
        <w:rFonts w:hint="default" w:ascii="Wingdings" w:hAnsi="Wingdings"/>
      </w:rPr>
    </w:lvl>
    <w:lvl w:ilvl="6" w:tentative="0">
      <w:start w:val="1"/>
      <w:numFmt w:val="bullet"/>
      <w:lvlText w:val=""/>
      <w:lvlJc w:val="left"/>
      <w:pPr>
        <w:tabs>
          <w:tab w:val="left" w:pos="1740"/>
        </w:tabs>
        <w:ind w:left="1740" w:hanging="420"/>
      </w:pPr>
      <w:rPr>
        <w:rFonts w:hint="default" w:ascii="Wingdings" w:hAnsi="Wingdings"/>
      </w:rPr>
    </w:lvl>
    <w:lvl w:ilvl="7" w:tentative="0">
      <w:start w:val="1"/>
      <w:numFmt w:val="bullet"/>
      <w:lvlText w:val=""/>
      <w:lvlJc w:val="left"/>
      <w:pPr>
        <w:tabs>
          <w:tab w:val="left" w:pos="2160"/>
        </w:tabs>
        <w:ind w:left="2160" w:hanging="420"/>
      </w:pPr>
      <w:rPr>
        <w:rFonts w:hint="default" w:ascii="Wingdings" w:hAnsi="Wingdings"/>
      </w:rPr>
    </w:lvl>
    <w:lvl w:ilvl="8" w:tentative="0">
      <w:start w:val="1"/>
      <w:numFmt w:val="bullet"/>
      <w:lvlText w:val=""/>
      <w:lvlJc w:val="left"/>
      <w:pPr>
        <w:tabs>
          <w:tab w:val="left" w:pos="2580"/>
        </w:tabs>
        <w:ind w:left="2580" w:hanging="420"/>
      </w:pPr>
      <w:rPr>
        <w:rFonts w:hint="default" w:ascii="Wingdings" w:hAnsi="Wingdings"/>
      </w:rPr>
    </w:lvl>
  </w:abstractNum>
  <w:abstractNum w:abstractNumId="40">
    <w:nsid w:val="442E4BB4"/>
    <w:multiLevelType w:val="multilevel"/>
    <w:tmpl w:val="442E4BB4"/>
    <w:lvl w:ilvl="0" w:tentative="0">
      <w:start w:val="16"/>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spacing w:val="-1"/>
        <w:w w:val="82"/>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41">
    <w:nsid w:val="463A749B"/>
    <w:multiLevelType w:val="multilevel"/>
    <w:tmpl w:val="463A749B"/>
    <w:lvl w:ilvl="0" w:tentative="0">
      <w:start w:val="18"/>
      <w:numFmt w:val="decimal"/>
      <w:lvlText w:val="%1"/>
      <w:lvlJc w:val="left"/>
      <w:pPr>
        <w:ind w:left="528" w:hanging="507"/>
      </w:pPr>
      <w:rPr>
        <w:rFonts w:hint="default"/>
        <w:lang w:val="zh-CN" w:eastAsia="zh-CN" w:bidi="zh-CN"/>
      </w:rPr>
    </w:lvl>
    <w:lvl w:ilvl="1" w:tentative="0">
      <w:start w:val="1"/>
      <w:numFmt w:val="none"/>
      <w:lvlText w:val="19.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42">
    <w:nsid w:val="48FF25C2"/>
    <w:multiLevelType w:val="multilevel"/>
    <w:tmpl w:val="48FF25C2"/>
    <w:lvl w:ilvl="0" w:tentative="0">
      <w:start w:val="16"/>
      <w:numFmt w:val="decimal"/>
      <w:lvlText w:val="%1"/>
      <w:lvlJc w:val="left"/>
      <w:pPr>
        <w:ind w:left="528" w:hanging="531"/>
      </w:pPr>
      <w:rPr>
        <w:rFonts w:hint="default" w:ascii="Times New Roman" w:hAnsi="Times New Roman"/>
        <w:sz w:val="21"/>
      </w:rPr>
    </w:lvl>
    <w:lvl w:ilvl="1" w:tentative="0">
      <w:start w:val="6"/>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43">
    <w:nsid w:val="49DD727C"/>
    <w:multiLevelType w:val="singleLevel"/>
    <w:tmpl w:val="49DD727C"/>
    <w:lvl w:ilvl="0" w:tentative="0">
      <w:start w:val="1"/>
      <w:numFmt w:val="decimal"/>
      <w:suff w:val="nothing"/>
      <w:lvlText w:val="%1、"/>
      <w:lvlJc w:val="left"/>
    </w:lvl>
  </w:abstractNum>
  <w:abstractNum w:abstractNumId="44">
    <w:nsid w:val="4CC44EC9"/>
    <w:multiLevelType w:val="multilevel"/>
    <w:tmpl w:val="4CC44EC9"/>
    <w:lvl w:ilvl="0" w:tentative="0">
      <w:start w:val="17"/>
      <w:numFmt w:val="decimal"/>
      <w:lvlText w:val="%1"/>
      <w:lvlJc w:val="left"/>
      <w:pPr>
        <w:ind w:left="528" w:hanging="531"/>
      </w:pPr>
      <w:rPr>
        <w:rFonts w:hint="default"/>
        <w:lang w:val="zh-CN" w:eastAsia="zh-CN" w:bidi="zh-CN"/>
      </w:rPr>
    </w:lvl>
    <w:lvl w:ilvl="1" w:tentative="0">
      <w:start w:val="1"/>
      <w:numFmt w:val="none"/>
      <w:lvlText w:val="18"/>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45">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46">
    <w:nsid w:val="4EEA2568"/>
    <w:multiLevelType w:val="multilevel"/>
    <w:tmpl w:val="4EEA2568"/>
    <w:lvl w:ilvl="0" w:tentative="0">
      <w:start w:val="6"/>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jc w:val="right"/>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7">
    <w:nsid w:val="4EF84411"/>
    <w:multiLevelType w:val="multilevel"/>
    <w:tmpl w:val="4EF84411"/>
    <w:lvl w:ilvl="0" w:tentative="0">
      <w:start w:val="18"/>
      <w:numFmt w:val="decimal"/>
      <w:lvlText w:val="%1"/>
      <w:lvlJc w:val="left"/>
      <w:pPr>
        <w:ind w:left="528" w:hanging="507"/>
      </w:pPr>
      <w:rPr>
        <w:rFonts w:hint="default"/>
        <w:lang w:val="zh-CN" w:eastAsia="zh-CN" w:bidi="zh-CN"/>
      </w:rPr>
    </w:lvl>
    <w:lvl w:ilvl="1" w:tentative="0">
      <w:start w:val="1"/>
      <w:numFmt w:val="decimal"/>
      <w:lvlText w:val="%1.4.%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48">
    <w:nsid w:val="50F75E17"/>
    <w:multiLevelType w:val="multilevel"/>
    <w:tmpl w:val="50F75E17"/>
    <w:lvl w:ilvl="0" w:tentative="0">
      <w:start w:val="6"/>
      <w:numFmt w:val="decimal"/>
      <w:lvlText w:val="%1"/>
      <w:lvlJc w:val="left"/>
      <w:pPr>
        <w:ind w:left="528" w:hanging="375"/>
      </w:pPr>
      <w:rPr>
        <w:rFonts w:hint="default"/>
        <w:lang w:val="zh-CN" w:eastAsia="zh-CN" w:bidi="zh-CN"/>
      </w:rPr>
    </w:lvl>
    <w:lvl w:ilvl="1" w:tentative="0">
      <w:start w:val="1"/>
      <w:numFmt w:val="decimal"/>
      <w:lvlText w:val="7.%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9">
    <w:nsid w:val="518C1C41"/>
    <w:multiLevelType w:val="multilevel"/>
    <w:tmpl w:val="518C1C41"/>
    <w:lvl w:ilvl="0" w:tentative="0">
      <w:start w:val="6"/>
      <w:numFmt w:val="decimal"/>
      <w:lvlText w:val="%1"/>
      <w:lvlJc w:val="left"/>
      <w:pPr>
        <w:ind w:left="528" w:hanging="375"/>
      </w:pPr>
      <w:rPr>
        <w:rFonts w:hint="default"/>
        <w:lang w:val="zh-CN" w:eastAsia="zh-CN" w:bidi="zh-CN"/>
      </w:rPr>
    </w:lvl>
    <w:lvl w:ilvl="1" w:tentative="0">
      <w:start w:val="1"/>
      <w:numFmt w:val="none"/>
      <w:lvlText w:val="7.3.3"/>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50">
    <w:nsid w:val="518F1A6C"/>
    <w:multiLevelType w:val="multilevel"/>
    <w:tmpl w:val="518F1A6C"/>
    <w:lvl w:ilvl="0" w:tentative="0">
      <w:start w:val="16"/>
      <w:numFmt w:val="decimal"/>
      <w:lvlText w:val="%1.1.1"/>
      <w:lvlJc w:val="left"/>
      <w:pPr>
        <w:ind w:left="528" w:hanging="531"/>
      </w:pPr>
      <w:rPr>
        <w:rFonts w:hint="default"/>
        <w:lang w:val="zh-CN" w:eastAsia="zh-CN" w:bidi="zh-CN"/>
      </w:rPr>
    </w:lvl>
    <w:lvl w:ilvl="1" w:tentative="0">
      <w:start w:val="1"/>
      <w:numFmt w:val="none"/>
      <w:lvlText w:val="%1.2.3"/>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1">
    <w:nsid w:val="531F1B50"/>
    <w:multiLevelType w:val="multilevel"/>
    <w:tmpl w:val="531F1B50"/>
    <w:lvl w:ilvl="0" w:tentative="0">
      <w:start w:val="1"/>
      <w:numFmt w:val="decimal"/>
      <w:lvlText w:val="%1."/>
      <w:lvlJc w:val="left"/>
      <w:pPr>
        <w:ind w:left="1181" w:hanging="180"/>
      </w:pPr>
      <w:rPr>
        <w:rFonts w:hint="default" w:ascii="Times New Roman" w:eastAsia="Times New Roman"/>
        <w:b/>
      </w:rPr>
    </w:lvl>
    <w:lvl w:ilvl="1" w:tentative="0">
      <w:start w:val="1"/>
      <w:numFmt w:val="decimal"/>
      <w:isLgl/>
      <w:lvlText w:val="%1.%2"/>
      <w:lvlJc w:val="left"/>
      <w:pPr>
        <w:ind w:left="1346" w:hanging="345"/>
      </w:pPr>
      <w:rPr>
        <w:rFonts w:hint="default" w:ascii="Times New Roman" w:eastAsia="Times New Roman"/>
      </w:rPr>
    </w:lvl>
    <w:lvl w:ilvl="2" w:tentative="0">
      <w:start w:val="1"/>
      <w:numFmt w:val="decimal"/>
      <w:isLgl/>
      <w:lvlText w:val="%1.%2.%3"/>
      <w:lvlJc w:val="left"/>
      <w:pPr>
        <w:ind w:left="1346" w:hanging="345"/>
      </w:pPr>
      <w:rPr>
        <w:rFonts w:hint="default" w:ascii="Times New Roman" w:eastAsia="Times New Roman"/>
      </w:rPr>
    </w:lvl>
    <w:lvl w:ilvl="3" w:tentative="0">
      <w:start w:val="1"/>
      <w:numFmt w:val="decimal"/>
      <w:isLgl/>
      <w:lvlText w:val="%1.%2.%3.%4"/>
      <w:lvlJc w:val="left"/>
      <w:pPr>
        <w:ind w:left="1346" w:hanging="345"/>
      </w:pPr>
      <w:rPr>
        <w:rFonts w:hint="default" w:ascii="Times New Roman" w:eastAsia="Times New Roman"/>
      </w:rPr>
    </w:lvl>
    <w:lvl w:ilvl="4" w:tentative="0">
      <w:start w:val="1"/>
      <w:numFmt w:val="decimal"/>
      <w:isLgl/>
      <w:lvlText w:val="%1.%2.%3.%4.%5"/>
      <w:lvlJc w:val="left"/>
      <w:pPr>
        <w:ind w:left="1346" w:hanging="345"/>
      </w:pPr>
      <w:rPr>
        <w:rFonts w:hint="default" w:ascii="Times New Roman" w:eastAsia="Times New Roman"/>
      </w:rPr>
    </w:lvl>
    <w:lvl w:ilvl="5" w:tentative="0">
      <w:start w:val="1"/>
      <w:numFmt w:val="decimal"/>
      <w:isLgl/>
      <w:lvlText w:val="%1.%2.%3.%4.%5.%6"/>
      <w:lvlJc w:val="left"/>
      <w:pPr>
        <w:ind w:left="1346" w:hanging="345"/>
      </w:pPr>
      <w:rPr>
        <w:rFonts w:hint="default" w:ascii="Times New Roman" w:eastAsia="Times New Roman"/>
      </w:rPr>
    </w:lvl>
    <w:lvl w:ilvl="6" w:tentative="0">
      <w:start w:val="1"/>
      <w:numFmt w:val="decimal"/>
      <w:isLgl/>
      <w:lvlText w:val="%1.%2.%3.%4.%5.%6.%7"/>
      <w:lvlJc w:val="left"/>
      <w:pPr>
        <w:ind w:left="1346" w:hanging="345"/>
      </w:pPr>
      <w:rPr>
        <w:rFonts w:hint="default" w:ascii="Times New Roman" w:eastAsia="Times New Roman"/>
      </w:rPr>
    </w:lvl>
    <w:lvl w:ilvl="7" w:tentative="0">
      <w:start w:val="1"/>
      <w:numFmt w:val="decimal"/>
      <w:isLgl/>
      <w:lvlText w:val="%1.%2.%3.%4.%5.%6.%7.%8"/>
      <w:lvlJc w:val="left"/>
      <w:pPr>
        <w:ind w:left="1346" w:hanging="345"/>
      </w:pPr>
      <w:rPr>
        <w:rFonts w:hint="default" w:ascii="Times New Roman" w:eastAsia="Times New Roman"/>
      </w:rPr>
    </w:lvl>
    <w:lvl w:ilvl="8" w:tentative="0">
      <w:start w:val="1"/>
      <w:numFmt w:val="decimal"/>
      <w:isLgl/>
      <w:lvlText w:val="%1.%2.%3.%4.%5.%6.%7.%8.%9"/>
      <w:lvlJc w:val="left"/>
      <w:pPr>
        <w:ind w:left="1346" w:hanging="345"/>
      </w:pPr>
      <w:rPr>
        <w:rFonts w:hint="default" w:ascii="Times New Roman" w:eastAsia="Times New Roman"/>
      </w:rPr>
    </w:lvl>
  </w:abstractNum>
  <w:abstractNum w:abstractNumId="52">
    <w:nsid w:val="53536B0F"/>
    <w:multiLevelType w:val="multilevel"/>
    <w:tmpl w:val="53536B0F"/>
    <w:lvl w:ilvl="0" w:tentative="0">
      <w:start w:val="1"/>
      <w:numFmt w:val="japaneseCounting"/>
      <w:lvlText w:val="（%1）"/>
      <w:lvlJc w:val="left"/>
      <w:pPr>
        <w:ind w:left="720" w:hanging="720"/>
      </w:pPr>
      <w:rPr>
        <w:rFonts w:hint="default"/>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54">
    <w:nsid w:val="54F0464A"/>
    <w:multiLevelType w:val="multilevel"/>
    <w:tmpl w:val="54F0464A"/>
    <w:lvl w:ilvl="0" w:tentative="0">
      <w:start w:val="18"/>
      <w:numFmt w:val="decimal"/>
      <w:lvlText w:val="%1"/>
      <w:lvlJc w:val="left"/>
      <w:pPr>
        <w:ind w:left="528" w:hanging="507"/>
      </w:pPr>
      <w:rPr>
        <w:rFonts w:hint="default"/>
        <w:lang w:val="zh-CN" w:eastAsia="zh-CN" w:bidi="zh-CN"/>
      </w:rPr>
    </w:lvl>
    <w:lvl w:ilvl="1" w:tentative="0">
      <w:start w:val="1"/>
      <w:numFmt w:val="none"/>
      <w:lvlText w:val="20.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55">
    <w:nsid w:val="5626ED99"/>
    <w:multiLevelType w:val="singleLevel"/>
    <w:tmpl w:val="5626ED99"/>
    <w:lvl w:ilvl="0" w:tentative="0">
      <w:start w:val="2"/>
      <w:numFmt w:val="chineseCounting"/>
      <w:suff w:val="nothing"/>
      <w:lvlText w:val="%1、"/>
      <w:lvlJc w:val="left"/>
    </w:lvl>
  </w:abstractNum>
  <w:abstractNum w:abstractNumId="56">
    <w:nsid w:val="58184CA6"/>
    <w:multiLevelType w:val="multilevel"/>
    <w:tmpl w:val="58184CA6"/>
    <w:lvl w:ilvl="0" w:tentative="0">
      <w:start w:val="17"/>
      <w:numFmt w:val="decimal"/>
      <w:lvlText w:val="%1"/>
      <w:lvlJc w:val="left"/>
      <w:pPr>
        <w:ind w:left="528" w:hanging="531"/>
      </w:pPr>
      <w:rPr>
        <w:rFonts w:hint="default"/>
        <w:lang w:val="zh-CN" w:eastAsia="zh-CN" w:bidi="zh-CN"/>
      </w:rPr>
    </w:lvl>
    <w:lvl w:ilvl="1" w:tentative="0">
      <w:start w:val="1"/>
      <w:numFmt w:val="decimal"/>
      <w:lvlText w:val="%1.3.%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57">
    <w:nsid w:val="5980471A"/>
    <w:multiLevelType w:val="multilevel"/>
    <w:tmpl w:val="5980471A"/>
    <w:lvl w:ilvl="0" w:tentative="0">
      <w:start w:val="1"/>
      <w:numFmt w:val="decimal"/>
      <w:pStyle w:val="153"/>
      <w:lvlText w:val="%1."/>
      <w:lvlJc w:val="left"/>
      <w:pPr>
        <w:ind w:left="1130" w:hanging="420"/>
      </w:pPr>
      <w:rPr>
        <w:rFonts w:cs="Times New Roman"/>
      </w:rPr>
    </w:lvl>
    <w:lvl w:ilvl="1" w:tentative="0">
      <w:start w:val="1"/>
      <w:numFmt w:val="decimal"/>
      <w:lvlText w:val="%2."/>
      <w:lvlJc w:val="left"/>
      <w:pPr>
        <w:ind w:left="1130" w:hanging="420"/>
      </w:pPr>
      <w:rPr>
        <w:rFonts w:cs="Times New Roman"/>
        <w:b w:val="0"/>
      </w:rPr>
    </w:lvl>
    <w:lvl w:ilvl="2" w:tentative="0">
      <w:start w:val="1"/>
      <w:numFmt w:val="bullet"/>
      <w:lvlText w:val="★"/>
      <w:lvlJc w:val="left"/>
      <w:pPr>
        <w:ind w:left="1910" w:hanging="360"/>
      </w:pPr>
      <w:rPr>
        <w:rFonts w:hint="eastAsia" w:ascii="宋体" w:hAnsi="宋体" w:eastAsia="宋体"/>
        <w:sz w:val="21"/>
      </w:rPr>
    </w:lvl>
    <w:lvl w:ilvl="3" w:tentative="0">
      <w:start w:val="1"/>
      <w:numFmt w:val="decimal"/>
      <w:lvlText w:val="%4."/>
      <w:lvlJc w:val="left"/>
      <w:pPr>
        <w:ind w:left="2390" w:hanging="420"/>
      </w:pPr>
      <w:rPr>
        <w:rFonts w:cs="Times New Roman"/>
      </w:rPr>
    </w:lvl>
    <w:lvl w:ilvl="4" w:tentative="0">
      <w:start w:val="1"/>
      <w:numFmt w:val="lowerLetter"/>
      <w:lvlText w:val="%5)"/>
      <w:lvlJc w:val="left"/>
      <w:pPr>
        <w:ind w:left="2810" w:hanging="420"/>
      </w:pPr>
      <w:rPr>
        <w:rFonts w:cs="Times New Roman"/>
      </w:rPr>
    </w:lvl>
    <w:lvl w:ilvl="5" w:tentative="0">
      <w:start w:val="1"/>
      <w:numFmt w:val="lowerRoman"/>
      <w:lvlText w:val="%6."/>
      <w:lvlJc w:val="right"/>
      <w:pPr>
        <w:ind w:left="3230" w:hanging="420"/>
      </w:pPr>
      <w:rPr>
        <w:rFonts w:cs="Times New Roman"/>
      </w:rPr>
    </w:lvl>
    <w:lvl w:ilvl="6" w:tentative="0">
      <w:start w:val="1"/>
      <w:numFmt w:val="decimal"/>
      <w:lvlText w:val="%7."/>
      <w:lvlJc w:val="left"/>
      <w:pPr>
        <w:ind w:left="3650" w:hanging="420"/>
      </w:pPr>
      <w:rPr>
        <w:rFonts w:cs="Times New Roman"/>
      </w:rPr>
    </w:lvl>
    <w:lvl w:ilvl="7" w:tentative="0">
      <w:start w:val="1"/>
      <w:numFmt w:val="lowerLetter"/>
      <w:lvlText w:val="%8)"/>
      <w:lvlJc w:val="left"/>
      <w:pPr>
        <w:ind w:left="4070" w:hanging="420"/>
      </w:pPr>
      <w:rPr>
        <w:rFonts w:cs="Times New Roman"/>
      </w:rPr>
    </w:lvl>
    <w:lvl w:ilvl="8" w:tentative="0">
      <w:start w:val="1"/>
      <w:numFmt w:val="lowerRoman"/>
      <w:lvlText w:val="%9."/>
      <w:lvlJc w:val="right"/>
      <w:pPr>
        <w:ind w:left="4490" w:hanging="420"/>
      </w:pPr>
      <w:rPr>
        <w:rFonts w:cs="Times New Roman"/>
      </w:rPr>
    </w:lvl>
  </w:abstractNum>
  <w:abstractNum w:abstractNumId="58">
    <w:nsid w:val="5FEF16EF"/>
    <w:multiLevelType w:val="multilevel"/>
    <w:tmpl w:val="5FEF16EF"/>
    <w:lvl w:ilvl="0" w:tentative="0">
      <w:start w:val="18"/>
      <w:numFmt w:val="decimal"/>
      <w:lvlText w:val="%1"/>
      <w:lvlJc w:val="left"/>
      <w:pPr>
        <w:ind w:left="528" w:hanging="507"/>
      </w:pPr>
      <w:rPr>
        <w:rFonts w:hint="default"/>
        <w:lang w:val="zh-CN" w:eastAsia="zh-CN" w:bidi="zh-CN"/>
      </w:rPr>
    </w:lvl>
    <w:lvl w:ilvl="1" w:tentative="0">
      <w:start w:val="1"/>
      <w:numFmt w:val="none"/>
      <w:lvlText w:val="1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59">
    <w:nsid w:val="5FFC079F"/>
    <w:multiLevelType w:val="multilevel"/>
    <w:tmpl w:val="5FFC079F"/>
    <w:lvl w:ilvl="0" w:tentative="0">
      <w:start w:val="18"/>
      <w:numFmt w:val="decimal"/>
      <w:lvlText w:val="%1"/>
      <w:lvlJc w:val="left"/>
      <w:pPr>
        <w:ind w:left="528" w:hanging="507"/>
      </w:pPr>
      <w:rPr>
        <w:rFonts w:hint="default"/>
        <w:lang w:val="zh-CN" w:eastAsia="zh-CN" w:bidi="zh-CN"/>
      </w:rPr>
    </w:lvl>
    <w:lvl w:ilvl="1" w:tentative="0">
      <w:start w:val="1"/>
      <w:numFmt w:val="none"/>
      <w:lvlText w:val="20"/>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0">
    <w:nsid w:val="633ED03E"/>
    <w:multiLevelType w:val="singleLevel"/>
    <w:tmpl w:val="633ED03E"/>
    <w:lvl w:ilvl="0" w:tentative="0">
      <w:start w:val="1"/>
      <w:numFmt w:val="decimal"/>
      <w:suff w:val="nothing"/>
      <w:lvlText w:val="（%1）"/>
      <w:lvlJc w:val="left"/>
    </w:lvl>
  </w:abstractNum>
  <w:abstractNum w:abstractNumId="61">
    <w:nsid w:val="647C2D4F"/>
    <w:multiLevelType w:val="multilevel"/>
    <w:tmpl w:val="647C2D4F"/>
    <w:lvl w:ilvl="0" w:tentative="0">
      <w:start w:val="12"/>
      <w:numFmt w:val="decimal"/>
      <w:lvlText w:val="%1"/>
      <w:lvlJc w:val="left"/>
      <w:pPr>
        <w:ind w:left="1514" w:hanging="507"/>
      </w:pPr>
      <w:rPr>
        <w:rFonts w:hint="default"/>
        <w:lang w:val="zh-CN" w:eastAsia="zh-CN" w:bidi="zh-CN"/>
      </w:rPr>
    </w:lvl>
    <w:lvl w:ilvl="1" w:tentative="0">
      <w:start w:val="0"/>
      <w:numFmt w:val="decimal"/>
      <w:lvlText w:val="%1"/>
      <w:lvlJc w:val="left"/>
      <w:pPr>
        <w:ind w:left="1514" w:hanging="507"/>
      </w:pPr>
      <w:rPr>
        <w:rFonts w:hint="default" w:ascii="Times New Roman" w:hAnsi="Times New Roman" w:eastAsia="宋体"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62">
    <w:nsid w:val="64A83C8F"/>
    <w:multiLevelType w:val="multilevel"/>
    <w:tmpl w:val="64A83C8F"/>
    <w:lvl w:ilvl="0" w:tentative="0">
      <w:start w:val="14"/>
      <w:numFmt w:val="decimal"/>
      <w:lvlText w:val="%1"/>
      <w:lvlJc w:val="left"/>
      <w:pPr>
        <w:ind w:left="1514"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63">
    <w:nsid w:val="66330EA0"/>
    <w:multiLevelType w:val="multilevel"/>
    <w:tmpl w:val="66330EA0"/>
    <w:lvl w:ilvl="0" w:tentative="0">
      <w:start w:val="14"/>
      <w:numFmt w:val="decimal"/>
      <w:lvlText w:val="%1"/>
      <w:lvlJc w:val="left"/>
      <w:pPr>
        <w:ind w:left="1514" w:hanging="507"/>
      </w:pPr>
      <w:rPr>
        <w:rFonts w:hint="default"/>
        <w:lang w:val="zh-CN" w:eastAsia="zh-CN" w:bidi="zh-CN"/>
      </w:rPr>
    </w:lvl>
    <w:lvl w:ilvl="1" w:tentative="0">
      <w:start w:val="1"/>
      <w:numFmt w:val="none"/>
      <w:lvlText w:val="1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64">
    <w:nsid w:val="667E976B"/>
    <w:multiLevelType w:val="singleLevel"/>
    <w:tmpl w:val="667E976B"/>
    <w:lvl w:ilvl="0" w:tentative="0">
      <w:start w:val="1"/>
      <w:numFmt w:val="chineseCounting"/>
      <w:suff w:val="nothing"/>
      <w:lvlText w:val="%1、"/>
      <w:lvlJc w:val="left"/>
      <w:rPr>
        <w:rFonts w:hint="eastAsia"/>
      </w:rPr>
    </w:lvl>
  </w:abstractNum>
  <w:abstractNum w:abstractNumId="65">
    <w:nsid w:val="68AA165E"/>
    <w:multiLevelType w:val="multilevel"/>
    <w:tmpl w:val="68AA165E"/>
    <w:lvl w:ilvl="0" w:tentative="0">
      <w:start w:val="17"/>
      <w:numFmt w:val="decimal"/>
      <w:lvlText w:val="%1"/>
      <w:lvlJc w:val="left"/>
      <w:pPr>
        <w:ind w:left="528" w:hanging="531"/>
      </w:pPr>
      <w:rPr>
        <w:rFonts w:hint="default"/>
        <w:lang w:val="zh-CN" w:eastAsia="zh-CN" w:bidi="zh-CN"/>
      </w:rPr>
    </w:lvl>
    <w:lvl w:ilvl="1" w:tentative="0">
      <w:start w:val="1"/>
      <w:numFmt w:val="decimal"/>
      <w:lvlText w:val="%1.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66">
    <w:nsid w:val="69E37025"/>
    <w:multiLevelType w:val="multilevel"/>
    <w:tmpl w:val="69E37025"/>
    <w:lvl w:ilvl="0" w:tentative="0">
      <w:start w:val="14"/>
      <w:numFmt w:val="decimal"/>
      <w:lvlText w:val="%1"/>
      <w:lvlJc w:val="left"/>
      <w:pPr>
        <w:ind w:left="1514" w:hanging="507"/>
      </w:pPr>
      <w:rPr>
        <w:rFonts w:hint="default"/>
        <w:lang w:val="zh-CN" w:eastAsia="zh-CN" w:bidi="zh-CN"/>
      </w:rPr>
    </w:lvl>
    <w:lvl w:ilvl="1" w:tentative="0">
      <w:start w:val="1"/>
      <w:numFmt w:val="none"/>
      <w:lvlText w:val="15.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67">
    <w:nsid w:val="6CD571AD"/>
    <w:multiLevelType w:val="multilevel"/>
    <w:tmpl w:val="6CD571AD"/>
    <w:lvl w:ilvl="0" w:tentative="0">
      <w:start w:val="12"/>
      <w:numFmt w:val="decimal"/>
      <w:lvlText w:val="%1"/>
      <w:lvlJc w:val="left"/>
      <w:pPr>
        <w:ind w:left="528" w:hanging="507"/>
      </w:pPr>
      <w:rPr>
        <w:rFonts w:hint="default"/>
        <w:lang w:val="zh-CN" w:eastAsia="zh-CN" w:bidi="zh-CN"/>
      </w:rPr>
    </w:lvl>
    <w:lvl w:ilvl="1" w:tentative="0">
      <w:start w:val="2"/>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8">
    <w:nsid w:val="6E3C35DB"/>
    <w:multiLevelType w:val="multilevel"/>
    <w:tmpl w:val="6E3C35DB"/>
    <w:lvl w:ilvl="0" w:tentative="0">
      <w:start w:val="12"/>
      <w:numFmt w:val="decimal"/>
      <w:lvlText w:val="%1"/>
      <w:lvlJc w:val="left"/>
      <w:pPr>
        <w:ind w:left="528" w:hanging="507"/>
      </w:pPr>
      <w:rPr>
        <w:rFonts w:hint="default"/>
        <w:lang w:val="zh-CN" w:eastAsia="zh-CN" w:bidi="zh-CN"/>
      </w:rPr>
    </w:lvl>
    <w:lvl w:ilvl="1" w:tentative="0">
      <w:start w:val="2"/>
      <w:numFmt w:val="none"/>
      <w:lvlText w:val="1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9">
    <w:nsid w:val="6E934A17"/>
    <w:multiLevelType w:val="multilevel"/>
    <w:tmpl w:val="6E934A17"/>
    <w:lvl w:ilvl="0" w:tentative="0">
      <w:start w:val="16"/>
      <w:numFmt w:val="decimal"/>
      <w:lvlText w:val="%1"/>
      <w:lvlJc w:val="left"/>
      <w:pPr>
        <w:ind w:left="528" w:hanging="531"/>
      </w:pPr>
      <w:rPr>
        <w:rFonts w:hint="default" w:ascii="Times New Roman" w:hAnsi="Times New Roman"/>
        <w:sz w:val="21"/>
      </w:rPr>
    </w:lvl>
    <w:lvl w:ilvl="1" w:tentative="0">
      <w:start w:val="17"/>
      <w:numFmt w:val="none"/>
      <w:lvlText w:val="17"/>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70">
    <w:nsid w:val="70884F8F"/>
    <w:multiLevelType w:val="multilevel"/>
    <w:tmpl w:val="70884F8F"/>
    <w:lvl w:ilvl="0" w:tentative="0">
      <w:start w:val="17"/>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71">
    <w:nsid w:val="71CB43EA"/>
    <w:multiLevelType w:val="multilevel"/>
    <w:tmpl w:val="71CB43EA"/>
    <w:lvl w:ilvl="0" w:tentative="0">
      <w:start w:val="14"/>
      <w:numFmt w:val="decimal"/>
      <w:lvlText w:val="%1"/>
      <w:lvlJc w:val="left"/>
      <w:pPr>
        <w:ind w:left="1514" w:hanging="507"/>
      </w:pPr>
      <w:rPr>
        <w:rFonts w:hint="default"/>
        <w:lang w:val="zh-CN" w:eastAsia="zh-CN" w:bidi="zh-CN"/>
      </w:rPr>
    </w:lvl>
    <w:lvl w:ilvl="1" w:tentative="0">
      <w:start w:val="1"/>
      <w:numFmt w:val="none"/>
      <w:lvlText w:val="15.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72">
    <w:nsid w:val="73B95B61"/>
    <w:multiLevelType w:val="multilevel"/>
    <w:tmpl w:val="73B95B61"/>
    <w:lvl w:ilvl="0" w:tentative="0">
      <w:start w:val="18"/>
      <w:numFmt w:val="decimal"/>
      <w:lvlText w:val="%1"/>
      <w:lvlJc w:val="left"/>
      <w:pPr>
        <w:ind w:left="528" w:hanging="507"/>
      </w:pPr>
      <w:rPr>
        <w:rFonts w:hint="default"/>
        <w:lang w:val="zh-CN" w:eastAsia="zh-CN" w:bidi="zh-CN"/>
      </w:rPr>
    </w:lvl>
    <w:lvl w:ilvl="1" w:tentative="0">
      <w:start w:val="1"/>
      <w:numFmt w:val="none"/>
      <w:lvlText w:val="20.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73">
    <w:nsid w:val="74A22B63"/>
    <w:multiLevelType w:val="multilevel"/>
    <w:tmpl w:val="74A22B63"/>
    <w:lvl w:ilvl="0" w:tentative="0">
      <w:start w:val="2"/>
      <w:numFmt w:val="decimal"/>
      <w:lvlText w:val="%1"/>
      <w:lvlJc w:val="left"/>
      <w:pPr>
        <w:ind w:left="1373" w:hanging="375"/>
      </w:pPr>
      <w:rPr>
        <w:rFonts w:hint="default"/>
        <w:lang w:val="zh-CN" w:eastAsia="zh-CN" w:bidi="zh-CN"/>
      </w:rPr>
    </w:lvl>
    <w:lvl w:ilvl="1" w:tentative="0">
      <w:start w:val="1"/>
      <w:numFmt w:val="decimal"/>
      <w:lvlText w:val="%1.%2"/>
      <w:lvlJc w:val="left"/>
      <w:pPr>
        <w:ind w:left="528" w:hanging="375"/>
      </w:pPr>
      <w:rPr>
        <w:rFonts w:hint="default"/>
        <w:color w:val="000000" w:themeColor="text1"/>
        <w:spacing w:val="-1"/>
        <w:w w:val="82"/>
        <w:lang w:val="zh-CN" w:eastAsia="zh-CN" w:bidi="zh-CN"/>
        <w14:textFill>
          <w14:solidFill>
            <w14:schemeClr w14:val="tx1"/>
          </w14:solidFill>
        </w14:textFill>
      </w:rPr>
    </w:lvl>
    <w:lvl w:ilvl="2" w:tentative="0">
      <w:start w:val="0"/>
      <w:numFmt w:val="bullet"/>
      <w:lvlText w:val="•"/>
      <w:lvlJc w:val="left"/>
      <w:pPr>
        <w:ind w:left="2469" w:hanging="375"/>
      </w:pPr>
      <w:rPr>
        <w:rFonts w:hint="default"/>
        <w:lang w:val="zh-CN" w:eastAsia="zh-CN" w:bidi="zh-CN"/>
      </w:rPr>
    </w:lvl>
    <w:lvl w:ilvl="3" w:tentative="0">
      <w:start w:val="0"/>
      <w:numFmt w:val="bullet"/>
      <w:lvlText w:val="•"/>
      <w:lvlJc w:val="left"/>
      <w:pPr>
        <w:ind w:left="3559" w:hanging="375"/>
      </w:pPr>
      <w:rPr>
        <w:rFonts w:hint="default"/>
        <w:lang w:val="zh-CN" w:eastAsia="zh-CN" w:bidi="zh-CN"/>
      </w:rPr>
    </w:lvl>
    <w:lvl w:ilvl="4" w:tentative="0">
      <w:start w:val="0"/>
      <w:numFmt w:val="bullet"/>
      <w:lvlText w:val="•"/>
      <w:lvlJc w:val="left"/>
      <w:pPr>
        <w:ind w:left="4648" w:hanging="375"/>
      </w:pPr>
      <w:rPr>
        <w:rFonts w:hint="default"/>
        <w:lang w:val="zh-CN" w:eastAsia="zh-CN" w:bidi="zh-CN"/>
      </w:rPr>
    </w:lvl>
    <w:lvl w:ilvl="5" w:tentative="0">
      <w:start w:val="0"/>
      <w:numFmt w:val="bullet"/>
      <w:lvlText w:val="•"/>
      <w:lvlJc w:val="left"/>
      <w:pPr>
        <w:ind w:left="5738" w:hanging="375"/>
      </w:pPr>
      <w:rPr>
        <w:rFonts w:hint="default"/>
        <w:lang w:val="zh-CN" w:eastAsia="zh-CN" w:bidi="zh-CN"/>
      </w:rPr>
    </w:lvl>
    <w:lvl w:ilvl="6" w:tentative="0">
      <w:start w:val="0"/>
      <w:numFmt w:val="bullet"/>
      <w:lvlText w:val="•"/>
      <w:lvlJc w:val="left"/>
      <w:pPr>
        <w:ind w:left="6828" w:hanging="375"/>
      </w:pPr>
      <w:rPr>
        <w:rFonts w:hint="default"/>
        <w:lang w:val="zh-CN" w:eastAsia="zh-CN" w:bidi="zh-CN"/>
      </w:rPr>
    </w:lvl>
    <w:lvl w:ilvl="7" w:tentative="0">
      <w:start w:val="0"/>
      <w:numFmt w:val="bullet"/>
      <w:lvlText w:val="•"/>
      <w:lvlJc w:val="left"/>
      <w:pPr>
        <w:ind w:left="7917" w:hanging="375"/>
      </w:pPr>
      <w:rPr>
        <w:rFonts w:hint="default"/>
        <w:lang w:val="zh-CN" w:eastAsia="zh-CN" w:bidi="zh-CN"/>
      </w:rPr>
    </w:lvl>
    <w:lvl w:ilvl="8" w:tentative="0">
      <w:start w:val="0"/>
      <w:numFmt w:val="bullet"/>
      <w:lvlText w:val="•"/>
      <w:lvlJc w:val="left"/>
      <w:pPr>
        <w:ind w:left="9007" w:hanging="375"/>
      </w:pPr>
      <w:rPr>
        <w:rFonts w:hint="default"/>
        <w:lang w:val="zh-CN" w:eastAsia="zh-CN" w:bidi="zh-CN"/>
      </w:rPr>
    </w:lvl>
  </w:abstractNum>
  <w:abstractNum w:abstractNumId="74">
    <w:nsid w:val="7D992027"/>
    <w:multiLevelType w:val="multilevel"/>
    <w:tmpl w:val="7D992027"/>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5">
    <w:nsid w:val="7D99202F"/>
    <w:multiLevelType w:val="singleLevel"/>
    <w:tmpl w:val="7D99202F"/>
    <w:lvl w:ilvl="0" w:tentative="0">
      <w:start w:val="19"/>
      <w:numFmt w:val="chineseCounting"/>
      <w:suff w:val="nothing"/>
      <w:lvlText w:val="%1、"/>
      <w:lvlJc w:val="left"/>
      <w:rPr>
        <w:rFonts w:hint="eastAsia"/>
      </w:rPr>
    </w:lvl>
  </w:abstractNum>
  <w:num w:numId="1">
    <w:abstractNumId w:val="39"/>
  </w:num>
  <w:num w:numId="2">
    <w:abstractNumId w:val="14"/>
  </w:num>
  <w:num w:numId="3">
    <w:abstractNumId w:val="3"/>
  </w:num>
  <w:num w:numId="4">
    <w:abstractNumId w:val="4"/>
  </w:num>
  <w:num w:numId="5">
    <w:abstractNumId w:val="57"/>
  </w:num>
  <w:num w:numId="6">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43"/>
  </w:num>
  <w:num w:numId="9">
    <w:abstractNumId w:val="60"/>
  </w:num>
  <w:num w:numId="10">
    <w:abstractNumId w:val="51"/>
  </w:num>
  <w:num w:numId="11">
    <w:abstractNumId w:val="73"/>
  </w:num>
  <w:num w:numId="12">
    <w:abstractNumId w:val="46"/>
  </w:num>
  <w:num w:numId="13">
    <w:abstractNumId w:val="48"/>
  </w:num>
  <w:num w:numId="14">
    <w:abstractNumId w:val="31"/>
  </w:num>
  <w:num w:numId="15">
    <w:abstractNumId w:val="5"/>
  </w:num>
  <w:num w:numId="16">
    <w:abstractNumId w:val="49"/>
  </w:num>
  <w:num w:numId="17">
    <w:abstractNumId w:val="24"/>
  </w:num>
  <w:num w:numId="18">
    <w:abstractNumId w:val="20"/>
  </w:num>
  <w:num w:numId="19">
    <w:abstractNumId w:val="19"/>
  </w:num>
  <w:num w:numId="20">
    <w:abstractNumId w:val="35"/>
  </w:num>
  <w:num w:numId="21">
    <w:abstractNumId w:val="6"/>
  </w:num>
  <w:num w:numId="22">
    <w:abstractNumId w:val="38"/>
  </w:num>
  <w:num w:numId="23">
    <w:abstractNumId w:val="61"/>
  </w:num>
  <w:num w:numId="24">
    <w:abstractNumId w:val="28"/>
  </w:num>
  <w:num w:numId="25">
    <w:abstractNumId w:val="67"/>
  </w:num>
  <w:num w:numId="26">
    <w:abstractNumId w:val="68"/>
  </w:num>
  <w:num w:numId="27">
    <w:abstractNumId w:val="34"/>
  </w:num>
  <w:num w:numId="28">
    <w:abstractNumId w:val="62"/>
  </w:num>
  <w:num w:numId="29">
    <w:abstractNumId w:val="63"/>
  </w:num>
  <w:num w:numId="30">
    <w:abstractNumId w:val="22"/>
  </w:num>
  <w:num w:numId="31">
    <w:abstractNumId w:val="71"/>
  </w:num>
  <w:num w:numId="32">
    <w:abstractNumId w:val="30"/>
  </w:num>
  <w:num w:numId="33">
    <w:abstractNumId w:val="66"/>
  </w:num>
  <w:num w:numId="34">
    <w:abstractNumId w:val="10"/>
  </w:num>
  <w:num w:numId="35">
    <w:abstractNumId w:val="42"/>
  </w:num>
  <w:num w:numId="36">
    <w:abstractNumId w:val="40"/>
  </w:num>
  <w:num w:numId="37">
    <w:abstractNumId w:val="21"/>
  </w:num>
  <w:num w:numId="38">
    <w:abstractNumId w:val="18"/>
  </w:num>
  <w:num w:numId="39">
    <w:abstractNumId w:val="50"/>
  </w:num>
  <w:num w:numId="40">
    <w:abstractNumId w:val="16"/>
  </w:num>
  <w:num w:numId="41">
    <w:abstractNumId w:val="69"/>
  </w:num>
  <w:num w:numId="42">
    <w:abstractNumId w:val="70"/>
  </w:num>
  <w:num w:numId="43">
    <w:abstractNumId w:val="56"/>
  </w:num>
  <w:num w:numId="44">
    <w:abstractNumId w:val="65"/>
  </w:num>
  <w:num w:numId="45">
    <w:abstractNumId w:val="7"/>
  </w:num>
  <w:num w:numId="46">
    <w:abstractNumId w:val="44"/>
  </w:num>
  <w:num w:numId="47">
    <w:abstractNumId w:val="37"/>
  </w:num>
  <w:num w:numId="48">
    <w:abstractNumId w:val="47"/>
  </w:num>
  <w:num w:numId="49">
    <w:abstractNumId w:val="32"/>
  </w:num>
  <w:num w:numId="50">
    <w:abstractNumId w:val="36"/>
  </w:num>
  <w:num w:numId="51">
    <w:abstractNumId w:val="26"/>
  </w:num>
  <w:num w:numId="52">
    <w:abstractNumId w:val="25"/>
  </w:num>
  <w:num w:numId="53">
    <w:abstractNumId w:val="27"/>
  </w:num>
  <w:num w:numId="54">
    <w:abstractNumId w:val="58"/>
  </w:num>
  <w:num w:numId="55">
    <w:abstractNumId w:val="41"/>
  </w:num>
  <w:num w:numId="56">
    <w:abstractNumId w:val="12"/>
  </w:num>
  <w:num w:numId="57">
    <w:abstractNumId w:val="33"/>
  </w:num>
  <w:num w:numId="58">
    <w:abstractNumId w:val="13"/>
  </w:num>
  <w:num w:numId="59">
    <w:abstractNumId w:val="59"/>
  </w:num>
  <w:num w:numId="60">
    <w:abstractNumId w:val="17"/>
  </w:num>
  <w:num w:numId="61">
    <w:abstractNumId w:val="15"/>
  </w:num>
  <w:num w:numId="62">
    <w:abstractNumId w:val="72"/>
  </w:num>
  <w:num w:numId="63">
    <w:abstractNumId w:val="54"/>
  </w:num>
  <w:num w:numId="64">
    <w:abstractNumId w:val="8"/>
  </w:num>
  <w:num w:numId="65">
    <w:abstractNumId w:val="9"/>
  </w:num>
  <w:num w:numId="66">
    <w:abstractNumId w:val="75"/>
  </w:num>
  <w:num w:numId="67">
    <w:abstractNumId w:val="0"/>
  </w:num>
  <w:num w:numId="68">
    <w:abstractNumId w:val="11"/>
  </w:num>
  <w:num w:numId="69">
    <w:abstractNumId w:val="2"/>
  </w:num>
  <w:num w:numId="70">
    <w:abstractNumId w:val="1"/>
  </w:num>
  <w:num w:numId="71">
    <w:abstractNumId w:val="64"/>
  </w:num>
  <w:num w:numId="72">
    <w:abstractNumId w:val="55"/>
  </w:num>
  <w:num w:numId="73">
    <w:abstractNumId w:val="29"/>
  </w:num>
  <w:num w:numId="74">
    <w:abstractNumId w:val="52"/>
  </w:num>
  <w:num w:numId="75">
    <w:abstractNumId w:val="53"/>
  </w:num>
  <w:num w:numId="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zgyYzgzYzA0MWM3NTZlNDAyZWZhMzA1OWNkZDUifQ=="/>
  </w:docVars>
  <w:rsids>
    <w:rsidRoot w:val="00C70BD0"/>
    <w:rsid w:val="00000E46"/>
    <w:rsid w:val="000051C5"/>
    <w:rsid w:val="0000538B"/>
    <w:rsid w:val="00007BB7"/>
    <w:rsid w:val="000121B8"/>
    <w:rsid w:val="00012AFB"/>
    <w:rsid w:val="0001432D"/>
    <w:rsid w:val="00021C84"/>
    <w:rsid w:val="0002276A"/>
    <w:rsid w:val="00022D2B"/>
    <w:rsid w:val="00030167"/>
    <w:rsid w:val="00032BE2"/>
    <w:rsid w:val="00033D65"/>
    <w:rsid w:val="000358DF"/>
    <w:rsid w:val="000364F1"/>
    <w:rsid w:val="00036577"/>
    <w:rsid w:val="00037E1E"/>
    <w:rsid w:val="00040D75"/>
    <w:rsid w:val="0004249E"/>
    <w:rsid w:val="000440B5"/>
    <w:rsid w:val="000474B3"/>
    <w:rsid w:val="00047BE8"/>
    <w:rsid w:val="00050EB0"/>
    <w:rsid w:val="00052193"/>
    <w:rsid w:val="00053D47"/>
    <w:rsid w:val="00055AED"/>
    <w:rsid w:val="00055FBB"/>
    <w:rsid w:val="000560F3"/>
    <w:rsid w:val="0006466C"/>
    <w:rsid w:val="000659D3"/>
    <w:rsid w:val="00070B21"/>
    <w:rsid w:val="00070C52"/>
    <w:rsid w:val="000729CE"/>
    <w:rsid w:val="00073575"/>
    <w:rsid w:val="00077719"/>
    <w:rsid w:val="0008036B"/>
    <w:rsid w:val="00083B1E"/>
    <w:rsid w:val="000939AD"/>
    <w:rsid w:val="00097918"/>
    <w:rsid w:val="000A0F55"/>
    <w:rsid w:val="000A12CB"/>
    <w:rsid w:val="000A24C1"/>
    <w:rsid w:val="000A50AD"/>
    <w:rsid w:val="000A5206"/>
    <w:rsid w:val="000A5B87"/>
    <w:rsid w:val="000A764D"/>
    <w:rsid w:val="000B44AC"/>
    <w:rsid w:val="000B526F"/>
    <w:rsid w:val="000B7543"/>
    <w:rsid w:val="000C0B46"/>
    <w:rsid w:val="000C2396"/>
    <w:rsid w:val="000C468F"/>
    <w:rsid w:val="000C66F3"/>
    <w:rsid w:val="000D08EA"/>
    <w:rsid w:val="000D0C27"/>
    <w:rsid w:val="000E3E6C"/>
    <w:rsid w:val="000E5A19"/>
    <w:rsid w:val="000E707B"/>
    <w:rsid w:val="000E7C4C"/>
    <w:rsid w:val="000F1B13"/>
    <w:rsid w:val="000F2137"/>
    <w:rsid w:val="000F25FB"/>
    <w:rsid w:val="000F340D"/>
    <w:rsid w:val="000F4531"/>
    <w:rsid w:val="000F62B0"/>
    <w:rsid w:val="000F7A22"/>
    <w:rsid w:val="00100BCB"/>
    <w:rsid w:val="001046AF"/>
    <w:rsid w:val="001067C0"/>
    <w:rsid w:val="00110791"/>
    <w:rsid w:val="00111ADB"/>
    <w:rsid w:val="0011672F"/>
    <w:rsid w:val="00120170"/>
    <w:rsid w:val="0013058F"/>
    <w:rsid w:val="00130DD2"/>
    <w:rsid w:val="00131826"/>
    <w:rsid w:val="0013634F"/>
    <w:rsid w:val="0014019F"/>
    <w:rsid w:val="00141315"/>
    <w:rsid w:val="00144B1B"/>
    <w:rsid w:val="001465A2"/>
    <w:rsid w:val="00146E90"/>
    <w:rsid w:val="0015259E"/>
    <w:rsid w:val="00154197"/>
    <w:rsid w:val="001553F8"/>
    <w:rsid w:val="0016196E"/>
    <w:rsid w:val="00163B01"/>
    <w:rsid w:val="0016444D"/>
    <w:rsid w:val="001672B4"/>
    <w:rsid w:val="00170F87"/>
    <w:rsid w:val="0017386E"/>
    <w:rsid w:val="00175BA0"/>
    <w:rsid w:val="00176F7C"/>
    <w:rsid w:val="00177D5F"/>
    <w:rsid w:val="00184824"/>
    <w:rsid w:val="00194126"/>
    <w:rsid w:val="00194193"/>
    <w:rsid w:val="001950BF"/>
    <w:rsid w:val="001A0A6F"/>
    <w:rsid w:val="001A65A2"/>
    <w:rsid w:val="001A68A7"/>
    <w:rsid w:val="001A7F66"/>
    <w:rsid w:val="001B0280"/>
    <w:rsid w:val="001B0A9D"/>
    <w:rsid w:val="001B27D6"/>
    <w:rsid w:val="001B2F74"/>
    <w:rsid w:val="001B3B28"/>
    <w:rsid w:val="001B604E"/>
    <w:rsid w:val="001B7810"/>
    <w:rsid w:val="001C2A11"/>
    <w:rsid w:val="001C6083"/>
    <w:rsid w:val="001C63C1"/>
    <w:rsid w:val="001C6A4B"/>
    <w:rsid w:val="001D763C"/>
    <w:rsid w:val="001E028F"/>
    <w:rsid w:val="001E2FC7"/>
    <w:rsid w:val="001E646A"/>
    <w:rsid w:val="001E7640"/>
    <w:rsid w:val="001F10EB"/>
    <w:rsid w:val="001F1662"/>
    <w:rsid w:val="001F2DCC"/>
    <w:rsid w:val="001F6E2C"/>
    <w:rsid w:val="001F7396"/>
    <w:rsid w:val="001F7C6D"/>
    <w:rsid w:val="0020104E"/>
    <w:rsid w:val="00201E30"/>
    <w:rsid w:val="002036BA"/>
    <w:rsid w:val="00204852"/>
    <w:rsid w:val="002108E5"/>
    <w:rsid w:val="00213710"/>
    <w:rsid w:val="002158CA"/>
    <w:rsid w:val="002160FD"/>
    <w:rsid w:val="00220D92"/>
    <w:rsid w:val="0022320A"/>
    <w:rsid w:val="00224855"/>
    <w:rsid w:val="002254FB"/>
    <w:rsid w:val="00235B61"/>
    <w:rsid w:val="002378BE"/>
    <w:rsid w:val="00244B17"/>
    <w:rsid w:val="002450A4"/>
    <w:rsid w:val="00252AD9"/>
    <w:rsid w:val="00255857"/>
    <w:rsid w:val="00256BA4"/>
    <w:rsid w:val="00261648"/>
    <w:rsid w:val="00262B5E"/>
    <w:rsid w:val="00262D15"/>
    <w:rsid w:val="00264355"/>
    <w:rsid w:val="00266750"/>
    <w:rsid w:val="00270C84"/>
    <w:rsid w:val="0027340B"/>
    <w:rsid w:val="0028062B"/>
    <w:rsid w:val="00282C17"/>
    <w:rsid w:val="00283A6C"/>
    <w:rsid w:val="0028636D"/>
    <w:rsid w:val="002868D0"/>
    <w:rsid w:val="00286BEF"/>
    <w:rsid w:val="00286D49"/>
    <w:rsid w:val="00286E85"/>
    <w:rsid w:val="00290BCE"/>
    <w:rsid w:val="002918E9"/>
    <w:rsid w:val="0029302F"/>
    <w:rsid w:val="0029531E"/>
    <w:rsid w:val="002A34C5"/>
    <w:rsid w:val="002A3C1B"/>
    <w:rsid w:val="002A551D"/>
    <w:rsid w:val="002A68CF"/>
    <w:rsid w:val="002A6F09"/>
    <w:rsid w:val="002B2343"/>
    <w:rsid w:val="002B23DB"/>
    <w:rsid w:val="002B3953"/>
    <w:rsid w:val="002B4DCE"/>
    <w:rsid w:val="002B4F87"/>
    <w:rsid w:val="002B5E14"/>
    <w:rsid w:val="002B671D"/>
    <w:rsid w:val="002B7BE5"/>
    <w:rsid w:val="002C264B"/>
    <w:rsid w:val="002C2B89"/>
    <w:rsid w:val="002C577A"/>
    <w:rsid w:val="002D0658"/>
    <w:rsid w:val="002D16A1"/>
    <w:rsid w:val="002D2E75"/>
    <w:rsid w:val="002D4D3E"/>
    <w:rsid w:val="002D573A"/>
    <w:rsid w:val="002D5E78"/>
    <w:rsid w:val="002D6F13"/>
    <w:rsid w:val="002E1341"/>
    <w:rsid w:val="002E34CC"/>
    <w:rsid w:val="002F347B"/>
    <w:rsid w:val="002F490F"/>
    <w:rsid w:val="00302FE8"/>
    <w:rsid w:val="00304A43"/>
    <w:rsid w:val="0030571D"/>
    <w:rsid w:val="003114DD"/>
    <w:rsid w:val="003117E5"/>
    <w:rsid w:val="00311CDF"/>
    <w:rsid w:val="00321184"/>
    <w:rsid w:val="00324EDF"/>
    <w:rsid w:val="00324EE3"/>
    <w:rsid w:val="00326793"/>
    <w:rsid w:val="003272CA"/>
    <w:rsid w:val="00327D9D"/>
    <w:rsid w:val="00331A10"/>
    <w:rsid w:val="00332AE0"/>
    <w:rsid w:val="003373F3"/>
    <w:rsid w:val="00340DF1"/>
    <w:rsid w:val="0034261D"/>
    <w:rsid w:val="00347993"/>
    <w:rsid w:val="00350794"/>
    <w:rsid w:val="0035099A"/>
    <w:rsid w:val="00351F5A"/>
    <w:rsid w:val="00352923"/>
    <w:rsid w:val="00353E32"/>
    <w:rsid w:val="00354E70"/>
    <w:rsid w:val="0035619F"/>
    <w:rsid w:val="00356E87"/>
    <w:rsid w:val="00357276"/>
    <w:rsid w:val="00357561"/>
    <w:rsid w:val="00362946"/>
    <w:rsid w:val="00363E41"/>
    <w:rsid w:val="003652E5"/>
    <w:rsid w:val="003705EC"/>
    <w:rsid w:val="00370858"/>
    <w:rsid w:val="003742AE"/>
    <w:rsid w:val="003742F6"/>
    <w:rsid w:val="00375212"/>
    <w:rsid w:val="00381244"/>
    <w:rsid w:val="00385248"/>
    <w:rsid w:val="00385DFD"/>
    <w:rsid w:val="00391245"/>
    <w:rsid w:val="0039746B"/>
    <w:rsid w:val="003A2000"/>
    <w:rsid w:val="003A2185"/>
    <w:rsid w:val="003A3888"/>
    <w:rsid w:val="003A4F1C"/>
    <w:rsid w:val="003A524D"/>
    <w:rsid w:val="003A577D"/>
    <w:rsid w:val="003A72C7"/>
    <w:rsid w:val="003A77CC"/>
    <w:rsid w:val="003A7A23"/>
    <w:rsid w:val="003B3DC6"/>
    <w:rsid w:val="003B6DF7"/>
    <w:rsid w:val="003C1BE8"/>
    <w:rsid w:val="003C21A6"/>
    <w:rsid w:val="003C4C64"/>
    <w:rsid w:val="003C6CA7"/>
    <w:rsid w:val="003D3CB2"/>
    <w:rsid w:val="003D46B3"/>
    <w:rsid w:val="003D5497"/>
    <w:rsid w:val="003D6D25"/>
    <w:rsid w:val="003E04CC"/>
    <w:rsid w:val="003E1ED8"/>
    <w:rsid w:val="003E3E1A"/>
    <w:rsid w:val="003E56B8"/>
    <w:rsid w:val="003E57A8"/>
    <w:rsid w:val="003E77CF"/>
    <w:rsid w:val="003F108C"/>
    <w:rsid w:val="003F45A3"/>
    <w:rsid w:val="003F53EF"/>
    <w:rsid w:val="003F57E5"/>
    <w:rsid w:val="003F587E"/>
    <w:rsid w:val="003F64A7"/>
    <w:rsid w:val="003F70A7"/>
    <w:rsid w:val="00400450"/>
    <w:rsid w:val="00400E5B"/>
    <w:rsid w:val="004046C6"/>
    <w:rsid w:val="00404B5A"/>
    <w:rsid w:val="00406F43"/>
    <w:rsid w:val="00410166"/>
    <w:rsid w:val="00412E15"/>
    <w:rsid w:val="004173C8"/>
    <w:rsid w:val="00417A12"/>
    <w:rsid w:val="004210DB"/>
    <w:rsid w:val="0042191B"/>
    <w:rsid w:val="004236D8"/>
    <w:rsid w:val="00424416"/>
    <w:rsid w:val="00424DFB"/>
    <w:rsid w:val="004270BC"/>
    <w:rsid w:val="0043135C"/>
    <w:rsid w:val="004333ED"/>
    <w:rsid w:val="004355AC"/>
    <w:rsid w:val="0043773C"/>
    <w:rsid w:val="004410DB"/>
    <w:rsid w:val="00442A46"/>
    <w:rsid w:val="00444FB3"/>
    <w:rsid w:val="00445F00"/>
    <w:rsid w:val="004477F7"/>
    <w:rsid w:val="004506E2"/>
    <w:rsid w:val="00450BE9"/>
    <w:rsid w:val="00452084"/>
    <w:rsid w:val="0045394F"/>
    <w:rsid w:val="00455C29"/>
    <w:rsid w:val="004564B4"/>
    <w:rsid w:val="00464770"/>
    <w:rsid w:val="00464C5E"/>
    <w:rsid w:val="004664EB"/>
    <w:rsid w:val="0047029D"/>
    <w:rsid w:val="00471122"/>
    <w:rsid w:val="004718E7"/>
    <w:rsid w:val="00473EE2"/>
    <w:rsid w:val="0047411B"/>
    <w:rsid w:val="00475294"/>
    <w:rsid w:val="00481620"/>
    <w:rsid w:val="004833EC"/>
    <w:rsid w:val="00483C9F"/>
    <w:rsid w:val="00485A3C"/>
    <w:rsid w:val="00486DC2"/>
    <w:rsid w:val="004877B2"/>
    <w:rsid w:val="004914AB"/>
    <w:rsid w:val="00492CBD"/>
    <w:rsid w:val="00492DD2"/>
    <w:rsid w:val="00494BC1"/>
    <w:rsid w:val="004952DE"/>
    <w:rsid w:val="004A10EB"/>
    <w:rsid w:val="004A4F45"/>
    <w:rsid w:val="004A5F93"/>
    <w:rsid w:val="004C08E3"/>
    <w:rsid w:val="004C1F88"/>
    <w:rsid w:val="004C396E"/>
    <w:rsid w:val="004C683D"/>
    <w:rsid w:val="004C694B"/>
    <w:rsid w:val="004C71D5"/>
    <w:rsid w:val="004D3927"/>
    <w:rsid w:val="004D44C7"/>
    <w:rsid w:val="004D7EF0"/>
    <w:rsid w:val="004E045D"/>
    <w:rsid w:val="004E3FFD"/>
    <w:rsid w:val="004F11B5"/>
    <w:rsid w:val="004F1F20"/>
    <w:rsid w:val="004F4BD9"/>
    <w:rsid w:val="004F64B3"/>
    <w:rsid w:val="00500C1F"/>
    <w:rsid w:val="00501D4D"/>
    <w:rsid w:val="00503C69"/>
    <w:rsid w:val="00505833"/>
    <w:rsid w:val="00511544"/>
    <w:rsid w:val="00513DED"/>
    <w:rsid w:val="00521741"/>
    <w:rsid w:val="00521C61"/>
    <w:rsid w:val="00522C41"/>
    <w:rsid w:val="00525EAE"/>
    <w:rsid w:val="0053294D"/>
    <w:rsid w:val="00535E8E"/>
    <w:rsid w:val="00537318"/>
    <w:rsid w:val="00540DA0"/>
    <w:rsid w:val="00551D6C"/>
    <w:rsid w:val="005525FF"/>
    <w:rsid w:val="00556CB4"/>
    <w:rsid w:val="005572FA"/>
    <w:rsid w:val="0056601E"/>
    <w:rsid w:val="005715B5"/>
    <w:rsid w:val="0057451D"/>
    <w:rsid w:val="0057791A"/>
    <w:rsid w:val="00584C7E"/>
    <w:rsid w:val="00585865"/>
    <w:rsid w:val="00586CFB"/>
    <w:rsid w:val="00587426"/>
    <w:rsid w:val="00587781"/>
    <w:rsid w:val="005902B7"/>
    <w:rsid w:val="00592086"/>
    <w:rsid w:val="0059548A"/>
    <w:rsid w:val="00595DAE"/>
    <w:rsid w:val="00597442"/>
    <w:rsid w:val="0059780B"/>
    <w:rsid w:val="005A357B"/>
    <w:rsid w:val="005A52F5"/>
    <w:rsid w:val="005A6868"/>
    <w:rsid w:val="005B26FE"/>
    <w:rsid w:val="005B6F13"/>
    <w:rsid w:val="005C1A78"/>
    <w:rsid w:val="005C2CFF"/>
    <w:rsid w:val="005C46B3"/>
    <w:rsid w:val="005C5B2E"/>
    <w:rsid w:val="005C64E4"/>
    <w:rsid w:val="005D0BE3"/>
    <w:rsid w:val="005D1E59"/>
    <w:rsid w:val="005D6DA3"/>
    <w:rsid w:val="005D7DB5"/>
    <w:rsid w:val="005E1D20"/>
    <w:rsid w:val="005E2D4C"/>
    <w:rsid w:val="005E378D"/>
    <w:rsid w:val="005E3C61"/>
    <w:rsid w:val="005E472E"/>
    <w:rsid w:val="005E6CC2"/>
    <w:rsid w:val="005E7C1F"/>
    <w:rsid w:val="005F00B1"/>
    <w:rsid w:val="005F0921"/>
    <w:rsid w:val="005F3DE3"/>
    <w:rsid w:val="005F41C2"/>
    <w:rsid w:val="0060062D"/>
    <w:rsid w:val="00602C27"/>
    <w:rsid w:val="00603286"/>
    <w:rsid w:val="006044EE"/>
    <w:rsid w:val="00605A90"/>
    <w:rsid w:val="00607003"/>
    <w:rsid w:val="0061202F"/>
    <w:rsid w:val="006129CB"/>
    <w:rsid w:val="0061535F"/>
    <w:rsid w:val="0061655D"/>
    <w:rsid w:val="00616869"/>
    <w:rsid w:val="006229AF"/>
    <w:rsid w:val="00622C0B"/>
    <w:rsid w:val="00623277"/>
    <w:rsid w:val="00625176"/>
    <w:rsid w:val="00626806"/>
    <w:rsid w:val="00626C99"/>
    <w:rsid w:val="0063086E"/>
    <w:rsid w:val="00631FE6"/>
    <w:rsid w:val="00637BAF"/>
    <w:rsid w:val="006401F9"/>
    <w:rsid w:val="00642AA5"/>
    <w:rsid w:val="00643FF2"/>
    <w:rsid w:val="00646897"/>
    <w:rsid w:val="00650B85"/>
    <w:rsid w:val="00651DD8"/>
    <w:rsid w:val="00654D28"/>
    <w:rsid w:val="006635EE"/>
    <w:rsid w:val="006656C7"/>
    <w:rsid w:val="0066644A"/>
    <w:rsid w:val="00672027"/>
    <w:rsid w:val="006726E9"/>
    <w:rsid w:val="00676087"/>
    <w:rsid w:val="00680D2F"/>
    <w:rsid w:val="00682BED"/>
    <w:rsid w:val="0068650D"/>
    <w:rsid w:val="00686C22"/>
    <w:rsid w:val="00690E36"/>
    <w:rsid w:val="00694645"/>
    <w:rsid w:val="006957D1"/>
    <w:rsid w:val="006971AB"/>
    <w:rsid w:val="006A1611"/>
    <w:rsid w:val="006A2911"/>
    <w:rsid w:val="006A629A"/>
    <w:rsid w:val="006B015F"/>
    <w:rsid w:val="006B0BE1"/>
    <w:rsid w:val="006B1144"/>
    <w:rsid w:val="006B5A16"/>
    <w:rsid w:val="006B797B"/>
    <w:rsid w:val="006C3A88"/>
    <w:rsid w:val="006D128E"/>
    <w:rsid w:val="006D1B61"/>
    <w:rsid w:val="006D31D3"/>
    <w:rsid w:val="006D4486"/>
    <w:rsid w:val="006D59EC"/>
    <w:rsid w:val="006E028B"/>
    <w:rsid w:val="006E2D5F"/>
    <w:rsid w:val="006E3187"/>
    <w:rsid w:val="006F5DAF"/>
    <w:rsid w:val="006F776B"/>
    <w:rsid w:val="00704159"/>
    <w:rsid w:val="00704998"/>
    <w:rsid w:val="007102B1"/>
    <w:rsid w:val="00710F80"/>
    <w:rsid w:val="007112A8"/>
    <w:rsid w:val="007163C1"/>
    <w:rsid w:val="0071692D"/>
    <w:rsid w:val="00724D78"/>
    <w:rsid w:val="0073209A"/>
    <w:rsid w:val="00741BE7"/>
    <w:rsid w:val="00743825"/>
    <w:rsid w:val="00743DE1"/>
    <w:rsid w:val="00745E77"/>
    <w:rsid w:val="0075289B"/>
    <w:rsid w:val="007529BC"/>
    <w:rsid w:val="00753D62"/>
    <w:rsid w:val="0075694F"/>
    <w:rsid w:val="00757C67"/>
    <w:rsid w:val="00760321"/>
    <w:rsid w:val="007605E7"/>
    <w:rsid w:val="007652D9"/>
    <w:rsid w:val="0076675E"/>
    <w:rsid w:val="0076689B"/>
    <w:rsid w:val="007671EE"/>
    <w:rsid w:val="00774642"/>
    <w:rsid w:val="007747CC"/>
    <w:rsid w:val="0077687F"/>
    <w:rsid w:val="00780BAC"/>
    <w:rsid w:val="007821E1"/>
    <w:rsid w:val="0078232C"/>
    <w:rsid w:val="00785120"/>
    <w:rsid w:val="00790EFB"/>
    <w:rsid w:val="00792442"/>
    <w:rsid w:val="007A222F"/>
    <w:rsid w:val="007A380A"/>
    <w:rsid w:val="007A608E"/>
    <w:rsid w:val="007A656C"/>
    <w:rsid w:val="007B1E6A"/>
    <w:rsid w:val="007B2F5D"/>
    <w:rsid w:val="007B4BC9"/>
    <w:rsid w:val="007B51BD"/>
    <w:rsid w:val="007C15D5"/>
    <w:rsid w:val="007C1CB8"/>
    <w:rsid w:val="007C6558"/>
    <w:rsid w:val="007D288E"/>
    <w:rsid w:val="007D2DDD"/>
    <w:rsid w:val="007D31DC"/>
    <w:rsid w:val="007D46A5"/>
    <w:rsid w:val="007D5969"/>
    <w:rsid w:val="007D6C0F"/>
    <w:rsid w:val="007E1F5A"/>
    <w:rsid w:val="007E3554"/>
    <w:rsid w:val="007E46E9"/>
    <w:rsid w:val="007E4803"/>
    <w:rsid w:val="007E5B4C"/>
    <w:rsid w:val="007E5E0C"/>
    <w:rsid w:val="007E6B2E"/>
    <w:rsid w:val="007E77C9"/>
    <w:rsid w:val="007F5FC6"/>
    <w:rsid w:val="00802DC7"/>
    <w:rsid w:val="00802DF9"/>
    <w:rsid w:val="008046E3"/>
    <w:rsid w:val="008063FE"/>
    <w:rsid w:val="00806A5C"/>
    <w:rsid w:val="00810C09"/>
    <w:rsid w:val="00811FAC"/>
    <w:rsid w:val="00813A47"/>
    <w:rsid w:val="00813C0F"/>
    <w:rsid w:val="00813C65"/>
    <w:rsid w:val="00813D59"/>
    <w:rsid w:val="00814796"/>
    <w:rsid w:val="00817957"/>
    <w:rsid w:val="0082687D"/>
    <w:rsid w:val="00826C04"/>
    <w:rsid w:val="00827100"/>
    <w:rsid w:val="0082777D"/>
    <w:rsid w:val="00827B18"/>
    <w:rsid w:val="00831611"/>
    <w:rsid w:val="00832084"/>
    <w:rsid w:val="008331BF"/>
    <w:rsid w:val="00834885"/>
    <w:rsid w:val="00835100"/>
    <w:rsid w:val="00835B92"/>
    <w:rsid w:val="00836520"/>
    <w:rsid w:val="00836CEE"/>
    <w:rsid w:val="00837375"/>
    <w:rsid w:val="00840177"/>
    <w:rsid w:val="00840686"/>
    <w:rsid w:val="00842589"/>
    <w:rsid w:val="008434F5"/>
    <w:rsid w:val="00843E55"/>
    <w:rsid w:val="00850F69"/>
    <w:rsid w:val="00855544"/>
    <w:rsid w:val="0085624C"/>
    <w:rsid w:val="008722C4"/>
    <w:rsid w:val="008723BB"/>
    <w:rsid w:val="00872C01"/>
    <w:rsid w:val="00875C0E"/>
    <w:rsid w:val="008773C6"/>
    <w:rsid w:val="008829A9"/>
    <w:rsid w:val="00882DFC"/>
    <w:rsid w:val="00883419"/>
    <w:rsid w:val="00883A4A"/>
    <w:rsid w:val="0088743C"/>
    <w:rsid w:val="008A0051"/>
    <w:rsid w:val="008A0388"/>
    <w:rsid w:val="008A6CB3"/>
    <w:rsid w:val="008B4F9E"/>
    <w:rsid w:val="008B5132"/>
    <w:rsid w:val="008B733A"/>
    <w:rsid w:val="008B7CE7"/>
    <w:rsid w:val="008C0F6D"/>
    <w:rsid w:val="008C1200"/>
    <w:rsid w:val="008C16F3"/>
    <w:rsid w:val="008C1D4F"/>
    <w:rsid w:val="008C2C5B"/>
    <w:rsid w:val="008C5269"/>
    <w:rsid w:val="008C7DA9"/>
    <w:rsid w:val="008D08B6"/>
    <w:rsid w:val="008D2ACD"/>
    <w:rsid w:val="008D4AD1"/>
    <w:rsid w:val="008D4EF2"/>
    <w:rsid w:val="008D6911"/>
    <w:rsid w:val="008E1154"/>
    <w:rsid w:val="008E12AC"/>
    <w:rsid w:val="008F0DE8"/>
    <w:rsid w:val="008F1147"/>
    <w:rsid w:val="008F351C"/>
    <w:rsid w:val="00914AFB"/>
    <w:rsid w:val="00915B55"/>
    <w:rsid w:val="009175BD"/>
    <w:rsid w:val="00920C96"/>
    <w:rsid w:val="00926FDF"/>
    <w:rsid w:val="00930364"/>
    <w:rsid w:val="00930603"/>
    <w:rsid w:val="00931B19"/>
    <w:rsid w:val="0093252B"/>
    <w:rsid w:val="009357C9"/>
    <w:rsid w:val="00935A6D"/>
    <w:rsid w:val="00940287"/>
    <w:rsid w:val="009433A7"/>
    <w:rsid w:val="009434DD"/>
    <w:rsid w:val="00947144"/>
    <w:rsid w:val="00964D8F"/>
    <w:rsid w:val="009655D6"/>
    <w:rsid w:val="00971D29"/>
    <w:rsid w:val="009724CD"/>
    <w:rsid w:val="00973D71"/>
    <w:rsid w:val="009749DC"/>
    <w:rsid w:val="00974C37"/>
    <w:rsid w:val="0097551A"/>
    <w:rsid w:val="00976B04"/>
    <w:rsid w:val="009801AC"/>
    <w:rsid w:val="00990717"/>
    <w:rsid w:val="0099141F"/>
    <w:rsid w:val="009921C7"/>
    <w:rsid w:val="009937FD"/>
    <w:rsid w:val="00994964"/>
    <w:rsid w:val="009952D9"/>
    <w:rsid w:val="00996F84"/>
    <w:rsid w:val="0099771A"/>
    <w:rsid w:val="00997F7A"/>
    <w:rsid w:val="009A02FC"/>
    <w:rsid w:val="009A0412"/>
    <w:rsid w:val="009A1240"/>
    <w:rsid w:val="009A65AD"/>
    <w:rsid w:val="009B001F"/>
    <w:rsid w:val="009B1761"/>
    <w:rsid w:val="009B4372"/>
    <w:rsid w:val="009C2BA0"/>
    <w:rsid w:val="009C2F9C"/>
    <w:rsid w:val="009D0009"/>
    <w:rsid w:val="009D340D"/>
    <w:rsid w:val="009D469C"/>
    <w:rsid w:val="009D601B"/>
    <w:rsid w:val="009D6BB9"/>
    <w:rsid w:val="009D75FE"/>
    <w:rsid w:val="009E03AE"/>
    <w:rsid w:val="009E1669"/>
    <w:rsid w:val="009E3222"/>
    <w:rsid w:val="009E5E0A"/>
    <w:rsid w:val="009E5EF6"/>
    <w:rsid w:val="009F16F1"/>
    <w:rsid w:val="00A00E08"/>
    <w:rsid w:val="00A02895"/>
    <w:rsid w:val="00A10C79"/>
    <w:rsid w:val="00A116F3"/>
    <w:rsid w:val="00A155AA"/>
    <w:rsid w:val="00A16803"/>
    <w:rsid w:val="00A203BB"/>
    <w:rsid w:val="00A20767"/>
    <w:rsid w:val="00A21545"/>
    <w:rsid w:val="00A26367"/>
    <w:rsid w:val="00A32B72"/>
    <w:rsid w:val="00A33F7C"/>
    <w:rsid w:val="00A40AF3"/>
    <w:rsid w:val="00A43E2E"/>
    <w:rsid w:val="00A50AA3"/>
    <w:rsid w:val="00A50CE8"/>
    <w:rsid w:val="00A52E33"/>
    <w:rsid w:val="00A53202"/>
    <w:rsid w:val="00A54F1C"/>
    <w:rsid w:val="00A55628"/>
    <w:rsid w:val="00A57732"/>
    <w:rsid w:val="00A62131"/>
    <w:rsid w:val="00A638CE"/>
    <w:rsid w:val="00A658D2"/>
    <w:rsid w:val="00A67DAB"/>
    <w:rsid w:val="00A70399"/>
    <w:rsid w:val="00A71125"/>
    <w:rsid w:val="00A80780"/>
    <w:rsid w:val="00A8376B"/>
    <w:rsid w:val="00A83D0C"/>
    <w:rsid w:val="00A85919"/>
    <w:rsid w:val="00A95274"/>
    <w:rsid w:val="00AA06BE"/>
    <w:rsid w:val="00AA1089"/>
    <w:rsid w:val="00AA11D9"/>
    <w:rsid w:val="00AA1E83"/>
    <w:rsid w:val="00AA2018"/>
    <w:rsid w:val="00AA24A7"/>
    <w:rsid w:val="00AA374D"/>
    <w:rsid w:val="00AB3974"/>
    <w:rsid w:val="00AB45D6"/>
    <w:rsid w:val="00AB5505"/>
    <w:rsid w:val="00AC0BF4"/>
    <w:rsid w:val="00AC0F38"/>
    <w:rsid w:val="00AC245D"/>
    <w:rsid w:val="00AD0961"/>
    <w:rsid w:val="00AD4109"/>
    <w:rsid w:val="00AD5B1C"/>
    <w:rsid w:val="00AE372E"/>
    <w:rsid w:val="00AE567A"/>
    <w:rsid w:val="00AE6286"/>
    <w:rsid w:val="00AE7D88"/>
    <w:rsid w:val="00AF07FF"/>
    <w:rsid w:val="00AF54F3"/>
    <w:rsid w:val="00AF58DC"/>
    <w:rsid w:val="00AF5CB1"/>
    <w:rsid w:val="00B00CD8"/>
    <w:rsid w:val="00B0260A"/>
    <w:rsid w:val="00B05610"/>
    <w:rsid w:val="00B07D15"/>
    <w:rsid w:val="00B211F7"/>
    <w:rsid w:val="00B215AB"/>
    <w:rsid w:val="00B30E59"/>
    <w:rsid w:val="00B4063D"/>
    <w:rsid w:val="00B41725"/>
    <w:rsid w:val="00B41ECA"/>
    <w:rsid w:val="00B43A7F"/>
    <w:rsid w:val="00B46E97"/>
    <w:rsid w:val="00B477FC"/>
    <w:rsid w:val="00B521E1"/>
    <w:rsid w:val="00B57809"/>
    <w:rsid w:val="00B578CD"/>
    <w:rsid w:val="00B57909"/>
    <w:rsid w:val="00B57FF8"/>
    <w:rsid w:val="00B63F64"/>
    <w:rsid w:val="00B67DBA"/>
    <w:rsid w:val="00B728F4"/>
    <w:rsid w:val="00B74548"/>
    <w:rsid w:val="00B76C72"/>
    <w:rsid w:val="00B77B07"/>
    <w:rsid w:val="00B8507B"/>
    <w:rsid w:val="00B851CA"/>
    <w:rsid w:val="00B873D6"/>
    <w:rsid w:val="00B9205E"/>
    <w:rsid w:val="00B95096"/>
    <w:rsid w:val="00B962AF"/>
    <w:rsid w:val="00BA1E6D"/>
    <w:rsid w:val="00BA7017"/>
    <w:rsid w:val="00BB0AA2"/>
    <w:rsid w:val="00BB1041"/>
    <w:rsid w:val="00BC47AC"/>
    <w:rsid w:val="00BC4810"/>
    <w:rsid w:val="00BD1653"/>
    <w:rsid w:val="00BD4815"/>
    <w:rsid w:val="00BD569F"/>
    <w:rsid w:val="00BE30A3"/>
    <w:rsid w:val="00BF1201"/>
    <w:rsid w:val="00BF1725"/>
    <w:rsid w:val="00BF26F1"/>
    <w:rsid w:val="00BF2901"/>
    <w:rsid w:val="00BF372C"/>
    <w:rsid w:val="00BF3F45"/>
    <w:rsid w:val="00BF5CF3"/>
    <w:rsid w:val="00C00482"/>
    <w:rsid w:val="00C01AD4"/>
    <w:rsid w:val="00C01D18"/>
    <w:rsid w:val="00C0328D"/>
    <w:rsid w:val="00C04084"/>
    <w:rsid w:val="00C079F1"/>
    <w:rsid w:val="00C07E1F"/>
    <w:rsid w:val="00C13B57"/>
    <w:rsid w:val="00C17B02"/>
    <w:rsid w:val="00C22CA9"/>
    <w:rsid w:val="00C27AA7"/>
    <w:rsid w:val="00C32670"/>
    <w:rsid w:val="00C34996"/>
    <w:rsid w:val="00C372D0"/>
    <w:rsid w:val="00C3798B"/>
    <w:rsid w:val="00C427DE"/>
    <w:rsid w:val="00C434E0"/>
    <w:rsid w:val="00C43C34"/>
    <w:rsid w:val="00C46CEB"/>
    <w:rsid w:val="00C5001F"/>
    <w:rsid w:val="00C536B9"/>
    <w:rsid w:val="00C55D5D"/>
    <w:rsid w:val="00C622D1"/>
    <w:rsid w:val="00C62420"/>
    <w:rsid w:val="00C62BB4"/>
    <w:rsid w:val="00C63765"/>
    <w:rsid w:val="00C64260"/>
    <w:rsid w:val="00C66B7E"/>
    <w:rsid w:val="00C66B9B"/>
    <w:rsid w:val="00C66DFE"/>
    <w:rsid w:val="00C70BD0"/>
    <w:rsid w:val="00C7319C"/>
    <w:rsid w:val="00C7353C"/>
    <w:rsid w:val="00C75710"/>
    <w:rsid w:val="00C758CA"/>
    <w:rsid w:val="00C75E22"/>
    <w:rsid w:val="00C76C2C"/>
    <w:rsid w:val="00C77BCC"/>
    <w:rsid w:val="00C8423F"/>
    <w:rsid w:val="00C84CB9"/>
    <w:rsid w:val="00C87947"/>
    <w:rsid w:val="00C87CAB"/>
    <w:rsid w:val="00C87CC3"/>
    <w:rsid w:val="00C925F1"/>
    <w:rsid w:val="00C93B1A"/>
    <w:rsid w:val="00CA1244"/>
    <w:rsid w:val="00CA1C3B"/>
    <w:rsid w:val="00CA4982"/>
    <w:rsid w:val="00CA72FD"/>
    <w:rsid w:val="00CB3AAE"/>
    <w:rsid w:val="00CB5035"/>
    <w:rsid w:val="00CB6781"/>
    <w:rsid w:val="00CC0262"/>
    <w:rsid w:val="00CC122E"/>
    <w:rsid w:val="00CC2AD8"/>
    <w:rsid w:val="00CC2F9A"/>
    <w:rsid w:val="00CD03C6"/>
    <w:rsid w:val="00CD4115"/>
    <w:rsid w:val="00CD45CE"/>
    <w:rsid w:val="00CD5474"/>
    <w:rsid w:val="00CD55ED"/>
    <w:rsid w:val="00CD5A94"/>
    <w:rsid w:val="00CE1116"/>
    <w:rsid w:val="00CE5C66"/>
    <w:rsid w:val="00CF02B1"/>
    <w:rsid w:val="00CF2667"/>
    <w:rsid w:val="00CF38A7"/>
    <w:rsid w:val="00CF3D50"/>
    <w:rsid w:val="00CF760A"/>
    <w:rsid w:val="00CF7745"/>
    <w:rsid w:val="00D00F73"/>
    <w:rsid w:val="00D0197C"/>
    <w:rsid w:val="00D0383B"/>
    <w:rsid w:val="00D056D2"/>
    <w:rsid w:val="00D05D08"/>
    <w:rsid w:val="00D07059"/>
    <w:rsid w:val="00D11E46"/>
    <w:rsid w:val="00D126BA"/>
    <w:rsid w:val="00D1787C"/>
    <w:rsid w:val="00D17A49"/>
    <w:rsid w:val="00D2093C"/>
    <w:rsid w:val="00D20F2C"/>
    <w:rsid w:val="00D21866"/>
    <w:rsid w:val="00D2196B"/>
    <w:rsid w:val="00D21B02"/>
    <w:rsid w:val="00D22CB5"/>
    <w:rsid w:val="00D239B2"/>
    <w:rsid w:val="00D339D5"/>
    <w:rsid w:val="00D37476"/>
    <w:rsid w:val="00D40665"/>
    <w:rsid w:val="00D40C50"/>
    <w:rsid w:val="00D43BD9"/>
    <w:rsid w:val="00D46454"/>
    <w:rsid w:val="00D50EED"/>
    <w:rsid w:val="00D547B3"/>
    <w:rsid w:val="00D551C8"/>
    <w:rsid w:val="00D570EF"/>
    <w:rsid w:val="00D617E2"/>
    <w:rsid w:val="00D63924"/>
    <w:rsid w:val="00D63D1D"/>
    <w:rsid w:val="00D6463D"/>
    <w:rsid w:val="00D64651"/>
    <w:rsid w:val="00D65BF8"/>
    <w:rsid w:val="00D8366B"/>
    <w:rsid w:val="00D86403"/>
    <w:rsid w:val="00D86F05"/>
    <w:rsid w:val="00D90C39"/>
    <w:rsid w:val="00D91EC3"/>
    <w:rsid w:val="00D93C58"/>
    <w:rsid w:val="00D93D2D"/>
    <w:rsid w:val="00DA089D"/>
    <w:rsid w:val="00DA1192"/>
    <w:rsid w:val="00DA2085"/>
    <w:rsid w:val="00DA4410"/>
    <w:rsid w:val="00DA6812"/>
    <w:rsid w:val="00DA7F79"/>
    <w:rsid w:val="00DB0114"/>
    <w:rsid w:val="00DB18A9"/>
    <w:rsid w:val="00DB2213"/>
    <w:rsid w:val="00DB659D"/>
    <w:rsid w:val="00DB65D6"/>
    <w:rsid w:val="00DB7AE2"/>
    <w:rsid w:val="00DC2C1B"/>
    <w:rsid w:val="00DC359C"/>
    <w:rsid w:val="00DC3B82"/>
    <w:rsid w:val="00DC40C1"/>
    <w:rsid w:val="00DC6172"/>
    <w:rsid w:val="00DC61CA"/>
    <w:rsid w:val="00DC69E5"/>
    <w:rsid w:val="00DD0238"/>
    <w:rsid w:val="00DD2B50"/>
    <w:rsid w:val="00DD5D5C"/>
    <w:rsid w:val="00DD7069"/>
    <w:rsid w:val="00DE1D6E"/>
    <w:rsid w:val="00DE25C1"/>
    <w:rsid w:val="00DE386F"/>
    <w:rsid w:val="00DE6F96"/>
    <w:rsid w:val="00DE71C9"/>
    <w:rsid w:val="00DF033E"/>
    <w:rsid w:val="00DF4112"/>
    <w:rsid w:val="00DF5BE6"/>
    <w:rsid w:val="00DF76AD"/>
    <w:rsid w:val="00E003F6"/>
    <w:rsid w:val="00E03A50"/>
    <w:rsid w:val="00E03E05"/>
    <w:rsid w:val="00E040A7"/>
    <w:rsid w:val="00E044EE"/>
    <w:rsid w:val="00E149BB"/>
    <w:rsid w:val="00E20719"/>
    <w:rsid w:val="00E279AB"/>
    <w:rsid w:val="00E3080D"/>
    <w:rsid w:val="00E30A86"/>
    <w:rsid w:val="00E30BAB"/>
    <w:rsid w:val="00E31F10"/>
    <w:rsid w:val="00E4247C"/>
    <w:rsid w:val="00E42C58"/>
    <w:rsid w:val="00E43C74"/>
    <w:rsid w:val="00E444DD"/>
    <w:rsid w:val="00E5302F"/>
    <w:rsid w:val="00E530C5"/>
    <w:rsid w:val="00E5751A"/>
    <w:rsid w:val="00E577F3"/>
    <w:rsid w:val="00E62B34"/>
    <w:rsid w:val="00E62E6B"/>
    <w:rsid w:val="00E63626"/>
    <w:rsid w:val="00E655F4"/>
    <w:rsid w:val="00E708F1"/>
    <w:rsid w:val="00E70F37"/>
    <w:rsid w:val="00E71850"/>
    <w:rsid w:val="00E71D28"/>
    <w:rsid w:val="00E731DD"/>
    <w:rsid w:val="00E7445D"/>
    <w:rsid w:val="00E75C55"/>
    <w:rsid w:val="00E7620F"/>
    <w:rsid w:val="00E77260"/>
    <w:rsid w:val="00E82EE5"/>
    <w:rsid w:val="00E85D98"/>
    <w:rsid w:val="00E969EB"/>
    <w:rsid w:val="00E96C5F"/>
    <w:rsid w:val="00E9746D"/>
    <w:rsid w:val="00EA19D9"/>
    <w:rsid w:val="00EA54D1"/>
    <w:rsid w:val="00EA55F6"/>
    <w:rsid w:val="00EA60AA"/>
    <w:rsid w:val="00EA6788"/>
    <w:rsid w:val="00EA7754"/>
    <w:rsid w:val="00EA7BA3"/>
    <w:rsid w:val="00EB104B"/>
    <w:rsid w:val="00EB1FCA"/>
    <w:rsid w:val="00EC1407"/>
    <w:rsid w:val="00EC2A0D"/>
    <w:rsid w:val="00EC42A5"/>
    <w:rsid w:val="00EC746B"/>
    <w:rsid w:val="00ED1971"/>
    <w:rsid w:val="00ED3F0C"/>
    <w:rsid w:val="00ED48B6"/>
    <w:rsid w:val="00ED4970"/>
    <w:rsid w:val="00ED5197"/>
    <w:rsid w:val="00ED7555"/>
    <w:rsid w:val="00ED758D"/>
    <w:rsid w:val="00ED7DA3"/>
    <w:rsid w:val="00EE056D"/>
    <w:rsid w:val="00EE1D21"/>
    <w:rsid w:val="00EE395B"/>
    <w:rsid w:val="00EE5A7B"/>
    <w:rsid w:val="00EF1ADF"/>
    <w:rsid w:val="00EF3966"/>
    <w:rsid w:val="00EF3C5D"/>
    <w:rsid w:val="00F033EF"/>
    <w:rsid w:val="00F04DE2"/>
    <w:rsid w:val="00F0780D"/>
    <w:rsid w:val="00F110EE"/>
    <w:rsid w:val="00F11F2F"/>
    <w:rsid w:val="00F215A2"/>
    <w:rsid w:val="00F21766"/>
    <w:rsid w:val="00F23388"/>
    <w:rsid w:val="00F32532"/>
    <w:rsid w:val="00F32E16"/>
    <w:rsid w:val="00F33739"/>
    <w:rsid w:val="00F342A2"/>
    <w:rsid w:val="00F34542"/>
    <w:rsid w:val="00F34D74"/>
    <w:rsid w:val="00F3541B"/>
    <w:rsid w:val="00F35AA5"/>
    <w:rsid w:val="00F362AE"/>
    <w:rsid w:val="00F4144C"/>
    <w:rsid w:val="00F41BAD"/>
    <w:rsid w:val="00F43777"/>
    <w:rsid w:val="00F4620C"/>
    <w:rsid w:val="00F468A9"/>
    <w:rsid w:val="00F47A67"/>
    <w:rsid w:val="00F5085E"/>
    <w:rsid w:val="00F51C19"/>
    <w:rsid w:val="00F54F56"/>
    <w:rsid w:val="00F550F0"/>
    <w:rsid w:val="00F60704"/>
    <w:rsid w:val="00F629DE"/>
    <w:rsid w:val="00F64D75"/>
    <w:rsid w:val="00F75525"/>
    <w:rsid w:val="00F762C0"/>
    <w:rsid w:val="00F80A62"/>
    <w:rsid w:val="00F82950"/>
    <w:rsid w:val="00F82DB3"/>
    <w:rsid w:val="00F82E8C"/>
    <w:rsid w:val="00F85963"/>
    <w:rsid w:val="00F86FC4"/>
    <w:rsid w:val="00F87CAF"/>
    <w:rsid w:val="00F87D69"/>
    <w:rsid w:val="00F9188A"/>
    <w:rsid w:val="00F92793"/>
    <w:rsid w:val="00F94319"/>
    <w:rsid w:val="00F9631E"/>
    <w:rsid w:val="00FA1B51"/>
    <w:rsid w:val="00FA4B13"/>
    <w:rsid w:val="00FA4D9F"/>
    <w:rsid w:val="00FB1DC3"/>
    <w:rsid w:val="00FB2ED0"/>
    <w:rsid w:val="00FB465C"/>
    <w:rsid w:val="00FB7488"/>
    <w:rsid w:val="00FC31E1"/>
    <w:rsid w:val="00FC3666"/>
    <w:rsid w:val="00FC4578"/>
    <w:rsid w:val="00FC47BC"/>
    <w:rsid w:val="00FC50BD"/>
    <w:rsid w:val="00FC574C"/>
    <w:rsid w:val="00FC7A15"/>
    <w:rsid w:val="00FD15BA"/>
    <w:rsid w:val="00FD165D"/>
    <w:rsid w:val="00FD2CC2"/>
    <w:rsid w:val="00FD604E"/>
    <w:rsid w:val="00FE2536"/>
    <w:rsid w:val="00FE28BC"/>
    <w:rsid w:val="00FE34FC"/>
    <w:rsid w:val="00FE651F"/>
    <w:rsid w:val="00FF6D80"/>
    <w:rsid w:val="01552A6F"/>
    <w:rsid w:val="01923464"/>
    <w:rsid w:val="03916D45"/>
    <w:rsid w:val="04FA6C19"/>
    <w:rsid w:val="062F6F76"/>
    <w:rsid w:val="06426448"/>
    <w:rsid w:val="06630C1E"/>
    <w:rsid w:val="06773169"/>
    <w:rsid w:val="076438BC"/>
    <w:rsid w:val="080D1148"/>
    <w:rsid w:val="080F525D"/>
    <w:rsid w:val="08C02EEE"/>
    <w:rsid w:val="08CA2016"/>
    <w:rsid w:val="08ED4B06"/>
    <w:rsid w:val="095C67F5"/>
    <w:rsid w:val="09C866DB"/>
    <w:rsid w:val="0ADE6CEC"/>
    <w:rsid w:val="0B132998"/>
    <w:rsid w:val="0B5A50E0"/>
    <w:rsid w:val="0B64573A"/>
    <w:rsid w:val="0B6B2702"/>
    <w:rsid w:val="0C060A3C"/>
    <w:rsid w:val="0C0A7117"/>
    <w:rsid w:val="0C7D5E6D"/>
    <w:rsid w:val="0D2C71ED"/>
    <w:rsid w:val="0D3F3404"/>
    <w:rsid w:val="0D7E7AFC"/>
    <w:rsid w:val="0E1D04CA"/>
    <w:rsid w:val="0EAF0955"/>
    <w:rsid w:val="0EEF7266"/>
    <w:rsid w:val="0FF96500"/>
    <w:rsid w:val="106B0914"/>
    <w:rsid w:val="11593FE0"/>
    <w:rsid w:val="1198130D"/>
    <w:rsid w:val="11E34665"/>
    <w:rsid w:val="122B185B"/>
    <w:rsid w:val="123F590B"/>
    <w:rsid w:val="12407AFC"/>
    <w:rsid w:val="12FC32AF"/>
    <w:rsid w:val="130146CE"/>
    <w:rsid w:val="131F0A4B"/>
    <w:rsid w:val="1382325E"/>
    <w:rsid w:val="13C768BD"/>
    <w:rsid w:val="140C3844"/>
    <w:rsid w:val="146568E6"/>
    <w:rsid w:val="14F14332"/>
    <w:rsid w:val="14F82D70"/>
    <w:rsid w:val="15222CBD"/>
    <w:rsid w:val="160475E3"/>
    <w:rsid w:val="161F6D9E"/>
    <w:rsid w:val="171A046D"/>
    <w:rsid w:val="17361A7C"/>
    <w:rsid w:val="17A20FCC"/>
    <w:rsid w:val="17A31E05"/>
    <w:rsid w:val="17F56B09"/>
    <w:rsid w:val="18261466"/>
    <w:rsid w:val="18666673"/>
    <w:rsid w:val="18AB22F0"/>
    <w:rsid w:val="191B0F82"/>
    <w:rsid w:val="192778CC"/>
    <w:rsid w:val="196244DE"/>
    <w:rsid w:val="19910389"/>
    <w:rsid w:val="19D80B64"/>
    <w:rsid w:val="1A324045"/>
    <w:rsid w:val="1A544FC7"/>
    <w:rsid w:val="1B02794B"/>
    <w:rsid w:val="1B71729F"/>
    <w:rsid w:val="1B79533C"/>
    <w:rsid w:val="1BA70F14"/>
    <w:rsid w:val="1BC25BC5"/>
    <w:rsid w:val="1C0B6F9A"/>
    <w:rsid w:val="1CA941C8"/>
    <w:rsid w:val="1CD300BD"/>
    <w:rsid w:val="1CE8263B"/>
    <w:rsid w:val="1CF32B0B"/>
    <w:rsid w:val="1DF648E5"/>
    <w:rsid w:val="1E183B86"/>
    <w:rsid w:val="1EE11A88"/>
    <w:rsid w:val="1F213C7F"/>
    <w:rsid w:val="1F9D111F"/>
    <w:rsid w:val="205E5A1A"/>
    <w:rsid w:val="2087583C"/>
    <w:rsid w:val="20A0122A"/>
    <w:rsid w:val="21815D7A"/>
    <w:rsid w:val="21D76EC7"/>
    <w:rsid w:val="21E24660"/>
    <w:rsid w:val="220F36D8"/>
    <w:rsid w:val="22404EB2"/>
    <w:rsid w:val="225E064A"/>
    <w:rsid w:val="22DC4D15"/>
    <w:rsid w:val="22EA5BA9"/>
    <w:rsid w:val="22F71CA9"/>
    <w:rsid w:val="2353559D"/>
    <w:rsid w:val="23624A09"/>
    <w:rsid w:val="23FE042F"/>
    <w:rsid w:val="244F58B7"/>
    <w:rsid w:val="248925F2"/>
    <w:rsid w:val="249D77AD"/>
    <w:rsid w:val="2512483F"/>
    <w:rsid w:val="25141EFB"/>
    <w:rsid w:val="26086958"/>
    <w:rsid w:val="27243731"/>
    <w:rsid w:val="27E21382"/>
    <w:rsid w:val="280538FD"/>
    <w:rsid w:val="28803760"/>
    <w:rsid w:val="28831404"/>
    <w:rsid w:val="289B697B"/>
    <w:rsid w:val="289F4848"/>
    <w:rsid w:val="291252F5"/>
    <w:rsid w:val="291B0132"/>
    <w:rsid w:val="291C7ECB"/>
    <w:rsid w:val="298A53B7"/>
    <w:rsid w:val="29AB1B35"/>
    <w:rsid w:val="29B945A1"/>
    <w:rsid w:val="2ADB23DC"/>
    <w:rsid w:val="2B9E2573"/>
    <w:rsid w:val="2C0E5FF7"/>
    <w:rsid w:val="2C5C394E"/>
    <w:rsid w:val="2C961A89"/>
    <w:rsid w:val="2D150035"/>
    <w:rsid w:val="2D270764"/>
    <w:rsid w:val="2D344476"/>
    <w:rsid w:val="2DCA7271"/>
    <w:rsid w:val="2E465462"/>
    <w:rsid w:val="2E4D4CDC"/>
    <w:rsid w:val="2E5F39AA"/>
    <w:rsid w:val="2E792F81"/>
    <w:rsid w:val="2F6075C9"/>
    <w:rsid w:val="2FD606E6"/>
    <w:rsid w:val="30705281"/>
    <w:rsid w:val="309B1741"/>
    <w:rsid w:val="30B94EED"/>
    <w:rsid w:val="30E762B0"/>
    <w:rsid w:val="32585158"/>
    <w:rsid w:val="32587A3E"/>
    <w:rsid w:val="32A16A9F"/>
    <w:rsid w:val="32D93F94"/>
    <w:rsid w:val="332C531B"/>
    <w:rsid w:val="33587F05"/>
    <w:rsid w:val="3370041B"/>
    <w:rsid w:val="33EF177A"/>
    <w:rsid w:val="363F6E33"/>
    <w:rsid w:val="37D37257"/>
    <w:rsid w:val="38F753F9"/>
    <w:rsid w:val="38FA4102"/>
    <w:rsid w:val="390A5B82"/>
    <w:rsid w:val="3923098D"/>
    <w:rsid w:val="39535AFD"/>
    <w:rsid w:val="397843FA"/>
    <w:rsid w:val="3A6B34DF"/>
    <w:rsid w:val="3ADA4AD5"/>
    <w:rsid w:val="3AF3146C"/>
    <w:rsid w:val="3AF619E9"/>
    <w:rsid w:val="3AFD7607"/>
    <w:rsid w:val="3BF2171A"/>
    <w:rsid w:val="3C0A61C8"/>
    <w:rsid w:val="3C5B1A8A"/>
    <w:rsid w:val="3C6E4A7B"/>
    <w:rsid w:val="3C8C43FB"/>
    <w:rsid w:val="3C96684A"/>
    <w:rsid w:val="3CD12A21"/>
    <w:rsid w:val="3D0B6DF2"/>
    <w:rsid w:val="3D11394A"/>
    <w:rsid w:val="3D6F6976"/>
    <w:rsid w:val="3DB745C5"/>
    <w:rsid w:val="3DFF0792"/>
    <w:rsid w:val="3E295A72"/>
    <w:rsid w:val="3E5D7E4D"/>
    <w:rsid w:val="3ED97433"/>
    <w:rsid w:val="3F23568A"/>
    <w:rsid w:val="3F961F67"/>
    <w:rsid w:val="3FCA4867"/>
    <w:rsid w:val="3FE17E5A"/>
    <w:rsid w:val="403B4591"/>
    <w:rsid w:val="404E6F17"/>
    <w:rsid w:val="40F7143D"/>
    <w:rsid w:val="41114FEF"/>
    <w:rsid w:val="413E240E"/>
    <w:rsid w:val="413E31CC"/>
    <w:rsid w:val="417640FB"/>
    <w:rsid w:val="41C66430"/>
    <w:rsid w:val="433268C5"/>
    <w:rsid w:val="43426F73"/>
    <w:rsid w:val="43833DAA"/>
    <w:rsid w:val="438C6DC9"/>
    <w:rsid w:val="439265B7"/>
    <w:rsid w:val="43B00752"/>
    <w:rsid w:val="454B46D5"/>
    <w:rsid w:val="45632600"/>
    <w:rsid w:val="45F1506B"/>
    <w:rsid w:val="45FF2494"/>
    <w:rsid w:val="462043F0"/>
    <w:rsid w:val="465C3A8C"/>
    <w:rsid w:val="4663502F"/>
    <w:rsid w:val="467303AA"/>
    <w:rsid w:val="46A67CCD"/>
    <w:rsid w:val="46D666F5"/>
    <w:rsid w:val="46E37060"/>
    <w:rsid w:val="47003CF8"/>
    <w:rsid w:val="47162175"/>
    <w:rsid w:val="47620E05"/>
    <w:rsid w:val="479B34E2"/>
    <w:rsid w:val="484D5A03"/>
    <w:rsid w:val="485111C8"/>
    <w:rsid w:val="48E011B6"/>
    <w:rsid w:val="48F56F3A"/>
    <w:rsid w:val="49274B88"/>
    <w:rsid w:val="4957664D"/>
    <w:rsid w:val="496716DE"/>
    <w:rsid w:val="4A094ECF"/>
    <w:rsid w:val="4A5A1B1E"/>
    <w:rsid w:val="4B1D10A8"/>
    <w:rsid w:val="4C011F40"/>
    <w:rsid w:val="4C1A24A9"/>
    <w:rsid w:val="4C2F5D32"/>
    <w:rsid w:val="4C434728"/>
    <w:rsid w:val="4CB26505"/>
    <w:rsid w:val="4CCD2599"/>
    <w:rsid w:val="4CE044FE"/>
    <w:rsid w:val="4D067BDA"/>
    <w:rsid w:val="4D130CBA"/>
    <w:rsid w:val="4D493511"/>
    <w:rsid w:val="4DBA721B"/>
    <w:rsid w:val="4DE73903"/>
    <w:rsid w:val="4DF9234A"/>
    <w:rsid w:val="4E6B65D0"/>
    <w:rsid w:val="4E9B6B98"/>
    <w:rsid w:val="4F1F652A"/>
    <w:rsid w:val="4F4E7771"/>
    <w:rsid w:val="4FB93EA6"/>
    <w:rsid w:val="4FE3195F"/>
    <w:rsid w:val="50730F5C"/>
    <w:rsid w:val="50901D37"/>
    <w:rsid w:val="50DA2222"/>
    <w:rsid w:val="50EE3679"/>
    <w:rsid w:val="50FE2CAF"/>
    <w:rsid w:val="5101761D"/>
    <w:rsid w:val="5115316A"/>
    <w:rsid w:val="513962B1"/>
    <w:rsid w:val="51B6406B"/>
    <w:rsid w:val="51C573F0"/>
    <w:rsid w:val="51C91F28"/>
    <w:rsid w:val="525002C2"/>
    <w:rsid w:val="52A821D9"/>
    <w:rsid w:val="52C852E9"/>
    <w:rsid w:val="52CE5D2E"/>
    <w:rsid w:val="52D652CF"/>
    <w:rsid w:val="52FB448E"/>
    <w:rsid w:val="53066390"/>
    <w:rsid w:val="535F5631"/>
    <w:rsid w:val="53A614D9"/>
    <w:rsid w:val="53C12AEE"/>
    <w:rsid w:val="542832F1"/>
    <w:rsid w:val="54684218"/>
    <w:rsid w:val="55374982"/>
    <w:rsid w:val="556F5BD1"/>
    <w:rsid w:val="55732362"/>
    <w:rsid w:val="55FB1A97"/>
    <w:rsid w:val="5605229D"/>
    <w:rsid w:val="569506DE"/>
    <w:rsid w:val="56CF29E7"/>
    <w:rsid w:val="56EC11C5"/>
    <w:rsid w:val="573D74A8"/>
    <w:rsid w:val="57515EC0"/>
    <w:rsid w:val="577248F6"/>
    <w:rsid w:val="58010B74"/>
    <w:rsid w:val="58BD6122"/>
    <w:rsid w:val="58CF1518"/>
    <w:rsid w:val="59103F70"/>
    <w:rsid w:val="595B1DCA"/>
    <w:rsid w:val="59792962"/>
    <w:rsid w:val="5AD6618C"/>
    <w:rsid w:val="5B213AB3"/>
    <w:rsid w:val="5B2257CC"/>
    <w:rsid w:val="5BF94A81"/>
    <w:rsid w:val="5BFB3908"/>
    <w:rsid w:val="5C027760"/>
    <w:rsid w:val="5C497367"/>
    <w:rsid w:val="5C744011"/>
    <w:rsid w:val="5CF07365"/>
    <w:rsid w:val="5DD36138"/>
    <w:rsid w:val="5EB57D9B"/>
    <w:rsid w:val="5ED313E5"/>
    <w:rsid w:val="5F591D85"/>
    <w:rsid w:val="5F837E3A"/>
    <w:rsid w:val="60F034DF"/>
    <w:rsid w:val="61236D40"/>
    <w:rsid w:val="61270EAC"/>
    <w:rsid w:val="61411D16"/>
    <w:rsid w:val="619B39D9"/>
    <w:rsid w:val="62BC62CC"/>
    <w:rsid w:val="62D34CAC"/>
    <w:rsid w:val="633728C4"/>
    <w:rsid w:val="633B737E"/>
    <w:rsid w:val="63FF3E19"/>
    <w:rsid w:val="640D2319"/>
    <w:rsid w:val="652961C2"/>
    <w:rsid w:val="653B1F87"/>
    <w:rsid w:val="65913E9A"/>
    <w:rsid w:val="6592680B"/>
    <w:rsid w:val="659356F5"/>
    <w:rsid w:val="66207974"/>
    <w:rsid w:val="66B56100"/>
    <w:rsid w:val="67032F48"/>
    <w:rsid w:val="67380819"/>
    <w:rsid w:val="67511929"/>
    <w:rsid w:val="67A73CA6"/>
    <w:rsid w:val="67C046F8"/>
    <w:rsid w:val="67DB3494"/>
    <w:rsid w:val="683C2950"/>
    <w:rsid w:val="684616A1"/>
    <w:rsid w:val="686821E7"/>
    <w:rsid w:val="68C752CE"/>
    <w:rsid w:val="693A577B"/>
    <w:rsid w:val="6A190CF6"/>
    <w:rsid w:val="6B216BB3"/>
    <w:rsid w:val="6B773800"/>
    <w:rsid w:val="6BD44F63"/>
    <w:rsid w:val="6BF356AF"/>
    <w:rsid w:val="6D7F3EED"/>
    <w:rsid w:val="6E2403D7"/>
    <w:rsid w:val="6E5E28E6"/>
    <w:rsid w:val="6EA87E2D"/>
    <w:rsid w:val="6EAA6FE7"/>
    <w:rsid w:val="6EAF42C9"/>
    <w:rsid w:val="6EB97B88"/>
    <w:rsid w:val="6F0C4ADA"/>
    <w:rsid w:val="6F8603B2"/>
    <w:rsid w:val="6FD23052"/>
    <w:rsid w:val="6FDD5ED1"/>
    <w:rsid w:val="70A60719"/>
    <w:rsid w:val="71481644"/>
    <w:rsid w:val="716A47BF"/>
    <w:rsid w:val="728E0FAB"/>
    <w:rsid w:val="72B51DBD"/>
    <w:rsid w:val="73377537"/>
    <w:rsid w:val="73504AE4"/>
    <w:rsid w:val="735C0076"/>
    <w:rsid w:val="73B541A8"/>
    <w:rsid w:val="73C20D43"/>
    <w:rsid w:val="73D90C8E"/>
    <w:rsid w:val="746D09D0"/>
    <w:rsid w:val="748C233C"/>
    <w:rsid w:val="74B8252C"/>
    <w:rsid w:val="74BF2213"/>
    <w:rsid w:val="74EA02FA"/>
    <w:rsid w:val="74EF7721"/>
    <w:rsid w:val="75DA52C9"/>
    <w:rsid w:val="75DE13F7"/>
    <w:rsid w:val="76281F8B"/>
    <w:rsid w:val="762F6035"/>
    <w:rsid w:val="76C3690D"/>
    <w:rsid w:val="775563BC"/>
    <w:rsid w:val="782B4B38"/>
    <w:rsid w:val="78924F44"/>
    <w:rsid w:val="78AA39D2"/>
    <w:rsid w:val="78CA0374"/>
    <w:rsid w:val="794D59AD"/>
    <w:rsid w:val="7AE76DDD"/>
    <w:rsid w:val="7B3C1A51"/>
    <w:rsid w:val="7B5D4B1E"/>
    <w:rsid w:val="7BFD08B8"/>
    <w:rsid w:val="7C712A1A"/>
    <w:rsid w:val="7D154AB1"/>
    <w:rsid w:val="7D171DB8"/>
    <w:rsid w:val="7E883664"/>
    <w:rsid w:val="7F3630BD"/>
    <w:rsid w:val="7F800B40"/>
    <w:rsid w:val="7FA46028"/>
    <w:rsid w:val="7FEC7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5">
    <w:name w:val="heading 1"/>
    <w:basedOn w:val="1"/>
    <w:next w:val="1"/>
    <w:link w:val="67"/>
    <w:qFormat/>
    <w:uiPriority w:val="0"/>
    <w:pPr>
      <w:spacing w:line="580" w:lineRule="exact"/>
      <w:outlineLvl w:val="0"/>
    </w:pPr>
    <w:rPr>
      <w:sz w:val="32"/>
      <w:szCs w:val="32"/>
    </w:rPr>
  </w:style>
  <w:style w:type="paragraph" w:styleId="6">
    <w:name w:val="heading 2"/>
    <w:basedOn w:val="1"/>
    <w:next w:val="1"/>
    <w:link w:val="104"/>
    <w:qFormat/>
    <w:uiPriority w:val="0"/>
    <w:pPr>
      <w:spacing w:line="521" w:lineRule="exact"/>
      <w:jc w:val="center"/>
      <w:outlineLvl w:val="1"/>
    </w:pPr>
    <w:rPr>
      <w:sz w:val="28"/>
      <w:szCs w:val="28"/>
    </w:rPr>
  </w:style>
  <w:style w:type="paragraph" w:styleId="7">
    <w:name w:val="heading 3"/>
    <w:basedOn w:val="1"/>
    <w:next w:val="8"/>
    <w:link w:val="61"/>
    <w:unhideWhenUsed/>
    <w:qFormat/>
    <w:uiPriority w:val="0"/>
    <w:pPr>
      <w:keepNext/>
      <w:keepLines/>
      <w:spacing w:before="260" w:after="260" w:line="416" w:lineRule="auto"/>
      <w:outlineLvl w:val="2"/>
    </w:pPr>
    <w:rPr>
      <w:b/>
      <w:bCs/>
      <w:sz w:val="32"/>
      <w:szCs w:val="32"/>
    </w:rPr>
  </w:style>
  <w:style w:type="paragraph" w:styleId="9">
    <w:name w:val="heading 4"/>
    <w:basedOn w:val="1"/>
    <w:next w:val="1"/>
    <w:link w:val="72"/>
    <w:qFormat/>
    <w:uiPriority w:val="9"/>
    <w:pPr>
      <w:keepNext/>
      <w:keepLines/>
      <w:autoSpaceDE/>
      <w:autoSpaceDN/>
      <w:spacing w:before="280" w:after="290" w:line="376" w:lineRule="auto"/>
      <w:jc w:val="both"/>
      <w:outlineLvl w:val="3"/>
    </w:pPr>
    <w:rPr>
      <w:rFonts w:ascii="Cambria" w:hAnsi="Cambria" w:eastAsia="宋体" w:cs="Times New Roman"/>
      <w:b/>
      <w:bCs/>
      <w:kern w:val="2"/>
      <w:sz w:val="28"/>
      <w:szCs w:val="28"/>
      <w:lang w:bidi="ar-SA"/>
    </w:rPr>
  </w:style>
  <w:style w:type="paragraph" w:styleId="10">
    <w:name w:val="heading 6"/>
    <w:basedOn w:val="1"/>
    <w:next w:val="1"/>
    <w:link w:val="73"/>
    <w:qFormat/>
    <w:uiPriority w:val="0"/>
    <w:pPr>
      <w:keepNext/>
      <w:keepLines/>
      <w:autoSpaceDE/>
      <w:autoSpaceDN/>
      <w:adjustRightInd w:val="0"/>
      <w:snapToGrid w:val="0"/>
      <w:spacing w:before="240" w:after="64" w:line="320" w:lineRule="auto"/>
      <w:outlineLvl w:val="5"/>
    </w:pPr>
    <w:rPr>
      <w:rFonts w:ascii="Arial" w:hAnsi="Arial" w:eastAsia="黑体" w:cs="Times New Roman"/>
      <w:b/>
      <w:bCs/>
      <w:kern w:val="2"/>
      <w:sz w:val="24"/>
      <w:szCs w:val="24"/>
      <w:lang w:bidi="ar-SA"/>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next w:val="4"/>
    <w:link w:val="63"/>
    <w:unhideWhenUsed/>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Normal Indent"/>
    <w:basedOn w:val="1"/>
    <w:next w:val="1"/>
    <w:link w:val="75"/>
    <w:qFormat/>
    <w:uiPriority w:val="0"/>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11">
    <w:name w:val="toc 7"/>
    <w:basedOn w:val="1"/>
    <w:next w:val="1"/>
    <w:qFormat/>
    <w:uiPriority w:val="0"/>
    <w:pPr>
      <w:autoSpaceDE/>
      <w:autoSpaceDN/>
      <w:adjustRightInd w:val="0"/>
      <w:snapToGrid w:val="0"/>
      <w:spacing w:line="360" w:lineRule="auto"/>
      <w:ind w:left="1260"/>
    </w:pPr>
    <w:rPr>
      <w:rFonts w:ascii="Times New Roman" w:hAnsi="Times New Roman" w:eastAsia="宋体" w:cs="Times New Roman"/>
      <w:kern w:val="2"/>
      <w:sz w:val="18"/>
      <w:szCs w:val="20"/>
      <w:lang w:val="en-US" w:bidi="ar-SA"/>
    </w:rPr>
  </w:style>
  <w:style w:type="paragraph" w:styleId="12">
    <w:name w:val="caption"/>
    <w:basedOn w:val="1"/>
    <w:next w:val="1"/>
    <w:qFormat/>
    <w:uiPriority w:val="0"/>
    <w:pPr>
      <w:autoSpaceDE/>
      <w:autoSpaceDN/>
      <w:adjustRightInd w:val="0"/>
      <w:snapToGrid w:val="0"/>
      <w:spacing w:line="360" w:lineRule="auto"/>
    </w:pPr>
    <w:rPr>
      <w:rFonts w:ascii="Arial" w:hAnsi="Arial" w:eastAsia="黑体" w:cs="Times New Roman"/>
      <w:kern w:val="2"/>
      <w:sz w:val="20"/>
      <w:szCs w:val="20"/>
      <w:lang w:val="en-US" w:bidi="ar-SA"/>
    </w:rPr>
  </w:style>
  <w:style w:type="paragraph" w:styleId="13">
    <w:name w:val="index 5"/>
    <w:basedOn w:val="14"/>
    <w:next w:val="14"/>
    <w:unhideWhenUsed/>
    <w:qFormat/>
    <w:uiPriority w:val="99"/>
    <w:pPr>
      <w:ind w:left="1680"/>
    </w:pPr>
  </w:style>
  <w:style w:type="paragraph" w:customStyle="1" w:styleId="14">
    <w:name w:val="正文_1"/>
    <w:next w:val="15"/>
    <w:qFormat/>
    <w:uiPriority w:val="0"/>
    <w:pPr>
      <w:widowControl w:val="0"/>
      <w:jc w:val="both"/>
    </w:pPr>
    <w:rPr>
      <w:rFonts w:ascii="Calibri" w:hAnsi="Calibri" w:eastAsia="宋体" w:cs="Times New Roman"/>
      <w:kern w:val="2"/>
      <w:sz w:val="21"/>
      <w:szCs w:val="22"/>
      <w:lang w:val="en-US" w:eastAsia="zh-CN" w:bidi="ar-SA"/>
    </w:rPr>
  </w:style>
  <w:style w:type="paragraph" w:styleId="15">
    <w:name w:val="footnote text"/>
    <w:basedOn w:val="1"/>
    <w:next w:val="13"/>
    <w:link w:val="84"/>
    <w:unhideWhenUsed/>
    <w:qFormat/>
    <w:uiPriority w:val="99"/>
    <w:pPr>
      <w:autoSpaceDE/>
      <w:autoSpaceDN/>
      <w:snapToGrid w:val="0"/>
    </w:pPr>
    <w:rPr>
      <w:rFonts w:ascii="Calibri" w:hAnsi="Calibri" w:eastAsia="宋体" w:cs="Times New Roman"/>
      <w:kern w:val="2"/>
      <w:sz w:val="18"/>
      <w:szCs w:val="18"/>
      <w:lang w:bidi="ar-SA"/>
    </w:rPr>
  </w:style>
  <w:style w:type="paragraph" w:styleId="16">
    <w:name w:val="Document Map"/>
    <w:basedOn w:val="1"/>
    <w:link w:val="222"/>
    <w:semiHidden/>
    <w:unhideWhenUsed/>
    <w:qFormat/>
    <w:uiPriority w:val="99"/>
    <w:rPr>
      <w:rFonts w:ascii="宋体" w:eastAsia="宋体"/>
      <w:sz w:val="18"/>
      <w:szCs w:val="18"/>
    </w:rPr>
  </w:style>
  <w:style w:type="paragraph" w:styleId="17">
    <w:name w:val="toa heading"/>
    <w:basedOn w:val="1"/>
    <w:next w:val="1"/>
    <w:qFormat/>
    <w:uiPriority w:val="0"/>
    <w:pPr>
      <w:widowControl w:val="0"/>
      <w:adjustRightInd/>
      <w:snapToGrid/>
      <w:spacing w:before="120" w:after="0"/>
      <w:jc w:val="both"/>
    </w:pPr>
    <w:rPr>
      <w:rFonts w:ascii="Cambria" w:hAnsi="Cambria"/>
      <w:sz w:val="28"/>
    </w:rPr>
  </w:style>
  <w:style w:type="paragraph" w:styleId="18">
    <w:name w:val="annotation text"/>
    <w:basedOn w:val="1"/>
    <w:link w:val="81"/>
    <w:qFormat/>
    <w:uiPriority w:val="0"/>
    <w:pPr>
      <w:autoSpaceDE/>
      <w:autoSpaceDN/>
    </w:pPr>
    <w:rPr>
      <w:rFonts w:ascii="Times New Roman" w:hAnsi="Times New Roman" w:eastAsia="宋体" w:cs="Times New Roman"/>
      <w:kern w:val="2"/>
      <w:sz w:val="21"/>
      <w:szCs w:val="24"/>
      <w:lang w:bidi="ar-SA"/>
    </w:rPr>
  </w:style>
  <w:style w:type="paragraph" w:styleId="19">
    <w:name w:val="Body Text"/>
    <w:basedOn w:val="1"/>
    <w:next w:val="1"/>
    <w:link w:val="88"/>
    <w:qFormat/>
    <w:uiPriority w:val="0"/>
    <w:pPr>
      <w:ind w:left="528"/>
    </w:pPr>
    <w:rPr>
      <w:sz w:val="24"/>
      <w:szCs w:val="24"/>
    </w:rPr>
  </w:style>
  <w:style w:type="paragraph" w:styleId="20">
    <w:name w:val="toc 5"/>
    <w:basedOn w:val="1"/>
    <w:next w:val="1"/>
    <w:qFormat/>
    <w:uiPriority w:val="0"/>
    <w:pPr>
      <w:autoSpaceDE/>
      <w:autoSpaceDN/>
      <w:adjustRightInd w:val="0"/>
      <w:snapToGrid w:val="0"/>
      <w:spacing w:line="360" w:lineRule="auto"/>
      <w:ind w:left="840"/>
    </w:pPr>
    <w:rPr>
      <w:rFonts w:ascii="Times New Roman" w:hAnsi="Times New Roman" w:eastAsia="宋体" w:cs="Times New Roman"/>
      <w:kern w:val="2"/>
      <w:sz w:val="18"/>
      <w:szCs w:val="20"/>
      <w:lang w:val="en-US" w:bidi="ar-SA"/>
    </w:rPr>
  </w:style>
  <w:style w:type="paragraph" w:styleId="21">
    <w:name w:val="toc 3"/>
    <w:basedOn w:val="1"/>
    <w:next w:val="1"/>
    <w:qFormat/>
    <w:uiPriority w:val="0"/>
    <w:pPr>
      <w:autoSpaceDE/>
      <w:autoSpaceDN/>
      <w:adjustRightInd w:val="0"/>
      <w:snapToGrid w:val="0"/>
      <w:spacing w:line="360" w:lineRule="auto"/>
      <w:ind w:left="420"/>
    </w:pPr>
    <w:rPr>
      <w:rFonts w:ascii="Times New Roman" w:hAnsi="Times New Roman" w:eastAsia="宋体" w:cs="Times New Roman"/>
      <w:i/>
      <w:kern w:val="2"/>
      <w:sz w:val="20"/>
      <w:szCs w:val="20"/>
      <w:lang w:val="en-US" w:bidi="ar-SA"/>
    </w:rPr>
  </w:style>
  <w:style w:type="paragraph" w:styleId="22">
    <w:name w:val="Plain Text"/>
    <w:basedOn w:val="1"/>
    <w:link w:val="59"/>
    <w:qFormat/>
    <w:uiPriority w:val="0"/>
    <w:pPr>
      <w:autoSpaceDE/>
      <w:autoSpaceDN/>
      <w:jc w:val="both"/>
    </w:pPr>
    <w:rPr>
      <w:rFonts w:ascii="宋体" w:hAnsi="Courier New" w:eastAsia="宋体" w:cstheme="minorBidi"/>
      <w:kern w:val="2"/>
      <w:sz w:val="21"/>
      <w:lang w:val="en-US" w:bidi="ar-SA"/>
    </w:rPr>
  </w:style>
  <w:style w:type="paragraph" w:styleId="23">
    <w:name w:val="toc 8"/>
    <w:basedOn w:val="1"/>
    <w:next w:val="1"/>
    <w:qFormat/>
    <w:uiPriority w:val="0"/>
    <w:pPr>
      <w:autoSpaceDE/>
      <w:autoSpaceDN/>
      <w:adjustRightInd w:val="0"/>
      <w:snapToGrid w:val="0"/>
      <w:spacing w:line="360" w:lineRule="auto"/>
      <w:ind w:left="1470"/>
    </w:pPr>
    <w:rPr>
      <w:rFonts w:ascii="Times New Roman" w:hAnsi="Times New Roman" w:eastAsia="宋体" w:cs="Times New Roman"/>
      <w:kern w:val="2"/>
      <w:sz w:val="18"/>
      <w:szCs w:val="20"/>
      <w:lang w:val="en-US" w:bidi="ar-SA"/>
    </w:rPr>
  </w:style>
  <w:style w:type="paragraph" w:styleId="24">
    <w:name w:val="Date"/>
    <w:basedOn w:val="1"/>
    <w:next w:val="1"/>
    <w:link w:val="122"/>
    <w:qFormat/>
    <w:uiPriority w:val="0"/>
    <w:pPr>
      <w:autoSpaceDE/>
      <w:autoSpaceDN/>
      <w:adjustRightInd w:val="0"/>
      <w:snapToGrid w:val="0"/>
      <w:spacing w:line="360" w:lineRule="auto"/>
      <w:ind w:left="100" w:leftChars="2500"/>
    </w:pPr>
    <w:rPr>
      <w:rFonts w:ascii="Times New Roman" w:hAnsi="Times New Roman" w:eastAsia="宋体" w:cs="Times New Roman"/>
      <w:kern w:val="2"/>
      <w:sz w:val="24"/>
      <w:szCs w:val="20"/>
      <w:lang w:bidi="ar-SA"/>
    </w:rPr>
  </w:style>
  <w:style w:type="paragraph" w:styleId="25">
    <w:name w:val="Body Text Indent 2"/>
    <w:basedOn w:val="1"/>
    <w:link w:val="62"/>
    <w:unhideWhenUsed/>
    <w:qFormat/>
    <w:uiPriority w:val="0"/>
    <w:pPr>
      <w:spacing w:after="120" w:line="480" w:lineRule="auto"/>
      <w:ind w:left="420" w:leftChars="200"/>
    </w:pPr>
  </w:style>
  <w:style w:type="paragraph" w:styleId="26">
    <w:name w:val="Balloon Text"/>
    <w:basedOn w:val="1"/>
    <w:link w:val="58"/>
    <w:unhideWhenUsed/>
    <w:qFormat/>
    <w:uiPriority w:val="99"/>
    <w:rPr>
      <w:sz w:val="18"/>
      <w:szCs w:val="18"/>
    </w:rPr>
  </w:style>
  <w:style w:type="paragraph" w:styleId="27">
    <w:name w:val="footer"/>
    <w:basedOn w:val="1"/>
    <w:link w:val="57"/>
    <w:unhideWhenUsed/>
    <w:qFormat/>
    <w:uiPriority w:val="99"/>
    <w:pPr>
      <w:tabs>
        <w:tab w:val="center" w:pos="4153"/>
        <w:tab w:val="right" w:pos="8306"/>
      </w:tabs>
      <w:snapToGrid w:val="0"/>
    </w:pPr>
    <w:rPr>
      <w:sz w:val="18"/>
      <w:szCs w:val="18"/>
    </w:rPr>
  </w:style>
  <w:style w:type="paragraph" w:styleId="28">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autoSpaceDE/>
      <w:autoSpaceDN/>
      <w:adjustRightInd w:val="0"/>
      <w:snapToGrid w:val="0"/>
      <w:spacing w:before="120" w:after="120" w:line="360" w:lineRule="auto"/>
    </w:pPr>
    <w:rPr>
      <w:rFonts w:ascii="Times New Roman" w:hAnsi="Times New Roman" w:eastAsia="宋体" w:cs="Times New Roman"/>
      <w:b/>
      <w:caps/>
      <w:kern w:val="2"/>
      <w:sz w:val="20"/>
      <w:szCs w:val="20"/>
      <w:lang w:val="en-US" w:bidi="ar-SA"/>
    </w:rPr>
  </w:style>
  <w:style w:type="paragraph" w:styleId="30">
    <w:name w:val="toc 4"/>
    <w:basedOn w:val="1"/>
    <w:next w:val="1"/>
    <w:qFormat/>
    <w:uiPriority w:val="0"/>
    <w:pPr>
      <w:autoSpaceDE/>
      <w:autoSpaceDN/>
      <w:adjustRightInd w:val="0"/>
      <w:snapToGrid w:val="0"/>
      <w:spacing w:line="360" w:lineRule="auto"/>
      <w:ind w:left="630"/>
    </w:pPr>
    <w:rPr>
      <w:rFonts w:ascii="Times New Roman" w:hAnsi="Times New Roman" w:eastAsia="宋体" w:cs="Times New Roman"/>
      <w:kern w:val="2"/>
      <w:sz w:val="18"/>
      <w:szCs w:val="20"/>
      <w:lang w:val="en-US" w:bidi="ar-SA"/>
    </w:rPr>
  </w:style>
  <w:style w:type="paragraph" w:styleId="31">
    <w:name w:val="Subtitle"/>
    <w:basedOn w:val="1"/>
    <w:next w:val="1"/>
    <w:link w:val="128"/>
    <w:qFormat/>
    <w:uiPriority w:val="0"/>
    <w:pPr>
      <w:widowControl/>
      <w:autoSpaceDE/>
      <w:autoSpaceDN/>
      <w:adjustRightInd w:val="0"/>
      <w:snapToGrid w:val="0"/>
      <w:spacing w:after="60" w:line="360" w:lineRule="auto"/>
      <w:jc w:val="center"/>
      <w:outlineLvl w:val="1"/>
    </w:pPr>
    <w:rPr>
      <w:rFonts w:ascii="Cambria" w:hAnsi="Cambria" w:eastAsia="宋体" w:cs="Times New Roman"/>
      <w:sz w:val="24"/>
      <w:szCs w:val="24"/>
      <w:lang w:eastAsia="en-US" w:bidi="en-US"/>
    </w:rPr>
  </w:style>
  <w:style w:type="paragraph" w:styleId="32">
    <w:name w:val="List"/>
    <w:basedOn w:val="1"/>
    <w:unhideWhenUsed/>
    <w:qFormat/>
    <w:uiPriority w:val="0"/>
    <w:pPr>
      <w:autoSpaceDE/>
      <w:autoSpaceDN/>
      <w:adjustRightInd w:val="0"/>
      <w:snapToGrid w:val="0"/>
      <w:spacing w:line="360" w:lineRule="auto"/>
      <w:ind w:left="200" w:hanging="200" w:hangingChars="200"/>
      <w:contextualSpacing/>
    </w:pPr>
    <w:rPr>
      <w:rFonts w:ascii="Times New Roman" w:hAnsi="Times New Roman" w:eastAsia="宋体" w:cs="Times New Roman"/>
      <w:kern w:val="2"/>
      <w:sz w:val="24"/>
      <w:szCs w:val="24"/>
      <w:lang w:val="en-US" w:bidi="ar-SA"/>
    </w:rPr>
  </w:style>
  <w:style w:type="paragraph" w:styleId="33">
    <w:name w:val="toc 6"/>
    <w:basedOn w:val="1"/>
    <w:next w:val="1"/>
    <w:qFormat/>
    <w:uiPriority w:val="0"/>
    <w:pPr>
      <w:autoSpaceDE/>
      <w:autoSpaceDN/>
      <w:adjustRightInd w:val="0"/>
      <w:snapToGrid w:val="0"/>
      <w:spacing w:line="360" w:lineRule="auto"/>
      <w:ind w:left="1050"/>
    </w:pPr>
    <w:rPr>
      <w:rFonts w:ascii="Times New Roman" w:hAnsi="Times New Roman" w:eastAsia="宋体" w:cs="Times New Roman"/>
      <w:kern w:val="2"/>
      <w:sz w:val="18"/>
      <w:szCs w:val="20"/>
      <w:lang w:val="en-US" w:bidi="ar-SA"/>
    </w:rPr>
  </w:style>
  <w:style w:type="paragraph" w:styleId="34">
    <w:name w:val="Body Text Indent 3"/>
    <w:basedOn w:val="1"/>
    <w:link w:val="119"/>
    <w:qFormat/>
    <w:uiPriority w:val="0"/>
    <w:pPr>
      <w:autoSpaceDE/>
      <w:autoSpaceDN/>
      <w:adjustRightInd w:val="0"/>
      <w:snapToGrid w:val="0"/>
      <w:spacing w:after="120" w:line="360" w:lineRule="auto"/>
      <w:ind w:left="420" w:leftChars="200"/>
    </w:pPr>
    <w:rPr>
      <w:rFonts w:ascii="Times New Roman" w:hAnsi="Times New Roman" w:eastAsia="宋体" w:cs="Times New Roman"/>
      <w:kern w:val="2"/>
      <w:sz w:val="16"/>
      <w:szCs w:val="16"/>
      <w:lang w:bidi="ar-SA"/>
    </w:rPr>
  </w:style>
  <w:style w:type="paragraph" w:styleId="35">
    <w:name w:val="toc 2"/>
    <w:basedOn w:val="1"/>
    <w:next w:val="1"/>
    <w:qFormat/>
    <w:uiPriority w:val="0"/>
    <w:pPr>
      <w:autoSpaceDE/>
      <w:autoSpaceDN/>
      <w:adjustRightInd w:val="0"/>
      <w:snapToGrid w:val="0"/>
      <w:spacing w:line="360" w:lineRule="auto"/>
      <w:ind w:left="210"/>
    </w:pPr>
    <w:rPr>
      <w:rFonts w:ascii="Times New Roman" w:hAnsi="Times New Roman" w:eastAsia="宋体" w:cs="Times New Roman"/>
      <w:smallCaps/>
      <w:kern w:val="2"/>
      <w:sz w:val="20"/>
      <w:szCs w:val="20"/>
      <w:lang w:val="en-US" w:bidi="ar-SA"/>
    </w:rPr>
  </w:style>
  <w:style w:type="paragraph" w:styleId="36">
    <w:name w:val="toc 9"/>
    <w:basedOn w:val="1"/>
    <w:next w:val="1"/>
    <w:qFormat/>
    <w:uiPriority w:val="0"/>
    <w:pPr>
      <w:autoSpaceDE/>
      <w:autoSpaceDN/>
      <w:adjustRightInd w:val="0"/>
      <w:snapToGrid w:val="0"/>
      <w:spacing w:line="360" w:lineRule="auto"/>
      <w:ind w:left="1680"/>
    </w:pPr>
    <w:rPr>
      <w:rFonts w:ascii="Times New Roman" w:hAnsi="Times New Roman" w:eastAsia="宋体" w:cs="Times New Roman"/>
      <w:kern w:val="2"/>
      <w:sz w:val="18"/>
      <w:szCs w:val="20"/>
      <w:lang w:val="en-US" w:bidi="ar-SA"/>
    </w:rPr>
  </w:style>
  <w:style w:type="paragraph" w:styleId="37">
    <w:name w:val="Body Text 2"/>
    <w:basedOn w:val="1"/>
    <w:link w:val="127"/>
    <w:qFormat/>
    <w:uiPriority w:val="0"/>
    <w:pPr>
      <w:autoSpaceDE/>
      <w:autoSpaceDN/>
      <w:adjustRightInd w:val="0"/>
      <w:snapToGrid w:val="0"/>
      <w:spacing w:after="120" w:line="480" w:lineRule="auto"/>
    </w:pPr>
    <w:rPr>
      <w:rFonts w:ascii="Times New Roman" w:hAnsi="Times New Roman" w:eastAsia="宋体" w:cs="Times New Roman"/>
      <w:kern w:val="2"/>
      <w:sz w:val="24"/>
      <w:szCs w:val="24"/>
      <w:lang w:bidi="ar-SA"/>
    </w:rPr>
  </w:style>
  <w:style w:type="paragraph" w:styleId="38">
    <w:name w:val="Normal (Web)"/>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styleId="39">
    <w:name w:val="Title"/>
    <w:basedOn w:val="1"/>
    <w:next w:val="1"/>
    <w:link w:val="217"/>
    <w:qFormat/>
    <w:uiPriority w:val="0"/>
    <w:pPr>
      <w:autoSpaceDE/>
      <w:autoSpaceDN/>
      <w:spacing w:before="240" w:after="60"/>
      <w:jc w:val="center"/>
      <w:outlineLvl w:val="0"/>
    </w:pPr>
    <w:rPr>
      <w:rFonts w:ascii="等线 Light" w:hAnsi="等线 Light" w:eastAsia="宋体" w:cs="Times New Roman"/>
      <w:b/>
      <w:bCs/>
      <w:kern w:val="2"/>
      <w:sz w:val="32"/>
      <w:szCs w:val="32"/>
      <w:lang w:bidi="ar-SA"/>
    </w:rPr>
  </w:style>
  <w:style w:type="paragraph" w:styleId="40">
    <w:name w:val="annotation subject"/>
    <w:basedOn w:val="18"/>
    <w:next w:val="18"/>
    <w:link w:val="114"/>
    <w:qFormat/>
    <w:uiPriority w:val="0"/>
    <w:pPr>
      <w:adjustRightInd w:val="0"/>
      <w:snapToGrid w:val="0"/>
      <w:spacing w:line="360" w:lineRule="auto"/>
    </w:pPr>
    <w:rPr>
      <w:b/>
      <w:sz w:val="24"/>
    </w:rPr>
  </w:style>
  <w:style w:type="paragraph" w:styleId="41">
    <w:name w:val="Body Text First Indent"/>
    <w:basedOn w:val="19"/>
    <w:qFormat/>
    <w:uiPriority w:val="0"/>
    <w:pPr>
      <w:spacing w:line="312" w:lineRule="auto"/>
      <w:ind w:firstLine="42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unhideWhenUsed/>
    <w:qFormat/>
    <w:uiPriority w:val="0"/>
  </w:style>
  <w:style w:type="character" w:styleId="47">
    <w:name w:val="FollowedHyperlink"/>
    <w:qFormat/>
    <w:uiPriority w:val="99"/>
    <w:rPr>
      <w:color w:val="800080"/>
      <w:u w:val="single"/>
    </w:rPr>
  </w:style>
  <w:style w:type="character" w:styleId="48">
    <w:name w:val="Hyperlink"/>
    <w:basedOn w:val="44"/>
    <w:qFormat/>
    <w:uiPriority w:val="99"/>
    <w:rPr>
      <w:color w:val="0000FF"/>
      <w:u w:val="single"/>
    </w:rPr>
  </w:style>
  <w:style w:type="character" w:styleId="49">
    <w:name w:val="annotation reference"/>
    <w:qFormat/>
    <w:uiPriority w:val="0"/>
    <w:rPr>
      <w:sz w:val="21"/>
      <w:szCs w:val="21"/>
    </w:rPr>
  </w:style>
  <w:style w:type="character" w:styleId="50">
    <w:name w:val="footnote reference"/>
    <w:unhideWhenUsed/>
    <w:qFormat/>
    <w:uiPriority w:val="0"/>
    <w:rPr>
      <w:vertAlign w:val="superscript"/>
    </w:rPr>
  </w:style>
  <w:style w:type="paragraph" w:customStyle="1" w:styleId="51">
    <w:name w:val="正文文本缩进_4"/>
    <w:basedOn w:val="52"/>
    <w:qFormat/>
    <w:uiPriority w:val="0"/>
    <w:pPr>
      <w:snapToGrid w:val="0"/>
      <w:spacing w:line="500" w:lineRule="atLeast"/>
      <w:ind w:left="-525" w:firstLine="525"/>
    </w:pPr>
    <w:rPr>
      <w:snapToGrid/>
      <w:sz w:val="24"/>
    </w:rPr>
  </w:style>
  <w:style w:type="paragraph" w:customStyle="1" w:styleId="52">
    <w:name w:val="正文_14"/>
    <w:next w:val="2"/>
    <w:qFormat/>
    <w:uiPriority w:val="0"/>
    <w:pPr>
      <w:widowControl w:val="0"/>
      <w:jc w:val="both"/>
    </w:pPr>
    <w:rPr>
      <w:rFonts w:ascii="Calibri" w:hAnsi="Calibri" w:eastAsia="宋体" w:cs="Times New Roman"/>
      <w:kern w:val="2"/>
      <w:sz w:val="21"/>
      <w:szCs w:val="22"/>
      <w:lang w:val="en-US" w:eastAsia="zh-CN" w:bidi="ar-SA"/>
    </w:rPr>
  </w:style>
  <w:style w:type="table" w:customStyle="1" w:styleId="53">
    <w:name w:val="Table Normal"/>
    <w:semiHidden/>
    <w:unhideWhenUsed/>
    <w:qFormat/>
    <w:uiPriority w:val="2"/>
    <w:tblPr>
      <w:tblCellMar>
        <w:top w:w="0" w:type="dxa"/>
        <w:left w:w="0" w:type="dxa"/>
        <w:bottom w:w="0" w:type="dxa"/>
        <w:right w:w="0" w:type="dxa"/>
      </w:tblCellMar>
    </w:tblPr>
  </w:style>
  <w:style w:type="paragraph" w:styleId="54">
    <w:name w:val="List Paragraph"/>
    <w:basedOn w:val="1"/>
    <w:link w:val="68"/>
    <w:qFormat/>
    <w:uiPriority w:val="34"/>
    <w:pPr>
      <w:ind w:left="528" w:firstLine="480"/>
    </w:pPr>
  </w:style>
  <w:style w:type="paragraph" w:customStyle="1" w:styleId="55">
    <w:name w:val="Table Paragraph"/>
    <w:basedOn w:val="1"/>
    <w:qFormat/>
    <w:uiPriority w:val="1"/>
  </w:style>
  <w:style w:type="character" w:customStyle="1" w:styleId="56">
    <w:name w:val="页眉 Char"/>
    <w:basedOn w:val="44"/>
    <w:link w:val="28"/>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7">
    <w:name w:val="页脚 Char"/>
    <w:basedOn w:val="44"/>
    <w:link w:val="27"/>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8">
    <w:name w:val="批注框文本 Char"/>
    <w:basedOn w:val="44"/>
    <w:link w:val="26"/>
    <w:semiHidden/>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9">
    <w:name w:val="纯文本 Char"/>
    <w:link w:val="22"/>
    <w:qFormat/>
    <w:uiPriority w:val="0"/>
    <w:rPr>
      <w:rFonts w:ascii="宋体" w:hAnsi="Courier New" w:eastAsia="宋体"/>
      <w:kern w:val="2"/>
      <w:sz w:val="21"/>
      <w:lang w:eastAsia="zh-CN"/>
    </w:rPr>
  </w:style>
  <w:style w:type="character" w:customStyle="1" w:styleId="60">
    <w:name w:val="纯文本 Char1"/>
    <w:basedOn w:val="44"/>
    <w:qFormat/>
    <w:uiPriority w:val="0"/>
    <w:rPr>
      <w:rFonts w:ascii="宋体" w:hAnsi="Courier New" w:eastAsia="宋体" w:cs="Courier New"/>
      <w:sz w:val="21"/>
      <w:szCs w:val="21"/>
      <w:lang w:val="zh-CN" w:eastAsia="zh-CN" w:bidi="zh-CN"/>
    </w:rPr>
  </w:style>
  <w:style w:type="character" w:customStyle="1" w:styleId="61">
    <w:name w:val="标题 3 Char"/>
    <w:basedOn w:val="44"/>
    <w:link w:val="7"/>
    <w:qFormat/>
    <w:uiPriority w:val="0"/>
    <w:rPr>
      <w:rFonts w:ascii="Noto Sans Mono CJK JP Regular" w:hAnsi="Noto Sans Mono CJK JP Regular" w:eastAsia="Noto Sans Mono CJK JP Regular" w:cs="Noto Sans Mono CJK JP Regular"/>
      <w:b/>
      <w:bCs/>
      <w:sz w:val="32"/>
      <w:szCs w:val="32"/>
      <w:lang w:val="zh-CN" w:eastAsia="zh-CN" w:bidi="zh-CN"/>
    </w:rPr>
  </w:style>
  <w:style w:type="character" w:customStyle="1" w:styleId="62">
    <w:name w:val="正文文本缩进 2 Char"/>
    <w:basedOn w:val="44"/>
    <w:link w:val="25"/>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63">
    <w:name w:val="正文文本缩进 Char"/>
    <w:basedOn w:val="44"/>
    <w:link w:val="3"/>
    <w:qFormat/>
    <w:uiPriority w:val="0"/>
    <w:rPr>
      <w:rFonts w:ascii="Noto Sans Mono CJK JP Regular" w:hAnsi="Noto Sans Mono CJK JP Regular" w:eastAsia="Noto Sans Mono CJK JP Regular" w:cs="Noto Sans Mono CJK JP Regular"/>
      <w:lang w:val="zh-CN" w:eastAsia="zh-CN" w:bidi="zh-CN"/>
    </w:rPr>
  </w:style>
  <w:style w:type="paragraph" w:customStyle="1" w:styleId="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65">
    <w:name w:val="样式 样式 样式 样式 标题 2 + 宋体 五号 非加粗 黑色 + 段前: 6 磅 段后: 0 磅 行距: 单倍行距 + 段前:..."/>
    <w:basedOn w:val="1"/>
    <w:qFormat/>
    <w:uiPriority w:val="0"/>
    <w:pPr>
      <w:keepNext/>
      <w:keepLines/>
      <w:autoSpaceDE/>
      <w:autoSpaceDN/>
      <w:adjustRightInd w:val="0"/>
      <w:spacing w:before="240"/>
      <w:jc w:val="both"/>
      <w:textAlignment w:val="baseline"/>
      <w:outlineLvl w:val="1"/>
    </w:pPr>
    <w:rPr>
      <w:rFonts w:ascii="宋体" w:hAnsi="宋体" w:eastAsia="宋体" w:cs="Times New Roman"/>
      <w:b/>
      <w:bCs/>
      <w:sz w:val="21"/>
      <w:szCs w:val="20"/>
      <w:lang w:val="en-US" w:bidi="ar-SA"/>
    </w:rPr>
  </w:style>
  <w:style w:type="character" w:customStyle="1" w:styleId="66">
    <w:name w:val="font31"/>
    <w:qFormat/>
    <w:uiPriority w:val="0"/>
    <w:rPr>
      <w:rFonts w:hint="eastAsia" w:ascii="宋体" w:hAnsi="宋体" w:eastAsia="宋体" w:cs="宋体"/>
      <w:b/>
      <w:color w:val="000000"/>
      <w:sz w:val="20"/>
      <w:szCs w:val="20"/>
      <w:u w:val="none"/>
    </w:rPr>
  </w:style>
  <w:style w:type="character" w:customStyle="1" w:styleId="67">
    <w:name w:val="标题 1 Char"/>
    <w:link w:val="5"/>
    <w:qFormat/>
    <w:uiPriority w:val="0"/>
    <w:rPr>
      <w:sz w:val="32"/>
      <w:szCs w:val="32"/>
    </w:rPr>
  </w:style>
  <w:style w:type="character" w:customStyle="1" w:styleId="68">
    <w:name w:val="列出段落 Char"/>
    <w:link w:val="54"/>
    <w:qFormat/>
    <w:uiPriority w:val="34"/>
    <w:rPr>
      <w:rFonts w:ascii="Noto Sans Mono CJK JP Regular" w:hAnsi="Noto Sans Mono CJK JP Regular" w:eastAsia="Noto Sans Mono CJK JP Regular" w:cs="Noto Sans Mono CJK JP Regular"/>
      <w:sz w:val="22"/>
      <w:szCs w:val="22"/>
      <w:lang w:val="zh-CN" w:bidi="zh-CN"/>
    </w:rPr>
  </w:style>
  <w:style w:type="paragraph" w:customStyle="1" w:styleId="6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default"/>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71">
    <w:name w:val="apple-converted-space"/>
    <w:basedOn w:val="44"/>
    <w:qFormat/>
    <w:uiPriority w:val="0"/>
  </w:style>
  <w:style w:type="character" w:customStyle="1" w:styleId="72">
    <w:name w:val="标题 4 Char"/>
    <w:basedOn w:val="44"/>
    <w:link w:val="9"/>
    <w:qFormat/>
    <w:uiPriority w:val="9"/>
    <w:rPr>
      <w:rFonts w:ascii="Cambria" w:hAnsi="Cambria" w:eastAsia="宋体" w:cs="Times New Roman"/>
      <w:b/>
      <w:bCs/>
      <w:kern w:val="2"/>
      <w:sz w:val="28"/>
      <w:szCs w:val="28"/>
    </w:rPr>
  </w:style>
  <w:style w:type="character" w:customStyle="1" w:styleId="73">
    <w:name w:val="标题 6 Char"/>
    <w:basedOn w:val="44"/>
    <w:link w:val="10"/>
    <w:qFormat/>
    <w:uiPriority w:val="0"/>
    <w:rPr>
      <w:rFonts w:ascii="Arial" w:hAnsi="Arial" w:eastAsia="黑体" w:cs="Times New Roman"/>
      <w:b/>
      <w:bCs/>
      <w:kern w:val="2"/>
      <w:sz w:val="24"/>
      <w:szCs w:val="24"/>
    </w:rPr>
  </w:style>
  <w:style w:type="paragraph" w:customStyle="1" w:styleId="74">
    <w:name w:val="列出段落1"/>
    <w:basedOn w:val="1"/>
    <w:link w:val="213"/>
    <w:qFormat/>
    <w:uiPriority w:val="0"/>
    <w:pPr>
      <w:autoSpaceDE/>
      <w:autoSpaceDN/>
      <w:ind w:firstLine="420" w:firstLineChars="200"/>
      <w:jc w:val="both"/>
    </w:pPr>
    <w:rPr>
      <w:rFonts w:ascii="Times New Roman" w:hAnsi="Times New Roman" w:eastAsia="宋体" w:cs="Times New Roman"/>
      <w:kern w:val="2"/>
      <w:sz w:val="21"/>
      <w:szCs w:val="24"/>
      <w:lang w:bidi="ar-SA"/>
    </w:rPr>
  </w:style>
  <w:style w:type="character" w:customStyle="1" w:styleId="75">
    <w:name w:val="正文缩进 Char"/>
    <w:link w:val="8"/>
    <w:qFormat/>
    <w:uiPriority w:val="0"/>
    <w:rPr>
      <w:rFonts w:ascii="Arial" w:hAnsi="Arial" w:eastAsia="宋体" w:cs="Times New Roman"/>
      <w:kern w:val="2"/>
      <w:sz w:val="24"/>
    </w:rPr>
  </w:style>
  <w:style w:type="paragraph" w:customStyle="1" w:styleId="76">
    <w:name w:val="列表1"/>
    <w:basedOn w:val="1"/>
    <w:link w:val="77"/>
    <w:qFormat/>
    <w:uiPriority w:val="0"/>
    <w:pPr>
      <w:numPr>
        <w:ilvl w:val="0"/>
        <w:numId w:val="1"/>
      </w:numPr>
      <w:autoSpaceDE/>
      <w:autoSpaceDN/>
      <w:jc w:val="both"/>
    </w:pPr>
    <w:rPr>
      <w:rFonts w:ascii="Century" w:hAnsi="Century" w:eastAsia="宋体" w:cs="Times New Roman"/>
      <w:kern w:val="2"/>
      <w:sz w:val="21"/>
      <w:szCs w:val="21"/>
      <w:lang w:bidi="ar-SA"/>
    </w:rPr>
  </w:style>
  <w:style w:type="character" w:customStyle="1" w:styleId="77">
    <w:name w:val="列表1 Char Char"/>
    <w:link w:val="76"/>
    <w:qFormat/>
    <w:uiPriority w:val="0"/>
    <w:rPr>
      <w:rFonts w:ascii="Century" w:hAnsi="Century" w:eastAsia="宋体" w:cs="Times New Roman"/>
      <w:kern w:val="2"/>
      <w:sz w:val="21"/>
      <w:szCs w:val="21"/>
    </w:rPr>
  </w:style>
  <w:style w:type="paragraph" w:customStyle="1" w:styleId="78">
    <w:name w:val="样式6 列表并列"/>
    <w:link w:val="79"/>
    <w:qFormat/>
    <w:uiPriority w:val="0"/>
    <w:pPr>
      <w:widowControl w:val="0"/>
      <w:numPr>
        <w:ilvl w:val="0"/>
        <w:numId w:val="2"/>
      </w:numPr>
      <w:spacing w:before="40" w:after="40" w:line="240" w:lineRule="atLeast"/>
      <w:ind w:left="840" w:hanging="420"/>
      <w:textAlignment w:val="center"/>
    </w:pPr>
    <w:rPr>
      <w:rFonts w:ascii="Arial" w:hAnsi="Arial" w:eastAsia="宋体" w:cs="Times New Roman"/>
      <w:kern w:val="21"/>
      <w:sz w:val="21"/>
      <w:szCs w:val="24"/>
      <w:lang w:val="en-US" w:eastAsia="zh-CN" w:bidi="ar-SA"/>
    </w:rPr>
  </w:style>
  <w:style w:type="character" w:customStyle="1" w:styleId="79">
    <w:name w:val="样式6 列表并列 Char"/>
    <w:link w:val="78"/>
    <w:qFormat/>
    <w:uiPriority w:val="0"/>
    <w:rPr>
      <w:rFonts w:ascii="Arial" w:hAnsi="Arial" w:eastAsia="宋体" w:cs="Times New Roman"/>
      <w:kern w:val="21"/>
      <w:sz w:val="21"/>
      <w:szCs w:val="24"/>
    </w:rPr>
  </w:style>
  <w:style w:type="paragraph" w:customStyle="1" w:styleId="80">
    <w:name w:val="样式 三号"/>
    <w:basedOn w:val="1"/>
    <w:qFormat/>
    <w:uiPriority w:val="0"/>
    <w:pPr>
      <w:autoSpaceDE/>
      <w:autoSpaceDN/>
      <w:ind w:firstLine="640" w:firstLineChars="200"/>
      <w:jc w:val="both"/>
    </w:pPr>
    <w:rPr>
      <w:rFonts w:ascii="Times New Roman" w:hAnsi="Times New Roman" w:eastAsia="宋体" w:cs="宋体"/>
      <w:kern w:val="2"/>
      <w:sz w:val="21"/>
      <w:szCs w:val="20"/>
      <w:lang w:val="en-US" w:bidi="ar-SA"/>
    </w:rPr>
  </w:style>
  <w:style w:type="character" w:customStyle="1" w:styleId="81">
    <w:name w:val="批注文字 Char"/>
    <w:basedOn w:val="44"/>
    <w:link w:val="18"/>
    <w:qFormat/>
    <w:uiPriority w:val="0"/>
    <w:rPr>
      <w:rFonts w:ascii="Times New Roman" w:hAnsi="Times New Roman" w:eastAsia="宋体" w:cs="Times New Roman"/>
      <w:kern w:val="2"/>
      <w:sz w:val="21"/>
      <w:szCs w:val="24"/>
    </w:rPr>
  </w:style>
  <w:style w:type="paragraph" w:customStyle="1" w:styleId="82">
    <w:name w:val="样式5 列表步骤"/>
    <w:qFormat/>
    <w:uiPriority w:val="0"/>
    <w:pPr>
      <w:widowControl w:val="0"/>
      <w:numPr>
        <w:ilvl w:val="4"/>
        <w:numId w:val="3"/>
      </w:numPr>
      <w:spacing w:line="320" w:lineRule="atLeast"/>
      <w:textAlignment w:val="center"/>
    </w:pPr>
    <w:rPr>
      <w:rFonts w:ascii="Arial" w:hAnsi="Arial" w:eastAsia="宋体" w:cs="Times New Roman"/>
      <w:kern w:val="21"/>
      <w:sz w:val="21"/>
      <w:lang w:val="en-US" w:eastAsia="zh-CN" w:bidi="ar-SA"/>
    </w:rPr>
  </w:style>
  <w:style w:type="paragraph" w:customStyle="1" w:styleId="83">
    <w:name w:val="正文-缩进"/>
    <w:qFormat/>
    <w:uiPriority w:val="0"/>
    <w:pPr>
      <w:widowControl w:val="0"/>
      <w:spacing w:before="40" w:after="40" w:line="240" w:lineRule="atLeast"/>
      <w:ind w:firstLine="200" w:firstLineChars="200"/>
      <w:jc w:val="both"/>
      <w:textAlignment w:val="center"/>
    </w:pPr>
    <w:rPr>
      <w:rFonts w:ascii="Arial" w:hAnsi="Arial" w:eastAsia="宋体" w:cs="Times New Roman"/>
      <w:kern w:val="21"/>
      <w:sz w:val="21"/>
      <w:lang w:val="en-US" w:eastAsia="zh-CN" w:bidi="ar-SA"/>
    </w:rPr>
  </w:style>
  <w:style w:type="character" w:customStyle="1" w:styleId="84">
    <w:name w:val="脚注文本 Char"/>
    <w:basedOn w:val="44"/>
    <w:link w:val="15"/>
    <w:qFormat/>
    <w:uiPriority w:val="99"/>
    <w:rPr>
      <w:rFonts w:ascii="Calibri" w:hAnsi="Calibri" w:eastAsia="宋体" w:cs="Times New Roman"/>
      <w:kern w:val="2"/>
      <w:sz w:val="18"/>
      <w:szCs w:val="18"/>
    </w:rPr>
  </w:style>
  <w:style w:type="paragraph" w:customStyle="1" w:styleId="85">
    <w:name w:val="样式3"/>
    <w:basedOn w:val="1"/>
    <w:qFormat/>
    <w:uiPriority w:val="0"/>
    <w:pPr>
      <w:autoSpaceDE/>
      <w:autoSpaceDN/>
      <w:spacing w:line="300" w:lineRule="auto"/>
      <w:jc w:val="both"/>
    </w:pPr>
    <w:rPr>
      <w:rFonts w:ascii="宋体" w:hAnsi="Times New Roman" w:eastAsia="宋体" w:cs="Times New Roman"/>
      <w:kern w:val="2"/>
      <w:sz w:val="24"/>
      <w:szCs w:val="24"/>
      <w:lang w:val="en-US" w:bidi="ar-SA"/>
    </w:rPr>
  </w:style>
  <w:style w:type="character" w:customStyle="1" w:styleId="86">
    <w:name w:val="标题 2 Char"/>
    <w:link w:val="6"/>
    <w:qFormat/>
    <w:uiPriority w:val="0"/>
    <w:rPr>
      <w:rFonts w:ascii="Noto Sans Mono CJK JP Regular" w:hAnsi="Noto Sans Mono CJK JP Regular" w:eastAsia="Noto Sans Mono CJK JP Regular" w:cs="Noto Sans Mono CJK JP Regular"/>
      <w:sz w:val="28"/>
      <w:szCs w:val="28"/>
      <w:lang w:val="zh-CN" w:bidi="zh-CN"/>
    </w:rPr>
  </w:style>
  <w:style w:type="paragraph" w:customStyle="1" w:styleId="87">
    <w:name w:val="模板普通正文"/>
    <w:basedOn w:val="3"/>
    <w:qFormat/>
    <w:uiPriority w:val="0"/>
    <w:pPr>
      <w:autoSpaceDE/>
      <w:autoSpaceDN/>
      <w:spacing w:beforeLines="50" w:after="10" w:line="360" w:lineRule="auto"/>
      <w:ind w:left="0" w:leftChars="0" w:firstLine="490" w:firstLineChars="175"/>
    </w:pPr>
    <w:rPr>
      <w:rFonts w:ascii="Times New Roman" w:hAnsi="Times New Roman" w:eastAsia="宋体" w:cs="Times New Roman"/>
      <w:kern w:val="2"/>
      <w:sz w:val="24"/>
      <w:szCs w:val="24"/>
      <w:lang w:bidi="ar-SA"/>
    </w:rPr>
  </w:style>
  <w:style w:type="character" w:customStyle="1" w:styleId="88">
    <w:name w:val="正文文本 Char"/>
    <w:link w:val="19"/>
    <w:qFormat/>
    <w:uiPriority w:val="0"/>
    <w:rPr>
      <w:rFonts w:ascii="Noto Sans Mono CJK JP Regular" w:hAnsi="Noto Sans Mono CJK JP Regular" w:eastAsia="Noto Sans Mono CJK JP Regular" w:cs="Noto Sans Mono CJK JP Regular"/>
      <w:sz w:val="24"/>
      <w:szCs w:val="24"/>
      <w:lang w:val="zh-CN" w:bidi="zh-CN"/>
    </w:rPr>
  </w:style>
  <w:style w:type="character" w:customStyle="1" w:styleId="89">
    <w:name w:val="font41"/>
    <w:qFormat/>
    <w:uiPriority w:val="0"/>
    <w:rPr>
      <w:rFonts w:hint="eastAsia" w:ascii="宋体" w:hAnsi="宋体" w:eastAsia="宋体" w:cs="宋体"/>
      <w:color w:val="000000"/>
      <w:sz w:val="22"/>
      <w:szCs w:val="22"/>
      <w:u w:val="none"/>
    </w:rPr>
  </w:style>
  <w:style w:type="character" w:customStyle="1" w:styleId="90">
    <w:name w:val="font21"/>
    <w:qFormat/>
    <w:uiPriority w:val="0"/>
    <w:rPr>
      <w:rFonts w:ascii="Arial Unicode MS" w:hAnsi="Arial Unicode MS" w:eastAsia="Arial Unicode MS" w:cs="Arial Unicode MS"/>
      <w:color w:val="000000"/>
      <w:sz w:val="22"/>
      <w:szCs w:val="22"/>
      <w:u w:val="none"/>
    </w:rPr>
  </w:style>
  <w:style w:type="character" w:customStyle="1" w:styleId="91">
    <w:name w:val="font11"/>
    <w:qFormat/>
    <w:uiPriority w:val="0"/>
    <w:rPr>
      <w:rFonts w:hint="eastAsia" w:ascii="宋体" w:hAnsi="宋体" w:eastAsia="宋体" w:cs="宋体"/>
      <w:color w:val="000000"/>
      <w:sz w:val="20"/>
      <w:szCs w:val="20"/>
      <w:u w:val="none"/>
    </w:rPr>
  </w:style>
  <w:style w:type="paragraph" w:customStyle="1" w:styleId="92">
    <w:name w:val="样式 标题 2 + Times New Roman 四号 非加粗 段前: 5 磅 段后: 0 磅 行距: 固定值 20..."/>
    <w:basedOn w:val="6"/>
    <w:qFormat/>
    <w:uiPriority w:val="0"/>
    <w:pPr>
      <w:keepNext/>
      <w:keepLines/>
      <w:tabs>
        <w:tab w:val="left" w:pos="690"/>
      </w:tabs>
      <w:autoSpaceDE/>
      <w:autoSpaceDN/>
      <w:spacing w:before="100" w:line="400" w:lineRule="exact"/>
      <w:jc w:val="both"/>
    </w:pPr>
    <w:rPr>
      <w:rFonts w:ascii="Times New Roman" w:hAnsi="Times New Roman" w:eastAsia="黑体" w:cs="宋体"/>
      <w:kern w:val="2"/>
      <w:szCs w:val="20"/>
      <w:lang w:bidi="ar-SA"/>
    </w:rPr>
  </w:style>
  <w:style w:type="character" w:customStyle="1" w:styleId="93">
    <w:name w:val="param-name"/>
    <w:basedOn w:val="44"/>
    <w:qFormat/>
    <w:uiPriority w:val="0"/>
  </w:style>
  <w:style w:type="character" w:customStyle="1" w:styleId="94">
    <w:name w:val="font01"/>
    <w:qFormat/>
    <w:uiPriority w:val="0"/>
    <w:rPr>
      <w:rFonts w:hint="eastAsia" w:ascii="宋体" w:hAnsi="宋体" w:eastAsia="宋体" w:cs="宋体"/>
      <w:color w:val="FF0000"/>
      <w:sz w:val="20"/>
      <w:szCs w:val="20"/>
      <w:u w:val="none"/>
    </w:rPr>
  </w:style>
  <w:style w:type="character" w:customStyle="1" w:styleId="95">
    <w:name w:val="font81"/>
    <w:qFormat/>
    <w:uiPriority w:val="0"/>
    <w:rPr>
      <w:rFonts w:hint="default" w:ascii="华文中宋" w:hAnsi="华文中宋" w:eastAsia="华文中宋" w:cs="华文中宋"/>
      <w:color w:val="000000"/>
      <w:sz w:val="18"/>
      <w:szCs w:val="18"/>
      <w:u w:val="none"/>
    </w:rPr>
  </w:style>
  <w:style w:type="character" w:customStyle="1" w:styleId="96">
    <w:name w:val="font51"/>
    <w:qFormat/>
    <w:uiPriority w:val="0"/>
    <w:rPr>
      <w:rFonts w:hint="eastAsia" w:ascii="宋体" w:hAnsi="宋体" w:eastAsia="宋体" w:cs="宋体"/>
      <w:color w:val="000000"/>
      <w:sz w:val="18"/>
      <w:szCs w:val="18"/>
      <w:u w:val="none"/>
    </w:rPr>
  </w:style>
  <w:style w:type="paragraph" w:customStyle="1" w:styleId="97">
    <w:name w:val="_Style 3"/>
    <w:basedOn w:val="1"/>
    <w:qFormat/>
    <w:uiPriority w:val="34"/>
    <w:pPr>
      <w:widowControl/>
      <w:autoSpaceDE/>
      <w:autoSpaceDN/>
      <w:adjustRightInd w:val="0"/>
      <w:snapToGrid w:val="0"/>
      <w:spacing w:line="360" w:lineRule="auto"/>
      <w:ind w:firstLine="420" w:firstLineChars="200"/>
    </w:pPr>
    <w:rPr>
      <w:rFonts w:ascii="Times New Roman" w:hAnsi="Times New Roman" w:eastAsia="宋体" w:cs="Times New Roman"/>
      <w:sz w:val="24"/>
      <w:szCs w:val="20"/>
      <w:lang w:val="en-US" w:bidi="ar-SA"/>
    </w:rPr>
  </w:style>
  <w:style w:type="character" w:customStyle="1" w:styleId="98">
    <w:name w:val="all-desc"/>
    <w:qFormat/>
    <w:uiPriority w:val="0"/>
  </w:style>
  <w:style w:type="character" w:customStyle="1" w:styleId="99">
    <w:name w:val="mark12"/>
    <w:qFormat/>
    <w:uiPriority w:val="0"/>
  </w:style>
  <w:style w:type="character" w:customStyle="1" w:styleId="100">
    <w:name w:val="Char Char16"/>
    <w:qFormat/>
    <w:uiPriority w:val="0"/>
    <w:rPr>
      <w:rFonts w:ascii="Times New Roman" w:hAnsi="Times New Roman" w:eastAsia="宋体" w:cs="Times New Roman"/>
      <w:b/>
      <w:bCs/>
      <w:sz w:val="32"/>
      <w:szCs w:val="32"/>
    </w:rPr>
  </w:style>
  <w:style w:type="character" w:customStyle="1" w:styleId="101">
    <w:name w:val="c_right2"/>
    <w:qFormat/>
    <w:uiPriority w:val="0"/>
    <w:rPr>
      <w:sz w:val="21"/>
      <w:szCs w:val="21"/>
    </w:rPr>
  </w:style>
  <w:style w:type="character" w:customStyle="1" w:styleId="102">
    <w:name w:val="普通文字1 Char"/>
    <w:qFormat/>
    <w:uiPriority w:val="0"/>
    <w:rPr>
      <w:rFonts w:ascii="宋体" w:hAnsi="Courier New" w:eastAsia="宋体"/>
      <w:kern w:val="2"/>
      <w:sz w:val="21"/>
      <w:lang w:val="en-US" w:eastAsia="zh-CN" w:bidi="ar-SA"/>
    </w:rPr>
  </w:style>
  <w:style w:type="character" w:customStyle="1" w:styleId="103">
    <w:name w:val="apple-style-span"/>
    <w:qFormat/>
    <w:uiPriority w:val="0"/>
  </w:style>
  <w:style w:type="character" w:customStyle="1" w:styleId="104">
    <w:name w:val="标题 2 Char1"/>
    <w:link w:val="6"/>
    <w:qFormat/>
    <w:uiPriority w:val="0"/>
    <w:rPr>
      <w:rFonts w:ascii="Arial" w:hAnsi="Arial" w:eastAsia="黑体"/>
      <w:b/>
      <w:bCs/>
      <w:kern w:val="2"/>
      <w:sz w:val="32"/>
      <w:szCs w:val="32"/>
      <w:lang w:val="en-US" w:eastAsia="zh-CN" w:bidi="ar-SA"/>
    </w:rPr>
  </w:style>
  <w:style w:type="character" w:customStyle="1" w:styleId="105">
    <w:name w:val="font71"/>
    <w:qFormat/>
    <w:uiPriority w:val="0"/>
    <w:rPr>
      <w:rFonts w:hint="eastAsia" w:ascii="宋体" w:hAnsi="宋体" w:eastAsia="宋体" w:cs="宋体"/>
      <w:color w:val="FF0000"/>
      <w:sz w:val="18"/>
      <w:szCs w:val="18"/>
      <w:u w:val="none"/>
    </w:rPr>
  </w:style>
  <w:style w:type="character" w:customStyle="1" w:styleId="106">
    <w:name w:val="Default Text Char"/>
    <w:link w:val="107"/>
    <w:qFormat/>
    <w:uiPriority w:val="0"/>
    <w:rPr>
      <w:color w:val="000000"/>
      <w:sz w:val="24"/>
      <w:szCs w:val="24"/>
    </w:rPr>
  </w:style>
  <w:style w:type="paragraph" w:customStyle="1" w:styleId="107">
    <w:name w:val="Default Text"/>
    <w:link w:val="106"/>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108">
    <w:name w:val="style11"/>
    <w:qFormat/>
    <w:uiPriority w:val="0"/>
    <w:rPr>
      <w:rFonts w:hint="default" w:ascii="Arial" w:hAnsi="Arial" w:cs="Arial"/>
      <w:b/>
      <w:bCs/>
    </w:rPr>
  </w:style>
  <w:style w:type="character" w:customStyle="1" w:styleId="109">
    <w:name w:val="sub_title s0"/>
    <w:qFormat/>
    <w:uiPriority w:val="0"/>
  </w:style>
  <w:style w:type="character" w:customStyle="1" w:styleId="110">
    <w:name w:val="font61"/>
    <w:qFormat/>
    <w:uiPriority w:val="0"/>
    <w:rPr>
      <w:rFonts w:hint="eastAsia" w:ascii="宋体" w:hAnsi="宋体" w:eastAsia="宋体" w:cs="宋体"/>
      <w:color w:val="000000"/>
      <w:sz w:val="18"/>
      <w:szCs w:val="18"/>
      <w:u w:val="none"/>
    </w:rPr>
  </w:style>
  <w:style w:type="character" w:customStyle="1" w:styleId="111">
    <w:name w:val="H2 Char"/>
    <w:qFormat/>
    <w:uiPriority w:val="0"/>
    <w:rPr>
      <w:rFonts w:ascii="Arial" w:hAnsi="Arial" w:eastAsia="华文中宋"/>
      <w:b/>
      <w:bCs/>
      <w:kern w:val="2"/>
      <w:sz w:val="28"/>
      <w:szCs w:val="32"/>
    </w:rPr>
  </w:style>
  <w:style w:type="character" w:customStyle="1" w:styleId="112">
    <w:name w:val="font91"/>
    <w:qFormat/>
    <w:uiPriority w:val="0"/>
    <w:rPr>
      <w:rFonts w:hint="eastAsia" w:ascii="BatangChe" w:hAnsi="BatangChe" w:eastAsia="BatangChe" w:cs="BatangChe"/>
      <w:color w:val="auto"/>
      <w:sz w:val="18"/>
      <w:szCs w:val="18"/>
      <w:u w:val="none"/>
    </w:rPr>
  </w:style>
  <w:style w:type="paragraph" w:customStyle="1" w:styleId="113">
    <w:name w:val="Char Char Char"/>
    <w:basedOn w:val="1"/>
    <w:qFormat/>
    <w:uiPriority w:val="0"/>
    <w:pPr>
      <w:numPr>
        <w:ilvl w:val="0"/>
        <w:numId w:val="4"/>
      </w:numPr>
      <w:tabs>
        <w:tab w:val="left" w:pos="1200"/>
      </w:tabs>
      <w:autoSpaceDE/>
      <w:autoSpaceDN/>
      <w:adjustRightInd w:val="0"/>
      <w:snapToGrid w:val="0"/>
      <w:spacing w:line="360" w:lineRule="auto"/>
      <w:ind w:left="1200" w:hanging="360"/>
    </w:pPr>
    <w:rPr>
      <w:rFonts w:ascii="Times New Roman" w:hAnsi="Times New Roman" w:eastAsia="宋体" w:cs="Times New Roman"/>
      <w:kern w:val="2"/>
      <w:sz w:val="24"/>
      <w:szCs w:val="24"/>
      <w:lang w:val="en-US" w:bidi="ar-SA"/>
    </w:rPr>
  </w:style>
  <w:style w:type="character" w:customStyle="1" w:styleId="114">
    <w:name w:val="批注主题 Char"/>
    <w:basedOn w:val="81"/>
    <w:link w:val="40"/>
    <w:qFormat/>
    <w:uiPriority w:val="0"/>
    <w:rPr>
      <w:rFonts w:ascii="Times New Roman" w:hAnsi="Times New Roman" w:eastAsia="宋体" w:cs="Times New Roman"/>
      <w:b/>
      <w:kern w:val="2"/>
      <w:sz w:val="24"/>
      <w:szCs w:val="24"/>
    </w:rPr>
  </w:style>
  <w:style w:type="paragraph" w:customStyle="1" w:styleId="115">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16">
    <w:name w:val="xl27"/>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17">
    <w:name w:val="默认段落字体 Para Char"/>
    <w:basedOn w:val="1"/>
    <w:qFormat/>
    <w:uiPriority w:val="0"/>
    <w:pPr>
      <w:autoSpaceDE/>
      <w:autoSpaceDN/>
      <w:adjustRightInd w:val="0"/>
      <w:snapToGrid w:val="0"/>
      <w:spacing w:line="360" w:lineRule="auto"/>
    </w:pPr>
    <w:rPr>
      <w:rFonts w:ascii="宋体" w:hAnsi="宋体" w:eastAsia="宋体" w:cs="宋体"/>
      <w:sz w:val="24"/>
      <w:szCs w:val="20"/>
      <w:lang w:val="en-US" w:bidi="ar-SA"/>
    </w:rPr>
  </w:style>
  <w:style w:type="paragraph" w:customStyle="1" w:styleId="118">
    <w:name w:val="font8"/>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b/>
      <w:bCs/>
      <w:sz w:val="17"/>
      <w:szCs w:val="17"/>
      <w:lang w:val="en-US" w:bidi="ar-SA"/>
    </w:rPr>
  </w:style>
  <w:style w:type="character" w:customStyle="1" w:styleId="119">
    <w:name w:val="正文文本缩进 3 Char"/>
    <w:basedOn w:val="44"/>
    <w:link w:val="34"/>
    <w:qFormat/>
    <w:uiPriority w:val="0"/>
    <w:rPr>
      <w:rFonts w:ascii="Times New Roman" w:hAnsi="Times New Roman" w:eastAsia="宋体" w:cs="Times New Roman"/>
      <w:kern w:val="2"/>
      <w:sz w:val="16"/>
      <w:szCs w:val="16"/>
    </w:rPr>
  </w:style>
  <w:style w:type="paragraph" w:customStyle="1" w:styleId="120">
    <w:name w:val="xl24"/>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sz w:val="20"/>
      <w:szCs w:val="20"/>
      <w:lang w:val="en-US" w:bidi="ar-SA"/>
    </w:rPr>
  </w:style>
  <w:style w:type="paragraph" w:customStyle="1" w:styleId="121">
    <w:name w:val="Char Char1 Char Char Char Char Char Char"/>
    <w:basedOn w:val="1"/>
    <w:qFormat/>
    <w:uiPriority w:val="0"/>
    <w:pPr>
      <w:widowControl/>
      <w:autoSpaceDE/>
      <w:autoSpaceDN/>
      <w:adjustRightInd w:val="0"/>
      <w:snapToGrid w:val="0"/>
      <w:spacing w:beforeLines="25" w:afterLines="25" w:line="240" w:lineRule="exact"/>
      <w:ind w:firstLine="560" w:firstLineChars="192"/>
    </w:pPr>
    <w:rPr>
      <w:rFonts w:ascii="宋体" w:hAnsi="宋体" w:eastAsia="宋体" w:cs="Times New Roman"/>
      <w:sz w:val="28"/>
      <w:szCs w:val="28"/>
      <w:lang w:val="en-US" w:eastAsia="en-US" w:bidi="ar-SA"/>
    </w:rPr>
  </w:style>
  <w:style w:type="character" w:customStyle="1" w:styleId="122">
    <w:name w:val="日期 Char"/>
    <w:basedOn w:val="44"/>
    <w:link w:val="24"/>
    <w:qFormat/>
    <w:uiPriority w:val="0"/>
    <w:rPr>
      <w:rFonts w:ascii="Times New Roman" w:hAnsi="Times New Roman" w:eastAsia="宋体" w:cs="Times New Roman"/>
      <w:kern w:val="2"/>
      <w:sz w:val="24"/>
    </w:rPr>
  </w:style>
  <w:style w:type="paragraph" w:customStyle="1" w:styleId="123">
    <w:name w:val="xl28"/>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25">
    <w:name w:val="font7"/>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26">
    <w:name w:val="样式 样式 样式 左侧:  2 字符1 + 首行缩进:  2 字符1 + 首行缩进:  2 字符"/>
    <w:basedOn w:val="1"/>
    <w:qFormat/>
    <w:uiPriority w:val="0"/>
    <w:pPr>
      <w:widowControl/>
      <w:autoSpaceDE/>
      <w:autoSpaceDN/>
      <w:adjustRightInd w:val="0"/>
      <w:snapToGrid w:val="0"/>
      <w:spacing w:before="60" w:after="120" w:line="440" w:lineRule="atLeast"/>
      <w:ind w:firstLine="480"/>
      <w:textAlignment w:val="baseline"/>
    </w:pPr>
    <w:rPr>
      <w:rFonts w:ascii="Times New Roman" w:hAnsi="Times New Roman" w:eastAsia="宋体" w:cs="Times New Roman"/>
      <w:kern w:val="2"/>
      <w:sz w:val="24"/>
      <w:szCs w:val="20"/>
      <w:lang w:val="en-US" w:bidi="ar-SA"/>
    </w:rPr>
  </w:style>
  <w:style w:type="character" w:customStyle="1" w:styleId="127">
    <w:name w:val="正文文本 2 Char"/>
    <w:basedOn w:val="44"/>
    <w:link w:val="37"/>
    <w:qFormat/>
    <w:uiPriority w:val="0"/>
    <w:rPr>
      <w:rFonts w:ascii="Times New Roman" w:hAnsi="Times New Roman" w:eastAsia="宋体" w:cs="Times New Roman"/>
      <w:kern w:val="2"/>
      <w:sz w:val="24"/>
      <w:szCs w:val="24"/>
    </w:rPr>
  </w:style>
  <w:style w:type="character" w:customStyle="1" w:styleId="128">
    <w:name w:val="副标题 Char"/>
    <w:basedOn w:val="44"/>
    <w:link w:val="31"/>
    <w:qFormat/>
    <w:uiPriority w:val="0"/>
    <w:rPr>
      <w:rFonts w:ascii="Cambria" w:hAnsi="Cambria" w:eastAsia="宋体" w:cs="Times New Roman"/>
      <w:sz w:val="24"/>
      <w:szCs w:val="24"/>
      <w:lang w:eastAsia="en-US" w:bidi="en-US"/>
    </w:rPr>
  </w:style>
  <w:style w:type="paragraph" w:customStyle="1" w:styleId="129">
    <w:name w:val="font6"/>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30">
    <w:name w:val="Char"/>
    <w:basedOn w:val="1"/>
    <w:qFormat/>
    <w:uiPriority w:val="0"/>
    <w:pPr>
      <w:autoSpaceDE/>
      <w:autoSpaceDN/>
      <w:adjustRightInd w:val="0"/>
      <w:snapToGrid w:val="0"/>
      <w:spacing w:line="360" w:lineRule="auto"/>
    </w:pPr>
    <w:rPr>
      <w:rFonts w:ascii="Times New Roman" w:hAnsi="Times New Roman" w:eastAsia="宋体" w:cs="Times New Roman"/>
      <w:kern w:val="2"/>
      <w:sz w:val="24"/>
      <w:szCs w:val="20"/>
      <w:lang w:val="en-US" w:bidi="ar-SA"/>
    </w:rPr>
  </w:style>
  <w:style w:type="paragraph" w:customStyle="1" w:styleId="131">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8"/>
      <w:szCs w:val="18"/>
      <w:lang w:val="en-US" w:bidi="ar-SA"/>
    </w:rPr>
  </w:style>
  <w:style w:type="paragraph" w:customStyle="1" w:styleId="132">
    <w:name w:val="Char3"/>
    <w:basedOn w:val="1"/>
    <w:qFormat/>
    <w:uiPriority w:val="0"/>
    <w:pPr>
      <w:autoSpaceDE/>
      <w:autoSpaceDN/>
      <w:adjustRightInd w:val="0"/>
      <w:snapToGrid w:val="0"/>
      <w:spacing w:line="360" w:lineRule="auto"/>
    </w:pPr>
    <w:rPr>
      <w:rFonts w:ascii="仿宋_GB2312" w:hAnsi="Times New Roman" w:eastAsia="仿宋_GB2312" w:cs="仿宋_GB2312"/>
      <w:b/>
      <w:bCs/>
      <w:kern w:val="2"/>
      <w:sz w:val="32"/>
      <w:szCs w:val="32"/>
      <w:lang w:val="en-US" w:bidi="ar-SA"/>
    </w:rPr>
  </w:style>
  <w:style w:type="paragraph" w:customStyle="1" w:styleId="133">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34">
    <w:name w:val="Char Char Char Char Char Char Char Char Char Char Char Char Char Char Char Char"/>
    <w:basedOn w:val="1"/>
    <w:qFormat/>
    <w:uiPriority w:val="0"/>
    <w:pPr>
      <w:tabs>
        <w:tab w:val="left" w:pos="360"/>
      </w:tabs>
      <w:autoSpaceDE/>
      <w:autoSpaceDN/>
      <w:adjustRightInd w:val="0"/>
      <w:snapToGrid w:val="0"/>
      <w:spacing w:line="360" w:lineRule="auto"/>
      <w:ind w:left="482" w:firstLine="200" w:firstLineChars="200"/>
    </w:pPr>
    <w:rPr>
      <w:rFonts w:ascii="宋体" w:hAnsi="Times New Roman" w:eastAsia="宋体" w:cs="Times New Roman"/>
      <w:kern w:val="2"/>
      <w:sz w:val="24"/>
      <w:szCs w:val="24"/>
      <w:lang w:val="en-US" w:bidi="ar-SA"/>
    </w:rPr>
  </w:style>
  <w:style w:type="paragraph" w:customStyle="1" w:styleId="135">
    <w:name w:val="Default Text:1"/>
    <w:basedOn w:val="1"/>
    <w:qFormat/>
    <w:uiPriority w:val="0"/>
    <w:pPr>
      <w:widowControl/>
      <w:overflowPunct w:val="0"/>
      <w:adjustRightInd w:val="0"/>
      <w:snapToGrid w:val="0"/>
      <w:spacing w:line="360" w:lineRule="auto"/>
      <w:textAlignment w:val="baseline"/>
    </w:pPr>
    <w:rPr>
      <w:rFonts w:ascii="Times New Roman" w:hAnsi="Times New Roman" w:eastAsia="宋体" w:cs="Times New Roman"/>
      <w:sz w:val="24"/>
      <w:szCs w:val="24"/>
      <w:lang w:val="en-US" w:bidi="ar-SA"/>
    </w:rPr>
  </w:style>
  <w:style w:type="paragraph" w:customStyle="1" w:styleId="136">
    <w:name w:val="p0"/>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37">
    <w:name w:val="xl72"/>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39">
    <w:name w:val="xl74"/>
    <w:basedOn w:val="1"/>
    <w:qFormat/>
    <w:uiPriority w:val="0"/>
    <w:pPr>
      <w:widowControl/>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40">
    <w:name w:val="font5"/>
    <w:basedOn w:val="1"/>
    <w:qFormat/>
    <w:uiPriority w:val="0"/>
    <w:pPr>
      <w:widowControl/>
      <w:autoSpaceDE/>
      <w:autoSpaceDN/>
      <w:adjustRightInd w:val="0"/>
      <w:snapToGrid w:val="0"/>
      <w:spacing w:before="100" w:beforeAutospacing="1" w:after="100" w:afterAutospacing="1" w:line="360" w:lineRule="auto"/>
    </w:pPr>
    <w:rPr>
      <w:rFonts w:ascii="Tahoma" w:hAnsi="Tahoma" w:eastAsia="宋体" w:cs="Tahoma"/>
      <w:sz w:val="18"/>
      <w:szCs w:val="18"/>
      <w:lang w:val="en-US" w:bidi="ar-SA"/>
    </w:rPr>
  </w:style>
  <w:style w:type="paragraph" w:customStyle="1" w:styleId="141">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2">
    <w:name w:val="Item List"/>
    <w:qFormat/>
    <w:uiPriority w:val="0"/>
    <w:pPr>
      <w:tabs>
        <w:tab w:val="left" w:pos="420"/>
        <w:tab w:val="left" w:pos="709"/>
        <w:tab w:val="left" w:pos="1985"/>
      </w:tabs>
      <w:adjustRightInd w:val="0"/>
      <w:snapToGrid w:val="0"/>
      <w:spacing w:before="80" w:after="80" w:line="240" w:lineRule="atLeast"/>
      <w:ind w:left="420" w:hanging="420"/>
    </w:pPr>
    <w:rPr>
      <w:rFonts w:hint="eastAsia" w:ascii="Times New Roman" w:hAnsi="Times New Roman" w:eastAsia="宋体" w:cs="Arial"/>
      <w:kern w:val="2"/>
      <w:sz w:val="21"/>
      <w:szCs w:val="21"/>
      <w:lang w:val="en-US" w:eastAsia="zh-CN" w:bidi="ar-SA"/>
    </w:rPr>
  </w:style>
  <w:style w:type="paragraph" w:customStyle="1" w:styleId="143">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4">
    <w:name w:val="xl71"/>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45">
    <w:name w:val="样式1"/>
    <w:basedOn w:val="1"/>
    <w:qFormat/>
    <w:uiPriority w:val="0"/>
    <w:pPr>
      <w:autoSpaceDE/>
      <w:autoSpaceDN/>
      <w:adjustRightInd w:val="0"/>
      <w:snapToGrid w:val="0"/>
      <w:jc w:val="center"/>
    </w:pPr>
    <w:rPr>
      <w:rFonts w:ascii="Times New Roman" w:hAnsi="Times New Roman" w:eastAsia="宋体" w:cs="Times New Roman"/>
      <w:kern w:val="2"/>
      <w:sz w:val="21"/>
      <w:szCs w:val="30"/>
      <w:lang w:val="en-US" w:bidi="ar-SA"/>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47">
    <w:name w:val="xl70"/>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8">
    <w:name w:val="Zchn Zchn"/>
    <w:basedOn w:val="1"/>
    <w:qFormat/>
    <w:uiPriority w:val="0"/>
    <w:pPr>
      <w:autoSpaceDE/>
      <w:autoSpaceDN/>
      <w:adjustRightInd w:val="0"/>
      <w:snapToGrid w:val="0"/>
      <w:spacing w:line="360" w:lineRule="auto"/>
    </w:pPr>
    <w:rPr>
      <w:rFonts w:ascii="Tahoma" w:hAnsi="Tahoma" w:eastAsia="宋体" w:cs="Times New Roman"/>
      <w:kern w:val="2"/>
      <w:sz w:val="24"/>
      <w:szCs w:val="20"/>
      <w:lang w:val="en-US" w:bidi="ar-SA"/>
    </w:rPr>
  </w:style>
  <w:style w:type="paragraph" w:customStyle="1" w:styleId="149">
    <w:name w:val="xl26"/>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Tahoma" w:hAnsi="Tahoma" w:eastAsia="宋体" w:cs="Tahoma"/>
      <w:color w:val="000000"/>
      <w:sz w:val="20"/>
      <w:szCs w:val="20"/>
      <w:lang w:val="en-US" w:bidi="ar-SA"/>
    </w:rPr>
  </w:style>
  <w:style w:type="paragraph" w:customStyle="1" w:styleId="150">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7"/>
      <w:szCs w:val="17"/>
      <w:lang w:val="en-US" w:bidi="ar-SA"/>
    </w:rPr>
  </w:style>
  <w:style w:type="paragraph" w:customStyle="1" w:styleId="151">
    <w:name w:val="a2"/>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2">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53">
    <w:name w:val="Char Char Char Char Char Char Char Char Char Char"/>
    <w:basedOn w:val="1"/>
    <w:qFormat/>
    <w:uiPriority w:val="0"/>
    <w:pPr>
      <w:keepNext/>
      <w:keepLines/>
      <w:pageBreakBefore/>
      <w:numPr>
        <w:ilvl w:val="0"/>
        <w:numId w:val="5"/>
      </w:numPr>
      <w:tabs>
        <w:tab w:val="left" w:pos="360"/>
      </w:tabs>
      <w:autoSpaceDE/>
      <w:autoSpaceDN/>
      <w:adjustRightInd w:val="0"/>
      <w:snapToGrid w:val="0"/>
      <w:spacing w:line="360" w:lineRule="auto"/>
      <w:textAlignment w:val="baseline"/>
    </w:pPr>
    <w:rPr>
      <w:rFonts w:ascii="Times New Roman" w:hAnsi="Times New Roman" w:eastAsia="宋体" w:cs="Times New Roman"/>
      <w:kern w:val="2"/>
      <w:sz w:val="24"/>
      <w:szCs w:val="24"/>
      <w:lang w:val="en-US" w:bidi="ar-SA"/>
    </w:rPr>
  </w:style>
  <w:style w:type="paragraph" w:customStyle="1" w:styleId="154">
    <w:name w:val="Char2"/>
    <w:basedOn w:val="1"/>
    <w:qFormat/>
    <w:uiPriority w:val="0"/>
    <w:pPr>
      <w:tabs>
        <w:tab w:val="left" w:pos="425"/>
      </w:tabs>
      <w:autoSpaceDE/>
      <w:autoSpaceDN/>
      <w:adjustRightInd w:val="0"/>
      <w:snapToGrid w:val="0"/>
      <w:spacing w:line="360" w:lineRule="auto"/>
      <w:ind w:left="425" w:hanging="425"/>
    </w:pPr>
    <w:rPr>
      <w:rFonts w:ascii="Times New Roman" w:hAnsi="Times New Roman" w:eastAsia="宋体" w:cs="Times New Roman"/>
      <w:kern w:val="2"/>
      <w:sz w:val="24"/>
      <w:szCs w:val="24"/>
      <w:lang w:val="en-US" w:bidi="ar-SA"/>
    </w:rPr>
  </w:style>
  <w:style w:type="paragraph" w:customStyle="1" w:styleId="155">
    <w:name w:val="正文 + 10 磅"/>
    <w:basedOn w:val="1"/>
    <w:qFormat/>
    <w:uiPriority w:val="0"/>
    <w:pPr>
      <w:widowControl/>
      <w:adjustRightInd w:val="0"/>
      <w:snapToGrid w:val="0"/>
      <w:spacing w:line="360" w:lineRule="auto"/>
    </w:pPr>
    <w:rPr>
      <w:rFonts w:ascii="Times New Roman" w:hAnsi="Times New Roman" w:eastAsia="宋体" w:cs="Times New Roman"/>
      <w:sz w:val="20"/>
      <w:szCs w:val="20"/>
      <w:lang w:val="en-US" w:eastAsia="en-US" w:bidi="ar-SA"/>
    </w:rPr>
  </w:style>
  <w:style w:type="paragraph" w:customStyle="1" w:styleId="156">
    <w:name w:val="reader-word-layer reader-word-s1-9"/>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7">
    <w:name w:val="Char1"/>
    <w:basedOn w:val="1"/>
    <w:qFormat/>
    <w:uiPriority w:val="0"/>
    <w:pPr>
      <w:autoSpaceDE/>
      <w:autoSpaceDN/>
      <w:adjustRightInd w:val="0"/>
      <w:snapToGrid w:val="0"/>
      <w:spacing w:line="360" w:lineRule="auto"/>
    </w:pPr>
    <w:rPr>
      <w:rFonts w:ascii="Times New Roman" w:hAnsi="Times New Roman" w:eastAsia="宋体" w:cs="Times New Roman"/>
      <w:kern w:val="2"/>
      <w:sz w:val="24"/>
      <w:szCs w:val="24"/>
      <w:lang w:val="en-US" w:bidi="ar-SA"/>
    </w:rPr>
  </w:style>
  <w:style w:type="paragraph" w:customStyle="1" w:styleId="158">
    <w:name w:val="标题1T"/>
    <w:basedOn w:val="1"/>
    <w:qFormat/>
    <w:uiPriority w:val="0"/>
    <w:pPr>
      <w:autoSpaceDE/>
      <w:autoSpaceDN/>
      <w:adjustRightInd w:val="0"/>
      <w:snapToGrid w:val="0"/>
      <w:spacing w:line="360" w:lineRule="auto"/>
      <w:ind w:left="180"/>
    </w:pPr>
    <w:rPr>
      <w:rFonts w:ascii="宋体" w:hAnsi="宋体" w:eastAsia="宋体" w:cs="Times New Roman"/>
      <w:b/>
      <w:kern w:val="2"/>
      <w:sz w:val="28"/>
      <w:szCs w:val="20"/>
      <w:lang w:val="en-US" w:bidi="ar-SA"/>
    </w:rPr>
  </w:style>
  <w:style w:type="paragraph" w:customStyle="1" w:styleId="159">
    <w:name w:val="xl29"/>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color w:val="000000"/>
      <w:sz w:val="20"/>
      <w:szCs w:val="20"/>
      <w:lang w:val="en-US" w:bidi="ar-SA"/>
    </w:rPr>
  </w:style>
  <w:style w:type="paragraph" w:customStyle="1" w:styleId="160">
    <w:name w:val="xl25"/>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sz w:val="20"/>
      <w:szCs w:val="20"/>
      <w:lang w:val="en-US" w:bidi="ar-SA"/>
    </w:rPr>
  </w:style>
  <w:style w:type="paragraph" w:customStyle="1" w:styleId="161">
    <w:name w:val="小封面"/>
    <w:next w:val="1"/>
    <w:qFormat/>
    <w:uiPriority w:val="0"/>
    <w:pPr>
      <w:spacing w:line="360" w:lineRule="auto"/>
      <w:jc w:val="center"/>
    </w:pPr>
    <w:rPr>
      <w:rFonts w:ascii="Times New Roman" w:hAnsi="Times New Roman" w:eastAsia="宋体" w:cs="Times New Roman"/>
      <w:b/>
      <w:sz w:val="44"/>
      <w:lang w:val="en-US" w:eastAsia="zh-CN" w:bidi="ar-SA"/>
    </w:rPr>
  </w:style>
  <w:style w:type="paragraph" w:customStyle="1" w:styleId="162">
    <w:name w:val="font9"/>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3">
    <w:name w:val="font10"/>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4">
    <w:name w:val="font12"/>
    <w:basedOn w:val="1"/>
    <w:qFormat/>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165">
    <w:name w:val="font13"/>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166">
    <w:name w:val="xl79"/>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0">
    <w:name w:val="xl83"/>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71">
    <w:name w:val="xl84"/>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72">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0"/>
      <w:szCs w:val="20"/>
      <w:lang w:val="en-US" w:bidi="ar-SA"/>
    </w:rPr>
  </w:style>
  <w:style w:type="paragraph" w:customStyle="1" w:styleId="174">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5">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4"/>
      <w:szCs w:val="24"/>
      <w:lang w:val="en-US" w:bidi="ar-SA"/>
    </w:rPr>
  </w:style>
  <w:style w:type="paragraph" w:customStyle="1" w:styleId="176">
    <w:name w:val="xl89"/>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77">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8">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79">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0">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181">
    <w:name w:val="xl94"/>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82">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color w:val="000000"/>
      <w:sz w:val="20"/>
      <w:szCs w:val="20"/>
      <w:lang w:val="en-US" w:bidi="ar-SA"/>
    </w:rPr>
  </w:style>
  <w:style w:type="paragraph" w:customStyle="1" w:styleId="183">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0"/>
      <w:szCs w:val="20"/>
      <w:lang w:val="en-US" w:bidi="ar-SA"/>
    </w:rPr>
  </w:style>
  <w:style w:type="paragraph" w:customStyle="1" w:styleId="184">
    <w:name w:val="xl97"/>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85">
    <w:name w:val="xl9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86">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7">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8">
    <w:name w:val="xl10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0"/>
      <w:szCs w:val="20"/>
      <w:lang w:val="en-US" w:bidi="ar-SA"/>
    </w:rPr>
  </w:style>
  <w:style w:type="paragraph" w:customStyle="1" w:styleId="189">
    <w:name w:val="xl10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0"/>
      <w:szCs w:val="20"/>
      <w:lang w:val="en-US" w:bidi="ar-SA"/>
    </w:rPr>
  </w:style>
  <w:style w:type="paragraph" w:customStyle="1" w:styleId="190">
    <w:name w:val="xl103"/>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91">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2">
    <w:name w:val="xl10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4"/>
      <w:szCs w:val="24"/>
      <w:lang w:val="en-US" w:bidi="ar-SA"/>
    </w:rPr>
  </w:style>
  <w:style w:type="paragraph" w:customStyle="1" w:styleId="193">
    <w:name w:val="xl10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4">
    <w:name w:val="xl10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195">
    <w:name w:val="xl10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6">
    <w:name w:val="xl109"/>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7">
    <w:name w:val="xl110"/>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8">
    <w:name w:val="xl111"/>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9">
    <w:name w:val="xl112"/>
    <w:basedOn w:val="1"/>
    <w:qFormat/>
    <w:uiPriority w:val="0"/>
    <w:pPr>
      <w:widowControl/>
      <w:pBdr>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0">
    <w:name w:val="xl11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1">
    <w:name w:val="xl114"/>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2">
    <w:name w:val="xl115"/>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3">
    <w:name w:val="xl116"/>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4">
    <w:name w:val="xl11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5">
    <w:name w:val="xl11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6">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7">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8">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9">
    <w:name w:val="xl12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0">
    <w:name w:val="xl123"/>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1">
    <w:name w:val="xl124"/>
    <w:basedOn w:val="1"/>
    <w:qFormat/>
    <w:uiPriority w:val="0"/>
    <w:pPr>
      <w:widowControl/>
      <w:pBdr>
        <w:top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2">
    <w:name w:val="xl1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character" w:customStyle="1" w:styleId="213">
    <w:name w:val="列出段落1 Char"/>
    <w:link w:val="74"/>
    <w:qFormat/>
    <w:locked/>
    <w:uiPriority w:val="0"/>
    <w:rPr>
      <w:rFonts w:ascii="Times New Roman" w:hAnsi="Times New Roman" w:eastAsia="宋体" w:cs="Times New Roman"/>
      <w:kern w:val="2"/>
      <w:sz w:val="21"/>
      <w:szCs w:val="24"/>
    </w:rPr>
  </w:style>
  <w:style w:type="paragraph" w:customStyle="1" w:styleId="214">
    <w:name w:val="**正文"/>
    <w:basedOn w:val="1"/>
    <w:qFormat/>
    <w:uiPriority w:val="0"/>
    <w:pPr>
      <w:autoSpaceDE/>
      <w:autoSpaceDN/>
      <w:spacing w:line="360" w:lineRule="auto"/>
      <w:ind w:firstLine="480" w:firstLineChars="200"/>
      <w:jc w:val="both"/>
    </w:pPr>
    <w:rPr>
      <w:rFonts w:ascii="Times New Roman" w:hAnsi="Times New Roman" w:eastAsia="宋体" w:cs="Times New Roman"/>
      <w:sz w:val="20"/>
      <w:szCs w:val="32"/>
      <w:lang w:val="en-US" w:bidi="ar-SA"/>
    </w:rPr>
  </w:style>
  <w:style w:type="paragraph" w:customStyle="1" w:styleId="215">
    <w:name w:val="列出段落3"/>
    <w:basedOn w:val="1"/>
    <w:link w:val="216"/>
    <w:qFormat/>
    <w:uiPriority w:val="0"/>
    <w:pPr>
      <w:autoSpaceDE/>
      <w:autoSpaceDN/>
      <w:spacing w:line="360" w:lineRule="auto"/>
      <w:ind w:firstLine="420"/>
      <w:jc w:val="both"/>
    </w:pPr>
    <w:rPr>
      <w:rFonts w:ascii="Calibri" w:hAnsi="Calibri" w:eastAsia="Calibri" w:cs="Times New Roman"/>
      <w:sz w:val="21"/>
      <w:szCs w:val="20"/>
      <w:lang w:eastAsia="en-US" w:bidi="ar-SA"/>
    </w:rPr>
  </w:style>
  <w:style w:type="character" w:customStyle="1" w:styleId="216">
    <w:name w:val="列出段落 字符"/>
    <w:link w:val="215"/>
    <w:qFormat/>
    <w:uiPriority w:val="0"/>
    <w:rPr>
      <w:rFonts w:ascii="Calibri" w:hAnsi="Calibri" w:eastAsia="Calibri" w:cs="Times New Roman"/>
      <w:sz w:val="21"/>
      <w:lang w:eastAsia="en-US"/>
    </w:rPr>
  </w:style>
  <w:style w:type="character" w:customStyle="1" w:styleId="217">
    <w:name w:val="标题 Char"/>
    <w:basedOn w:val="44"/>
    <w:link w:val="39"/>
    <w:qFormat/>
    <w:uiPriority w:val="0"/>
    <w:rPr>
      <w:rFonts w:ascii="等线 Light" w:hAnsi="等线 Light" w:eastAsia="宋体" w:cs="Times New Roman"/>
      <w:b/>
      <w:bCs/>
      <w:kern w:val="2"/>
      <w:sz w:val="32"/>
      <w:szCs w:val="32"/>
    </w:rPr>
  </w:style>
  <w:style w:type="paragraph" w:customStyle="1" w:styleId="218">
    <w:name w:val="font0"/>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9">
    <w:name w:val="font14"/>
    <w:basedOn w:val="1"/>
    <w:qFormat/>
    <w:uiPriority w:val="0"/>
    <w:pPr>
      <w:widowControl/>
      <w:autoSpaceDE/>
      <w:autoSpaceDN/>
      <w:spacing w:before="100" w:beforeAutospacing="1" w:after="100" w:afterAutospacing="1"/>
    </w:pPr>
    <w:rPr>
      <w:rFonts w:ascii="宋体" w:hAnsi="宋体" w:eastAsia="宋体" w:cs="宋体"/>
      <w:b/>
      <w:bCs/>
      <w:color w:val="000000"/>
      <w:lang w:val="en-US" w:bidi="ar-SA"/>
    </w:rPr>
  </w:style>
  <w:style w:type="paragraph" w:customStyle="1" w:styleId="220">
    <w:name w:val="font15"/>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21">
    <w:name w:val="font16"/>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character" w:customStyle="1" w:styleId="222">
    <w:name w:val="文档结构图 Char"/>
    <w:basedOn w:val="44"/>
    <w:link w:val="16"/>
    <w:semiHidden/>
    <w:qFormat/>
    <w:uiPriority w:val="99"/>
    <w:rPr>
      <w:rFonts w:ascii="宋体" w:hAnsi="Noto Sans Mono CJK JP Regular" w:eastAsia="宋体" w:cs="Noto Sans Mono CJK JP Regular"/>
      <w:sz w:val="18"/>
      <w:szCs w:val="18"/>
      <w:lang w:val="zh-CN" w:bidi="zh-CN"/>
    </w:rPr>
  </w:style>
  <w:style w:type="character" w:customStyle="1" w:styleId="223">
    <w:name w:val="fontstyle01"/>
    <w:qFormat/>
    <w:uiPriority w:val="0"/>
    <w:rPr>
      <w:rFonts w:hint="eastAsia" w:ascii="宋体" w:hAnsi="宋体" w:eastAsia="宋体"/>
      <w:color w:val="000000"/>
      <w:sz w:val="24"/>
      <w:szCs w:val="24"/>
    </w:rPr>
  </w:style>
  <w:style w:type="paragraph" w:customStyle="1" w:styleId="224">
    <w:name w:val="正文_0"/>
    <w:basedOn w:val="14"/>
    <w:next w:val="17"/>
    <w:qFormat/>
    <w:uiPriority w:val="0"/>
    <w:rPr>
      <w:rFonts w:ascii="Calibri" w:hAnsi="Calibri" w:cs="宋体"/>
      <w:szCs w:val="21"/>
    </w:rPr>
  </w:style>
  <w:style w:type="paragraph" w:customStyle="1" w:styleId="225">
    <w:name w:val="正文_5"/>
    <w:basedOn w:val="226"/>
    <w:next w:val="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正文_2"/>
    <w:next w:val="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文本_0"/>
    <w:basedOn w:val="228"/>
    <w:qFormat/>
    <w:uiPriority w:val="0"/>
    <w:pPr>
      <w:spacing w:after="120"/>
    </w:pPr>
    <w:rPr>
      <w:rFonts w:ascii="Calibri" w:hAnsi="Calibri"/>
      <w:kern w:val="0"/>
      <w:sz w:val="20"/>
    </w:rPr>
  </w:style>
  <w:style w:type="paragraph" w:customStyle="1" w:styleId="228">
    <w:name w:val="正文_3"/>
    <w:basedOn w:val="229"/>
    <w:next w:val="230"/>
    <w:qFormat/>
    <w:uiPriority w:val="0"/>
    <w:pPr>
      <w:widowControl w:val="0"/>
      <w:jc w:val="both"/>
    </w:pPr>
    <w:rPr>
      <w:kern w:val="2"/>
      <w:sz w:val="21"/>
      <w:szCs w:val="24"/>
      <w:lang w:val="en-US" w:eastAsia="zh-CN" w:bidi="ar-SA"/>
    </w:rPr>
  </w:style>
  <w:style w:type="paragraph" w:customStyle="1" w:styleId="229">
    <w:name w:val="Normal_0"/>
    <w:qFormat/>
    <w:uiPriority w:val="0"/>
    <w:rPr>
      <w:rFonts w:ascii="黑体" w:hAnsi="黑体" w:eastAsia="黑体" w:cs="Times New Roman"/>
      <w:b/>
      <w:sz w:val="32"/>
      <w:szCs w:val="24"/>
      <w:lang w:bidi="ar-SA"/>
    </w:rPr>
  </w:style>
  <w:style w:type="paragraph" w:customStyle="1" w:styleId="230">
    <w:name w:val="正文缩进_0_0"/>
    <w:basedOn w:val="231"/>
    <w:unhideWhenUsed/>
    <w:qFormat/>
    <w:uiPriority w:val="0"/>
    <w:pPr>
      <w:ind w:firstLine="420" w:firstLineChars="200"/>
    </w:pPr>
    <w:rPr>
      <w:rFonts w:ascii="Calibri" w:hAnsi="Calibri"/>
      <w:szCs w:val="22"/>
    </w:rPr>
  </w:style>
  <w:style w:type="paragraph" w:customStyle="1" w:styleId="231">
    <w:name w:val="正文_2_0_0"/>
    <w:basedOn w:val="232"/>
    <w:next w:val="236"/>
    <w:qFormat/>
    <w:uiPriority w:val="0"/>
    <w:rPr>
      <w:rFonts w:ascii="Calibri" w:hAnsi="Calibri" w:cs="Calibri"/>
      <w:szCs w:val="21"/>
    </w:rPr>
  </w:style>
  <w:style w:type="paragraph" w:customStyle="1" w:styleId="232">
    <w:name w:val="正文_3_0_0"/>
    <w:basedOn w:val="233"/>
    <w:next w:val="234"/>
    <w:qFormat/>
    <w:uiPriority w:val="0"/>
    <w:rPr>
      <w:rFonts w:ascii="Times New Roman" w:hAnsi="Times New Roman"/>
      <w:szCs w:val="21"/>
    </w:rPr>
  </w:style>
  <w:style w:type="paragraph" w:customStyle="1" w:styleId="233">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文本_1_0_0"/>
    <w:basedOn w:val="235"/>
    <w:qFormat/>
    <w:uiPriority w:val="0"/>
    <w:pPr>
      <w:spacing w:after="120"/>
    </w:pPr>
    <w:rPr>
      <w:rFonts w:ascii="Calibri" w:hAnsi="Calibri" w:eastAsia="宋体"/>
    </w:rPr>
  </w:style>
  <w:style w:type="paragraph" w:customStyle="1" w:styleId="235">
    <w:name w:val="正文_2_0_0_0_0"/>
    <w:next w:val="2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正文1_0_0"/>
    <w:basedOn w:val="237"/>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237">
    <w:name w:val="正文_3_1"/>
    <w:basedOn w:val="238"/>
    <w:next w:val="2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Normal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正文缩进_0_0_0"/>
    <w:basedOn w:val="240"/>
    <w:unhideWhenUsed/>
    <w:qFormat/>
    <w:uiPriority w:val="0"/>
    <w:pPr>
      <w:ind w:firstLine="420" w:firstLineChars="200"/>
    </w:pPr>
    <w:rPr>
      <w:rFonts w:ascii="Calibri" w:hAnsi="Calibri"/>
      <w:szCs w:val="22"/>
    </w:rPr>
  </w:style>
  <w:style w:type="paragraph" w:customStyle="1" w:styleId="240">
    <w:name w:val="正文_0_1_0"/>
    <w:basedOn w:val="241"/>
    <w:next w:val="253"/>
    <w:qFormat/>
    <w:uiPriority w:val="0"/>
    <w:rPr>
      <w:rFonts w:ascii="Calibri" w:hAnsi="Calibri" w:cs="宋体"/>
    </w:rPr>
  </w:style>
  <w:style w:type="paragraph" w:customStyle="1" w:styleId="241">
    <w:name w:val="正文_1_1"/>
    <w:basedOn w:val="242"/>
    <w:next w:val="253"/>
    <w:qFormat/>
    <w:uiPriority w:val="0"/>
    <w:pPr>
      <w:widowControl w:val="0"/>
      <w:jc w:val="both"/>
    </w:pPr>
    <w:rPr>
      <w:kern w:val="2"/>
      <w:sz w:val="21"/>
      <w:szCs w:val="24"/>
      <w:lang w:val="en-US" w:eastAsia="zh-CN" w:bidi="ar-SA"/>
    </w:rPr>
  </w:style>
  <w:style w:type="paragraph" w:customStyle="1" w:styleId="242">
    <w:name w:val="正文_2_1"/>
    <w:basedOn w:val="243"/>
    <w:next w:val="252"/>
    <w:qFormat/>
    <w:uiPriority w:val="0"/>
    <w:pPr>
      <w:widowControl w:val="0"/>
      <w:jc w:val="both"/>
    </w:pPr>
    <w:rPr>
      <w:kern w:val="2"/>
      <w:sz w:val="21"/>
      <w:szCs w:val="24"/>
      <w:lang w:val="en-US" w:eastAsia="zh-CN" w:bidi="ar-SA"/>
    </w:rPr>
  </w:style>
  <w:style w:type="paragraph" w:customStyle="1" w:styleId="243">
    <w:name w:val="正文_3_0"/>
    <w:basedOn w:val="244"/>
    <w:next w:val="245"/>
    <w:qFormat/>
    <w:uiPriority w:val="0"/>
    <w:pPr>
      <w:widowControl w:val="0"/>
      <w:jc w:val="both"/>
    </w:pPr>
    <w:rPr>
      <w:rFonts w:ascii="Calibri" w:hAnsi="Calibri"/>
      <w:kern w:val="2"/>
      <w:sz w:val="21"/>
      <w:szCs w:val="22"/>
      <w:lang w:val="en-US" w:eastAsia="zh-CN" w:bidi="ar-SA"/>
    </w:rPr>
  </w:style>
  <w:style w:type="paragraph" w:customStyle="1" w:styleId="244">
    <w:name w:val="Normal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正文缩进_0_0_1"/>
    <w:basedOn w:val="246"/>
    <w:unhideWhenUsed/>
    <w:qFormat/>
    <w:uiPriority w:val="0"/>
    <w:pPr>
      <w:ind w:firstLine="420" w:firstLineChars="200"/>
    </w:pPr>
    <w:rPr>
      <w:rFonts w:ascii="Calibri" w:hAnsi="Calibri"/>
      <w:szCs w:val="22"/>
    </w:rPr>
  </w:style>
  <w:style w:type="paragraph" w:customStyle="1" w:styleId="246">
    <w:name w:val="正文_0_1_1"/>
    <w:basedOn w:val="237"/>
    <w:next w:val="247"/>
    <w:qFormat/>
    <w:uiPriority w:val="0"/>
    <w:rPr>
      <w:rFonts w:ascii="Calibri" w:hAnsi="Calibri" w:cs="宋体"/>
    </w:rPr>
  </w:style>
  <w:style w:type="paragraph" w:customStyle="1" w:styleId="247">
    <w:name w:val="脚注文本1"/>
    <w:basedOn w:val="248"/>
    <w:next w:val="251"/>
    <w:unhideWhenUsed/>
    <w:qFormat/>
    <w:uiPriority w:val="0"/>
    <w:pPr>
      <w:snapToGrid w:val="0"/>
      <w:jc w:val="left"/>
    </w:pPr>
    <w:rPr>
      <w:rFonts w:eastAsia="宋体"/>
      <w:kern w:val="0"/>
      <w:sz w:val="18"/>
      <w:szCs w:val="18"/>
    </w:rPr>
  </w:style>
  <w:style w:type="paragraph" w:customStyle="1" w:styleId="248">
    <w:name w:val="正文_1_0"/>
    <w:basedOn w:val="249"/>
    <w:next w:val="247"/>
    <w:qFormat/>
    <w:uiPriority w:val="0"/>
    <w:pPr>
      <w:widowControl w:val="0"/>
      <w:jc w:val="both"/>
    </w:pPr>
    <w:rPr>
      <w:kern w:val="2"/>
      <w:sz w:val="21"/>
      <w:szCs w:val="24"/>
      <w:lang w:val="en-US" w:eastAsia="zh-CN" w:bidi="ar-SA"/>
    </w:rPr>
  </w:style>
  <w:style w:type="paragraph" w:customStyle="1" w:styleId="249">
    <w:name w:val="正文_2_0"/>
    <w:basedOn w:val="242"/>
    <w:next w:val="250"/>
    <w:qFormat/>
    <w:uiPriority w:val="0"/>
    <w:pPr>
      <w:widowControl w:val="0"/>
      <w:jc w:val="both"/>
    </w:pPr>
    <w:rPr>
      <w:rFonts w:ascii="Calibri" w:hAnsi="Calibri"/>
      <w:kern w:val="2"/>
      <w:sz w:val="21"/>
      <w:szCs w:val="22"/>
      <w:lang w:val="en-US" w:eastAsia="zh-CN" w:bidi="ar-SA"/>
    </w:rPr>
  </w:style>
  <w:style w:type="paragraph" w:customStyle="1" w:styleId="250">
    <w:name w:val="正文1_0"/>
    <w:basedOn w:val="228"/>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251">
    <w:name w:val="索引 51"/>
    <w:basedOn w:val="248"/>
    <w:next w:val="248"/>
    <w:unhideWhenUsed/>
    <w:qFormat/>
    <w:uiPriority w:val="99"/>
    <w:pPr>
      <w:ind w:left="1680"/>
    </w:pPr>
  </w:style>
  <w:style w:type="paragraph" w:customStyle="1" w:styleId="252">
    <w:name w:val="No Spacing_0"/>
    <w:basedOn w:val="225"/>
    <w:qFormat/>
    <w:uiPriority w:val="1"/>
  </w:style>
  <w:style w:type="paragraph" w:customStyle="1" w:styleId="253">
    <w:name w:val="脚注文本_0"/>
    <w:basedOn w:val="254"/>
    <w:next w:val="226"/>
    <w:semiHidden/>
    <w:qFormat/>
    <w:uiPriority w:val="0"/>
    <w:rPr>
      <w:rFonts w:ascii="Calibri" w:hAnsi="Calibri"/>
    </w:rPr>
  </w:style>
  <w:style w:type="paragraph" w:customStyle="1" w:styleId="254">
    <w:name w:val="正文_0_2"/>
    <w:next w:val="2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页脚_0_0"/>
    <w:basedOn w:val="254"/>
    <w:unhideWhenUsed/>
    <w:qFormat/>
    <w:uiPriority w:val="99"/>
    <w:pPr>
      <w:tabs>
        <w:tab w:val="center" w:pos="4153"/>
        <w:tab w:val="right" w:pos="8306"/>
      </w:tabs>
      <w:snapToGrid w:val="0"/>
      <w:jc w:val="left"/>
    </w:pPr>
    <w:rPr>
      <w:sz w:val="18"/>
      <w:szCs w:val="18"/>
    </w:rPr>
  </w:style>
  <w:style w:type="paragraph" w:customStyle="1" w:styleId="256">
    <w:name w:val="段_0"/>
    <w:next w:val="22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257">
    <w:name w:val="正文_1_0_0"/>
    <w:basedOn w:val="258"/>
    <w:qFormat/>
    <w:uiPriority w:val="0"/>
    <w:rPr>
      <w:rFonts w:ascii="Calibri" w:hAnsi="Calibri" w:cs="宋体"/>
      <w:szCs w:val="21"/>
    </w:rPr>
  </w:style>
  <w:style w:type="paragraph" w:customStyle="1" w:styleId="258">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文本_0_0"/>
    <w:basedOn w:val="257"/>
    <w:qFormat/>
    <w:uiPriority w:val="0"/>
    <w:pPr>
      <w:spacing w:before="100" w:beforeAutospacing="1" w:after="120"/>
    </w:pPr>
    <w:rPr>
      <w:rFonts w:ascii="Calibri" w:hAnsi="Calibri"/>
      <w:kern w:val="0"/>
      <w:sz w:val="20"/>
      <w:szCs w:val="20"/>
    </w:rPr>
  </w:style>
  <w:style w:type="paragraph" w:customStyle="1" w:styleId="260">
    <w:name w:val="标题 3_0_0"/>
    <w:basedOn w:val="261"/>
    <w:next w:val="261"/>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26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262">
    <w:name w:val="1"/>
    <w:basedOn w:val="1"/>
    <w:next w:val="54"/>
    <w:qFormat/>
    <w:uiPriority w:val="34"/>
    <w:pPr>
      <w:ind w:firstLine="420" w:firstLineChars="200"/>
    </w:pPr>
    <w:rPr>
      <w:rFonts w:ascii="Calibri" w:hAnsi="Calibri"/>
      <w:szCs w:val="22"/>
    </w:rPr>
  </w:style>
  <w:style w:type="paragraph" w:customStyle="1" w:styleId="263">
    <w:name w:val="Normal"/>
    <w:basedOn w:val="225"/>
    <w:next w:val="2"/>
    <w:qFormat/>
    <w:uiPriority w:val="0"/>
    <w:pPr>
      <w:widowControl w:val="0"/>
      <w:jc w:val="both"/>
    </w:pPr>
    <w:rPr>
      <w:rFonts w:ascii="Calibri" w:hAnsi="Calibri" w:eastAsia="Times New Roman"/>
      <w:kern w:val="2"/>
      <w:sz w:val="21"/>
      <w:szCs w:val="22"/>
      <w:lang w:val="en-US" w:eastAsia="zh-CN" w:bidi="ar-SA"/>
    </w:rPr>
  </w:style>
  <w:style w:type="paragraph" w:customStyle="1" w:styleId="264">
    <w:name w:val="正文_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5">
    <w:name w:val="NormalCharacter"/>
    <w:semiHidden/>
    <w:qFormat/>
    <w:uiPriority w:val="0"/>
    <w:rPr>
      <w:rFonts w:ascii="Calibri" w:hAnsi="Calibri" w:eastAsia="宋体" w:cs="Times New Roman"/>
      <w:kern w:val="2"/>
      <w:sz w:val="21"/>
      <w:szCs w:val="24"/>
      <w:lang w:val="en-US" w:eastAsia="zh-CN" w:bidi="ar-SA"/>
    </w:rPr>
  </w:style>
  <w:style w:type="paragraph" w:customStyle="1" w:styleId="266">
    <w:name w:val="No Spacing"/>
    <w:basedOn w:val="1"/>
    <w:qFormat/>
    <w:uiPriority w:val="1"/>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FC8E1-3ACC-4FE4-AFED-7364DCE37A0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65</Pages>
  <Words>36222</Words>
  <Characters>37760</Characters>
  <Lines>305</Lines>
  <Paragraphs>86</Paragraphs>
  <TotalTime>27</TotalTime>
  <ScaleCrop>false</ScaleCrop>
  <LinksUpToDate>false</LinksUpToDate>
  <CharactersWithSpaces>39941</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2019-06-12T07:25:00Z</dcterms:created>
  <dc:creator>Administrator</dc:creator>
  <cp:lastModifiedBy>卡布奇诺</cp:lastModifiedBy>
  <cp:lastPrinted>2021-06-10T03:05:00Z</cp:lastPrinted>
  <dcterms:modified xsi:type="dcterms:W3CDTF">2022-05-31T11:13:20Z</dcterms:modified>
  <cp:revision>314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2019-01-26T00:00:00Z</vt:filetime>
  </property>
  <property fmtid="{D5CDD505-2E9C-101B-9397-08002B2CF9AE}" pid="5" name="KSOProductBuildVer">
    <vt:lpwstr>2052-11.1.0.9564</vt:lpwstr>
  </property>
  <property fmtid="{D5CDD505-2E9C-101B-9397-08002B2CF9AE}" pid="6" name="ICV">
    <vt:lpwstr>CB966B6A91AB4940894633A1E4B1DAA8</vt:lpwstr>
  </property>
</Properties>
</file>