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color w:val="auto"/>
          <w:sz w:val="32"/>
        </w:rPr>
      </w:pPr>
    </w:p>
    <w:p>
      <w:pPr>
        <w:pStyle w:val="33"/>
        <w:rPr>
          <w:rFonts w:hint="eastAsia"/>
        </w:rPr>
      </w:pPr>
    </w:p>
    <w:p>
      <w:pPr>
        <w:spacing w:line="240" w:lineRule="atLeast"/>
        <w:jc w:val="center"/>
        <w:rPr>
          <w:rFonts w:hint="eastAsia" w:ascii="微软雅黑" w:hAnsi="微软雅黑" w:eastAsia="微软雅黑" w:cs="微软雅黑"/>
          <w:b/>
          <w:color w:val="auto"/>
          <w:sz w:val="44"/>
          <w:szCs w:val="36"/>
          <w:lang w:val="en-US" w:eastAsia="zh-CN"/>
        </w:rPr>
      </w:pPr>
      <w:r>
        <w:rPr>
          <w:rFonts w:hint="eastAsia" w:ascii="微软雅黑" w:hAnsi="微软雅黑" w:eastAsia="微软雅黑" w:cs="微软雅黑"/>
          <w:b/>
          <w:color w:val="auto"/>
          <w:sz w:val="44"/>
          <w:szCs w:val="36"/>
          <w:lang w:val="en-US" w:eastAsia="zh-CN"/>
        </w:rPr>
        <w:t>叶城县交往交流交融（村（社区）党组织书记、村委会主任、村妇联主席赴上海参观学习）项目</w:t>
      </w:r>
    </w:p>
    <w:p>
      <w:pPr>
        <w:pStyle w:val="33"/>
        <w:rPr>
          <w:rFonts w:hint="eastAsia"/>
          <w:lang w:val="en-US" w:eastAsia="zh-CN"/>
        </w:rPr>
      </w:pPr>
    </w:p>
    <w:p>
      <w:pPr>
        <w:spacing w:line="240" w:lineRule="atLeast"/>
        <w:jc w:val="center"/>
        <w:rPr>
          <w:rFonts w:hint="eastAsia" w:ascii="微软雅黑" w:hAnsi="微软雅黑" w:eastAsia="微软雅黑" w:cs="微软雅黑"/>
          <w:b/>
          <w:color w:val="auto"/>
          <w:sz w:val="40"/>
          <w:szCs w:val="32"/>
        </w:rPr>
      </w:pPr>
      <w:r>
        <w:rPr>
          <w:rFonts w:hint="eastAsia" w:ascii="微软雅黑" w:hAnsi="微软雅黑" w:eastAsia="微软雅黑" w:cs="微软雅黑"/>
          <w:b/>
          <w:color w:val="auto"/>
          <w:sz w:val="40"/>
          <w:szCs w:val="32"/>
        </w:rPr>
        <w:t>招 标 文 件</w:t>
      </w:r>
    </w:p>
    <w:p>
      <w:pPr>
        <w:pStyle w:val="33"/>
        <w:rPr>
          <w:rFonts w:hint="eastAsia"/>
        </w:rPr>
      </w:pPr>
    </w:p>
    <w:p>
      <w:pPr>
        <w:spacing w:line="240" w:lineRule="atLeast"/>
        <w:jc w:val="center"/>
        <w:rPr>
          <w:rFonts w:hint="eastAsia" w:ascii="微软雅黑" w:hAnsi="微软雅黑" w:eastAsia="微软雅黑" w:cs="微软雅黑"/>
          <w:b/>
          <w:color w:val="auto"/>
          <w:sz w:val="32"/>
          <w:lang w:val="en-US" w:eastAsia="zh-CN"/>
        </w:rPr>
      </w:pPr>
      <w:r>
        <w:rPr>
          <w:rFonts w:hint="eastAsia" w:ascii="微软雅黑" w:hAnsi="微软雅黑" w:eastAsia="微软雅黑" w:cs="微软雅黑"/>
          <w:b/>
          <w:color w:val="auto"/>
          <w:sz w:val="32"/>
        </w:rPr>
        <w:t>项目编号：ZJ（GK）-22021</w:t>
      </w:r>
    </w:p>
    <w:p>
      <w:pPr>
        <w:spacing w:line="240" w:lineRule="atLeast"/>
        <w:jc w:val="both"/>
        <w:rPr>
          <w:rFonts w:hint="eastAsia" w:ascii="微软雅黑" w:hAnsi="微软雅黑" w:eastAsia="微软雅黑" w:cs="微软雅黑"/>
          <w:b/>
          <w:color w:val="auto"/>
          <w:sz w:val="32"/>
        </w:rPr>
      </w:pPr>
    </w:p>
    <w:p>
      <w:pPr>
        <w:spacing w:line="240" w:lineRule="atLeast"/>
        <w:ind w:firstLine="640" w:firstLineChars="200"/>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 xml:space="preserve">采购单位名称： </w:t>
      </w:r>
      <w:r>
        <w:rPr>
          <w:rFonts w:hint="eastAsia" w:ascii="微软雅黑" w:hAnsi="微软雅黑" w:eastAsia="微软雅黑" w:cs="微软雅黑"/>
          <w:b/>
          <w:color w:val="auto"/>
          <w:sz w:val="32"/>
          <w:u w:val="single"/>
          <w:lang w:val="en-US" w:eastAsia="zh-CN"/>
        </w:rPr>
        <w:t xml:space="preserve">    中共叶城县委组织部     </w:t>
      </w:r>
      <w:r>
        <w:rPr>
          <w:rFonts w:hint="eastAsia" w:ascii="微软雅黑" w:hAnsi="微软雅黑" w:eastAsia="微软雅黑" w:cs="微软雅黑"/>
          <w:b/>
          <w:color w:val="auto"/>
          <w:sz w:val="32"/>
        </w:rPr>
        <w:t xml:space="preserve">  </w:t>
      </w:r>
    </w:p>
    <w:p>
      <w:pPr>
        <w:spacing w:line="240" w:lineRule="atLeast"/>
        <w:ind w:firstLine="640" w:firstLineChars="200"/>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 xml:space="preserve">联   系   人：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u w:val="single"/>
          <w:lang w:val="en-US" w:eastAsia="zh-CN"/>
        </w:rPr>
        <w:t xml:space="preserve">       李京鸿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u w:val="single"/>
          <w:lang w:val="en-US" w:eastAsia="zh-CN"/>
        </w:rPr>
        <w:t xml:space="preserve">  </w:t>
      </w:r>
      <w:r>
        <w:rPr>
          <w:rFonts w:hint="eastAsia" w:ascii="微软雅黑" w:hAnsi="微软雅黑" w:eastAsia="微软雅黑" w:cs="微软雅黑"/>
          <w:b/>
          <w:color w:val="auto"/>
          <w:sz w:val="32"/>
        </w:rPr>
        <w:t xml:space="preserve">    </w:t>
      </w:r>
    </w:p>
    <w:p>
      <w:pPr>
        <w:spacing w:line="240" w:lineRule="atLeast"/>
        <w:ind w:firstLine="640" w:firstLineChars="200"/>
        <w:rPr>
          <w:rFonts w:hint="eastAsia" w:ascii="微软雅黑" w:hAnsi="微软雅黑" w:eastAsia="微软雅黑" w:cs="微软雅黑"/>
          <w:b/>
          <w:color w:val="auto"/>
          <w:sz w:val="32"/>
          <w:u w:val="single"/>
          <w:lang w:val="en-US" w:eastAsia="zh-CN"/>
        </w:rPr>
      </w:pPr>
      <w:r>
        <w:rPr>
          <w:rFonts w:hint="eastAsia" w:ascii="微软雅黑" w:hAnsi="微软雅黑" w:eastAsia="微软雅黑" w:cs="微软雅黑"/>
          <w:b/>
          <w:color w:val="auto"/>
          <w:sz w:val="32"/>
        </w:rPr>
        <w:t xml:space="preserve">联 系  电 话： </w:t>
      </w:r>
      <w:r>
        <w:rPr>
          <w:rFonts w:hint="eastAsia" w:ascii="微软雅黑" w:hAnsi="微软雅黑" w:eastAsia="微软雅黑" w:cs="微软雅黑"/>
          <w:b/>
          <w:color w:val="auto"/>
          <w:sz w:val="32"/>
          <w:u w:val="single"/>
          <w:lang w:val="en-US" w:eastAsia="zh-CN"/>
        </w:rPr>
        <w:t xml:space="preserve">       0998-7282118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u w:val="single"/>
          <w:lang w:val="en-US" w:eastAsia="zh-CN"/>
        </w:rPr>
        <w:t xml:space="preserve">    </w:t>
      </w:r>
    </w:p>
    <w:p>
      <w:pPr>
        <w:pStyle w:val="8"/>
        <w:ind w:left="0" w:leftChars="0" w:firstLine="0" w:firstLineChars="0"/>
        <w:rPr>
          <w:rFonts w:hint="eastAsia" w:ascii="微软雅黑" w:hAnsi="微软雅黑" w:eastAsia="微软雅黑" w:cs="微软雅黑"/>
          <w:b/>
          <w:color w:val="auto"/>
          <w:sz w:val="32"/>
        </w:rPr>
      </w:pPr>
    </w:p>
    <w:p>
      <w:pPr>
        <w:spacing w:line="240" w:lineRule="atLeast"/>
        <w:ind w:firstLine="640" w:firstLineChars="200"/>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 xml:space="preserve">代理机构名称： </w:t>
      </w:r>
      <w:r>
        <w:rPr>
          <w:rFonts w:hint="eastAsia" w:ascii="微软雅黑" w:hAnsi="微软雅黑" w:eastAsia="微软雅黑" w:cs="微软雅黑"/>
          <w:b/>
          <w:color w:val="auto"/>
          <w:sz w:val="32"/>
          <w:u w:val="single"/>
        </w:rPr>
        <w:t xml:space="preserve"> 中经国际招标集团有限公司</w:t>
      </w:r>
      <w:r>
        <w:rPr>
          <w:rFonts w:hint="eastAsia" w:ascii="微软雅黑" w:hAnsi="微软雅黑" w:eastAsia="微软雅黑" w:cs="微软雅黑"/>
          <w:b/>
          <w:color w:val="auto"/>
          <w:sz w:val="32"/>
        </w:rPr>
        <w:t xml:space="preserve">  </w:t>
      </w:r>
    </w:p>
    <w:p>
      <w:pPr>
        <w:spacing w:line="240" w:lineRule="atLeast"/>
        <w:ind w:firstLine="640" w:firstLineChars="200"/>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 xml:space="preserve">联   系   人：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u w:val="single"/>
          <w:lang w:val="en-US" w:eastAsia="zh-CN"/>
        </w:rPr>
        <w:t xml:space="preserve">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u w:val="single"/>
          <w:lang w:val="en-US" w:eastAsia="zh-CN"/>
        </w:rPr>
        <w:t xml:space="preserve"> 王丽娟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u w:val="single"/>
          <w:lang w:val="en-US" w:eastAsia="zh-CN"/>
        </w:rPr>
        <w:t xml:space="preserve">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rPr>
        <w:t xml:space="preserve">       </w:t>
      </w:r>
    </w:p>
    <w:p>
      <w:pPr>
        <w:spacing w:line="240" w:lineRule="atLeast"/>
        <w:ind w:firstLine="640" w:firstLineChars="200"/>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 xml:space="preserve">联 系 电 话 ：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u w:val="single"/>
          <w:lang w:val="en-US" w:eastAsia="zh-CN"/>
        </w:rPr>
        <w:t xml:space="preserve">   15099650569    </w:t>
      </w:r>
      <w:r>
        <w:rPr>
          <w:rFonts w:hint="eastAsia" w:ascii="微软雅黑" w:hAnsi="微软雅黑" w:eastAsia="微软雅黑" w:cs="微软雅黑"/>
          <w:b/>
          <w:color w:val="auto"/>
          <w:sz w:val="32"/>
          <w:u w:val="single"/>
        </w:rPr>
        <w:t xml:space="preserve">   </w:t>
      </w:r>
      <w:r>
        <w:rPr>
          <w:rFonts w:hint="eastAsia" w:ascii="微软雅黑" w:hAnsi="微软雅黑" w:eastAsia="微软雅黑" w:cs="微软雅黑"/>
          <w:b/>
          <w:color w:val="auto"/>
          <w:sz w:val="32"/>
        </w:rPr>
        <w:t xml:space="preserve">   </w:t>
      </w:r>
    </w:p>
    <w:p>
      <w:pPr>
        <w:pStyle w:val="24"/>
        <w:rPr>
          <w:rFonts w:hint="eastAsia" w:ascii="微软雅黑" w:hAnsi="微软雅黑" w:eastAsia="微软雅黑" w:cs="微软雅黑"/>
          <w:color w:val="auto"/>
        </w:rPr>
      </w:pPr>
    </w:p>
    <w:p>
      <w:pPr>
        <w:spacing w:line="240" w:lineRule="atLeast"/>
        <w:jc w:val="center"/>
        <w:rPr>
          <w:rFonts w:hint="eastAsia" w:ascii="微软雅黑" w:hAnsi="微软雅黑" w:eastAsia="微软雅黑" w:cs="微软雅黑"/>
          <w:b/>
          <w:color w:val="auto"/>
          <w:sz w:val="32"/>
          <w:lang w:val="en-US" w:eastAsia="zh-CN"/>
        </w:rPr>
      </w:pPr>
    </w:p>
    <w:p>
      <w:pPr>
        <w:spacing w:line="240" w:lineRule="atLeast"/>
        <w:jc w:val="center"/>
        <w:rPr>
          <w:rFonts w:hint="eastAsia" w:ascii="微软雅黑" w:hAnsi="微软雅黑" w:eastAsia="微软雅黑" w:cs="微软雅黑"/>
          <w:b/>
          <w:color w:val="auto"/>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hint="eastAsia" w:ascii="微软雅黑" w:hAnsi="微软雅黑" w:eastAsia="微软雅黑" w:cs="微软雅黑"/>
          <w:b/>
          <w:color w:val="auto"/>
          <w:sz w:val="32"/>
        </w:rPr>
        <w:t>日期：20</w:t>
      </w:r>
      <w:r>
        <w:rPr>
          <w:rFonts w:hint="eastAsia" w:ascii="微软雅黑" w:hAnsi="微软雅黑" w:eastAsia="微软雅黑" w:cs="微软雅黑"/>
          <w:b/>
          <w:color w:val="auto"/>
          <w:sz w:val="32"/>
          <w:lang w:val="en-US" w:eastAsia="zh-CN"/>
        </w:rPr>
        <w:t>22</w:t>
      </w:r>
      <w:r>
        <w:rPr>
          <w:rFonts w:hint="eastAsia" w:ascii="微软雅黑" w:hAnsi="微软雅黑" w:eastAsia="微软雅黑" w:cs="微软雅黑"/>
          <w:b/>
          <w:color w:val="auto"/>
          <w:sz w:val="32"/>
        </w:rPr>
        <w:t xml:space="preserve"> 年</w:t>
      </w:r>
      <w:r>
        <w:rPr>
          <w:rFonts w:hint="eastAsia" w:ascii="微软雅黑" w:hAnsi="微软雅黑" w:eastAsia="微软雅黑" w:cs="微软雅黑"/>
          <w:b/>
          <w:color w:val="auto"/>
          <w:sz w:val="32"/>
          <w:lang w:val="en-US" w:eastAsia="zh-CN"/>
        </w:rPr>
        <w:t>6</w:t>
      </w:r>
      <w:r>
        <w:rPr>
          <w:rFonts w:hint="eastAsia" w:ascii="微软雅黑" w:hAnsi="微软雅黑" w:eastAsia="微软雅黑" w:cs="微软雅黑"/>
          <w:b/>
          <w:color w:val="auto"/>
          <w:sz w:val="32"/>
        </w:rPr>
        <w:t>月</w:t>
      </w:r>
    </w:p>
    <w:p>
      <w:pPr>
        <w:spacing w:line="240" w:lineRule="atLeast"/>
        <w:jc w:val="center"/>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目  录</w:t>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color w:val="auto"/>
          <w:kern w:val="0"/>
          <w:szCs w:val="21"/>
        </w:rPr>
        <w:instrText xml:space="preserve"> TOC \o "1-3" \h \z \u </w:instrText>
      </w:r>
      <w:r>
        <w:rPr>
          <w:rFonts w:hint="eastAsia" w:ascii="微软雅黑" w:hAnsi="微软雅黑" w:eastAsia="微软雅黑" w:cs="微软雅黑"/>
          <w:color w:val="auto"/>
          <w:kern w:val="0"/>
          <w:szCs w:val="21"/>
        </w:rPr>
        <w:fldChar w:fldCharType="separate"/>
      </w: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_Toc17355 </w:instrText>
      </w:r>
      <w:r>
        <w:rPr>
          <w:rFonts w:hint="eastAsia" w:ascii="微软雅黑" w:hAnsi="微软雅黑" w:eastAsia="微软雅黑" w:cs="微软雅黑"/>
          <w:kern w:val="0"/>
          <w:szCs w:val="21"/>
        </w:rPr>
        <w:fldChar w:fldCharType="separate"/>
      </w:r>
      <w:r>
        <w:rPr>
          <w:rFonts w:hint="default" w:ascii="微软雅黑" w:hAnsi="微软雅黑" w:eastAsia="微软雅黑" w:cs="微软雅黑"/>
          <w:lang w:val="en-US"/>
        </w:rPr>
        <w:t xml:space="preserve">第1章 </w:t>
      </w:r>
      <w:r>
        <w:rPr>
          <w:rFonts w:hint="eastAsia" w:ascii="微软雅黑" w:hAnsi="微软雅黑" w:eastAsia="微软雅黑" w:cs="微软雅黑"/>
        </w:rPr>
        <w:t xml:space="preserve">  </w:t>
      </w:r>
      <w:r>
        <w:rPr>
          <w:rFonts w:hint="eastAsia" w:ascii="微软雅黑" w:hAnsi="微软雅黑" w:eastAsia="微软雅黑" w:cs="微软雅黑"/>
          <w:lang w:eastAsia="zh-CN"/>
        </w:rPr>
        <w:t>供应商</w:t>
      </w:r>
      <w:r>
        <w:rPr>
          <w:rFonts w:hint="eastAsia" w:ascii="微软雅黑" w:hAnsi="微软雅黑" w:eastAsia="微软雅黑" w:cs="微软雅黑"/>
        </w:rPr>
        <w:t>须知</w:t>
      </w:r>
      <w:r>
        <w:tab/>
      </w:r>
      <w:r>
        <w:fldChar w:fldCharType="begin"/>
      </w:r>
      <w:r>
        <w:instrText xml:space="preserve"> PAGEREF _Toc17355 \h </w:instrText>
      </w:r>
      <w:r>
        <w:fldChar w:fldCharType="separate"/>
      </w:r>
      <w:r>
        <w:t>3</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_Toc16036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一   总 则</w:t>
      </w:r>
      <w:r>
        <w:tab/>
      </w:r>
      <w:r>
        <w:fldChar w:fldCharType="begin"/>
      </w:r>
      <w:r>
        <w:instrText xml:space="preserve"> PAGEREF _Toc16036 \h </w:instrText>
      </w:r>
      <w:r>
        <w:fldChar w:fldCharType="separate"/>
      </w:r>
      <w:r>
        <w:t>3</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_Toc11265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二   招标文件</w:t>
      </w:r>
      <w:r>
        <w:tab/>
      </w:r>
      <w:r>
        <w:fldChar w:fldCharType="begin"/>
      </w:r>
      <w:r>
        <w:instrText xml:space="preserve"> PAGEREF _Toc11265 \h </w:instrText>
      </w:r>
      <w:r>
        <w:fldChar w:fldCharType="separate"/>
      </w:r>
      <w:r>
        <w:t>4</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_Toc28145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三   投标文件的编制</w:t>
      </w:r>
      <w:r>
        <w:tab/>
      </w:r>
      <w:r>
        <w:fldChar w:fldCharType="begin"/>
      </w:r>
      <w:r>
        <w:instrText xml:space="preserve"> PAGEREF _Toc28145 \h </w:instrText>
      </w:r>
      <w:r>
        <w:fldChar w:fldCharType="separate"/>
      </w:r>
      <w:r>
        <w:t>5</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_Toc26361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四   投标文件的递交</w:t>
      </w:r>
      <w:r>
        <w:tab/>
      </w:r>
      <w:r>
        <w:fldChar w:fldCharType="begin"/>
      </w:r>
      <w:r>
        <w:instrText xml:space="preserve"> PAGEREF _Toc26361 \h </w:instrText>
      </w:r>
      <w:r>
        <w:fldChar w:fldCharType="separate"/>
      </w:r>
      <w:r>
        <w:t>8</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_Toc25085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五   开标及评标</w:t>
      </w:r>
      <w:r>
        <w:tab/>
      </w:r>
      <w:r>
        <w:fldChar w:fldCharType="begin"/>
      </w:r>
      <w:r>
        <w:instrText xml:space="preserve"> PAGEREF _Toc25085 \h </w:instrText>
      </w:r>
      <w:r>
        <w:fldChar w:fldCharType="separate"/>
      </w:r>
      <w:r>
        <w:t>9</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_Toc16736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六   确定中标</w:t>
      </w:r>
      <w:r>
        <w:tab/>
      </w:r>
      <w:r>
        <w:fldChar w:fldCharType="begin"/>
      </w:r>
      <w:r>
        <w:instrText xml:space="preserve"> PAGEREF _Toc16736 \h </w:instrText>
      </w:r>
      <w:r>
        <w:fldChar w:fldCharType="separate"/>
      </w:r>
      <w:r>
        <w:t>14</w:t>
      </w:r>
      <w:r>
        <w:fldChar w:fldCharType="end"/>
      </w:r>
      <w:r>
        <w:rPr>
          <w:rFonts w:hint="eastAsia" w:ascii="微软雅黑" w:hAnsi="微软雅黑" w:eastAsia="微软雅黑" w:cs="微软雅黑"/>
          <w:color w:val="auto"/>
          <w:kern w:val="0"/>
          <w:szCs w:val="21"/>
        </w:rPr>
        <w:fldChar w:fldCharType="end"/>
      </w:r>
    </w:p>
    <w:p>
      <w:pPr>
        <w:pStyle w:val="22"/>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_Toc27021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lang w:eastAsia="zh-CN"/>
        </w:rPr>
        <w:t>第</w:t>
      </w:r>
      <w:r>
        <w:rPr>
          <w:rFonts w:hint="eastAsia" w:ascii="微软雅黑" w:hAnsi="微软雅黑" w:eastAsia="微软雅黑" w:cs="微软雅黑"/>
          <w:lang w:val="en-US" w:eastAsia="zh-CN"/>
        </w:rPr>
        <w:t>2</w:t>
      </w:r>
      <w:r>
        <w:rPr>
          <w:rFonts w:hint="eastAsia" w:ascii="微软雅黑" w:hAnsi="微软雅黑" w:eastAsia="微软雅黑" w:cs="微软雅黑"/>
          <w:lang w:eastAsia="zh-CN"/>
        </w:rPr>
        <w:t>章</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投标文件格式</w:t>
      </w:r>
      <w:r>
        <w:tab/>
      </w:r>
      <w:r>
        <w:fldChar w:fldCharType="begin"/>
      </w:r>
      <w:r>
        <w:instrText xml:space="preserve"> PAGEREF _Toc27021 \h </w:instrText>
      </w:r>
      <w:r>
        <w:fldChar w:fldCharType="separate"/>
      </w:r>
      <w:r>
        <w:t>20</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_Toc24252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第一部分 开标一览表及资格证明文件</w:t>
      </w:r>
      <w:r>
        <w:tab/>
      </w:r>
      <w:r>
        <w:fldChar w:fldCharType="begin"/>
      </w:r>
      <w:r>
        <w:instrText xml:space="preserve"> PAGEREF _Toc24252 \h </w:instrText>
      </w:r>
      <w:r>
        <w:fldChar w:fldCharType="separate"/>
      </w:r>
      <w:r>
        <w:t>20</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_Toc6382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1</w:t>
      </w:r>
      <w:r>
        <w:rPr>
          <w:rFonts w:hint="eastAsia" w:ascii="微软雅黑" w:hAnsi="微软雅黑" w:eastAsia="微软雅黑" w:cs="微软雅黑"/>
          <w:lang w:eastAsia="zh-CN"/>
        </w:rPr>
        <w:t>、</w:t>
      </w:r>
      <w:r>
        <w:rPr>
          <w:rFonts w:hint="eastAsia" w:ascii="微软雅黑" w:hAnsi="微软雅黑" w:eastAsia="微软雅黑" w:cs="微软雅黑"/>
        </w:rPr>
        <w:t>开标一览表</w:t>
      </w:r>
      <w:r>
        <w:tab/>
      </w:r>
      <w:r>
        <w:fldChar w:fldCharType="begin"/>
      </w:r>
      <w:r>
        <w:instrText xml:space="preserve"> PAGEREF _Toc6382 \h </w:instrText>
      </w:r>
      <w:r>
        <w:fldChar w:fldCharType="separate"/>
      </w:r>
      <w:r>
        <w:t>21</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_Toc26182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kern w:val="0"/>
          <w:szCs w:val="20"/>
          <w:lang w:val="en-US" w:eastAsia="zh-CN" w:bidi="ar-SA"/>
        </w:rPr>
        <w:t>2、具有有效的独立法人营业执照；</w:t>
      </w:r>
      <w:r>
        <w:tab/>
      </w:r>
      <w:r>
        <w:fldChar w:fldCharType="begin"/>
      </w:r>
      <w:r>
        <w:instrText xml:space="preserve"> PAGEREF _Toc26182 \h </w:instrText>
      </w:r>
      <w:r>
        <w:fldChar w:fldCharType="separate"/>
      </w:r>
      <w:r>
        <w:t>21</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_Toc28387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kern w:val="0"/>
          <w:szCs w:val="20"/>
          <w:lang w:val="en-US" w:eastAsia="zh-CN" w:bidi="ar-SA"/>
        </w:rPr>
        <w:t>3、法人代表资格证明书及授权书、被授权人身份证(法人投标需提供法人身份证及法人代表资格证明书)；</w:t>
      </w:r>
      <w:r>
        <w:tab/>
      </w:r>
      <w:r>
        <w:fldChar w:fldCharType="begin"/>
      </w:r>
      <w:r>
        <w:instrText xml:space="preserve"> PAGEREF _Toc28387 \h </w:instrText>
      </w:r>
      <w:r>
        <w:fldChar w:fldCharType="separate"/>
      </w:r>
      <w:r>
        <w:t>22</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_Toc5583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i w:val="0"/>
          <w:iCs w:val="0"/>
          <w:kern w:val="2"/>
          <w:szCs w:val="24"/>
          <w:lang w:val="en-US" w:eastAsia="zh-CN" w:bidi="ar-SA"/>
        </w:rPr>
        <w:t>4、依法缴纳近6个月内任意1个月的社会保险的凭据；</w:t>
      </w:r>
      <w:r>
        <w:tab/>
      </w:r>
      <w:r>
        <w:fldChar w:fldCharType="begin"/>
      </w:r>
      <w:r>
        <w:instrText xml:space="preserve"> PAGEREF _Toc5583 \h </w:instrText>
      </w:r>
      <w:r>
        <w:fldChar w:fldCharType="separate"/>
      </w:r>
      <w:r>
        <w:t>24</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_Toc26295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i w:val="0"/>
          <w:iCs w:val="0"/>
          <w:kern w:val="2"/>
          <w:szCs w:val="24"/>
          <w:lang w:val="en-US" w:eastAsia="zh-CN" w:bidi="ar-SA"/>
        </w:rPr>
        <w:t>5、税务部门出具的近6个月内任意1个月的完税证明；</w:t>
      </w:r>
      <w:r>
        <w:tab/>
      </w:r>
      <w:r>
        <w:fldChar w:fldCharType="begin"/>
      </w:r>
      <w:r>
        <w:instrText xml:space="preserve"> PAGEREF _Toc26295 \h </w:instrText>
      </w:r>
      <w:r>
        <w:fldChar w:fldCharType="separate"/>
      </w:r>
      <w:r>
        <w:t>24</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_Toc19241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i w:val="0"/>
          <w:iCs w:val="0"/>
          <w:kern w:val="2"/>
          <w:szCs w:val="24"/>
          <w:lang w:val="en-US" w:eastAsia="zh-CN" w:bidi="ar-SA"/>
        </w:rPr>
        <w:t>6、提供健全的财务制度；</w:t>
      </w:r>
      <w:r>
        <w:tab/>
      </w:r>
      <w:r>
        <w:fldChar w:fldCharType="begin"/>
      </w:r>
      <w:r>
        <w:instrText xml:space="preserve"> PAGEREF _Toc19241 \h </w:instrText>
      </w:r>
      <w:r>
        <w:fldChar w:fldCharType="separate"/>
      </w:r>
      <w:r>
        <w:t>24</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_Toc24513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i w:val="0"/>
          <w:iCs w:val="0"/>
          <w:kern w:val="2"/>
          <w:szCs w:val="24"/>
          <w:lang w:val="en-US" w:eastAsia="zh-CN" w:bidi="ar-SA"/>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w:t>
      </w:r>
      <w:r>
        <w:tab/>
      </w:r>
      <w:r>
        <w:fldChar w:fldCharType="begin"/>
      </w:r>
      <w:r>
        <w:instrText xml:space="preserve"> PAGEREF _Toc24513 \h </w:instrText>
      </w:r>
      <w:r>
        <w:fldChar w:fldCharType="separate"/>
      </w:r>
      <w:r>
        <w:t>24</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_Toc17887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i w:val="0"/>
          <w:iCs w:val="0"/>
          <w:kern w:val="2"/>
          <w:szCs w:val="24"/>
          <w:lang w:val="en-US" w:eastAsia="zh-CN" w:bidi="ar-SA"/>
        </w:rPr>
        <w:t>8、参加政府采购活动前3年内未被列入失信、重大税收违法案件、财政部门禁止参加政府采购活动的承诺书；</w:t>
      </w:r>
      <w:r>
        <w:tab/>
      </w:r>
      <w:r>
        <w:fldChar w:fldCharType="begin"/>
      </w:r>
      <w:r>
        <w:instrText xml:space="preserve"> PAGEREF _Toc17887 \h </w:instrText>
      </w:r>
      <w:r>
        <w:fldChar w:fldCharType="separate"/>
      </w:r>
      <w:r>
        <w:t>25</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_Toc10953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i w:val="0"/>
          <w:iCs w:val="0"/>
          <w:kern w:val="2"/>
          <w:szCs w:val="24"/>
          <w:lang w:val="en-US" w:eastAsia="zh-CN" w:bidi="ar-SA"/>
        </w:rPr>
        <w:t>9、提供针对本次项目《反商业贿赂承诺书》；</w:t>
      </w:r>
      <w:r>
        <w:tab/>
      </w:r>
      <w:r>
        <w:fldChar w:fldCharType="begin"/>
      </w:r>
      <w:r>
        <w:instrText xml:space="preserve"> PAGEREF _Toc10953 \h </w:instrText>
      </w:r>
      <w:r>
        <w:fldChar w:fldCharType="separate"/>
      </w:r>
      <w:r>
        <w:t>25</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_Toc28015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kern w:val="0"/>
          <w:szCs w:val="20"/>
          <w:lang w:val="en-US" w:eastAsia="zh-CN" w:bidi="ar-SA"/>
        </w:rPr>
        <w:t>10、银行开户许可证复印件或银行基本账户信息(包含：银行账号及开户行名称）；</w:t>
      </w:r>
      <w:r>
        <w:tab/>
      </w:r>
      <w:r>
        <w:fldChar w:fldCharType="begin"/>
      </w:r>
      <w:r>
        <w:instrText xml:space="preserve"> PAGEREF _Toc28015 \h </w:instrText>
      </w:r>
      <w:r>
        <w:fldChar w:fldCharType="separate"/>
      </w:r>
      <w:r>
        <w:t>25</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_Toc27585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lang w:val="en-US" w:eastAsia="zh-CN"/>
        </w:rPr>
        <w:t>11、</w:t>
      </w:r>
      <w:r>
        <w:rPr>
          <w:rFonts w:hint="eastAsia" w:ascii="微软雅黑" w:hAnsi="微软雅黑" w:eastAsia="微软雅黑" w:cs="微软雅黑"/>
        </w:rPr>
        <w:t>投标保证金银行转账回执单</w:t>
      </w:r>
      <w:r>
        <w:rPr>
          <w:rFonts w:hint="eastAsia" w:ascii="微软雅黑" w:hAnsi="微软雅黑" w:eastAsia="微软雅黑" w:cs="微软雅黑"/>
          <w:lang w:eastAsia="zh-CN"/>
        </w:rPr>
        <w:t>；</w:t>
      </w:r>
      <w:r>
        <w:tab/>
      </w:r>
      <w:r>
        <w:fldChar w:fldCharType="begin"/>
      </w:r>
      <w:r>
        <w:instrText xml:space="preserve"> PAGEREF _Toc27585 \h </w:instrText>
      </w:r>
      <w:r>
        <w:fldChar w:fldCharType="separate"/>
      </w:r>
      <w:r>
        <w:t>25</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_Toc3757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kern w:val="0"/>
          <w:szCs w:val="20"/>
          <w:lang w:val="en-US" w:eastAsia="zh-CN" w:bidi="ar-SA"/>
        </w:rPr>
        <w:t>12、提供有利于投标的其他证明材料。</w:t>
      </w:r>
      <w:r>
        <w:tab/>
      </w:r>
      <w:r>
        <w:fldChar w:fldCharType="begin"/>
      </w:r>
      <w:r>
        <w:instrText xml:space="preserve"> PAGEREF _Toc3757 \h </w:instrText>
      </w:r>
      <w:r>
        <w:fldChar w:fldCharType="separate"/>
      </w:r>
      <w:r>
        <w:t>25</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_Toc14897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kern w:val="0"/>
        </w:rPr>
        <w:t>第二部分  商务及技术文件</w:t>
      </w:r>
      <w:r>
        <w:tab/>
      </w:r>
      <w:r>
        <w:fldChar w:fldCharType="begin"/>
      </w:r>
      <w:r>
        <w:instrText xml:space="preserve"> PAGEREF _Toc14897 \h </w:instrText>
      </w:r>
      <w:r>
        <w:fldChar w:fldCharType="separate"/>
      </w:r>
      <w:r>
        <w:t>26</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_Toc28926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szCs w:val="24"/>
          <w:highlight w:val="none"/>
        </w:rPr>
        <w:t>1、投标书</w:t>
      </w:r>
      <w:r>
        <w:tab/>
      </w:r>
      <w:r>
        <w:fldChar w:fldCharType="begin"/>
      </w:r>
      <w:r>
        <w:instrText xml:space="preserve"> PAGEREF _Toc28926 \h </w:instrText>
      </w:r>
      <w:r>
        <w:fldChar w:fldCharType="separate"/>
      </w:r>
      <w:r>
        <w:t>27</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_Toc32253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szCs w:val="28"/>
          <w:highlight w:val="none"/>
        </w:rPr>
        <w:t>2、投标分项报价表</w:t>
      </w:r>
      <w:r>
        <w:tab/>
      </w:r>
      <w:r>
        <w:fldChar w:fldCharType="begin"/>
      </w:r>
      <w:r>
        <w:instrText xml:space="preserve"> PAGEREF _Toc32253 \h </w:instrText>
      </w:r>
      <w:r>
        <w:fldChar w:fldCharType="separate"/>
      </w:r>
      <w:r>
        <w:t>28</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_Toc27260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kern w:val="0"/>
          <w:lang w:val="en-US" w:eastAsia="zh-CN"/>
        </w:rPr>
        <w:t>3</w:t>
      </w:r>
      <w:r>
        <w:rPr>
          <w:rFonts w:hint="eastAsia" w:ascii="微软雅黑" w:hAnsi="微软雅黑" w:eastAsia="微软雅黑" w:cs="微软雅黑"/>
          <w:kern w:val="0"/>
          <w:lang w:eastAsia="zh-CN"/>
        </w:rPr>
        <w:t>、</w:t>
      </w:r>
      <w:r>
        <w:rPr>
          <w:rFonts w:hint="eastAsia" w:ascii="微软雅黑" w:hAnsi="微软雅黑" w:eastAsia="微软雅黑" w:cs="微软雅黑"/>
          <w:kern w:val="0"/>
          <w:lang w:val="en-US" w:eastAsia="zh-CN"/>
        </w:rPr>
        <w:t>服务</w:t>
      </w:r>
      <w:r>
        <w:rPr>
          <w:rFonts w:hint="eastAsia" w:ascii="微软雅黑" w:hAnsi="微软雅黑" w:eastAsia="微软雅黑" w:cs="微软雅黑"/>
          <w:kern w:val="0"/>
        </w:rPr>
        <w:t>说明一览表</w:t>
      </w:r>
      <w:r>
        <w:tab/>
      </w:r>
      <w:r>
        <w:fldChar w:fldCharType="begin"/>
      </w:r>
      <w:r>
        <w:instrText xml:space="preserve"> PAGEREF _Toc27260 \h </w:instrText>
      </w:r>
      <w:r>
        <w:fldChar w:fldCharType="separate"/>
      </w:r>
      <w:r>
        <w:t>29</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_Toc13174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szCs w:val="28"/>
          <w:highlight w:val="none"/>
        </w:rPr>
        <w:t>4、服务规格偏离表</w:t>
      </w:r>
      <w:r>
        <w:tab/>
      </w:r>
      <w:r>
        <w:fldChar w:fldCharType="begin"/>
      </w:r>
      <w:r>
        <w:instrText xml:space="preserve"> PAGEREF _Toc13174 \h </w:instrText>
      </w:r>
      <w:r>
        <w:fldChar w:fldCharType="separate"/>
      </w:r>
      <w:r>
        <w:t>30</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_Toc4690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szCs w:val="28"/>
          <w:highlight w:val="none"/>
        </w:rPr>
        <w:t>5、商务条款偏离表</w:t>
      </w:r>
      <w:r>
        <w:tab/>
      </w:r>
      <w:r>
        <w:fldChar w:fldCharType="begin"/>
      </w:r>
      <w:r>
        <w:instrText xml:space="preserve"> PAGEREF _Toc4690 \h </w:instrText>
      </w:r>
      <w:r>
        <w:fldChar w:fldCharType="separate"/>
      </w:r>
      <w:r>
        <w:t>31</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_Toc22738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szCs w:val="18"/>
        </w:rPr>
        <w:t>6-1  中小企业声明函</w:t>
      </w:r>
      <w:r>
        <w:tab/>
      </w:r>
      <w:r>
        <w:fldChar w:fldCharType="begin"/>
      </w:r>
      <w:r>
        <w:instrText xml:space="preserve"> PAGEREF _Toc22738 \h </w:instrText>
      </w:r>
      <w:r>
        <w:fldChar w:fldCharType="separate"/>
      </w:r>
      <w:r>
        <w:t>32</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_Toc27334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szCs w:val="18"/>
        </w:rPr>
        <w:t>6-2  残疾人福利性单位声明函</w:t>
      </w:r>
      <w:r>
        <w:tab/>
      </w:r>
      <w:r>
        <w:fldChar w:fldCharType="begin"/>
      </w:r>
      <w:r>
        <w:instrText xml:space="preserve"> PAGEREF _Toc27334 \h </w:instrText>
      </w:r>
      <w:r>
        <w:fldChar w:fldCharType="separate"/>
      </w:r>
      <w:r>
        <w:t>33</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_Toc6269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szCs w:val="18"/>
        </w:rPr>
        <w:t>7、供应商关联单位的说明</w:t>
      </w:r>
      <w:r>
        <w:tab/>
      </w:r>
      <w:r>
        <w:fldChar w:fldCharType="begin"/>
      </w:r>
      <w:r>
        <w:instrText xml:space="preserve"> PAGEREF _Toc6269 \h </w:instrText>
      </w:r>
      <w:r>
        <w:fldChar w:fldCharType="separate"/>
      </w:r>
      <w:r>
        <w:t>33</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_Toc26832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szCs w:val="18"/>
        </w:rPr>
        <w:t>8、供应商可提供有利于投标的其他资格证明材料</w:t>
      </w:r>
      <w:r>
        <w:rPr>
          <w:rFonts w:hint="eastAsia" w:ascii="微软雅黑" w:hAnsi="微软雅黑" w:eastAsia="微软雅黑" w:cs="微软雅黑"/>
          <w:szCs w:val="18"/>
          <w:lang w:eastAsia="zh-CN"/>
        </w:rPr>
        <w:t>。</w:t>
      </w:r>
      <w:r>
        <w:tab/>
      </w:r>
      <w:r>
        <w:fldChar w:fldCharType="begin"/>
      </w:r>
      <w:r>
        <w:instrText xml:space="preserve"> PAGEREF _Toc26832 \h </w:instrText>
      </w:r>
      <w:r>
        <w:fldChar w:fldCharType="separate"/>
      </w:r>
      <w:r>
        <w:t>33</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_Toc7908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kern w:val="0"/>
          <w:szCs w:val="20"/>
          <w:lang w:val="en-US" w:eastAsia="zh-CN"/>
        </w:rPr>
        <w:t>9、</w:t>
      </w:r>
      <w:r>
        <w:rPr>
          <w:rFonts w:hint="eastAsia" w:ascii="微软雅黑" w:hAnsi="微软雅黑" w:eastAsia="微软雅黑" w:cs="微软雅黑"/>
          <w:kern w:val="0"/>
          <w:szCs w:val="20"/>
        </w:rPr>
        <w:t>投标文件格式范本</w:t>
      </w:r>
      <w:r>
        <w:tab/>
      </w:r>
      <w:r>
        <w:fldChar w:fldCharType="begin"/>
      </w:r>
      <w:r>
        <w:instrText xml:space="preserve"> PAGEREF _Toc7908 \h </w:instrText>
      </w:r>
      <w:r>
        <w:fldChar w:fldCharType="separate"/>
      </w:r>
      <w:r>
        <w:t>34</w:t>
      </w:r>
      <w:r>
        <w:fldChar w:fldCharType="end"/>
      </w:r>
      <w:r>
        <w:rPr>
          <w:rFonts w:hint="eastAsia" w:ascii="微软雅黑" w:hAnsi="微软雅黑" w:eastAsia="微软雅黑" w:cs="微软雅黑"/>
          <w:color w:val="auto"/>
          <w:kern w:val="0"/>
          <w:szCs w:val="21"/>
        </w:rPr>
        <w:fldChar w:fldCharType="end"/>
      </w:r>
    </w:p>
    <w:p>
      <w:pPr>
        <w:pStyle w:val="22"/>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_Toc11567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lang w:val="en-US" w:eastAsia="zh-CN"/>
        </w:rPr>
        <w:t xml:space="preserve">第3章 </w:t>
      </w:r>
      <w:r>
        <w:rPr>
          <w:rFonts w:hint="eastAsia" w:ascii="微软雅黑" w:hAnsi="微软雅黑" w:eastAsia="微软雅黑" w:cs="微软雅黑"/>
        </w:rPr>
        <w:t>投标邀请</w:t>
      </w:r>
      <w:r>
        <w:tab/>
      </w:r>
      <w:r>
        <w:fldChar w:fldCharType="begin"/>
      </w:r>
      <w:r>
        <w:instrText xml:space="preserve"> PAGEREF _Toc11567 \h </w:instrText>
      </w:r>
      <w:r>
        <w:fldChar w:fldCharType="separate"/>
      </w:r>
      <w:r>
        <w:t>36</w:t>
      </w:r>
      <w:r>
        <w:fldChar w:fldCharType="end"/>
      </w:r>
      <w:r>
        <w:rPr>
          <w:rFonts w:hint="eastAsia" w:ascii="微软雅黑" w:hAnsi="微软雅黑" w:eastAsia="微软雅黑" w:cs="微软雅黑"/>
          <w:color w:val="auto"/>
          <w:kern w:val="0"/>
          <w:szCs w:val="21"/>
        </w:rPr>
        <w:fldChar w:fldCharType="end"/>
      </w:r>
    </w:p>
    <w:p>
      <w:pPr>
        <w:pStyle w:val="22"/>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_Toc27532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lang w:eastAsia="zh-CN"/>
        </w:rPr>
        <w:t>第</w:t>
      </w:r>
      <w:r>
        <w:rPr>
          <w:rFonts w:hint="eastAsia" w:ascii="微软雅黑" w:hAnsi="微软雅黑" w:eastAsia="微软雅黑" w:cs="微软雅黑"/>
          <w:lang w:val="en-US" w:eastAsia="zh-CN"/>
        </w:rPr>
        <w:t xml:space="preserve">4章 </w:t>
      </w:r>
      <w:r>
        <w:rPr>
          <w:rFonts w:hint="eastAsia" w:ascii="微软雅黑" w:hAnsi="微软雅黑" w:eastAsia="微软雅黑" w:cs="微软雅黑"/>
          <w:lang w:eastAsia="zh-CN"/>
        </w:rPr>
        <w:t>供应商</w:t>
      </w:r>
      <w:r>
        <w:rPr>
          <w:rFonts w:hint="eastAsia" w:ascii="微软雅黑" w:hAnsi="微软雅黑" w:eastAsia="微软雅黑" w:cs="微软雅黑"/>
        </w:rPr>
        <w:t>须知资料表</w:t>
      </w:r>
      <w:r>
        <w:tab/>
      </w:r>
      <w:r>
        <w:fldChar w:fldCharType="begin"/>
      </w:r>
      <w:r>
        <w:instrText xml:space="preserve"> PAGEREF _Toc27532 \h </w:instrText>
      </w:r>
      <w:r>
        <w:fldChar w:fldCharType="separate"/>
      </w:r>
      <w:r>
        <w:t>36</w:t>
      </w:r>
      <w:r>
        <w:fldChar w:fldCharType="end"/>
      </w:r>
      <w:r>
        <w:rPr>
          <w:rFonts w:hint="eastAsia" w:ascii="微软雅黑" w:hAnsi="微软雅黑" w:eastAsia="微软雅黑" w:cs="微软雅黑"/>
          <w:color w:val="auto"/>
          <w:kern w:val="0"/>
          <w:szCs w:val="21"/>
        </w:rPr>
        <w:fldChar w:fldCharType="end"/>
      </w:r>
    </w:p>
    <w:p>
      <w:pPr>
        <w:pStyle w:val="22"/>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_Toc21299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第5章</w:t>
      </w:r>
      <w:r>
        <w:rPr>
          <w:rFonts w:hint="eastAsia" w:ascii="微软雅黑" w:hAnsi="微软雅黑" w:eastAsia="微软雅黑" w:cs="微软雅黑"/>
          <w:lang w:val="en-US" w:eastAsia="zh-CN"/>
        </w:rPr>
        <w:t xml:space="preserve"> </w:t>
      </w:r>
      <w:r>
        <w:rPr>
          <w:rFonts w:hint="eastAsia" w:ascii="微软雅黑" w:hAnsi="微软雅黑" w:eastAsia="微软雅黑" w:cs="微软雅黑"/>
          <w:bCs/>
          <w:lang w:val="en-US" w:eastAsia="zh-CN"/>
        </w:rPr>
        <w:t>服务</w:t>
      </w:r>
      <w:r>
        <w:rPr>
          <w:rFonts w:hint="eastAsia" w:ascii="微软雅黑" w:hAnsi="微软雅黑" w:eastAsia="微软雅黑" w:cs="微软雅黑"/>
          <w:bCs/>
        </w:rPr>
        <w:t>需求一览表及技术规格</w:t>
      </w:r>
      <w:r>
        <w:tab/>
      </w:r>
      <w:r>
        <w:fldChar w:fldCharType="begin"/>
      </w:r>
      <w:r>
        <w:instrText xml:space="preserve"> PAGEREF _Toc21299 \h </w:instrText>
      </w:r>
      <w:r>
        <w:fldChar w:fldCharType="separate"/>
      </w:r>
      <w:r>
        <w:t>43</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_Toc15915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lang w:val="en-US" w:eastAsia="zh-CN"/>
        </w:rPr>
        <w:t>一、服务内容</w:t>
      </w:r>
      <w:r>
        <w:tab/>
      </w:r>
      <w:r>
        <w:fldChar w:fldCharType="begin"/>
      </w:r>
      <w:r>
        <w:instrText xml:space="preserve"> PAGEREF _Toc15915 \h </w:instrText>
      </w:r>
      <w:r>
        <w:fldChar w:fldCharType="separate"/>
      </w:r>
      <w:r>
        <w:t>43</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_Toc6313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val="0"/>
          <w:szCs w:val="32"/>
          <w:lang w:val="en-US" w:eastAsia="zh-CN"/>
        </w:rPr>
        <w:t>二、项目要求：</w:t>
      </w:r>
      <w:r>
        <w:tab/>
      </w:r>
      <w:r>
        <w:fldChar w:fldCharType="begin"/>
      </w:r>
      <w:r>
        <w:instrText xml:space="preserve"> PAGEREF _Toc6313 \h </w:instrText>
      </w:r>
      <w:r>
        <w:fldChar w:fldCharType="separate"/>
      </w:r>
      <w:r>
        <w:t>44</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_Toc29554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val="0"/>
          <w:szCs w:val="32"/>
          <w:lang w:val="en-US" w:eastAsia="zh-CN"/>
        </w:rPr>
        <w:t>三、其他要求</w:t>
      </w:r>
      <w:r>
        <w:tab/>
      </w:r>
      <w:r>
        <w:fldChar w:fldCharType="begin"/>
      </w:r>
      <w:r>
        <w:instrText xml:space="preserve"> PAGEREF _Toc29554 \h </w:instrText>
      </w:r>
      <w:r>
        <w:fldChar w:fldCharType="separate"/>
      </w:r>
      <w:r>
        <w:t>44</w:t>
      </w:r>
      <w:r>
        <w:fldChar w:fldCharType="end"/>
      </w:r>
      <w:r>
        <w:rPr>
          <w:rFonts w:hint="eastAsia" w:ascii="微软雅黑" w:hAnsi="微软雅黑" w:eastAsia="微软雅黑" w:cs="微软雅黑"/>
          <w:color w:val="auto"/>
          <w:kern w:val="0"/>
          <w:szCs w:val="21"/>
        </w:rPr>
        <w:fldChar w:fldCharType="end"/>
      </w:r>
    </w:p>
    <w:p>
      <w:pPr>
        <w:pStyle w:val="22"/>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_Toc12030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rPr>
        <w:t>第6章  评标方法和标准</w:t>
      </w:r>
      <w:r>
        <w:tab/>
      </w:r>
      <w:r>
        <w:fldChar w:fldCharType="begin"/>
      </w:r>
      <w:r>
        <w:instrText xml:space="preserve"> PAGEREF _Toc12030 \h </w:instrText>
      </w:r>
      <w:r>
        <w:fldChar w:fldCharType="separate"/>
      </w:r>
      <w:r>
        <w:t>46</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_Toc14483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szCs w:val="32"/>
        </w:rPr>
        <w:t>初步评审—资格性审查表</w:t>
      </w:r>
      <w:r>
        <w:tab/>
      </w:r>
      <w:r>
        <w:fldChar w:fldCharType="begin"/>
      </w:r>
      <w:r>
        <w:instrText xml:space="preserve"> PAGEREF _Toc14483 \h </w:instrText>
      </w:r>
      <w:r>
        <w:fldChar w:fldCharType="separate"/>
      </w:r>
      <w:r>
        <w:t>50</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_Toc18260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szCs w:val="32"/>
        </w:rPr>
        <w:t>初步评审—符合性审查表</w:t>
      </w:r>
      <w:r>
        <w:tab/>
      </w:r>
      <w:r>
        <w:fldChar w:fldCharType="begin"/>
      </w:r>
      <w:r>
        <w:instrText xml:space="preserve"> PAGEREF _Toc18260 \h </w:instrText>
      </w:r>
      <w:r>
        <w:fldChar w:fldCharType="separate"/>
      </w:r>
      <w:r>
        <w:t>51</w:t>
      </w:r>
      <w:r>
        <w:fldChar w:fldCharType="end"/>
      </w:r>
      <w:r>
        <w:rPr>
          <w:rFonts w:hint="eastAsia" w:ascii="微软雅黑" w:hAnsi="微软雅黑" w:eastAsia="微软雅黑" w:cs="微软雅黑"/>
          <w:color w:val="auto"/>
          <w:kern w:val="0"/>
          <w:szCs w:val="21"/>
        </w:rPr>
        <w:fldChar w:fldCharType="end"/>
      </w:r>
    </w:p>
    <w:p>
      <w:pPr>
        <w:pStyle w:val="27"/>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_Toc28908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szCs w:val="28"/>
          <w:lang w:val="en-US" w:eastAsia="zh-CN"/>
        </w:rPr>
        <w:t>综合评分</w:t>
      </w:r>
      <w:r>
        <w:rPr>
          <w:rFonts w:hint="eastAsia" w:ascii="微软雅黑" w:hAnsi="微软雅黑" w:eastAsia="微软雅黑" w:cs="微软雅黑"/>
          <w:bCs/>
          <w:szCs w:val="28"/>
        </w:rPr>
        <w:t>表</w:t>
      </w:r>
      <w:r>
        <w:tab/>
      </w:r>
      <w:r>
        <w:fldChar w:fldCharType="begin"/>
      </w:r>
      <w:r>
        <w:instrText xml:space="preserve"> PAGEREF _Toc28908 \h </w:instrText>
      </w:r>
      <w:r>
        <w:fldChar w:fldCharType="separate"/>
      </w:r>
      <w:r>
        <w:t>55</w:t>
      </w:r>
      <w:r>
        <w:fldChar w:fldCharType="end"/>
      </w:r>
      <w:r>
        <w:rPr>
          <w:rFonts w:hint="eastAsia" w:ascii="微软雅黑" w:hAnsi="微软雅黑" w:eastAsia="微软雅黑" w:cs="微软雅黑"/>
          <w:color w:val="auto"/>
          <w:kern w:val="0"/>
          <w:szCs w:val="21"/>
        </w:rPr>
        <w:fldChar w:fldCharType="end"/>
      </w:r>
    </w:p>
    <w:p>
      <w:pPr>
        <w:pStyle w:val="22"/>
        <w:tabs>
          <w:tab w:val="right" w:leader="dot" w:pos="8312"/>
        </w:tabs>
      </w:pPr>
      <w:r>
        <w:rPr>
          <w:rFonts w:hint="eastAsia" w:ascii="微软雅黑" w:hAnsi="微软雅黑" w:eastAsia="微软雅黑" w:cs="微软雅黑"/>
          <w:color w:val="auto"/>
          <w:kern w:val="0"/>
          <w:szCs w:val="21"/>
        </w:rPr>
        <w:fldChar w:fldCharType="begin"/>
      </w:r>
      <w:r>
        <w:rPr>
          <w:rFonts w:hint="eastAsia" w:ascii="微软雅黑" w:hAnsi="微软雅黑" w:eastAsia="微软雅黑" w:cs="微软雅黑"/>
          <w:kern w:val="0"/>
          <w:szCs w:val="21"/>
        </w:rPr>
        <w:instrText xml:space="preserve"> HYPERLINK \l _Toc16468 </w:instrText>
      </w:r>
      <w:r>
        <w:rPr>
          <w:rFonts w:hint="eastAsia" w:ascii="微软雅黑" w:hAnsi="微软雅黑" w:eastAsia="微软雅黑" w:cs="微软雅黑"/>
          <w:kern w:val="0"/>
          <w:szCs w:val="21"/>
        </w:rPr>
        <w:fldChar w:fldCharType="separate"/>
      </w:r>
      <w:r>
        <w:rPr>
          <w:rFonts w:hint="eastAsia" w:ascii="微软雅黑" w:hAnsi="微软雅黑" w:eastAsia="微软雅黑" w:cs="微软雅黑"/>
          <w:bCs w:val="0"/>
          <w:szCs w:val="32"/>
          <w:lang w:eastAsia="zh-CN"/>
        </w:rPr>
        <w:t>第</w:t>
      </w:r>
      <w:r>
        <w:rPr>
          <w:rFonts w:hint="eastAsia" w:ascii="微软雅黑" w:hAnsi="微软雅黑" w:eastAsia="微软雅黑" w:cs="微软雅黑"/>
          <w:bCs w:val="0"/>
          <w:szCs w:val="32"/>
          <w:lang w:val="en-US" w:eastAsia="zh-CN"/>
        </w:rPr>
        <w:t>7章</w:t>
      </w:r>
      <w:r>
        <w:rPr>
          <w:rFonts w:hint="eastAsia" w:ascii="微软雅黑" w:hAnsi="微软雅黑" w:eastAsia="微软雅黑" w:cs="微软雅黑"/>
          <w:bCs w:val="0"/>
          <w:szCs w:val="22"/>
        </w:rPr>
        <w:t xml:space="preserve">  </w:t>
      </w:r>
      <w:r>
        <w:rPr>
          <w:rFonts w:hint="eastAsia" w:ascii="微软雅黑" w:hAnsi="微软雅黑" w:eastAsia="微软雅黑" w:cs="微软雅黑"/>
          <w:bCs w:val="0"/>
          <w:szCs w:val="32"/>
        </w:rPr>
        <w:t>合同条款</w:t>
      </w:r>
      <w:r>
        <w:tab/>
      </w:r>
      <w:r>
        <w:fldChar w:fldCharType="begin"/>
      </w:r>
      <w:r>
        <w:instrText xml:space="preserve"> PAGEREF _Toc16468 \h </w:instrText>
      </w:r>
      <w:r>
        <w:fldChar w:fldCharType="separate"/>
      </w:r>
      <w:r>
        <w:t>57</w:t>
      </w:r>
      <w:r>
        <w:fldChar w:fldCharType="end"/>
      </w:r>
      <w:r>
        <w:rPr>
          <w:rFonts w:hint="eastAsia" w:ascii="微软雅黑" w:hAnsi="微软雅黑" w:eastAsia="微软雅黑" w:cs="微软雅黑"/>
          <w:color w:val="auto"/>
          <w:kern w:val="0"/>
          <w:szCs w:val="21"/>
        </w:rPr>
        <w:fldChar w:fldCharType="end"/>
      </w:r>
    </w:p>
    <w:p>
      <w:pPr>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leftChars="0"/>
        <w:textAlignment w:val="auto"/>
        <w:outlineLvl w:val="9"/>
        <w:rPr>
          <w:rFonts w:hint="eastAsia" w:ascii="微软雅黑" w:hAnsi="微软雅黑" w:eastAsia="微软雅黑" w:cs="微软雅黑"/>
          <w:color w:val="auto"/>
        </w:rPr>
      </w:pPr>
      <w:r>
        <w:rPr>
          <w:rFonts w:hint="eastAsia" w:ascii="微软雅黑" w:hAnsi="微软雅黑" w:eastAsia="微软雅黑" w:cs="微软雅黑"/>
          <w:color w:val="auto"/>
          <w:kern w:val="0"/>
          <w:szCs w:val="21"/>
        </w:rPr>
        <w:fldChar w:fldCharType="end"/>
      </w:r>
      <w:bookmarkStart w:id="0" w:name="_Toc22782"/>
      <w:bookmarkStart w:id="1" w:name="_Toc216582804"/>
      <w:bookmarkStart w:id="2" w:name="_Toc17355"/>
      <w:bookmarkStart w:id="3" w:name="_Toc17230"/>
    </w:p>
    <w:p>
      <w:pPr>
        <w:pStyle w:val="4"/>
        <w:keepNext/>
        <w:keepLines/>
        <w:pageBreakBefore w:val="0"/>
        <w:widowControl w:val="0"/>
        <w:numPr>
          <w:ilvl w:val="0"/>
          <w:numId w:val="1"/>
        </w:numPr>
        <w:tabs>
          <w:tab w:val="left" w:pos="0"/>
          <w:tab w:val="clear" w:pos="3134"/>
        </w:tabs>
        <w:kinsoku/>
        <w:wordWrap/>
        <w:overflowPunct/>
        <w:topLinePunct w:val="0"/>
        <w:autoSpaceDE w:val="0"/>
        <w:autoSpaceDN w:val="0"/>
        <w:bidi w:val="0"/>
        <w:adjustRightInd w:val="0"/>
        <w:snapToGrid/>
        <w:spacing w:before="0" w:after="0" w:line="240" w:lineRule="atLeast"/>
        <w:ind w:left="0" w:leftChars="0" w:firstLine="0" w:firstLineChars="0"/>
        <w:textAlignment w:val="auto"/>
        <w:outlineLvl w:val="1"/>
        <w:rPr>
          <w:rFonts w:hint="eastAsia" w:ascii="微软雅黑" w:hAnsi="微软雅黑" w:eastAsia="微软雅黑" w:cs="微软雅黑"/>
          <w:color w:val="auto"/>
        </w:rPr>
      </w:pPr>
      <w:r>
        <w:rPr>
          <w:rFonts w:hint="eastAsia" w:ascii="微软雅黑" w:hAnsi="微软雅黑" w:eastAsia="微软雅黑" w:cs="微软雅黑"/>
          <w:color w:val="auto"/>
          <w:kern w:val="0"/>
          <w:szCs w:val="21"/>
        </w:rPr>
        <w:br w:type="page"/>
      </w:r>
      <w:r>
        <w:rPr>
          <w:rFonts w:hint="eastAsia" w:ascii="微软雅黑" w:hAnsi="微软雅黑" w:eastAsia="微软雅黑" w:cs="微软雅黑"/>
          <w:color w:val="auto"/>
        </w:rPr>
        <w:t xml:space="preserve">  </w:t>
      </w:r>
      <w:bookmarkStart w:id="4" w:name="_Toc515647756"/>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须知</w:t>
      </w:r>
      <w:bookmarkEnd w:id="0"/>
      <w:bookmarkEnd w:id="1"/>
      <w:bookmarkEnd w:id="2"/>
      <w:bookmarkEnd w:id="3"/>
      <w:bookmarkEnd w:id="4"/>
    </w:p>
    <w:p>
      <w:pPr>
        <w:pStyle w:val="4"/>
        <w:spacing w:before="0" w:line="240" w:lineRule="atLeast"/>
        <w:ind w:left="1080" w:leftChars="257" w:hanging="540"/>
        <w:rPr>
          <w:rFonts w:hint="eastAsia" w:ascii="微软雅黑" w:hAnsi="微软雅黑" w:eastAsia="微软雅黑" w:cs="微软雅黑"/>
          <w:color w:val="auto"/>
        </w:rPr>
      </w:pPr>
      <w:bookmarkStart w:id="5" w:name="_Toc216582805"/>
      <w:bookmarkStart w:id="6" w:name="_Toc520356143"/>
      <w:bookmarkStart w:id="7" w:name="_Toc515647757"/>
      <w:bookmarkStart w:id="8" w:name="_Toc16036"/>
      <w:bookmarkStart w:id="9" w:name="_Toc21215"/>
      <w:bookmarkStart w:id="10" w:name="_Toc21015"/>
      <w:r>
        <w:rPr>
          <w:rFonts w:hint="eastAsia" w:ascii="微软雅黑" w:hAnsi="微软雅黑" w:eastAsia="微软雅黑" w:cs="微软雅黑"/>
          <w:color w:val="auto"/>
          <w:sz w:val="28"/>
        </w:rPr>
        <w:t xml:space="preserve">一   </w:t>
      </w:r>
      <w:bookmarkEnd w:id="5"/>
      <w:bookmarkEnd w:id="6"/>
      <w:bookmarkEnd w:id="7"/>
      <w:r>
        <w:rPr>
          <w:rFonts w:hint="eastAsia" w:ascii="微软雅黑" w:hAnsi="微软雅黑" w:eastAsia="微软雅黑" w:cs="微软雅黑"/>
          <w:color w:val="auto"/>
          <w:sz w:val="28"/>
        </w:rPr>
        <w:t>总 则</w:t>
      </w:r>
      <w:bookmarkEnd w:id="8"/>
      <w:bookmarkEnd w:id="9"/>
      <w:bookmarkEnd w:id="10"/>
    </w:p>
    <w:p>
      <w:pPr>
        <w:pStyle w:val="2"/>
        <w:spacing w:before="0" w:after="0" w:line="380" w:lineRule="exact"/>
        <w:rPr>
          <w:rFonts w:hint="eastAsia" w:ascii="微软雅黑" w:hAnsi="微软雅黑" w:eastAsia="微软雅黑" w:cs="微软雅黑"/>
          <w:color w:val="auto"/>
          <w:u w:val="none"/>
          <w:lang w:eastAsia="zh-CN"/>
        </w:rPr>
      </w:pPr>
      <w:bookmarkStart w:id="11" w:name="_Toc520356144"/>
      <w:bookmarkStart w:id="12" w:name="_Toc515647758"/>
      <w:bookmarkStart w:id="13" w:name="_Toc32623"/>
      <w:bookmarkStart w:id="14" w:name="_Toc32189"/>
      <w:bookmarkStart w:id="15" w:name="_Toc14992"/>
      <w:bookmarkStart w:id="16" w:name="_Toc24864"/>
      <w:r>
        <w:rPr>
          <w:rFonts w:hint="eastAsia" w:ascii="微软雅黑" w:hAnsi="微软雅黑" w:eastAsia="微软雅黑" w:cs="微软雅黑"/>
          <w:color w:val="auto"/>
          <w:u w:val="none"/>
        </w:rPr>
        <w:t>1.采购人、采购代理机构及</w:t>
      </w:r>
      <w:bookmarkEnd w:id="11"/>
      <w:bookmarkEnd w:id="12"/>
      <w:bookmarkEnd w:id="13"/>
      <w:bookmarkEnd w:id="14"/>
      <w:r>
        <w:rPr>
          <w:rFonts w:hint="eastAsia" w:ascii="微软雅黑" w:hAnsi="微软雅黑" w:eastAsia="微软雅黑" w:cs="微软雅黑"/>
          <w:color w:val="auto"/>
          <w:u w:val="none"/>
          <w:lang w:eastAsia="zh-CN"/>
        </w:rPr>
        <w:t>供应商</w:t>
      </w:r>
      <w:bookmarkEnd w:id="15"/>
      <w:bookmarkEnd w:id="16"/>
    </w:p>
    <w:p>
      <w:pPr>
        <w:numPr>
          <w:ilvl w:val="1"/>
          <w:numId w:val="2"/>
        </w:numPr>
        <w:tabs>
          <w:tab w:val="left" w:pos="0"/>
          <w:tab w:val="clear" w:pos="900"/>
        </w:tabs>
        <w:spacing w:line="38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采购人：是指依法开展政府采购活动的国家机关、事业单位、团体组织。</w:t>
      </w:r>
    </w:p>
    <w:p>
      <w:pPr>
        <w:tabs>
          <w:tab w:val="left" w:pos="0"/>
        </w:tabs>
        <w:spacing w:line="380" w:lineRule="exact"/>
        <w:ind w:left="9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pPr>
        <w:numPr>
          <w:ilvl w:val="1"/>
          <w:numId w:val="2"/>
        </w:numPr>
        <w:tabs>
          <w:tab w:val="left" w:pos="0"/>
          <w:tab w:val="clear" w:pos="900"/>
        </w:tabs>
        <w:spacing w:line="38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采购代理机构：是指在集中采购机构或从事采购代理业务的社会中介机构。本项目的采购代理机构见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pPr>
        <w:numPr>
          <w:ilvl w:val="1"/>
          <w:numId w:val="2"/>
        </w:numPr>
        <w:spacing w:line="380" w:lineRule="exact"/>
        <w:ind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：是指向采购人提供货物、工程或者服务的法人、非法人组织或者自然人。本项目的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及其投标</w:t>
      </w:r>
      <w:r>
        <w:rPr>
          <w:rFonts w:hint="eastAsia" w:ascii="微软雅黑" w:hAnsi="微软雅黑" w:eastAsia="微软雅黑" w:cs="微软雅黑"/>
          <w:color w:val="auto"/>
          <w:sz w:val="24"/>
          <w:lang w:eastAsia="zh-CN"/>
        </w:rPr>
        <w:t>服务</w:t>
      </w:r>
      <w:r>
        <w:rPr>
          <w:rFonts w:hint="eastAsia" w:ascii="微软雅黑" w:hAnsi="微软雅黑" w:eastAsia="微软雅黑" w:cs="微软雅黑"/>
          <w:color w:val="auto"/>
          <w:sz w:val="24"/>
        </w:rPr>
        <w:t>须满足以下条件：</w:t>
      </w:r>
    </w:p>
    <w:p>
      <w:pPr>
        <w:spacing w:line="38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以采购代理机构认可的方式获得了本项目的招标文件。</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中规定的其他要求。</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中写明允许采购进口产品，</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应保证所投产品可履行合法报通关手续进入中国关境内。</w:t>
      </w:r>
    </w:p>
    <w:p>
      <w:pPr>
        <w:spacing w:line="380" w:lineRule="exact"/>
        <w:ind w:left="899" w:leftChars="42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若</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中未写明允许采购进口产品，如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所投产品为进口产品，其投标将被认定为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80" w:lineRule="exact"/>
        <w:ind w:left="840" w:hanging="840" w:hangingChars="3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1.3.6  若</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中写明专门面向中小企业采购的，如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为非中小企业且所投产品为非中小企业产品，其投标将被认定为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中允许联合体投标，对联合体规定如下：</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两个以上供应商可以组成一个投标联合体，以一个</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的身份投标。</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的特殊要求，联合体中至少应当有一方符合相关规定。</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联合体各方应签订共同投标协议，明确约定联合体各方承担的工作和相应的责任，并将共同投标协议连同作为投标文件第一部分的内容提交。</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联合体中有同类资质的供应商按照联合体分工承担相同工作的，按照较低的资质等级确定联合体的资质等级。</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   对联合体投标的其他资格要求见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在投标过程中不得向采购人提供、给予任何有价值的物品，影响其正常决策行为。一经发现，其将被认定为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pStyle w:val="2"/>
        <w:spacing w:before="0" w:after="0" w:line="380" w:lineRule="exact"/>
        <w:rPr>
          <w:rFonts w:hint="eastAsia" w:ascii="微软雅黑" w:hAnsi="微软雅黑" w:eastAsia="微软雅黑" w:cs="微软雅黑"/>
          <w:color w:val="auto"/>
          <w:u w:val="none"/>
        </w:rPr>
      </w:pPr>
      <w:bookmarkStart w:id="17" w:name="_Toc32338"/>
      <w:bookmarkStart w:id="18" w:name="_Toc5527"/>
      <w:bookmarkStart w:id="19" w:name="_Toc12139"/>
      <w:bookmarkStart w:id="20" w:name="_Toc5286"/>
      <w:bookmarkStart w:id="21" w:name="_Toc515647759"/>
      <w:r>
        <w:rPr>
          <w:rFonts w:hint="eastAsia" w:ascii="微软雅黑" w:hAnsi="微软雅黑" w:eastAsia="微软雅黑" w:cs="微软雅黑"/>
          <w:color w:val="auto"/>
          <w:u w:val="none"/>
        </w:rPr>
        <w:t>2.资金来源</w:t>
      </w:r>
      <w:bookmarkEnd w:id="17"/>
      <w:bookmarkEnd w:id="18"/>
      <w:bookmarkEnd w:id="19"/>
      <w:bookmarkEnd w:id="20"/>
      <w:bookmarkEnd w:id="21"/>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本项目的采购人已获得足以支付本次招标后所签订的合同项下的资金（包括财政性资金和本项目采购中无法与财政性资金分割的非财政性资金）。</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项目预算金额和分项或分包最高限价</w:t>
      </w:r>
      <w:r>
        <w:rPr>
          <w:rFonts w:hint="eastAsia" w:ascii="微软雅黑" w:hAnsi="微软雅黑" w:eastAsia="微软雅黑" w:cs="微软雅黑"/>
          <w:color w:val="auto"/>
          <w:sz w:val="24"/>
          <w:u w:val="single"/>
        </w:rPr>
        <w:t>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2.3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报价超过招标文件规定的预算金额或者分项、分包最高限价的，其投标将被认定为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pStyle w:val="2"/>
        <w:spacing w:before="0" w:after="0" w:line="380" w:lineRule="exact"/>
        <w:rPr>
          <w:rFonts w:hint="eastAsia" w:ascii="微软雅黑" w:hAnsi="微软雅黑" w:eastAsia="微软雅黑" w:cs="微软雅黑"/>
          <w:color w:val="auto"/>
          <w:u w:val="none"/>
        </w:rPr>
      </w:pPr>
      <w:bookmarkStart w:id="22" w:name="_Toc20526"/>
      <w:bookmarkStart w:id="23" w:name="_Toc7735"/>
      <w:bookmarkStart w:id="24" w:name="_Toc7058"/>
      <w:bookmarkStart w:id="25" w:name="_Toc15936"/>
      <w:bookmarkStart w:id="26" w:name="_Toc515647760"/>
      <w:bookmarkStart w:id="27" w:name="_Toc520356145"/>
      <w:r>
        <w:rPr>
          <w:rFonts w:hint="eastAsia" w:ascii="微软雅黑" w:hAnsi="微软雅黑" w:eastAsia="微软雅黑" w:cs="微软雅黑"/>
          <w:color w:val="auto"/>
          <w:u w:val="none"/>
        </w:rPr>
        <w:t>3.投标费用</w:t>
      </w:r>
      <w:bookmarkEnd w:id="22"/>
      <w:bookmarkEnd w:id="23"/>
      <w:bookmarkEnd w:id="24"/>
      <w:bookmarkEnd w:id="25"/>
      <w:bookmarkEnd w:id="26"/>
      <w:bookmarkEnd w:id="27"/>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不论投标的结果如何，</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应承担所有与准备和参加投标有关的费用。</w:t>
      </w:r>
    </w:p>
    <w:p>
      <w:pPr>
        <w:pStyle w:val="2"/>
        <w:spacing w:before="0" w:after="0" w:line="380" w:lineRule="exact"/>
        <w:rPr>
          <w:rFonts w:hint="eastAsia" w:ascii="微软雅黑" w:hAnsi="微软雅黑" w:eastAsia="微软雅黑" w:cs="微软雅黑"/>
          <w:color w:val="auto"/>
          <w:u w:val="none"/>
        </w:rPr>
      </w:pPr>
      <w:bookmarkStart w:id="28" w:name="_Toc515647761"/>
      <w:bookmarkStart w:id="29" w:name="_Toc6116"/>
      <w:bookmarkStart w:id="30" w:name="_Toc17740"/>
      <w:bookmarkStart w:id="31" w:name="_Toc31259"/>
      <w:bookmarkStart w:id="32" w:name="_Toc4463"/>
      <w:r>
        <w:rPr>
          <w:rFonts w:hint="eastAsia" w:ascii="微软雅黑" w:hAnsi="微软雅黑" w:eastAsia="微软雅黑" w:cs="微软雅黑"/>
          <w:color w:val="auto"/>
          <w:u w:val="none"/>
        </w:rPr>
        <w:t>4.适用法律</w:t>
      </w:r>
      <w:bookmarkEnd w:id="28"/>
      <w:bookmarkEnd w:id="29"/>
      <w:bookmarkEnd w:id="30"/>
      <w:bookmarkEnd w:id="31"/>
      <w:bookmarkEnd w:id="32"/>
    </w:p>
    <w:p>
      <w:pPr>
        <w:spacing w:line="3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本项目采购人、采购代理机构、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、评标委员会的相关行为均受《中华人民共和国政府采购法》、《中华人民共和国政府采购法实施条例》及本项目本级和上级财政部门政府采购有关规定的约束，其权利受到上述法律法规的保护。</w:t>
      </w:r>
    </w:p>
    <w:p>
      <w:pPr>
        <w:spacing w:line="360" w:lineRule="exact"/>
        <w:rPr>
          <w:rFonts w:hint="eastAsia" w:ascii="微软雅黑" w:hAnsi="微软雅黑" w:eastAsia="微软雅黑" w:cs="微软雅黑"/>
          <w:color w:val="auto"/>
          <w:sz w:val="24"/>
        </w:rPr>
      </w:pPr>
    </w:p>
    <w:p>
      <w:pPr>
        <w:pStyle w:val="4"/>
        <w:spacing w:before="0" w:line="360" w:lineRule="auto"/>
        <w:jc w:val="center"/>
        <w:rPr>
          <w:rFonts w:hint="eastAsia" w:ascii="微软雅黑" w:hAnsi="微软雅黑" w:eastAsia="微软雅黑" w:cs="微软雅黑"/>
          <w:color w:val="auto"/>
        </w:rPr>
      </w:pPr>
      <w:bookmarkStart w:id="33" w:name="_Toc11265"/>
      <w:bookmarkStart w:id="34" w:name="_Toc21566"/>
      <w:bookmarkStart w:id="35" w:name="_Toc520356146"/>
      <w:bookmarkStart w:id="36" w:name="_Toc4365"/>
      <w:bookmarkStart w:id="37" w:name="_Toc515647762"/>
      <w:bookmarkStart w:id="38" w:name="_Toc216582806"/>
      <w:r>
        <w:rPr>
          <w:rFonts w:hint="eastAsia" w:ascii="微软雅黑" w:hAnsi="微软雅黑" w:eastAsia="微软雅黑" w:cs="微软雅黑"/>
          <w:color w:val="auto"/>
          <w:sz w:val="28"/>
        </w:rPr>
        <w:t>二   招标文件</w:t>
      </w:r>
      <w:bookmarkEnd w:id="33"/>
      <w:bookmarkEnd w:id="34"/>
      <w:bookmarkEnd w:id="35"/>
      <w:bookmarkEnd w:id="36"/>
      <w:bookmarkEnd w:id="37"/>
      <w:bookmarkEnd w:id="38"/>
    </w:p>
    <w:p>
      <w:pPr>
        <w:pStyle w:val="2"/>
        <w:spacing w:before="0" w:after="0" w:line="360" w:lineRule="exact"/>
        <w:rPr>
          <w:rFonts w:hint="eastAsia" w:ascii="微软雅黑" w:hAnsi="微软雅黑" w:eastAsia="微软雅黑" w:cs="微软雅黑"/>
          <w:color w:val="auto"/>
          <w:u w:val="none"/>
        </w:rPr>
      </w:pPr>
      <w:bookmarkStart w:id="39" w:name="_Toc14084"/>
      <w:bookmarkStart w:id="40" w:name="_Toc520356147"/>
      <w:bookmarkStart w:id="41" w:name="_Toc4354"/>
      <w:bookmarkStart w:id="42" w:name="_Toc4541"/>
      <w:bookmarkStart w:id="43" w:name="_Toc25743"/>
      <w:bookmarkStart w:id="44" w:name="_Toc515647763"/>
      <w:r>
        <w:rPr>
          <w:rFonts w:hint="eastAsia" w:ascii="微软雅黑" w:hAnsi="微软雅黑" w:eastAsia="微软雅黑" w:cs="微软雅黑"/>
          <w:color w:val="auto"/>
          <w:u w:val="none"/>
        </w:rPr>
        <w:t>5.招标文件构成</w:t>
      </w:r>
      <w:bookmarkEnd w:id="39"/>
      <w:bookmarkEnd w:id="40"/>
      <w:bookmarkEnd w:id="41"/>
      <w:bookmarkEnd w:id="42"/>
      <w:bookmarkEnd w:id="43"/>
      <w:bookmarkEnd w:id="44"/>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招标文件分为三册共7章，内容如下：</w:t>
      </w:r>
    </w:p>
    <w:p>
      <w:pPr>
        <w:spacing w:line="360" w:lineRule="exac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第一册</w:t>
      </w:r>
    </w:p>
    <w:p>
      <w:pPr>
        <w:numPr>
          <w:ilvl w:val="0"/>
          <w:numId w:val="3"/>
        </w:numPr>
        <w:tabs>
          <w:tab w:val="left" w:pos="0"/>
        </w:tabs>
        <w:spacing w:line="360" w:lineRule="exact"/>
        <w:ind w:hanging="82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须知</w:t>
      </w:r>
    </w:p>
    <w:p>
      <w:pPr>
        <w:numPr>
          <w:ilvl w:val="0"/>
          <w:numId w:val="3"/>
        </w:numPr>
        <w:spacing w:line="36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投标文件格式</w:t>
      </w:r>
    </w:p>
    <w:p>
      <w:pPr>
        <w:spacing w:line="36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第二册</w:t>
      </w:r>
    </w:p>
    <w:p>
      <w:pPr>
        <w:numPr>
          <w:ilvl w:val="0"/>
          <w:numId w:val="3"/>
        </w:numPr>
        <w:spacing w:line="36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投标邀请</w:t>
      </w:r>
    </w:p>
    <w:p>
      <w:pPr>
        <w:numPr>
          <w:ilvl w:val="0"/>
          <w:numId w:val="3"/>
        </w:numPr>
        <w:spacing w:line="36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须知资料表</w:t>
      </w:r>
    </w:p>
    <w:p>
      <w:pPr>
        <w:numPr>
          <w:ilvl w:val="0"/>
          <w:numId w:val="3"/>
        </w:numPr>
        <w:spacing w:line="36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需求一览表及技术规格</w:t>
      </w:r>
    </w:p>
    <w:p>
      <w:pPr>
        <w:numPr>
          <w:ilvl w:val="0"/>
          <w:numId w:val="3"/>
        </w:numPr>
        <w:spacing w:line="36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评标方法和标准</w:t>
      </w:r>
    </w:p>
    <w:p>
      <w:pPr>
        <w:spacing w:line="360" w:lineRule="exac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第三册</w:t>
      </w:r>
    </w:p>
    <w:p>
      <w:pPr>
        <w:numPr>
          <w:ilvl w:val="0"/>
          <w:numId w:val="0"/>
        </w:numPr>
        <w:spacing w:line="360" w:lineRule="exact"/>
        <w:ind w:leftChars="442"/>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第七章</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政府采购合同格式</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5.3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应认真阅读招标文件所有的事项、格式、条款和技术规范等。如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pStyle w:val="2"/>
        <w:spacing w:before="0" w:after="0" w:line="360" w:lineRule="exact"/>
        <w:rPr>
          <w:rFonts w:hint="eastAsia" w:ascii="微软雅黑" w:hAnsi="微软雅黑" w:eastAsia="微软雅黑" w:cs="微软雅黑"/>
          <w:color w:val="auto"/>
          <w:u w:val="none"/>
        </w:rPr>
      </w:pPr>
      <w:bookmarkStart w:id="45" w:name="_Toc515904805"/>
      <w:bookmarkStart w:id="46" w:name="_Toc520356148"/>
      <w:bookmarkStart w:id="47" w:name="_Toc26044"/>
      <w:bookmarkStart w:id="48" w:name="_Toc9232"/>
      <w:bookmarkStart w:id="49" w:name="_Toc2134"/>
      <w:bookmarkStart w:id="50" w:name="_Toc13907"/>
      <w:r>
        <w:rPr>
          <w:rFonts w:hint="eastAsia" w:ascii="微软雅黑" w:hAnsi="微软雅黑" w:eastAsia="微软雅黑" w:cs="微软雅黑"/>
          <w:color w:val="auto"/>
          <w:u w:val="none"/>
        </w:rPr>
        <w:t>6.招标文件的澄清</w:t>
      </w:r>
      <w:bookmarkEnd w:id="45"/>
      <w:bookmarkEnd w:id="46"/>
      <w:r>
        <w:rPr>
          <w:rFonts w:hint="eastAsia" w:ascii="微软雅黑" w:hAnsi="微软雅黑" w:eastAsia="微软雅黑" w:cs="微软雅黑"/>
          <w:color w:val="auto"/>
          <w:u w:val="none"/>
        </w:rPr>
        <w:t>与修改</w:t>
      </w:r>
      <w:bookmarkEnd w:id="47"/>
      <w:bookmarkEnd w:id="48"/>
      <w:bookmarkEnd w:id="49"/>
      <w:bookmarkEnd w:id="50"/>
    </w:p>
    <w:p>
      <w:pPr>
        <w:pStyle w:val="8"/>
        <w:spacing w:line="36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6.1    为了保证对招标文件的澄清和修改满足法律的时限要求，任何要求对招标文件进行澄清的</w:t>
      </w:r>
      <w:r>
        <w:rPr>
          <w:rFonts w:hint="eastAsia" w:ascii="微软雅黑" w:hAnsi="微软雅黑" w:eastAsia="微软雅黑" w:cs="微软雅黑"/>
          <w:color w:val="auto"/>
          <w:szCs w:val="24"/>
          <w:lang w:eastAsia="zh-CN"/>
        </w:rPr>
        <w:t>供应商</w:t>
      </w:r>
      <w:r>
        <w:rPr>
          <w:rFonts w:hint="eastAsia" w:ascii="微软雅黑" w:hAnsi="微软雅黑" w:eastAsia="微软雅黑" w:cs="微软雅黑"/>
          <w:color w:val="auto"/>
          <w:szCs w:val="24"/>
        </w:rPr>
        <w:t>，均应在投标截止期十五日前，以书面形式将澄清要求通知采购人或采购代理机构。</w:t>
      </w:r>
    </w:p>
    <w:p>
      <w:pPr>
        <w:pStyle w:val="8"/>
        <w:spacing w:line="360" w:lineRule="exact"/>
        <w:ind w:left="840" w:hanging="840" w:hangingChars="350"/>
        <w:rPr>
          <w:rFonts w:hint="eastAsia" w:ascii="微软雅黑" w:hAnsi="微软雅黑" w:eastAsia="微软雅黑" w:cs="微软雅黑"/>
          <w:color w:val="auto"/>
          <w:szCs w:val="24"/>
        </w:rPr>
      </w:pPr>
      <w:bookmarkStart w:id="51" w:name="_Toc515904806"/>
      <w:bookmarkStart w:id="52" w:name="_Ref467378678"/>
      <w:bookmarkStart w:id="53" w:name="_Toc520356149"/>
      <w:r>
        <w:rPr>
          <w:rFonts w:hint="eastAsia" w:ascii="微软雅黑" w:hAnsi="微软雅黑" w:eastAsia="微软雅黑" w:cs="微软雅黑"/>
          <w:color w:val="auto"/>
          <w:szCs w:val="24"/>
        </w:rPr>
        <w:t>6.2</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采购人可主动地或在解答</w:t>
      </w:r>
      <w:r>
        <w:rPr>
          <w:rFonts w:hint="eastAsia" w:ascii="微软雅黑" w:hAnsi="微软雅黑" w:eastAsia="微软雅黑" w:cs="微软雅黑"/>
          <w:color w:val="auto"/>
          <w:szCs w:val="24"/>
          <w:lang w:eastAsia="zh-CN"/>
        </w:rPr>
        <w:t>供应商</w:t>
      </w:r>
      <w:r>
        <w:rPr>
          <w:rFonts w:hint="eastAsia" w:ascii="微软雅黑" w:hAnsi="微软雅黑" w:eastAsia="微软雅黑" w:cs="微软雅黑"/>
          <w:color w:val="auto"/>
          <w:szCs w:val="24"/>
        </w:rPr>
        <w:t>提出的澄清问题时对招标文件进行澄清或修改。采购代理机构将以发布澄清（更正）公告的方式，澄清或修改招标文件，澄清或修改内容作为招标文件的组成部分。</w:t>
      </w:r>
    </w:p>
    <w:p>
      <w:pPr>
        <w:pStyle w:val="8"/>
        <w:spacing w:line="36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6.3</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澄清或者修改的内容可能影响投标文件编制的，采购代理机构将以书面形式通知所有购买招标文件的潜在</w:t>
      </w:r>
      <w:r>
        <w:rPr>
          <w:rFonts w:hint="eastAsia" w:ascii="微软雅黑" w:hAnsi="微软雅黑" w:eastAsia="微软雅黑" w:cs="微软雅黑"/>
          <w:color w:val="auto"/>
          <w:szCs w:val="24"/>
          <w:lang w:eastAsia="zh-CN"/>
        </w:rPr>
        <w:t>供应商</w:t>
      </w:r>
      <w:r>
        <w:rPr>
          <w:rFonts w:hint="eastAsia" w:ascii="微软雅黑" w:hAnsi="微软雅黑" w:eastAsia="微软雅黑" w:cs="微软雅黑"/>
          <w:color w:val="auto"/>
          <w:szCs w:val="24"/>
        </w:rPr>
        <w:t>，并对其具有约束力。</w:t>
      </w:r>
      <w:r>
        <w:rPr>
          <w:rFonts w:hint="eastAsia" w:ascii="微软雅黑" w:hAnsi="微软雅黑" w:eastAsia="微软雅黑" w:cs="微软雅黑"/>
          <w:color w:val="auto"/>
          <w:szCs w:val="24"/>
          <w:lang w:eastAsia="zh-CN"/>
        </w:rPr>
        <w:t>供应商</w:t>
      </w:r>
      <w:r>
        <w:rPr>
          <w:rFonts w:hint="eastAsia" w:ascii="微软雅黑" w:hAnsi="微软雅黑" w:eastAsia="微软雅黑" w:cs="微软雅黑"/>
          <w:color w:val="auto"/>
          <w:szCs w:val="24"/>
        </w:rPr>
        <w:t>在收到上述通知后，应及时向采购代理机构回函确认。</w:t>
      </w:r>
    </w:p>
    <w:p>
      <w:pPr>
        <w:pStyle w:val="2"/>
        <w:tabs>
          <w:tab w:val="left" w:pos="900"/>
        </w:tabs>
        <w:spacing w:before="0" w:after="0" w:line="360" w:lineRule="exact"/>
        <w:rPr>
          <w:rFonts w:hint="eastAsia" w:ascii="微软雅黑" w:hAnsi="微软雅黑" w:eastAsia="微软雅黑" w:cs="微软雅黑"/>
          <w:color w:val="auto"/>
          <w:u w:val="none"/>
        </w:rPr>
      </w:pPr>
      <w:bookmarkStart w:id="54" w:name="_Toc7456"/>
      <w:bookmarkStart w:id="55" w:name="_Toc11266"/>
      <w:bookmarkStart w:id="56" w:name="_Toc14569"/>
      <w:bookmarkStart w:id="57" w:name="_Toc25635"/>
      <w:r>
        <w:rPr>
          <w:rFonts w:hint="eastAsia" w:ascii="微软雅黑" w:hAnsi="微软雅黑" w:eastAsia="微软雅黑" w:cs="微软雅黑"/>
          <w:color w:val="auto"/>
          <w:u w:val="none"/>
        </w:rPr>
        <w:t>7</w:t>
      </w:r>
      <w:bookmarkEnd w:id="51"/>
      <w:bookmarkEnd w:id="52"/>
      <w:bookmarkEnd w:id="53"/>
      <w:r>
        <w:rPr>
          <w:rFonts w:hint="eastAsia" w:ascii="微软雅黑" w:hAnsi="微软雅黑" w:eastAsia="微软雅黑" w:cs="微软雅黑"/>
          <w:color w:val="auto"/>
          <w:u w:val="none"/>
        </w:rPr>
        <w:t>.投标截止时间的顺延</w:t>
      </w:r>
      <w:bookmarkEnd w:id="54"/>
      <w:bookmarkEnd w:id="55"/>
      <w:bookmarkEnd w:id="56"/>
      <w:bookmarkEnd w:id="57"/>
    </w:p>
    <w:p>
      <w:pPr>
        <w:spacing w:line="360" w:lineRule="exact"/>
        <w:ind w:left="900" w:hanging="900" w:hangingChars="375"/>
        <w:rPr>
          <w:rFonts w:hint="eastAsia" w:ascii="微软雅黑" w:hAnsi="微软雅黑" w:eastAsia="微软雅黑" w:cs="微软雅黑"/>
          <w:color w:val="auto"/>
          <w:sz w:val="28"/>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准备投标时有足够的时间对招标文件的澄清或者修改部分进行研究，采购人将依法决定是否顺延投标截止时间。</w:t>
      </w:r>
      <w:bookmarkStart w:id="58" w:name="_Toc516367020"/>
      <w:bookmarkStart w:id="59" w:name="_Toc520356150"/>
      <w:bookmarkStart w:id="60" w:name="_Toc515647766"/>
      <w:bookmarkStart w:id="61" w:name="_Toc30808"/>
      <w:bookmarkStart w:id="62" w:name="_Toc7636"/>
      <w:bookmarkStart w:id="63" w:name="_Toc216582807"/>
    </w:p>
    <w:p>
      <w:pPr>
        <w:tabs>
          <w:tab w:val="left" w:pos="900"/>
        </w:tabs>
        <w:spacing w:line="360" w:lineRule="exact"/>
        <w:ind w:left="1080" w:leftChars="257" w:hanging="540"/>
        <w:rPr>
          <w:rFonts w:hint="eastAsia" w:ascii="微软雅黑" w:hAnsi="微软雅黑" w:eastAsia="微软雅黑" w:cs="微软雅黑"/>
          <w:color w:val="auto"/>
          <w:sz w:val="28"/>
        </w:rPr>
      </w:pPr>
    </w:p>
    <w:p>
      <w:pPr>
        <w:pStyle w:val="4"/>
        <w:tabs>
          <w:tab w:val="left" w:pos="900"/>
        </w:tabs>
        <w:spacing w:before="0" w:line="360" w:lineRule="exact"/>
        <w:ind w:left="1080" w:leftChars="257" w:hanging="540"/>
        <w:rPr>
          <w:rFonts w:hint="eastAsia" w:ascii="微软雅黑" w:hAnsi="微软雅黑" w:eastAsia="微软雅黑" w:cs="微软雅黑"/>
          <w:color w:val="auto"/>
          <w:sz w:val="28"/>
        </w:rPr>
      </w:pPr>
      <w:bookmarkStart w:id="64" w:name="_Toc28145"/>
      <w:r>
        <w:rPr>
          <w:rFonts w:hint="eastAsia" w:ascii="微软雅黑" w:hAnsi="微软雅黑" w:eastAsia="微软雅黑" w:cs="微软雅黑"/>
          <w:color w:val="auto"/>
          <w:sz w:val="28"/>
        </w:rPr>
        <w:t>三   投标文件</w:t>
      </w:r>
      <w:bookmarkEnd w:id="58"/>
      <w:r>
        <w:rPr>
          <w:rFonts w:hint="eastAsia" w:ascii="微软雅黑" w:hAnsi="微软雅黑" w:eastAsia="微软雅黑" w:cs="微软雅黑"/>
          <w:color w:val="auto"/>
          <w:sz w:val="28"/>
        </w:rPr>
        <w:t>的编制</w:t>
      </w:r>
      <w:bookmarkEnd w:id="59"/>
      <w:bookmarkEnd w:id="60"/>
      <w:bookmarkEnd w:id="61"/>
      <w:bookmarkEnd w:id="62"/>
      <w:bookmarkEnd w:id="63"/>
      <w:bookmarkEnd w:id="64"/>
    </w:p>
    <w:p>
      <w:pPr>
        <w:pStyle w:val="8"/>
        <w:spacing w:line="360" w:lineRule="exact"/>
        <w:rPr>
          <w:rFonts w:hint="eastAsia" w:ascii="微软雅黑" w:hAnsi="微软雅黑" w:eastAsia="微软雅黑" w:cs="微软雅黑"/>
          <w:color w:val="auto"/>
        </w:rPr>
      </w:pPr>
    </w:p>
    <w:p>
      <w:pPr>
        <w:pStyle w:val="2"/>
        <w:tabs>
          <w:tab w:val="left" w:pos="900"/>
        </w:tabs>
        <w:spacing w:before="0" w:after="0" w:line="360" w:lineRule="exact"/>
        <w:rPr>
          <w:rFonts w:hint="eastAsia" w:ascii="微软雅黑" w:hAnsi="微软雅黑" w:eastAsia="微软雅黑" w:cs="微软雅黑"/>
          <w:color w:val="auto"/>
          <w:u w:val="none"/>
        </w:rPr>
      </w:pPr>
      <w:bookmarkStart w:id="65" w:name="_Toc7786"/>
      <w:bookmarkStart w:id="66" w:name="_Toc515647767"/>
      <w:bookmarkStart w:id="67" w:name="_Toc893"/>
      <w:bookmarkStart w:id="68" w:name="_Toc516367021"/>
      <w:bookmarkStart w:id="69" w:name="_Toc520356151"/>
      <w:bookmarkStart w:id="70" w:name="_Toc24289"/>
      <w:bookmarkStart w:id="71" w:name="_Toc3553"/>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投标范围及投标文件中标准和计量单位的使用</w:t>
      </w:r>
      <w:bookmarkEnd w:id="65"/>
      <w:bookmarkEnd w:id="66"/>
      <w:bookmarkEnd w:id="67"/>
      <w:bookmarkEnd w:id="68"/>
      <w:bookmarkEnd w:id="69"/>
      <w:bookmarkEnd w:id="70"/>
      <w:bookmarkEnd w:id="71"/>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可对招标文件其中某一个或几个分包</w:t>
      </w:r>
      <w:r>
        <w:rPr>
          <w:rFonts w:hint="eastAsia" w:ascii="微软雅黑" w:hAnsi="微软雅黑" w:eastAsia="微软雅黑" w:cs="微软雅黑"/>
          <w:color w:val="auto"/>
          <w:sz w:val="24"/>
          <w:lang w:eastAsia="zh-CN"/>
        </w:rPr>
        <w:t>服务</w:t>
      </w:r>
      <w:r>
        <w:rPr>
          <w:rFonts w:hint="eastAsia" w:ascii="微软雅黑" w:hAnsi="微软雅黑" w:eastAsia="微软雅黑" w:cs="微软雅黑"/>
          <w:color w:val="auto"/>
          <w:sz w:val="24"/>
        </w:rPr>
        <w:t>进行投标，除非在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中另有规定。</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8.2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应当对所投分包招标文件中“服务需求”所列的所有内容进行投标，如仅响应某一包中的部分内容，其该包投标将被认定为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8.3     无论招标文件第5章</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需求一览表及技术规格中是否要求，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w:t>
      </w:r>
      <w:r>
        <w:rPr>
          <w:rFonts w:hint="eastAsia" w:ascii="微软雅黑" w:hAnsi="微软雅黑" w:eastAsia="微软雅黑" w:cs="微软雅黑"/>
          <w:color w:val="auto"/>
          <w:sz w:val="24"/>
          <w:lang w:eastAsia="zh-CN"/>
        </w:rPr>
        <w:t>服务</w:t>
      </w:r>
      <w:r>
        <w:rPr>
          <w:rFonts w:hint="eastAsia" w:ascii="微软雅黑" w:hAnsi="微软雅黑" w:eastAsia="微软雅黑" w:cs="微软雅黑"/>
          <w:color w:val="auto"/>
          <w:sz w:val="24"/>
        </w:rPr>
        <w:t>均应符合国家强制性标准。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8.4     除招标文件中有特殊要求外，投标文件中所使用的计量单位，应采用中华人民共和国法定计量单位。</w:t>
      </w:r>
    </w:p>
    <w:p>
      <w:pPr>
        <w:pStyle w:val="2"/>
        <w:tabs>
          <w:tab w:val="left" w:pos="900"/>
        </w:tabs>
        <w:spacing w:before="0" w:after="0" w:line="360" w:lineRule="exact"/>
        <w:rPr>
          <w:rFonts w:hint="eastAsia" w:ascii="微软雅黑" w:hAnsi="微软雅黑" w:eastAsia="微软雅黑" w:cs="微软雅黑"/>
          <w:color w:val="auto"/>
          <w:u w:val="none"/>
        </w:rPr>
      </w:pPr>
      <w:bookmarkStart w:id="72" w:name="_Ref467306676"/>
      <w:bookmarkStart w:id="73" w:name="_Toc516367022"/>
      <w:bookmarkStart w:id="74" w:name="_Ref467306195"/>
      <w:bookmarkStart w:id="75" w:name="_Toc19009"/>
      <w:bookmarkStart w:id="76" w:name="_Toc3908"/>
      <w:bookmarkStart w:id="77" w:name="_Toc10364"/>
      <w:bookmarkStart w:id="78" w:name="_Toc520356152"/>
      <w:bookmarkStart w:id="79" w:name="_Toc515647768"/>
      <w:bookmarkStart w:id="80" w:name="_Toc28307"/>
      <w:r>
        <w:rPr>
          <w:rFonts w:hint="eastAsia" w:ascii="微软雅黑" w:hAnsi="微软雅黑" w:eastAsia="微软雅黑" w:cs="微软雅黑"/>
          <w:color w:val="auto"/>
          <w:u w:val="none"/>
        </w:rPr>
        <w:t>9.投标文件</w:t>
      </w:r>
      <w:bookmarkEnd w:id="72"/>
      <w:bookmarkEnd w:id="73"/>
      <w:bookmarkEnd w:id="74"/>
      <w:r>
        <w:rPr>
          <w:rFonts w:hint="eastAsia" w:ascii="微软雅黑" w:hAnsi="微软雅黑" w:eastAsia="微软雅黑" w:cs="微软雅黑"/>
          <w:color w:val="auto"/>
          <w:u w:val="none"/>
        </w:rPr>
        <w:t>构成</w:t>
      </w:r>
      <w:bookmarkEnd w:id="75"/>
      <w:bookmarkEnd w:id="76"/>
      <w:bookmarkEnd w:id="77"/>
      <w:bookmarkEnd w:id="78"/>
      <w:bookmarkEnd w:id="79"/>
      <w:bookmarkEnd w:id="80"/>
    </w:p>
    <w:p>
      <w:pPr>
        <w:tabs>
          <w:tab w:val="left" w:pos="900"/>
          <w:tab w:val="left" w:pos="5580"/>
        </w:tabs>
        <w:spacing w:line="360" w:lineRule="exact"/>
        <w:ind w:left="960" w:hanging="960" w:hangingChars="400"/>
        <w:jc w:val="left"/>
        <w:rPr>
          <w:rFonts w:hint="eastAsia" w:ascii="微软雅黑" w:hAnsi="微软雅黑" w:eastAsia="微软雅黑" w:cs="微软雅黑"/>
          <w:color w:val="auto"/>
          <w:sz w:val="24"/>
          <w:u w:val="single"/>
        </w:rPr>
      </w:pPr>
      <w:bookmarkStart w:id="81" w:name="_Ref467052588"/>
      <w:r>
        <w:rPr>
          <w:rFonts w:hint="eastAsia" w:ascii="微软雅黑" w:hAnsi="微软雅黑" w:eastAsia="微软雅黑" w:cs="微软雅黑"/>
          <w:color w:val="auto"/>
          <w:sz w:val="24"/>
        </w:rPr>
        <w:t xml:space="preserve">9.1    </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应完整地按招标文件提供的投标文件格式及要求遍写投标文件，投标文件应包括“开标一览表及资格证明文件”和“商务及技术文件”两部分，两部分</w:t>
      </w:r>
      <w:r>
        <w:rPr>
          <w:rFonts w:hint="eastAsia" w:ascii="微软雅黑" w:hAnsi="微软雅黑" w:eastAsia="微软雅黑" w:cs="微软雅黑"/>
          <w:color w:val="auto"/>
          <w:sz w:val="24"/>
          <w:u w:val="single"/>
          <w:lang w:val="en-US" w:eastAsia="zh-CN"/>
        </w:rPr>
        <w:t>合订成一册</w:t>
      </w:r>
      <w:r>
        <w:rPr>
          <w:rFonts w:hint="eastAsia" w:ascii="微软雅黑" w:hAnsi="微软雅黑" w:eastAsia="微软雅黑" w:cs="微软雅黑"/>
          <w:color w:val="auto"/>
          <w:sz w:val="24"/>
          <w:u w:val="single"/>
        </w:rPr>
        <w:t>，密封递交。</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应承担封装失误产生的任何后果。</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上述文件应按照招标文件规定的格式填写、签署和盖章。</w:t>
      </w:r>
    </w:p>
    <w:bookmarkEnd w:id="81"/>
    <w:p>
      <w:pPr>
        <w:pStyle w:val="2"/>
        <w:tabs>
          <w:tab w:val="left" w:pos="900"/>
        </w:tabs>
        <w:spacing w:before="0" w:after="0" w:line="360" w:lineRule="exact"/>
        <w:rPr>
          <w:rFonts w:hint="eastAsia" w:ascii="微软雅黑" w:hAnsi="微软雅黑" w:eastAsia="微软雅黑" w:cs="微软雅黑"/>
          <w:color w:val="auto"/>
          <w:u w:val="none"/>
        </w:rPr>
      </w:pPr>
      <w:bookmarkStart w:id="82" w:name="_Toc515647769"/>
      <w:bookmarkStart w:id="83" w:name="_Toc21355"/>
      <w:bookmarkStart w:id="84" w:name="_Toc520356153"/>
      <w:bookmarkStart w:id="85" w:name="_Toc516367023"/>
      <w:bookmarkStart w:id="86" w:name="_Toc4601"/>
      <w:bookmarkStart w:id="87" w:name="_Toc10379"/>
      <w:bookmarkStart w:id="88" w:name="_Toc11381"/>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证明投标的的合格性和符合招标文件规定的技术文件</w:t>
      </w:r>
      <w:bookmarkEnd w:id="82"/>
      <w:bookmarkEnd w:id="83"/>
      <w:bookmarkEnd w:id="84"/>
      <w:bookmarkEnd w:id="85"/>
      <w:bookmarkEnd w:id="86"/>
      <w:bookmarkEnd w:id="87"/>
      <w:bookmarkEnd w:id="88"/>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应提交证明文件，证明其投标内容符合招标文件规定。该证明文件是投标文件的一部分。</w:t>
      </w:r>
    </w:p>
    <w:p>
      <w:pPr>
        <w:spacing w:line="360" w:lineRule="exact"/>
        <w:ind w:left="900" w:hanging="900" w:hangingChars="375"/>
        <w:rPr>
          <w:rFonts w:hint="eastAsia" w:ascii="微软雅黑" w:hAnsi="微软雅黑" w:eastAsia="微软雅黑" w:cs="微软雅黑"/>
          <w:color w:val="auto"/>
          <w:sz w:val="24"/>
        </w:rPr>
      </w:pPr>
      <w:bookmarkStart w:id="89"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89"/>
      <w:r>
        <w:rPr>
          <w:rFonts w:hint="eastAsia" w:ascii="微软雅黑" w:hAnsi="微软雅黑" w:eastAsia="微软雅黑" w:cs="微软雅黑"/>
          <w:color w:val="auto"/>
          <w:sz w:val="24"/>
        </w:rPr>
        <w:t>它包括：</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服务内容的详细说明：</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从采购单位开始使用至招标文件规定的服务期内正常、连续地使用所必须的备品库。</w:t>
      </w:r>
    </w:p>
    <w:p>
      <w:pPr>
        <w:pStyle w:val="2"/>
        <w:spacing w:before="0" w:after="0" w:line="360" w:lineRule="exact"/>
        <w:rPr>
          <w:rFonts w:hint="eastAsia" w:ascii="微软雅黑" w:hAnsi="微软雅黑" w:eastAsia="微软雅黑" w:cs="微软雅黑"/>
          <w:color w:val="auto"/>
          <w:u w:val="none"/>
        </w:rPr>
      </w:pPr>
      <w:bookmarkStart w:id="90" w:name="_Toc1151"/>
      <w:bookmarkStart w:id="91" w:name="_Toc30792"/>
      <w:bookmarkStart w:id="92" w:name="_Toc515647770"/>
      <w:bookmarkStart w:id="93" w:name="_Toc23231"/>
      <w:bookmarkStart w:id="94" w:name="_Toc520356155"/>
      <w:bookmarkStart w:id="95" w:name="_Toc2248"/>
      <w:r>
        <w:rPr>
          <w:rFonts w:hint="eastAsia" w:ascii="微软雅黑" w:hAnsi="微软雅黑" w:eastAsia="微软雅黑" w:cs="微软雅黑"/>
          <w:color w:val="auto"/>
          <w:u w:val="none"/>
        </w:rPr>
        <w:t>11.投标报价</w:t>
      </w:r>
      <w:bookmarkEnd w:id="90"/>
      <w:bookmarkEnd w:id="91"/>
      <w:bookmarkEnd w:id="92"/>
      <w:bookmarkEnd w:id="93"/>
      <w:bookmarkEnd w:id="94"/>
      <w:bookmarkEnd w:id="95"/>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hanging="900" w:hangingChars="375"/>
        <w:textAlignment w:val="auto"/>
        <w:rPr>
          <w:rFonts w:hint="eastAsia" w:ascii="微软雅黑" w:hAnsi="微软雅黑" w:eastAsia="微软雅黑" w:cs="微软雅黑"/>
          <w:color w:val="auto"/>
          <w:sz w:val="24"/>
          <w:highlight w:val="none"/>
        </w:rPr>
      </w:pPr>
      <w:bookmarkStart w:id="96" w:name="_Toc515647771"/>
      <w:bookmarkStart w:id="97" w:name="_Toc11514"/>
      <w:bookmarkStart w:id="98" w:name="_Ref467306513"/>
      <w:bookmarkStart w:id="99" w:name="_Toc17788"/>
      <w:bookmarkStart w:id="100" w:name="_Toc520356156"/>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rPr>
        <w:t>所有投标均以人民币报价。</w:t>
      </w:r>
      <w:r>
        <w:rPr>
          <w:rFonts w:hint="eastAsia" w:ascii="微软雅黑" w:hAnsi="微软雅黑" w:eastAsia="微软雅黑" w:cs="微软雅黑"/>
          <w:color w:val="auto"/>
          <w:sz w:val="24"/>
          <w:lang w:eastAsia="zh-CN"/>
        </w:rPr>
        <w:t>投标供应商</w:t>
      </w:r>
      <w:r>
        <w:rPr>
          <w:rFonts w:hint="eastAsia" w:ascii="微软雅黑" w:hAnsi="微软雅黑" w:eastAsia="微软雅黑" w:cs="微软雅黑"/>
          <w:color w:val="auto"/>
          <w:sz w:val="24"/>
        </w:rPr>
        <w:t>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应在投标分项报价表上标明投标相关</w:t>
      </w: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的单价（如适用）和总价，并由法定代表人或其授权代表签署。</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w:t>
      </w: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只能有一个投标报价。采购人不接受具有附加条件的报价。</w:t>
      </w:r>
    </w:p>
    <w:p>
      <w:pPr>
        <w:pStyle w:val="2"/>
        <w:spacing w:before="0" w:after="0" w:line="360" w:lineRule="exact"/>
        <w:rPr>
          <w:rFonts w:hint="eastAsia" w:ascii="微软雅黑" w:hAnsi="微软雅黑" w:eastAsia="微软雅黑" w:cs="微软雅黑"/>
          <w:color w:val="auto"/>
          <w:u w:val="none"/>
        </w:rPr>
      </w:pPr>
      <w:bookmarkStart w:id="101" w:name="_Toc24399"/>
      <w:bookmarkStart w:id="102" w:name="_Toc7354"/>
      <w:r>
        <w:rPr>
          <w:rFonts w:hint="eastAsia" w:ascii="微软雅黑" w:hAnsi="微软雅黑" w:eastAsia="微软雅黑" w:cs="微软雅黑"/>
          <w:color w:val="auto"/>
          <w:u w:val="none"/>
        </w:rPr>
        <w:t>12.投标保证金</w:t>
      </w:r>
      <w:bookmarkEnd w:id="96"/>
      <w:bookmarkEnd w:id="97"/>
      <w:bookmarkEnd w:id="98"/>
      <w:bookmarkEnd w:id="99"/>
      <w:bookmarkEnd w:id="100"/>
      <w:bookmarkEnd w:id="101"/>
      <w:bookmarkEnd w:id="102"/>
    </w:p>
    <w:p>
      <w:pPr>
        <w:spacing w:line="360" w:lineRule="exact"/>
        <w:ind w:left="900" w:hanging="900" w:hangingChars="375"/>
        <w:rPr>
          <w:rFonts w:hint="eastAsia" w:ascii="微软雅黑" w:hAnsi="微软雅黑" w:eastAsia="微软雅黑" w:cs="微软雅黑"/>
          <w:color w:val="auto"/>
          <w:sz w:val="24"/>
        </w:rPr>
      </w:pPr>
      <w:bookmarkStart w:id="103"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应提交</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中规定的投标保证金</w:t>
      </w:r>
      <w:bookmarkEnd w:id="103"/>
      <w:r>
        <w:rPr>
          <w:rFonts w:hint="eastAsia" w:ascii="微软雅黑" w:hAnsi="微软雅黑" w:eastAsia="微软雅黑" w:cs="微软雅黑"/>
          <w:color w:val="auto"/>
          <w:sz w:val="24"/>
        </w:rPr>
        <w:t>，并作为其投标的一部分。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存在下列情形的，投标保证金不予退还：</w:t>
      </w:r>
    </w:p>
    <w:p>
      <w:pPr>
        <w:pStyle w:val="15"/>
        <w:tabs>
          <w:tab w:val="left" w:pos="2240"/>
        </w:tabs>
        <w:spacing w:line="36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（1）在投标有效期内，撤销投标的；</w:t>
      </w:r>
    </w:p>
    <w:p>
      <w:pPr>
        <w:pStyle w:val="15"/>
        <w:tabs>
          <w:tab w:val="left" w:pos="2240"/>
        </w:tabs>
        <w:spacing w:line="36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（2）中标后不按本须知第30条的规定与采购人签订合同的；</w:t>
      </w:r>
    </w:p>
    <w:p>
      <w:pPr>
        <w:pStyle w:val="15"/>
        <w:tabs>
          <w:tab w:val="left" w:pos="2240"/>
        </w:tabs>
        <w:spacing w:line="36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（3）中标后不按本须知第31条的规定提交履约保证金的；</w:t>
      </w:r>
    </w:p>
    <w:p>
      <w:pPr>
        <w:pStyle w:val="15"/>
        <w:tabs>
          <w:tab w:val="left" w:pos="2240"/>
        </w:tabs>
        <w:spacing w:line="36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（4）中标后不按本须知第32条的规定缴纳中标服务费的；</w:t>
      </w:r>
    </w:p>
    <w:p>
      <w:pPr>
        <w:pStyle w:val="15"/>
        <w:tabs>
          <w:tab w:val="left" w:pos="2240"/>
        </w:tabs>
        <w:spacing w:line="36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（5）存在其他违法违规行为的。</w:t>
      </w:r>
    </w:p>
    <w:p>
      <w:pPr>
        <w:spacing w:line="360" w:lineRule="exact"/>
        <w:ind w:left="900" w:hanging="900" w:hangingChars="375"/>
        <w:rPr>
          <w:rFonts w:hint="eastAsia" w:ascii="微软雅黑" w:hAnsi="微软雅黑" w:eastAsia="微软雅黑" w:cs="微软雅黑"/>
          <w:color w:val="auto"/>
          <w:sz w:val="24"/>
        </w:rPr>
      </w:pPr>
      <w:bookmarkStart w:id="104" w:name="_Ref467306336"/>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104"/>
      <w:r>
        <w:rPr>
          <w:rFonts w:hint="eastAsia" w:ascii="微软雅黑" w:hAnsi="微软雅黑" w:eastAsia="微软雅黑" w:cs="微软雅黑"/>
          <w:color w:val="auto"/>
          <w:sz w:val="24"/>
        </w:rPr>
        <w:t>政府采购信用担保试点范围内的项目，接受符合财政部门规定的政府采购投标担保函原件。</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未按本须知第12.1和12.3条规定提交投标保证金的，其投标将被认定为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pPr>
        <w:spacing w:line="360" w:lineRule="exact"/>
        <w:ind w:left="960" w:hanging="960" w:hangingChars="4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则应充分考虑支票入账时间，以确保投标保证金能按时进入指定账户。根据银行信息交换和付款时间，支票从递交至实际入账一般需要4-5个工作日。如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未及时提交支票或支票不符合银行委托收款要求（如污损、折叠、胶装等），导致投标保证金不能按时进入指定账户的，将按照招标文件的第22.2条相关规定处理。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   联合体投标的，可以由联合体中的一方或者共同提交投标保证金。以一方名义提交投标保证金的，对联合体各方均具有约束力。</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投标保证金的退还</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12.6.1  中标人应在与采购人签订合同之日起5个工作日内，及时联系保证金收受机构办理投标保证金无息退还手续。</w:t>
      </w:r>
    </w:p>
    <w:p>
      <w:pPr>
        <w:spacing w:line="36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12.6.2  未中标</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的投标保证金将在中标通知书发出之日暨中标结果公告公布之日起5个工作日内无息退还。</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应及时联系保证金收受机构办理退还投标保证金手续。</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12.6.3  政府采购投标担保函不予退回。</w:t>
      </w:r>
    </w:p>
    <w:p>
      <w:pPr>
        <w:spacing w:line="36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    因投标</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rPr>
        <w:t>自身原因导致无法及时退还的，采购人或采购代理机构将不承担相应责任。</w:t>
      </w:r>
    </w:p>
    <w:p>
      <w:pPr>
        <w:pStyle w:val="2"/>
        <w:spacing w:before="0" w:after="0" w:line="360" w:lineRule="exact"/>
        <w:rPr>
          <w:rFonts w:hint="eastAsia" w:ascii="微软雅黑" w:hAnsi="微软雅黑" w:eastAsia="微软雅黑" w:cs="微软雅黑"/>
          <w:color w:val="auto"/>
          <w:u w:val="none"/>
        </w:rPr>
      </w:pPr>
      <w:bookmarkStart w:id="105" w:name="_Toc520356157"/>
      <w:bookmarkStart w:id="106" w:name="_Toc24080"/>
      <w:bookmarkStart w:id="107" w:name="_Toc27817"/>
      <w:bookmarkStart w:id="108" w:name="_Toc515647772"/>
      <w:bookmarkStart w:id="109" w:name="_Toc23590"/>
      <w:bookmarkStart w:id="110" w:name="_Toc32569"/>
      <w:r>
        <w:rPr>
          <w:rFonts w:hint="eastAsia" w:ascii="微软雅黑" w:hAnsi="微软雅黑" w:eastAsia="微软雅黑" w:cs="微软雅黑"/>
          <w:color w:val="auto"/>
          <w:u w:val="none"/>
        </w:rPr>
        <w:t>13.投标有效期</w:t>
      </w:r>
      <w:bookmarkEnd w:id="105"/>
      <w:bookmarkEnd w:id="106"/>
      <w:bookmarkEnd w:id="107"/>
      <w:bookmarkEnd w:id="108"/>
      <w:bookmarkEnd w:id="109"/>
      <w:bookmarkEnd w:id="110"/>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投标应在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中规定时间内保持有效。投标有效期不满足要求的投标，其投标将被认定为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为保证有充分时间签订合同，采购人或采购代理机构可根据实际情况，在原投标有效期截止之前，要求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延长投标文件的有效期。接受该要求的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将不会被要求和允许修正其投标，且本须知中有关投标保证金的要求须在延长的有效期内继续有效。</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可以拒绝延长投标有效期的要求，其投标保证金将及时无息退还。上述要求和答复都应以书面形式提交。</w:t>
      </w:r>
    </w:p>
    <w:p>
      <w:pPr>
        <w:pStyle w:val="2"/>
        <w:spacing w:before="0" w:after="0" w:line="360" w:lineRule="exact"/>
        <w:rPr>
          <w:rFonts w:hint="eastAsia" w:ascii="微软雅黑" w:hAnsi="微软雅黑" w:eastAsia="微软雅黑" w:cs="微软雅黑"/>
          <w:color w:val="auto"/>
          <w:u w:val="none"/>
        </w:rPr>
      </w:pPr>
      <w:bookmarkStart w:id="111" w:name="_Toc520356158"/>
      <w:bookmarkStart w:id="112" w:name="_Toc493"/>
      <w:bookmarkStart w:id="113" w:name="_Toc515647773"/>
      <w:bookmarkStart w:id="114" w:name="_Toc22392"/>
      <w:bookmarkStart w:id="115" w:name="_Toc17074"/>
      <w:bookmarkStart w:id="116" w:name="_Toc5802"/>
      <w:r>
        <w:rPr>
          <w:rFonts w:hint="eastAsia" w:ascii="微软雅黑" w:hAnsi="微软雅黑" w:eastAsia="微软雅黑" w:cs="微软雅黑"/>
          <w:color w:val="auto"/>
          <w:u w:val="none"/>
        </w:rPr>
        <w:t>14.投标文件的签署</w:t>
      </w:r>
      <w:bookmarkEnd w:id="111"/>
      <w:r>
        <w:rPr>
          <w:rFonts w:hint="eastAsia" w:ascii="微软雅黑" w:hAnsi="微软雅黑" w:eastAsia="微软雅黑" w:cs="微软雅黑"/>
          <w:color w:val="auto"/>
          <w:u w:val="none"/>
        </w:rPr>
        <w:t>及规定</w:t>
      </w:r>
      <w:bookmarkEnd w:id="112"/>
      <w:bookmarkEnd w:id="113"/>
      <w:bookmarkEnd w:id="114"/>
      <w:bookmarkEnd w:id="115"/>
      <w:bookmarkEnd w:id="116"/>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应按</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的规定，准备和递交投标文件资格证明文件、商务和技术文件正本、副本、开标一览表和电子文档，每份资格证明文件、商务和技术文件封皮须清楚地标明“正本”或“副本”。若正本和副本不符，以正本为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投标文件的正本需打印或用不褪色墨水书写，并由</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的法定代表人或经其正式委托代理人按招标文件规定在投标文件上签字</w:t>
      </w:r>
      <w:r>
        <w:rPr>
          <w:rFonts w:hint="eastAsia" w:ascii="微软雅黑" w:hAnsi="微软雅黑" w:eastAsia="微软雅黑" w:cs="微软雅黑"/>
          <w:color w:val="auto"/>
          <w:sz w:val="24"/>
          <w:highlight w:val="none"/>
        </w:rPr>
        <w:t>并加盖单位印章</w:t>
      </w:r>
      <w:r>
        <w:rPr>
          <w:rFonts w:hint="eastAsia" w:ascii="微软雅黑" w:hAnsi="微软雅黑" w:eastAsia="微软雅黑" w:cs="微软雅黑"/>
          <w:color w:val="auto"/>
          <w:sz w:val="24"/>
        </w:rPr>
        <w:t>。委托代理人须持有书面的“法定代表人授权委托书”（投标文件格式二），并将其附在投标文件中。如对投标文件进行了修改，则应由</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的法定代表人或其委托代理人在每一修改处签字。投标文件的副本可采用正本的复印件。</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所有投标文件采用不可拆装的胶订方式装订，否则其投标将被认定为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投标文件因字迹潦草、表达不清或装订不当所引起的后果由</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负责。</w:t>
      </w:r>
      <w:bookmarkStart w:id="117" w:name="_Toc520356159"/>
      <w:bookmarkStart w:id="118" w:name="_Toc16865"/>
      <w:bookmarkStart w:id="119" w:name="_Toc515647774"/>
      <w:bookmarkStart w:id="120" w:name="_Toc216582808"/>
      <w:bookmarkStart w:id="121" w:name="_Toc11179"/>
    </w:p>
    <w:p>
      <w:pPr>
        <w:spacing w:line="360" w:lineRule="exact"/>
        <w:ind w:left="1080" w:leftChars="257" w:hanging="540"/>
        <w:rPr>
          <w:rFonts w:hint="eastAsia" w:ascii="微软雅黑" w:hAnsi="微软雅黑" w:eastAsia="微软雅黑" w:cs="微软雅黑"/>
          <w:color w:val="auto"/>
          <w:sz w:val="24"/>
        </w:rPr>
      </w:pPr>
    </w:p>
    <w:p>
      <w:pPr>
        <w:pStyle w:val="4"/>
        <w:spacing w:before="0" w:line="360" w:lineRule="exact"/>
        <w:ind w:left="1080" w:leftChars="257" w:hanging="540"/>
        <w:rPr>
          <w:rFonts w:hint="eastAsia" w:ascii="微软雅黑" w:hAnsi="微软雅黑" w:eastAsia="微软雅黑" w:cs="微软雅黑"/>
          <w:color w:val="auto"/>
        </w:rPr>
      </w:pPr>
      <w:bookmarkStart w:id="122" w:name="_Toc26361"/>
      <w:r>
        <w:rPr>
          <w:rFonts w:hint="eastAsia" w:ascii="微软雅黑" w:hAnsi="微软雅黑" w:eastAsia="微软雅黑" w:cs="微软雅黑"/>
          <w:color w:val="auto"/>
          <w:sz w:val="24"/>
        </w:rPr>
        <w:t>四   投标文件的递交</w:t>
      </w:r>
      <w:bookmarkEnd w:id="117"/>
      <w:bookmarkEnd w:id="118"/>
      <w:bookmarkEnd w:id="119"/>
      <w:bookmarkEnd w:id="120"/>
      <w:bookmarkEnd w:id="121"/>
      <w:bookmarkEnd w:id="122"/>
    </w:p>
    <w:p>
      <w:pPr>
        <w:pStyle w:val="2"/>
        <w:spacing w:before="0" w:after="0" w:line="360" w:lineRule="exact"/>
        <w:rPr>
          <w:rFonts w:hint="eastAsia" w:ascii="微软雅黑" w:hAnsi="微软雅黑" w:eastAsia="微软雅黑" w:cs="微软雅黑"/>
          <w:color w:val="auto"/>
          <w:u w:val="none"/>
        </w:rPr>
      </w:pPr>
      <w:bookmarkStart w:id="123" w:name="_Toc520356160"/>
      <w:bookmarkStart w:id="124" w:name="_Toc21645"/>
      <w:bookmarkStart w:id="125" w:name="_Toc32337"/>
      <w:bookmarkStart w:id="126" w:name="_Toc30690"/>
      <w:bookmarkStart w:id="127" w:name="_Toc10184"/>
      <w:bookmarkStart w:id="128" w:name="_Toc515647775"/>
      <w:r>
        <w:rPr>
          <w:rFonts w:hint="eastAsia" w:ascii="微软雅黑" w:hAnsi="微软雅黑" w:eastAsia="微软雅黑" w:cs="微软雅黑"/>
          <w:color w:val="auto"/>
          <w:u w:val="none"/>
        </w:rPr>
        <w:t>15.投标文件的密封和标记</w:t>
      </w:r>
      <w:bookmarkEnd w:id="123"/>
      <w:bookmarkEnd w:id="124"/>
      <w:bookmarkEnd w:id="125"/>
      <w:bookmarkEnd w:id="126"/>
      <w:bookmarkEnd w:id="127"/>
      <w:bookmarkEnd w:id="128"/>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15.1   为方便开标及进行资格审查，</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应将投标文件第一部分和第二部分的内容</w:t>
      </w:r>
      <w:r>
        <w:rPr>
          <w:rFonts w:hint="eastAsia" w:ascii="微软雅黑" w:hAnsi="微软雅黑" w:eastAsia="微软雅黑" w:cs="微软雅黑"/>
          <w:color w:val="auto"/>
          <w:sz w:val="24"/>
          <w:lang w:val="en-US" w:eastAsia="zh-CN"/>
        </w:rPr>
        <w:t>合订成一册</w:t>
      </w:r>
      <w:r>
        <w:rPr>
          <w:rFonts w:hint="eastAsia" w:ascii="微软雅黑" w:hAnsi="微软雅黑" w:eastAsia="微软雅黑" w:cs="微软雅黑"/>
          <w:color w:val="auto"/>
          <w:sz w:val="24"/>
        </w:rPr>
        <w:t>密封提交，并在封皮正面标明“</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文件”字样。</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15.2   所有包装封皮和信封上均应：</w:t>
      </w:r>
    </w:p>
    <w:p>
      <w:pPr>
        <w:spacing w:line="360" w:lineRule="exact"/>
        <w:ind w:left="898" w:leftChars="399" w:hanging="60" w:hangingChars="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（1）注明招标公告或投标邀请书中指明的项目名称、</w:t>
      </w:r>
      <w:r>
        <w:rPr>
          <w:rFonts w:hint="eastAsia" w:ascii="微软雅黑" w:hAnsi="微软雅黑" w:eastAsia="微软雅黑" w:cs="微软雅黑"/>
          <w:color w:val="auto"/>
          <w:sz w:val="24"/>
          <w:lang w:eastAsia="zh-CN"/>
        </w:rPr>
        <w:t>项目编号</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名称和“在（开标时间）之前不得启封”的字样。</w:t>
      </w:r>
    </w:p>
    <w:p>
      <w:pPr>
        <w:spacing w:line="360" w:lineRule="exact"/>
        <w:ind w:left="898" w:leftChars="399" w:hanging="60" w:hangingChars="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r>
        <w:rPr>
          <w:rFonts w:hint="eastAsia" w:ascii="微软雅黑" w:hAnsi="微软雅黑" w:eastAsia="微软雅黑" w:cs="微软雅黑"/>
          <w:b/>
          <w:bCs/>
          <w:color w:val="auto"/>
          <w:sz w:val="24"/>
        </w:rPr>
        <w:t>在封口处加盖供应商单位章。</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15.3    如果</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未按上述要求密封</w:t>
      </w:r>
      <w:r>
        <w:rPr>
          <w:rFonts w:hint="eastAsia" w:ascii="微软雅黑" w:hAnsi="微软雅黑" w:eastAsia="微软雅黑" w:cs="微软雅黑"/>
          <w:color w:val="auto"/>
          <w:sz w:val="24"/>
          <w:lang w:eastAsia="zh-CN"/>
        </w:rPr>
        <w:t>和标记</w:t>
      </w:r>
      <w:r>
        <w:rPr>
          <w:rFonts w:hint="eastAsia" w:ascii="微软雅黑" w:hAnsi="微软雅黑" w:eastAsia="微软雅黑" w:cs="微软雅黑"/>
          <w:color w:val="auto"/>
          <w:sz w:val="24"/>
        </w:rPr>
        <w:t>的，将被拒绝接收。</w:t>
      </w:r>
    </w:p>
    <w:p>
      <w:pPr>
        <w:pStyle w:val="2"/>
        <w:spacing w:before="0" w:after="0" w:line="360" w:lineRule="exact"/>
        <w:rPr>
          <w:rFonts w:hint="eastAsia" w:ascii="微软雅黑" w:hAnsi="微软雅黑" w:eastAsia="微软雅黑" w:cs="微软雅黑"/>
          <w:color w:val="auto"/>
          <w:u w:val="none"/>
        </w:rPr>
      </w:pPr>
      <w:bookmarkStart w:id="129" w:name="_Toc22926"/>
      <w:bookmarkStart w:id="130" w:name="_Toc520356161"/>
      <w:bookmarkStart w:id="131" w:name="_Toc12751"/>
      <w:bookmarkStart w:id="132" w:name="_Toc12057"/>
      <w:bookmarkStart w:id="133" w:name="_Toc9840"/>
      <w:bookmarkStart w:id="134" w:name="_Toc515647776"/>
      <w:r>
        <w:rPr>
          <w:rFonts w:hint="eastAsia" w:ascii="微软雅黑" w:hAnsi="微软雅黑" w:eastAsia="微软雅黑" w:cs="微软雅黑"/>
          <w:color w:val="auto"/>
          <w:u w:val="none"/>
        </w:rPr>
        <w:t>16.投标截止</w:t>
      </w:r>
      <w:bookmarkEnd w:id="129"/>
      <w:bookmarkEnd w:id="130"/>
      <w:bookmarkEnd w:id="131"/>
      <w:bookmarkEnd w:id="132"/>
      <w:bookmarkEnd w:id="133"/>
      <w:bookmarkEnd w:id="134"/>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须知资料表中</w:t>
      </w:r>
      <w:r>
        <w:rPr>
          <w:rFonts w:hint="eastAsia" w:ascii="微软雅黑" w:hAnsi="微软雅黑" w:eastAsia="微软雅黑" w:cs="微软雅黑"/>
          <w:color w:val="auto"/>
          <w:sz w:val="24"/>
        </w:rPr>
        <w:t>规定的截止时间前，将投标文件递交到招标公告中规定的地点。</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采购人和采购代理机构有权按本须知的规定，延迟投标截止时间。在此情况下，采购人、采购代理机构和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受投标截止时间制约的所有权利和义务均应延长至新的截止时间。</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采购人和采购代理机构将拒绝接收在投标截止时间后送达的投标文件。</w:t>
      </w:r>
    </w:p>
    <w:p>
      <w:pPr>
        <w:pStyle w:val="2"/>
        <w:spacing w:before="0" w:after="0" w:line="360" w:lineRule="exact"/>
        <w:rPr>
          <w:rFonts w:hint="eastAsia" w:ascii="微软雅黑" w:hAnsi="微软雅黑" w:eastAsia="微软雅黑" w:cs="微软雅黑"/>
          <w:color w:val="auto"/>
          <w:u w:val="none"/>
        </w:rPr>
      </w:pPr>
      <w:bookmarkStart w:id="135" w:name="_Toc18537"/>
      <w:bookmarkStart w:id="136" w:name="_Toc24859"/>
      <w:bookmarkStart w:id="137" w:name="_Toc515647777"/>
      <w:bookmarkStart w:id="138" w:name="_Toc24275"/>
      <w:bookmarkStart w:id="139" w:name="_Toc520356162"/>
      <w:bookmarkStart w:id="140" w:name="_Toc15698"/>
      <w:r>
        <w:rPr>
          <w:rFonts w:hint="eastAsia" w:ascii="微软雅黑" w:hAnsi="微软雅黑" w:eastAsia="微软雅黑" w:cs="微软雅黑"/>
          <w:color w:val="auto"/>
          <w:u w:val="none"/>
        </w:rPr>
        <w:t>17.投标文件的接收、修改与撤回</w:t>
      </w:r>
      <w:bookmarkEnd w:id="135"/>
      <w:bookmarkEnd w:id="136"/>
      <w:bookmarkEnd w:id="137"/>
      <w:bookmarkEnd w:id="138"/>
      <w:bookmarkEnd w:id="139"/>
      <w:bookmarkEnd w:id="140"/>
    </w:p>
    <w:p>
      <w:pPr>
        <w:spacing w:line="360" w:lineRule="exac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color w:val="auto"/>
          <w:sz w:val="24"/>
        </w:rPr>
        <w:t>17.1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在投标截止时间后送达的投标文件的，采购人和采购代理机构将拒绝接收。</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采购人或者采购代理机构收到投标文件后，应当如实记载投标文件的送达时间</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密封</w:t>
      </w:r>
      <w:r>
        <w:rPr>
          <w:rFonts w:hint="eastAsia" w:ascii="微软雅黑" w:hAnsi="微软雅黑" w:eastAsia="微软雅黑" w:cs="微软雅黑"/>
          <w:color w:val="auto"/>
          <w:sz w:val="24"/>
          <w:lang w:eastAsia="zh-CN"/>
        </w:rPr>
        <w:t>和标记</w:t>
      </w:r>
      <w:r>
        <w:rPr>
          <w:rFonts w:hint="eastAsia" w:ascii="微软雅黑" w:hAnsi="微软雅黑" w:eastAsia="微软雅黑" w:cs="微软雅黑"/>
          <w:color w:val="auto"/>
          <w:sz w:val="24"/>
        </w:rPr>
        <w:t>情况，并向</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出具以下签收回执。</w:t>
      </w:r>
    </w:p>
    <w:p>
      <w:pPr>
        <w:spacing w:line="360" w:lineRule="exact"/>
        <w:ind w:left="900" w:hanging="900" w:hangingChars="375"/>
        <w:rPr>
          <w:rFonts w:hint="eastAsia" w:ascii="微软雅黑" w:hAnsi="微软雅黑" w:eastAsia="微软雅黑" w:cs="微软雅黑"/>
          <w:color w:val="auto"/>
          <w:sz w:val="24"/>
        </w:rPr>
      </w:pPr>
    </w:p>
    <w:tbl>
      <w:tblPr>
        <w:tblStyle w:val="34"/>
        <w:tblW w:w="0" w:type="auto"/>
        <w:tblInd w:w="1101" w:type="dxa"/>
        <w:tblLayout w:type="fixed"/>
        <w:tblCellMar>
          <w:top w:w="0" w:type="dxa"/>
          <w:left w:w="108" w:type="dxa"/>
          <w:bottom w:w="0" w:type="dxa"/>
          <w:right w:w="108" w:type="dxa"/>
        </w:tblCellMar>
      </w:tblPr>
      <w:tblGrid>
        <w:gridCol w:w="1468"/>
        <w:gridCol w:w="1462"/>
        <w:gridCol w:w="2974"/>
        <w:gridCol w:w="1183"/>
      </w:tblGrid>
      <w:tr>
        <w:tblPrEx>
          <w:tblCellMar>
            <w:top w:w="0" w:type="dxa"/>
            <w:left w:w="108" w:type="dxa"/>
            <w:bottom w:w="0" w:type="dxa"/>
            <w:right w:w="108" w:type="dxa"/>
          </w:tblCellMar>
        </w:tblPrEx>
        <w:trPr>
          <w:trHeight w:val="490" w:hRule="atLeast"/>
        </w:trPr>
        <w:tc>
          <w:tcPr>
            <w:tcW w:w="7087" w:type="dxa"/>
            <w:gridSpan w:val="4"/>
            <w:tcBorders>
              <w:top w:val="nil"/>
              <w:left w:val="nil"/>
              <w:bottom w:val="single" w:color="auto" w:sz="4" w:space="0"/>
              <w:right w:val="nil"/>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项目编号</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p>
        </w:tc>
      </w:tr>
      <w:tr>
        <w:tblPrEx>
          <w:tblCellMar>
            <w:top w:w="0" w:type="dxa"/>
            <w:left w:w="108" w:type="dxa"/>
            <w:bottom w:w="0" w:type="dxa"/>
            <w:right w:w="108" w:type="dxa"/>
          </w:tblCellMar>
        </w:tblPrEx>
        <w:trPr>
          <w:trHeight w:val="90"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递交时间</w:t>
            </w:r>
          </w:p>
        </w:tc>
        <w:tc>
          <w:tcPr>
            <w:tcW w:w="14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p>
        </w:tc>
        <w:tc>
          <w:tcPr>
            <w:tcW w:w="29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投标文件密封</w:t>
            </w:r>
            <w:r>
              <w:rPr>
                <w:rFonts w:hint="eastAsia" w:ascii="微软雅黑" w:hAnsi="微软雅黑" w:eastAsia="微软雅黑" w:cs="微软雅黑"/>
                <w:color w:val="auto"/>
                <w:sz w:val="24"/>
                <w:lang w:eastAsia="zh-CN"/>
              </w:rPr>
              <w:t>和标记</w:t>
            </w:r>
            <w:r>
              <w:rPr>
                <w:rFonts w:hint="eastAsia" w:ascii="微软雅黑" w:hAnsi="微软雅黑" w:eastAsia="微软雅黑" w:cs="微软雅黑"/>
                <w:color w:val="auto"/>
                <w:sz w:val="24"/>
              </w:rPr>
              <w:t>情况</w:t>
            </w:r>
          </w:p>
        </w:tc>
        <w:tc>
          <w:tcPr>
            <w:tcW w:w="118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p>
        </w:tc>
      </w:tr>
    </w:tbl>
    <w:p>
      <w:pPr>
        <w:spacing w:line="360" w:lineRule="exact"/>
        <w:rPr>
          <w:rFonts w:hint="eastAsia" w:ascii="微软雅黑" w:hAnsi="微软雅黑" w:eastAsia="微软雅黑" w:cs="微软雅黑"/>
          <w:color w:val="auto"/>
          <w:sz w:val="18"/>
          <w:szCs w:val="18"/>
        </w:rPr>
      </w:pPr>
    </w:p>
    <w:p>
      <w:pPr>
        <w:spacing w:line="360" w:lineRule="exact"/>
        <w:ind w:left="840" w:hanging="840" w:hangingChars="3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递交投标文件以后，如果</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要进行修改或撤回投标，须提出书面申请并在投标截止时间前送达开标地点，</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对投标文件的修改或撤回通知应按本须知规定编制、密封、标记。</w:t>
      </w:r>
    </w:p>
    <w:p>
      <w:pPr>
        <w:spacing w:line="360" w:lineRule="exact"/>
        <w:ind w:left="735" w:leftChars="350"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采购人和采购代理机构将予以接收，并视为投标文件的组成部分。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在投标截止期之后，采购人和采购代理机构不接受</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主动对其投标文件做任何修改。</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17.5</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采购人和采购代理机构对所接收投标文件概不退回。</w:t>
      </w:r>
    </w:p>
    <w:p>
      <w:pPr>
        <w:spacing w:line="280" w:lineRule="exact"/>
        <w:rPr>
          <w:rFonts w:hint="eastAsia" w:ascii="微软雅黑" w:hAnsi="微软雅黑" w:eastAsia="微软雅黑" w:cs="微软雅黑"/>
          <w:color w:val="auto"/>
          <w:sz w:val="24"/>
        </w:rPr>
      </w:pPr>
    </w:p>
    <w:p>
      <w:pPr>
        <w:pStyle w:val="4"/>
        <w:spacing w:before="0" w:line="280" w:lineRule="exact"/>
        <w:ind w:left="1080" w:leftChars="257" w:hanging="540"/>
        <w:rPr>
          <w:rFonts w:hint="eastAsia" w:ascii="微软雅黑" w:hAnsi="微软雅黑" w:eastAsia="微软雅黑" w:cs="微软雅黑"/>
          <w:color w:val="auto"/>
        </w:rPr>
      </w:pPr>
      <w:bookmarkStart w:id="141" w:name="_Toc515647778"/>
      <w:bookmarkStart w:id="142" w:name="_Toc520356163"/>
      <w:bookmarkStart w:id="143" w:name="_Toc25085"/>
      <w:bookmarkStart w:id="144" w:name="_Toc12436"/>
      <w:bookmarkStart w:id="145" w:name="_Toc28398"/>
      <w:bookmarkStart w:id="146" w:name="_Toc216582809"/>
      <w:r>
        <w:rPr>
          <w:rFonts w:hint="eastAsia" w:ascii="微软雅黑" w:hAnsi="微软雅黑" w:eastAsia="微软雅黑" w:cs="微软雅黑"/>
          <w:color w:val="auto"/>
          <w:sz w:val="24"/>
        </w:rPr>
        <w:t>五   开标及评标</w:t>
      </w:r>
      <w:bookmarkEnd w:id="141"/>
      <w:bookmarkEnd w:id="142"/>
      <w:bookmarkEnd w:id="143"/>
      <w:bookmarkEnd w:id="144"/>
      <w:bookmarkEnd w:id="145"/>
      <w:bookmarkEnd w:id="146"/>
    </w:p>
    <w:p>
      <w:pPr>
        <w:pStyle w:val="2"/>
        <w:numPr>
          <w:ilvl w:val="0"/>
          <w:numId w:val="4"/>
        </w:numPr>
        <w:spacing w:line="280" w:lineRule="exact"/>
        <w:rPr>
          <w:rFonts w:hint="eastAsia" w:ascii="微软雅黑" w:hAnsi="微软雅黑" w:eastAsia="微软雅黑" w:cs="微软雅黑"/>
          <w:color w:val="auto"/>
        </w:rPr>
      </w:pPr>
      <w:bookmarkStart w:id="147" w:name="_Toc23541"/>
      <w:bookmarkStart w:id="148" w:name="_Toc25345"/>
      <w:bookmarkStart w:id="149" w:name="_Toc520356164"/>
      <w:bookmarkStart w:id="150" w:name="_Toc7186"/>
      <w:bookmarkStart w:id="151" w:name="_Toc515647779"/>
      <w:bookmarkStart w:id="152" w:name="_Toc1321"/>
      <w:r>
        <w:rPr>
          <w:rFonts w:hint="eastAsia" w:ascii="微软雅黑" w:hAnsi="微软雅黑" w:eastAsia="微软雅黑" w:cs="微软雅黑"/>
          <w:color w:val="auto"/>
          <w:u w:val="none"/>
        </w:rPr>
        <w:t>开标</w:t>
      </w:r>
      <w:bookmarkEnd w:id="147"/>
      <w:bookmarkEnd w:id="148"/>
      <w:bookmarkEnd w:id="149"/>
      <w:bookmarkEnd w:id="150"/>
      <w:bookmarkEnd w:id="151"/>
      <w:bookmarkEnd w:id="152"/>
    </w:p>
    <w:p>
      <w:pPr>
        <w:numPr>
          <w:ilvl w:val="1"/>
          <w:numId w:val="4"/>
        </w:numPr>
        <w:spacing w:line="28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中规定的开标时间和地点组织公开开标并邀请所有</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代表参加。</w:t>
      </w:r>
    </w:p>
    <w:p>
      <w:pPr>
        <w:spacing w:line="360" w:lineRule="exact"/>
        <w:ind w:left="735" w:leftChars="350"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不足3家的，不得开标。</w:t>
      </w:r>
    </w:p>
    <w:p>
      <w:pPr>
        <w:spacing w:line="36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18.2   开标时，由</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或其推选的代表检查自己或所代表的投标文件的密封情况，经记录后，由采购人或采购代理机构当众拆封投标文件第一部分，宣读</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名称、投标价格及招标文件规定的内容。对于</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在投标截止期前递交的投标声明，在开标时当众宣读，评标时有效。</w:t>
      </w:r>
    </w:p>
    <w:p>
      <w:pPr>
        <w:spacing w:line="360" w:lineRule="exac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未宣读投标价格、价格折扣等实质内容，评标时不予承认。</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18.3    采购人或采购代理机构将对开标过程进行记录</w:t>
      </w:r>
      <w:bookmarkStart w:id="153" w:name="_Toc520356165"/>
      <w:r>
        <w:rPr>
          <w:rFonts w:hint="eastAsia" w:ascii="微软雅黑" w:hAnsi="微软雅黑" w:eastAsia="微软雅黑" w:cs="微软雅黑"/>
          <w:color w:val="auto"/>
          <w:sz w:val="24"/>
        </w:rPr>
        <w:t>，由参加开标的各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代表和相关工作人员签字确认，并存档备查。</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18.4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代表对开标过程和开标记录有疑义，以及认为采购人、采购代理机构相关工作人员有需要回避的情形的，应当场提出询问或者回避申请。</w:t>
      </w:r>
    </w:p>
    <w:p>
      <w:pPr>
        <w:pStyle w:val="2"/>
        <w:spacing w:before="0" w:after="0" w:line="360" w:lineRule="exact"/>
        <w:rPr>
          <w:rFonts w:hint="eastAsia" w:ascii="微软雅黑" w:hAnsi="微软雅黑" w:eastAsia="微软雅黑" w:cs="微软雅黑"/>
          <w:color w:val="auto"/>
          <w:u w:val="none"/>
        </w:rPr>
      </w:pPr>
      <w:bookmarkStart w:id="154" w:name="_Toc21372"/>
      <w:bookmarkStart w:id="155" w:name="_Toc19296"/>
      <w:bookmarkStart w:id="156" w:name="_Toc515647780"/>
      <w:bookmarkStart w:id="157" w:name="_Toc7496"/>
      <w:bookmarkStart w:id="158" w:name="_Toc10892"/>
      <w:r>
        <w:rPr>
          <w:rFonts w:hint="eastAsia" w:ascii="微软雅黑" w:hAnsi="微软雅黑" w:eastAsia="微软雅黑" w:cs="微软雅黑"/>
          <w:color w:val="auto"/>
          <w:u w:val="none"/>
        </w:rPr>
        <w:t>19.</w:t>
      </w:r>
      <w:bookmarkEnd w:id="153"/>
      <w:r>
        <w:rPr>
          <w:rFonts w:hint="eastAsia" w:ascii="微软雅黑" w:hAnsi="微软雅黑" w:eastAsia="微软雅黑" w:cs="微软雅黑"/>
          <w:color w:val="auto"/>
          <w:u w:val="none"/>
        </w:rPr>
        <w:t>资格审查及组建评标委员会</w:t>
      </w:r>
      <w:bookmarkEnd w:id="154"/>
      <w:bookmarkEnd w:id="155"/>
      <w:bookmarkEnd w:id="156"/>
      <w:bookmarkEnd w:id="157"/>
      <w:bookmarkEnd w:id="158"/>
    </w:p>
    <w:p>
      <w:pPr>
        <w:spacing w:line="36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19.1    采购人或采购代理机构依据法律法规和招标文件中规定的内容，对</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及其</w:t>
      </w:r>
      <w:r>
        <w:rPr>
          <w:rFonts w:hint="eastAsia" w:ascii="微软雅黑" w:hAnsi="微软雅黑" w:eastAsia="微软雅黑" w:cs="微软雅黑"/>
          <w:color w:val="auto"/>
          <w:sz w:val="24"/>
          <w:lang w:eastAsia="zh-CN"/>
        </w:rPr>
        <w:t>服务</w:t>
      </w:r>
      <w:r>
        <w:rPr>
          <w:rFonts w:hint="eastAsia" w:ascii="微软雅黑" w:hAnsi="微软雅黑" w:eastAsia="微软雅黑" w:cs="微软雅黑"/>
          <w:color w:val="auto"/>
          <w:sz w:val="24"/>
        </w:rPr>
        <w:t>的资格进行审查，</w:t>
      </w:r>
      <w:r>
        <w:rPr>
          <w:rFonts w:hint="eastAsia" w:ascii="微软雅黑" w:hAnsi="微软雅黑" w:eastAsia="微软雅黑" w:cs="微软雅黑"/>
          <w:b/>
          <w:bCs/>
          <w:color w:val="auto"/>
          <w:sz w:val="24"/>
        </w:rPr>
        <w:t>本项目审查内容如下：</w:t>
      </w:r>
    </w:p>
    <w:p>
      <w:pPr>
        <w:keepNext w:val="0"/>
        <w:keepLines w:val="0"/>
        <w:pageBreakBefore w:val="0"/>
        <w:kinsoku/>
        <w:wordWrap/>
        <w:overflowPunct/>
        <w:topLinePunct w:val="0"/>
        <w:autoSpaceDE/>
        <w:autoSpaceDN/>
        <w:bidi w:val="0"/>
        <w:adjustRightInd/>
        <w:spacing w:line="400" w:lineRule="exact"/>
        <w:ind w:firstLine="960" w:firstLineChars="4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合格</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的其他资格要求（开标时须携带证明资料</w:t>
      </w:r>
      <w:r>
        <w:rPr>
          <w:rFonts w:hint="eastAsia" w:ascii="微软雅黑" w:hAnsi="微软雅黑" w:eastAsia="微软雅黑" w:cs="微软雅黑"/>
          <w:b/>
          <w:bCs/>
          <w:color w:val="auto"/>
          <w:sz w:val="24"/>
          <w:highlight w:val="none"/>
          <w:lang w:val="en-US" w:eastAsia="zh-CN"/>
        </w:rPr>
        <w:t>原件或复印件加盖公章</w:t>
      </w:r>
      <w:r>
        <w:rPr>
          <w:rFonts w:hint="eastAsia" w:ascii="微软雅黑" w:hAnsi="微软雅黑" w:eastAsia="微软雅黑" w:cs="微软雅黑"/>
          <w:b/>
          <w:bCs/>
          <w:color w:val="auto"/>
          <w:sz w:val="24"/>
          <w:highlight w:val="none"/>
        </w:rPr>
        <w:t>）：</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1.具有有效的独立法人营业执照；</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2.法人代表资格证明书及授权书、被授权人身份证(法人投标需提供法人身份证及法人代表资格证明书)；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3.依法缴纳近6个月内任意1个月的社会保险的凭据；</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4.税务部门出具的近6个月内任意1个月的完税证明；</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5.提供健全的财务制度；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7.参加政府采购活动前3年内未被列入失信、重大税收违法案件、财政部门禁止参加政府采购活动的承诺书；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8.提供针对本次项目《反商业贿赂承诺书》；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479" w:leftChars="228"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9.投标保证金银行转账回执单。</w:t>
      </w:r>
    </w:p>
    <w:p>
      <w:pPr>
        <w:widowControl/>
        <w:snapToGrid w:val="0"/>
        <w:spacing w:line="360" w:lineRule="exact"/>
        <w:jc w:val="left"/>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各供应商应注意以下事项：</w:t>
      </w:r>
    </w:p>
    <w:p>
      <w:pPr>
        <w:widowControl/>
        <w:snapToGrid w:val="0"/>
        <w:spacing w:line="360" w:lineRule="exact"/>
        <w:ind w:firstLine="880" w:firstLineChars="400"/>
        <w:jc w:val="left"/>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 xml:space="preserve">A：本项目要求各投标供应商“提供税务部门出具的近6个月内任意1个月的完税证明；”，若供应商某月税收为零申报，须提供加盖税务局公章的无欠税证明或申报成功网页截图（供应商可自主登录“国家税务总局电子税务局”12366.chinatax.gov.cn/bsfw/onlinetaxation/main——税费申报及缴纳——申报结果查询）。 </w:t>
      </w:r>
    </w:p>
    <w:p>
      <w:pPr>
        <w:widowControl/>
        <w:snapToGrid w:val="0"/>
        <w:spacing w:line="360" w:lineRule="exact"/>
        <w:ind w:firstLine="880" w:firstLineChars="400"/>
        <w:jc w:val="left"/>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B：税务局代收的社保缴费证明不可作为本项目的完税证明（“税种”不可为养老保险、医疗保险、失业保险、工伤保险和生育保险）。</w:t>
      </w:r>
    </w:p>
    <w:p>
      <w:pPr>
        <w:spacing w:line="360" w:lineRule="exact"/>
        <w:ind w:left="857" w:leftChars="2" w:hanging="85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采购人或采购代理机构将在开标前1个工作日至投标截止后1小时的期间内查询</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的信用记录。</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存在不良信用记录的，其投标将被认定为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60" w:lineRule="exact"/>
        <w:ind w:left="720" w:hanging="720" w:hanging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不良信用记录指：投标供应商在“信用中国”网站（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pacing w:line="360" w:lineRule="exact"/>
        <w:ind w:left="849" w:leftChars="401" w:hanging="7" w:hangingChars="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以联合体形式参加投标的，联合体任何成员存在以上不良信用记录的，联合体投标将被认定为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pStyle w:val="8"/>
        <w:spacing w:line="360" w:lineRule="exact"/>
        <w:ind w:left="850" w:hanging="849" w:hangingChars="354"/>
        <w:jc w:val="both"/>
        <w:rPr>
          <w:rFonts w:hint="eastAsia"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不良信用记录以采购人或采购代理机构查询结果为准。</w:t>
      </w:r>
    </w:p>
    <w:p>
      <w:pPr>
        <w:pStyle w:val="8"/>
        <w:spacing w:line="360" w:lineRule="exact"/>
        <w:ind w:left="850" w:leftChars="405" w:firstLine="0"/>
        <w:jc w:val="both"/>
        <w:rPr>
          <w:rFonts w:hint="eastAsia" w:ascii="微软雅黑" w:hAnsi="微软雅黑" w:eastAsia="微软雅黑" w:cs="微软雅黑"/>
          <w:color w:val="auto"/>
        </w:rPr>
      </w:pPr>
      <w:r>
        <w:rPr>
          <w:rFonts w:hint="eastAsia" w:ascii="微软雅黑" w:hAnsi="微软雅黑" w:eastAsia="微软雅黑" w:cs="微软雅黑"/>
          <w:color w:val="auto"/>
        </w:rPr>
        <w:t>在本招标文件规定的查询时间之后，网站信息发生的任何变更均不再作</w:t>
      </w:r>
    </w:p>
    <w:p>
      <w:pPr>
        <w:pStyle w:val="8"/>
        <w:spacing w:line="360" w:lineRule="exact"/>
        <w:ind w:left="850" w:leftChars="405" w:firstLine="0"/>
        <w:jc w:val="both"/>
        <w:rPr>
          <w:rFonts w:hint="eastAsia" w:ascii="微软雅黑" w:hAnsi="微软雅黑" w:eastAsia="微软雅黑" w:cs="微软雅黑"/>
          <w:color w:val="auto"/>
        </w:rPr>
      </w:pPr>
      <w:r>
        <w:rPr>
          <w:rFonts w:hint="eastAsia" w:ascii="微软雅黑" w:hAnsi="微软雅黑" w:eastAsia="微软雅黑" w:cs="微软雅黑"/>
          <w:color w:val="auto"/>
        </w:rPr>
        <w:t>为评标依据。</w:t>
      </w:r>
    </w:p>
    <w:p>
      <w:pPr>
        <w:pStyle w:val="8"/>
        <w:spacing w:line="360" w:lineRule="exact"/>
        <w:ind w:left="958" w:leftChars="456" w:firstLine="0"/>
        <w:jc w:val="both"/>
        <w:rPr>
          <w:rFonts w:hint="eastAsia" w:ascii="微软雅黑" w:hAnsi="微软雅黑" w:eastAsia="微软雅黑" w:cs="微软雅黑"/>
          <w:color w:val="auto"/>
        </w:rPr>
      </w:pP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自行提供的与网站信息不一致的其他证明材料亦不作为资格审查依据。</w:t>
      </w:r>
    </w:p>
    <w:p>
      <w:pPr>
        <w:spacing w:line="36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19.3   </w:t>
      </w:r>
      <w:bookmarkStart w:id="159" w:name="_Toc520356166"/>
      <w:r>
        <w:rPr>
          <w:rFonts w:hint="eastAsia" w:ascii="微软雅黑" w:hAnsi="微软雅黑" w:eastAsia="微软雅黑" w:cs="微软雅黑"/>
          <w:color w:val="auto"/>
          <w:sz w:val="24"/>
        </w:rPr>
        <w:t>按照《中华人民共和国政府采购法》、《中华人民共和国政府采购法实施条例》及本项目本级和上级财政部门的有关规定依法在政采云平台随机抽取</w:t>
      </w:r>
      <w:r>
        <w:rPr>
          <w:rFonts w:hint="eastAsia" w:ascii="微软雅黑" w:hAnsi="微软雅黑" w:eastAsia="微软雅黑" w:cs="微软雅黑"/>
          <w:color w:val="auto"/>
          <w:sz w:val="24"/>
          <w:lang w:val="en-US" w:eastAsia="zh-CN"/>
        </w:rPr>
        <w:t>5名</w:t>
      </w:r>
      <w:r>
        <w:rPr>
          <w:rFonts w:hint="eastAsia" w:ascii="微软雅黑" w:hAnsi="微软雅黑" w:eastAsia="微软雅黑" w:cs="微软雅黑"/>
          <w:color w:val="auto"/>
          <w:sz w:val="24"/>
          <w:lang w:eastAsia="zh-CN"/>
        </w:rPr>
        <w:t>专家</w:t>
      </w:r>
      <w:r>
        <w:rPr>
          <w:rFonts w:hint="eastAsia" w:ascii="微软雅黑" w:hAnsi="微软雅黑" w:eastAsia="微软雅黑" w:cs="微软雅黑"/>
          <w:color w:val="auto"/>
          <w:sz w:val="24"/>
        </w:rPr>
        <w:t>组成</w:t>
      </w:r>
      <w:r>
        <w:rPr>
          <w:rFonts w:hint="eastAsia" w:ascii="微软雅黑" w:hAnsi="微软雅黑" w:eastAsia="微软雅黑" w:cs="微软雅黑"/>
          <w:color w:val="auto"/>
          <w:sz w:val="24"/>
          <w:lang w:eastAsia="zh-CN"/>
        </w:rPr>
        <w:t>评标</w:t>
      </w:r>
      <w:r>
        <w:rPr>
          <w:rFonts w:hint="eastAsia" w:ascii="微软雅黑" w:hAnsi="微软雅黑" w:eastAsia="微软雅黑" w:cs="微软雅黑"/>
          <w:color w:val="auto"/>
          <w:sz w:val="24"/>
        </w:rPr>
        <w:t>小组，负责</w:t>
      </w:r>
      <w:r>
        <w:rPr>
          <w:rFonts w:hint="eastAsia" w:ascii="微软雅黑" w:hAnsi="微软雅黑" w:eastAsia="微软雅黑" w:cs="微软雅黑"/>
          <w:color w:val="auto"/>
          <w:sz w:val="24"/>
          <w:lang w:eastAsia="zh-CN"/>
        </w:rPr>
        <w:t>评标</w:t>
      </w:r>
      <w:r>
        <w:rPr>
          <w:rFonts w:hint="eastAsia" w:ascii="微软雅黑" w:hAnsi="微软雅黑" w:eastAsia="微软雅黑" w:cs="微软雅黑"/>
          <w:color w:val="auto"/>
          <w:sz w:val="24"/>
        </w:rPr>
        <w:t>工作。</w:t>
      </w:r>
    </w:p>
    <w:p>
      <w:pPr>
        <w:pStyle w:val="2"/>
        <w:spacing w:before="0" w:after="0" w:line="360" w:lineRule="exact"/>
        <w:rPr>
          <w:rFonts w:hint="eastAsia" w:ascii="微软雅黑" w:hAnsi="微软雅黑" w:eastAsia="微软雅黑" w:cs="微软雅黑"/>
          <w:b/>
          <w:bCs/>
          <w:color w:val="auto"/>
          <w:bdr w:val="single" w:color="auto" w:sz="4" w:space="0"/>
        </w:rPr>
      </w:pPr>
      <w:bookmarkStart w:id="160" w:name="_Toc28479"/>
      <w:bookmarkStart w:id="161" w:name="_Toc515647781"/>
      <w:bookmarkStart w:id="162" w:name="_Toc1632"/>
      <w:bookmarkStart w:id="163" w:name="_Toc19949"/>
      <w:bookmarkStart w:id="164" w:name="_Toc7275"/>
      <w:r>
        <w:rPr>
          <w:rFonts w:hint="eastAsia" w:ascii="微软雅黑" w:hAnsi="微软雅黑" w:eastAsia="微软雅黑" w:cs="微软雅黑"/>
          <w:color w:val="auto"/>
          <w:u w:val="none"/>
        </w:rPr>
        <w:t>20.投标文件</w:t>
      </w:r>
      <w:bookmarkEnd w:id="159"/>
      <w:r>
        <w:rPr>
          <w:rFonts w:hint="eastAsia" w:ascii="微软雅黑" w:hAnsi="微软雅黑" w:eastAsia="微软雅黑" w:cs="微软雅黑"/>
          <w:color w:val="auto"/>
          <w:u w:val="none"/>
        </w:rPr>
        <w:t>符合性审查与澄清</w:t>
      </w:r>
      <w:bookmarkEnd w:id="160"/>
      <w:bookmarkEnd w:id="161"/>
      <w:bookmarkEnd w:id="162"/>
      <w:bookmarkEnd w:id="163"/>
      <w:bookmarkEnd w:id="164"/>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符合性审查是指依据招标文件的规定，从投标文件的有效性和完整性对招标文件的响应程度进行审查，以确定是否对招标文件的实质性要求做出响应。</w:t>
      </w:r>
      <w:bookmarkStart w:id="165" w:name="_Hlt522424701"/>
      <w:bookmarkEnd w:id="165"/>
      <w:bookmarkStart w:id="166" w:name="_Toc520356167"/>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投标文件的澄清</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20.2.1  在评标期间，评标委员会将以书面方式要求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对其投标文件中含义不明确、对同类问题表述不一致或者有明显文字和计算错误的内容，以及评标委员会认为</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的报价明显低于其他通过符合性检查</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的报价，有可能影响履约的情况作必要的澄清、说明或补正。</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的澄清、说明或补正应在评标委员会规定的时间内以书面方式进行，并不得超出投标文件范围或者改变投标文件的实质性内容。</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20.2.2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的的澄清、说明或补正将作为投标文件的一部分。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20.3  投标文件报价出现前后不一致的，按照下列规定修正：</w:t>
      </w:r>
    </w:p>
    <w:p>
      <w:pPr>
        <w:spacing w:line="36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（一）投标文件中开标一览表（报价表）内容与投标文件中相应内容不一致的，以开标一览表（报价表）为准；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pPr>
        <w:spacing w:line="36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（三）单价金额小数点或者百分比有明显错位的，以开标一览表的总价为准，并修改单价；</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确认后产生约束力，</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不确认的，其投标将被认定为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60" w:lineRule="exact"/>
        <w:ind w:left="735" w:leftChars="350"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对不同文字文本投标文件的解释发生异议的，以中文文本为准。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   如一个分包内只有一种产品，不同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所投产品为同一品牌的，按如下方式处理：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20.4.1  如本项目使用最低评标价法，提供相同品牌产品的不同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以其中通过资格审查、符合性审查且报价最低的参加评标；报价相同的，由采购人或者采购人委托评标委员会按照招标文件中评标办法规定的方式确定一个参加评标的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；未规定的采取随机抽取方式确定，其他投标将被认定为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20.4.2  如本项目使用综合评分法，提供相同品牌产品且通过资格审查、符合性审查的不同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，按一家</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计算，评审后得分最高的同品牌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获得中标人推荐资格；评审得分相同的，由采购人或者采购人委托评标委员会按照招标文件中评标办法规定的方式确定一个</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获得中标人推荐资格；未规定的采取随机抽取方式确定，其他同品牌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不作为中标候选人。</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所投产品如被列入财政部与国家主管部门颁发的节能产品目录或环境标志产品目录或无线局域网产品目录，应提供相关证明，在评标时予以优先采购，具体优先采购办法见第六章评标方法和标准。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如采购人所采购产品为政府强制采购的节能产品，</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所投产品的品牌及型号必须为清单中有效期内产品并提供证明文件，否则其投标将被认定为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pStyle w:val="2"/>
        <w:spacing w:before="0" w:after="0" w:line="360" w:lineRule="exact"/>
        <w:rPr>
          <w:rFonts w:hint="eastAsia" w:ascii="微软雅黑" w:hAnsi="微软雅黑" w:eastAsia="微软雅黑" w:cs="微软雅黑"/>
          <w:color w:val="auto"/>
          <w:u w:val="none"/>
        </w:rPr>
      </w:pPr>
      <w:bookmarkStart w:id="167" w:name="_Toc25822"/>
      <w:bookmarkStart w:id="168" w:name="_Toc515647782"/>
      <w:bookmarkStart w:id="169" w:name="_Toc6364"/>
      <w:bookmarkStart w:id="170" w:name="_Toc9469"/>
      <w:bookmarkStart w:id="171" w:name="_Toc23839"/>
      <w:r>
        <w:rPr>
          <w:rFonts w:hint="eastAsia" w:ascii="微软雅黑" w:hAnsi="微软雅黑" w:eastAsia="微软雅黑" w:cs="微软雅黑"/>
          <w:color w:val="auto"/>
          <w:u w:val="none"/>
        </w:rPr>
        <w:t>21.投标偏离</w:t>
      </w:r>
      <w:bookmarkEnd w:id="167"/>
      <w:bookmarkEnd w:id="168"/>
      <w:bookmarkEnd w:id="169"/>
      <w:bookmarkEnd w:id="170"/>
      <w:bookmarkEnd w:id="171"/>
    </w:p>
    <w:p>
      <w:pPr>
        <w:spacing w:line="360" w:lineRule="exact"/>
        <w:ind w:left="848" w:leftChars="99" w:hanging="640" w:hangingChars="267"/>
        <w:rPr>
          <w:rFonts w:hint="eastAsia" w:ascii="微软雅黑" w:hAnsi="微软雅黑" w:eastAsia="微软雅黑" w:cs="微软雅黑"/>
          <w:color w:val="auto"/>
        </w:rPr>
      </w:pPr>
      <w:r>
        <w:rPr>
          <w:rFonts w:hint="eastAsia" w:ascii="微软雅黑" w:hAnsi="微软雅黑" w:eastAsia="微软雅黑" w:cs="微软雅黑"/>
          <w:color w:val="auto"/>
          <w:sz w:val="24"/>
        </w:rPr>
        <w:t xml:space="preserve">     评标委员会可以接受投标文件中不构成实质性偏离的不正规或不一致。</w:t>
      </w:r>
      <w:bookmarkStart w:id="172" w:name="_Toc515647783"/>
      <w:bookmarkStart w:id="173" w:name="_Toc6092"/>
      <w:bookmarkStart w:id="174" w:name="_Toc4950"/>
    </w:p>
    <w:p>
      <w:pPr>
        <w:pStyle w:val="2"/>
        <w:spacing w:before="0" w:after="0" w:line="360" w:lineRule="exact"/>
        <w:rPr>
          <w:rFonts w:hint="eastAsia" w:ascii="微软雅黑" w:hAnsi="微软雅黑" w:eastAsia="微软雅黑" w:cs="微软雅黑"/>
          <w:color w:val="auto"/>
          <w:u w:val="none"/>
        </w:rPr>
      </w:pPr>
      <w:bookmarkStart w:id="175" w:name="_Toc2648"/>
      <w:bookmarkStart w:id="176" w:name="_Toc12709"/>
      <w:r>
        <w:rPr>
          <w:rFonts w:hint="eastAsia" w:ascii="微软雅黑" w:hAnsi="微软雅黑" w:eastAsia="微软雅黑" w:cs="微软雅黑"/>
          <w:color w:val="auto"/>
          <w:u w:val="none"/>
        </w:rPr>
        <w:t>22.投标</w:t>
      </w:r>
      <w:bookmarkEnd w:id="172"/>
      <w:r>
        <w:rPr>
          <w:rFonts w:hint="eastAsia" w:ascii="微软雅黑" w:hAnsi="微软雅黑" w:eastAsia="微软雅黑" w:cs="微软雅黑"/>
          <w:color w:val="auto"/>
          <w:u w:val="none"/>
        </w:rPr>
        <w:t>无效</w:t>
      </w:r>
      <w:bookmarkEnd w:id="173"/>
      <w:bookmarkEnd w:id="174"/>
      <w:bookmarkEnd w:id="175"/>
      <w:bookmarkEnd w:id="176"/>
    </w:p>
    <w:p>
      <w:pPr>
        <w:spacing w:line="360" w:lineRule="exact"/>
        <w:ind w:left="852" w:leftChars="-23"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评标委员会决定投标的响应性只根据招标文件要求、投标文件内容及财政主管部门指定相关信息发布媒体。</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22.2</w:t>
      </w:r>
      <w:r>
        <w:rPr>
          <w:rFonts w:hint="eastAsia" w:ascii="微软雅黑" w:hAnsi="微软雅黑" w:eastAsia="微软雅黑" w:cs="微软雅黑"/>
          <w:color w:val="auto"/>
          <w:sz w:val="24"/>
        </w:rPr>
        <w:tab/>
      </w:r>
      <w:r>
        <w:rPr>
          <w:rFonts w:hint="eastAsia" w:ascii="微软雅黑" w:hAnsi="微软雅黑" w:eastAsia="微软雅黑" w:cs="微软雅黑"/>
          <w:b/>
          <w:bCs/>
          <w:color w:val="auto"/>
          <w:sz w:val="24"/>
        </w:rPr>
        <w:t>如发现下列情况之一的，其投标将被认定为投标无效</w:t>
      </w:r>
      <w:r>
        <w:rPr>
          <w:rFonts w:hint="eastAsia" w:ascii="微软雅黑" w:hAnsi="微软雅黑" w:eastAsia="微软雅黑" w:cs="微软雅黑"/>
          <w:color w:val="auto"/>
          <w:sz w:val="24"/>
        </w:rPr>
        <w:t>：</w:t>
      </w:r>
    </w:p>
    <w:p>
      <w:pPr>
        <w:numPr>
          <w:ilvl w:val="0"/>
          <w:numId w:val="5"/>
        </w:numPr>
        <w:spacing w:line="360" w:lineRule="exact"/>
        <w:ind w:left="1230" w:leftChars="0" w:hanging="180" w:firstLineChars="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未按招标文件规定的形式和金额提交投标保证金的；</w:t>
      </w:r>
    </w:p>
    <w:p>
      <w:pPr>
        <w:numPr>
          <w:ilvl w:val="0"/>
          <w:numId w:val="5"/>
        </w:numPr>
        <w:spacing w:line="360" w:lineRule="exact"/>
        <w:ind w:left="1230" w:leftChars="0" w:hanging="180" w:firstLineChars="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未按照招标文件规定要求签署、盖章的；</w:t>
      </w:r>
    </w:p>
    <w:p>
      <w:pPr>
        <w:numPr>
          <w:ilvl w:val="0"/>
          <w:numId w:val="5"/>
        </w:numPr>
        <w:spacing w:line="360" w:lineRule="exact"/>
        <w:ind w:left="1230" w:leftChars="0" w:hanging="180" w:firstLineChars="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与其他</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串通投标，或者与招标人串通投标；</w:t>
      </w:r>
    </w:p>
    <w:p>
      <w:pPr>
        <w:numPr>
          <w:ilvl w:val="0"/>
          <w:numId w:val="5"/>
        </w:numPr>
        <w:spacing w:line="360" w:lineRule="exact"/>
        <w:ind w:left="1230" w:leftChars="0" w:hanging="180" w:firstLineChars="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属于招标文件规定的其他投标无效情形；</w:t>
      </w:r>
    </w:p>
    <w:p>
      <w:pPr>
        <w:numPr>
          <w:ilvl w:val="0"/>
          <w:numId w:val="5"/>
        </w:numPr>
        <w:spacing w:line="360" w:lineRule="exact"/>
        <w:ind w:left="1230" w:leftChars="0" w:hanging="180" w:firstLineChars="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评标委员会认为</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的报价明显低于其他通过符合性检查</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的报价，有可能影响履约的，且</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未按照规定证明其报价合理性的；</w:t>
      </w:r>
    </w:p>
    <w:p>
      <w:pPr>
        <w:numPr>
          <w:ilvl w:val="0"/>
          <w:numId w:val="5"/>
        </w:numPr>
        <w:spacing w:line="360" w:lineRule="exact"/>
        <w:ind w:left="1230" w:leftChars="0" w:hanging="180" w:firstLineChars="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投标文件含有采购人不能接受的附加条件的；</w:t>
      </w:r>
    </w:p>
    <w:p>
      <w:pPr>
        <w:numPr>
          <w:ilvl w:val="0"/>
          <w:numId w:val="5"/>
        </w:numPr>
        <w:tabs>
          <w:tab w:val="left" w:pos="0"/>
        </w:tabs>
        <w:spacing w:line="360" w:lineRule="exact"/>
        <w:ind w:left="1230" w:leftChars="0" w:hanging="180" w:firstLineChars="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不符合法规和招标文件中规定的其他实质性要求的。</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highlight w:val="none"/>
        </w:rPr>
        <w:t xml:space="preserve">22.3   </w:t>
      </w:r>
      <w:r>
        <w:rPr>
          <w:rFonts w:hint="eastAsia" w:ascii="微软雅黑" w:hAnsi="微软雅黑" w:eastAsia="微软雅黑" w:cs="微软雅黑"/>
          <w:color w:val="auto"/>
          <w:sz w:val="24"/>
        </w:rPr>
        <w:t>有下列情形之一的，属于恶意串通，对供应商依照政府采购法第七十七条第一款的规定追究法律责任，对采购人、采购代理机构及其工作人员依照政府采购法第七十二条的规定追究法律责任：</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（1）供应商直接或者间接从采购人或者采购代理机构处获得其他供应商的相关情况并修改其投标文件或者投标文件；</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（2）供应商按照采购人或者采购代理机构的授意撤换、修改投标文件或者投标文件；</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（3）供应商之间协商报价、技术方案等投标文件或者投标文件的实质性内容；</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（4）属于同一集团、协会、商会等组织成员的供应商按照该组织要求协同参加政府采购活动；</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（5）供应商之间事先约定由某一特定供应商中标、成交；</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（6）供应商之间商定部分供应商放弃参加政府采购活动或者放弃中标、成交；</w:t>
      </w:r>
    </w:p>
    <w:p>
      <w:pPr>
        <w:spacing w:line="360" w:lineRule="exact"/>
        <w:ind w:left="900" w:hanging="900" w:hangingChars="375"/>
        <w:rPr>
          <w:rFonts w:hint="eastAsia"/>
          <w:b w:val="0"/>
          <w:bCs w:val="0"/>
        </w:rPr>
      </w:pPr>
      <w:r>
        <w:rPr>
          <w:rFonts w:hint="eastAsia" w:ascii="微软雅黑" w:hAnsi="微软雅黑" w:eastAsia="微软雅黑" w:cs="微软雅黑"/>
          <w:color w:val="auto"/>
          <w:sz w:val="24"/>
        </w:rPr>
        <w:t>　　 （7）供应商与采购人或者采购代理机构之间、供应商相互之间，为谋求特定供应商中标、成交或者排斥其他供应商的其他串通行为。</w:t>
      </w:r>
    </w:p>
    <w:p>
      <w:pPr>
        <w:pStyle w:val="2"/>
        <w:spacing w:before="0" w:after="0" w:line="360" w:lineRule="exact"/>
        <w:rPr>
          <w:rFonts w:hint="eastAsia" w:ascii="微软雅黑" w:hAnsi="微软雅黑" w:eastAsia="微软雅黑" w:cs="微软雅黑"/>
          <w:color w:val="auto"/>
          <w:u w:val="none"/>
        </w:rPr>
      </w:pPr>
      <w:bookmarkStart w:id="177" w:name="_Toc6137"/>
      <w:bookmarkStart w:id="178" w:name="_Toc30623"/>
      <w:bookmarkStart w:id="179" w:name="_Toc515647784"/>
      <w:bookmarkStart w:id="180" w:name="_Toc22941"/>
      <w:bookmarkStart w:id="181" w:name="_Toc13652"/>
      <w:r>
        <w:rPr>
          <w:rFonts w:hint="eastAsia" w:ascii="微软雅黑" w:hAnsi="微软雅黑" w:eastAsia="微软雅黑" w:cs="微软雅黑"/>
          <w:color w:val="auto"/>
          <w:u w:val="none"/>
        </w:rPr>
        <w:t>23.</w:t>
      </w:r>
      <w:bookmarkEnd w:id="166"/>
      <w:r>
        <w:rPr>
          <w:rFonts w:hint="eastAsia" w:ascii="微软雅黑" w:hAnsi="微软雅黑" w:eastAsia="微软雅黑" w:cs="微软雅黑"/>
          <w:color w:val="auto"/>
          <w:u w:val="none"/>
        </w:rPr>
        <w:t>比较与评价</w:t>
      </w:r>
      <w:bookmarkEnd w:id="177"/>
      <w:bookmarkEnd w:id="178"/>
      <w:bookmarkEnd w:id="179"/>
      <w:bookmarkEnd w:id="180"/>
      <w:bookmarkEnd w:id="181"/>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经符合性审查合格的投标文件，评标委员会将根据招标文件确定的评标方法和标准，对其技术部分和商务部分作进一步的比较和评价。</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23.2  </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评标严格按照招标文件的要求和条件进行。根据实际情况，在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中规定采用下列一种评标方法，详细评标标准见招标文件第六章：</w:t>
      </w:r>
    </w:p>
    <w:p>
      <w:pPr>
        <w:pStyle w:val="15"/>
        <w:spacing w:line="360" w:lineRule="exact"/>
        <w:ind w:left="899" w:leftChars="342" w:hanging="18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 最低评标价法，是指投标文件满足招标文件全部实质性要求，且投标报价最低的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为中标候选人的评标方法。</w:t>
      </w:r>
    </w:p>
    <w:p>
      <w:pPr>
        <w:pStyle w:val="15"/>
        <w:spacing w:line="360" w:lineRule="exact"/>
        <w:ind w:left="898" w:leftChars="342" w:hanging="18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 综合评分法，是指投标文件满足招标文件全部实质性要求，且按照评审因素的量化指标评审得分最高的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为中标候选人的评标方法。</w:t>
      </w:r>
    </w:p>
    <w:p>
      <w:pPr>
        <w:pStyle w:val="15"/>
        <w:shd w:val="clear" w:color="auto" w:fill="auto"/>
        <w:spacing w:line="360" w:lineRule="exact"/>
        <w:ind w:left="239" w:leftChars="114" w:firstLine="511" w:firstLineChars="213"/>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highlight w:val="none"/>
          <w:lang w:val="en-US" w:eastAsia="zh-CN"/>
        </w:rPr>
        <w:t>本项目采用综合评分法。</w:t>
      </w:r>
    </w:p>
    <w:p>
      <w:pPr>
        <w:pStyle w:val="15"/>
        <w:shd w:val="clear" w:color="auto" w:fill="auto"/>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rPr>
        <w:t xml:space="preserve">23.3   </w:t>
      </w:r>
      <w:r>
        <w:rPr>
          <w:rFonts w:hint="eastAsia" w:ascii="微软雅黑" w:hAnsi="微软雅黑" w:eastAsia="微软雅黑" w:cs="微软雅黑"/>
          <w:color w:val="auto"/>
          <w:sz w:val="24"/>
          <w:szCs w:val="24"/>
          <w:highlight w:val="none"/>
        </w:rPr>
        <w:t>根据《政府采购促进中小企业发展管理办法》（财库[2020]46号）、《财政部 司法部关于政府采购支持监狱企业发展有关问题的通知》（财库〔2014〕68号）和《三部门联合发布关于促进残疾人就业政府采购政策的通知》（</w:t>
      </w:r>
      <w:bookmarkStart w:id="182" w:name="sendNo"/>
      <w:r>
        <w:rPr>
          <w:rFonts w:hint="eastAsia" w:ascii="微软雅黑" w:hAnsi="微软雅黑" w:eastAsia="微软雅黑" w:cs="微软雅黑"/>
          <w:bCs/>
          <w:color w:val="auto"/>
          <w:sz w:val="24"/>
          <w:szCs w:val="24"/>
          <w:highlight w:val="none"/>
        </w:rPr>
        <w:t>财库〔</w:t>
      </w:r>
      <w:bookmarkEnd w:id="182"/>
      <w:r>
        <w:rPr>
          <w:rFonts w:hint="eastAsia" w:ascii="微软雅黑" w:hAnsi="微软雅黑" w:eastAsia="微软雅黑" w:cs="微软雅黑"/>
          <w:bCs/>
          <w:color w:val="auto"/>
          <w:sz w:val="24"/>
          <w:szCs w:val="24"/>
          <w:highlight w:val="none"/>
        </w:rPr>
        <w:t>2017〕141号</w:t>
      </w:r>
      <w:r>
        <w:rPr>
          <w:rFonts w:hint="eastAsia" w:ascii="微软雅黑" w:hAnsi="微软雅黑" w:eastAsia="微软雅黑" w:cs="微软雅黑"/>
          <w:color w:val="auto"/>
          <w:sz w:val="24"/>
          <w:szCs w:val="24"/>
          <w:highlight w:val="none"/>
        </w:rPr>
        <w:t>）的规定，对满足价格扣除条件且在投标文件中提交了《</w:t>
      </w:r>
      <w:r>
        <w:rPr>
          <w:rFonts w:hint="eastAsia" w:ascii="微软雅黑" w:hAnsi="微软雅黑" w:eastAsia="微软雅黑" w:cs="微软雅黑"/>
          <w:color w:val="auto"/>
          <w:sz w:val="24"/>
          <w:szCs w:val="24"/>
          <w:highlight w:val="none"/>
          <w:lang w:eastAsia="zh-CN"/>
        </w:rPr>
        <w:t>中小企业声明函</w:t>
      </w:r>
      <w:r>
        <w:rPr>
          <w:rFonts w:hint="eastAsia" w:ascii="微软雅黑" w:hAnsi="微软雅黑" w:eastAsia="微软雅黑" w:cs="微软雅黑"/>
          <w:color w:val="auto"/>
          <w:sz w:val="24"/>
          <w:szCs w:val="24"/>
          <w:highlight w:val="none"/>
        </w:rPr>
        <w:t>》或省级以上监狱管理局、戒毒管理局（含新疆生产建设兵团）出具的属于监狱企业的证明文件的</w:t>
      </w:r>
      <w:r>
        <w:rPr>
          <w:rFonts w:hint="eastAsia" w:ascii="微软雅黑" w:hAnsi="微软雅黑" w:eastAsia="微软雅黑" w:cs="微软雅黑"/>
          <w:color w:val="auto"/>
          <w:sz w:val="24"/>
          <w:szCs w:val="24"/>
          <w:highlight w:val="none"/>
          <w:lang w:eastAsia="zh-CN"/>
        </w:rPr>
        <w:t>投标供应商</w:t>
      </w:r>
      <w:r>
        <w:rPr>
          <w:rFonts w:hint="eastAsia" w:ascii="微软雅黑" w:hAnsi="微软雅黑" w:eastAsia="微软雅黑" w:cs="微软雅黑"/>
          <w:color w:val="auto"/>
          <w:sz w:val="24"/>
          <w:szCs w:val="24"/>
          <w:highlight w:val="none"/>
        </w:rPr>
        <w:t>，其投标报价扣除</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%后参与评审。</w:t>
      </w:r>
    </w:p>
    <w:p>
      <w:pPr>
        <w:pStyle w:val="2"/>
        <w:spacing w:before="0" w:after="0" w:line="340" w:lineRule="exact"/>
        <w:rPr>
          <w:rFonts w:hint="eastAsia" w:ascii="微软雅黑" w:hAnsi="微软雅黑" w:eastAsia="微软雅黑" w:cs="微软雅黑"/>
          <w:color w:val="auto"/>
          <w:u w:val="none"/>
        </w:rPr>
      </w:pPr>
      <w:bookmarkStart w:id="183" w:name="_Toc520356168"/>
      <w:bookmarkStart w:id="184" w:name="_Toc9378"/>
      <w:bookmarkStart w:id="185" w:name="_Toc18463"/>
      <w:bookmarkStart w:id="186" w:name="_Toc11957"/>
      <w:bookmarkStart w:id="187" w:name="_Toc20227"/>
      <w:bookmarkStart w:id="188" w:name="_Toc515647785"/>
      <w:r>
        <w:rPr>
          <w:rFonts w:hint="eastAsia" w:ascii="微软雅黑" w:hAnsi="微软雅黑" w:eastAsia="微软雅黑" w:cs="微软雅黑"/>
          <w:color w:val="auto"/>
          <w:u w:val="none"/>
        </w:rPr>
        <w:t>24</w:t>
      </w:r>
      <w:bookmarkEnd w:id="183"/>
      <w:r>
        <w:rPr>
          <w:rFonts w:hint="eastAsia" w:ascii="微软雅黑" w:hAnsi="微软雅黑" w:eastAsia="微软雅黑" w:cs="微软雅黑"/>
          <w:color w:val="auto"/>
          <w:u w:val="none"/>
        </w:rPr>
        <w:t>.废标</w:t>
      </w:r>
      <w:bookmarkEnd w:id="184"/>
      <w:bookmarkEnd w:id="185"/>
      <w:bookmarkEnd w:id="186"/>
      <w:bookmarkEnd w:id="187"/>
      <w:bookmarkEnd w:id="188"/>
    </w:p>
    <w:p>
      <w:pPr>
        <w:spacing w:line="340" w:lineRule="exact"/>
        <w:ind w:left="898" w:leftChars="399" w:hanging="60" w:hangingChars="25"/>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出现下列情形之一，将导致项目废标：</w:t>
      </w:r>
      <w:r>
        <w:rPr>
          <w:rFonts w:hint="eastAsia" w:ascii="微软雅黑" w:hAnsi="微软雅黑" w:eastAsia="微软雅黑" w:cs="微软雅黑"/>
          <w:color w:val="auto"/>
          <w:sz w:val="24"/>
        </w:rPr>
        <w:t xml:space="preserve"> </w:t>
      </w:r>
    </w:p>
    <w:p>
      <w:pPr>
        <w:spacing w:line="34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（1）符合专业条件的供应商或者对招标文件做实质性响应的供应商不足三家；</w:t>
      </w:r>
    </w:p>
    <w:p>
      <w:pPr>
        <w:spacing w:line="34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（2）出现影响采购公正的违法、违规行为的；</w:t>
      </w:r>
    </w:p>
    <w:p>
      <w:pPr>
        <w:spacing w:line="340" w:lineRule="exact"/>
        <w:ind w:firstLine="840" w:firstLineChars="3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的报价均超过了采购预算，采购人不能支付的；</w:t>
      </w:r>
    </w:p>
    <w:p>
      <w:pPr>
        <w:spacing w:line="340" w:lineRule="exact"/>
        <w:ind w:firstLine="840" w:firstLineChars="3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（4）因重大变故，采购任务取消的。   </w:t>
      </w:r>
    </w:p>
    <w:p>
      <w:pPr>
        <w:pStyle w:val="2"/>
        <w:spacing w:before="0" w:after="0" w:line="340" w:lineRule="exact"/>
        <w:rPr>
          <w:rFonts w:hint="eastAsia" w:ascii="微软雅黑" w:hAnsi="微软雅黑" w:eastAsia="微软雅黑" w:cs="微软雅黑"/>
          <w:color w:val="auto"/>
          <w:u w:val="none"/>
        </w:rPr>
      </w:pPr>
      <w:bookmarkStart w:id="189" w:name="_Toc31289"/>
      <w:bookmarkStart w:id="190" w:name="_Toc15945"/>
      <w:bookmarkStart w:id="191" w:name="_Toc515647786"/>
      <w:bookmarkStart w:id="192" w:name="_Toc26646"/>
      <w:bookmarkStart w:id="193" w:name="_Toc24972"/>
      <w:bookmarkStart w:id="194" w:name="_Toc520356169"/>
      <w:r>
        <w:rPr>
          <w:rFonts w:hint="eastAsia" w:ascii="微软雅黑" w:hAnsi="微软雅黑" w:eastAsia="微软雅黑" w:cs="微软雅黑"/>
          <w:color w:val="auto"/>
          <w:u w:val="none"/>
        </w:rPr>
        <w:t>25.保密原则</w:t>
      </w:r>
      <w:bookmarkEnd w:id="189"/>
      <w:bookmarkEnd w:id="190"/>
      <w:bookmarkEnd w:id="191"/>
      <w:bookmarkEnd w:id="192"/>
      <w:bookmarkEnd w:id="193"/>
    </w:p>
    <w:p>
      <w:pPr>
        <w:spacing w:line="34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评标将在严格保密的情况下进行。</w:t>
      </w:r>
    </w:p>
    <w:p>
      <w:pPr>
        <w:spacing w:line="34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pPr>
        <w:spacing w:line="340" w:lineRule="exact"/>
        <w:ind w:left="1080" w:leftChars="257" w:hanging="540"/>
        <w:rPr>
          <w:rFonts w:hint="eastAsia" w:ascii="微软雅黑" w:hAnsi="微软雅黑" w:eastAsia="微软雅黑" w:cs="微软雅黑"/>
          <w:color w:val="auto"/>
          <w:sz w:val="24"/>
        </w:rPr>
      </w:pPr>
    </w:p>
    <w:p>
      <w:pPr>
        <w:pStyle w:val="4"/>
        <w:spacing w:before="0" w:line="340" w:lineRule="exact"/>
        <w:ind w:left="1080" w:leftChars="257" w:hanging="540"/>
        <w:rPr>
          <w:rFonts w:hint="eastAsia" w:ascii="微软雅黑" w:hAnsi="微软雅黑" w:eastAsia="微软雅黑" w:cs="微软雅黑"/>
          <w:color w:val="auto"/>
          <w:sz w:val="24"/>
        </w:rPr>
      </w:pPr>
      <w:bookmarkStart w:id="195" w:name="_Toc23904"/>
      <w:bookmarkStart w:id="196" w:name="_Toc216582810"/>
      <w:bookmarkStart w:id="197" w:name="_Toc16736"/>
      <w:bookmarkStart w:id="198" w:name="_Toc12143"/>
      <w:bookmarkStart w:id="199" w:name="_Toc515647787"/>
      <w:r>
        <w:rPr>
          <w:rFonts w:hint="eastAsia" w:ascii="微软雅黑" w:hAnsi="微软雅黑" w:eastAsia="微软雅黑" w:cs="微软雅黑"/>
          <w:color w:val="auto"/>
          <w:sz w:val="24"/>
        </w:rPr>
        <w:t xml:space="preserve">六   </w:t>
      </w:r>
      <w:bookmarkEnd w:id="194"/>
      <w:r>
        <w:rPr>
          <w:rFonts w:hint="eastAsia" w:ascii="微软雅黑" w:hAnsi="微软雅黑" w:eastAsia="微软雅黑" w:cs="微软雅黑"/>
          <w:color w:val="auto"/>
          <w:sz w:val="24"/>
        </w:rPr>
        <w:t>确定中标</w:t>
      </w:r>
      <w:bookmarkEnd w:id="195"/>
      <w:bookmarkEnd w:id="196"/>
      <w:bookmarkEnd w:id="197"/>
      <w:bookmarkEnd w:id="198"/>
      <w:bookmarkEnd w:id="199"/>
    </w:p>
    <w:p>
      <w:pPr>
        <w:pStyle w:val="8"/>
        <w:spacing w:line="340" w:lineRule="exact"/>
        <w:rPr>
          <w:rFonts w:hint="eastAsia" w:ascii="微软雅黑" w:hAnsi="微软雅黑" w:eastAsia="微软雅黑" w:cs="微软雅黑"/>
          <w:color w:val="auto"/>
        </w:rPr>
      </w:pPr>
    </w:p>
    <w:p>
      <w:pPr>
        <w:pStyle w:val="2"/>
        <w:spacing w:before="0" w:after="0" w:line="340" w:lineRule="exact"/>
        <w:rPr>
          <w:rFonts w:hint="eastAsia" w:ascii="微软雅黑" w:hAnsi="微软雅黑" w:eastAsia="微软雅黑" w:cs="微软雅黑"/>
          <w:color w:val="auto"/>
          <w:u w:val="none"/>
        </w:rPr>
      </w:pPr>
      <w:bookmarkStart w:id="200" w:name="_Toc26675"/>
      <w:bookmarkStart w:id="201" w:name="_Toc515647788"/>
      <w:bookmarkStart w:id="202" w:name="_Toc23762"/>
      <w:bookmarkStart w:id="203" w:name="_Toc23314"/>
      <w:bookmarkStart w:id="204" w:name="_Ref467307010"/>
      <w:bookmarkStart w:id="205" w:name="_Toc520356170"/>
      <w:bookmarkStart w:id="206" w:name="_Toc23617"/>
      <w:r>
        <w:rPr>
          <w:rFonts w:hint="eastAsia" w:ascii="微软雅黑" w:hAnsi="微软雅黑" w:eastAsia="微软雅黑" w:cs="微软雅黑"/>
          <w:color w:val="auto"/>
          <w:u w:val="none"/>
        </w:rPr>
        <w:t>26.中标候选人的确定原则及标准</w:t>
      </w:r>
      <w:bookmarkEnd w:id="200"/>
      <w:bookmarkEnd w:id="201"/>
      <w:bookmarkEnd w:id="202"/>
      <w:bookmarkEnd w:id="203"/>
      <w:bookmarkEnd w:id="204"/>
      <w:bookmarkEnd w:id="205"/>
      <w:bookmarkEnd w:id="206"/>
    </w:p>
    <w:p>
      <w:pPr>
        <w:spacing w:line="34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除第28条规定外，对实质上响应招标文件的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按下列方法进行排序，确定投标候选人：</w:t>
      </w:r>
    </w:p>
    <w:p>
      <w:pPr>
        <w:spacing w:line="340" w:lineRule="exact"/>
        <w:ind w:left="901"/>
        <w:rPr>
          <w:rFonts w:hint="eastAsia" w:ascii="微软雅黑" w:hAnsi="微软雅黑" w:eastAsia="微软雅黑" w:cs="微软雅黑"/>
          <w:color w:val="auto"/>
          <w:sz w:val="24"/>
        </w:rPr>
      </w:pPr>
      <w:bookmarkStart w:id="207" w:name="_Toc520356171"/>
      <w:bookmarkStart w:id="208" w:name="_Toc515647789"/>
      <w:r>
        <w:rPr>
          <w:rFonts w:hint="eastAsia" w:ascii="微软雅黑" w:hAnsi="微软雅黑" w:eastAsia="微软雅黑" w:cs="微软雅黑"/>
          <w:color w:val="auto"/>
          <w:sz w:val="24"/>
        </w:rPr>
        <w:t>（1）采用最低评标价法的，除了算术修正和落实政府采购政策需进行的价格扣除外，不对</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的投标价格进行任何调整。评标结果按修正和扣除后的投标报价由低到高顺序排列。报价相同的处理方式详见招标文件第6章。</w:t>
      </w:r>
    </w:p>
    <w:p>
      <w:pPr>
        <w:spacing w:line="340" w:lineRule="exac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（2）采用综合评分法的，评标结果按评审后得分由高到低顺序排列。得分相同的，按修正和扣除后的投标报价由低到高顺序排列。得分与投标报价均相同的处理方式详见招标文件第6章。</w:t>
      </w:r>
    </w:p>
    <w:p>
      <w:pPr>
        <w:pStyle w:val="24"/>
        <w:rPr>
          <w:rFonts w:hint="eastAsia"/>
          <w:highlight w:val="none"/>
        </w:rPr>
      </w:pPr>
      <w:r>
        <w:rPr>
          <w:rFonts w:hint="eastAsia" w:ascii="微软雅黑" w:hAnsi="微软雅黑" w:eastAsia="微软雅黑" w:cs="微软雅黑"/>
          <w:b/>
          <w:bCs/>
          <w:color w:val="auto"/>
          <w:sz w:val="24"/>
          <w:highlight w:val="none"/>
        </w:rPr>
        <w:t>本项目采用综合评分法，其中价格占2</w:t>
      </w:r>
      <w:r>
        <w:rPr>
          <w:rFonts w:hint="eastAsia" w:ascii="微软雅黑" w:hAnsi="微软雅黑" w:eastAsia="微软雅黑" w:cs="微软雅黑"/>
          <w:b/>
          <w:bCs/>
          <w:color w:val="auto"/>
          <w:sz w:val="24"/>
          <w:highlight w:val="none"/>
          <w:lang w:val="en-US"/>
        </w:rPr>
        <w:t>0</w:t>
      </w:r>
      <w:r>
        <w:rPr>
          <w:rFonts w:hint="eastAsia" w:ascii="微软雅黑" w:hAnsi="微软雅黑" w:eastAsia="微软雅黑" w:cs="微软雅黑"/>
          <w:b/>
          <w:bCs/>
          <w:color w:val="auto"/>
          <w:sz w:val="24"/>
          <w:highlight w:val="none"/>
        </w:rPr>
        <w:t>%，商务占</w:t>
      </w:r>
      <w:r>
        <w:rPr>
          <w:rFonts w:hint="eastAsia" w:ascii="微软雅黑" w:hAnsi="微软雅黑" w:eastAsia="微软雅黑" w:cs="微软雅黑"/>
          <w:b/>
          <w:bCs/>
          <w:color w:val="auto"/>
          <w:sz w:val="24"/>
          <w:highlight w:val="none"/>
          <w:lang w:val="en-US" w:eastAsia="zh-CN"/>
        </w:rPr>
        <w:t>10</w:t>
      </w:r>
      <w:r>
        <w:rPr>
          <w:rFonts w:hint="eastAsia" w:ascii="微软雅黑" w:hAnsi="微软雅黑" w:eastAsia="微软雅黑" w:cs="微软雅黑"/>
          <w:b/>
          <w:bCs/>
          <w:color w:val="auto"/>
          <w:sz w:val="24"/>
          <w:highlight w:val="none"/>
        </w:rPr>
        <w:t>%，技术占</w:t>
      </w:r>
      <w:r>
        <w:rPr>
          <w:rFonts w:hint="eastAsia" w:ascii="微软雅黑" w:hAnsi="微软雅黑" w:eastAsia="微软雅黑" w:cs="微软雅黑"/>
          <w:b/>
          <w:bCs/>
          <w:color w:val="auto"/>
          <w:sz w:val="24"/>
          <w:highlight w:val="none"/>
          <w:lang w:val="en-US" w:eastAsia="zh-CN"/>
        </w:rPr>
        <w:t>70</w:t>
      </w:r>
      <w:r>
        <w:rPr>
          <w:rFonts w:hint="eastAsia" w:ascii="微软雅黑" w:hAnsi="微软雅黑" w:eastAsia="微软雅黑" w:cs="微软雅黑"/>
          <w:b/>
          <w:bCs/>
          <w:color w:val="auto"/>
          <w:sz w:val="24"/>
          <w:highlight w:val="none"/>
        </w:rPr>
        <w:t>%。</w:t>
      </w:r>
    </w:p>
    <w:p>
      <w:pPr>
        <w:pStyle w:val="2"/>
        <w:tabs>
          <w:tab w:val="left" w:pos="900"/>
        </w:tabs>
        <w:spacing w:before="0" w:after="0" w:line="360" w:lineRule="exact"/>
        <w:rPr>
          <w:rFonts w:hint="eastAsia" w:ascii="微软雅黑" w:hAnsi="微软雅黑" w:eastAsia="微软雅黑" w:cs="微软雅黑"/>
          <w:color w:val="auto"/>
          <w:u w:val="none"/>
        </w:rPr>
      </w:pPr>
      <w:bookmarkStart w:id="209" w:name="_Toc18540"/>
      <w:bookmarkStart w:id="210" w:name="_Toc15306"/>
      <w:bookmarkStart w:id="211" w:name="_Toc9653"/>
      <w:bookmarkStart w:id="212" w:name="_Toc23951"/>
      <w:r>
        <w:rPr>
          <w:rFonts w:hint="eastAsia" w:ascii="微软雅黑" w:hAnsi="微软雅黑" w:eastAsia="微软雅黑" w:cs="微软雅黑"/>
          <w:color w:val="auto"/>
          <w:u w:val="none"/>
        </w:rPr>
        <w:t>27</w:t>
      </w:r>
      <w:bookmarkEnd w:id="207"/>
      <w:r>
        <w:rPr>
          <w:rFonts w:hint="eastAsia" w:ascii="微软雅黑" w:hAnsi="微软雅黑" w:eastAsia="微软雅黑" w:cs="微软雅黑"/>
          <w:color w:val="auto"/>
          <w:u w:val="none"/>
        </w:rPr>
        <w:t>.确定中标候选人和中标人</w:t>
      </w:r>
      <w:bookmarkEnd w:id="208"/>
      <w:bookmarkEnd w:id="209"/>
      <w:bookmarkEnd w:id="210"/>
      <w:bookmarkEnd w:id="211"/>
      <w:bookmarkEnd w:id="212"/>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评标委员会将根据评标标准，按</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须知资料表中</w:t>
      </w:r>
      <w:r>
        <w:rPr>
          <w:rFonts w:hint="eastAsia" w:ascii="微软雅黑" w:hAnsi="微软雅黑" w:eastAsia="微软雅黑" w:cs="微软雅黑"/>
          <w:color w:val="auto"/>
          <w:sz w:val="24"/>
        </w:rPr>
        <w:t>规定数量推荐中标候选人；或根据采购人的委托，直接确定中标人。</w:t>
      </w:r>
    </w:p>
    <w:p>
      <w:pPr>
        <w:pStyle w:val="2"/>
        <w:tabs>
          <w:tab w:val="left" w:pos="900"/>
        </w:tabs>
        <w:spacing w:before="0" w:after="0" w:line="360" w:lineRule="exact"/>
        <w:rPr>
          <w:rFonts w:hint="eastAsia" w:ascii="微软雅黑" w:hAnsi="微软雅黑" w:eastAsia="微软雅黑" w:cs="微软雅黑"/>
          <w:color w:val="auto"/>
          <w:u w:val="none"/>
        </w:rPr>
      </w:pPr>
      <w:bookmarkStart w:id="213" w:name="_Ref467306874"/>
      <w:bookmarkStart w:id="214" w:name="_Toc520356173"/>
      <w:bookmarkStart w:id="215" w:name="_Toc28562"/>
      <w:bookmarkStart w:id="216" w:name="_Toc9045"/>
      <w:bookmarkStart w:id="217" w:name="_Toc3113"/>
      <w:bookmarkStart w:id="218" w:name="_Toc8389"/>
      <w:bookmarkStart w:id="219" w:name="_Toc515647790"/>
      <w:r>
        <w:rPr>
          <w:rFonts w:hint="eastAsia" w:ascii="微软雅黑" w:hAnsi="微软雅黑" w:eastAsia="微软雅黑" w:cs="微软雅黑"/>
          <w:color w:val="auto"/>
          <w:u w:val="none"/>
        </w:rPr>
        <w:t>28.</w:t>
      </w:r>
      <w:bookmarkEnd w:id="213"/>
      <w:bookmarkEnd w:id="214"/>
      <w:r>
        <w:rPr>
          <w:rFonts w:hint="eastAsia" w:ascii="微软雅黑" w:hAnsi="微软雅黑" w:eastAsia="微软雅黑" w:cs="微软雅黑"/>
          <w:color w:val="auto"/>
          <w:u w:val="none"/>
        </w:rPr>
        <w:t>采购任务取消</w:t>
      </w:r>
      <w:bookmarkEnd w:id="215"/>
      <w:bookmarkEnd w:id="216"/>
      <w:bookmarkEnd w:id="217"/>
      <w:bookmarkEnd w:id="218"/>
      <w:bookmarkEnd w:id="219"/>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因重大变故采购任务取消时，采购人有权拒绝任何</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中标，且对受影响的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不承担任何责任。</w:t>
      </w:r>
      <w:bookmarkStart w:id="220" w:name="_Toc520356174"/>
    </w:p>
    <w:p>
      <w:pPr>
        <w:pStyle w:val="2"/>
        <w:spacing w:before="0" w:after="0" w:line="360" w:lineRule="exact"/>
        <w:rPr>
          <w:rFonts w:hint="eastAsia" w:ascii="微软雅黑" w:hAnsi="微软雅黑" w:eastAsia="微软雅黑" w:cs="微软雅黑"/>
          <w:color w:val="auto"/>
          <w:u w:val="none"/>
        </w:rPr>
      </w:pPr>
      <w:bookmarkStart w:id="221" w:name="_Toc30170"/>
      <w:bookmarkStart w:id="222" w:name="_Toc515647791"/>
      <w:bookmarkStart w:id="223" w:name="_Toc31099"/>
      <w:bookmarkStart w:id="224" w:name="_Toc4012"/>
      <w:bookmarkStart w:id="225" w:name="_Toc1928"/>
      <w:r>
        <w:rPr>
          <w:rFonts w:hint="eastAsia" w:ascii="微软雅黑" w:hAnsi="微软雅黑" w:eastAsia="微软雅黑" w:cs="微软雅黑"/>
          <w:color w:val="auto"/>
          <w:u w:val="none"/>
        </w:rPr>
        <w:t>29.中标通知书</w:t>
      </w:r>
      <w:bookmarkEnd w:id="220"/>
      <w:r>
        <w:rPr>
          <w:rFonts w:hint="eastAsia" w:ascii="微软雅黑" w:hAnsi="微软雅黑" w:eastAsia="微软雅黑" w:cs="微软雅黑"/>
          <w:color w:val="auto"/>
          <w:u w:val="none"/>
        </w:rPr>
        <w:t>和招标结果通知书</w:t>
      </w:r>
      <w:bookmarkEnd w:id="221"/>
      <w:bookmarkEnd w:id="222"/>
      <w:bookmarkEnd w:id="223"/>
      <w:bookmarkEnd w:id="224"/>
      <w:bookmarkEnd w:id="225"/>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在投标有效期内，中标人确定后，采购人或者采购代理机构发布中标公告，同时以书面形式向中标人发出中标通知书。</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中标通知书是合同的组成部分。</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29.3    招标结果通知书和中标通知书同时发出。招标结果通知书中将告知未通过资格审查的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未通过的原因；采用综合评分法评审的，还将告知未中标人本人的评审得分和排序。</w:t>
      </w:r>
    </w:p>
    <w:p>
      <w:pPr>
        <w:pStyle w:val="2"/>
        <w:spacing w:before="0" w:after="0" w:line="360" w:lineRule="exact"/>
        <w:rPr>
          <w:rFonts w:hint="eastAsia" w:ascii="微软雅黑" w:hAnsi="微软雅黑" w:eastAsia="微软雅黑" w:cs="微软雅黑"/>
          <w:color w:val="auto"/>
          <w:u w:val="none"/>
        </w:rPr>
      </w:pPr>
      <w:bookmarkStart w:id="226" w:name="_Ref467306978"/>
      <w:bookmarkStart w:id="227" w:name="_Toc1304"/>
      <w:bookmarkStart w:id="228" w:name="_Toc515647792"/>
      <w:bookmarkStart w:id="229" w:name="_Toc520356175"/>
      <w:bookmarkStart w:id="230" w:name="_Toc691"/>
      <w:bookmarkStart w:id="231" w:name="_Toc7779"/>
      <w:bookmarkStart w:id="232" w:name="_Toc790"/>
      <w:bookmarkStart w:id="233" w:name="_Ref467307204"/>
      <w:bookmarkStart w:id="234" w:name="_Ref467306377"/>
      <w:bookmarkStart w:id="235" w:name="_Ref467307062"/>
      <w:r>
        <w:rPr>
          <w:rFonts w:hint="eastAsia" w:ascii="微软雅黑" w:hAnsi="微软雅黑" w:eastAsia="微软雅黑" w:cs="微软雅黑"/>
          <w:color w:val="auto"/>
          <w:u w:val="none"/>
        </w:rPr>
        <w:t>30.签订合同</w:t>
      </w:r>
      <w:bookmarkEnd w:id="226"/>
      <w:bookmarkEnd w:id="227"/>
      <w:bookmarkEnd w:id="228"/>
      <w:bookmarkEnd w:id="229"/>
      <w:bookmarkEnd w:id="230"/>
      <w:bookmarkEnd w:id="231"/>
      <w:bookmarkEnd w:id="232"/>
      <w:bookmarkEnd w:id="233"/>
      <w:bookmarkEnd w:id="234"/>
      <w:bookmarkEnd w:id="235"/>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中标人应当自发出中标通知书之日起30日内，与采购人签订合同。</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236" w:name="_Ref467307090"/>
      <w:bookmarkStart w:id="237" w:name="_Ref467306425"/>
      <w:bookmarkStart w:id="238" w:name="_Toc520356176"/>
      <w:r>
        <w:rPr>
          <w:rFonts w:hint="eastAsia" w:ascii="微软雅黑" w:hAnsi="微软雅黑" w:eastAsia="微软雅黑" w:cs="微软雅黑"/>
          <w:color w:val="auto"/>
          <w:sz w:val="24"/>
        </w:rPr>
        <w:t>招标文件、中标人的投标文件及其澄清文件等，均为签订合同的依据。</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30.3   中标人拒绝与采购人签订合同的，采购人可以按照评审报告推荐的中标候选人名单排序，确定下一中标候选人为中标人，也可以重新开展政府采购活动。</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rPr>
        <w:t>中标无效或中标结果无效</w:t>
      </w:r>
      <w:r>
        <w:rPr>
          <w:rFonts w:hint="eastAsia" w:ascii="微软雅黑" w:hAnsi="微软雅黑" w:eastAsia="微软雅黑" w:cs="微软雅黑"/>
          <w:color w:val="auto"/>
          <w:sz w:val="24"/>
        </w:rPr>
        <w:t>情形时，采购人可与排名下一位的中标候选人另行签订合同，或依法重新开展采购活动。</w:t>
      </w:r>
    </w:p>
    <w:p>
      <w:pPr>
        <w:pStyle w:val="2"/>
        <w:spacing w:before="0" w:after="0" w:line="360" w:lineRule="exact"/>
        <w:rPr>
          <w:rFonts w:hint="eastAsia" w:ascii="微软雅黑" w:hAnsi="微软雅黑" w:eastAsia="微软雅黑" w:cs="微软雅黑"/>
          <w:color w:val="auto"/>
          <w:u w:val="none"/>
        </w:rPr>
      </w:pPr>
      <w:bookmarkStart w:id="239" w:name="_Toc22555"/>
      <w:bookmarkStart w:id="240" w:name="_Toc14080"/>
      <w:bookmarkStart w:id="241" w:name="_Toc13089"/>
      <w:bookmarkStart w:id="242" w:name="_Toc515647793"/>
      <w:bookmarkStart w:id="243" w:name="_Toc24223"/>
      <w:r>
        <w:rPr>
          <w:rFonts w:hint="eastAsia" w:ascii="微软雅黑" w:hAnsi="微软雅黑" w:eastAsia="微软雅黑" w:cs="微软雅黑"/>
          <w:color w:val="auto"/>
          <w:u w:val="none"/>
        </w:rPr>
        <w:t>31.履约保证金</w:t>
      </w:r>
      <w:bookmarkEnd w:id="236"/>
      <w:bookmarkEnd w:id="237"/>
      <w:bookmarkEnd w:id="238"/>
      <w:bookmarkEnd w:id="239"/>
      <w:bookmarkEnd w:id="240"/>
      <w:bookmarkEnd w:id="241"/>
      <w:bookmarkEnd w:id="242"/>
      <w:bookmarkEnd w:id="243"/>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中标人应按照</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规定向采购人缴纳履约保证金（如采用保函形式，格式见本章附件1）。</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政府采购利用担保试点范围内的项目，除31.1规定的情形外，中标人也可以按照财政部门的规定，向采购人提供合格的履约担保函（格式见本章附件2）。</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31.3   如果中标人没有按照上述履约保证金的规定执行，将视为放弃中标资格，中标人的投标保证金将不予退还。在此情况下，采购人可确定下一候选人为中标人，也可以重新开展采购活动。</w:t>
      </w:r>
    </w:p>
    <w:p>
      <w:pPr>
        <w:pStyle w:val="2"/>
        <w:spacing w:before="0" w:after="0" w:line="360" w:lineRule="exact"/>
        <w:rPr>
          <w:rFonts w:hint="eastAsia" w:ascii="微软雅黑" w:hAnsi="微软雅黑" w:eastAsia="微软雅黑" w:cs="微软雅黑"/>
          <w:color w:val="auto"/>
          <w:u w:val="none"/>
        </w:rPr>
      </w:pPr>
      <w:bookmarkStart w:id="244" w:name="_Toc29408"/>
      <w:bookmarkStart w:id="245" w:name="_Toc25287"/>
      <w:bookmarkStart w:id="246" w:name="_Toc515647794"/>
      <w:bookmarkStart w:id="247" w:name="_Toc1355"/>
      <w:bookmarkStart w:id="248" w:name="_Toc3090"/>
      <w:r>
        <w:rPr>
          <w:rFonts w:hint="eastAsia" w:ascii="微软雅黑" w:hAnsi="微软雅黑" w:eastAsia="微软雅黑" w:cs="微软雅黑"/>
          <w:color w:val="auto"/>
          <w:u w:val="none"/>
        </w:rPr>
        <w:t>32.中标服务费</w:t>
      </w:r>
      <w:bookmarkEnd w:id="244"/>
      <w:bookmarkEnd w:id="245"/>
      <w:bookmarkEnd w:id="246"/>
      <w:bookmarkEnd w:id="247"/>
      <w:bookmarkEnd w:id="248"/>
    </w:p>
    <w:p>
      <w:pPr>
        <w:spacing w:line="360" w:lineRule="exact"/>
        <w:ind w:left="840" w:leftChars="200" w:hanging="420" w:hangingChars="1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中标人须按照</w:t>
      </w:r>
      <w:r>
        <w:rPr>
          <w:rFonts w:hint="eastAsia" w:ascii="微软雅黑" w:hAnsi="微软雅黑" w:eastAsia="微软雅黑" w:cs="微软雅黑"/>
          <w:color w:val="auto"/>
          <w:sz w:val="24"/>
          <w:u w:val="single"/>
        </w:rPr>
        <w:t>投标须知资料表</w:t>
      </w:r>
      <w:r>
        <w:rPr>
          <w:rFonts w:hint="eastAsia" w:ascii="微软雅黑" w:hAnsi="微软雅黑" w:eastAsia="微软雅黑" w:cs="微软雅黑"/>
          <w:color w:val="auto"/>
          <w:sz w:val="24"/>
        </w:rPr>
        <w:t>规定，向采购代理机构支付中标服务费。</w:t>
      </w:r>
    </w:p>
    <w:p>
      <w:pPr>
        <w:pStyle w:val="2"/>
        <w:spacing w:before="0" w:after="0" w:line="360" w:lineRule="exact"/>
        <w:rPr>
          <w:rFonts w:hint="eastAsia" w:ascii="微软雅黑" w:hAnsi="微软雅黑" w:eastAsia="微软雅黑" w:cs="微软雅黑"/>
          <w:color w:val="auto"/>
          <w:u w:val="none"/>
        </w:rPr>
      </w:pPr>
      <w:bookmarkStart w:id="249" w:name="_Toc6923"/>
      <w:bookmarkStart w:id="250" w:name="_Toc7049"/>
      <w:bookmarkStart w:id="251" w:name="_Toc515647795"/>
      <w:bookmarkStart w:id="252" w:name="_Toc18608"/>
      <w:bookmarkStart w:id="253" w:name="_Toc10678"/>
      <w:r>
        <w:rPr>
          <w:rFonts w:hint="eastAsia" w:ascii="微软雅黑" w:hAnsi="微软雅黑" w:eastAsia="微软雅黑" w:cs="微软雅黑"/>
          <w:color w:val="auto"/>
          <w:u w:val="none"/>
        </w:rPr>
        <w:t>33.政府采购信用担保</w:t>
      </w:r>
      <w:bookmarkEnd w:id="249"/>
      <w:bookmarkEnd w:id="250"/>
      <w:bookmarkEnd w:id="251"/>
      <w:bookmarkEnd w:id="252"/>
      <w:bookmarkEnd w:id="253"/>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33.1   本项目是否属于信用担保试点范围见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pPr>
        <w:spacing w:line="36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   如属于政府采购信用担保试点范围内，中小型企业</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可以自由按照财政部门的规定，采用投标担保、履约担保和融资担保。</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33.2.1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递交的投标担保函和履约担保函应符合本招标文件的规定。</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33.2.2 中标人可以采取融资担保的形式为政府采购项目履约进行融资。</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33.2.3 合格的政府采购专业信用担保机构名单见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pPr>
        <w:pStyle w:val="2"/>
        <w:spacing w:before="0" w:after="0" w:line="360" w:lineRule="exact"/>
        <w:rPr>
          <w:rFonts w:hint="eastAsia" w:ascii="微软雅黑" w:hAnsi="微软雅黑" w:eastAsia="微软雅黑" w:cs="微软雅黑"/>
          <w:color w:val="auto"/>
          <w:u w:val="none"/>
        </w:rPr>
      </w:pPr>
      <w:bookmarkStart w:id="254" w:name="_Toc9412"/>
      <w:bookmarkStart w:id="255" w:name="_Toc515647796"/>
      <w:bookmarkStart w:id="256" w:name="_Toc2133"/>
      <w:bookmarkStart w:id="257" w:name="_Toc23999"/>
      <w:bookmarkStart w:id="258" w:name="_Toc18719"/>
      <w:r>
        <w:rPr>
          <w:rFonts w:hint="eastAsia" w:ascii="微软雅黑" w:hAnsi="微软雅黑" w:eastAsia="微软雅黑" w:cs="微软雅黑"/>
          <w:color w:val="auto"/>
          <w:u w:val="none"/>
        </w:rPr>
        <w:t>34.廉洁自律规定</w:t>
      </w:r>
      <w:bookmarkEnd w:id="254"/>
      <w:bookmarkEnd w:id="255"/>
      <w:bookmarkEnd w:id="256"/>
      <w:bookmarkEnd w:id="257"/>
      <w:bookmarkEnd w:id="258"/>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34.1   采购代理机构工作人员不得以不正当手段获取政府采购代理业务，不得与采购人、供应商恶意串通操纵政府采购活动。</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34.2   采购代理机构工作人员不得接受采购人或者供应商组织的宴请、旅游、娱乐，不得收受礼品、现金、有价证券等，不得向采购人或者供应商报销应当由个人承担的费用。</w:t>
      </w:r>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34.3   为强化采购代理机构内部监督机制，供应商可按</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须知资料表中的</w:t>
      </w:r>
      <w:r>
        <w:rPr>
          <w:rFonts w:hint="eastAsia" w:ascii="微软雅黑" w:hAnsi="微软雅黑" w:eastAsia="微软雅黑" w:cs="微软雅黑"/>
          <w:color w:val="auto"/>
          <w:sz w:val="24"/>
        </w:rPr>
        <w:t>监督电话和邮箱，反映采购代理机构的廉洁自律等问题。</w:t>
      </w:r>
    </w:p>
    <w:p>
      <w:pPr>
        <w:pStyle w:val="2"/>
        <w:spacing w:before="0" w:after="0" w:line="360" w:lineRule="exact"/>
        <w:rPr>
          <w:rFonts w:hint="eastAsia" w:ascii="微软雅黑" w:hAnsi="微软雅黑" w:eastAsia="微软雅黑" w:cs="微软雅黑"/>
          <w:color w:val="auto"/>
          <w:u w:val="none"/>
        </w:rPr>
      </w:pPr>
      <w:bookmarkStart w:id="259" w:name="_Toc25480"/>
      <w:bookmarkStart w:id="260" w:name="_Toc515647797"/>
      <w:bookmarkStart w:id="261" w:name="_Toc756"/>
      <w:bookmarkStart w:id="262" w:name="_Toc25071"/>
      <w:bookmarkStart w:id="263" w:name="_Toc11586"/>
      <w:r>
        <w:rPr>
          <w:rFonts w:hint="eastAsia" w:ascii="微软雅黑" w:hAnsi="微软雅黑" w:eastAsia="微软雅黑" w:cs="微软雅黑"/>
          <w:color w:val="auto"/>
          <w:u w:val="none"/>
        </w:rPr>
        <w:t>35.人员回避</w:t>
      </w:r>
      <w:bookmarkEnd w:id="259"/>
      <w:bookmarkEnd w:id="260"/>
      <w:bookmarkEnd w:id="261"/>
      <w:bookmarkEnd w:id="262"/>
      <w:bookmarkEnd w:id="263"/>
    </w:p>
    <w:p>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认为采购人员及其相关人员有法律法规所列与其他供应商有利害关系的，可以向采购人或采购代理机构书面提出回避申请，并说明理由。</w:t>
      </w:r>
    </w:p>
    <w:p>
      <w:pPr>
        <w:pStyle w:val="2"/>
        <w:spacing w:before="0" w:after="0" w:line="360" w:lineRule="exact"/>
        <w:rPr>
          <w:rFonts w:hint="eastAsia" w:ascii="微软雅黑" w:hAnsi="微软雅黑" w:eastAsia="微软雅黑" w:cs="微软雅黑"/>
          <w:color w:val="auto"/>
          <w:u w:val="none"/>
        </w:rPr>
      </w:pPr>
      <w:bookmarkStart w:id="264" w:name="_Toc10666"/>
      <w:bookmarkStart w:id="265" w:name="_Toc28470"/>
      <w:bookmarkStart w:id="266" w:name="_Toc1148"/>
      <w:bookmarkStart w:id="267" w:name="_Toc11115"/>
      <w:bookmarkStart w:id="268" w:name="_Toc515647798"/>
      <w:r>
        <w:rPr>
          <w:rFonts w:hint="eastAsia" w:ascii="微软雅黑" w:hAnsi="微软雅黑" w:eastAsia="微软雅黑" w:cs="微软雅黑"/>
          <w:color w:val="auto"/>
          <w:u w:val="none"/>
        </w:rPr>
        <w:t>36.质疑与接收</w:t>
      </w:r>
      <w:bookmarkEnd w:id="264"/>
      <w:bookmarkEnd w:id="265"/>
      <w:bookmarkEnd w:id="266"/>
      <w:bookmarkEnd w:id="267"/>
      <w:bookmarkEnd w:id="268"/>
    </w:p>
    <w:p>
      <w:pPr>
        <w:shd w:val="clear" w:color="auto" w:fill="auto"/>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91"/>
        <w:shd w:val="clear" w:color="auto" w:fill="auto"/>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91"/>
        <w:shd w:val="clear" w:color="auto" w:fill="auto"/>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hd w:val="clear" w:color="auto" w:fill="auto"/>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hd w:val="clear" w:color="auto" w:fill="auto"/>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采购代理机构质疑函接收部门、联系电话和通讯地址, 见</w:t>
      </w:r>
      <w:r>
        <w:rPr>
          <w:rFonts w:hint="eastAsia" w:ascii="微软雅黑" w:hAnsi="微软雅黑" w:eastAsia="微软雅黑" w:cs="微软雅黑"/>
          <w:color w:val="auto"/>
          <w:sz w:val="24"/>
          <w:highlight w:val="none"/>
          <w:u w:val="single"/>
        </w:rPr>
        <w:t>供应商须知资料表。</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shd w:val="clear" w:color="auto" w:fill="auto"/>
        <w:spacing w:line="360" w:lineRule="exact"/>
        <w:ind w:left="718" w:leftChars="342" w:firstLine="0" w:firstLineChars="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（三）对中标结果提出质疑的，为中标结果公告期限届满之日。</w:t>
      </w:r>
    </w:p>
    <w:p>
      <w:pPr>
        <w:shd w:val="clear" w:color="auto" w:fill="auto"/>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   供应商有权提出一次质疑，不能多次提出。</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36.10  提出质疑应当符合下列条件：</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pPr>
        <w:shd w:val="clear" w:color="auto" w:fill="auto"/>
        <w:spacing w:line="360" w:lineRule="exact"/>
        <w:ind w:left="718" w:leftChars="342" w:firstLine="0" w:firstLineChars="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36.12  质疑人所提供的证明材料应当具有真实性、合法性以及与质疑事项的关联性和证明力，否则不能作为认定该质疑事项成立的依据。</w:t>
      </w:r>
    </w:p>
    <w:p>
      <w:pPr>
        <w:shd w:val="clear" w:color="auto" w:fill="auto"/>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36.13 质疑人提出质疑时应当提交质疑函。质疑函包括下列内容：</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pPr>
        <w:shd w:val="clear" w:color="auto" w:fill="auto"/>
        <w:spacing w:line="360" w:lineRule="exact"/>
        <w:ind w:left="718" w:leftChars="342" w:firstLine="0" w:firstLineChars="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36.14  质疑人可以委托代理人进行质疑。代理人应当提交授权委托书。授权委托书应当载明委托代理的具体权限、期限和相关事项。</w:t>
      </w:r>
    </w:p>
    <w:p>
      <w:pPr>
        <w:shd w:val="clear" w:color="auto" w:fill="auto"/>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36.15  质疑的审查和受理</w:t>
      </w:r>
    </w:p>
    <w:p>
      <w:pPr>
        <w:shd w:val="clear" w:color="auto" w:fill="auto"/>
        <w:spacing w:line="360" w:lineRule="exact"/>
        <w:ind w:left="718" w:leftChars="342" w:firstLine="0" w:firstLineChars="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pPr>
        <w:shd w:val="clear" w:color="auto" w:fill="auto"/>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36.16  对不符合质疑受理条件的，分别按照下列不同情形予以处理：</w:t>
      </w:r>
    </w:p>
    <w:p>
      <w:pPr>
        <w:shd w:val="clear" w:color="auto" w:fill="auto"/>
        <w:spacing w:line="360" w:lineRule="exact"/>
        <w:ind w:left="718" w:leftChars="342" w:firstLine="0" w:firstLineChars="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pPr>
        <w:shd w:val="clear" w:color="auto" w:fill="auto"/>
        <w:spacing w:line="360" w:lineRule="exact"/>
        <w:ind w:left="718" w:leftChars="342" w:firstLine="0" w:firstLineChars="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pPr>
        <w:shd w:val="clear" w:color="auto" w:fill="auto"/>
        <w:spacing w:line="360" w:lineRule="exact"/>
        <w:ind w:left="718" w:leftChars="342" w:firstLine="0" w:firstLineChars="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pPr>
        <w:shd w:val="clear" w:color="auto" w:fill="auto"/>
        <w:spacing w:line="360" w:lineRule="exact"/>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pPr>
        <w:shd w:val="clear" w:color="auto" w:fill="auto"/>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36.17  质疑的处理和答复</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36.18  采购方受理质疑后，将及时把质疑函发送给被质疑人，并要求其在一定限期内提交书面答复，同时提供有关证据、依据和相关材料。</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36.19  对于质疑事项中涉及的问题较多、情况比较复杂的，为了全面查清事实、取得充分的证据，采购方认为有必要时，可以进行调查取证或者组织质证。</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36.20  对评审过程、中标结果提出质疑的，采购方可以组织原评审委员会协助答复质疑。</w:t>
      </w:r>
    </w:p>
    <w:p>
      <w:pPr>
        <w:shd w:val="clear" w:color="auto" w:fill="auto"/>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36.21  质疑处理过程中，质疑人书面申请撤回质疑的，将终止质疑处理程序。</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jc w:val="lef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highlight w:val="none"/>
        </w:rPr>
        <w:t xml:space="preserve">36.24  采购方将在正式受理质疑后7个工作日内作出答复。 </w:t>
      </w:r>
    </w:p>
    <w:p>
      <w:pPr>
        <w:pStyle w:val="91"/>
        <w:shd w:val="clear" w:color="auto" w:fill="auto"/>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36.25 质疑答复应当包括下列内容：</w:t>
      </w:r>
    </w:p>
    <w:p>
      <w:pPr>
        <w:pStyle w:val="91"/>
        <w:shd w:val="clear" w:color="auto" w:fill="auto"/>
        <w:spacing w:line="36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pPr>
        <w:pStyle w:val="91"/>
        <w:shd w:val="clear" w:color="auto" w:fill="auto"/>
        <w:spacing w:line="36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pPr>
        <w:pStyle w:val="91"/>
        <w:shd w:val="clear" w:color="auto" w:fill="auto"/>
        <w:spacing w:line="36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pPr>
        <w:pStyle w:val="91"/>
        <w:shd w:val="clear" w:color="auto" w:fill="auto"/>
        <w:spacing w:line="36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pPr>
        <w:pStyle w:val="91"/>
        <w:shd w:val="clear" w:color="auto" w:fill="auto"/>
        <w:spacing w:line="36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pPr>
        <w:pStyle w:val="91"/>
        <w:shd w:val="clear" w:color="auto" w:fill="auto"/>
        <w:spacing w:line="360" w:lineRule="exact"/>
        <w:ind w:firstLine="480" w:firstLineChars="2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（六）答复质疑的日期。</w:t>
      </w:r>
    </w:p>
    <w:p>
      <w:pPr>
        <w:shd w:val="clear" w:color="auto" w:fill="auto"/>
        <w:spacing w:line="360" w:lineRule="exact"/>
        <w:jc w:val="center"/>
        <w:outlineLvl w:val="2"/>
        <w:rPr>
          <w:rFonts w:hint="eastAsia" w:ascii="微软雅黑" w:hAnsi="微软雅黑" w:eastAsia="微软雅黑" w:cs="微软雅黑"/>
          <w:b/>
          <w:bCs/>
          <w:color w:val="auto"/>
          <w:sz w:val="24"/>
          <w:highlight w:val="none"/>
        </w:rPr>
      </w:pPr>
      <w:bookmarkStart w:id="269" w:name="_Toc8353"/>
      <w:bookmarkStart w:id="270" w:name="_Toc14412"/>
      <w:bookmarkStart w:id="271" w:name="_Toc13698"/>
      <w:bookmarkStart w:id="272" w:name="_Toc29320"/>
      <w:bookmarkStart w:id="273" w:name="_Toc32049"/>
      <w:bookmarkStart w:id="274" w:name="_Toc14960"/>
      <w:bookmarkStart w:id="275" w:name="_Toc11297"/>
      <w:bookmarkStart w:id="276" w:name="_Toc30093"/>
      <w:bookmarkStart w:id="277" w:name="_Toc30558"/>
      <w:bookmarkStart w:id="278" w:name="_Toc12088"/>
      <w:bookmarkStart w:id="279" w:name="_Toc14893"/>
      <w:bookmarkStart w:id="280" w:name="_Toc25636"/>
      <w:bookmarkStart w:id="281" w:name="_Toc27601"/>
      <w:bookmarkStart w:id="282" w:name="_Toc23411"/>
      <w:bookmarkStart w:id="283" w:name="_Toc9437"/>
      <w:bookmarkStart w:id="284" w:name="_Toc12693"/>
      <w:bookmarkStart w:id="285" w:name="_Toc16553"/>
      <w:r>
        <w:rPr>
          <w:rFonts w:hint="eastAsia" w:ascii="微软雅黑" w:hAnsi="微软雅黑" w:eastAsia="微软雅黑" w:cs="微软雅黑"/>
          <w:b/>
          <w:bCs/>
          <w:color w:val="auto"/>
          <w:sz w:val="24"/>
          <w:highlight w:val="none"/>
        </w:rPr>
        <w:t>质疑函范本</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shd w:val="clear" w:color="auto" w:fill="auto"/>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shd w:val="clear" w:color="auto" w:fill="auto"/>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采购文件获取日期：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shd w:val="clear" w:color="auto" w:fill="auto"/>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u w:val="single"/>
        </w:rPr>
        <w:t xml:space="preserve">                                                       </w:t>
      </w:r>
    </w:p>
    <w:p>
      <w:pPr>
        <w:pStyle w:val="33"/>
        <w:shd w:val="clear" w:color="auto" w:fill="auto"/>
        <w:rPr>
          <w:rFonts w:hint="eastAsia" w:ascii="微软雅黑" w:hAnsi="微软雅黑" w:eastAsia="微软雅黑" w:cs="微软雅黑"/>
          <w:color w:val="auto"/>
          <w:highlight w:val="none"/>
        </w:rPr>
      </w:pP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u w:val="single"/>
        </w:rPr>
        <w:t xml:space="preserve">                                                    </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pPr>
        <w:shd w:val="clear" w:color="auto" w:fill="auto"/>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pPr>
        <w:shd w:val="clear" w:color="auto" w:fill="auto"/>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pPr>
        <w:shd w:val="clear" w:color="auto" w:fill="auto"/>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single"/>
        </w:rPr>
        <w:t xml:space="preserve">                                               </w:t>
      </w:r>
    </w:p>
    <w:p>
      <w:pPr>
        <w:shd w:val="clear" w:color="auto" w:fill="auto"/>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pPr>
        <w:shd w:val="clear" w:color="auto" w:fill="auto"/>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pPr>
        <w:shd w:val="clear" w:color="auto" w:fill="auto"/>
        <w:spacing w:line="360" w:lineRule="exact"/>
        <w:rPr>
          <w:rFonts w:hint="eastAsia" w:ascii="微软雅黑" w:hAnsi="微软雅黑" w:eastAsia="微软雅黑" w:cs="微软雅黑"/>
          <w:b/>
          <w:color w:val="auto"/>
          <w:sz w:val="24"/>
          <w:highlight w:val="none"/>
        </w:rPr>
      </w:pPr>
    </w:p>
    <w:p>
      <w:pPr>
        <w:shd w:val="clear" w:color="auto" w:fill="auto"/>
        <w:spacing w:line="36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pPr>
        <w:widowControl/>
        <w:shd w:val="clear" w:color="auto" w:fill="auto"/>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pPr>
        <w:widowControl/>
        <w:shd w:val="clear" w:color="auto" w:fill="auto"/>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pPr>
        <w:widowControl/>
        <w:shd w:val="clear" w:color="auto" w:fill="auto"/>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pPr>
        <w:widowControl/>
        <w:shd w:val="clear" w:color="auto" w:fill="auto"/>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pPr>
        <w:widowControl/>
        <w:shd w:val="clear" w:color="auto" w:fill="auto"/>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pPr>
        <w:pStyle w:val="8"/>
        <w:rPr>
          <w:rFonts w:hint="eastAsia" w:ascii="微软雅黑" w:hAnsi="微软雅黑" w:eastAsia="微软雅黑" w:cs="微软雅黑"/>
          <w:color w:val="auto"/>
        </w:r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rPr>
          <w:rFonts w:hint="eastAsia" w:ascii="微软雅黑" w:hAnsi="微软雅黑" w:eastAsia="微软雅黑" w:cs="微软雅黑"/>
          <w:color w:val="auto"/>
        </w:rPr>
      </w:pPr>
    </w:p>
    <w:p>
      <w:pPr>
        <w:pStyle w:val="8"/>
        <w:ind w:left="0" w:leftChars="0" w:firstLine="0" w:firstLineChars="0"/>
        <w:rPr>
          <w:rFonts w:hint="eastAsia" w:ascii="微软雅黑" w:hAnsi="微软雅黑" w:eastAsia="微软雅黑" w:cs="微软雅黑"/>
          <w:color w:val="auto"/>
        </w:rPr>
      </w:pPr>
    </w:p>
    <w:p>
      <w:pPr>
        <w:pStyle w:val="3"/>
        <w:keepNext/>
        <w:keepLines/>
        <w:pageBreakBefore w:val="0"/>
        <w:widowControl w:val="0"/>
        <w:numPr>
          <w:ilvl w:val="0"/>
          <w:numId w:val="0"/>
        </w:numPr>
        <w:kinsoku/>
        <w:wordWrap/>
        <w:overflowPunct/>
        <w:topLinePunct w:val="0"/>
        <w:autoSpaceDE w:val="0"/>
        <w:autoSpaceDN w:val="0"/>
        <w:bidi w:val="0"/>
        <w:adjustRightInd w:val="0"/>
        <w:snapToGrid/>
        <w:spacing w:before="0" w:after="0" w:line="360" w:lineRule="exact"/>
        <w:ind w:leftChars="0"/>
        <w:jc w:val="center"/>
        <w:textAlignment w:val="auto"/>
        <w:rPr>
          <w:rFonts w:hint="eastAsia" w:ascii="微软雅黑" w:hAnsi="微软雅黑" w:eastAsia="微软雅黑" w:cs="微软雅黑"/>
          <w:color w:val="auto"/>
        </w:rPr>
      </w:pPr>
      <w:bookmarkStart w:id="286" w:name="_Toc515647802"/>
      <w:bookmarkStart w:id="287" w:name="_Toc702"/>
      <w:bookmarkStart w:id="288" w:name="_Toc728"/>
      <w:bookmarkStart w:id="289" w:name="_Toc216582812"/>
      <w:r>
        <w:rPr>
          <w:rFonts w:hint="eastAsia" w:ascii="微软雅黑" w:hAnsi="微软雅黑" w:eastAsia="微软雅黑" w:cs="微软雅黑"/>
          <w:color w:val="auto"/>
        </w:rPr>
        <w:br w:type="page"/>
      </w:r>
      <w:bookmarkStart w:id="290" w:name="_Toc27021"/>
      <w:r>
        <w:rPr>
          <w:rFonts w:hint="eastAsia" w:ascii="微软雅黑" w:hAnsi="微软雅黑" w:eastAsia="微软雅黑" w:cs="微软雅黑"/>
          <w:color w:val="auto"/>
          <w:lang w:eastAsia="zh-CN"/>
        </w:rPr>
        <w:t>第</w:t>
      </w: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lang w:eastAsia="zh-CN"/>
        </w:rPr>
        <w:t>章</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投标文件格式</w:t>
      </w:r>
      <w:bookmarkEnd w:id="286"/>
      <w:bookmarkEnd w:id="287"/>
      <w:bookmarkEnd w:id="288"/>
      <w:bookmarkEnd w:id="289"/>
      <w:bookmarkEnd w:id="290"/>
    </w:p>
    <w:p>
      <w:pPr>
        <w:spacing w:line="360" w:lineRule="exact"/>
        <w:ind w:left="735" w:leftChars="350" w:firstLine="120" w:firstLineChars="50"/>
        <w:rPr>
          <w:rFonts w:hint="eastAsia" w:ascii="微软雅黑" w:hAnsi="微软雅黑" w:eastAsia="微软雅黑" w:cs="微软雅黑"/>
          <w:color w:val="auto"/>
          <w:sz w:val="24"/>
        </w:rPr>
      </w:pPr>
    </w:p>
    <w:p>
      <w:pPr>
        <w:pStyle w:val="4"/>
        <w:spacing w:before="0" w:line="360" w:lineRule="exact"/>
        <w:ind w:left="1080" w:leftChars="257" w:hanging="540"/>
        <w:rPr>
          <w:rFonts w:hint="eastAsia" w:ascii="微软雅黑" w:hAnsi="微软雅黑" w:eastAsia="微软雅黑" w:cs="微软雅黑"/>
          <w:color w:val="auto"/>
          <w:sz w:val="24"/>
        </w:rPr>
      </w:pPr>
      <w:bookmarkStart w:id="291" w:name="_Toc18974"/>
      <w:bookmarkStart w:id="292" w:name="_Toc515647803"/>
      <w:bookmarkStart w:id="293" w:name="_Toc6538"/>
      <w:bookmarkStart w:id="294" w:name="_Toc24252"/>
      <w:bookmarkStart w:id="295" w:name="_Toc18694"/>
      <w:r>
        <w:rPr>
          <w:rFonts w:hint="eastAsia" w:ascii="微软雅黑" w:hAnsi="微软雅黑" w:eastAsia="微软雅黑" w:cs="微软雅黑"/>
          <w:color w:val="auto"/>
          <w:sz w:val="24"/>
        </w:rPr>
        <w:t>第一部分 开标一览表及资格证明文件</w:t>
      </w:r>
      <w:bookmarkEnd w:id="291"/>
      <w:bookmarkEnd w:id="292"/>
      <w:bookmarkEnd w:id="293"/>
      <w:bookmarkEnd w:id="294"/>
      <w:bookmarkEnd w:id="295"/>
    </w:p>
    <w:p>
      <w:pPr>
        <w:spacing w:line="360" w:lineRule="exact"/>
        <w:ind w:left="708" w:hanging="708" w:hangingChars="295"/>
        <w:jc w:val="center"/>
        <w:rPr>
          <w:rFonts w:hint="eastAsia" w:ascii="微软雅黑" w:hAnsi="微软雅黑" w:eastAsia="微软雅黑" w:cs="微软雅黑"/>
          <w:color w:val="auto"/>
          <w:sz w:val="24"/>
        </w:rPr>
      </w:pPr>
    </w:p>
    <w:p>
      <w:pPr>
        <w:tabs>
          <w:tab w:val="left" w:pos="5580"/>
        </w:tabs>
        <w:spacing w:line="360" w:lineRule="exact"/>
        <w:ind w:left="1" w:firstLine="564" w:firstLineChars="23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w:t>
      </w:r>
      <w:r>
        <w:rPr>
          <w:rFonts w:hint="eastAsia" w:ascii="微软雅黑" w:hAnsi="微软雅黑" w:eastAsia="微软雅黑" w:cs="微软雅黑"/>
          <w:color w:val="auto"/>
          <w:sz w:val="24"/>
        </w:rPr>
        <w:t>开标一览表;</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2、具有有效的独立法人营业执照；</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3、法人代表资格证明书及授权书、被授权人身份证(法人投标需提供法人身份证及法人代表资格证明书)；</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4、依法缴纳近6个月内任意1个月的社会保险的凭据；</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5、税务部门出具的近6个月内任意1个月的完税证明；</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6、提供健全的财务制度；</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8、参加政府采购活动前3年内未被列入失信、重大税收违法案件、财政部门禁止参加政府采购活动的承诺书；</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9、提供针对本次项目《反商业贿赂承诺书》；</w:t>
      </w:r>
    </w:p>
    <w:p>
      <w:pPr>
        <w:pStyle w:val="11"/>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10、银行开户许可证复印件或银行基本账户信息(包含：银行账号及开户行名称）；</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11、投标保证金银行转账回执单。</w:t>
      </w:r>
    </w:p>
    <w:p>
      <w:pPr>
        <w:tabs>
          <w:tab w:val="left" w:pos="5580"/>
        </w:tabs>
        <w:spacing w:line="360" w:lineRule="exac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12、提供有利于投标的其他证明材料；</w:t>
      </w:r>
    </w:p>
    <w:p>
      <w:pPr>
        <w:widowControl/>
        <w:snapToGrid w:val="0"/>
        <w:spacing w:line="360" w:lineRule="exact"/>
        <w:jc w:val="left"/>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各供应商应注意以下事项：</w:t>
      </w:r>
    </w:p>
    <w:p>
      <w:pPr>
        <w:widowControl/>
        <w:snapToGrid w:val="0"/>
        <w:spacing w:line="360" w:lineRule="exact"/>
        <w:ind w:firstLine="880" w:firstLineChars="400"/>
        <w:jc w:val="left"/>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 xml:space="preserve">A：本项目要求各投标供应商“提供税务部门出具的近6个月内任意1个月的完税证明；”，若供应商某月税收为零申报，须提供加盖税务局公章的无欠税证明或申报成功网页截图（供应商可自主登录“国家税务总局电子税务局”12366.chinatax.gov.cn/bsfw/onlinetaxation/main——税费申报及缴纳——申报结果查询）。 </w:t>
      </w:r>
    </w:p>
    <w:p>
      <w:pPr>
        <w:widowControl/>
        <w:snapToGrid w:val="0"/>
        <w:spacing w:line="360" w:lineRule="exact"/>
        <w:ind w:firstLine="880" w:firstLineChars="4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b/>
          <w:bCs/>
          <w:color w:val="auto"/>
          <w:kern w:val="2"/>
          <w:sz w:val="22"/>
          <w:szCs w:val="22"/>
          <w:highlight w:val="none"/>
          <w:lang w:val="en-US" w:eastAsia="zh-CN" w:bidi="ar-SA"/>
        </w:rPr>
        <w:t>B：税务局代收的社保缴费证明不可作为本项目的完税证明（“税种”不可为养老保险、医疗保险、失业保险、工伤保险和生育保险）。</w:t>
      </w:r>
    </w:p>
    <w:p>
      <w:pPr>
        <w:pStyle w:val="4"/>
        <w:spacing w:before="0" w:line="240" w:lineRule="atLeast"/>
        <w:ind w:left="1080" w:leftChars="257" w:hanging="540"/>
        <w:rPr>
          <w:rFonts w:hint="eastAsia" w:ascii="微软雅黑" w:hAnsi="微软雅黑" w:eastAsia="微软雅黑" w:cs="微软雅黑"/>
          <w:color w:val="auto"/>
          <w:sz w:val="24"/>
        </w:rPr>
      </w:pPr>
      <w:bookmarkStart w:id="296" w:name="_Toc6382"/>
      <w:bookmarkStart w:id="297" w:name="_Toc15957"/>
      <w:bookmarkStart w:id="298" w:name="_Toc515647804"/>
      <w:bookmarkStart w:id="299" w:name="_Toc30524"/>
      <w:bookmarkStart w:id="300" w:name="_Toc16568"/>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开标一览表</w:t>
      </w:r>
      <w:bookmarkEnd w:id="296"/>
      <w:bookmarkEnd w:id="297"/>
      <w:bookmarkEnd w:id="298"/>
      <w:bookmarkEnd w:id="299"/>
      <w:bookmarkEnd w:id="300"/>
    </w:p>
    <w:p>
      <w:pPr>
        <w:pStyle w:val="15"/>
        <w:tabs>
          <w:tab w:val="left" w:pos="5580"/>
        </w:tabs>
        <w:spacing w:line="240" w:lineRule="atLeast"/>
        <w:rPr>
          <w:rFonts w:hint="eastAsia" w:ascii="微软雅黑" w:hAnsi="微软雅黑" w:eastAsia="微软雅黑" w:cs="微软雅黑"/>
          <w:color w:val="auto"/>
          <w:sz w:val="24"/>
          <w:szCs w:val="24"/>
        </w:rPr>
      </w:pPr>
    </w:p>
    <w:p>
      <w:pPr>
        <w:pStyle w:val="8"/>
        <w:tabs>
          <w:tab w:val="left" w:pos="5580"/>
        </w:tabs>
        <w:spacing w:line="240" w:lineRule="atLeast"/>
        <w:ind w:left="1080" w:leftChars="257" w:hanging="540"/>
        <w:jc w:val="center"/>
        <w:rPr>
          <w:rFonts w:hint="eastAsia" w:ascii="微软雅黑" w:hAnsi="微软雅黑" w:eastAsia="微软雅黑" w:cs="微软雅黑"/>
          <w:color w:val="auto"/>
        </w:rPr>
      </w:pPr>
      <w:bookmarkStart w:id="301" w:name="_Hlt520356241"/>
      <w:bookmarkEnd w:id="301"/>
      <w:bookmarkStart w:id="302" w:name="_Toc494296984"/>
      <w:bookmarkStart w:id="303" w:name="_Toc480942349"/>
      <w:bookmarkStart w:id="304" w:name="_Toc520356217"/>
      <w:bookmarkStart w:id="305" w:name="_Toc216582813"/>
      <w:bookmarkStart w:id="306" w:name="_Ref467988698"/>
      <w:r>
        <w:rPr>
          <w:rFonts w:hint="eastAsia" w:ascii="微软雅黑" w:hAnsi="微软雅黑" w:eastAsia="微软雅黑" w:cs="微软雅黑"/>
          <w:b/>
          <w:color w:val="auto"/>
        </w:rPr>
        <w:t>开标一览表</w:t>
      </w:r>
      <w:bookmarkEnd w:id="302"/>
    </w:p>
    <w:p>
      <w:pPr>
        <w:tabs>
          <w:tab w:val="left" w:pos="1800"/>
          <w:tab w:val="left" w:pos="5580"/>
        </w:tabs>
        <w:spacing w:line="240" w:lineRule="atLeast"/>
        <w:ind w:left="1080" w:leftChars="257" w:right="-867" w:rightChars="-413"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eastAsia="zh-CN"/>
        </w:rPr>
        <w:t>项目编号</w:t>
      </w:r>
      <w:r>
        <w:rPr>
          <w:rFonts w:hint="eastAsia" w:ascii="微软雅黑" w:hAnsi="微软雅黑" w:eastAsia="微软雅黑" w:cs="微软雅黑"/>
          <w:color w:val="auto"/>
          <w:sz w:val="24"/>
        </w:rPr>
        <w:t xml:space="preserve">：                </w:t>
      </w:r>
    </w:p>
    <w:p>
      <w:pPr>
        <w:tabs>
          <w:tab w:val="left" w:pos="1800"/>
          <w:tab w:val="left" w:pos="5580"/>
        </w:tabs>
        <w:spacing w:line="240" w:lineRule="atLeast"/>
        <w:ind w:left="1080" w:leftChars="257" w:right="-867" w:rightChars="-413"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tbl>
      <w:tblPr>
        <w:tblStyle w:val="34"/>
        <w:tblW w:w="10137" w:type="dxa"/>
        <w:tblInd w:w="-1051" w:type="dxa"/>
        <w:tblLayout w:type="fixed"/>
        <w:tblCellMar>
          <w:top w:w="0" w:type="dxa"/>
          <w:left w:w="0" w:type="dxa"/>
          <w:bottom w:w="0" w:type="dxa"/>
          <w:right w:w="0" w:type="dxa"/>
        </w:tblCellMar>
      </w:tblPr>
      <w:tblGrid>
        <w:gridCol w:w="1866"/>
        <w:gridCol w:w="2247"/>
        <w:gridCol w:w="1866"/>
        <w:gridCol w:w="1542"/>
        <w:gridCol w:w="1498"/>
        <w:gridCol w:w="1118"/>
      </w:tblGrid>
      <w:tr>
        <w:tblPrEx>
          <w:tblCellMar>
            <w:top w:w="0" w:type="dxa"/>
            <w:left w:w="0" w:type="dxa"/>
            <w:bottom w:w="0" w:type="dxa"/>
            <w:right w:w="0" w:type="dxa"/>
          </w:tblCellMar>
        </w:tblPrEx>
        <w:trPr>
          <w:trHeight w:val="847" w:hRule="atLeast"/>
        </w:trPr>
        <w:tc>
          <w:tcPr>
            <w:tcW w:w="1866"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投标</w:t>
            </w:r>
            <w:r>
              <w:rPr>
                <w:rFonts w:hint="eastAsia" w:ascii="微软雅黑" w:hAnsi="微软雅黑" w:eastAsia="微软雅黑" w:cs="微软雅黑"/>
                <w:color w:val="auto"/>
                <w:sz w:val="24"/>
              </w:rPr>
              <w:t>总价</w:t>
            </w:r>
          </w:p>
        </w:tc>
        <w:tc>
          <w:tcPr>
            <w:tcW w:w="186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投标</w:t>
            </w:r>
            <w:r>
              <w:rPr>
                <w:rFonts w:hint="eastAsia" w:ascii="微软雅黑" w:hAnsi="微软雅黑" w:eastAsia="微软雅黑" w:cs="微软雅黑"/>
                <w:color w:val="auto"/>
                <w:sz w:val="24"/>
              </w:rPr>
              <w:t>保证金</w:t>
            </w:r>
          </w:p>
        </w:tc>
        <w:tc>
          <w:tcPr>
            <w:tcW w:w="1542"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服务期</w:t>
            </w:r>
          </w:p>
        </w:tc>
        <w:tc>
          <w:tcPr>
            <w:tcW w:w="149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default" w:ascii="微软雅黑" w:hAnsi="微软雅黑" w:eastAsia="微软雅黑" w:cs="微软雅黑"/>
                <w:color w:val="auto"/>
                <w:sz w:val="24"/>
                <w:lang w:val="en-US"/>
              </w:rPr>
            </w:pPr>
            <w:r>
              <w:rPr>
                <w:rFonts w:hint="eastAsia" w:ascii="微软雅黑" w:hAnsi="微软雅黑" w:eastAsia="微软雅黑" w:cs="微软雅黑"/>
                <w:color w:val="auto"/>
                <w:sz w:val="24"/>
                <w:lang w:val="en-US" w:eastAsia="zh-CN"/>
              </w:rPr>
              <w:t>项目实施地点</w:t>
            </w:r>
          </w:p>
        </w:tc>
        <w:tc>
          <w:tcPr>
            <w:tcW w:w="1118"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tblPrEx>
          <w:tblCellMar>
            <w:top w:w="0" w:type="dxa"/>
            <w:left w:w="0" w:type="dxa"/>
            <w:bottom w:w="0" w:type="dxa"/>
            <w:right w:w="0" w:type="dxa"/>
          </w:tblCellMar>
        </w:tblPrEx>
        <w:trPr>
          <w:cantSplit/>
          <w:trHeight w:val="2246" w:hRule="atLeast"/>
        </w:trPr>
        <w:tc>
          <w:tcPr>
            <w:tcW w:w="1866"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大写：</w:t>
            </w:r>
          </w:p>
          <w:p>
            <w:pPr>
              <w:tabs>
                <w:tab w:val="left" w:pos="5580"/>
              </w:tabs>
              <w:spacing w:line="240" w:lineRule="atLeast"/>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186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542"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498"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118"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r>
    </w:tbl>
    <w:p>
      <w:pPr>
        <w:pStyle w:val="15"/>
        <w:tabs>
          <w:tab w:val="left" w:pos="5580"/>
        </w:tabs>
        <w:spacing w:line="240" w:lineRule="atLeast"/>
        <w:ind w:left="1080" w:leftChars="257" w:hanging="540"/>
        <w:rPr>
          <w:rFonts w:hint="eastAsia" w:ascii="微软雅黑" w:hAnsi="微软雅黑" w:eastAsia="微软雅黑" w:cs="微软雅黑"/>
          <w:color w:val="auto"/>
          <w:sz w:val="24"/>
        </w:rPr>
      </w:pPr>
    </w:p>
    <w:p>
      <w:pPr>
        <w:pStyle w:val="15"/>
        <w:tabs>
          <w:tab w:val="left" w:pos="5580"/>
        </w:tabs>
        <w:spacing w:line="240" w:lineRule="atLeast"/>
        <w:ind w:left="1080" w:leftChars="257" w:hanging="540"/>
        <w:rPr>
          <w:rFonts w:hint="eastAsia" w:ascii="微软雅黑" w:hAnsi="微软雅黑" w:eastAsia="微软雅黑" w:cs="微软雅黑"/>
          <w:color w:val="auto"/>
          <w:sz w:val="24"/>
          <w:u w:val="single"/>
        </w:rPr>
      </w:pPr>
    </w:p>
    <w:p>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名称（</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w:t>
      </w:r>
    </w:p>
    <w:p>
      <w:pPr>
        <w:pStyle w:val="15"/>
        <w:tabs>
          <w:tab w:val="left" w:pos="5580"/>
        </w:tabs>
        <w:spacing w:line="240" w:lineRule="atLeast"/>
        <w:ind w:left="1080" w:leftChars="257" w:hanging="54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法定代表人或委托代理(签字):</w:t>
      </w:r>
      <w:r>
        <w:rPr>
          <w:rFonts w:hint="eastAsia" w:ascii="微软雅黑" w:hAnsi="微软雅黑" w:eastAsia="微软雅黑" w:cs="微软雅黑"/>
          <w:color w:val="auto"/>
          <w:sz w:val="24"/>
          <w:u w:val="single"/>
        </w:rPr>
        <w:tab/>
      </w:r>
    </w:p>
    <w:p>
      <w:pPr>
        <w:pStyle w:val="15"/>
        <w:tabs>
          <w:tab w:val="left" w:pos="5580"/>
        </w:tabs>
        <w:spacing w:line="240" w:lineRule="atLeast"/>
        <w:ind w:left="1080" w:leftChars="257" w:hanging="540"/>
        <w:rPr>
          <w:rFonts w:hint="eastAsia" w:ascii="微软雅黑" w:hAnsi="微软雅黑" w:eastAsia="微软雅黑" w:cs="微软雅黑"/>
          <w:color w:val="auto"/>
          <w:sz w:val="24"/>
        </w:rPr>
      </w:pPr>
    </w:p>
    <w:p>
      <w:pPr>
        <w:pStyle w:val="8"/>
        <w:ind w:left="0" w:leftChars="0" w:firstLine="0" w:firstLineChars="0"/>
        <w:rPr>
          <w:rFonts w:hint="eastAsia" w:ascii="微软雅黑" w:hAnsi="微软雅黑" w:eastAsia="微软雅黑" w:cs="微软雅黑"/>
          <w:color w:val="auto"/>
          <w:lang w:val="en-US" w:eastAsia="zh-CN"/>
        </w:rPr>
      </w:pPr>
      <w:bookmarkStart w:id="307" w:name="_Toc17577"/>
      <w:bookmarkStart w:id="308" w:name="_Toc29899"/>
      <w:bookmarkStart w:id="309" w:name="_Toc515647805"/>
      <w:r>
        <w:rPr>
          <w:rFonts w:hint="eastAsia" w:ascii="微软雅黑" w:hAnsi="微软雅黑" w:eastAsia="微软雅黑" w:cs="微软雅黑"/>
          <w:color w:val="auto"/>
          <w:lang w:val="en-US" w:eastAsia="zh-CN"/>
        </w:rPr>
        <w:t>注: 1、此表应按供应商须知的规定装订密封。</w:t>
      </w:r>
    </w:p>
    <w:p>
      <w:pPr>
        <w:pStyle w:val="8"/>
        <w:ind w:left="0" w:leftChars="0" w:firstLine="480" w:firstLineChars="2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2、此表中，投标总价应和投标分项报价表的总价相一致。</w:t>
      </w:r>
    </w:p>
    <w:p>
      <w:pPr>
        <w:pStyle w:val="8"/>
        <w:ind w:left="0" w:leftChars="0" w:firstLine="480" w:firstLineChars="2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3、投标报价时包含税费等一切与本次项目相关的费用。</w:t>
      </w:r>
    </w:p>
    <w:p>
      <w:pPr>
        <w:pStyle w:val="8"/>
        <w:rPr>
          <w:rFonts w:hint="eastAsia" w:ascii="微软雅黑" w:hAnsi="微软雅黑" w:eastAsia="微软雅黑" w:cs="微软雅黑"/>
          <w:color w:val="auto"/>
          <w:lang w:val="en-US" w:eastAsia="zh-CN"/>
        </w:rPr>
      </w:pPr>
    </w:p>
    <w:p>
      <w:pPr>
        <w:pStyle w:val="8"/>
        <w:ind w:left="0" w:leftChars="0" w:firstLine="0" w:firstLineChars="0"/>
        <w:rPr>
          <w:rFonts w:hint="eastAsia" w:ascii="微软雅黑" w:hAnsi="微软雅黑" w:eastAsia="微软雅黑" w:cs="微软雅黑"/>
          <w:color w:val="auto"/>
          <w:lang w:val="en-US" w:eastAsia="zh-CN"/>
        </w:rPr>
      </w:pPr>
    </w:p>
    <w:p>
      <w:pPr>
        <w:rPr>
          <w:rFonts w:hint="eastAsia" w:ascii="微软雅黑" w:hAnsi="微软雅黑" w:eastAsia="微软雅黑" w:cs="微软雅黑"/>
          <w:b/>
          <w:color w:val="auto"/>
          <w:kern w:val="0"/>
          <w:sz w:val="24"/>
          <w:szCs w:val="20"/>
          <w:lang w:val="en-US" w:eastAsia="zh-CN" w:bidi="ar-SA"/>
        </w:rPr>
      </w:pPr>
      <w:bookmarkStart w:id="310" w:name="_Toc26878"/>
    </w:p>
    <w:p>
      <w:pPr>
        <w:rPr>
          <w:rFonts w:hint="eastAsia" w:ascii="微软雅黑" w:hAnsi="微软雅黑" w:eastAsia="微软雅黑" w:cs="微软雅黑"/>
          <w:b/>
          <w:color w:val="auto"/>
          <w:kern w:val="0"/>
          <w:sz w:val="24"/>
          <w:szCs w:val="20"/>
          <w:lang w:val="en-US" w:eastAsia="zh-CN" w:bidi="ar-SA"/>
        </w:rPr>
      </w:pPr>
    </w:p>
    <w:p>
      <w:pPr>
        <w:rPr>
          <w:rFonts w:hint="eastAsia" w:ascii="微软雅黑" w:hAnsi="微软雅黑" w:eastAsia="微软雅黑" w:cs="微软雅黑"/>
          <w:b/>
          <w:color w:val="auto"/>
          <w:kern w:val="0"/>
          <w:sz w:val="24"/>
          <w:szCs w:val="20"/>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微软雅黑" w:hAnsi="微软雅黑" w:eastAsia="微软雅黑" w:cs="微软雅黑"/>
          <w:color w:val="auto"/>
          <w:lang w:val="en-US" w:eastAsia="zh-CN"/>
        </w:rPr>
      </w:pPr>
      <w:bookmarkStart w:id="311" w:name="_Toc26182"/>
      <w:r>
        <w:rPr>
          <w:rFonts w:hint="eastAsia" w:ascii="微软雅黑" w:hAnsi="微软雅黑" w:eastAsia="微软雅黑" w:cs="微软雅黑"/>
          <w:b/>
          <w:color w:val="auto"/>
          <w:kern w:val="0"/>
          <w:sz w:val="24"/>
          <w:szCs w:val="20"/>
          <w:lang w:val="en-US" w:eastAsia="zh-CN" w:bidi="ar-SA"/>
        </w:rPr>
        <w:t>2、</w:t>
      </w:r>
      <w:bookmarkEnd w:id="307"/>
      <w:bookmarkEnd w:id="308"/>
      <w:bookmarkEnd w:id="309"/>
      <w:bookmarkEnd w:id="310"/>
      <w:r>
        <w:rPr>
          <w:rFonts w:hint="eastAsia" w:ascii="微软雅黑" w:hAnsi="微软雅黑" w:eastAsia="微软雅黑" w:cs="微软雅黑"/>
          <w:b/>
          <w:color w:val="auto"/>
          <w:kern w:val="0"/>
          <w:sz w:val="24"/>
          <w:szCs w:val="20"/>
          <w:lang w:val="en-US" w:eastAsia="zh-CN" w:bidi="ar-SA"/>
        </w:rPr>
        <w:t>具有有效的独立法人营业执照；</w:t>
      </w:r>
      <w:bookmarkEnd w:id="311"/>
    </w:p>
    <w:p>
      <w:pPr>
        <w:pStyle w:val="8"/>
        <w:rPr>
          <w:rFonts w:hint="eastAsia" w:ascii="微软雅黑" w:hAnsi="微软雅黑" w:eastAsia="微软雅黑" w:cs="微软雅黑"/>
          <w:color w:val="auto"/>
          <w:lang w:val="en-US" w:eastAsia="zh-CN"/>
        </w:rPr>
      </w:pPr>
    </w:p>
    <w:p>
      <w:pPr>
        <w:rPr>
          <w:rFonts w:hint="eastAsia" w:ascii="微软雅黑" w:hAnsi="微软雅黑" w:eastAsia="微软雅黑" w:cs="微软雅黑"/>
          <w:color w:val="auto"/>
          <w:lang w:val="en-US" w:eastAsia="zh-CN"/>
        </w:rPr>
      </w:pPr>
    </w:p>
    <w:p>
      <w:pPr>
        <w:pStyle w:val="8"/>
        <w:ind w:left="0" w:leftChars="0" w:firstLine="0" w:firstLineChars="0"/>
        <w:jc w:val="both"/>
        <w:outlineLvl w:val="1"/>
        <w:rPr>
          <w:rFonts w:hint="eastAsia" w:ascii="微软雅黑" w:hAnsi="微软雅黑" w:eastAsia="微软雅黑" w:cs="微软雅黑"/>
          <w:b/>
          <w:color w:val="auto"/>
          <w:kern w:val="0"/>
          <w:sz w:val="24"/>
          <w:szCs w:val="20"/>
          <w:lang w:val="en-US" w:eastAsia="zh-CN" w:bidi="ar-SA"/>
        </w:rPr>
      </w:pPr>
      <w:bookmarkStart w:id="312" w:name="_Toc12506"/>
      <w:r>
        <w:rPr>
          <w:rFonts w:hint="eastAsia" w:ascii="微软雅黑" w:hAnsi="微软雅黑" w:eastAsia="微软雅黑" w:cs="微软雅黑"/>
          <w:b/>
          <w:color w:val="auto"/>
          <w:kern w:val="0"/>
          <w:sz w:val="24"/>
          <w:szCs w:val="20"/>
          <w:lang w:val="en-US" w:eastAsia="zh-CN" w:bidi="ar-SA"/>
        </w:rPr>
        <w:br w:type="page"/>
      </w:r>
      <w:bookmarkStart w:id="313" w:name="_Toc28387"/>
      <w:r>
        <w:rPr>
          <w:rFonts w:hint="eastAsia" w:ascii="微软雅黑" w:hAnsi="微软雅黑" w:eastAsia="微软雅黑" w:cs="微软雅黑"/>
          <w:b/>
          <w:color w:val="auto"/>
          <w:kern w:val="0"/>
          <w:sz w:val="24"/>
          <w:szCs w:val="20"/>
          <w:lang w:val="en-US" w:eastAsia="zh-CN" w:bidi="ar-SA"/>
        </w:rPr>
        <w:t>3、</w:t>
      </w:r>
      <w:bookmarkEnd w:id="312"/>
      <w:r>
        <w:rPr>
          <w:rFonts w:hint="eastAsia" w:ascii="微软雅黑" w:hAnsi="微软雅黑" w:eastAsia="微软雅黑" w:cs="微软雅黑"/>
          <w:b/>
          <w:color w:val="auto"/>
          <w:kern w:val="0"/>
          <w:sz w:val="24"/>
          <w:szCs w:val="20"/>
          <w:lang w:val="en-US" w:eastAsia="zh-CN" w:bidi="ar-SA"/>
        </w:rPr>
        <w:t>法人代表资格证明书及授权书、被授权人身份证(法人投标需提供法人身份证及法人代表资格证明书)；</w:t>
      </w:r>
      <w:bookmarkEnd w:id="313"/>
    </w:p>
    <w:p>
      <w:pPr>
        <w:keepNext w:val="0"/>
        <w:keepLines w:val="0"/>
        <w:pageBreakBefore w:val="0"/>
        <w:widowControl w:val="0"/>
        <w:kinsoku/>
        <w:wordWrap/>
        <w:overflowPunct/>
        <w:topLinePunct w:val="0"/>
        <w:bidi w:val="0"/>
        <w:adjustRightInd w:val="0"/>
        <w:snapToGrid w:val="0"/>
        <w:spacing w:before="312" w:beforeLines="100" w:after="312" w:afterLines="100" w:line="400" w:lineRule="exact"/>
        <w:jc w:val="center"/>
        <w:textAlignment w:val="auto"/>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法定代表人身份证明</w:t>
      </w:r>
    </w:p>
    <w:p>
      <w:pPr>
        <w:keepNext w:val="0"/>
        <w:keepLines w:val="0"/>
        <w:pageBreakBefore w:val="0"/>
        <w:widowControl w:val="0"/>
        <w:kinsoku/>
        <w:wordWrap/>
        <w:overflowPunct/>
        <w:topLinePunct w:val="0"/>
        <w:bidi w:val="0"/>
        <w:spacing w:line="400" w:lineRule="exact"/>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kern w:val="2"/>
          <w:sz w:val="24"/>
          <w:szCs w:val="20"/>
          <w:lang w:val="en-US" w:eastAsia="zh-CN" w:bidi="ar-SA"/>
        </w:rPr>
        <w:t xml:space="preserve">              同志，现任我单位          职务，为法定代表人，特此证明。</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签发日期：                  单位：          </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附：代表人性别：            年龄：           身份证号码：</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联系电话：</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营业执照号码：              经济性质：</w:t>
      </w:r>
    </w:p>
    <w:p>
      <w:pPr>
        <w:keepNext w:val="0"/>
        <w:keepLines w:val="0"/>
        <w:pageBreakBefore w:val="0"/>
        <w:widowControl w:val="0"/>
        <w:kinsoku/>
        <w:wordWrap/>
        <w:overflowPunct/>
        <w:topLinePunct w:val="0"/>
        <w:bidi w:val="0"/>
        <w:spacing w:line="400" w:lineRule="exact"/>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说明：</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1、法定代表人为企业事业单位、国家机关、社会团体的主要行政负责人。</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2、内容必须填写真实、清楚、涂改无效，不得转让。</w:t>
      </w:r>
    </w:p>
    <w:p>
      <w:pPr>
        <w:keepNext w:val="0"/>
        <w:keepLines w:val="0"/>
        <w:pageBreakBefore w:val="0"/>
        <w:widowControl w:val="0"/>
        <w:kinsoku/>
        <w:wordWrap/>
        <w:overflowPunct/>
        <w:topLinePunct w:val="0"/>
        <w:bidi w:val="0"/>
        <w:spacing w:line="400" w:lineRule="exact"/>
        <w:ind w:firstLine="240" w:firstLineChars="100"/>
        <w:textAlignment w:val="auto"/>
        <w:rPr>
          <w:rFonts w:hint="default" w:ascii="微软雅黑" w:hAnsi="微软雅黑" w:eastAsia="微软雅黑" w:cs="微软雅黑"/>
          <w:b/>
          <w:bCs/>
          <w:color w:val="auto"/>
          <w:kern w:val="2"/>
          <w:sz w:val="24"/>
          <w:szCs w:val="20"/>
          <w:lang w:val="en-US" w:eastAsia="zh-CN" w:bidi="ar-SA"/>
        </w:rPr>
      </w:pPr>
      <w:r>
        <w:rPr>
          <w:rFonts w:hint="eastAsia" w:ascii="微软雅黑" w:hAnsi="微软雅黑" w:eastAsia="微软雅黑" w:cs="微软雅黑"/>
          <w:b/>
          <w:bCs/>
          <w:color w:val="auto"/>
          <w:kern w:val="2"/>
          <w:sz w:val="24"/>
          <w:szCs w:val="20"/>
          <w:lang w:val="en-US" w:eastAsia="zh-CN" w:bidi="ar-SA"/>
        </w:rPr>
        <w:t>3、提供身份证正反面。</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4、将此证明书原件提交采购代理机构作为投标文件附件。</w:t>
      </w:r>
    </w:p>
    <w:p>
      <w:pPr>
        <w:keepNext w:val="0"/>
        <w:keepLines w:val="0"/>
        <w:pageBreakBefore w:val="0"/>
        <w:widowControl w:val="0"/>
        <w:kinsoku/>
        <w:wordWrap/>
        <w:overflowPunct/>
        <w:topLinePunct w:val="0"/>
        <w:bidi w:val="0"/>
        <w:spacing w:line="400" w:lineRule="exact"/>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pict>
          <v:shape id="_x0000_s1027" o:spid="_x0000_s1027" o:spt="176" type="#_x0000_t176" style="position:absolute;left:0pt;margin-left:12.15pt;margin-top:29.05pt;height:94.1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adj="2700">
            <v:path/>
            <v:fill on="t" color2="#FFFFFF" focussize="0,0"/>
            <v:stroke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w:r>
      <w:r>
        <w:rPr>
          <w:rFonts w:hint="eastAsia" w:ascii="微软雅黑" w:hAnsi="微软雅黑" w:eastAsia="微软雅黑" w:cs="微软雅黑"/>
          <w:color w:val="auto"/>
          <w:kern w:val="2"/>
          <w:sz w:val="24"/>
          <w:szCs w:val="20"/>
          <w:lang w:val="en-US" w:eastAsia="zh-CN" w:bidi="ar-SA"/>
        </w:rPr>
        <w:t xml:space="preserve">  (为避免废标，请供应商务必提供本附件)</w:t>
      </w:r>
    </w:p>
    <w:p>
      <w:pPr>
        <w:keepNext w:val="0"/>
        <w:keepLines w:val="0"/>
        <w:pageBreakBefore w:val="0"/>
        <w:widowControl w:val="0"/>
        <w:kinsoku/>
        <w:wordWrap/>
        <w:overflowPunct/>
        <w:topLinePunct w:val="0"/>
        <w:bidi w:val="0"/>
        <w:spacing w:line="400" w:lineRule="exact"/>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pict>
          <v:roundrect id="_x0000_s1028" o:spid="_x0000_s1028" o:spt="2" style="position:absolute;left:0pt;margin-left:224.6pt;margin-top:2.45pt;height:95.5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color2="#FFFFFF" focussize="0,0"/>
            <v:stroke weight="1.25pt" color="#808080"/>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pPr>
                  <w:r>
                    <w:rPr>
                      <w:rFonts w:hint="eastAsia" w:hAnsi="宋体"/>
                      <w:szCs w:val="21"/>
                    </w:rPr>
                    <w:t>法定代表人身份证复印件</w:t>
                  </w:r>
                </w:p>
                <w:p>
                  <w:pPr>
                    <w:pStyle w:val="8"/>
                  </w:pPr>
                </w:p>
                <w:p>
                  <w:pPr>
                    <w:pStyle w:val="8"/>
                  </w:pPr>
                </w:p>
                <w:p>
                  <w:pPr>
                    <w:pStyle w:val="8"/>
                  </w:pPr>
                </w:p>
                <w:p>
                  <w:pPr>
                    <w:pStyle w:val="8"/>
                  </w:pPr>
                </w:p>
              </w:txbxContent>
            </v:textbox>
          </v:roundrect>
        </w:pict>
      </w:r>
    </w:p>
    <w:p>
      <w:pPr>
        <w:keepNext w:val="0"/>
        <w:keepLines w:val="0"/>
        <w:pageBreakBefore w:val="0"/>
        <w:widowControl w:val="0"/>
        <w:kinsoku/>
        <w:wordWrap/>
        <w:overflowPunct/>
        <w:topLinePunct w:val="0"/>
        <w:bidi w:val="0"/>
        <w:spacing w:line="400" w:lineRule="exact"/>
        <w:textAlignment w:val="auto"/>
        <w:rPr>
          <w:rFonts w:hint="eastAsia" w:ascii="微软雅黑" w:hAnsi="微软雅黑" w:eastAsia="微软雅黑" w:cs="微软雅黑"/>
          <w:color w:val="auto"/>
          <w:kern w:val="2"/>
          <w:sz w:val="24"/>
          <w:szCs w:val="20"/>
          <w:lang w:val="en-US" w:eastAsia="zh-CN" w:bidi="ar-SA"/>
        </w:rPr>
      </w:pPr>
    </w:p>
    <w:p>
      <w:pPr>
        <w:keepNext w:val="0"/>
        <w:keepLines w:val="0"/>
        <w:pageBreakBefore w:val="0"/>
        <w:widowControl w:val="0"/>
        <w:kinsoku/>
        <w:wordWrap/>
        <w:overflowPunct/>
        <w:topLinePunct w:val="0"/>
        <w:bidi w:val="0"/>
        <w:spacing w:line="400" w:lineRule="exact"/>
        <w:textAlignment w:val="auto"/>
        <w:rPr>
          <w:rFonts w:hint="eastAsia" w:ascii="微软雅黑" w:hAnsi="微软雅黑" w:eastAsia="微软雅黑" w:cs="微软雅黑"/>
          <w:color w:val="auto"/>
          <w:kern w:val="2"/>
          <w:sz w:val="24"/>
          <w:szCs w:val="20"/>
          <w:lang w:val="en-US" w:eastAsia="zh-CN" w:bidi="ar-SA"/>
        </w:rPr>
      </w:pPr>
    </w:p>
    <w:p>
      <w:pPr>
        <w:keepNext w:val="0"/>
        <w:keepLines w:val="0"/>
        <w:pageBreakBefore w:val="0"/>
        <w:widowControl w:val="0"/>
        <w:kinsoku/>
        <w:wordWrap/>
        <w:overflowPunct/>
        <w:topLinePunct w:val="0"/>
        <w:autoSpaceDE w:val="0"/>
        <w:autoSpaceDN w:val="0"/>
        <w:bidi w:val="0"/>
        <w:adjustRightInd w:val="0"/>
        <w:spacing w:line="400" w:lineRule="exact"/>
        <w:ind w:right="246" w:firstLine="784" w:firstLineChars="327"/>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供应商（公章）：                              </w:t>
      </w:r>
    </w:p>
    <w:p>
      <w:pPr>
        <w:keepNext w:val="0"/>
        <w:keepLines w:val="0"/>
        <w:pageBreakBefore w:val="0"/>
        <w:widowControl w:val="0"/>
        <w:kinsoku/>
        <w:wordWrap/>
        <w:overflowPunct/>
        <w:topLinePunct w:val="0"/>
        <w:bidi w:val="0"/>
        <w:adjustRightInd w:val="0"/>
        <w:snapToGrid w:val="0"/>
        <w:spacing w:line="400" w:lineRule="exact"/>
        <w:ind w:firstLine="784" w:firstLineChars="327"/>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法定代表人（签/章）：                    </w:t>
      </w:r>
    </w:p>
    <w:p>
      <w:pPr>
        <w:keepNext w:val="0"/>
        <w:keepLines w:val="0"/>
        <w:pageBreakBefore w:val="0"/>
        <w:widowControl w:val="0"/>
        <w:kinsoku/>
        <w:wordWrap/>
        <w:overflowPunct/>
        <w:topLinePunct w:val="0"/>
        <w:bidi w:val="0"/>
        <w:adjustRightInd w:val="0"/>
        <w:snapToGrid w:val="0"/>
        <w:spacing w:line="400" w:lineRule="exact"/>
        <w:ind w:firstLine="784" w:firstLineChars="327"/>
        <w:textAlignment w:val="auto"/>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日期：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说明：1.提供有效的营业执照等证明文件复印件，复印件上应加盖本单位章。</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      2. 供应商为自然人的，应提供身份证明的复印件。</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      3.联合体投标应提供联合体各方满足以上要求的证明文件。</w:t>
      </w:r>
      <w:bookmarkStart w:id="314" w:name="_Toc22472"/>
      <w:bookmarkStart w:id="315" w:name="_Toc515647807"/>
      <w:bookmarkStart w:id="316" w:name="_Toc1083"/>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spacing w:before="0" w:line="240" w:lineRule="atLeast"/>
        <w:ind w:left="1080" w:leftChars="257" w:hanging="540"/>
        <w:jc w:val="center"/>
        <w:outlineLvl w:val="9"/>
        <w:rPr>
          <w:rFonts w:hint="eastAsia" w:ascii="微软雅黑" w:hAnsi="微软雅黑" w:eastAsia="微软雅黑" w:cs="微软雅黑"/>
          <w:b/>
          <w:bCs/>
          <w:color w:val="auto"/>
          <w:sz w:val="24"/>
          <w:u w:val="single"/>
        </w:rPr>
      </w:pPr>
      <w:r>
        <w:rPr>
          <w:rFonts w:hint="eastAsia" w:ascii="微软雅黑" w:hAnsi="微软雅黑" w:eastAsia="微软雅黑" w:cs="微软雅黑"/>
          <w:b/>
          <w:bCs/>
          <w:color w:val="auto"/>
          <w:sz w:val="24"/>
        </w:rPr>
        <w:br w:type="page"/>
      </w:r>
      <w:r>
        <w:rPr>
          <w:rFonts w:hint="eastAsia" w:ascii="微软雅黑" w:hAnsi="微软雅黑" w:eastAsia="微软雅黑" w:cs="微软雅黑"/>
          <w:b/>
          <w:bCs/>
          <w:color w:val="auto"/>
          <w:sz w:val="24"/>
        </w:rPr>
        <w:t>法定代表人授权委托书</w:t>
      </w:r>
      <w:bookmarkEnd w:id="314"/>
      <w:bookmarkEnd w:id="315"/>
      <w:bookmarkEnd w:id="316"/>
    </w:p>
    <w:p>
      <w:pPr>
        <w:pStyle w:val="15"/>
        <w:tabs>
          <w:tab w:val="left" w:pos="5580"/>
        </w:tabs>
        <w:spacing w:line="240" w:lineRule="atLeast"/>
        <w:rPr>
          <w:rFonts w:hint="eastAsia" w:ascii="微软雅黑" w:hAnsi="微软雅黑" w:eastAsia="微软雅黑" w:cs="微软雅黑"/>
          <w:color w:val="auto"/>
          <w:kern w:val="2"/>
          <w:sz w:val="24"/>
          <w:szCs w:val="20"/>
          <w:lang w:val="en-US" w:eastAsia="zh-CN" w:bidi="ar-SA"/>
        </w:rPr>
      </w:pPr>
      <w:bookmarkStart w:id="317" w:name="_Toc7039"/>
      <w:bookmarkStart w:id="318" w:name="_Toc515647808"/>
      <w:bookmarkStart w:id="319" w:name="_Toc32520"/>
      <w:r>
        <w:rPr>
          <w:rFonts w:hint="eastAsia" w:ascii="微软雅黑" w:hAnsi="微软雅黑" w:eastAsia="微软雅黑" w:cs="微软雅黑"/>
          <w:color w:val="auto"/>
          <w:sz w:val="24"/>
        </w:rPr>
        <w:cr/>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kern w:val="2"/>
          <w:sz w:val="24"/>
          <w:szCs w:val="20"/>
          <w:lang w:val="en-US" w:eastAsia="zh-CN" w:bidi="ar-SA"/>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本授权书于           年     月     日签字生效,特此声明。</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pict>
          <v:roundrect id="_x0000_s1029" o:spid="_x0000_s1029" o:spt="2" style="position:absolute;left:0pt;margin-left:239.3pt;margin-top:13.2pt;height:88.6pt;width:195.15pt;z-index:251662336;mso-width-relative:page;mso-height-relative:page;" fillcolor="#FFFFFF" filled="t" coordsize="21600,21600" arcsize="0.166666666666667">
            <v:path/>
            <v:fill on="t" focussize="0,0"/>
            <v:stroke weight="1.25pt" color="#808080"/>
            <v:imagedata o:title=""/>
            <o:lock v:ext="edit"/>
            <v:textbox>
              <w:txbxContent>
                <w:p>
                  <w:pPr>
                    <w:rPr>
                      <w:rFonts w:hint="eastAsia" w:hAnsi="宋体"/>
                    </w:rPr>
                  </w:pPr>
                </w:p>
                <w:p>
                  <w:pPr>
                    <w:rPr>
                      <w:rFonts w:hint="eastAsia" w:hAnsi="宋体"/>
                    </w:rPr>
                  </w:pPr>
                </w:p>
                <w:p>
                  <w:pPr>
                    <w:rPr>
                      <w:rFonts w:hint="eastAsia" w:hAnsi="宋体"/>
                    </w:rPr>
                  </w:pPr>
                </w:p>
                <w:p>
                  <w:pPr>
                    <w:ind w:firstLine="630" w:firstLineChars="300"/>
                  </w:pPr>
                  <w:r>
                    <w:rPr>
                      <w:rFonts w:hint="eastAsia" w:hAnsi="宋体"/>
                    </w:rPr>
                    <w:t>授权委托人身份证复印件</w:t>
                  </w:r>
                </w:p>
              </w:txbxContent>
            </v:textbox>
          </v:roundrect>
        </w:pict>
      </w:r>
      <w:r>
        <w:rPr>
          <w:rFonts w:hint="eastAsia" w:ascii="微软雅黑" w:hAnsi="微软雅黑" w:eastAsia="微软雅黑" w:cs="微软雅黑"/>
          <w:color w:val="auto"/>
          <w:kern w:val="2"/>
          <w:sz w:val="24"/>
          <w:szCs w:val="20"/>
          <w:lang w:val="en-US" w:eastAsia="zh-CN" w:bidi="ar-SA"/>
        </w:rPr>
        <w:pict>
          <v:shape id="_x0000_s1030" o:spid="_x0000_s1030" o:spt="176" type="#_x0000_t176" style="position:absolute;left:0pt;margin-left:1.65pt;margin-top:10.7pt;height:90pt;width:197.45pt;z-index:251661312;mso-width-relative:page;mso-height-relative:page;" fillcolor="#FFFFFF" filled="t" coordsize="21600,21600" adj="2700">
            <v:path/>
            <v:fill on="t" focussize="0,0"/>
            <v:stroke/>
            <v:imagedata o:title=""/>
            <o:lock v:ext="edit"/>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w:t>
                  </w:r>
                </w:p>
              </w:txbxContent>
            </v:textbox>
          </v:shape>
        </w:pic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pict>
          <v:roundrect id="_x0000_s1032" o:spid="_x0000_s1032" o:spt="2" style="position:absolute;left:0pt;margin-left:-0.85pt;margin-top:18.75pt;height:84.3pt;width:201.2pt;z-index:251663360;mso-width-relative:page;mso-height-relative:page;" fillcolor="#FFFFFF" filled="t" stroked="t" coordsize="21600,21600" arcsize="0.166666666666667">
            <v:path/>
            <v:fill on="t" color2="#FFFFFF" focussize="0,0"/>
            <v:stroke weight="1.25pt" color="#808080"/>
            <v:imagedata o:title=""/>
            <o:lock v:ext="edit" aspectratio="f"/>
            <v:textbox>
              <w:txbxContent>
                <w:p>
                  <w:pPr>
                    <w:jc w:val="both"/>
                    <w:rPr>
                      <w:rFonts w:hint="eastAsia" w:hAnsi="宋体"/>
                    </w:rPr>
                  </w:pPr>
                </w:p>
                <w:p>
                  <w:pPr>
                    <w:jc w:val="center"/>
                    <w:rPr>
                      <w:rFonts w:hint="eastAsia" w:hAnsi="宋体"/>
                    </w:rPr>
                  </w:pPr>
                </w:p>
                <w:p>
                  <w:pPr>
                    <w:jc w:val="center"/>
                  </w:pPr>
                  <w:r>
                    <w:rPr>
                      <w:rFonts w:hint="eastAsia" w:hAnsi="宋体"/>
                      <w:szCs w:val="21"/>
                    </w:rPr>
                    <w:t>法定代表人身份证复印件</w:t>
                  </w:r>
                </w:p>
                <w:p>
                  <w:pPr>
                    <w:jc w:val="center"/>
                  </w:pPr>
                </w:p>
                <w:p/>
              </w:txbxContent>
            </v:textbox>
          </v:roundrect>
        </w:pic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pict>
          <v:roundrect id="_x0000_s1031" o:spid="_x0000_s1031" o:spt="2" style="position:absolute;left:0pt;margin-left:237.65pt;margin-top:1.85pt;height:82.8pt;width:199.65pt;z-index:251664384;mso-width-relative:page;mso-height-relative:page;" fillcolor="#FFFFFF" filled="t" stroked="t" coordsize="21600,21600" arcsize="0.166666666666667">
            <v:path/>
            <v:fill on="t" color2="#FFFFFF" focussize="0,0"/>
            <v:stroke weight="1.25pt" color="#808080"/>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szCs w:val="21"/>
                    </w:rPr>
                    <w:t>法定代表人身份证复印件</w:t>
                  </w:r>
                </w:p>
                <w:p/>
              </w:txbxContent>
            </v:textbox>
          </v:roundrect>
        </w:pic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p>
    <w:p>
      <w:pPr>
        <w:pStyle w:val="15"/>
        <w:tabs>
          <w:tab w:val="left" w:pos="5580"/>
        </w:tabs>
        <w:spacing w:line="240" w:lineRule="atLeast"/>
        <w:ind w:left="1080" w:leftChars="257" w:hanging="540"/>
        <w:rPr>
          <w:rFonts w:hint="eastAsia" w:ascii="微软雅黑" w:hAnsi="微软雅黑" w:eastAsia="微软雅黑" w:cs="微软雅黑"/>
          <w:b/>
          <w:bCs/>
          <w:color w:val="auto"/>
          <w:kern w:val="2"/>
          <w:sz w:val="24"/>
          <w:szCs w:val="20"/>
          <w:lang w:val="en-US" w:eastAsia="zh-CN" w:bidi="ar-SA"/>
        </w:rPr>
      </w:pPr>
      <w:r>
        <w:rPr>
          <w:rFonts w:hint="eastAsia" w:ascii="微软雅黑" w:hAnsi="微软雅黑" w:eastAsia="微软雅黑" w:cs="微软雅黑"/>
          <w:b/>
          <w:bCs/>
          <w:color w:val="auto"/>
          <w:kern w:val="2"/>
          <w:sz w:val="24"/>
          <w:szCs w:val="20"/>
          <w:lang w:val="en-US" w:eastAsia="zh-CN" w:bidi="ar-SA"/>
        </w:rPr>
        <w:t>注：提供身份证正反面</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供应商（公章）;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法定代表人（签/章）：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身份证号码：</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委托代理人（签/章）：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身份证号码：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详细通讯地址：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邮 政 编 码 ：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传　　　　真：                                 </w:t>
      </w:r>
    </w:p>
    <w:p>
      <w:pPr>
        <w:pStyle w:val="15"/>
        <w:tabs>
          <w:tab w:val="left" w:pos="5580"/>
        </w:tabs>
        <w:spacing w:line="240" w:lineRule="atLeast"/>
        <w:ind w:left="1080" w:leftChars="257" w:hanging="540"/>
        <w:rPr>
          <w:rFonts w:hint="eastAsia" w:ascii="微软雅黑" w:hAnsi="微软雅黑" w:eastAsia="微软雅黑" w:cs="微软雅黑"/>
          <w:color w:val="auto"/>
          <w:kern w:val="2"/>
          <w:sz w:val="24"/>
          <w:szCs w:val="20"/>
          <w:lang w:val="en-US" w:eastAsia="zh-CN" w:bidi="ar-SA"/>
        </w:rPr>
      </w:pPr>
      <w:r>
        <w:rPr>
          <w:rFonts w:hint="eastAsia" w:ascii="微软雅黑" w:hAnsi="微软雅黑" w:eastAsia="微软雅黑" w:cs="微软雅黑"/>
          <w:color w:val="auto"/>
          <w:kern w:val="2"/>
          <w:sz w:val="24"/>
          <w:szCs w:val="20"/>
          <w:lang w:val="en-US" w:eastAsia="zh-CN" w:bidi="ar-SA"/>
        </w:rPr>
        <w:t xml:space="preserve">电　　　　话：                                 </w:t>
      </w:r>
    </w:p>
    <w:bookmarkEnd w:id="317"/>
    <w:bookmarkEnd w:id="318"/>
    <w:bookmarkEnd w:id="319"/>
    <w:p>
      <w:pPr>
        <w:spacing w:before="0" w:line="360" w:lineRule="exact"/>
        <w:ind w:left="1080" w:leftChars="257" w:hanging="540"/>
        <w:outlineLvl w:val="9"/>
        <w:rPr>
          <w:rFonts w:hint="eastAsia" w:ascii="微软雅黑" w:hAnsi="微软雅黑" w:eastAsia="微软雅黑" w:cs="微软雅黑"/>
          <w:color w:val="auto"/>
          <w:sz w:val="24"/>
          <w:lang w:val="en-US" w:eastAsia="zh-CN"/>
        </w:rPr>
      </w:pPr>
      <w:bookmarkStart w:id="320" w:name="_Toc28445"/>
      <w:bookmarkStart w:id="321" w:name="_Toc11047"/>
      <w:bookmarkStart w:id="322" w:name="_Toc515647809"/>
    </w:p>
    <w:p>
      <w:pPr>
        <w:pStyle w:val="8"/>
        <w:rPr>
          <w:rFonts w:hint="eastAsia" w:ascii="微软雅黑" w:hAnsi="微软雅黑" w:eastAsia="微软雅黑" w:cs="微软雅黑"/>
          <w:color w:val="auto"/>
          <w:sz w:val="24"/>
          <w:lang w:val="en-US" w:eastAsia="zh-CN"/>
        </w:rPr>
      </w:pPr>
    </w:p>
    <w:p>
      <w:pPr>
        <w:pStyle w:val="4"/>
        <w:spacing w:before="0" w:line="360" w:lineRule="exact"/>
        <w:jc w:val="left"/>
        <w:rPr>
          <w:rFonts w:hint="eastAsia" w:ascii="微软雅黑" w:hAnsi="微软雅黑" w:eastAsia="微软雅黑" w:cs="微软雅黑"/>
          <w:b/>
          <w:bCs/>
          <w:i w:val="0"/>
          <w:iCs w:val="0"/>
          <w:color w:val="auto"/>
          <w:kern w:val="2"/>
          <w:sz w:val="24"/>
          <w:szCs w:val="24"/>
          <w:lang w:val="en-US" w:eastAsia="zh-CN" w:bidi="ar-SA"/>
        </w:rPr>
      </w:pPr>
      <w:bookmarkStart w:id="323" w:name="_Toc2284"/>
      <w:r>
        <w:rPr>
          <w:rFonts w:hint="eastAsia" w:ascii="微软雅黑" w:hAnsi="微软雅黑" w:eastAsia="微软雅黑" w:cs="微软雅黑"/>
          <w:b/>
          <w:bCs/>
          <w:i w:val="0"/>
          <w:iCs w:val="0"/>
          <w:color w:val="auto"/>
          <w:kern w:val="2"/>
          <w:sz w:val="24"/>
          <w:szCs w:val="24"/>
          <w:lang w:val="en-US" w:eastAsia="zh-CN" w:bidi="ar-SA"/>
        </w:rPr>
        <w:br w:type="page"/>
      </w:r>
      <w:bookmarkStart w:id="324" w:name="_Toc5583"/>
      <w:r>
        <w:rPr>
          <w:rFonts w:hint="eastAsia" w:ascii="微软雅黑" w:hAnsi="微软雅黑" w:eastAsia="微软雅黑" w:cs="微软雅黑"/>
          <w:b/>
          <w:bCs/>
          <w:i w:val="0"/>
          <w:iCs w:val="0"/>
          <w:color w:val="auto"/>
          <w:kern w:val="2"/>
          <w:sz w:val="24"/>
          <w:szCs w:val="24"/>
          <w:lang w:val="en-US" w:eastAsia="zh-CN" w:bidi="ar-SA"/>
        </w:rPr>
        <w:t>4、</w:t>
      </w:r>
      <w:bookmarkEnd w:id="323"/>
      <w:r>
        <w:rPr>
          <w:rFonts w:hint="eastAsia" w:ascii="微软雅黑" w:hAnsi="微软雅黑" w:eastAsia="微软雅黑" w:cs="微软雅黑"/>
          <w:b/>
          <w:bCs/>
          <w:i w:val="0"/>
          <w:iCs w:val="0"/>
          <w:color w:val="auto"/>
          <w:kern w:val="2"/>
          <w:sz w:val="24"/>
          <w:szCs w:val="24"/>
          <w:lang w:val="en-US" w:eastAsia="zh-CN" w:bidi="ar-SA"/>
        </w:rPr>
        <w:t>依法缴纳近6个月内任意1个月的社会保险的凭据；</w:t>
      </w:r>
      <w:bookmarkEnd w:id="324"/>
    </w:p>
    <w:p>
      <w:pPr>
        <w:bidi w:val="0"/>
        <w:rPr>
          <w:rFonts w:hint="eastAsia"/>
          <w:lang w:val="en-US" w:eastAsia="zh-CN"/>
        </w:rPr>
      </w:pPr>
    </w:p>
    <w:p>
      <w:pPr>
        <w:bidi w:val="0"/>
        <w:rPr>
          <w:rFonts w:hint="eastAsia"/>
          <w:lang w:val="en-US" w:eastAsia="zh-CN"/>
        </w:rPr>
      </w:pPr>
    </w:p>
    <w:p>
      <w:pPr>
        <w:pStyle w:val="8"/>
        <w:rPr>
          <w:rFonts w:hint="eastAsia" w:ascii="微软雅黑" w:hAnsi="微软雅黑" w:eastAsia="微软雅黑" w:cs="微软雅黑"/>
          <w:b/>
          <w:bCs/>
          <w:i w:val="0"/>
          <w:iCs w:val="0"/>
          <w:color w:val="auto"/>
          <w:kern w:val="2"/>
          <w:sz w:val="24"/>
          <w:szCs w:val="24"/>
          <w:lang w:val="en-US" w:eastAsia="zh-CN" w:bidi="ar-SA"/>
        </w:rPr>
      </w:pPr>
    </w:p>
    <w:p>
      <w:pPr>
        <w:rPr>
          <w:rFonts w:hint="eastAsia" w:ascii="微软雅黑" w:hAnsi="微软雅黑" w:eastAsia="微软雅黑" w:cs="微软雅黑"/>
          <w:b/>
          <w:bCs/>
          <w:i w:val="0"/>
          <w:iCs w:val="0"/>
          <w:color w:val="auto"/>
          <w:kern w:val="2"/>
          <w:sz w:val="24"/>
          <w:szCs w:val="24"/>
          <w:lang w:val="en-US" w:eastAsia="zh-CN" w:bidi="ar-SA"/>
        </w:rPr>
      </w:pPr>
    </w:p>
    <w:p>
      <w:pPr>
        <w:rPr>
          <w:rFonts w:hint="eastAsia" w:ascii="微软雅黑" w:hAnsi="微软雅黑" w:eastAsia="微软雅黑" w:cs="微软雅黑"/>
          <w:b/>
          <w:bCs/>
          <w:i w:val="0"/>
          <w:iCs w:val="0"/>
          <w:color w:val="auto"/>
          <w:kern w:val="2"/>
          <w:sz w:val="24"/>
          <w:szCs w:val="24"/>
          <w:lang w:val="en-US" w:eastAsia="zh-CN" w:bidi="ar-SA"/>
        </w:rPr>
      </w:pPr>
    </w:p>
    <w:p>
      <w:pPr>
        <w:pStyle w:val="8"/>
        <w:rPr>
          <w:rFonts w:hint="eastAsia" w:ascii="微软雅黑" w:hAnsi="微软雅黑" w:eastAsia="微软雅黑" w:cs="微软雅黑"/>
          <w:color w:val="auto"/>
          <w:lang w:val="en-US" w:eastAsia="zh-CN"/>
        </w:rPr>
      </w:pP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outlineLvl w:val="1"/>
        <w:rPr>
          <w:rFonts w:hint="eastAsia" w:ascii="微软雅黑" w:hAnsi="微软雅黑" w:eastAsia="微软雅黑" w:cs="微软雅黑"/>
          <w:b/>
          <w:bCs/>
          <w:i w:val="0"/>
          <w:iCs w:val="0"/>
          <w:color w:val="auto"/>
          <w:kern w:val="2"/>
          <w:sz w:val="24"/>
          <w:szCs w:val="24"/>
          <w:lang w:val="en-US" w:eastAsia="zh-CN" w:bidi="ar-SA"/>
        </w:rPr>
      </w:pPr>
      <w:bookmarkStart w:id="325" w:name="_Toc7215"/>
      <w:bookmarkStart w:id="326" w:name="_Toc26295"/>
      <w:r>
        <w:rPr>
          <w:rFonts w:hint="eastAsia" w:ascii="微软雅黑" w:hAnsi="微软雅黑" w:eastAsia="微软雅黑" w:cs="微软雅黑"/>
          <w:b/>
          <w:bCs/>
          <w:i w:val="0"/>
          <w:iCs w:val="0"/>
          <w:color w:val="auto"/>
          <w:kern w:val="2"/>
          <w:sz w:val="24"/>
          <w:szCs w:val="24"/>
          <w:lang w:val="en-US" w:eastAsia="zh-CN" w:bidi="ar-SA"/>
        </w:rPr>
        <w:t>5、</w:t>
      </w:r>
      <w:bookmarkEnd w:id="325"/>
      <w:r>
        <w:rPr>
          <w:rFonts w:hint="eastAsia" w:ascii="微软雅黑" w:hAnsi="微软雅黑" w:eastAsia="微软雅黑" w:cs="微软雅黑"/>
          <w:b/>
          <w:bCs/>
          <w:i w:val="0"/>
          <w:iCs w:val="0"/>
          <w:color w:val="auto"/>
          <w:kern w:val="2"/>
          <w:sz w:val="24"/>
          <w:szCs w:val="24"/>
          <w:lang w:val="en-US" w:eastAsia="zh-CN" w:bidi="ar-SA"/>
        </w:rPr>
        <w:t>税务部门出具的近6个月内任意1个月的完税证明；</w:t>
      </w:r>
      <w:bookmarkEnd w:id="326"/>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33"/>
        <w:rPr>
          <w:rFonts w:hint="eastAsia"/>
          <w:lang w:val="en-US" w:eastAsia="zh-CN"/>
        </w:rPr>
      </w:pPr>
    </w:p>
    <w:p>
      <w:pPr>
        <w:pStyle w:val="33"/>
        <w:rPr>
          <w:rFonts w:hint="eastAsia"/>
          <w:lang w:val="en-US" w:eastAsia="zh-CN"/>
        </w:rPr>
      </w:pPr>
    </w:p>
    <w:p>
      <w:pPr>
        <w:pStyle w:val="8"/>
        <w:rPr>
          <w:rFonts w:hint="eastAsia" w:ascii="微软雅黑" w:hAnsi="微软雅黑" w:eastAsia="微软雅黑" w:cs="微软雅黑"/>
          <w:b/>
          <w:bCs/>
          <w:i w:val="0"/>
          <w:iCs w:val="0"/>
          <w:color w:val="auto"/>
          <w:kern w:val="2"/>
          <w:sz w:val="24"/>
          <w:szCs w:val="24"/>
          <w:lang w:val="en-US" w:eastAsia="zh-CN" w:bidi="ar-SA"/>
        </w:rPr>
      </w:pP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outlineLvl w:val="1"/>
        <w:rPr>
          <w:rFonts w:hint="eastAsia" w:ascii="微软雅黑" w:hAnsi="微软雅黑" w:eastAsia="微软雅黑" w:cs="微软雅黑"/>
          <w:b/>
          <w:bCs/>
          <w:i w:val="0"/>
          <w:iCs w:val="0"/>
          <w:color w:val="auto"/>
          <w:kern w:val="2"/>
          <w:sz w:val="24"/>
          <w:szCs w:val="24"/>
          <w:lang w:val="en-US" w:eastAsia="zh-CN" w:bidi="ar-SA"/>
        </w:rPr>
      </w:pPr>
      <w:bookmarkStart w:id="327" w:name="_Toc20653"/>
      <w:bookmarkStart w:id="328" w:name="_Toc19241"/>
      <w:r>
        <w:rPr>
          <w:rFonts w:hint="eastAsia" w:ascii="微软雅黑" w:hAnsi="微软雅黑" w:eastAsia="微软雅黑" w:cs="微软雅黑"/>
          <w:b/>
          <w:bCs/>
          <w:i w:val="0"/>
          <w:iCs w:val="0"/>
          <w:color w:val="auto"/>
          <w:kern w:val="2"/>
          <w:sz w:val="24"/>
          <w:szCs w:val="24"/>
          <w:lang w:val="en-US" w:eastAsia="zh-CN" w:bidi="ar-SA"/>
        </w:rPr>
        <w:t>6、</w:t>
      </w:r>
      <w:bookmarkEnd w:id="327"/>
      <w:r>
        <w:rPr>
          <w:rFonts w:hint="eastAsia" w:ascii="微软雅黑" w:hAnsi="微软雅黑" w:eastAsia="微软雅黑" w:cs="微软雅黑"/>
          <w:b/>
          <w:bCs/>
          <w:i w:val="0"/>
          <w:iCs w:val="0"/>
          <w:color w:val="auto"/>
          <w:kern w:val="2"/>
          <w:sz w:val="24"/>
          <w:szCs w:val="24"/>
          <w:lang w:val="en-US" w:eastAsia="zh-CN" w:bidi="ar-SA"/>
        </w:rPr>
        <w:t>提供健全的财务制度；</w:t>
      </w:r>
      <w:bookmarkEnd w:id="328"/>
    </w:p>
    <w:p>
      <w:pPr>
        <w:rPr>
          <w:rFonts w:hint="eastAsia" w:ascii="微软雅黑" w:hAnsi="微软雅黑" w:eastAsia="微软雅黑" w:cs="微软雅黑"/>
          <w:color w:val="auto"/>
          <w:lang w:val="en-US" w:eastAsia="zh-CN"/>
        </w:rPr>
      </w:pPr>
    </w:p>
    <w:p>
      <w:pPr>
        <w:pStyle w:val="8"/>
        <w:rPr>
          <w:rFonts w:hint="eastAsia" w:ascii="微软雅黑" w:hAnsi="微软雅黑" w:eastAsia="微软雅黑" w:cs="微软雅黑"/>
          <w:color w:val="auto"/>
          <w:lang w:val="en-US" w:eastAsia="zh-CN"/>
        </w:rPr>
      </w:pPr>
    </w:p>
    <w:p>
      <w:pPr>
        <w:rPr>
          <w:rFonts w:hint="eastAsia" w:ascii="微软雅黑" w:hAnsi="微软雅黑" w:eastAsia="微软雅黑" w:cs="微软雅黑"/>
          <w:color w:val="auto"/>
          <w:lang w:val="en-US" w:eastAsia="zh-CN"/>
        </w:rPr>
      </w:pPr>
    </w:p>
    <w:p>
      <w:pPr>
        <w:pStyle w:val="8"/>
        <w:rPr>
          <w:rFonts w:hint="eastAsia" w:ascii="微软雅黑" w:hAnsi="微软雅黑" w:eastAsia="微软雅黑" w:cs="微软雅黑"/>
          <w:color w:val="auto"/>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outlineLvl w:val="1"/>
        <w:rPr>
          <w:rFonts w:hint="eastAsia" w:ascii="微软雅黑" w:hAnsi="微软雅黑" w:eastAsia="微软雅黑" w:cs="微软雅黑"/>
          <w:b/>
          <w:bCs/>
          <w:i w:val="0"/>
          <w:iCs w:val="0"/>
          <w:color w:val="auto"/>
          <w:kern w:val="2"/>
          <w:sz w:val="24"/>
          <w:szCs w:val="24"/>
          <w:lang w:val="en-US" w:eastAsia="zh-CN" w:bidi="ar-SA"/>
        </w:rPr>
      </w:pPr>
      <w:bookmarkStart w:id="329" w:name="_Toc26192"/>
      <w:bookmarkStart w:id="330" w:name="_Toc24513"/>
      <w:r>
        <w:rPr>
          <w:rFonts w:hint="eastAsia" w:ascii="微软雅黑" w:hAnsi="微软雅黑" w:eastAsia="微软雅黑" w:cs="微软雅黑"/>
          <w:b/>
          <w:bCs/>
          <w:i w:val="0"/>
          <w:iCs w:val="0"/>
          <w:color w:val="auto"/>
          <w:kern w:val="2"/>
          <w:sz w:val="24"/>
          <w:szCs w:val="24"/>
          <w:lang w:val="en-US" w:eastAsia="zh-CN" w:bidi="ar-SA"/>
        </w:rPr>
        <w:t>7、</w:t>
      </w:r>
      <w:bookmarkEnd w:id="329"/>
      <w:r>
        <w:rPr>
          <w:rFonts w:hint="eastAsia" w:ascii="微软雅黑" w:hAnsi="微软雅黑" w:eastAsia="微软雅黑" w:cs="微软雅黑"/>
          <w:b/>
          <w:bCs/>
          <w:i w:val="0"/>
          <w:iCs w:val="0"/>
          <w:color w:val="auto"/>
          <w:kern w:val="2"/>
          <w:sz w:val="24"/>
          <w:szCs w:val="24"/>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w:t>
      </w:r>
      <w:bookmarkEnd w:id="330"/>
    </w:p>
    <w:p>
      <w:pPr>
        <w:rPr>
          <w:rFonts w:hint="eastAsia" w:ascii="微软雅黑" w:hAnsi="微软雅黑" w:eastAsia="微软雅黑" w:cs="微软雅黑"/>
          <w:b/>
          <w:bCs/>
          <w:i w:val="0"/>
          <w:iCs w:val="0"/>
          <w:color w:val="auto"/>
          <w:kern w:val="2"/>
          <w:sz w:val="24"/>
          <w:szCs w:val="24"/>
          <w:lang w:val="en-US" w:eastAsia="zh-CN" w:bidi="ar-SA"/>
        </w:rPr>
      </w:pPr>
    </w:p>
    <w:p>
      <w:pPr>
        <w:pStyle w:val="8"/>
        <w:rPr>
          <w:rFonts w:hint="eastAsia" w:ascii="微软雅黑" w:hAnsi="微软雅黑" w:eastAsia="微软雅黑" w:cs="微软雅黑"/>
          <w:b/>
          <w:bCs/>
          <w:i w:val="0"/>
          <w:iCs w:val="0"/>
          <w:color w:val="auto"/>
          <w:kern w:val="2"/>
          <w:sz w:val="24"/>
          <w:szCs w:val="24"/>
          <w:lang w:val="en-US" w:eastAsia="zh-CN" w:bidi="ar-SA"/>
        </w:rPr>
      </w:pPr>
    </w:p>
    <w:p>
      <w:pPr>
        <w:rPr>
          <w:rFonts w:hint="eastAsia" w:ascii="微软雅黑" w:hAnsi="微软雅黑" w:eastAsia="微软雅黑" w:cs="微软雅黑"/>
          <w:b/>
          <w:bCs/>
          <w:i w:val="0"/>
          <w:iCs w:val="0"/>
          <w:color w:val="auto"/>
          <w:kern w:val="2"/>
          <w:sz w:val="24"/>
          <w:szCs w:val="24"/>
          <w:lang w:val="en-US" w:eastAsia="zh-CN" w:bidi="ar-SA"/>
        </w:rPr>
      </w:pPr>
    </w:p>
    <w:p>
      <w:pPr>
        <w:pStyle w:val="33"/>
        <w:rPr>
          <w:rFonts w:hint="eastAsia" w:ascii="微软雅黑" w:hAnsi="微软雅黑" w:eastAsia="微软雅黑" w:cs="微软雅黑"/>
          <w:b/>
          <w:bCs/>
          <w:i w:val="0"/>
          <w:iCs w:val="0"/>
          <w:color w:val="auto"/>
          <w:kern w:val="2"/>
          <w:sz w:val="24"/>
          <w:szCs w:val="24"/>
          <w:lang w:val="en-US" w:eastAsia="zh-CN" w:bidi="ar-SA"/>
        </w:rPr>
      </w:pPr>
    </w:p>
    <w:p>
      <w:pPr>
        <w:pStyle w:val="33"/>
        <w:rPr>
          <w:rFonts w:hint="eastAsia" w:ascii="微软雅黑" w:hAnsi="微软雅黑" w:eastAsia="微软雅黑" w:cs="微软雅黑"/>
          <w:b/>
          <w:bCs/>
          <w:i w:val="0"/>
          <w:iCs w:val="0"/>
          <w:color w:val="auto"/>
          <w:kern w:val="2"/>
          <w:sz w:val="24"/>
          <w:szCs w:val="24"/>
          <w:lang w:val="en-US" w:eastAsia="zh-CN" w:bidi="ar-SA"/>
        </w:rPr>
      </w:pP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outlineLvl w:val="1"/>
        <w:rPr>
          <w:rFonts w:hint="eastAsia" w:ascii="微软雅黑" w:hAnsi="微软雅黑" w:eastAsia="微软雅黑" w:cs="微软雅黑"/>
          <w:b/>
          <w:bCs/>
          <w:i w:val="0"/>
          <w:iCs w:val="0"/>
          <w:color w:val="auto"/>
          <w:kern w:val="2"/>
          <w:sz w:val="24"/>
          <w:szCs w:val="24"/>
          <w:lang w:val="en-US" w:eastAsia="zh-CN" w:bidi="ar-SA"/>
        </w:rPr>
      </w:pPr>
      <w:bookmarkStart w:id="331" w:name="_Toc21060"/>
      <w:bookmarkStart w:id="332" w:name="_Toc17887"/>
      <w:r>
        <w:rPr>
          <w:rFonts w:hint="eastAsia" w:ascii="微软雅黑" w:hAnsi="微软雅黑" w:eastAsia="微软雅黑" w:cs="微软雅黑"/>
          <w:b/>
          <w:bCs/>
          <w:i w:val="0"/>
          <w:iCs w:val="0"/>
          <w:color w:val="auto"/>
          <w:kern w:val="2"/>
          <w:sz w:val="24"/>
          <w:szCs w:val="24"/>
          <w:lang w:val="en-US" w:eastAsia="zh-CN" w:bidi="ar-SA"/>
        </w:rPr>
        <w:t>8、参加政府采购活动前3年内未被列入失信、重大税收违法案件、财政部门禁止参加政府采购活动的承诺书；</w:t>
      </w:r>
      <w:bookmarkEnd w:id="331"/>
      <w:bookmarkEnd w:id="332"/>
    </w:p>
    <w:p>
      <w:pPr>
        <w:rPr>
          <w:rFonts w:hint="eastAsia" w:ascii="微软雅黑" w:hAnsi="微软雅黑" w:eastAsia="微软雅黑" w:cs="微软雅黑"/>
          <w:color w:val="auto"/>
          <w:lang w:val="en-US" w:eastAsia="zh-CN"/>
        </w:rPr>
      </w:pPr>
    </w:p>
    <w:p>
      <w:pPr>
        <w:rPr>
          <w:rFonts w:hint="eastAsia" w:ascii="微软雅黑" w:hAnsi="微软雅黑" w:eastAsia="微软雅黑" w:cs="微软雅黑"/>
          <w:color w:val="auto"/>
          <w:lang w:val="en-US" w:eastAsia="zh-CN"/>
        </w:rPr>
      </w:pPr>
    </w:p>
    <w:p>
      <w:pPr>
        <w:pStyle w:val="33"/>
        <w:rPr>
          <w:rFonts w:hint="eastAsia" w:ascii="微软雅黑" w:hAnsi="微软雅黑" w:eastAsia="微软雅黑" w:cs="微软雅黑"/>
          <w:color w:val="auto"/>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微软雅黑" w:hAnsi="微软雅黑" w:eastAsia="微软雅黑" w:cs="微软雅黑"/>
          <w:b/>
          <w:bCs/>
          <w:i w:val="0"/>
          <w:iCs w:val="0"/>
          <w:color w:val="auto"/>
          <w:kern w:val="2"/>
          <w:sz w:val="24"/>
          <w:szCs w:val="24"/>
          <w:lang w:val="en-US" w:eastAsia="zh-CN" w:bidi="ar-SA"/>
        </w:rPr>
      </w:pPr>
      <w:bookmarkStart w:id="333" w:name="_Toc30019"/>
      <w:bookmarkStart w:id="334" w:name="_Toc10953"/>
      <w:r>
        <w:rPr>
          <w:rFonts w:hint="eastAsia" w:ascii="微软雅黑" w:hAnsi="微软雅黑" w:eastAsia="微软雅黑" w:cs="微软雅黑"/>
          <w:b/>
          <w:bCs/>
          <w:i w:val="0"/>
          <w:iCs w:val="0"/>
          <w:color w:val="auto"/>
          <w:kern w:val="2"/>
          <w:sz w:val="24"/>
          <w:szCs w:val="24"/>
          <w:lang w:val="en-US" w:eastAsia="zh-CN" w:bidi="ar-SA"/>
        </w:rPr>
        <w:t>9、提供针对本次项目《反商业贿赂承诺书》；</w:t>
      </w:r>
      <w:bookmarkEnd w:id="333"/>
      <w:bookmarkEnd w:id="334"/>
    </w:p>
    <w:p>
      <w:pPr>
        <w:pStyle w:val="8"/>
        <w:rPr>
          <w:rFonts w:hint="eastAsia" w:ascii="微软雅黑" w:hAnsi="微软雅黑" w:eastAsia="微软雅黑" w:cs="微软雅黑"/>
          <w:color w:val="auto"/>
          <w:lang w:val="en-US" w:eastAsia="zh-CN"/>
        </w:rPr>
      </w:pPr>
    </w:p>
    <w:p>
      <w:pPr>
        <w:rPr>
          <w:rFonts w:hint="eastAsia" w:ascii="微软雅黑" w:hAnsi="微软雅黑" w:eastAsia="微软雅黑" w:cs="微软雅黑"/>
          <w:color w:val="auto"/>
          <w:lang w:val="en-US" w:eastAsia="zh-CN"/>
        </w:rPr>
      </w:pPr>
    </w:p>
    <w:p>
      <w:pPr>
        <w:pStyle w:val="11"/>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1"/>
        <w:rPr>
          <w:rFonts w:hint="eastAsia" w:ascii="微软雅黑" w:hAnsi="微软雅黑" w:eastAsia="微软雅黑" w:cs="微软雅黑"/>
          <w:b/>
          <w:color w:val="auto"/>
          <w:kern w:val="0"/>
          <w:sz w:val="24"/>
          <w:szCs w:val="20"/>
          <w:lang w:val="en-US" w:eastAsia="zh-CN" w:bidi="ar-SA"/>
        </w:rPr>
      </w:pPr>
      <w:bookmarkStart w:id="335" w:name="_Toc28015"/>
      <w:r>
        <w:rPr>
          <w:rFonts w:hint="eastAsia" w:ascii="微软雅黑" w:hAnsi="微软雅黑" w:eastAsia="微软雅黑" w:cs="微软雅黑"/>
          <w:b/>
          <w:color w:val="auto"/>
          <w:kern w:val="0"/>
          <w:sz w:val="24"/>
          <w:szCs w:val="20"/>
          <w:lang w:val="en-US" w:eastAsia="zh-CN" w:bidi="ar-SA"/>
        </w:rPr>
        <w:t>10、银行开户许可证复印件或银行基本账户信息(包含：银行账号及开户行名称）；</w:t>
      </w:r>
      <w:bookmarkEnd w:id="335"/>
    </w:p>
    <w:p>
      <w:pPr>
        <w:pStyle w:val="33"/>
        <w:rPr>
          <w:rFonts w:hint="eastAsia" w:ascii="微软雅黑" w:hAnsi="微软雅黑" w:eastAsia="微软雅黑" w:cs="微软雅黑"/>
          <w:color w:val="auto"/>
          <w:lang w:val="en-US" w:eastAsia="zh-CN"/>
        </w:rPr>
      </w:pPr>
    </w:p>
    <w:p>
      <w:pPr>
        <w:pStyle w:val="33"/>
        <w:rPr>
          <w:rFonts w:hint="eastAsia" w:ascii="微软雅黑" w:hAnsi="微软雅黑" w:eastAsia="微软雅黑" w:cs="微软雅黑"/>
          <w:color w:val="auto"/>
          <w:lang w:val="en-US" w:eastAsia="zh-CN"/>
        </w:rPr>
      </w:pPr>
    </w:p>
    <w:bookmarkEnd w:id="320"/>
    <w:bookmarkEnd w:id="321"/>
    <w:bookmarkEnd w:id="322"/>
    <w:p>
      <w:pPr>
        <w:pStyle w:val="4"/>
        <w:spacing w:before="0" w:line="360" w:lineRule="exact"/>
        <w:jc w:val="both"/>
        <w:rPr>
          <w:rFonts w:hint="eastAsia" w:ascii="微软雅黑" w:hAnsi="微软雅黑" w:eastAsia="微软雅黑" w:cs="微软雅黑"/>
          <w:color w:val="auto"/>
          <w:lang w:eastAsia="zh-CN"/>
        </w:rPr>
      </w:pPr>
      <w:bookmarkStart w:id="336" w:name="_Toc20327"/>
      <w:bookmarkStart w:id="337" w:name="_Toc27585"/>
      <w:r>
        <w:rPr>
          <w:rFonts w:hint="eastAsia" w:ascii="微软雅黑" w:hAnsi="微软雅黑" w:eastAsia="微软雅黑" w:cs="微软雅黑"/>
          <w:color w:val="auto"/>
          <w:sz w:val="24"/>
          <w:lang w:val="en-US" w:eastAsia="zh-CN"/>
        </w:rPr>
        <w:t>11、</w:t>
      </w:r>
      <w:r>
        <w:rPr>
          <w:rFonts w:hint="eastAsia" w:ascii="微软雅黑" w:hAnsi="微软雅黑" w:eastAsia="微软雅黑" w:cs="微软雅黑"/>
          <w:color w:val="auto"/>
          <w:sz w:val="24"/>
        </w:rPr>
        <w:t>投标保证金银行转账回执单</w:t>
      </w:r>
      <w:bookmarkEnd w:id="336"/>
      <w:r>
        <w:rPr>
          <w:rFonts w:hint="eastAsia" w:ascii="微软雅黑" w:hAnsi="微软雅黑" w:eastAsia="微软雅黑" w:cs="微软雅黑"/>
          <w:color w:val="auto"/>
          <w:sz w:val="24"/>
          <w:lang w:eastAsia="zh-CN"/>
        </w:rPr>
        <w:t>；</w:t>
      </w:r>
      <w:bookmarkEnd w:id="337"/>
    </w:p>
    <w:tbl>
      <w:tblPr>
        <w:tblStyle w:val="34"/>
        <w:tblpPr w:leftFromText="180" w:rightFromText="180" w:vertAnchor="text" w:horzAnchor="page" w:tblpXSpec="center"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7879" w:type="dxa"/>
            <w:noWrap w:val="0"/>
            <w:vAlign w:val="top"/>
          </w:tcPr>
          <w:p>
            <w:pPr>
              <w:spacing w:line="360" w:lineRule="exact"/>
              <w:rPr>
                <w:rFonts w:hint="eastAsia" w:ascii="微软雅黑" w:hAnsi="微软雅黑" w:eastAsia="微软雅黑" w:cs="微软雅黑"/>
                <w:color w:val="auto"/>
              </w:rPr>
            </w:pPr>
          </w:p>
          <w:p>
            <w:pPr>
              <w:spacing w:line="360" w:lineRule="exact"/>
              <w:jc w:val="center"/>
              <w:rPr>
                <w:rFonts w:hint="eastAsia" w:ascii="微软雅黑" w:hAnsi="微软雅黑" w:eastAsia="微软雅黑" w:cs="微软雅黑"/>
                <w:color w:val="auto"/>
              </w:rPr>
            </w:pPr>
          </w:p>
          <w:p>
            <w:pPr>
              <w:spacing w:line="36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投标保证金银行转账回执单复印件</w:t>
            </w:r>
          </w:p>
        </w:tc>
      </w:tr>
    </w:tbl>
    <w:p>
      <w:pPr>
        <w:spacing w:line="360" w:lineRule="exact"/>
        <w:ind w:firstLine="480" w:firstLineChars="200"/>
        <w:rPr>
          <w:rFonts w:hint="eastAsia" w:ascii="微软雅黑" w:hAnsi="微软雅黑" w:eastAsia="微软雅黑" w:cs="微软雅黑"/>
          <w:b/>
          <w:bCs/>
          <w:color w:val="auto"/>
          <w:sz w:val="24"/>
          <w:szCs w:val="32"/>
        </w:rPr>
      </w:pPr>
      <w:r>
        <w:rPr>
          <w:rFonts w:hint="eastAsia" w:ascii="微软雅黑" w:hAnsi="微软雅黑" w:eastAsia="微软雅黑" w:cs="微软雅黑"/>
          <w:b/>
          <w:bCs/>
          <w:color w:val="auto"/>
          <w:sz w:val="24"/>
          <w:szCs w:val="32"/>
        </w:rPr>
        <w:t>注：本项目以投标保证金银行转账回执单复印件盖公章为准。</w:t>
      </w:r>
    </w:p>
    <w:p>
      <w:pPr>
        <w:spacing w:line="360" w:lineRule="exact"/>
        <w:ind w:left="1080" w:leftChars="257" w:hanging="540"/>
        <w:jc w:val="center"/>
        <w:rPr>
          <w:rFonts w:hint="eastAsia" w:ascii="微软雅黑" w:hAnsi="微软雅黑" w:eastAsia="微软雅黑" w:cs="微软雅黑"/>
          <w:color w:val="auto"/>
          <w:sz w:val="24"/>
        </w:rPr>
      </w:pPr>
    </w:p>
    <w:p>
      <w:pPr>
        <w:spacing w:line="360" w:lineRule="exact"/>
        <w:jc w:val="center"/>
        <w:rPr>
          <w:rFonts w:hint="eastAsia" w:ascii="微软雅黑" w:hAnsi="微软雅黑" w:eastAsia="微软雅黑" w:cs="微软雅黑"/>
          <w:color w:val="auto"/>
          <w:sz w:val="28"/>
          <w:szCs w:val="28"/>
        </w:rPr>
      </w:pPr>
    </w:p>
    <w:p>
      <w:pPr>
        <w:pStyle w:val="15"/>
        <w:tabs>
          <w:tab w:val="left" w:pos="5580"/>
        </w:tabs>
        <w:spacing w:line="360" w:lineRule="exact"/>
        <w:rPr>
          <w:rFonts w:hint="eastAsia" w:ascii="微软雅黑" w:hAnsi="微软雅黑" w:eastAsia="微软雅黑" w:cs="微软雅黑"/>
          <w:b/>
          <w:color w:val="auto"/>
          <w:kern w:val="0"/>
          <w:sz w:val="24"/>
          <w:szCs w:val="20"/>
          <w:lang w:val="en-US" w:eastAsia="zh-CN" w:bidi="ar-SA"/>
        </w:rPr>
      </w:pPr>
      <w:bookmarkStart w:id="338" w:name="_Toc23044"/>
      <w:bookmarkStart w:id="339" w:name="_Toc2502"/>
      <w:bookmarkStart w:id="340" w:name="_Toc515647814"/>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0" w:leftChars="0" w:hanging="540"/>
        <w:jc w:val="left"/>
        <w:textAlignment w:val="auto"/>
        <w:rPr>
          <w:rFonts w:hint="eastAsia" w:ascii="微软雅黑" w:hAnsi="微软雅黑" w:eastAsia="微软雅黑" w:cs="微软雅黑"/>
          <w:color w:val="auto"/>
          <w:sz w:val="24"/>
        </w:rPr>
      </w:pPr>
    </w:p>
    <w:p>
      <w:pPr>
        <w:pStyle w:val="15"/>
        <w:tabs>
          <w:tab w:val="left" w:pos="5580"/>
        </w:tabs>
        <w:spacing w:line="360" w:lineRule="exact"/>
        <w:ind w:left="1080" w:leftChars="257" w:hanging="540"/>
        <w:rPr>
          <w:rFonts w:hint="eastAsia" w:ascii="微软雅黑" w:hAnsi="微软雅黑" w:eastAsia="微软雅黑" w:cs="微软雅黑"/>
          <w:color w:val="auto"/>
          <w:sz w:val="24"/>
        </w:rPr>
      </w:pPr>
    </w:p>
    <w:bookmarkEnd w:id="338"/>
    <w:bookmarkEnd w:id="339"/>
    <w:bookmarkEnd w:id="340"/>
    <w:p>
      <w:pPr>
        <w:pStyle w:val="15"/>
        <w:tabs>
          <w:tab w:val="left" w:pos="5580"/>
        </w:tabs>
        <w:spacing w:line="240" w:lineRule="atLeast"/>
        <w:outlineLvl w:val="1"/>
        <w:rPr>
          <w:rFonts w:hint="eastAsia" w:ascii="微软雅黑" w:hAnsi="微软雅黑" w:eastAsia="微软雅黑" w:cs="微软雅黑"/>
          <w:b/>
          <w:color w:val="auto"/>
          <w:kern w:val="0"/>
          <w:sz w:val="24"/>
          <w:szCs w:val="20"/>
          <w:lang w:val="en-US" w:eastAsia="zh-CN" w:bidi="ar-SA"/>
        </w:rPr>
      </w:pPr>
      <w:bookmarkStart w:id="341" w:name="_Toc20613"/>
      <w:bookmarkStart w:id="342" w:name="_Toc14251"/>
      <w:bookmarkStart w:id="343" w:name="_Toc30691"/>
      <w:bookmarkStart w:id="344" w:name="_Toc3757"/>
      <w:bookmarkStart w:id="345" w:name="_Toc22967"/>
      <w:bookmarkStart w:id="346" w:name="_Toc11180"/>
      <w:bookmarkStart w:id="347" w:name="_Toc515647816"/>
      <w:r>
        <w:rPr>
          <w:rFonts w:hint="eastAsia" w:ascii="微软雅黑" w:hAnsi="微软雅黑" w:eastAsia="微软雅黑" w:cs="微软雅黑"/>
          <w:b/>
          <w:color w:val="auto"/>
          <w:kern w:val="0"/>
          <w:sz w:val="24"/>
          <w:szCs w:val="20"/>
          <w:lang w:val="en-US" w:eastAsia="zh-CN" w:bidi="ar-SA"/>
        </w:rPr>
        <w:t>12、提供有利于投标的其他证明材料</w:t>
      </w:r>
      <w:bookmarkEnd w:id="341"/>
      <w:bookmarkEnd w:id="342"/>
      <w:bookmarkEnd w:id="343"/>
      <w:r>
        <w:rPr>
          <w:rFonts w:hint="eastAsia" w:ascii="微软雅黑" w:hAnsi="微软雅黑" w:eastAsia="微软雅黑" w:cs="微软雅黑"/>
          <w:b/>
          <w:color w:val="auto"/>
          <w:kern w:val="0"/>
          <w:sz w:val="24"/>
          <w:szCs w:val="20"/>
          <w:lang w:val="en-US" w:eastAsia="zh-CN" w:bidi="ar-SA"/>
        </w:rPr>
        <w:t>。</w:t>
      </w:r>
      <w:bookmarkEnd w:id="344"/>
    </w:p>
    <w:p>
      <w:pPr>
        <w:pStyle w:val="15"/>
        <w:tabs>
          <w:tab w:val="left" w:pos="5580"/>
        </w:tabs>
        <w:spacing w:line="360" w:lineRule="exact"/>
        <w:ind w:left="1080" w:leftChars="257" w:hanging="540"/>
        <w:rPr>
          <w:rFonts w:hint="eastAsia" w:ascii="微软雅黑" w:hAnsi="微软雅黑" w:eastAsia="微软雅黑" w:cs="微软雅黑"/>
          <w:color w:val="auto"/>
          <w:sz w:val="24"/>
          <w:u w:val="single"/>
        </w:rPr>
      </w:pPr>
    </w:p>
    <w:p>
      <w:pPr>
        <w:pStyle w:val="15"/>
        <w:tabs>
          <w:tab w:val="left" w:pos="5580"/>
        </w:tabs>
        <w:spacing w:line="360" w:lineRule="exact"/>
        <w:ind w:left="1080" w:leftChars="257" w:hanging="540"/>
        <w:rPr>
          <w:rFonts w:hint="eastAsia" w:ascii="微软雅黑" w:hAnsi="微软雅黑" w:eastAsia="微软雅黑" w:cs="微软雅黑"/>
          <w:color w:val="auto"/>
          <w:sz w:val="24"/>
          <w:u w:val="single"/>
        </w:rPr>
      </w:pPr>
    </w:p>
    <w:p>
      <w:pPr>
        <w:pStyle w:val="15"/>
        <w:tabs>
          <w:tab w:val="left" w:pos="5580"/>
        </w:tabs>
        <w:spacing w:line="360" w:lineRule="exact"/>
        <w:ind w:left="1080" w:leftChars="257" w:hanging="540"/>
        <w:rPr>
          <w:rFonts w:hint="eastAsia" w:ascii="微软雅黑" w:hAnsi="微软雅黑" w:eastAsia="微软雅黑" w:cs="微软雅黑"/>
          <w:color w:val="auto"/>
          <w:sz w:val="24"/>
          <w:u w:val="single"/>
        </w:rPr>
      </w:pPr>
    </w:p>
    <w:p>
      <w:pPr>
        <w:pStyle w:val="15"/>
        <w:tabs>
          <w:tab w:val="left" w:pos="5580"/>
        </w:tabs>
        <w:spacing w:line="360" w:lineRule="exact"/>
        <w:ind w:left="1080" w:leftChars="257" w:hanging="540"/>
        <w:rPr>
          <w:rFonts w:hint="eastAsia" w:ascii="微软雅黑" w:hAnsi="微软雅黑" w:eastAsia="微软雅黑" w:cs="微软雅黑"/>
          <w:color w:val="auto"/>
          <w:sz w:val="24"/>
          <w:u w:val="single"/>
        </w:rPr>
      </w:pPr>
    </w:p>
    <w:p>
      <w:pPr>
        <w:pStyle w:val="15"/>
        <w:tabs>
          <w:tab w:val="left" w:pos="5580"/>
        </w:tabs>
        <w:spacing w:line="360" w:lineRule="exact"/>
        <w:ind w:left="1080" w:leftChars="257" w:hanging="540"/>
        <w:rPr>
          <w:rFonts w:hint="eastAsia" w:ascii="微软雅黑" w:hAnsi="微软雅黑" w:eastAsia="微软雅黑" w:cs="微软雅黑"/>
          <w:color w:val="auto"/>
          <w:sz w:val="24"/>
          <w:u w:val="single"/>
        </w:rPr>
      </w:pPr>
    </w:p>
    <w:p>
      <w:pPr>
        <w:pStyle w:val="15"/>
        <w:tabs>
          <w:tab w:val="left" w:pos="5580"/>
        </w:tabs>
        <w:spacing w:line="360" w:lineRule="exact"/>
        <w:ind w:left="1080" w:leftChars="257" w:hanging="540"/>
        <w:rPr>
          <w:rFonts w:hint="eastAsia" w:ascii="微软雅黑" w:hAnsi="微软雅黑" w:eastAsia="微软雅黑" w:cs="微软雅黑"/>
          <w:color w:val="auto"/>
          <w:sz w:val="24"/>
          <w:u w:val="single"/>
        </w:rPr>
      </w:pPr>
    </w:p>
    <w:p>
      <w:pPr>
        <w:pStyle w:val="15"/>
        <w:tabs>
          <w:tab w:val="left" w:pos="5580"/>
        </w:tabs>
        <w:spacing w:line="360" w:lineRule="exact"/>
        <w:ind w:left="1080" w:leftChars="257" w:hanging="540"/>
        <w:jc w:val="center"/>
        <w:outlineLvl w:val="1"/>
        <w:rPr>
          <w:rFonts w:hint="eastAsia" w:ascii="微软雅黑" w:hAnsi="微软雅黑" w:eastAsia="微软雅黑" w:cs="微软雅黑"/>
          <w:color w:val="auto"/>
          <w:sz w:val="24"/>
        </w:rPr>
      </w:pPr>
      <w:bookmarkStart w:id="348" w:name="_Toc21432"/>
      <w:r>
        <w:rPr>
          <w:rFonts w:hint="eastAsia" w:ascii="微软雅黑" w:hAnsi="微软雅黑" w:eastAsia="微软雅黑" w:cs="微软雅黑"/>
          <w:b/>
          <w:color w:val="auto"/>
          <w:kern w:val="0"/>
          <w:sz w:val="24"/>
        </w:rPr>
        <w:br w:type="page"/>
      </w:r>
      <w:bookmarkStart w:id="349" w:name="_Toc14897"/>
      <w:r>
        <w:rPr>
          <w:rFonts w:hint="eastAsia" w:ascii="微软雅黑" w:hAnsi="微软雅黑" w:eastAsia="微软雅黑" w:cs="微软雅黑"/>
          <w:b/>
          <w:color w:val="auto"/>
          <w:kern w:val="0"/>
          <w:sz w:val="24"/>
        </w:rPr>
        <w:t>第二部分  商务及技术文件</w:t>
      </w:r>
      <w:bookmarkEnd w:id="345"/>
      <w:bookmarkEnd w:id="346"/>
      <w:bookmarkEnd w:id="347"/>
      <w:bookmarkEnd w:id="348"/>
      <w:bookmarkEnd w:id="349"/>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rPr>
      </w:pPr>
      <w:r>
        <w:rPr>
          <w:rFonts w:hint="eastAsia" w:ascii="微软雅黑" w:hAnsi="微软雅黑" w:eastAsia="微软雅黑" w:cs="微软雅黑"/>
          <w:color w:val="auto"/>
          <w:sz w:val="28"/>
          <w:szCs w:val="21"/>
        </w:rPr>
        <w:t>1、投标书</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rPr>
        <w:t>2、</w:t>
      </w:r>
      <w:r>
        <w:rPr>
          <w:rFonts w:hint="eastAsia" w:ascii="微软雅黑" w:hAnsi="微软雅黑" w:eastAsia="微软雅黑" w:cs="微软雅黑"/>
          <w:color w:val="auto"/>
          <w:sz w:val="28"/>
          <w:szCs w:val="21"/>
          <w:lang w:val="en-US" w:eastAsia="zh-CN"/>
        </w:rPr>
        <w:t>投标分项报价表</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rPr>
      </w:pPr>
      <w:r>
        <w:rPr>
          <w:rFonts w:hint="eastAsia" w:ascii="微软雅黑" w:hAnsi="微软雅黑" w:eastAsia="微软雅黑" w:cs="微软雅黑"/>
          <w:color w:val="auto"/>
          <w:sz w:val="28"/>
          <w:szCs w:val="21"/>
          <w:lang w:val="en-US" w:eastAsia="zh-CN"/>
        </w:rPr>
        <w:t>3</w:t>
      </w:r>
      <w:r>
        <w:rPr>
          <w:rFonts w:hint="eastAsia" w:ascii="微软雅黑" w:hAnsi="微软雅黑" w:eastAsia="微软雅黑" w:cs="微软雅黑"/>
          <w:color w:val="auto"/>
          <w:sz w:val="28"/>
          <w:szCs w:val="21"/>
        </w:rPr>
        <w:t>、</w:t>
      </w:r>
      <w:r>
        <w:rPr>
          <w:rFonts w:hint="eastAsia" w:ascii="微软雅黑" w:hAnsi="微软雅黑" w:eastAsia="微软雅黑" w:cs="微软雅黑"/>
          <w:color w:val="auto"/>
          <w:sz w:val="28"/>
          <w:szCs w:val="21"/>
          <w:lang w:val="en-US" w:eastAsia="zh-CN"/>
        </w:rPr>
        <w:t>服务</w:t>
      </w:r>
      <w:r>
        <w:rPr>
          <w:rFonts w:hint="eastAsia" w:ascii="微软雅黑" w:hAnsi="微软雅黑" w:eastAsia="微软雅黑" w:cs="微软雅黑"/>
          <w:color w:val="auto"/>
          <w:sz w:val="28"/>
          <w:szCs w:val="21"/>
        </w:rPr>
        <w:t>说明一览表</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lang w:val="en-US" w:eastAsia="zh-CN"/>
        </w:rPr>
        <w:t>4、服务规格偏离表</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lang w:val="en-US" w:eastAsia="zh-CN"/>
        </w:rPr>
        <w:t>5、商务条款偏离表</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lang w:val="en-US" w:eastAsia="zh-CN"/>
        </w:rPr>
        <w:t>6-1中小企业声明函</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lang w:val="en-US" w:eastAsia="zh-CN"/>
        </w:rPr>
        <w:t>6-2《残疾人福利性单位声明函》</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lang w:val="en-US" w:eastAsia="zh-CN"/>
        </w:rPr>
        <w:t>7、供应商关联单位的说明（格式自拟）</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lang w:val="en-US" w:eastAsia="zh-CN"/>
        </w:rPr>
        <w:t>8、供应商可提供有利于投标的其他资格证明材料</w:t>
      </w:r>
    </w:p>
    <w:p>
      <w:pPr>
        <w:pStyle w:val="15"/>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微软雅黑" w:hAnsi="微软雅黑" w:eastAsia="微软雅黑" w:cs="微软雅黑"/>
          <w:color w:val="auto"/>
          <w:sz w:val="28"/>
          <w:szCs w:val="21"/>
          <w:lang w:val="en-US" w:eastAsia="zh-CN"/>
        </w:rPr>
      </w:pPr>
      <w:r>
        <w:rPr>
          <w:rFonts w:hint="eastAsia" w:ascii="微软雅黑" w:hAnsi="微软雅黑" w:eastAsia="微软雅黑" w:cs="微软雅黑"/>
          <w:color w:val="auto"/>
          <w:sz w:val="28"/>
          <w:szCs w:val="21"/>
          <w:lang w:val="en-US" w:eastAsia="zh-CN"/>
        </w:rPr>
        <w:t>9、投标文件格式范本</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jc w:val="center"/>
        <w:textAlignment w:val="auto"/>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rPr>
        <w:br w:type="page"/>
      </w:r>
      <w:bookmarkEnd w:id="303"/>
      <w:bookmarkEnd w:id="304"/>
      <w:bookmarkEnd w:id="305"/>
      <w:bookmarkEnd w:id="306"/>
      <w:bookmarkStart w:id="350" w:name="_Toc28926"/>
      <w:bookmarkStart w:id="351" w:name="_Toc23973"/>
      <w:bookmarkStart w:id="352" w:name="_Toc515647819"/>
      <w:bookmarkStart w:id="353" w:name="_Toc18267"/>
      <w:bookmarkStart w:id="354" w:name="_Toc216582816"/>
      <w:bookmarkStart w:id="355" w:name="_Toc14037"/>
      <w:r>
        <w:rPr>
          <w:rFonts w:hint="eastAsia" w:ascii="微软雅黑" w:hAnsi="微软雅黑" w:eastAsia="微软雅黑" w:cs="微软雅黑"/>
          <w:b/>
          <w:bCs/>
          <w:color w:val="auto"/>
          <w:sz w:val="24"/>
          <w:szCs w:val="24"/>
          <w:highlight w:val="none"/>
        </w:rPr>
        <w:t>1、投标书</w:t>
      </w:r>
      <w:bookmarkEnd w:id="350"/>
      <w:bookmarkEnd w:id="351"/>
    </w:p>
    <w:p>
      <w:pPr>
        <w:tabs>
          <w:tab w:val="left" w:pos="5580"/>
        </w:tabs>
        <w:spacing w:line="400" w:lineRule="exact"/>
        <w:ind w:left="1080" w:hanging="10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5"/>
        <w:tabs>
          <w:tab w:val="left" w:pos="5580"/>
        </w:tabs>
        <w:spacing w:line="400" w:lineRule="exac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color w:val="auto"/>
          <w:sz w:val="24"/>
          <w:szCs w:val="24"/>
          <w:highlight w:val="none"/>
          <w:u w:val="single"/>
        </w:rPr>
        <w:t>项目名称</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i/>
          <w:color w:val="auto"/>
          <w:sz w:val="24"/>
          <w:szCs w:val="24"/>
          <w:highlight w:val="none"/>
          <w:u w:val="single"/>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color w:val="auto"/>
          <w:sz w:val="24"/>
          <w:szCs w:val="24"/>
          <w:highlight w:val="none"/>
          <w:u w:val="single"/>
        </w:rPr>
        <w:t>名称、地址</w:t>
      </w:r>
      <w:r>
        <w:rPr>
          <w:rFonts w:hint="eastAsia" w:ascii="微软雅黑" w:hAnsi="微软雅黑" w:eastAsia="微软雅黑" w:cs="微软雅黑"/>
          <w:color w:val="auto"/>
          <w:sz w:val="24"/>
          <w:szCs w:val="24"/>
          <w:highlight w:val="none"/>
        </w:rPr>
        <w:t>）提交下述文件正本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份及电子文档</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pPr>
        <w:pStyle w:val="15"/>
        <w:tabs>
          <w:tab w:val="left" w:pos="720"/>
          <w:tab w:val="left" w:pos="900"/>
        </w:tabs>
        <w:spacing w:line="400" w:lineRule="exac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（1）附投标价格表中规定的应提供服务的投标总价详见开标一览表，</w:t>
      </w:r>
      <w:r>
        <w:rPr>
          <w:rFonts w:hint="eastAsia" w:ascii="微软雅黑" w:hAnsi="微软雅黑" w:eastAsia="微软雅黑" w:cs="微软雅黑"/>
          <w:color w:val="auto"/>
          <w:sz w:val="24"/>
          <w:szCs w:val="24"/>
          <w:highlight w:val="none"/>
          <w:u w:val="single"/>
        </w:rPr>
        <w:t>其中由小型和</w:t>
      </w:r>
      <w:r>
        <w:rPr>
          <w:rFonts w:hint="eastAsia" w:ascii="微软雅黑" w:hAnsi="微软雅黑" w:eastAsia="微软雅黑" w:cs="微软雅黑"/>
          <w:color w:val="auto"/>
          <w:sz w:val="24"/>
          <w:szCs w:val="24"/>
          <w:highlight w:val="none"/>
        </w:rPr>
        <w:t>微型企业制造产品的价格为</w:t>
      </w:r>
      <w:r>
        <w:rPr>
          <w:rFonts w:hint="eastAsia" w:ascii="微软雅黑" w:hAnsi="微软雅黑" w:eastAsia="微软雅黑" w:cs="微软雅黑"/>
          <w:color w:val="auto"/>
          <w:sz w:val="24"/>
          <w:szCs w:val="24"/>
          <w:highlight w:val="none"/>
          <w:u w:val="single"/>
        </w:rPr>
        <w:t>　　  （用文字和数字表示），占投标总价   %</w:t>
      </w:r>
      <w:r>
        <w:rPr>
          <w:rFonts w:hint="eastAsia" w:ascii="微软雅黑" w:hAnsi="微软雅黑" w:eastAsia="微软雅黑" w:cs="微软雅黑"/>
          <w:color w:val="auto"/>
          <w:sz w:val="24"/>
          <w:szCs w:val="24"/>
          <w:highlight w:val="none"/>
        </w:rPr>
        <w:t>。</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pPr>
        <w:pStyle w:val="15"/>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rPr>
        <w:t xml:space="preserve">               </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pPr>
        <w:pStyle w:val="15"/>
        <w:tabs>
          <w:tab w:val="left" w:pos="5580"/>
        </w:tabs>
        <w:spacing w:line="400" w:lineRule="exact"/>
        <w:ind w:left="1080" w:leftChars="257" w:hanging="54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bookmarkStart w:id="356" w:name="_Toc23473"/>
      <w:bookmarkStart w:id="357" w:name="_Toc30947"/>
      <w:bookmarkStart w:id="358" w:name="_Toc19819"/>
      <w:bookmarkStart w:id="359" w:name="_Toc14219"/>
      <w:bookmarkStart w:id="360" w:name="_Toc6738"/>
      <w:bookmarkStart w:id="361" w:name="_Toc1266"/>
    </w:p>
    <w:p>
      <w:pPr>
        <w:pStyle w:val="15"/>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362" w:name="_Toc32253"/>
      <w:bookmarkStart w:id="363" w:name="_Toc13235"/>
      <w:r>
        <w:rPr>
          <w:rFonts w:hint="eastAsia" w:ascii="微软雅黑" w:hAnsi="微软雅黑" w:eastAsia="微软雅黑" w:cs="微软雅黑"/>
          <w:b/>
          <w:bCs/>
          <w:color w:val="auto"/>
          <w:sz w:val="28"/>
          <w:szCs w:val="28"/>
          <w:highlight w:val="none"/>
        </w:rPr>
        <w:t>2</w:t>
      </w:r>
      <w:bookmarkEnd w:id="356"/>
      <w:bookmarkEnd w:id="357"/>
      <w:bookmarkEnd w:id="358"/>
      <w:bookmarkEnd w:id="359"/>
      <w:bookmarkEnd w:id="360"/>
      <w:bookmarkEnd w:id="361"/>
      <w:r>
        <w:rPr>
          <w:rFonts w:hint="eastAsia" w:ascii="微软雅黑" w:hAnsi="微软雅黑" w:eastAsia="微软雅黑" w:cs="微软雅黑"/>
          <w:b/>
          <w:bCs/>
          <w:color w:val="auto"/>
          <w:sz w:val="28"/>
          <w:szCs w:val="28"/>
          <w:highlight w:val="none"/>
        </w:rPr>
        <w:t>、投标分项报价表</w:t>
      </w:r>
      <w:bookmarkEnd w:id="362"/>
      <w:bookmarkEnd w:id="363"/>
    </w:p>
    <w:p>
      <w:pPr>
        <w:pStyle w:val="15"/>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pPr>
        <w:pStyle w:val="15"/>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报价单位：       人民币元</w:t>
      </w:r>
    </w:p>
    <w:tbl>
      <w:tblPr>
        <w:tblStyle w:val="34"/>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84"/>
        <w:gridCol w:w="1931"/>
        <w:gridCol w:w="1380"/>
        <w:gridCol w:w="141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0" w:type="dxa"/>
            <w:noWrap/>
            <w:vAlign w:val="center"/>
          </w:tcPr>
          <w:p>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884"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名称</w:t>
            </w:r>
          </w:p>
        </w:tc>
        <w:tc>
          <w:tcPr>
            <w:tcW w:w="1931"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380"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1410"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975"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0" w:type="dxa"/>
            <w:noWrap/>
            <w:vAlign w:val="center"/>
          </w:tcPr>
          <w:p>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2884"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p>
        </w:tc>
        <w:tc>
          <w:tcPr>
            <w:tcW w:w="1931"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38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975"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2884"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p>
        </w:tc>
        <w:tc>
          <w:tcPr>
            <w:tcW w:w="1931"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38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975"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noWrap/>
            <w:vAlign w:val="center"/>
          </w:tcPr>
          <w:p>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2884"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p>
        </w:tc>
        <w:tc>
          <w:tcPr>
            <w:tcW w:w="1931"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38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975"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2884"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p>
        </w:tc>
        <w:tc>
          <w:tcPr>
            <w:tcW w:w="1931"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38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975"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0" w:type="dxa"/>
            <w:noWrap/>
            <w:vAlign w:val="center"/>
          </w:tcPr>
          <w:p>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2884" w:type="dxa"/>
            <w:noWrap/>
            <w:vAlign w:val="center"/>
          </w:tcPr>
          <w:p>
            <w:pPr>
              <w:pStyle w:val="15"/>
              <w:spacing w:line="400" w:lineRule="exact"/>
              <w:jc w:val="center"/>
              <w:rPr>
                <w:rFonts w:hint="eastAsia" w:ascii="微软雅黑" w:hAnsi="微软雅黑" w:eastAsia="微软雅黑" w:cs="微软雅黑"/>
                <w:color w:val="auto"/>
                <w:sz w:val="24"/>
                <w:szCs w:val="24"/>
                <w:highlight w:val="none"/>
              </w:rPr>
            </w:pPr>
          </w:p>
        </w:tc>
        <w:tc>
          <w:tcPr>
            <w:tcW w:w="1931"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38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0"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975" w:type="dxa"/>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05" w:type="dxa"/>
            <w:gridSpan w:val="4"/>
            <w:noWrap/>
            <w:vAlign w:val="center"/>
          </w:tcPr>
          <w:p>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2385" w:type="dxa"/>
            <w:gridSpan w:val="2"/>
            <w:noWrap/>
            <w:vAlign w:val="center"/>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r>
    </w:tbl>
    <w:p>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rPr>
        <w:tab/>
      </w:r>
    </w:p>
    <w:p>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注:1.如果供应商认为需要，每种服务填写一份该表。</w:t>
      </w:r>
    </w:p>
    <w:p>
      <w:pPr>
        <w:pStyle w:val="15"/>
        <w:spacing w:line="400" w:lineRule="exac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3.如果不提供详细分项报价将视为没有实质性响应招标文件。</w:t>
      </w:r>
    </w:p>
    <w:p>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pPr>
        <w:pStyle w:val="15"/>
        <w:spacing w:line="400" w:lineRule="exact"/>
        <w:ind w:left="1080" w:leftChars="257" w:hanging="540"/>
        <w:rPr>
          <w:rFonts w:hint="eastAsia" w:ascii="微软雅黑" w:hAnsi="微软雅黑" w:eastAsia="微软雅黑" w:cs="微软雅黑"/>
          <w:b/>
          <w:color w:val="auto"/>
          <w:kern w:val="0"/>
          <w:szCs w:val="21"/>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pPr>
        <w:pStyle w:val="15"/>
        <w:spacing w:line="360" w:lineRule="exact"/>
        <w:jc w:val="left"/>
        <w:outlineLvl w:val="9"/>
        <w:rPr>
          <w:rFonts w:hint="eastAsia" w:ascii="微软雅黑" w:hAnsi="微软雅黑" w:eastAsia="微软雅黑" w:cs="微软雅黑"/>
          <w:b/>
          <w:color w:val="auto"/>
          <w:kern w:val="0"/>
          <w:sz w:val="24"/>
          <w:lang w:val="en-US" w:eastAsia="zh-CN"/>
        </w:rPr>
      </w:pPr>
    </w:p>
    <w:p>
      <w:pPr>
        <w:pStyle w:val="15"/>
        <w:spacing w:line="360" w:lineRule="exact"/>
        <w:jc w:val="center"/>
        <w:outlineLvl w:val="1"/>
        <w:rPr>
          <w:rFonts w:hint="eastAsia" w:ascii="微软雅黑" w:hAnsi="微软雅黑" w:eastAsia="微软雅黑" w:cs="微软雅黑"/>
          <w:color w:val="auto"/>
          <w:sz w:val="24"/>
        </w:rPr>
      </w:pPr>
      <w:bookmarkStart w:id="364" w:name="_Toc29755"/>
      <w:r>
        <w:rPr>
          <w:rFonts w:hint="eastAsia" w:ascii="微软雅黑" w:hAnsi="微软雅黑" w:eastAsia="微软雅黑" w:cs="微软雅黑"/>
          <w:b/>
          <w:color w:val="auto"/>
          <w:kern w:val="0"/>
          <w:sz w:val="24"/>
          <w:lang w:val="en-US" w:eastAsia="zh-CN"/>
        </w:rPr>
        <w:br w:type="page"/>
      </w:r>
      <w:bookmarkStart w:id="365" w:name="_Toc27260"/>
      <w:r>
        <w:rPr>
          <w:rFonts w:hint="eastAsia" w:ascii="微软雅黑" w:hAnsi="微软雅黑" w:eastAsia="微软雅黑" w:cs="微软雅黑"/>
          <w:b/>
          <w:color w:val="auto"/>
          <w:kern w:val="0"/>
          <w:sz w:val="24"/>
          <w:lang w:val="en-US" w:eastAsia="zh-CN"/>
        </w:rPr>
        <w:t>3</w:t>
      </w:r>
      <w:r>
        <w:rPr>
          <w:rFonts w:hint="eastAsia" w:ascii="微软雅黑" w:hAnsi="微软雅黑" w:eastAsia="微软雅黑" w:cs="微软雅黑"/>
          <w:b/>
          <w:color w:val="auto"/>
          <w:kern w:val="0"/>
          <w:sz w:val="24"/>
          <w:lang w:eastAsia="zh-CN"/>
        </w:rPr>
        <w:t>、</w:t>
      </w:r>
      <w:r>
        <w:rPr>
          <w:rFonts w:hint="eastAsia" w:ascii="微软雅黑" w:hAnsi="微软雅黑" w:eastAsia="微软雅黑" w:cs="微软雅黑"/>
          <w:b/>
          <w:color w:val="auto"/>
          <w:kern w:val="0"/>
          <w:sz w:val="24"/>
          <w:lang w:val="en-US" w:eastAsia="zh-CN"/>
        </w:rPr>
        <w:t>服务</w:t>
      </w:r>
      <w:r>
        <w:rPr>
          <w:rFonts w:hint="eastAsia" w:ascii="微软雅黑" w:hAnsi="微软雅黑" w:eastAsia="微软雅黑" w:cs="微软雅黑"/>
          <w:b/>
          <w:color w:val="auto"/>
          <w:kern w:val="0"/>
          <w:sz w:val="24"/>
        </w:rPr>
        <w:t>说明一览表</w:t>
      </w:r>
      <w:bookmarkEnd w:id="352"/>
      <w:bookmarkEnd w:id="353"/>
      <w:bookmarkEnd w:id="354"/>
      <w:bookmarkEnd w:id="355"/>
      <w:bookmarkEnd w:id="364"/>
      <w:bookmarkEnd w:id="365"/>
    </w:p>
    <w:p>
      <w:pPr>
        <w:pStyle w:val="15"/>
        <w:spacing w:line="360" w:lineRule="exact"/>
        <w:ind w:left="1080" w:leftChars="257" w:hanging="540"/>
        <w:rPr>
          <w:rFonts w:hint="eastAsia" w:ascii="微软雅黑" w:hAnsi="微软雅黑" w:eastAsia="微软雅黑" w:cs="微软雅黑"/>
          <w:color w:val="auto"/>
          <w:sz w:val="24"/>
        </w:rPr>
      </w:pPr>
    </w:p>
    <w:p>
      <w:pPr>
        <w:pStyle w:val="15"/>
        <w:spacing w:line="360" w:lineRule="exact"/>
        <w:ind w:left="1080" w:leftChars="257" w:hanging="54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eastAsia="zh-CN"/>
        </w:rPr>
        <w:t>项目编号</w:t>
      </w:r>
      <w:r>
        <w:rPr>
          <w:rFonts w:hint="eastAsia" w:ascii="微软雅黑" w:hAnsi="微软雅黑" w:eastAsia="微软雅黑" w:cs="微软雅黑"/>
          <w:color w:val="auto"/>
          <w:sz w:val="24"/>
        </w:rPr>
        <w:t xml:space="preserve">:                                        </w:t>
      </w:r>
    </w:p>
    <w:p>
      <w:pPr>
        <w:pStyle w:val="15"/>
        <w:spacing w:line="360" w:lineRule="exact"/>
        <w:ind w:left="1080" w:leftChars="257" w:hanging="540"/>
        <w:rPr>
          <w:rFonts w:hint="eastAsia" w:ascii="微软雅黑" w:hAnsi="微软雅黑" w:eastAsia="微软雅黑" w:cs="微软雅黑"/>
          <w:color w:val="auto"/>
          <w:sz w:val="24"/>
        </w:rPr>
      </w:pPr>
    </w:p>
    <w:tbl>
      <w:tblPr>
        <w:tblStyle w:val="34"/>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center"/>
          </w:tcPr>
          <w:p>
            <w:pPr>
              <w:pStyle w:val="15"/>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17" w:type="dxa"/>
            <w:noWrap w:val="0"/>
            <w:vAlign w:val="center"/>
          </w:tcPr>
          <w:p>
            <w:pPr>
              <w:pStyle w:val="15"/>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名称</w:t>
            </w:r>
          </w:p>
        </w:tc>
        <w:tc>
          <w:tcPr>
            <w:tcW w:w="1196" w:type="dxa"/>
            <w:noWrap w:val="0"/>
            <w:vAlign w:val="center"/>
          </w:tcPr>
          <w:p>
            <w:pPr>
              <w:pStyle w:val="15"/>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内容</w:t>
            </w:r>
          </w:p>
        </w:tc>
        <w:tc>
          <w:tcPr>
            <w:tcW w:w="1078" w:type="dxa"/>
            <w:noWrap w:val="0"/>
            <w:vAlign w:val="center"/>
          </w:tcPr>
          <w:p>
            <w:pPr>
              <w:pStyle w:val="15"/>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1317" w:type="dxa"/>
            <w:noWrap w:val="0"/>
            <w:vAlign w:val="center"/>
          </w:tcPr>
          <w:p>
            <w:pPr>
              <w:pStyle w:val="15"/>
              <w:spacing w:line="240" w:lineRule="atLeas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服务期限</w:t>
            </w:r>
          </w:p>
        </w:tc>
        <w:tc>
          <w:tcPr>
            <w:tcW w:w="1436" w:type="dxa"/>
            <w:noWrap w:val="0"/>
            <w:vAlign w:val="center"/>
          </w:tcPr>
          <w:p>
            <w:pPr>
              <w:pStyle w:val="15"/>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地点</w:t>
            </w:r>
          </w:p>
        </w:tc>
        <w:tc>
          <w:tcPr>
            <w:tcW w:w="1317" w:type="dxa"/>
            <w:noWrap w:val="0"/>
            <w:vAlign w:val="center"/>
          </w:tcPr>
          <w:p>
            <w:pPr>
              <w:pStyle w:val="15"/>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19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078"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436"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c>
          <w:tcPr>
            <w:tcW w:w="1317" w:type="dxa"/>
            <w:noWrap w:val="0"/>
            <w:vAlign w:val="top"/>
          </w:tcPr>
          <w:p>
            <w:pPr>
              <w:pStyle w:val="15"/>
              <w:spacing w:line="240" w:lineRule="atLeast"/>
              <w:ind w:left="1080" w:leftChars="257" w:hanging="540"/>
              <w:rPr>
                <w:rFonts w:ascii="微软雅黑" w:hAnsi="微软雅黑" w:eastAsia="微软雅黑" w:cs="微软雅黑"/>
                <w:color w:val="auto"/>
                <w:sz w:val="24"/>
                <w:szCs w:val="24"/>
              </w:rPr>
            </w:pPr>
          </w:p>
        </w:tc>
      </w:tr>
    </w:tbl>
    <w:p>
      <w:pPr>
        <w:pStyle w:val="15"/>
        <w:spacing w:line="360" w:lineRule="exact"/>
        <w:ind w:left="1080" w:leftChars="257" w:hanging="540"/>
        <w:rPr>
          <w:rFonts w:hint="eastAsia" w:ascii="微软雅黑" w:hAnsi="微软雅黑" w:eastAsia="微软雅黑" w:cs="微软雅黑"/>
          <w:color w:val="auto"/>
          <w:sz w:val="24"/>
        </w:rPr>
      </w:pPr>
    </w:p>
    <w:p>
      <w:pPr>
        <w:pStyle w:val="15"/>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kern w:val="2"/>
          <w:sz w:val="24"/>
          <w:szCs w:val="20"/>
          <w:lang w:val="en-US" w:eastAsia="zh-CN" w:bidi="ar-SA"/>
        </w:rPr>
        <w:t>（签/章）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rPr>
        <w:tab/>
      </w:r>
      <w:r>
        <w:rPr>
          <w:rFonts w:hint="eastAsia" w:ascii="微软雅黑" w:hAnsi="微软雅黑" w:eastAsia="微软雅黑" w:cs="微软雅黑"/>
          <w:color w:val="auto"/>
          <w:sz w:val="24"/>
          <w:u w:val="single"/>
        </w:rPr>
        <w:t xml:space="preserve">                 </w:t>
      </w:r>
    </w:p>
    <w:p>
      <w:pPr>
        <w:pStyle w:val="15"/>
        <w:tabs>
          <w:tab w:val="left" w:pos="5370"/>
        </w:tabs>
        <w:spacing w:line="360" w:lineRule="exact"/>
        <w:ind w:left="1080" w:leftChars="257" w:hanging="54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kern w:val="2"/>
          <w:sz w:val="24"/>
          <w:szCs w:val="20"/>
          <w:lang w:val="en-US" w:eastAsia="zh-CN" w:bidi="ar-SA"/>
        </w:rPr>
        <w:t xml:space="preserve">（公章） </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ab/>
      </w:r>
    </w:p>
    <w:p>
      <w:pPr>
        <w:pStyle w:val="15"/>
        <w:spacing w:line="360" w:lineRule="exact"/>
        <w:ind w:left="1080" w:leftChars="257" w:hanging="540"/>
        <w:rPr>
          <w:rFonts w:hint="eastAsia" w:ascii="微软雅黑" w:hAnsi="微软雅黑" w:eastAsia="微软雅黑" w:cs="微软雅黑"/>
          <w:color w:val="auto"/>
          <w:sz w:val="24"/>
        </w:rPr>
      </w:pPr>
    </w:p>
    <w:p>
      <w:pPr>
        <w:pStyle w:val="15"/>
        <w:spacing w:line="360" w:lineRule="exact"/>
        <w:ind w:left="1080" w:leftChars="257" w:hanging="540"/>
        <w:jc w:val="both"/>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 各项服务详细技术性能应另页描述。</w:t>
      </w:r>
    </w:p>
    <w:p>
      <w:pPr>
        <w:pStyle w:val="15"/>
        <w:spacing w:line="360" w:lineRule="exact"/>
        <w:ind w:left="1080" w:leftChars="257" w:hanging="540"/>
        <w:jc w:val="center"/>
        <w:rPr>
          <w:rFonts w:hint="eastAsia" w:ascii="微软雅黑" w:hAnsi="微软雅黑" w:eastAsia="微软雅黑" w:cs="微软雅黑"/>
          <w:color w:val="auto"/>
          <w:sz w:val="24"/>
        </w:rPr>
      </w:pPr>
    </w:p>
    <w:p>
      <w:pPr>
        <w:pStyle w:val="15"/>
        <w:spacing w:line="360" w:lineRule="exact"/>
        <w:ind w:left="1080" w:leftChars="257" w:hanging="540"/>
        <w:jc w:val="center"/>
        <w:rPr>
          <w:rFonts w:hint="eastAsia" w:ascii="微软雅黑" w:hAnsi="微软雅黑" w:eastAsia="微软雅黑" w:cs="微软雅黑"/>
          <w:color w:val="auto"/>
          <w:sz w:val="24"/>
        </w:rPr>
        <w:sectPr>
          <w:footerReference r:id="rId5" w:type="default"/>
          <w:pgSz w:w="11906" w:h="16838"/>
          <w:pgMar w:top="1440" w:right="1797" w:bottom="1440" w:left="1797" w:header="851" w:footer="992" w:gutter="0"/>
          <w:pgNumType w:fmt="decimal" w:start="1"/>
          <w:cols w:space="720" w:num="1"/>
          <w:docGrid w:linePitch="312" w:charSpace="0"/>
        </w:sectPr>
      </w:pPr>
    </w:p>
    <w:p>
      <w:pPr>
        <w:pStyle w:val="15"/>
        <w:spacing w:line="240" w:lineRule="atLeast"/>
        <w:ind w:left="1080" w:leftChars="257" w:hanging="540"/>
        <w:jc w:val="center"/>
        <w:outlineLvl w:val="1"/>
        <w:rPr>
          <w:rFonts w:hint="eastAsia" w:ascii="微软雅黑" w:hAnsi="微软雅黑" w:eastAsia="微软雅黑" w:cs="微软雅黑"/>
          <w:color w:val="auto"/>
          <w:szCs w:val="21"/>
          <w:highlight w:val="none"/>
        </w:rPr>
      </w:pPr>
      <w:bookmarkStart w:id="366" w:name="_Toc8647"/>
      <w:bookmarkStart w:id="367" w:name="_Toc13174"/>
      <w:bookmarkStart w:id="368" w:name="_Toc216582817"/>
      <w:bookmarkStart w:id="369" w:name="_Toc22563"/>
      <w:bookmarkStart w:id="370" w:name="_Toc515647820"/>
      <w:bookmarkStart w:id="371" w:name="_Toc28959"/>
      <w:bookmarkStart w:id="372" w:name="_Toc3098"/>
      <w:r>
        <w:rPr>
          <w:rFonts w:hint="eastAsia" w:ascii="微软雅黑" w:hAnsi="微软雅黑" w:eastAsia="微软雅黑" w:cs="微软雅黑"/>
          <w:b/>
          <w:bCs/>
          <w:color w:val="auto"/>
          <w:sz w:val="28"/>
          <w:szCs w:val="28"/>
          <w:highlight w:val="none"/>
        </w:rPr>
        <w:t>4、服务规格偏离表</w:t>
      </w:r>
      <w:bookmarkEnd w:id="366"/>
      <w:bookmarkEnd w:id="367"/>
    </w:p>
    <w:p>
      <w:pPr>
        <w:pStyle w:val="15"/>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pPr>
        <w:pStyle w:val="15"/>
        <w:spacing w:line="400" w:lineRule="exact"/>
        <w:ind w:left="1080" w:leftChars="257" w:hanging="540"/>
        <w:rPr>
          <w:rFonts w:hint="eastAsia" w:ascii="微软雅黑" w:hAnsi="微软雅黑" w:eastAsia="微软雅黑" w:cs="微软雅黑"/>
          <w:color w:val="auto"/>
          <w:sz w:val="24"/>
          <w:szCs w:val="24"/>
          <w:highlight w:val="none"/>
        </w:rPr>
      </w:pPr>
    </w:p>
    <w:tbl>
      <w:tblPr>
        <w:tblStyle w:val="3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noWrap w:val="0"/>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服务</w:t>
            </w:r>
            <w:r>
              <w:rPr>
                <w:rFonts w:hint="eastAsia" w:ascii="微软雅黑" w:hAnsi="微软雅黑" w:eastAsia="微软雅黑" w:cs="微软雅黑"/>
                <w:color w:val="auto"/>
                <w:sz w:val="24"/>
                <w:szCs w:val="24"/>
                <w:highlight w:val="none"/>
              </w:rPr>
              <w:t>名称</w:t>
            </w:r>
          </w:p>
        </w:tc>
        <w:tc>
          <w:tcPr>
            <w:tcW w:w="2472" w:type="dxa"/>
            <w:noWrap w:val="0"/>
            <w:vAlign w:val="center"/>
          </w:tcPr>
          <w:p>
            <w:pPr>
              <w:pStyle w:val="15"/>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331" w:type="dxa"/>
            <w:noWrap w:val="0"/>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noWrap w:val="0"/>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950" w:type="dxa"/>
            <w:noWrap w:val="0"/>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1" w:type="dxa"/>
            <w:noWrap w:val="0"/>
            <w:vAlign w:val="center"/>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5"/>
        <w:tabs>
          <w:tab w:val="left" w:pos="5370"/>
        </w:tabs>
        <w:spacing w:line="400" w:lineRule="exact"/>
        <w:ind w:left="1080" w:leftChars="257" w:hanging="54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rPr>
        <w:tab/>
      </w:r>
    </w:p>
    <w:p>
      <w:pPr>
        <w:pStyle w:val="4"/>
        <w:keepNext/>
        <w:keepLines/>
        <w:pageBreakBefore w:val="0"/>
        <w:widowControl w:val="0"/>
        <w:kinsoku/>
        <w:wordWrap/>
        <w:overflowPunct/>
        <w:topLinePunct w:val="0"/>
        <w:autoSpaceDE w:val="0"/>
        <w:autoSpaceDN w:val="0"/>
        <w:bidi w:val="0"/>
        <w:adjustRightInd w:val="0"/>
        <w:snapToGrid/>
        <w:spacing w:before="0" w:line="240" w:lineRule="atLeast"/>
        <w:ind w:firstLine="0" w:firstLineChars="0"/>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4"/>
          <w:lang w:val="en-US" w:eastAsia="zh-CN"/>
        </w:rPr>
        <w:br w:type="page"/>
      </w:r>
      <w:bookmarkEnd w:id="368"/>
      <w:bookmarkEnd w:id="369"/>
      <w:bookmarkEnd w:id="370"/>
      <w:bookmarkEnd w:id="371"/>
      <w:bookmarkEnd w:id="372"/>
      <w:bookmarkStart w:id="373" w:name="_Toc1409"/>
      <w:bookmarkStart w:id="374" w:name="_Toc4690"/>
      <w:r>
        <w:rPr>
          <w:rFonts w:hint="eastAsia" w:ascii="微软雅黑" w:hAnsi="微软雅黑" w:eastAsia="微软雅黑" w:cs="微软雅黑"/>
          <w:color w:val="auto"/>
          <w:sz w:val="28"/>
          <w:szCs w:val="28"/>
          <w:highlight w:val="none"/>
        </w:rPr>
        <w:t>5、商务条款偏离表</w:t>
      </w:r>
      <w:bookmarkEnd w:id="373"/>
      <w:bookmarkEnd w:id="374"/>
    </w:p>
    <w:p>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tbl>
      <w:tblPr>
        <w:tblStyle w:val="34"/>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noWrap w:val="0"/>
            <w:vAlign w:val="top"/>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520" w:type="dxa"/>
            <w:noWrap w:val="0"/>
            <w:vAlign w:val="top"/>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520" w:type="dxa"/>
            <w:noWrap w:val="0"/>
            <w:vAlign w:val="top"/>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1014" w:type="dxa"/>
            <w:noWrap w:val="0"/>
            <w:vAlign w:val="top"/>
          </w:tcPr>
          <w:p>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rPr>
        <w:tab/>
      </w:r>
    </w:p>
    <w:p>
      <w:pPr>
        <w:pStyle w:val="15"/>
        <w:tabs>
          <w:tab w:val="left" w:pos="5370"/>
        </w:tabs>
        <w:spacing w:line="360" w:lineRule="exact"/>
        <w:ind w:left="1080" w:leftChars="257" w:hanging="540"/>
        <w:rPr>
          <w:rFonts w:hint="eastAsia" w:ascii="微软雅黑" w:hAnsi="微软雅黑" w:eastAsia="微软雅黑" w:cs="微软雅黑"/>
          <w:color w:val="auto"/>
          <w:sz w:val="24"/>
          <w:u w:val="single"/>
        </w:rPr>
      </w:pPr>
    </w:p>
    <w:p>
      <w:pPr>
        <w:pStyle w:val="15"/>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single"/>
        </w:rPr>
        <w:br w:type="page"/>
      </w:r>
    </w:p>
    <w:p>
      <w:pPr>
        <w:pStyle w:val="8"/>
        <w:keepNext w:val="0"/>
        <w:keepLines w:val="0"/>
        <w:pageBreakBefore w:val="0"/>
        <w:widowControl w:val="0"/>
        <w:kinsoku/>
        <w:wordWrap/>
        <w:overflowPunct/>
        <w:topLinePunct w:val="0"/>
        <w:autoSpaceDE w:val="0"/>
        <w:autoSpaceDN w:val="0"/>
        <w:bidi w:val="0"/>
        <w:adjustRightInd w:val="0"/>
        <w:snapToGrid/>
        <w:spacing w:line="360" w:lineRule="exact"/>
        <w:ind w:firstLine="420"/>
        <w:textAlignment w:val="auto"/>
        <w:outlineLvl w:val="1"/>
        <w:rPr>
          <w:rFonts w:hint="eastAsia" w:ascii="微软雅黑" w:hAnsi="微软雅黑" w:eastAsia="微软雅黑" w:cs="微软雅黑"/>
          <w:b/>
          <w:color w:val="auto"/>
          <w:sz w:val="28"/>
          <w:szCs w:val="18"/>
        </w:rPr>
      </w:pPr>
      <w:bookmarkStart w:id="375" w:name="_Hlt520273711"/>
      <w:bookmarkEnd w:id="375"/>
      <w:bookmarkStart w:id="376" w:name="_Hlt520274911"/>
      <w:bookmarkEnd w:id="376"/>
      <w:bookmarkStart w:id="377" w:name="_Hlt520271212"/>
      <w:bookmarkEnd w:id="377"/>
      <w:bookmarkStart w:id="378" w:name="_Hlt520274407"/>
      <w:bookmarkEnd w:id="378"/>
      <w:bookmarkStart w:id="379" w:name="_Hlt520274065"/>
      <w:bookmarkEnd w:id="379"/>
      <w:bookmarkStart w:id="380" w:name="_Hlt520343392"/>
      <w:bookmarkEnd w:id="380"/>
      <w:bookmarkStart w:id="381" w:name="_Hlt520273973"/>
      <w:bookmarkEnd w:id="381"/>
      <w:bookmarkStart w:id="382" w:name="_Hlt520343000"/>
      <w:bookmarkEnd w:id="382"/>
      <w:bookmarkStart w:id="383" w:name="_Hlt520350957"/>
      <w:bookmarkEnd w:id="383"/>
      <w:bookmarkStart w:id="384" w:name="_Hlt520274393"/>
      <w:bookmarkEnd w:id="384"/>
      <w:bookmarkStart w:id="385" w:name="_Hlt520350918"/>
      <w:bookmarkEnd w:id="385"/>
      <w:bookmarkStart w:id="386" w:name="_Toc22738"/>
      <w:r>
        <w:rPr>
          <w:rFonts w:hint="eastAsia" w:ascii="微软雅黑" w:hAnsi="微软雅黑" w:eastAsia="微软雅黑" w:cs="微软雅黑"/>
          <w:b/>
          <w:color w:val="auto"/>
          <w:sz w:val="28"/>
          <w:szCs w:val="18"/>
        </w:rPr>
        <w:t>6-1  中小企业声明函</w:t>
      </w:r>
      <w:bookmarkEnd w:id="386"/>
    </w:p>
    <w:p>
      <w:pPr>
        <w:widowControl/>
        <w:spacing w:before="100" w:beforeAutospacing="1" w:after="100" w:afterAutospacing="1" w:line="330" w:lineRule="atLeast"/>
        <w:ind w:firstLine="480" w:firstLineChars="200"/>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4"/>
          <w:szCs w:val="24"/>
          <w:u w:val="single"/>
          <w:lang w:val="en-US" w:eastAsia="zh-CN"/>
        </w:rPr>
        <w:t>（单位名称  ）</w:t>
      </w:r>
      <w:r>
        <w:rPr>
          <w:rFonts w:hint="eastAsia" w:ascii="微软雅黑" w:hAnsi="微软雅黑" w:eastAsia="微软雅黑" w:cs="微软雅黑"/>
          <w:color w:val="auto"/>
          <w:kern w:val="0"/>
          <w:sz w:val="24"/>
          <w:szCs w:val="24"/>
          <w:lang w:val="en-US" w:eastAsia="zh-CN"/>
        </w:rPr>
        <w:t>的</w:t>
      </w:r>
      <w:r>
        <w:rPr>
          <w:rFonts w:hint="eastAsia" w:ascii="微软雅黑" w:hAnsi="微软雅黑" w:eastAsia="微软雅黑" w:cs="微软雅黑"/>
          <w:color w:val="auto"/>
          <w:kern w:val="0"/>
          <w:sz w:val="24"/>
          <w:szCs w:val="24"/>
          <w:u w:val="single"/>
          <w:lang w:val="en-US" w:eastAsia="zh-CN"/>
        </w:rPr>
        <w:t xml:space="preserve">  </w:t>
      </w:r>
      <w:r>
        <w:rPr>
          <w:rFonts w:hint="eastAsia" w:ascii="微软雅黑" w:hAnsi="微软雅黑" w:eastAsia="微软雅黑" w:cs="微软雅黑"/>
          <w:i/>
          <w:iCs/>
          <w:color w:val="auto"/>
          <w:kern w:val="0"/>
          <w:sz w:val="24"/>
          <w:szCs w:val="24"/>
          <w:u w:val="single"/>
          <w:lang w:val="en-US" w:eastAsia="zh-CN"/>
        </w:rPr>
        <w:t>（项目名称）</w:t>
      </w:r>
      <w:r>
        <w:rPr>
          <w:rFonts w:hint="eastAsia" w:ascii="微软雅黑" w:hAnsi="微软雅黑" w:eastAsia="微软雅黑" w:cs="微软雅黑"/>
          <w:color w:val="auto"/>
          <w:kern w:val="0"/>
          <w:sz w:val="24"/>
          <w:szCs w:val="24"/>
          <w:lang w:val="en-US" w:eastAsia="zh-CN"/>
        </w:rPr>
        <w:t>采购活动，服务全部由符合政策要求的中小企业承接。相关企业（含联合 体中的中小企业、签订分包意向协议的中小企业）的具体情况如下：</w:t>
      </w:r>
    </w:p>
    <w:p>
      <w:pPr>
        <w:pStyle w:val="93"/>
        <w:numPr>
          <w:ilvl w:val="0"/>
          <w:numId w:val="0"/>
        </w:numPr>
        <w:tabs>
          <w:tab w:val="left" w:pos="1243"/>
        </w:tabs>
        <w:spacing w:before="0" w:after="0" w:line="402" w:lineRule="exact"/>
        <w:ind w:right="0" w:rightChars="0" w:firstLine="480" w:firstLineChars="200"/>
        <w:jc w:val="both"/>
        <w:rPr>
          <w:rFonts w:hint="eastAsia" w:ascii="微软雅黑" w:hAnsi="微软雅黑" w:eastAsia="微软雅黑" w:cs="微软雅黑"/>
          <w:color w:val="auto"/>
          <w:kern w:val="0"/>
          <w:sz w:val="24"/>
          <w:szCs w:val="24"/>
          <w:u w:val="none"/>
          <w:lang w:val="en-US" w:eastAsia="zh-CN" w:bidi="ar-SA"/>
        </w:rPr>
      </w:pPr>
      <w:r>
        <w:rPr>
          <w:rFonts w:hint="eastAsia" w:ascii="微软雅黑" w:hAnsi="微软雅黑" w:eastAsia="微软雅黑" w:cs="微软雅黑"/>
          <w:color w:val="auto"/>
          <w:kern w:val="0"/>
          <w:sz w:val="24"/>
          <w:szCs w:val="24"/>
          <w:u w:val="none"/>
          <w:lang w:val="en-US" w:eastAsia="zh-CN" w:bidi="ar-SA"/>
        </w:rPr>
        <w:t>1.</w:t>
      </w:r>
      <w:r>
        <w:rPr>
          <w:rFonts w:hint="eastAsia" w:ascii="微软雅黑" w:hAnsi="微软雅黑" w:eastAsia="微软雅黑" w:cs="微软雅黑"/>
          <w:i/>
          <w:iCs/>
          <w:color w:val="auto"/>
          <w:kern w:val="0"/>
          <w:sz w:val="24"/>
          <w:szCs w:val="24"/>
          <w:u w:val="single"/>
          <w:lang w:val="en-US" w:eastAsia="zh-CN" w:bidi="ar-SA"/>
        </w:rPr>
        <w:t>（标的名称）</w:t>
      </w:r>
      <w:r>
        <w:rPr>
          <w:rFonts w:hint="eastAsia" w:ascii="微软雅黑" w:hAnsi="微软雅黑" w:eastAsia="微软雅黑" w:cs="微软雅黑"/>
          <w:color w:val="auto"/>
          <w:kern w:val="0"/>
          <w:sz w:val="24"/>
          <w:szCs w:val="24"/>
          <w:u w:val="none"/>
          <w:lang w:val="en-US" w:eastAsia="zh-CN" w:bidi="ar-SA"/>
        </w:rPr>
        <w:t>，属于</w:t>
      </w:r>
      <w:r>
        <w:rPr>
          <w:rFonts w:hint="eastAsia" w:ascii="微软雅黑" w:hAnsi="微软雅黑" w:eastAsia="微软雅黑" w:cs="微软雅黑"/>
          <w:i/>
          <w:iCs/>
          <w:color w:val="auto"/>
          <w:kern w:val="0"/>
          <w:sz w:val="24"/>
          <w:szCs w:val="24"/>
          <w:u w:val="single"/>
          <w:lang w:val="en-US" w:eastAsia="zh-CN" w:bidi="ar-SA"/>
        </w:rPr>
        <w:t>（采购文件中明确的所属行业）</w:t>
      </w:r>
      <w:r>
        <w:rPr>
          <w:rFonts w:hint="eastAsia" w:ascii="微软雅黑" w:hAnsi="微软雅黑" w:eastAsia="微软雅黑" w:cs="微软雅黑"/>
          <w:color w:val="auto"/>
          <w:kern w:val="0"/>
          <w:sz w:val="24"/>
          <w:szCs w:val="24"/>
          <w:u w:val="none"/>
          <w:lang w:val="en-US" w:eastAsia="zh-CN" w:bidi="ar-SA"/>
        </w:rPr>
        <w:t xml:space="preserve">；承接企业为 </w:t>
      </w:r>
      <w:r>
        <w:rPr>
          <w:rFonts w:hint="eastAsia" w:ascii="微软雅黑" w:hAnsi="微软雅黑" w:eastAsia="微软雅黑" w:cs="微软雅黑"/>
          <w:i/>
          <w:iCs/>
          <w:color w:val="auto"/>
          <w:kern w:val="0"/>
          <w:sz w:val="24"/>
          <w:szCs w:val="24"/>
          <w:u w:val="single"/>
          <w:lang w:val="en-US" w:eastAsia="zh-CN" w:bidi="ar-SA"/>
        </w:rPr>
        <w:t xml:space="preserve">  （企业名称） </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none"/>
          <w:lang w:val="en-US" w:eastAsia="zh-CN" w:bidi="ar-SA"/>
        </w:rPr>
        <w:t>，从业人员</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none"/>
          <w:lang w:val="en-US" w:eastAsia="zh-CN" w:bidi="ar-SA"/>
        </w:rPr>
        <w:t>人，营业收入为</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none"/>
          <w:lang w:val="en-US" w:eastAsia="zh-CN" w:bidi="ar-SA"/>
        </w:rPr>
        <w:t>万元，资产总额为</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none"/>
          <w:lang w:val="en-US" w:eastAsia="zh-CN" w:bidi="ar-SA"/>
        </w:rPr>
        <w:t>万元，属于</w:t>
      </w:r>
      <w:r>
        <w:rPr>
          <w:rFonts w:hint="eastAsia" w:ascii="微软雅黑" w:hAnsi="微软雅黑" w:eastAsia="微软雅黑" w:cs="微软雅黑"/>
          <w:i/>
          <w:iCs/>
          <w:color w:val="auto"/>
          <w:kern w:val="0"/>
          <w:sz w:val="24"/>
          <w:szCs w:val="24"/>
          <w:u w:val="single"/>
          <w:lang w:val="en-US" w:eastAsia="zh-CN" w:bidi="ar-SA"/>
        </w:rPr>
        <w:t>（中型企业、小型企业、微型企业）</w:t>
      </w:r>
      <w:r>
        <w:rPr>
          <w:rFonts w:hint="eastAsia" w:ascii="微软雅黑" w:hAnsi="微软雅黑" w:eastAsia="微软雅黑" w:cs="微软雅黑"/>
          <w:color w:val="auto"/>
          <w:kern w:val="0"/>
          <w:sz w:val="24"/>
          <w:szCs w:val="24"/>
          <w:u w:val="none"/>
          <w:lang w:val="en-US" w:eastAsia="zh-CN" w:bidi="ar-SA"/>
        </w:rPr>
        <w:t>；</w:t>
      </w:r>
    </w:p>
    <w:p>
      <w:pPr>
        <w:pStyle w:val="93"/>
        <w:numPr>
          <w:ilvl w:val="0"/>
          <w:numId w:val="0"/>
        </w:numPr>
        <w:tabs>
          <w:tab w:val="left" w:pos="1243"/>
        </w:tabs>
        <w:spacing w:before="0" w:after="0" w:line="402" w:lineRule="exact"/>
        <w:ind w:right="0" w:rightChars="0" w:firstLine="480" w:firstLineChars="200"/>
        <w:jc w:val="both"/>
        <w:rPr>
          <w:rFonts w:hint="eastAsia" w:ascii="微软雅黑" w:hAnsi="微软雅黑" w:eastAsia="微软雅黑" w:cs="微软雅黑"/>
          <w:color w:val="auto"/>
          <w:kern w:val="0"/>
          <w:sz w:val="24"/>
          <w:szCs w:val="24"/>
          <w:u w:val="single"/>
          <w:lang w:val="en-US" w:eastAsia="zh-CN" w:bidi="ar-SA"/>
        </w:rPr>
      </w:pPr>
      <w:r>
        <w:rPr>
          <w:rFonts w:hint="eastAsia" w:ascii="微软雅黑" w:hAnsi="微软雅黑" w:eastAsia="微软雅黑" w:cs="微软雅黑"/>
          <w:color w:val="auto"/>
          <w:kern w:val="0"/>
          <w:sz w:val="24"/>
          <w:szCs w:val="24"/>
          <w:u w:val="none" w:color="auto"/>
          <w:lang w:val="en-US" w:eastAsia="zh-CN" w:bidi="ar-SA"/>
        </w:rPr>
        <w:t>2.</w:t>
      </w:r>
      <w:r>
        <w:rPr>
          <w:rFonts w:hint="eastAsia" w:ascii="微软雅黑" w:hAnsi="微软雅黑" w:eastAsia="微软雅黑" w:cs="微软雅黑"/>
          <w:i/>
          <w:iCs/>
          <w:color w:val="auto"/>
          <w:kern w:val="0"/>
          <w:sz w:val="24"/>
          <w:szCs w:val="24"/>
          <w:u w:val="single"/>
          <w:lang w:val="en-US" w:eastAsia="zh-CN" w:bidi="ar-SA"/>
        </w:rPr>
        <w:t>（标的名称）</w:t>
      </w:r>
      <w:r>
        <w:rPr>
          <w:rFonts w:hint="eastAsia" w:ascii="微软雅黑" w:hAnsi="微软雅黑" w:eastAsia="微软雅黑" w:cs="微软雅黑"/>
          <w:color w:val="auto"/>
          <w:kern w:val="0"/>
          <w:sz w:val="24"/>
          <w:szCs w:val="24"/>
          <w:u w:val="single"/>
          <w:lang w:val="en-US" w:eastAsia="zh-CN" w:bidi="ar-SA"/>
        </w:rPr>
        <w:t>，</w:t>
      </w:r>
      <w:r>
        <w:rPr>
          <w:rFonts w:hint="eastAsia" w:ascii="微软雅黑" w:hAnsi="微软雅黑" w:eastAsia="微软雅黑" w:cs="微软雅黑"/>
          <w:color w:val="auto"/>
          <w:kern w:val="0"/>
          <w:sz w:val="24"/>
          <w:szCs w:val="24"/>
          <w:u w:val="none" w:color="auto"/>
          <w:lang w:val="en-US" w:eastAsia="zh-CN" w:bidi="ar-SA"/>
        </w:rPr>
        <w:t>属于</w:t>
      </w:r>
      <w:r>
        <w:rPr>
          <w:rFonts w:hint="eastAsia" w:ascii="微软雅黑" w:hAnsi="微软雅黑" w:eastAsia="微软雅黑" w:cs="微软雅黑"/>
          <w:i/>
          <w:iCs/>
          <w:color w:val="auto"/>
          <w:kern w:val="0"/>
          <w:sz w:val="24"/>
          <w:szCs w:val="24"/>
          <w:u w:val="single"/>
          <w:lang w:val="en-US" w:eastAsia="zh-CN" w:bidi="ar-SA"/>
        </w:rPr>
        <w:t>（采购文件中明确的所属行业）</w:t>
      </w:r>
      <w:r>
        <w:rPr>
          <w:rFonts w:hint="eastAsia" w:ascii="微软雅黑" w:hAnsi="微软雅黑" w:eastAsia="微软雅黑" w:cs="微软雅黑"/>
          <w:color w:val="auto"/>
          <w:kern w:val="0"/>
          <w:sz w:val="24"/>
          <w:szCs w:val="24"/>
          <w:u w:val="none" w:color="auto"/>
          <w:lang w:val="en-US" w:eastAsia="zh-CN" w:bidi="ar-SA"/>
        </w:rPr>
        <w:t xml:space="preserve">；承接企业为 </w:t>
      </w:r>
      <w:r>
        <w:rPr>
          <w:rFonts w:hint="eastAsia" w:ascii="微软雅黑" w:hAnsi="微软雅黑" w:eastAsia="微软雅黑" w:cs="微软雅黑"/>
          <w:i/>
          <w:iCs/>
          <w:color w:val="auto"/>
          <w:kern w:val="0"/>
          <w:sz w:val="24"/>
          <w:szCs w:val="24"/>
          <w:u w:val="single"/>
          <w:lang w:val="en-US" w:eastAsia="zh-CN" w:bidi="ar-SA"/>
        </w:rPr>
        <w:t>（企业名称）</w:t>
      </w:r>
      <w:r>
        <w:rPr>
          <w:rFonts w:hint="eastAsia" w:ascii="微软雅黑" w:hAnsi="微软雅黑" w:eastAsia="微软雅黑" w:cs="微软雅黑"/>
          <w:color w:val="auto"/>
          <w:kern w:val="0"/>
          <w:sz w:val="24"/>
          <w:szCs w:val="24"/>
          <w:u w:val="none" w:color="auto"/>
          <w:lang w:val="en-US" w:eastAsia="zh-CN" w:bidi="ar-SA"/>
        </w:rPr>
        <w:t>，从业人员</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none" w:color="auto"/>
          <w:lang w:val="en-US" w:eastAsia="zh-CN" w:bidi="ar-SA"/>
        </w:rPr>
        <w:t>人，营业收入为</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none" w:color="auto"/>
          <w:lang w:val="en-US" w:eastAsia="zh-CN" w:bidi="ar-SA"/>
        </w:rPr>
        <w:t>万元，资产总额为</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none" w:color="auto"/>
          <w:lang w:val="en-US" w:eastAsia="zh-CN" w:bidi="ar-SA"/>
        </w:rPr>
        <w:t>万元，属于</w:t>
      </w:r>
      <w:r>
        <w:rPr>
          <w:rFonts w:hint="eastAsia" w:ascii="微软雅黑" w:hAnsi="微软雅黑" w:eastAsia="微软雅黑" w:cs="微软雅黑"/>
          <w:i/>
          <w:iCs/>
          <w:color w:val="auto"/>
          <w:kern w:val="0"/>
          <w:sz w:val="24"/>
          <w:szCs w:val="24"/>
          <w:u w:val="single"/>
          <w:lang w:val="en-US" w:eastAsia="zh-CN" w:bidi="ar-SA"/>
        </w:rPr>
        <w:t>（中型企业、小型企业、微型企业）</w:t>
      </w:r>
      <w:r>
        <w:rPr>
          <w:rFonts w:hint="eastAsia" w:ascii="微软雅黑" w:hAnsi="微软雅黑" w:eastAsia="微软雅黑" w:cs="微软雅黑"/>
          <w:color w:val="auto"/>
          <w:kern w:val="0"/>
          <w:sz w:val="24"/>
          <w:szCs w:val="24"/>
          <w:u w:val="none" w:color="auto"/>
          <w:lang w:val="en-US" w:eastAsia="zh-CN" w:bidi="ar-SA"/>
        </w:rPr>
        <w:t>；</w:t>
      </w:r>
    </w:p>
    <w:p>
      <w:pPr>
        <w:pStyle w:val="11"/>
        <w:spacing w:before="11"/>
        <w:ind w:left="860"/>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w:t>
      </w:r>
    </w:p>
    <w:p>
      <w:pPr>
        <w:pStyle w:val="11"/>
        <w:spacing w:before="108" w:line="304" w:lineRule="auto"/>
        <w:ind w:right="417" w:firstLine="480" w:firstLineChars="200"/>
        <w:jc w:val="both"/>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以上企业，不属于大企业的分支机构，不存在控股股东为大企业的情形，也不存在与大企业的负责人为同一人的情形。</w:t>
      </w:r>
    </w:p>
    <w:p>
      <w:pPr>
        <w:pStyle w:val="11"/>
        <w:spacing w:before="108" w:line="304" w:lineRule="auto"/>
        <w:ind w:right="417" w:firstLine="480" w:firstLineChars="200"/>
        <w:jc w:val="both"/>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本企业对上述声明内容的真实性负责。如有虚假，将依法承担相应责任。</w:t>
      </w:r>
    </w:p>
    <w:p>
      <w:pPr>
        <w:pStyle w:val="93"/>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4"/>
          <w:szCs w:val="24"/>
          <w:u w:val="none"/>
          <w:lang w:val="en-US" w:eastAsia="zh-CN" w:bidi="ar-SA"/>
        </w:rPr>
      </w:pPr>
    </w:p>
    <w:p>
      <w:pPr>
        <w:pStyle w:val="93"/>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4"/>
          <w:szCs w:val="24"/>
          <w:u w:val="none"/>
          <w:lang w:val="en-US" w:eastAsia="zh-CN" w:bidi="ar-SA"/>
        </w:rPr>
      </w:pPr>
    </w:p>
    <w:p>
      <w:pPr>
        <w:pStyle w:val="93"/>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4"/>
          <w:szCs w:val="24"/>
          <w:u w:val="none"/>
          <w:lang w:val="en-US" w:eastAsia="zh-CN" w:bidi="ar-SA"/>
        </w:rPr>
      </w:pPr>
    </w:p>
    <w:p>
      <w:pPr>
        <w:pStyle w:val="93"/>
        <w:numPr>
          <w:ilvl w:val="0"/>
          <w:numId w:val="0"/>
        </w:numPr>
        <w:tabs>
          <w:tab w:val="left" w:pos="1243"/>
        </w:tabs>
        <w:spacing w:before="0" w:after="0" w:line="402" w:lineRule="exact"/>
        <w:ind w:leftChars="200" w:right="0" w:rightChars="0"/>
        <w:jc w:val="both"/>
        <w:rPr>
          <w:rFonts w:hint="default" w:ascii="微软雅黑" w:hAnsi="微软雅黑" w:eastAsia="微软雅黑" w:cs="微软雅黑"/>
          <w:color w:val="auto"/>
          <w:kern w:val="0"/>
          <w:sz w:val="24"/>
          <w:szCs w:val="24"/>
          <w:u w:val="single"/>
          <w:lang w:val="en-US" w:eastAsia="zh-CN" w:bidi="ar-SA"/>
        </w:rPr>
      </w:pPr>
      <w:r>
        <w:rPr>
          <w:rFonts w:hint="eastAsia" w:ascii="微软雅黑" w:hAnsi="微软雅黑" w:eastAsia="微软雅黑" w:cs="微软雅黑"/>
          <w:color w:val="auto"/>
          <w:kern w:val="0"/>
          <w:sz w:val="24"/>
          <w:szCs w:val="24"/>
          <w:u w:val="none"/>
          <w:lang w:val="en-US" w:eastAsia="zh-CN" w:bidi="ar-SA"/>
        </w:rPr>
        <w:t>企业名称（盖章）：</w:t>
      </w:r>
      <w:r>
        <w:rPr>
          <w:rFonts w:hint="eastAsia" w:ascii="微软雅黑" w:hAnsi="微软雅黑" w:eastAsia="微软雅黑" w:cs="微软雅黑"/>
          <w:color w:val="auto"/>
          <w:kern w:val="0"/>
          <w:sz w:val="24"/>
          <w:szCs w:val="24"/>
          <w:u w:val="single"/>
          <w:lang w:val="en-US" w:eastAsia="zh-CN" w:bidi="ar-SA"/>
        </w:rPr>
        <w:t xml:space="preserve">                         </w:t>
      </w:r>
    </w:p>
    <w:p>
      <w:pPr>
        <w:pStyle w:val="93"/>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4"/>
          <w:szCs w:val="24"/>
          <w:u w:val="none"/>
          <w:lang w:val="en-US" w:eastAsia="zh-CN" w:bidi="ar-SA"/>
        </w:rPr>
      </w:pPr>
    </w:p>
    <w:p>
      <w:pPr>
        <w:pStyle w:val="93"/>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4"/>
          <w:szCs w:val="24"/>
          <w:u w:val="none"/>
          <w:lang w:val="en-US" w:eastAsia="zh-CN" w:bidi="ar-SA"/>
        </w:rPr>
      </w:pPr>
    </w:p>
    <w:p>
      <w:pPr>
        <w:pStyle w:val="93"/>
        <w:numPr>
          <w:ilvl w:val="0"/>
          <w:numId w:val="0"/>
        </w:numPr>
        <w:tabs>
          <w:tab w:val="left" w:pos="1243"/>
        </w:tabs>
        <w:spacing w:before="0" w:after="0" w:line="402" w:lineRule="exact"/>
        <w:ind w:leftChars="200" w:right="0" w:rightChars="0"/>
        <w:jc w:val="both"/>
        <w:rPr>
          <w:rFonts w:hint="default" w:ascii="微软雅黑" w:hAnsi="微软雅黑" w:eastAsia="微软雅黑" w:cs="微软雅黑"/>
          <w:color w:val="auto"/>
          <w:kern w:val="0"/>
          <w:sz w:val="24"/>
          <w:szCs w:val="24"/>
          <w:u w:val="single"/>
          <w:lang w:val="en-US" w:eastAsia="zh-CN" w:bidi="ar-SA"/>
        </w:rPr>
      </w:pPr>
      <w:r>
        <w:rPr>
          <w:rFonts w:hint="eastAsia" w:ascii="微软雅黑" w:hAnsi="微软雅黑" w:eastAsia="微软雅黑" w:cs="微软雅黑"/>
          <w:color w:val="auto"/>
          <w:kern w:val="0"/>
          <w:sz w:val="24"/>
          <w:szCs w:val="24"/>
          <w:u w:val="none"/>
          <w:lang w:val="en-US" w:eastAsia="zh-CN" w:bidi="ar-SA"/>
        </w:rPr>
        <w:t>日期：</w:t>
      </w:r>
      <w:r>
        <w:rPr>
          <w:rFonts w:hint="eastAsia" w:ascii="微软雅黑" w:hAnsi="微软雅黑" w:eastAsia="微软雅黑" w:cs="微软雅黑"/>
          <w:color w:val="auto"/>
          <w:kern w:val="0"/>
          <w:sz w:val="24"/>
          <w:szCs w:val="24"/>
          <w:u w:val="single"/>
          <w:lang w:val="en-US" w:eastAsia="zh-CN" w:bidi="ar-SA"/>
        </w:rPr>
        <w:t xml:space="preserve">                                                       </w:t>
      </w:r>
    </w:p>
    <w:p>
      <w:pPr>
        <w:pStyle w:val="93"/>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4"/>
          <w:szCs w:val="24"/>
          <w:u w:val="none"/>
          <w:lang w:val="en-US" w:eastAsia="zh-CN" w:bidi="ar-SA"/>
        </w:rPr>
      </w:pPr>
    </w:p>
    <w:p>
      <w:pPr>
        <w:pStyle w:val="24"/>
        <w:rPr>
          <w:rFonts w:hint="eastAsia" w:ascii="微软雅黑" w:hAnsi="微软雅黑" w:eastAsia="微软雅黑" w:cs="微软雅黑"/>
          <w:color w:val="auto"/>
          <w:kern w:val="0"/>
          <w:sz w:val="24"/>
          <w:szCs w:val="24"/>
          <w:u w:val="none"/>
          <w:lang w:val="en-US" w:eastAsia="zh-CN" w:bidi="ar-SA"/>
        </w:rPr>
      </w:pPr>
      <w:r>
        <w:rPr>
          <w:rFonts w:hint="eastAsia" w:ascii="微软雅黑" w:hAnsi="微软雅黑" w:eastAsia="微软雅黑" w:cs="微软雅黑"/>
          <w:b/>
          <w:bCs/>
          <w:color w:val="auto"/>
          <w:kern w:val="0"/>
          <w:sz w:val="24"/>
          <w:szCs w:val="24"/>
          <w:u w:val="none"/>
          <w:lang w:val="en-US" w:eastAsia="zh-CN" w:bidi="ar-SA"/>
        </w:rPr>
        <w:t>注：须附从业人员、营业收入、资产总额填报上一年度数据，无上一年度数据的新成立企业可不填报。</w:t>
      </w:r>
    </w:p>
    <w:p>
      <w:pPr>
        <w:pStyle w:val="8"/>
        <w:spacing w:line="360" w:lineRule="exact"/>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 xml:space="preserve">      </w:t>
      </w:r>
    </w:p>
    <w:p>
      <w:pPr>
        <w:pStyle w:val="8"/>
        <w:spacing w:line="360" w:lineRule="exact"/>
        <w:rPr>
          <w:rFonts w:hint="eastAsia" w:ascii="微软雅黑" w:hAnsi="微软雅黑" w:eastAsia="微软雅黑" w:cs="微软雅黑"/>
          <w:b/>
          <w:color w:val="auto"/>
          <w:sz w:val="32"/>
        </w:rPr>
      </w:pPr>
    </w:p>
    <w:p>
      <w:pPr>
        <w:pStyle w:val="8"/>
        <w:spacing w:line="360" w:lineRule="exact"/>
        <w:rPr>
          <w:rFonts w:hint="eastAsia" w:ascii="微软雅黑" w:hAnsi="微软雅黑" w:eastAsia="微软雅黑" w:cs="微软雅黑"/>
          <w:b/>
          <w:color w:val="auto"/>
          <w:sz w:val="32"/>
        </w:rPr>
      </w:pPr>
    </w:p>
    <w:p>
      <w:pPr>
        <w:pStyle w:val="8"/>
        <w:spacing w:line="360" w:lineRule="exact"/>
        <w:rPr>
          <w:rFonts w:hint="eastAsia" w:ascii="微软雅黑" w:hAnsi="微软雅黑" w:eastAsia="微软雅黑" w:cs="微软雅黑"/>
          <w:b/>
          <w:color w:val="auto"/>
          <w:sz w:val="28"/>
          <w:szCs w:val="18"/>
        </w:rPr>
      </w:pPr>
      <w:r>
        <w:rPr>
          <w:rFonts w:hint="eastAsia" w:ascii="微软雅黑" w:hAnsi="微软雅黑" w:eastAsia="微软雅黑" w:cs="微软雅黑"/>
          <w:b/>
          <w:color w:val="auto"/>
          <w:sz w:val="32"/>
        </w:rPr>
        <w:br w:type="page"/>
      </w:r>
    </w:p>
    <w:p>
      <w:pPr>
        <w:pStyle w:val="8"/>
        <w:keepNext w:val="0"/>
        <w:keepLines w:val="0"/>
        <w:pageBreakBefore w:val="0"/>
        <w:widowControl w:val="0"/>
        <w:kinsoku/>
        <w:wordWrap/>
        <w:overflowPunct/>
        <w:topLinePunct w:val="0"/>
        <w:autoSpaceDE w:val="0"/>
        <w:autoSpaceDN w:val="0"/>
        <w:bidi w:val="0"/>
        <w:adjustRightInd w:val="0"/>
        <w:snapToGrid/>
        <w:spacing w:line="360" w:lineRule="exact"/>
        <w:ind w:firstLine="420"/>
        <w:textAlignment w:val="auto"/>
        <w:outlineLvl w:val="1"/>
        <w:rPr>
          <w:rFonts w:hint="eastAsia" w:ascii="微软雅黑" w:hAnsi="微软雅黑" w:eastAsia="微软雅黑" w:cs="微软雅黑"/>
          <w:b/>
          <w:color w:val="auto"/>
          <w:sz w:val="28"/>
          <w:szCs w:val="18"/>
        </w:rPr>
      </w:pPr>
      <w:bookmarkStart w:id="387" w:name="_Toc27334"/>
      <w:r>
        <w:rPr>
          <w:rFonts w:hint="eastAsia" w:ascii="微软雅黑" w:hAnsi="微软雅黑" w:eastAsia="微软雅黑" w:cs="微软雅黑"/>
          <w:b/>
          <w:color w:val="auto"/>
          <w:sz w:val="28"/>
          <w:szCs w:val="18"/>
        </w:rPr>
        <w:t>6-2  残疾人福利性单位声明函</w:t>
      </w:r>
      <w:bookmarkEnd w:id="387"/>
    </w:p>
    <w:p>
      <w:pPr>
        <w:pStyle w:val="8"/>
        <w:spacing w:line="360" w:lineRule="exact"/>
        <w:rPr>
          <w:rFonts w:hint="eastAsia" w:ascii="微软雅黑" w:hAnsi="微软雅黑" w:eastAsia="微软雅黑" w:cs="微软雅黑"/>
          <w:b/>
          <w:color w:val="auto"/>
          <w:sz w:val="32"/>
        </w:rPr>
      </w:pPr>
    </w:p>
    <w:p>
      <w:pPr>
        <w:pStyle w:val="8"/>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pStyle w:val="8"/>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本单位对上述声明的真实性负责。如有虚假，将依法承担相应责任。</w:t>
      </w:r>
    </w:p>
    <w:p>
      <w:pPr>
        <w:pStyle w:val="8"/>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微软雅黑" w:hAnsi="微软雅黑" w:eastAsia="微软雅黑" w:cs="微软雅黑"/>
          <w:color w:val="auto"/>
          <w:kern w:val="2"/>
          <w:sz w:val="24"/>
          <w:szCs w:val="24"/>
          <w:highlight w:val="no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微软雅黑" w:hAnsi="微软雅黑" w:eastAsia="微软雅黑" w:cs="微软雅黑"/>
          <w:color w:val="auto"/>
          <w:kern w:val="2"/>
          <w:sz w:val="24"/>
          <w:szCs w:val="24"/>
          <w:highlight w:val="none"/>
          <w:lang w:val="en-US" w:eastAsia="zh-CN" w:bidi="ar-SA"/>
        </w:rPr>
      </w:pPr>
    </w:p>
    <w:p>
      <w:pPr>
        <w:spacing w:line="240" w:lineRule="atLeast"/>
        <w:ind w:left="1080" w:leftChars="257" w:hanging="540"/>
        <w:jc w:val="center"/>
        <w:rPr>
          <w:rFonts w:hint="default" w:ascii="微软雅黑" w:hAnsi="微软雅黑" w:eastAsia="微软雅黑" w:cs="微软雅黑"/>
          <w:color w:val="auto"/>
          <w:kern w:val="0"/>
          <w:sz w:val="24"/>
          <w:u w:val="single"/>
          <w:lang w:val="en-US" w:eastAsia="zh-CN"/>
        </w:rPr>
      </w:pPr>
      <w:r>
        <w:rPr>
          <w:rFonts w:hint="eastAsia" w:ascii="微软雅黑" w:hAnsi="微软雅黑" w:eastAsia="微软雅黑" w:cs="微软雅黑"/>
          <w:color w:val="auto"/>
          <w:kern w:val="2"/>
          <w:sz w:val="24"/>
          <w:szCs w:val="24"/>
          <w:highlight w:val="none"/>
          <w:lang w:val="en-US" w:eastAsia="zh-CN" w:bidi="ar-SA"/>
        </w:rPr>
        <w:t xml:space="preserve"> </w:t>
      </w:r>
      <w:r>
        <w:rPr>
          <w:rFonts w:hint="eastAsia" w:ascii="微软雅黑" w:hAnsi="微软雅黑" w:eastAsia="微软雅黑" w:cs="微软雅黑"/>
          <w:color w:val="auto"/>
          <w:kern w:val="0"/>
          <w:sz w:val="24"/>
        </w:rPr>
        <w:t xml:space="preserve"> 残疾人福利性单位名称（公章）：</w:t>
      </w:r>
      <w:r>
        <w:rPr>
          <w:rFonts w:hint="eastAsia" w:ascii="微软雅黑" w:hAnsi="微软雅黑" w:eastAsia="微软雅黑" w:cs="微软雅黑"/>
          <w:color w:val="auto"/>
          <w:kern w:val="0"/>
          <w:sz w:val="24"/>
          <w:u w:val="single"/>
          <w:lang w:val="en-US" w:eastAsia="zh-CN"/>
        </w:rPr>
        <w:t xml:space="preserve">                </w:t>
      </w:r>
    </w:p>
    <w:p>
      <w:pPr>
        <w:spacing w:line="240" w:lineRule="atLeast"/>
        <w:ind w:left="1080" w:leftChars="257" w:hanging="540"/>
        <w:jc w:val="center"/>
        <w:rPr>
          <w:rFonts w:hint="default" w:ascii="微软雅黑" w:hAnsi="微软雅黑" w:eastAsia="微软雅黑" w:cs="微软雅黑"/>
          <w:b/>
          <w:color w:val="auto"/>
          <w:kern w:val="0"/>
          <w:sz w:val="24"/>
          <w:u w:val="single"/>
          <w:lang w:val="en-US" w:eastAsia="zh-CN"/>
        </w:rPr>
      </w:pPr>
      <w:r>
        <w:rPr>
          <w:rFonts w:hint="eastAsia" w:ascii="微软雅黑" w:hAnsi="微软雅黑" w:eastAsia="微软雅黑" w:cs="微软雅黑"/>
          <w:color w:val="auto"/>
          <w:kern w:val="0"/>
          <w:sz w:val="24"/>
        </w:rPr>
        <w:t xml:space="preserve">                 日  期：</w:t>
      </w:r>
      <w:r>
        <w:rPr>
          <w:rFonts w:hint="eastAsia" w:ascii="微软雅黑" w:hAnsi="微软雅黑" w:eastAsia="微软雅黑" w:cs="微软雅黑"/>
          <w:color w:val="auto"/>
          <w:kern w:val="0"/>
          <w:sz w:val="24"/>
          <w:u w:val="single"/>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微软雅黑" w:hAnsi="微软雅黑" w:eastAsia="微软雅黑" w:cs="微软雅黑"/>
          <w:color w:val="auto"/>
          <w:kern w:val="2"/>
          <w:sz w:val="24"/>
          <w:szCs w:val="24"/>
          <w:highlight w:val="no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微软雅黑" w:hAnsi="微软雅黑" w:eastAsia="微软雅黑" w:cs="微软雅黑"/>
          <w:b/>
          <w:color w:val="auto"/>
          <w:sz w:val="32"/>
        </w:rPr>
      </w:pPr>
    </w:p>
    <w:p>
      <w:pPr>
        <w:pStyle w:val="8"/>
        <w:spacing w:line="360" w:lineRule="exact"/>
        <w:rPr>
          <w:rFonts w:hint="eastAsia" w:ascii="微软雅黑" w:hAnsi="微软雅黑" w:eastAsia="微软雅黑" w:cs="微软雅黑"/>
          <w:b/>
          <w:color w:val="auto"/>
          <w:sz w:val="28"/>
          <w:szCs w:val="18"/>
        </w:rPr>
      </w:pPr>
    </w:p>
    <w:p>
      <w:pPr>
        <w:pStyle w:val="8"/>
        <w:keepNext w:val="0"/>
        <w:keepLines w:val="0"/>
        <w:pageBreakBefore w:val="0"/>
        <w:widowControl w:val="0"/>
        <w:kinsoku/>
        <w:wordWrap/>
        <w:overflowPunct/>
        <w:topLinePunct w:val="0"/>
        <w:autoSpaceDE w:val="0"/>
        <w:autoSpaceDN w:val="0"/>
        <w:bidi w:val="0"/>
        <w:adjustRightInd w:val="0"/>
        <w:snapToGrid/>
        <w:spacing w:line="360" w:lineRule="exact"/>
        <w:ind w:firstLine="420"/>
        <w:textAlignment w:val="auto"/>
        <w:outlineLvl w:val="1"/>
        <w:rPr>
          <w:rFonts w:hint="eastAsia" w:ascii="微软雅黑" w:hAnsi="微软雅黑" w:eastAsia="微软雅黑" w:cs="微软雅黑"/>
          <w:b/>
          <w:color w:val="auto"/>
          <w:sz w:val="28"/>
          <w:szCs w:val="18"/>
        </w:rPr>
      </w:pPr>
      <w:bookmarkStart w:id="388" w:name="_Toc6269"/>
      <w:r>
        <w:rPr>
          <w:rFonts w:hint="eastAsia" w:ascii="微软雅黑" w:hAnsi="微软雅黑" w:eastAsia="微软雅黑" w:cs="微软雅黑"/>
          <w:b/>
          <w:color w:val="auto"/>
          <w:sz w:val="28"/>
          <w:szCs w:val="18"/>
        </w:rPr>
        <w:t>7、供应商关联单位的说明</w:t>
      </w:r>
      <w:bookmarkEnd w:id="388"/>
    </w:p>
    <w:p>
      <w:pPr>
        <w:pStyle w:val="8"/>
        <w:spacing w:line="360" w:lineRule="exact"/>
        <w:rPr>
          <w:rFonts w:hint="eastAsia" w:ascii="微软雅黑" w:hAnsi="微软雅黑" w:eastAsia="微软雅黑" w:cs="微软雅黑"/>
          <w:b/>
          <w:color w:val="auto"/>
          <w:sz w:val="32"/>
        </w:rPr>
      </w:pPr>
    </w:p>
    <w:p>
      <w:pPr>
        <w:pStyle w:val="8"/>
        <w:spacing w:line="360" w:lineRule="exac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说明：供应商应当如实披露与本单位存在下列关联关系的单位名称：</w:t>
      </w:r>
    </w:p>
    <w:p>
      <w:pPr>
        <w:pStyle w:val="8"/>
        <w:spacing w:line="360" w:lineRule="exac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（1）与供应商单位负责人为同一人的其他单位；</w:t>
      </w:r>
    </w:p>
    <w:p>
      <w:pPr>
        <w:pStyle w:val="8"/>
        <w:spacing w:line="360" w:lineRule="exac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（2）与供应商存在直接控股、管理关系的其他单位。</w:t>
      </w:r>
    </w:p>
    <w:p>
      <w:pPr>
        <w:pStyle w:val="8"/>
        <w:spacing w:line="360" w:lineRule="exact"/>
        <w:rPr>
          <w:rFonts w:hint="eastAsia" w:ascii="微软雅黑" w:hAnsi="微软雅黑" w:eastAsia="微软雅黑" w:cs="微软雅黑"/>
          <w:b/>
          <w:color w:val="auto"/>
          <w:sz w:val="32"/>
        </w:rPr>
      </w:pPr>
    </w:p>
    <w:p>
      <w:pPr>
        <w:pStyle w:val="8"/>
        <w:spacing w:line="360" w:lineRule="exact"/>
        <w:rPr>
          <w:rFonts w:hint="eastAsia" w:ascii="微软雅黑" w:hAnsi="微软雅黑" w:eastAsia="微软雅黑" w:cs="微软雅黑"/>
          <w:b/>
          <w:color w:val="auto"/>
          <w:sz w:val="32"/>
        </w:rPr>
      </w:pPr>
    </w:p>
    <w:p>
      <w:pPr>
        <w:pStyle w:val="8"/>
        <w:spacing w:line="360" w:lineRule="exact"/>
        <w:rPr>
          <w:rFonts w:hint="eastAsia" w:ascii="微软雅黑" w:hAnsi="微软雅黑" w:eastAsia="微软雅黑" w:cs="微软雅黑"/>
          <w:b/>
          <w:color w:val="auto"/>
          <w:sz w:val="32"/>
        </w:rPr>
      </w:pPr>
    </w:p>
    <w:p>
      <w:pPr>
        <w:pStyle w:val="8"/>
        <w:keepNext w:val="0"/>
        <w:keepLines w:val="0"/>
        <w:pageBreakBefore w:val="0"/>
        <w:widowControl w:val="0"/>
        <w:kinsoku/>
        <w:wordWrap/>
        <w:overflowPunct/>
        <w:topLinePunct w:val="0"/>
        <w:autoSpaceDE w:val="0"/>
        <w:autoSpaceDN w:val="0"/>
        <w:bidi w:val="0"/>
        <w:adjustRightInd w:val="0"/>
        <w:snapToGrid/>
        <w:spacing w:line="360" w:lineRule="exact"/>
        <w:ind w:firstLine="420"/>
        <w:textAlignment w:val="auto"/>
        <w:outlineLvl w:val="1"/>
        <w:rPr>
          <w:rFonts w:hint="eastAsia" w:ascii="微软雅黑" w:hAnsi="微软雅黑" w:eastAsia="微软雅黑" w:cs="微软雅黑"/>
          <w:b/>
          <w:color w:val="auto"/>
          <w:sz w:val="28"/>
          <w:szCs w:val="18"/>
          <w:lang w:eastAsia="zh-CN"/>
        </w:rPr>
      </w:pPr>
      <w:bookmarkStart w:id="389" w:name="_Toc26832"/>
      <w:r>
        <w:rPr>
          <w:rFonts w:hint="eastAsia" w:ascii="微软雅黑" w:hAnsi="微软雅黑" w:eastAsia="微软雅黑" w:cs="微软雅黑"/>
          <w:b/>
          <w:color w:val="auto"/>
          <w:sz w:val="28"/>
          <w:szCs w:val="18"/>
        </w:rPr>
        <w:t>8、供应商可提供有利于投标的其他资格证明材料</w:t>
      </w:r>
      <w:r>
        <w:rPr>
          <w:rFonts w:hint="eastAsia" w:ascii="微软雅黑" w:hAnsi="微软雅黑" w:eastAsia="微软雅黑" w:cs="微软雅黑"/>
          <w:b/>
          <w:color w:val="auto"/>
          <w:sz w:val="28"/>
          <w:szCs w:val="18"/>
          <w:lang w:eastAsia="zh-CN"/>
        </w:rPr>
        <w:t>。</w:t>
      </w:r>
      <w:bookmarkEnd w:id="389"/>
    </w:p>
    <w:p>
      <w:pPr>
        <w:pStyle w:val="8"/>
        <w:spacing w:line="360" w:lineRule="exact"/>
        <w:rPr>
          <w:rFonts w:hint="eastAsia" w:ascii="微软雅黑" w:hAnsi="微软雅黑" w:eastAsia="微软雅黑" w:cs="微软雅黑"/>
          <w:b/>
          <w:color w:val="auto"/>
          <w:sz w:val="32"/>
        </w:rPr>
      </w:pPr>
    </w:p>
    <w:p>
      <w:pPr>
        <w:pStyle w:val="8"/>
        <w:spacing w:line="360" w:lineRule="exact"/>
        <w:rPr>
          <w:rFonts w:hint="eastAsia" w:ascii="微软雅黑" w:hAnsi="微软雅黑" w:eastAsia="微软雅黑" w:cs="微软雅黑"/>
          <w:b/>
          <w:color w:val="auto"/>
          <w:sz w:val="32"/>
        </w:rPr>
      </w:pPr>
    </w:p>
    <w:tbl>
      <w:tblPr>
        <w:tblStyle w:val="34"/>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PrEx>
        <w:trPr>
          <w:trHeight w:val="12335" w:hRule="atLeast"/>
        </w:trPr>
        <w:tc>
          <w:tcPr>
            <w:tcW w:w="9520" w:type="dxa"/>
            <w:shd w:val="clear" w:color="auto" w:fill="FCFEEA"/>
            <w:noWrap w:val="0"/>
            <w:vAlign w:val="top"/>
          </w:tcPr>
          <w:p>
            <w:pPr>
              <w:pStyle w:val="11"/>
              <w:jc w:val="cente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 xml:space="preserve">                                                （正本/副本）</w:t>
            </w:r>
          </w:p>
          <w:p>
            <w:pPr>
              <w:pStyle w:val="11"/>
              <w:ind w:firstLine="4202" w:firstLineChars="1500"/>
              <w:rPr>
                <w:rFonts w:hint="eastAsia" w:ascii="微软雅黑" w:hAnsi="微软雅黑" w:eastAsia="微软雅黑" w:cs="微软雅黑"/>
                <w:b/>
                <w:bCs/>
                <w:color w:val="auto"/>
                <w:sz w:val="28"/>
                <w:szCs w:val="28"/>
                <w:lang w:val="en-US" w:eastAsia="zh-CN"/>
              </w:rPr>
            </w:pPr>
          </w:p>
          <w:p>
            <w:pPr>
              <w:pStyle w:val="11"/>
              <w:ind w:firstLine="4202" w:firstLineChars="1500"/>
              <w:rPr>
                <w:rFonts w:hint="eastAsia" w:ascii="微软雅黑" w:hAnsi="微软雅黑" w:eastAsia="微软雅黑" w:cs="微软雅黑"/>
                <w:b/>
                <w:bCs/>
                <w:color w:val="auto"/>
                <w:sz w:val="28"/>
                <w:szCs w:val="28"/>
                <w:lang w:val="en-US" w:eastAsia="zh-CN"/>
              </w:rPr>
            </w:pPr>
          </w:p>
          <w:p>
            <w:pPr>
              <w:pStyle w:val="11"/>
              <w:rPr>
                <w:rFonts w:hint="eastAsia" w:ascii="微软雅黑" w:hAnsi="微软雅黑" w:eastAsia="微软雅黑" w:cs="微软雅黑"/>
                <w:b/>
                <w:bCs/>
                <w:color w:val="auto"/>
                <w:sz w:val="28"/>
                <w:szCs w:val="28"/>
                <w:lang w:val="en-US" w:eastAsia="zh-CN"/>
              </w:rPr>
            </w:pPr>
          </w:p>
          <w:p>
            <w:pPr>
              <w:pStyle w:val="11"/>
              <w:ind w:firstLine="2521" w:firstLineChars="900"/>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 *** *** *** ***   项目</w:t>
            </w:r>
          </w:p>
          <w:p>
            <w:pPr>
              <w:pStyle w:val="11"/>
              <w:jc w:val="center"/>
              <w:rPr>
                <w:rFonts w:hint="eastAsia" w:ascii="微软雅黑" w:hAnsi="微软雅黑" w:eastAsia="微软雅黑" w:cs="微软雅黑"/>
                <w:b/>
                <w:bCs/>
                <w:color w:val="auto"/>
                <w:sz w:val="21"/>
                <w:szCs w:val="21"/>
                <w:lang w:val="en-US" w:eastAsia="zh-CN"/>
              </w:rPr>
            </w:pPr>
          </w:p>
          <w:p>
            <w:pPr>
              <w:pStyle w:val="11"/>
              <w:ind w:firstLine="3152" w:firstLineChars="1500"/>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编号＊＊＊＊＊＊</w:t>
            </w:r>
          </w:p>
          <w:p>
            <w:pPr>
              <w:pStyle w:val="11"/>
              <w:jc w:val="center"/>
              <w:rPr>
                <w:rFonts w:hint="eastAsia" w:ascii="微软雅黑" w:hAnsi="微软雅黑" w:eastAsia="微软雅黑" w:cs="微软雅黑"/>
                <w:b/>
                <w:bCs/>
                <w:color w:val="auto"/>
                <w:sz w:val="48"/>
                <w:lang w:val="en-US" w:eastAsia="zh-CN"/>
              </w:rPr>
            </w:pPr>
          </w:p>
          <w:p>
            <w:pPr>
              <w:pStyle w:val="11"/>
              <w:jc w:val="center"/>
              <w:rPr>
                <w:rFonts w:hint="eastAsia" w:ascii="微软雅黑" w:hAnsi="微软雅黑" w:eastAsia="微软雅黑" w:cs="微软雅黑"/>
                <w:b/>
                <w:bCs/>
                <w:color w:val="auto"/>
                <w:sz w:val="48"/>
                <w:lang w:val="en-US" w:eastAsia="zh-CN"/>
              </w:rPr>
            </w:pPr>
            <w:r>
              <w:rPr>
                <w:rFonts w:hint="eastAsia" w:ascii="微软雅黑" w:hAnsi="微软雅黑" w:eastAsia="微软雅黑" w:cs="微软雅黑"/>
                <w:b/>
                <w:bCs/>
                <w:color w:val="auto"/>
                <w:sz w:val="48"/>
                <w:lang w:val="en-US" w:eastAsia="zh-CN"/>
              </w:rPr>
              <w:t>投 标 文 件</w:t>
            </w:r>
          </w:p>
          <w:p>
            <w:pPr>
              <w:jc w:val="center"/>
              <w:rPr>
                <w:rFonts w:hint="eastAsia" w:ascii="微软雅黑" w:hAnsi="微软雅黑" w:eastAsia="微软雅黑" w:cs="微软雅黑"/>
                <w:b/>
                <w:color w:val="auto"/>
                <w:sz w:val="32"/>
              </w:rPr>
            </w:pPr>
          </w:p>
          <w:p>
            <w:pPr>
              <w:pStyle w:val="8"/>
              <w:rPr>
                <w:rFonts w:hint="eastAsia" w:ascii="微软雅黑" w:hAnsi="微软雅黑" w:eastAsia="微软雅黑" w:cs="微软雅黑"/>
                <w:b/>
                <w:color w:val="auto"/>
                <w:sz w:val="32"/>
              </w:rPr>
            </w:pPr>
          </w:p>
          <w:p>
            <w:pPr>
              <w:pStyle w:val="8"/>
              <w:rPr>
                <w:rFonts w:hint="eastAsia" w:ascii="微软雅黑" w:hAnsi="微软雅黑" w:eastAsia="微软雅黑" w:cs="微软雅黑"/>
                <w:b/>
                <w:color w:val="auto"/>
                <w:sz w:val="32"/>
              </w:rPr>
            </w:pPr>
          </w:p>
          <w:p>
            <w:pPr>
              <w:spacing w:line="360" w:lineRule="auto"/>
              <w:ind w:left="176" w:leftChars="84" w:firstLine="840" w:firstLineChars="4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投 标 单位：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（公章）</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rPr>
            </w:pPr>
          </w:p>
          <w:p>
            <w:pPr>
              <w:jc w:val="center"/>
              <w:rPr>
                <w:rFonts w:hint="eastAsia" w:ascii="微软雅黑" w:hAnsi="微软雅黑" w:eastAsia="微软雅黑" w:cs="微软雅黑"/>
                <w:b/>
                <w:bCs/>
                <w:color w:val="auto"/>
              </w:rPr>
            </w:pPr>
          </w:p>
          <w:p>
            <w:pPr>
              <w:jc w:val="center"/>
              <w:rPr>
                <w:rFonts w:hint="eastAsia" w:ascii="微软雅黑" w:hAnsi="微软雅黑" w:eastAsia="微软雅黑" w:cs="微软雅黑"/>
                <w:b/>
                <w:bCs/>
                <w:color w:val="auto"/>
              </w:rPr>
            </w:pPr>
          </w:p>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注：   在20</w:t>
            </w:r>
            <w:r>
              <w:rPr>
                <w:rFonts w:hint="eastAsia" w:ascii="微软雅黑" w:hAnsi="微软雅黑" w:eastAsia="微软雅黑" w:cs="微软雅黑"/>
                <w:b/>
                <w:bCs/>
                <w:color w:val="auto"/>
                <w:sz w:val="28"/>
                <w:szCs w:val="28"/>
                <w:lang w:val="en-US" w:eastAsia="zh-CN"/>
              </w:rPr>
              <w:t>**</w:t>
            </w:r>
            <w:r>
              <w:rPr>
                <w:rFonts w:hint="eastAsia" w:ascii="微软雅黑" w:hAnsi="微软雅黑" w:eastAsia="微软雅黑" w:cs="微软雅黑"/>
                <w:b/>
                <w:bCs/>
                <w:color w:val="auto"/>
              </w:rPr>
              <w:t xml:space="preserve">年   月  日 </w:t>
            </w:r>
            <w:r>
              <w:rPr>
                <w:rFonts w:hint="eastAsia" w:ascii="微软雅黑" w:hAnsi="微软雅黑" w:eastAsia="微软雅黑" w:cs="微软雅黑"/>
                <w:b/>
                <w:bCs/>
                <w:color w:val="auto"/>
                <w:lang w:val="en-US" w:eastAsia="zh-CN"/>
              </w:rPr>
              <w:t>*</w:t>
            </w:r>
            <w:r>
              <w:rPr>
                <w:rFonts w:hint="eastAsia" w:ascii="微软雅黑" w:hAnsi="微软雅黑" w:eastAsia="微软雅黑" w:cs="微软雅黑"/>
                <w:b/>
                <w:bCs/>
                <w:color w:val="auto"/>
              </w:rPr>
              <w:t>午</w:t>
            </w:r>
            <w:r>
              <w:rPr>
                <w:rFonts w:hint="eastAsia" w:ascii="微软雅黑" w:hAnsi="微软雅黑" w:eastAsia="微软雅黑" w:cs="微软雅黑"/>
                <w:b/>
                <w:bCs/>
                <w:color w:val="auto"/>
                <w:lang w:val="en-US" w:eastAsia="zh-CN"/>
              </w:rPr>
              <w:t xml:space="preserve">   </w:t>
            </w:r>
            <w:r>
              <w:rPr>
                <w:rFonts w:hint="eastAsia" w:ascii="微软雅黑" w:hAnsi="微软雅黑" w:eastAsia="微软雅黑" w:cs="微软雅黑"/>
                <w:b/>
                <w:bCs/>
                <w:color w:val="auto"/>
              </w:rPr>
              <w:t>之前不得启封</w:t>
            </w:r>
          </w:p>
          <w:p>
            <w:pPr>
              <w:jc w:val="center"/>
              <w:rPr>
                <w:rFonts w:hint="eastAsia" w:ascii="微软雅黑" w:hAnsi="微软雅黑" w:eastAsia="微软雅黑" w:cs="微软雅黑"/>
                <w:b/>
                <w:bCs/>
                <w:color w:val="auto"/>
              </w:rPr>
            </w:pPr>
          </w:p>
        </w:tc>
      </w:tr>
    </w:tbl>
    <w:p>
      <w:pPr>
        <w:spacing w:line="240" w:lineRule="atLeast"/>
        <w:jc w:val="left"/>
        <w:outlineLvl w:val="1"/>
        <w:rPr>
          <w:rFonts w:hint="eastAsia" w:ascii="微软雅黑" w:hAnsi="微软雅黑" w:eastAsia="微软雅黑" w:cs="微软雅黑"/>
          <w:b/>
          <w:color w:val="auto"/>
          <w:kern w:val="0"/>
          <w:sz w:val="24"/>
          <w:szCs w:val="20"/>
        </w:rPr>
      </w:pPr>
      <w:bookmarkStart w:id="390" w:name="_Toc25039"/>
      <w:bookmarkStart w:id="391" w:name="_Toc7908"/>
      <w:r>
        <w:rPr>
          <w:rFonts w:hint="eastAsia" w:ascii="微软雅黑" w:hAnsi="微软雅黑" w:eastAsia="微软雅黑" w:cs="微软雅黑"/>
          <w:b/>
          <w:color w:val="auto"/>
          <w:kern w:val="0"/>
          <w:sz w:val="24"/>
          <w:szCs w:val="20"/>
          <w:lang w:val="en-US" w:eastAsia="zh-CN"/>
        </w:rPr>
        <w:t>9、</w:t>
      </w:r>
      <w:r>
        <w:rPr>
          <w:rFonts w:hint="eastAsia" w:ascii="微软雅黑" w:hAnsi="微软雅黑" w:eastAsia="微软雅黑" w:cs="微软雅黑"/>
          <w:b/>
          <w:color w:val="auto"/>
          <w:kern w:val="0"/>
          <w:sz w:val="24"/>
          <w:szCs w:val="20"/>
        </w:rPr>
        <w:t>投标文件格式范本</w:t>
      </w:r>
      <w:bookmarkEnd w:id="390"/>
      <w:bookmarkEnd w:id="391"/>
    </w:p>
    <w:p>
      <w:pPr>
        <w:spacing w:line="360" w:lineRule="exact"/>
        <w:rPr>
          <w:rFonts w:hint="eastAsia" w:ascii="微软雅黑" w:hAnsi="微软雅黑" w:eastAsia="微软雅黑" w:cs="微软雅黑"/>
          <w:color w:val="auto"/>
        </w:rPr>
        <w:sectPr>
          <w:headerReference r:id="rId6" w:type="default"/>
          <w:headerReference r:id="rId7" w:type="even"/>
          <w:footerReference r:id="rId8" w:type="even"/>
          <w:pgSz w:w="11906" w:h="16838"/>
          <w:pgMar w:top="1440" w:right="1797" w:bottom="1440" w:left="1797" w:header="851" w:footer="992" w:gutter="0"/>
          <w:pgNumType w:fmt="decimal"/>
          <w:cols w:space="720" w:num="1"/>
          <w:docGrid w:linePitch="312" w:charSpace="0"/>
        </w:sectPr>
      </w:pPr>
    </w:p>
    <w:p>
      <w:pPr>
        <w:pStyle w:val="8"/>
        <w:spacing w:line="360" w:lineRule="auto"/>
        <w:ind w:left="0" w:leftChars="0" w:firstLine="0" w:firstLineChars="0"/>
        <w:rPr>
          <w:rFonts w:hint="eastAsia" w:ascii="微软雅黑" w:hAnsi="微软雅黑" w:eastAsia="微软雅黑" w:cs="微软雅黑"/>
          <w:color w:val="auto"/>
        </w:rPr>
      </w:pPr>
    </w:p>
    <w:p>
      <w:pPr>
        <w:spacing w:line="360" w:lineRule="auto"/>
        <w:jc w:val="center"/>
        <w:rPr>
          <w:rFonts w:hint="eastAsia" w:ascii="微软雅黑" w:hAnsi="微软雅黑" w:eastAsia="微软雅黑" w:cs="微软雅黑"/>
          <w:b/>
          <w:color w:val="auto"/>
          <w:sz w:val="44"/>
          <w:szCs w:val="44"/>
        </w:rPr>
      </w:pPr>
    </w:p>
    <w:p>
      <w:pPr>
        <w:pStyle w:val="11"/>
        <w:rPr>
          <w:rFonts w:hint="eastAsia" w:ascii="微软雅黑" w:hAnsi="微软雅黑" w:eastAsia="微软雅黑" w:cs="微软雅黑"/>
          <w:b/>
          <w:color w:val="auto"/>
          <w:sz w:val="44"/>
          <w:szCs w:val="44"/>
        </w:rPr>
      </w:pPr>
    </w:p>
    <w:p>
      <w:pPr>
        <w:pStyle w:val="11"/>
        <w:rPr>
          <w:rFonts w:hint="eastAsia"/>
        </w:rPr>
      </w:pPr>
    </w:p>
    <w:p>
      <w:pPr>
        <w:spacing w:line="360" w:lineRule="auto"/>
        <w:jc w:val="center"/>
        <w:rPr>
          <w:rFonts w:hint="eastAsia"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招 标 文 件</w:t>
      </w:r>
    </w:p>
    <w:p>
      <w:pPr>
        <w:spacing w:line="360" w:lineRule="auto"/>
        <w:jc w:val="center"/>
        <w:rPr>
          <w:rFonts w:hint="eastAsia" w:ascii="微软雅黑" w:hAnsi="微软雅黑" w:eastAsia="微软雅黑" w:cs="微软雅黑"/>
          <w:b/>
          <w:color w:val="auto"/>
          <w:sz w:val="40"/>
          <w:szCs w:val="40"/>
        </w:rPr>
      </w:pPr>
    </w:p>
    <w:p>
      <w:pPr>
        <w:spacing w:line="360" w:lineRule="auto"/>
        <w:jc w:val="center"/>
        <w:rPr>
          <w:rFonts w:hint="eastAsia" w:ascii="微软雅黑" w:hAnsi="微软雅黑" w:eastAsia="微软雅黑" w:cs="微软雅黑"/>
          <w:b/>
          <w:color w:val="auto"/>
          <w:sz w:val="40"/>
          <w:szCs w:val="40"/>
          <w:lang w:val="en-US" w:eastAsia="zh-CN"/>
        </w:rPr>
      </w:pPr>
      <w:r>
        <w:rPr>
          <w:rFonts w:hint="eastAsia" w:ascii="微软雅黑" w:hAnsi="微软雅黑" w:eastAsia="微软雅黑" w:cs="微软雅黑"/>
          <w:b/>
          <w:color w:val="auto"/>
          <w:sz w:val="40"/>
          <w:szCs w:val="40"/>
          <w:lang w:eastAsia="zh-CN"/>
        </w:rPr>
        <w:t xml:space="preserve">项目编号：ZJ（GK）-22021 </w:t>
      </w:r>
    </w:p>
    <w:p>
      <w:pPr>
        <w:spacing w:line="360" w:lineRule="auto"/>
        <w:jc w:val="center"/>
        <w:rPr>
          <w:rFonts w:hint="eastAsia" w:ascii="微软雅黑" w:hAnsi="微软雅黑" w:eastAsia="微软雅黑" w:cs="微软雅黑"/>
          <w:b/>
          <w:color w:val="auto"/>
          <w:sz w:val="32"/>
        </w:rPr>
      </w:pPr>
    </w:p>
    <w:p>
      <w:pPr>
        <w:spacing w:line="360" w:lineRule="auto"/>
        <w:jc w:val="both"/>
        <w:rPr>
          <w:rFonts w:hint="eastAsia" w:ascii="微软雅黑" w:hAnsi="微软雅黑" w:eastAsia="微软雅黑" w:cs="微软雅黑"/>
          <w:b/>
          <w:color w:val="auto"/>
          <w:sz w:val="32"/>
        </w:rPr>
      </w:pPr>
    </w:p>
    <w:p>
      <w:pPr>
        <w:spacing w:line="360" w:lineRule="auto"/>
        <w:jc w:val="center"/>
        <w:rPr>
          <w:rFonts w:hint="eastAsia" w:ascii="微软雅黑" w:hAnsi="微软雅黑" w:eastAsia="微软雅黑" w:cs="微软雅黑"/>
          <w:b/>
          <w:color w:val="auto"/>
          <w:sz w:val="44"/>
          <w:szCs w:val="36"/>
        </w:rPr>
      </w:pPr>
      <w:r>
        <w:rPr>
          <w:rFonts w:hint="eastAsia" w:ascii="微软雅黑" w:hAnsi="微软雅黑" w:eastAsia="微软雅黑" w:cs="微软雅黑"/>
          <w:b/>
          <w:color w:val="auto"/>
          <w:sz w:val="44"/>
          <w:szCs w:val="36"/>
        </w:rPr>
        <w:t>第 二 册</w:t>
      </w: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pStyle w:val="8"/>
        <w:spacing w:line="360" w:lineRule="exact"/>
        <w:rPr>
          <w:rFonts w:hint="eastAsia" w:ascii="微软雅黑" w:hAnsi="微软雅黑" w:eastAsia="微软雅黑" w:cs="微软雅黑"/>
          <w:b/>
          <w:color w:val="auto"/>
          <w:sz w:val="44"/>
          <w:szCs w:val="36"/>
        </w:rPr>
      </w:pPr>
    </w:p>
    <w:p>
      <w:pPr>
        <w:spacing w:line="360" w:lineRule="exact"/>
        <w:rPr>
          <w:rFonts w:hint="eastAsia" w:ascii="微软雅黑" w:hAnsi="微软雅黑" w:eastAsia="微软雅黑" w:cs="微软雅黑"/>
          <w:color w:val="auto"/>
        </w:rPr>
      </w:pPr>
    </w:p>
    <w:p>
      <w:pPr>
        <w:pStyle w:val="3"/>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微软雅黑" w:hAnsi="微软雅黑" w:eastAsia="微软雅黑" w:cs="微软雅黑"/>
          <w:color w:val="auto"/>
        </w:rPr>
      </w:pPr>
      <w:bookmarkStart w:id="392" w:name="_Toc218935350"/>
      <w:bookmarkStart w:id="393" w:name="_Toc216582822"/>
      <w:bookmarkStart w:id="394" w:name="_Toc219175634"/>
      <w:bookmarkStart w:id="395" w:name="_Toc11567"/>
      <w:bookmarkStart w:id="396" w:name="_Toc515647829"/>
      <w:bookmarkStart w:id="397" w:name="_Toc16370"/>
      <w:bookmarkStart w:id="398" w:name="_Toc28765"/>
      <w:bookmarkStart w:id="399" w:name="_Toc507399902"/>
      <w:r>
        <w:rPr>
          <w:rFonts w:hint="eastAsia" w:ascii="微软雅黑" w:hAnsi="微软雅黑" w:eastAsia="微软雅黑" w:cs="微软雅黑"/>
          <w:color w:val="auto"/>
          <w:lang w:val="en-US" w:eastAsia="zh-CN"/>
        </w:rPr>
        <w:t xml:space="preserve">第3章 </w:t>
      </w:r>
      <w:r>
        <w:rPr>
          <w:rFonts w:hint="eastAsia" w:ascii="微软雅黑" w:hAnsi="微软雅黑" w:eastAsia="微软雅黑" w:cs="微软雅黑"/>
          <w:color w:val="auto"/>
        </w:rPr>
        <w:t>投标邀请</w:t>
      </w:r>
      <w:bookmarkEnd w:id="392"/>
      <w:bookmarkEnd w:id="393"/>
      <w:bookmarkEnd w:id="394"/>
      <w:bookmarkEnd w:id="395"/>
      <w:bookmarkEnd w:id="396"/>
      <w:bookmarkEnd w:id="397"/>
      <w:bookmarkEnd w:id="398"/>
      <w:bookmarkEnd w:id="399"/>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textAlignment w:val="auto"/>
        <w:rPr>
          <w:rFonts w:hint="eastAsia" w:ascii="微软雅黑" w:hAnsi="微软雅黑" w:eastAsia="微软雅黑" w:cs="微软雅黑"/>
          <w:b/>
          <w:bCs/>
          <w:color w:val="auto"/>
          <w:sz w:val="28"/>
          <w:szCs w:val="28"/>
          <w:highlight w:val="none"/>
          <w:lang w:val="en-US" w:eastAsia="zh-CN"/>
        </w:rPr>
      </w:pPr>
      <w:bookmarkStart w:id="400" w:name="_Toc515647830"/>
      <w:bookmarkStart w:id="401" w:name="_Toc27532"/>
      <w:bookmarkStart w:id="402" w:name="_Toc10488"/>
      <w:bookmarkStart w:id="403" w:name="_Toc31583"/>
      <w:bookmarkStart w:id="404" w:name="_Toc216582823"/>
      <w:bookmarkStart w:id="405" w:name="_Toc507399903"/>
      <w:bookmarkStart w:id="406" w:name="_Toc512937850"/>
      <w:r>
        <w:rPr>
          <w:rFonts w:hint="eastAsia" w:ascii="微软雅黑" w:hAnsi="微软雅黑" w:eastAsia="微软雅黑" w:cs="微软雅黑"/>
          <w:b/>
          <w:bCs/>
          <w:color w:val="auto"/>
          <w:sz w:val="28"/>
          <w:szCs w:val="28"/>
          <w:highlight w:val="none"/>
          <w:lang w:val="en-US" w:eastAsia="zh-CN"/>
        </w:rPr>
        <w:t>叶城县交往交流交融（村（社区）党组织书记、村委会主任、村妇联主席赴上海参观学习）项目</w:t>
      </w:r>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textAlignment w:val="auto"/>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i w:val="0"/>
          <w:iCs w:val="0"/>
          <w:color w:val="auto"/>
          <w:sz w:val="24"/>
          <w:szCs w:val="24"/>
        </w:rPr>
      </w:pPr>
      <w:bookmarkStart w:id="407" w:name="_Toc35393621"/>
      <w:bookmarkStart w:id="408" w:name="_Toc28359002"/>
      <w:bookmarkStart w:id="409" w:name="_Toc28359079"/>
      <w:bookmarkStart w:id="410" w:name="_Toc35393790"/>
      <w:bookmarkStart w:id="411" w:name="_Hlk24379207"/>
      <w:r>
        <w:rPr>
          <w:rFonts w:hint="eastAsia" w:ascii="微软雅黑" w:hAnsi="微软雅黑" w:eastAsia="微软雅黑" w:cs="微软雅黑"/>
          <w:b w:val="0"/>
          <w:bCs w:val="0"/>
          <w:i w:val="0"/>
          <w:iCs w:val="0"/>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i w:val="0"/>
          <w:iCs w:val="0"/>
          <w:color w:val="auto"/>
          <w:sz w:val="24"/>
          <w:szCs w:val="24"/>
          <w:u w:val="none"/>
        </w:rPr>
      </w:pPr>
      <w:r>
        <w:rPr>
          <w:rFonts w:hint="eastAsia" w:ascii="微软雅黑" w:hAnsi="微软雅黑" w:eastAsia="微软雅黑" w:cs="微软雅黑"/>
          <w:b w:val="0"/>
          <w:bCs w:val="0"/>
          <w:i w:val="0"/>
          <w:iCs w:val="0"/>
          <w:color w:val="auto"/>
          <w:sz w:val="24"/>
          <w:szCs w:val="24"/>
          <w:u w:val="single"/>
        </w:rPr>
        <w:t xml:space="preserve"> </w:t>
      </w:r>
      <w:r>
        <w:rPr>
          <w:rFonts w:hint="eastAsia" w:ascii="微软雅黑" w:hAnsi="微软雅黑" w:eastAsia="微软雅黑" w:cs="微软雅黑"/>
          <w:b w:val="0"/>
          <w:bCs w:val="0"/>
          <w:i w:val="0"/>
          <w:iCs w:val="0"/>
          <w:color w:val="auto"/>
          <w:sz w:val="24"/>
          <w:szCs w:val="24"/>
          <w:u w:val="single"/>
          <w:lang w:eastAsia="zh-CN"/>
        </w:rPr>
        <w:t>叶城县交往交流交融（村（社区）党组织书记、村委会主任村妇联主席赴上海参观学习）项目</w:t>
      </w:r>
      <w:r>
        <w:rPr>
          <w:rFonts w:hint="eastAsia" w:ascii="微软雅黑" w:hAnsi="微软雅黑" w:eastAsia="微软雅黑" w:cs="微软雅黑"/>
          <w:b w:val="0"/>
          <w:bCs w:val="0"/>
          <w:i w:val="0"/>
          <w:iCs w:val="0"/>
          <w:color w:val="auto"/>
          <w:sz w:val="24"/>
          <w:szCs w:val="24"/>
        </w:rPr>
        <w:t xml:space="preserve"> 的潜在</w:t>
      </w:r>
      <w:r>
        <w:rPr>
          <w:rFonts w:hint="eastAsia" w:ascii="微软雅黑" w:hAnsi="微软雅黑" w:eastAsia="微软雅黑" w:cs="微软雅黑"/>
          <w:b w:val="0"/>
          <w:bCs w:val="0"/>
          <w:i w:val="0"/>
          <w:iCs w:val="0"/>
          <w:color w:val="auto"/>
          <w:sz w:val="24"/>
          <w:szCs w:val="24"/>
          <w:lang w:eastAsia="zh-CN"/>
        </w:rPr>
        <w:t>供应商应在</w:t>
      </w:r>
      <w:r>
        <w:rPr>
          <w:rFonts w:hint="eastAsia" w:ascii="微软雅黑" w:hAnsi="微软雅黑" w:eastAsia="微软雅黑" w:cs="微软雅黑"/>
          <w:b w:val="0"/>
          <w:bCs w:val="0"/>
          <w:i w:val="0"/>
          <w:iCs w:val="0"/>
          <w:color w:val="auto"/>
          <w:sz w:val="24"/>
          <w:szCs w:val="24"/>
          <w:u w:val="single"/>
          <w:lang w:eastAsia="zh-CN"/>
        </w:rPr>
        <w:t>政采云</w:t>
      </w:r>
      <w:r>
        <w:rPr>
          <w:rFonts w:hint="eastAsia" w:ascii="微软雅黑" w:hAnsi="微软雅黑" w:eastAsia="微软雅黑" w:cs="微软雅黑"/>
          <w:b w:val="0"/>
          <w:bCs w:val="0"/>
          <w:i w:val="0"/>
          <w:iCs w:val="0"/>
          <w:color w:val="auto"/>
          <w:sz w:val="24"/>
          <w:szCs w:val="24"/>
          <w:u w:val="single"/>
          <w:lang w:val="en-US" w:eastAsia="zh-CN"/>
        </w:rPr>
        <w:t>平台</w:t>
      </w:r>
      <w:r>
        <w:rPr>
          <w:rFonts w:hint="eastAsia" w:ascii="微软雅黑" w:hAnsi="微软雅黑" w:eastAsia="微软雅黑" w:cs="微软雅黑"/>
          <w:b w:val="0"/>
          <w:bCs w:val="0"/>
          <w:i w:val="0"/>
          <w:iCs w:val="0"/>
          <w:color w:val="auto"/>
          <w:sz w:val="24"/>
          <w:szCs w:val="24"/>
          <w:u w:val="none"/>
          <w:lang w:eastAsia="zh-CN"/>
        </w:rPr>
        <w:t>线上下载</w:t>
      </w:r>
      <w:r>
        <w:rPr>
          <w:rFonts w:hint="eastAsia" w:ascii="微软雅黑" w:hAnsi="微软雅黑" w:eastAsia="微软雅黑" w:cs="微软雅黑"/>
          <w:b w:val="0"/>
          <w:bCs w:val="0"/>
          <w:i w:val="0"/>
          <w:iCs w:val="0"/>
          <w:color w:val="auto"/>
          <w:sz w:val="24"/>
          <w:szCs w:val="24"/>
          <w:lang w:eastAsia="zh-CN"/>
        </w:rPr>
        <w:t>（供应商登陆政采云平台http://www.zcygov.cn/，在线申请获取采购文件（登录政府采购云平台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b w:val="0"/>
          <w:bCs w:val="0"/>
          <w:i w:val="0"/>
          <w:iCs w:val="0"/>
          <w:color w:val="auto"/>
          <w:sz w:val="24"/>
          <w:szCs w:val="24"/>
          <w:lang w:val="en-US" w:eastAsia="zh-CN"/>
        </w:rPr>
        <w:t>招标</w:t>
      </w:r>
      <w:r>
        <w:rPr>
          <w:rFonts w:hint="eastAsia" w:ascii="微软雅黑" w:hAnsi="微软雅黑" w:eastAsia="微软雅黑" w:cs="微软雅黑"/>
          <w:b w:val="0"/>
          <w:bCs w:val="0"/>
          <w:i w:val="0"/>
          <w:iCs w:val="0"/>
          <w:color w:val="auto"/>
          <w:sz w:val="24"/>
          <w:szCs w:val="24"/>
          <w:lang w:eastAsia="zh-CN"/>
        </w:rPr>
        <w:t>文件，如有操作性问题，可与政采云在线客服进行咨询，咨询电话：400-881-7190））获取招标文件，</w:t>
      </w:r>
      <w:r>
        <w:rPr>
          <w:rFonts w:hint="eastAsia" w:ascii="微软雅黑" w:hAnsi="微软雅黑" w:eastAsia="微软雅黑" w:cs="微软雅黑"/>
          <w:b w:val="0"/>
          <w:bCs w:val="0"/>
          <w:i w:val="0"/>
          <w:iCs w:val="0"/>
          <w:color w:val="auto"/>
          <w:sz w:val="24"/>
          <w:szCs w:val="24"/>
        </w:rPr>
        <w:t>并于</w:t>
      </w:r>
      <w:r>
        <w:rPr>
          <w:rFonts w:hint="eastAsia" w:ascii="微软雅黑" w:hAnsi="微软雅黑" w:eastAsia="微软雅黑" w:cs="微软雅黑"/>
          <w:b w:val="0"/>
          <w:bCs w:val="0"/>
          <w:i w:val="0"/>
          <w:iCs w:val="0"/>
          <w:color w:val="auto"/>
          <w:sz w:val="24"/>
          <w:szCs w:val="24"/>
          <w:u w:val="single"/>
        </w:rPr>
        <w:t xml:space="preserve"> </w:t>
      </w:r>
      <w:r>
        <w:rPr>
          <w:rFonts w:hint="eastAsia" w:ascii="微软雅黑" w:hAnsi="微软雅黑" w:eastAsia="微软雅黑" w:cs="微软雅黑"/>
          <w:b w:val="0"/>
          <w:bCs w:val="0"/>
          <w:i w:val="0"/>
          <w:iCs w:val="0"/>
          <w:color w:val="auto"/>
          <w:sz w:val="24"/>
          <w:szCs w:val="24"/>
          <w:u w:val="single"/>
          <w:lang w:val="en-US" w:eastAsia="zh-CN"/>
        </w:rPr>
        <w:t xml:space="preserve">2022年6月22日16点00分（北京时间） </w:t>
      </w:r>
      <w:r>
        <w:rPr>
          <w:rFonts w:hint="eastAsia" w:ascii="微软雅黑" w:hAnsi="微软雅黑" w:eastAsia="微软雅黑" w:cs="微软雅黑"/>
          <w:b w:val="0"/>
          <w:bCs w:val="0"/>
          <w:i w:val="0"/>
          <w:iCs w:val="0"/>
          <w:color w:val="auto"/>
          <w:sz w:val="24"/>
          <w:szCs w:val="24"/>
        </w:rPr>
        <w:t>前递交投标文件。</w:t>
      </w:r>
    </w:p>
    <w:p>
      <w:pPr>
        <w:pageBreakBefore w:val="0"/>
        <w:tabs>
          <w:tab w:val="left" w:pos="5580"/>
        </w:tabs>
        <w:kinsoku/>
        <w:wordWrap/>
        <w:overflowPunct/>
        <w:topLinePunct w:val="0"/>
        <w:bidi w:val="0"/>
        <w:spacing w:line="360" w:lineRule="exact"/>
        <w:rPr>
          <w:rFonts w:hint="eastAsia" w:ascii="微软雅黑" w:hAnsi="微软雅黑" w:eastAsia="微软雅黑" w:cs="微软雅黑"/>
          <w:b/>
          <w:bCs/>
          <w:i w:val="0"/>
          <w:iCs w:val="0"/>
          <w:color w:val="auto"/>
          <w:sz w:val="24"/>
          <w:szCs w:val="24"/>
        </w:rPr>
      </w:pPr>
      <w:r>
        <w:rPr>
          <w:rFonts w:hint="eastAsia" w:ascii="微软雅黑" w:hAnsi="微软雅黑" w:eastAsia="微软雅黑" w:cs="微软雅黑"/>
          <w:b/>
          <w:bCs/>
          <w:i w:val="0"/>
          <w:iCs w:val="0"/>
          <w:color w:val="auto"/>
          <w:sz w:val="24"/>
          <w:szCs w:val="24"/>
        </w:rPr>
        <w:t>一、项目基本情况</w:t>
      </w:r>
      <w:bookmarkEnd w:id="407"/>
      <w:bookmarkEnd w:id="408"/>
      <w:bookmarkEnd w:id="409"/>
      <w:bookmarkEnd w:id="410"/>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lang w:val="en-US" w:eastAsia="zh-CN"/>
        </w:rPr>
      </w:pPr>
      <w:r>
        <w:rPr>
          <w:rFonts w:hint="eastAsia" w:ascii="微软雅黑" w:hAnsi="微软雅黑" w:eastAsia="微软雅黑" w:cs="微软雅黑"/>
          <w:i w:val="0"/>
          <w:iCs w:val="0"/>
          <w:color w:val="auto"/>
          <w:sz w:val="24"/>
          <w:szCs w:val="24"/>
        </w:rPr>
        <w:t>项目编号：ZJ（GK）-220</w:t>
      </w:r>
      <w:r>
        <w:rPr>
          <w:rFonts w:hint="eastAsia" w:ascii="微软雅黑" w:hAnsi="微软雅黑" w:eastAsia="微软雅黑" w:cs="微软雅黑"/>
          <w:i w:val="0"/>
          <w:iCs w:val="0"/>
          <w:color w:val="auto"/>
          <w:sz w:val="24"/>
          <w:szCs w:val="24"/>
          <w:lang w:val="en-US" w:eastAsia="zh-CN"/>
        </w:rPr>
        <w:t xml:space="preserve">21              </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lang w:val="en-US" w:eastAsia="zh-CN"/>
        </w:rPr>
      </w:pPr>
      <w:r>
        <w:rPr>
          <w:rFonts w:hint="eastAsia" w:ascii="微软雅黑" w:hAnsi="微软雅黑" w:eastAsia="微软雅黑" w:cs="微软雅黑"/>
          <w:i w:val="0"/>
          <w:iCs w:val="0"/>
          <w:color w:val="auto"/>
          <w:sz w:val="24"/>
          <w:szCs w:val="24"/>
        </w:rPr>
        <w:t>项目名称：</w:t>
      </w:r>
      <w:r>
        <w:rPr>
          <w:rFonts w:hint="eastAsia" w:ascii="微软雅黑" w:hAnsi="微软雅黑" w:eastAsia="微软雅黑" w:cs="微软雅黑"/>
          <w:i w:val="0"/>
          <w:iCs w:val="0"/>
          <w:color w:val="auto"/>
          <w:sz w:val="24"/>
          <w:szCs w:val="24"/>
          <w:lang w:eastAsia="zh-CN"/>
        </w:rPr>
        <w:t>叶城县交往交流交融（村（社区）党组织书记、村委会主任、村妇联主席赴上海参观学习）项目</w:t>
      </w:r>
      <w:r>
        <w:rPr>
          <w:rFonts w:hint="eastAsia" w:ascii="微软雅黑" w:hAnsi="微软雅黑" w:eastAsia="微软雅黑" w:cs="微软雅黑"/>
          <w:i w:val="0"/>
          <w:iCs w:val="0"/>
          <w:color w:val="auto"/>
          <w:sz w:val="24"/>
          <w:szCs w:val="24"/>
          <w:lang w:val="en-US" w:eastAsia="zh-CN"/>
        </w:rPr>
        <w:t xml:space="preserve"> </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lang w:val="en-US" w:eastAsia="zh-CN"/>
        </w:rPr>
      </w:pPr>
      <w:r>
        <w:rPr>
          <w:rFonts w:hint="eastAsia" w:ascii="微软雅黑" w:hAnsi="微软雅黑" w:eastAsia="微软雅黑" w:cs="微软雅黑"/>
          <w:i w:val="0"/>
          <w:iCs w:val="0"/>
          <w:color w:val="auto"/>
          <w:sz w:val="24"/>
          <w:szCs w:val="24"/>
          <w:lang w:val="en-US" w:eastAsia="zh-CN"/>
        </w:rPr>
        <w:t xml:space="preserve">采购方式：公开招标 </w:t>
      </w:r>
    </w:p>
    <w:bookmarkEnd w:id="411"/>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rPr>
        <w:t>预算金额：</w:t>
      </w:r>
      <w:r>
        <w:rPr>
          <w:rFonts w:hint="eastAsia" w:ascii="微软雅黑" w:hAnsi="微软雅黑" w:eastAsia="微软雅黑" w:cs="微软雅黑"/>
          <w:i w:val="0"/>
          <w:iCs w:val="0"/>
          <w:color w:val="auto"/>
          <w:sz w:val="24"/>
          <w:szCs w:val="24"/>
          <w:highlight w:val="none"/>
          <w:lang w:val="en-US" w:eastAsia="zh-CN"/>
        </w:rPr>
        <w:t>1100000元</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lang w:val="en-US" w:eastAsia="zh-CN"/>
        </w:rPr>
      </w:pPr>
      <w:r>
        <w:rPr>
          <w:rFonts w:hint="eastAsia" w:ascii="微软雅黑" w:hAnsi="微软雅黑" w:eastAsia="微软雅黑" w:cs="微软雅黑"/>
          <w:i w:val="0"/>
          <w:iCs w:val="0"/>
          <w:color w:val="auto"/>
          <w:sz w:val="24"/>
          <w:szCs w:val="24"/>
          <w:lang w:val="en-US" w:eastAsia="zh-CN"/>
        </w:rPr>
        <w:t>采购需求：通过组织村（社区）党组织书记、村（社区）主任和村（社区）妇联主席1批100人，赴对口支援省市进行实地参观、学习、考察交流。</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（参数内容详见招标文件）</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lang w:val="en-US" w:eastAsia="zh-CN"/>
        </w:rPr>
      </w:pPr>
      <w:r>
        <w:rPr>
          <w:rFonts w:hint="eastAsia" w:ascii="微软雅黑" w:hAnsi="微软雅黑" w:eastAsia="微软雅黑" w:cs="微软雅黑"/>
          <w:i w:val="0"/>
          <w:iCs w:val="0"/>
          <w:color w:val="auto"/>
          <w:sz w:val="24"/>
          <w:szCs w:val="24"/>
          <w:lang w:val="en-US" w:eastAsia="zh-CN"/>
        </w:rPr>
        <w:t>本项目不接受联合体投标。</w:t>
      </w:r>
    </w:p>
    <w:p>
      <w:pPr>
        <w:pageBreakBefore w:val="0"/>
        <w:tabs>
          <w:tab w:val="left" w:pos="5580"/>
        </w:tabs>
        <w:kinsoku/>
        <w:wordWrap/>
        <w:overflowPunct/>
        <w:topLinePunct w:val="0"/>
        <w:bidi w:val="0"/>
        <w:spacing w:line="360" w:lineRule="exact"/>
        <w:rPr>
          <w:rFonts w:hint="eastAsia" w:ascii="微软雅黑" w:hAnsi="微软雅黑" w:eastAsia="微软雅黑" w:cs="微软雅黑"/>
          <w:b/>
          <w:bCs/>
          <w:i w:val="0"/>
          <w:iCs w:val="0"/>
          <w:color w:val="auto"/>
          <w:sz w:val="24"/>
          <w:szCs w:val="24"/>
          <w:lang w:val="en-US" w:eastAsia="zh-CN"/>
        </w:rPr>
      </w:pPr>
      <w:bookmarkStart w:id="412" w:name="_Toc35393622"/>
      <w:bookmarkStart w:id="413" w:name="_Toc28359080"/>
      <w:bookmarkStart w:id="414" w:name="_Toc35393791"/>
      <w:bookmarkStart w:id="415" w:name="_Toc28359003"/>
      <w:r>
        <w:rPr>
          <w:rFonts w:hint="eastAsia" w:ascii="微软雅黑" w:hAnsi="微软雅黑" w:eastAsia="微软雅黑" w:cs="微软雅黑"/>
          <w:b/>
          <w:bCs/>
          <w:i w:val="0"/>
          <w:iCs w:val="0"/>
          <w:color w:val="auto"/>
          <w:sz w:val="24"/>
          <w:szCs w:val="24"/>
          <w:lang w:val="en-US" w:eastAsia="zh-CN"/>
        </w:rPr>
        <w:t>二、申请人的资格要求：</w:t>
      </w:r>
      <w:bookmarkEnd w:id="412"/>
      <w:bookmarkEnd w:id="413"/>
      <w:bookmarkEnd w:id="414"/>
      <w:bookmarkEnd w:id="415"/>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lang w:val="en-US" w:eastAsia="zh-CN"/>
        </w:rPr>
      </w:pPr>
      <w:r>
        <w:rPr>
          <w:rFonts w:hint="eastAsia" w:ascii="微软雅黑" w:hAnsi="微软雅黑" w:eastAsia="微软雅黑" w:cs="微软雅黑"/>
          <w:i w:val="0"/>
          <w:iCs w:val="0"/>
          <w:color w:val="auto"/>
          <w:sz w:val="24"/>
          <w:szCs w:val="24"/>
          <w:lang w:val="en-US" w:eastAsia="zh-CN"/>
        </w:rPr>
        <w:t>1.满足《中华人民共和国政府采购法》第二十二条规定；</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rPr>
      </w:pPr>
      <w:bookmarkStart w:id="416" w:name="_Toc35393792"/>
      <w:bookmarkStart w:id="417" w:name="_Toc28359004"/>
      <w:bookmarkStart w:id="418" w:name="_Toc28359081"/>
      <w:bookmarkStart w:id="419" w:name="_Toc35393623"/>
      <w:r>
        <w:rPr>
          <w:rFonts w:hint="eastAsia" w:ascii="微软雅黑" w:hAnsi="微软雅黑" w:eastAsia="微软雅黑" w:cs="微软雅黑"/>
          <w:i w:val="0"/>
          <w:iCs w:val="0"/>
          <w:color w:val="auto"/>
          <w:sz w:val="24"/>
          <w:szCs w:val="24"/>
          <w:lang w:val="en-US" w:eastAsia="zh-CN"/>
        </w:rPr>
        <w:t>2.</w:t>
      </w:r>
      <w:r>
        <w:rPr>
          <w:rFonts w:hint="eastAsia" w:ascii="微软雅黑" w:hAnsi="微软雅黑" w:eastAsia="微软雅黑" w:cs="微软雅黑"/>
          <w:i w:val="0"/>
          <w:iCs w:val="0"/>
          <w:color w:val="auto"/>
          <w:sz w:val="24"/>
          <w:szCs w:val="24"/>
        </w:rPr>
        <w:t>具有有效的独立法人营业执照；</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rPr>
      </w:pPr>
      <w:r>
        <w:rPr>
          <w:rFonts w:hint="eastAsia" w:ascii="微软雅黑" w:hAnsi="微软雅黑" w:eastAsia="微软雅黑" w:cs="微软雅黑"/>
          <w:i w:val="0"/>
          <w:iCs w:val="0"/>
          <w:color w:val="auto"/>
          <w:sz w:val="24"/>
          <w:szCs w:val="24"/>
          <w:lang w:val="en-US" w:eastAsia="zh-CN"/>
        </w:rPr>
        <w:t>3.法人代表资格证明书及授权书、被授权人身份证(法人投标需提供法人身份证及法人代表资格证明书)；</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rPr>
      </w:pPr>
      <w:r>
        <w:rPr>
          <w:rFonts w:hint="eastAsia" w:ascii="微软雅黑" w:hAnsi="微软雅黑" w:eastAsia="微软雅黑" w:cs="微软雅黑"/>
          <w:i w:val="0"/>
          <w:iCs w:val="0"/>
          <w:color w:val="auto"/>
          <w:sz w:val="24"/>
          <w:szCs w:val="24"/>
          <w:lang w:val="en-US" w:eastAsia="zh-CN"/>
        </w:rPr>
        <w:t>4.</w:t>
      </w:r>
      <w:r>
        <w:rPr>
          <w:rFonts w:hint="eastAsia" w:ascii="微软雅黑" w:hAnsi="微软雅黑" w:eastAsia="微软雅黑" w:cs="微软雅黑"/>
          <w:i w:val="0"/>
          <w:iCs w:val="0"/>
          <w:color w:val="auto"/>
          <w:sz w:val="24"/>
          <w:szCs w:val="24"/>
        </w:rPr>
        <w:t>依法缴纳近</w:t>
      </w:r>
      <w:r>
        <w:rPr>
          <w:rFonts w:hint="eastAsia" w:ascii="微软雅黑" w:hAnsi="微软雅黑" w:eastAsia="微软雅黑" w:cs="微软雅黑"/>
          <w:i w:val="0"/>
          <w:iCs w:val="0"/>
          <w:color w:val="auto"/>
          <w:sz w:val="24"/>
          <w:szCs w:val="24"/>
          <w:lang w:val="en-US" w:eastAsia="zh-CN"/>
        </w:rPr>
        <w:t>6个月内任意1个月</w:t>
      </w:r>
      <w:r>
        <w:rPr>
          <w:rFonts w:hint="eastAsia" w:ascii="微软雅黑" w:hAnsi="微软雅黑" w:eastAsia="微软雅黑" w:cs="微软雅黑"/>
          <w:i w:val="0"/>
          <w:iCs w:val="0"/>
          <w:color w:val="auto"/>
          <w:sz w:val="24"/>
          <w:szCs w:val="24"/>
        </w:rPr>
        <w:t>的社会保险的凭据；</w:t>
      </w:r>
    </w:p>
    <w:p>
      <w:pPr>
        <w:pageBreakBefore w:val="0"/>
        <w:tabs>
          <w:tab w:val="left" w:pos="5580"/>
        </w:tabs>
        <w:kinsoku/>
        <w:wordWrap/>
        <w:overflowPunct/>
        <w:topLinePunct w:val="0"/>
        <w:bidi w:val="0"/>
        <w:spacing w:line="360" w:lineRule="exact"/>
        <w:ind w:firstLine="480" w:firstLineChars="200"/>
        <w:rPr>
          <w:rFonts w:hint="eastAsia" w:ascii="微软雅黑" w:hAnsi="微软雅黑" w:eastAsia="微软雅黑" w:cs="微软雅黑"/>
          <w:i w:val="0"/>
          <w:iCs w:val="0"/>
          <w:color w:val="auto"/>
          <w:sz w:val="24"/>
          <w:szCs w:val="24"/>
        </w:rPr>
      </w:pPr>
      <w:r>
        <w:rPr>
          <w:rFonts w:hint="eastAsia" w:ascii="微软雅黑" w:hAnsi="微软雅黑" w:eastAsia="微软雅黑" w:cs="微软雅黑"/>
          <w:i w:val="0"/>
          <w:iCs w:val="0"/>
          <w:color w:val="auto"/>
          <w:sz w:val="24"/>
          <w:szCs w:val="24"/>
          <w:lang w:val="en-US" w:eastAsia="zh-CN"/>
        </w:rPr>
        <w:t>5.</w:t>
      </w:r>
      <w:r>
        <w:rPr>
          <w:rFonts w:hint="eastAsia" w:ascii="微软雅黑" w:hAnsi="微软雅黑" w:eastAsia="微软雅黑" w:cs="微软雅黑"/>
          <w:i w:val="0"/>
          <w:iCs w:val="0"/>
          <w:color w:val="auto"/>
          <w:sz w:val="24"/>
          <w:szCs w:val="24"/>
          <w:lang w:eastAsia="zh-CN"/>
        </w:rPr>
        <w:t>税务部门出具的近</w:t>
      </w:r>
      <w:r>
        <w:rPr>
          <w:rFonts w:hint="eastAsia" w:ascii="微软雅黑" w:hAnsi="微软雅黑" w:eastAsia="微软雅黑" w:cs="微软雅黑"/>
          <w:i w:val="0"/>
          <w:iCs w:val="0"/>
          <w:color w:val="auto"/>
          <w:sz w:val="24"/>
          <w:szCs w:val="24"/>
          <w:lang w:val="en-US" w:eastAsia="zh-CN"/>
        </w:rPr>
        <w:t>6</w:t>
      </w:r>
      <w:r>
        <w:rPr>
          <w:rFonts w:hint="eastAsia" w:ascii="微软雅黑" w:hAnsi="微软雅黑" w:eastAsia="微软雅黑" w:cs="微软雅黑"/>
          <w:i w:val="0"/>
          <w:iCs w:val="0"/>
          <w:color w:val="auto"/>
          <w:sz w:val="24"/>
          <w:szCs w:val="24"/>
          <w:lang w:eastAsia="zh-CN"/>
        </w:rPr>
        <w:t>个月</w:t>
      </w:r>
      <w:r>
        <w:rPr>
          <w:rFonts w:hint="eastAsia" w:ascii="微软雅黑" w:hAnsi="微软雅黑" w:eastAsia="微软雅黑" w:cs="微软雅黑"/>
          <w:i w:val="0"/>
          <w:iCs w:val="0"/>
          <w:color w:val="auto"/>
          <w:sz w:val="24"/>
          <w:szCs w:val="24"/>
          <w:lang w:val="en-US" w:eastAsia="zh-CN"/>
        </w:rPr>
        <w:t>内任意1个月</w:t>
      </w:r>
      <w:r>
        <w:rPr>
          <w:rFonts w:hint="eastAsia" w:ascii="微软雅黑" w:hAnsi="微软雅黑" w:eastAsia="微软雅黑" w:cs="微软雅黑"/>
          <w:i w:val="0"/>
          <w:iCs w:val="0"/>
          <w:color w:val="auto"/>
          <w:sz w:val="24"/>
          <w:szCs w:val="24"/>
          <w:lang w:eastAsia="zh-CN"/>
        </w:rPr>
        <w:t>的完税证明</w:t>
      </w:r>
      <w:r>
        <w:rPr>
          <w:rFonts w:hint="eastAsia" w:ascii="微软雅黑" w:hAnsi="微软雅黑" w:eastAsia="微软雅黑" w:cs="微软雅黑"/>
          <w:i w:val="0"/>
          <w:iCs w:val="0"/>
          <w:color w:val="auto"/>
          <w:sz w:val="24"/>
          <w:szCs w:val="24"/>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left="0" w:leftChars="0" w:firstLine="480" w:firstLineChars="200"/>
        <w:jc w:val="left"/>
        <w:textAlignment w:val="baseline"/>
        <w:rPr>
          <w:rFonts w:hint="eastAsia" w:ascii="微软雅黑" w:hAnsi="微软雅黑" w:eastAsia="微软雅黑" w:cs="微软雅黑"/>
          <w:i w:val="0"/>
          <w:iCs w:val="0"/>
          <w:color w:val="auto"/>
          <w:kern w:val="2"/>
          <w:sz w:val="24"/>
          <w:szCs w:val="24"/>
          <w:lang w:val="en-US" w:eastAsia="zh-CN" w:bidi="ar-SA"/>
        </w:rPr>
      </w:pPr>
      <w:r>
        <w:rPr>
          <w:rFonts w:hint="eastAsia" w:ascii="微软雅黑" w:hAnsi="微软雅黑" w:eastAsia="微软雅黑" w:cs="微软雅黑"/>
          <w:i w:val="0"/>
          <w:iCs w:val="0"/>
          <w:color w:val="auto"/>
          <w:kern w:val="2"/>
          <w:sz w:val="24"/>
          <w:szCs w:val="24"/>
          <w:lang w:val="en-US" w:eastAsia="zh-CN" w:bidi="ar-SA"/>
        </w:rPr>
        <w:t>6.</w:t>
      </w:r>
      <w:r>
        <w:rPr>
          <w:rFonts w:hint="eastAsia" w:ascii="微软雅黑" w:hAnsi="微软雅黑" w:eastAsia="微软雅黑" w:cs="微软雅黑"/>
          <w:i w:val="0"/>
          <w:iCs w:val="0"/>
          <w:color w:val="auto"/>
          <w:sz w:val="24"/>
          <w:szCs w:val="24"/>
          <w:lang w:val="en-US" w:eastAsia="zh-CN"/>
        </w:rPr>
        <w:t>提供健全的财务制度</w:t>
      </w:r>
      <w:r>
        <w:rPr>
          <w:rFonts w:hint="eastAsia" w:ascii="微软雅黑" w:hAnsi="微软雅黑" w:eastAsia="微软雅黑" w:cs="微软雅黑"/>
          <w:i w:val="0"/>
          <w:iCs w:val="0"/>
          <w:color w:val="auto"/>
          <w:kern w:val="2"/>
          <w:sz w:val="24"/>
          <w:szCs w:val="24"/>
          <w:lang w:val="en-US" w:eastAsia="zh-CN" w:bidi="ar-SA"/>
        </w:rPr>
        <w:t>；</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left="0" w:leftChars="0" w:firstLine="480" w:firstLineChars="200"/>
        <w:jc w:val="left"/>
        <w:textAlignment w:val="baseline"/>
        <w:rPr>
          <w:rFonts w:hint="eastAsia" w:ascii="微软雅黑" w:hAnsi="微软雅黑" w:eastAsia="微软雅黑" w:cs="微软雅黑"/>
          <w:i w:val="0"/>
          <w:iCs w:val="0"/>
          <w:color w:val="auto"/>
          <w:kern w:val="2"/>
          <w:sz w:val="24"/>
          <w:szCs w:val="24"/>
          <w:lang w:val="en-US" w:eastAsia="zh-CN" w:bidi="ar-SA"/>
        </w:rPr>
      </w:pPr>
      <w:r>
        <w:rPr>
          <w:rFonts w:hint="eastAsia" w:ascii="微软雅黑" w:hAnsi="微软雅黑" w:eastAsia="微软雅黑" w:cs="微软雅黑"/>
          <w:i w:val="0"/>
          <w:iCs w:val="0"/>
          <w:color w:val="auto"/>
          <w:kern w:val="2"/>
          <w:sz w:val="24"/>
          <w:szCs w:val="24"/>
          <w:lang w:val="en-US" w:eastAsia="zh-CN" w:bidi="ar-SA"/>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left="0" w:leftChars="0" w:firstLine="480" w:firstLineChars="200"/>
        <w:jc w:val="left"/>
        <w:textAlignment w:val="baseline"/>
        <w:rPr>
          <w:rFonts w:hint="eastAsia" w:ascii="微软雅黑" w:hAnsi="微软雅黑" w:eastAsia="微软雅黑" w:cs="微软雅黑"/>
          <w:i w:val="0"/>
          <w:iCs w:val="0"/>
          <w:color w:val="auto"/>
          <w:kern w:val="2"/>
          <w:sz w:val="24"/>
          <w:szCs w:val="24"/>
          <w:lang w:val="en-US" w:eastAsia="zh-CN" w:bidi="ar-SA"/>
        </w:rPr>
      </w:pPr>
      <w:r>
        <w:rPr>
          <w:rFonts w:hint="eastAsia" w:ascii="微软雅黑" w:hAnsi="微软雅黑" w:eastAsia="微软雅黑" w:cs="微软雅黑"/>
          <w:i w:val="0"/>
          <w:iCs w:val="0"/>
          <w:color w:val="auto"/>
          <w:kern w:val="2"/>
          <w:sz w:val="24"/>
          <w:szCs w:val="24"/>
          <w:lang w:val="en-US" w:eastAsia="zh-CN" w:bidi="ar-SA"/>
        </w:rPr>
        <w:t>8.参加政府采购活动前3年内未被列入失信、重大税收违法案件、财政部门禁止参加政府采购活动的承诺书；</w:t>
      </w:r>
    </w:p>
    <w:p>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left="0" w:leftChars="0" w:firstLine="480" w:firstLineChars="20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i w:val="0"/>
          <w:iCs w:val="0"/>
          <w:color w:val="auto"/>
          <w:kern w:val="2"/>
          <w:sz w:val="24"/>
          <w:szCs w:val="24"/>
          <w:lang w:val="en-US" w:eastAsia="zh-CN" w:bidi="ar-SA"/>
        </w:rPr>
        <w:t>9.提供针对本次项目《反商业贿赂承诺书》。</w:t>
      </w:r>
    </w:p>
    <w:bookmarkEnd w:id="416"/>
    <w:bookmarkEnd w:id="417"/>
    <w:bookmarkEnd w:id="418"/>
    <w:bookmarkEnd w:id="419"/>
    <w:p>
      <w:pPr>
        <w:pageBreakBefore w:val="0"/>
        <w:kinsoku/>
        <w:wordWrap/>
        <w:overflowPunct/>
        <w:topLinePunct w:val="0"/>
        <w:bidi w:val="0"/>
        <w:snapToGrid/>
        <w:spacing w:line="360" w:lineRule="exact"/>
        <w:textAlignment w:val="auto"/>
        <w:outlineLvl w:val="1"/>
        <w:rPr>
          <w:rFonts w:hint="eastAsia" w:ascii="微软雅黑" w:hAnsi="微软雅黑" w:eastAsia="微软雅黑" w:cs="微软雅黑"/>
          <w:b/>
          <w:bCs/>
          <w:color w:val="auto"/>
          <w:kern w:val="0"/>
          <w:sz w:val="24"/>
          <w:szCs w:val="24"/>
          <w:highlight w:val="none"/>
        </w:rPr>
      </w:pPr>
      <w:bookmarkStart w:id="420" w:name="_Toc2912"/>
      <w:bookmarkStart w:id="421" w:name="_Toc25239"/>
      <w:bookmarkStart w:id="422" w:name="_Toc25750"/>
      <w:bookmarkStart w:id="423" w:name="_Toc26750"/>
      <w:bookmarkStart w:id="424" w:name="_Toc28359085"/>
      <w:bookmarkStart w:id="425" w:name="_Toc35393627"/>
      <w:bookmarkStart w:id="426" w:name="_Toc28359008"/>
      <w:bookmarkStart w:id="427" w:name="_Toc35393796"/>
      <w:r>
        <w:rPr>
          <w:rFonts w:hint="eastAsia" w:ascii="微软雅黑" w:hAnsi="微软雅黑" w:eastAsia="微软雅黑" w:cs="微软雅黑"/>
          <w:b/>
          <w:bCs/>
          <w:color w:val="auto"/>
          <w:kern w:val="0"/>
          <w:sz w:val="24"/>
          <w:szCs w:val="24"/>
          <w:highlight w:val="none"/>
        </w:rPr>
        <w:t>三、获取招标文件</w:t>
      </w:r>
      <w:bookmarkEnd w:id="420"/>
      <w:bookmarkEnd w:id="421"/>
      <w:bookmarkEnd w:id="422"/>
      <w:bookmarkEnd w:id="423"/>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获取</w:t>
      </w:r>
      <w:r>
        <w:rPr>
          <w:rFonts w:hint="eastAsia" w:ascii="微软雅黑" w:hAnsi="微软雅黑" w:eastAsia="微软雅黑" w:cs="微软雅黑"/>
          <w:color w:val="auto"/>
          <w:sz w:val="24"/>
          <w:szCs w:val="24"/>
          <w:highlight w:val="none"/>
        </w:rPr>
        <w:t>时间：</w:t>
      </w:r>
      <w:bookmarkStart w:id="901" w:name="_GoBack"/>
      <w:bookmarkEnd w:id="901"/>
      <w:r>
        <w:rPr>
          <w:rFonts w:hint="eastAsia" w:ascii="微软雅黑" w:hAnsi="微软雅黑" w:eastAsia="微软雅黑" w:cs="微软雅黑"/>
          <w:color w:val="auto"/>
          <w:sz w:val="24"/>
          <w:szCs w:val="24"/>
          <w:highlight w:val="none"/>
          <w:lang w:val="en-US" w:eastAsia="zh-CN"/>
        </w:rPr>
        <w:t>2022年6月1日至2022年6月9日，每天上午10:00至14:00，下午16:00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（北京时间，法定节假日除外）</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获取地点：政采云平台（https://login.zcygov.cn/user-login/#/login）</w:t>
      </w:r>
    </w:p>
    <w:p>
      <w:pPr>
        <w:pStyle w:val="4"/>
        <w:pageBreakBefore w:val="0"/>
        <w:kinsoku/>
        <w:wordWrap/>
        <w:overflowPunct/>
        <w:topLinePunct w:val="0"/>
        <w:bidi w:val="0"/>
        <w:snapToGrid/>
        <w:spacing w:line="360" w:lineRule="exact"/>
        <w:jc w:val="both"/>
        <w:textAlignment w:val="auto"/>
        <w:rPr>
          <w:rFonts w:hint="eastAsia" w:ascii="微软雅黑" w:hAnsi="微软雅黑" w:eastAsia="微软雅黑" w:cs="微软雅黑"/>
          <w:b/>
          <w:bCs w:val="0"/>
          <w:color w:val="auto"/>
          <w:sz w:val="24"/>
          <w:szCs w:val="24"/>
          <w:highlight w:val="none"/>
        </w:rPr>
      </w:pPr>
      <w:bookmarkStart w:id="428" w:name="_Toc28359082"/>
      <w:bookmarkStart w:id="429" w:name="_Toc28359005"/>
      <w:bookmarkStart w:id="430" w:name="_Toc2532"/>
      <w:bookmarkStart w:id="431" w:name="_Toc13238"/>
      <w:bookmarkStart w:id="432" w:name="_Toc24229"/>
      <w:bookmarkStart w:id="433" w:name="_Toc3804"/>
      <w:bookmarkStart w:id="434" w:name="_Toc35393793"/>
      <w:bookmarkStart w:id="435" w:name="_Toc11482"/>
      <w:bookmarkStart w:id="436" w:name="_Toc35393624"/>
      <w:bookmarkStart w:id="437" w:name="_Toc500"/>
      <w:bookmarkStart w:id="438" w:name="_Toc2422"/>
      <w:r>
        <w:rPr>
          <w:rFonts w:hint="eastAsia" w:ascii="微软雅黑" w:hAnsi="微软雅黑" w:eastAsia="微软雅黑" w:cs="微软雅黑"/>
          <w:b/>
          <w:bCs w:val="0"/>
          <w:color w:val="auto"/>
          <w:sz w:val="24"/>
          <w:szCs w:val="24"/>
          <w:highlight w:val="none"/>
        </w:rPr>
        <w:t>四、提交投标文件</w:t>
      </w:r>
      <w:bookmarkEnd w:id="428"/>
      <w:bookmarkEnd w:id="429"/>
      <w:r>
        <w:rPr>
          <w:rFonts w:hint="eastAsia" w:ascii="微软雅黑" w:hAnsi="微软雅黑" w:eastAsia="微软雅黑" w:cs="微软雅黑"/>
          <w:b/>
          <w:bCs w:val="0"/>
          <w:color w:val="auto"/>
          <w:sz w:val="24"/>
          <w:szCs w:val="24"/>
          <w:highlight w:val="none"/>
        </w:rPr>
        <w:t>截止时间、开标时间和地点</w:t>
      </w:r>
      <w:bookmarkEnd w:id="430"/>
      <w:bookmarkEnd w:id="431"/>
      <w:bookmarkEnd w:id="432"/>
      <w:bookmarkEnd w:id="433"/>
      <w:bookmarkEnd w:id="434"/>
      <w:bookmarkEnd w:id="435"/>
      <w:bookmarkEnd w:id="436"/>
      <w:bookmarkEnd w:id="437"/>
      <w:bookmarkEnd w:id="438"/>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bookmarkStart w:id="439" w:name="_Toc28359084"/>
      <w:bookmarkStart w:id="440" w:name="_Toc35393625"/>
      <w:bookmarkStart w:id="441" w:name="_Toc30400"/>
      <w:bookmarkStart w:id="442" w:name="_Toc20863"/>
      <w:bookmarkStart w:id="443" w:name="_Toc35393794"/>
      <w:bookmarkStart w:id="444" w:name="_Toc28359007"/>
      <w:r>
        <w:rPr>
          <w:rFonts w:hint="eastAsia" w:ascii="微软雅黑" w:hAnsi="微软雅黑" w:eastAsia="微软雅黑" w:cs="微软雅黑"/>
          <w:color w:val="auto"/>
          <w:sz w:val="24"/>
          <w:szCs w:val="24"/>
          <w:highlight w:val="none"/>
          <w:lang w:val="en-US" w:eastAsia="zh-CN"/>
        </w:rPr>
        <w:t>时间：2022年6月22日16点00分（北京时间）</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bookmarkStart w:id="445" w:name="_Toc3737"/>
      <w:bookmarkStart w:id="446" w:name="_Toc27810"/>
      <w:bookmarkStart w:id="447" w:name="_Toc26431"/>
      <w:r>
        <w:rPr>
          <w:rFonts w:hint="eastAsia" w:ascii="微软雅黑" w:hAnsi="微软雅黑" w:eastAsia="微软雅黑" w:cs="微软雅黑"/>
          <w:color w:val="auto"/>
          <w:sz w:val="24"/>
          <w:szCs w:val="24"/>
          <w:highlight w:val="none"/>
          <w:lang w:val="en-US" w:eastAsia="zh-CN"/>
        </w:rPr>
        <w:t>地点：</w:t>
      </w:r>
      <w:bookmarkEnd w:id="445"/>
      <w:bookmarkEnd w:id="446"/>
      <w:bookmarkEnd w:id="447"/>
      <w:r>
        <w:rPr>
          <w:rFonts w:hint="eastAsia" w:ascii="微软雅黑" w:hAnsi="微软雅黑" w:eastAsia="微软雅黑" w:cs="微软雅黑"/>
          <w:color w:val="auto"/>
          <w:sz w:val="24"/>
          <w:szCs w:val="24"/>
          <w:highlight w:val="none"/>
          <w:lang w:val="en-US" w:eastAsia="zh-CN"/>
        </w:rPr>
        <w:t>叶城县行政综合服务中心（叶城县工业园区纬三路）</w:t>
      </w:r>
    </w:p>
    <w:p>
      <w:pPr>
        <w:pStyle w:val="4"/>
        <w:pageBreakBefore w:val="0"/>
        <w:kinsoku/>
        <w:wordWrap/>
        <w:overflowPunct/>
        <w:topLinePunct w:val="0"/>
        <w:bidi w:val="0"/>
        <w:snapToGrid/>
        <w:spacing w:line="360" w:lineRule="exact"/>
        <w:jc w:val="both"/>
        <w:textAlignment w:val="auto"/>
        <w:rPr>
          <w:rFonts w:hint="eastAsia" w:ascii="微软雅黑" w:hAnsi="微软雅黑" w:eastAsia="微软雅黑" w:cs="微软雅黑"/>
          <w:b/>
          <w:bCs w:val="0"/>
          <w:color w:val="auto"/>
          <w:sz w:val="24"/>
          <w:szCs w:val="24"/>
          <w:highlight w:val="none"/>
        </w:rPr>
      </w:pPr>
      <w:bookmarkStart w:id="448" w:name="_Toc28248"/>
      <w:bookmarkStart w:id="449" w:name="_Toc7359"/>
      <w:bookmarkStart w:id="450" w:name="_Toc19647"/>
      <w:bookmarkStart w:id="451" w:name="_Toc16829"/>
      <w:r>
        <w:rPr>
          <w:rFonts w:hint="eastAsia" w:ascii="微软雅黑" w:hAnsi="微软雅黑" w:eastAsia="微软雅黑" w:cs="微软雅黑"/>
          <w:b/>
          <w:bCs w:val="0"/>
          <w:color w:val="auto"/>
          <w:sz w:val="24"/>
          <w:szCs w:val="24"/>
          <w:highlight w:val="none"/>
        </w:rPr>
        <w:t>五、公告期限</w:t>
      </w:r>
      <w:bookmarkEnd w:id="439"/>
      <w:bookmarkEnd w:id="440"/>
      <w:bookmarkEnd w:id="441"/>
      <w:bookmarkEnd w:id="442"/>
      <w:bookmarkEnd w:id="443"/>
      <w:bookmarkEnd w:id="444"/>
      <w:bookmarkEnd w:id="448"/>
      <w:bookmarkEnd w:id="449"/>
      <w:bookmarkEnd w:id="450"/>
      <w:bookmarkEnd w:id="451"/>
    </w:p>
    <w:p>
      <w:pPr>
        <w:pageBreakBefore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pStyle w:val="4"/>
        <w:pageBreakBefore w:val="0"/>
        <w:kinsoku/>
        <w:wordWrap/>
        <w:overflowPunct/>
        <w:topLinePunct w:val="0"/>
        <w:bidi w:val="0"/>
        <w:snapToGrid/>
        <w:spacing w:line="360" w:lineRule="exact"/>
        <w:jc w:val="left"/>
        <w:textAlignment w:val="auto"/>
        <w:rPr>
          <w:rFonts w:hint="eastAsia" w:ascii="微软雅黑" w:hAnsi="微软雅黑" w:eastAsia="微软雅黑" w:cs="微软雅黑"/>
          <w:b/>
          <w:bCs w:val="0"/>
          <w:color w:val="auto"/>
          <w:sz w:val="24"/>
          <w:szCs w:val="24"/>
          <w:highlight w:val="none"/>
        </w:rPr>
      </w:pPr>
      <w:bookmarkStart w:id="452" w:name="_Toc1699"/>
      <w:bookmarkStart w:id="453" w:name="_Toc18258"/>
      <w:bookmarkStart w:id="454" w:name="_Toc6895"/>
      <w:bookmarkStart w:id="455" w:name="_Toc17081"/>
      <w:bookmarkStart w:id="456" w:name="_Toc7723"/>
      <w:bookmarkStart w:id="457" w:name="_Toc28370"/>
      <w:bookmarkStart w:id="458" w:name="_Toc647"/>
      <w:r>
        <w:rPr>
          <w:rFonts w:hint="eastAsia" w:ascii="微软雅黑" w:hAnsi="微软雅黑" w:eastAsia="微软雅黑" w:cs="微软雅黑"/>
          <w:b/>
          <w:bCs w:val="0"/>
          <w:color w:val="auto"/>
          <w:sz w:val="24"/>
          <w:szCs w:val="24"/>
          <w:highlight w:val="none"/>
          <w:lang w:val="en-US" w:eastAsia="zh-CN"/>
        </w:rPr>
        <w:t>六、</w:t>
      </w:r>
      <w:r>
        <w:rPr>
          <w:rFonts w:hint="eastAsia" w:ascii="微软雅黑" w:hAnsi="微软雅黑" w:eastAsia="微软雅黑" w:cs="微软雅黑"/>
          <w:b/>
          <w:bCs w:val="0"/>
          <w:color w:val="auto"/>
          <w:sz w:val="24"/>
          <w:szCs w:val="24"/>
          <w:highlight w:val="none"/>
        </w:rPr>
        <w:t>对本次招标提出询问，请按以下方式联系。</w:t>
      </w:r>
      <w:bookmarkEnd w:id="452"/>
      <w:bookmarkEnd w:id="453"/>
      <w:bookmarkEnd w:id="454"/>
      <w:bookmarkEnd w:id="455"/>
      <w:bookmarkEnd w:id="456"/>
      <w:bookmarkEnd w:id="457"/>
      <w:bookmarkEnd w:id="458"/>
    </w:p>
    <w:bookmarkEnd w:id="424"/>
    <w:bookmarkEnd w:id="425"/>
    <w:bookmarkEnd w:id="426"/>
    <w:bookmarkEnd w:id="427"/>
    <w:p>
      <w:pPr>
        <w:pageBreakBefore w:val="0"/>
        <w:widowControl w:val="0"/>
        <w:kinsoku/>
        <w:wordWrap/>
        <w:overflowPunct/>
        <w:topLinePunct w:val="0"/>
        <w:bidi w:val="0"/>
        <w:snapToGrid/>
        <w:spacing w:line="360" w:lineRule="exact"/>
        <w:ind w:firstLine="722" w:firstLineChars="301"/>
        <w:textAlignment w:val="auto"/>
        <w:rPr>
          <w:rFonts w:hint="eastAsia" w:ascii="微软雅黑" w:hAnsi="微软雅黑" w:eastAsia="微软雅黑" w:cs="微软雅黑"/>
          <w:b w:val="0"/>
          <w:bCs w:val="0"/>
          <w:i w:val="0"/>
          <w:iCs w:val="0"/>
          <w:color w:val="auto"/>
          <w:sz w:val="24"/>
          <w:szCs w:val="24"/>
          <w:highlight w:val="none"/>
          <w:u w:val="none"/>
          <w:lang w:val="en-US" w:eastAsia="zh-CN"/>
        </w:rPr>
      </w:pPr>
      <w:r>
        <w:rPr>
          <w:rFonts w:hint="eastAsia" w:ascii="微软雅黑" w:hAnsi="微软雅黑" w:eastAsia="微软雅黑" w:cs="微软雅黑"/>
          <w:b w:val="0"/>
          <w:bCs w:val="0"/>
          <w:i w:val="0"/>
          <w:iCs w:val="0"/>
          <w:color w:val="auto"/>
          <w:sz w:val="24"/>
          <w:szCs w:val="24"/>
          <w:highlight w:val="none"/>
          <w:u w:val="none"/>
          <w:lang w:val="en-US" w:eastAsia="zh-CN"/>
        </w:rPr>
        <w:t>1.采购人信息</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b w:val="0"/>
          <w:bCs w:val="0"/>
          <w:i w:val="0"/>
          <w:iCs w:val="0"/>
          <w:color w:val="auto"/>
          <w:sz w:val="24"/>
          <w:szCs w:val="24"/>
          <w:highlight w:val="none"/>
          <w:u w:val="none"/>
          <w:lang w:eastAsia="zh-CN"/>
        </w:rPr>
      </w:pPr>
      <w:r>
        <w:rPr>
          <w:rFonts w:hint="eastAsia" w:ascii="微软雅黑" w:hAnsi="微软雅黑" w:eastAsia="微软雅黑" w:cs="微软雅黑"/>
          <w:b w:val="0"/>
          <w:bCs w:val="0"/>
          <w:i w:val="0"/>
          <w:iCs w:val="0"/>
          <w:color w:val="auto"/>
          <w:sz w:val="24"/>
          <w:szCs w:val="24"/>
          <w:highlight w:val="none"/>
          <w:u w:val="none"/>
        </w:rPr>
        <w:t xml:space="preserve">名 </w:t>
      </w:r>
      <w:r>
        <w:rPr>
          <w:rFonts w:hint="eastAsia" w:ascii="微软雅黑" w:hAnsi="微软雅黑" w:eastAsia="微软雅黑" w:cs="微软雅黑"/>
          <w:b w:val="0"/>
          <w:bCs w:val="0"/>
          <w:i w:val="0"/>
          <w:iCs w:val="0"/>
          <w:color w:val="auto"/>
          <w:sz w:val="24"/>
          <w:szCs w:val="24"/>
          <w:highlight w:val="none"/>
          <w:u w:val="none"/>
          <w:lang w:val="en-US" w:eastAsia="zh-CN"/>
        </w:rPr>
        <w:t xml:space="preserve">   </w:t>
      </w:r>
      <w:r>
        <w:rPr>
          <w:rFonts w:hint="eastAsia" w:ascii="微软雅黑" w:hAnsi="微软雅黑" w:eastAsia="微软雅黑" w:cs="微软雅黑"/>
          <w:b w:val="0"/>
          <w:bCs w:val="0"/>
          <w:i w:val="0"/>
          <w:iCs w:val="0"/>
          <w:color w:val="auto"/>
          <w:sz w:val="24"/>
          <w:szCs w:val="24"/>
          <w:highlight w:val="none"/>
          <w:u w:val="none"/>
        </w:rPr>
        <w:t>称：</w:t>
      </w:r>
      <w:r>
        <w:rPr>
          <w:rFonts w:hint="eastAsia" w:ascii="微软雅黑" w:hAnsi="微软雅黑" w:eastAsia="微软雅黑" w:cs="微软雅黑"/>
          <w:b w:val="0"/>
          <w:bCs w:val="0"/>
          <w:i w:val="0"/>
          <w:iCs w:val="0"/>
          <w:color w:val="auto"/>
          <w:sz w:val="24"/>
          <w:szCs w:val="24"/>
          <w:highlight w:val="none"/>
          <w:u w:val="none"/>
          <w:lang w:eastAsia="zh-CN"/>
        </w:rPr>
        <w:t>中共叶城</w:t>
      </w:r>
      <w:r>
        <w:rPr>
          <w:rFonts w:hint="eastAsia" w:ascii="微软雅黑" w:hAnsi="微软雅黑" w:eastAsia="微软雅黑" w:cs="微软雅黑"/>
          <w:b w:val="0"/>
          <w:bCs w:val="0"/>
          <w:i w:val="0"/>
          <w:iCs w:val="0"/>
          <w:color w:val="auto"/>
          <w:sz w:val="24"/>
          <w:szCs w:val="24"/>
          <w:highlight w:val="none"/>
          <w:u w:val="none"/>
        </w:rPr>
        <w:t>县委</w:t>
      </w:r>
      <w:r>
        <w:rPr>
          <w:rFonts w:hint="eastAsia" w:ascii="微软雅黑" w:hAnsi="微软雅黑" w:eastAsia="微软雅黑" w:cs="微软雅黑"/>
          <w:b w:val="0"/>
          <w:bCs w:val="0"/>
          <w:i w:val="0"/>
          <w:iCs w:val="0"/>
          <w:color w:val="auto"/>
          <w:sz w:val="24"/>
          <w:szCs w:val="24"/>
          <w:highlight w:val="none"/>
          <w:u w:val="none"/>
          <w:lang w:eastAsia="zh-CN"/>
        </w:rPr>
        <w:t>组织部</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b w:val="0"/>
          <w:bCs w:val="0"/>
          <w:i w:val="0"/>
          <w:iCs w:val="0"/>
          <w:color w:val="auto"/>
          <w:sz w:val="24"/>
          <w:szCs w:val="24"/>
          <w:highlight w:val="none"/>
          <w:u w:val="none"/>
        </w:rPr>
      </w:pPr>
      <w:r>
        <w:rPr>
          <w:rFonts w:hint="eastAsia" w:ascii="微软雅黑" w:hAnsi="微软雅黑" w:eastAsia="微软雅黑" w:cs="微软雅黑"/>
          <w:b w:val="0"/>
          <w:bCs w:val="0"/>
          <w:i w:val="0"/>
          <w:iCs w:val="0"/>
          <w:color w:val="auto"/>
          <w:sz w:val="24"/>
          <w:szCs w:val="24"/>
          <w:highlight w:val="none"/>
          <w:u w:val="none"/>
        </w:rPr>
        <w:t>联系地址：</w:t>
      </w:r>
      <w:r>
        <w:rPr>
          <w:rFonts w:hint="eastAsia" w:ascii="微软雅黑" w:hAnsi="微软雅黑" w:eastAsia="微软雅黑" w:cs="微软雅黑"/>
          <w:b w:val="0"/>
          <w:bCs w:val="0"/>
          <w:i w:val="0"/>
          <w:iCs w:val="0"/>
          <w:color w:val="auto"/>
          <w:sz w:val="24"/>
          <w:szCs w:val="24"/>
          <w:highlight w:val="none"/>
          <w:u w:val="none"/>
          <w:lang w:val="en-US" w:eastAsia="zh-CN"/>
        </w:rPr>
        <w:t>叶城县文化东路19院</w:t>
      </w:r>
      <w:r>
        <w:rPr>
          <w:rFonts w:hint="eastAsia" w:ascii="微软雅黑" w:hAnsi="微软雅黑" w:eastAsia="微软雅黑" w:cs="微软雅黑"/>
          <w:b w:val="0"/>
          <w:bCs w:val="0"/>
          <w:i w:val="0"/>
          <w:iCs w:val="0"/>
          <w:color w:val="auto"/>
          <w:sz w:val="24"/>
          <w:szCs w:val="24"/>
          <w:highlight w:val="none"/>
          <w:u w:val="none"/>
        </w:rPr>
        <w:t xml:space="preserve"> </w:t>
      </w:r>
      <w:r>
        <w:rPr>
          <w:rFonts w:hint="eastAsia" w:ascii="微软雅黑" w:hAnsi="微软雅黑" w:eastAsia="微软雅黑" w:cs="微软雅黑"/>
          <w:b w:val="0"/>
          <w:bCs w:val="0"/>
          <w:i w:val="0"/>
          <w:iCs w:val="0"/>
          <w:color w:val="auto"/>
          <w:sz w:val="24"/>
          <w:szCs w:val="24"/>
          <w:highlight w:val="none"/>
          <w:u w:val="none"/>
          <w:lang w:val="en-US" w:eastAsia="zh-CN"/>
        </w:rPr>
        <w:t xml:space="preserve">  </w:t>
      </w:r>
      <w:r>
        <w:rPr>
          <w:rFonts w:hint="eastAsia" w:ascii="微软雅黑" w:hAnsi="微软雅黑" w:eastAsia="微软雅黑" w:cs="微软雅黑"/>
          <w:b w:val="0"/>
          <w:bCs w:val="0"/>
          <w:i w:val="0"/>
          <w:iCs w:val="0"/>
          <w:color w:val="auto"/>
          <w:sz w:val="24"/>
          <w:szCs w:val="24"/>
          <w:highlight w:val="none"/>
          <w:u w:val="none"/>
        </w:rPr>
        <w:t>　　　　</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b w:val="0"/>
          <w:bCs w:val="0"/>
          <w:i w:val="0"/>
          <w:iCs w:val="0"/>
          <w:color w:val="auto"/>
          <w:sz w:val="24"/>
          <w:szCs w:val="24"/>
          <w:highlight w:val="none"/>
          <w:u w:val="none"/>
        </w:rPr>
      </w:pPr>
      <w:r>
        <w:rPr>
          <w:rFonts w:hint="eastAsia" w:ascii="微软雅黑" w:hAnsi="微软雅黑" w:eastAsia="微软雅黑" w:cs="微软雅黑"/>
          <w:b w:val="0"/>
          <w:bCs w:val="0"/>
          <w:i w:val="0"/>
          <w:iCs w:val="0"/>
          <w:color w:val="auto"/>
          <w:sz w:val="24"/>
          <w:szCs w:val="24"/>
          <w:highlight w:val="none"/>
          <w:u w:val="none"/>
          <w:lang w:eastAsia="zh-CN"/>
        </w:rPr>
        <w:t>联</w:t>
      </w:r>
      <w:r>
        <w:rPr>
          <w:rFonts w:hint="eastAsia" w:ascii="微软雅黑" w:hAnsi="微软雅黑" w:eastAsia="微软雅黑" w:cs="微软雅黑"/>
          <w:b w:val="0"/>
          <w:bCs w:val="0"/>
          <w:i w:val="0"/>
          <w:iCs w:val="0"/>
          <w:color w:val="auto"/>
          <w:sz w:val="24"/>
          <w:szCs w:val="24"/>
          <w:highlight w:val="none"/>
          <w:u w:val="none"/>
          <w:lang w:val="en-US" w:eastAsia="zh-CN"/>
        </w:rPr>
        <w:t xml:space="preserve"> </w:t>
      </w:r>
      <w:r>
        <w:rPr>
          <w:rFonts w:hint="eastAsia" w:ascii="微软雅黑" w:hAnsi="微软雅黑" w:eastAsia="微软雅黑" w:cs="微软雅黑"/>
          <w:b w:val="0"/>
          <w:bCs w:val="0"/>
          <w:i w:val="0"/>
          <w:iCs w:val="0"/>
          <w:color w:val="auto"/>
          <w:sz w:val="24"/>
          <w:szCs w:val="24"/>
          <w:highlight w:val="none"/>
          <w:u w:val="none"/>
          <w:lang w:eastAsia="zh-CN"/>
        </w:rPr>
        <w:t>系</w:t>
      </w:r>
      <w:r>
        <w:rPr>
          <w:rFonts w:hint="eastAsia" w:ascii="微软雅黑" w:hAnsi="微软雅黑" w:eastAsia="微软雅黑" w:cs="微软雅黑"/>
          <w:b w:val="0"/>
          <w:bCs w:val="0"/>
          <w:i w:val="0"/>
          <w:iCs w:val="0"/>
          <w:color w:val="auto"/>
          <w:sz w:val="24"/>
          <w:szCs w:val="24"/>
          <w:highlight w:val="none"/>
          <w:u w:val="none"/>
          <w:lang w:val="en-US" w:eastAsia="zh-CN"/>
        </w:rPr>
        <w:t xml:space="preserve"> </w:t>
      </w:r>
      <w:r>
        <w:rPr>
          <w:rFonts w:hint="eastAsia" w:ascii="微软雅黑" w:hAnsi="微软雅黑" w:eastAsia="微软雅黑" w:cs="微软雅黑"/>
          <w:b w:val="0"/>
          <w:bCs w:val="0"/>
          <w:i w:val="0"/>
          <w:iCs w:val="0"/>
          <w:color w:val="auto"/>
          <w:sz w:val="24"/>
          <w:szCs w:val="24"/>
          <w:highlight w:val="none"/>
          <w:u w:val="none"/>
          <w:lang w:eastAsia="zh-CN"/>
        </w:rPr>
        <w:t>人</w:t>
      </w:r>
      <w:r>
        <w:rPr>
          <w:rFonts w:hint="eastAsia" w:ascii="微软雅黑" w:hAnsi="微软雅黑" w:eastAsia="微软雅黑" w:cs="微软雅黑"/>
          <w:b w:val="0"/>
          <w:bCs w:val="0"/>
          <w:i w:val="0"/>
          <w:iCs w:val="0"/>
          <w:color w:val="auto"/>
          <w:sz w:val="24"/>
          <w:szCs w:val="24"/>
          <w:highlight w:val="none"/>
          <w:u w:val="none"/>
        </w:rPr>
        <w:t>：</w:t>
      </w:r>
      <w:r>
        <w:rPr>
          <w:rFonts w:hint="eastAsia" w:ascii="微软雅黑" w:hAnsi="微软雅黑" w:eastAsia="微软雅黑" w:cs="微软雅黑"/>
          <w:b w:val="0"/>
          <w:bCs w:val="0"/>
          <w:i w:val="0"/>
          <w:iCs w:val="0"/>
          <w:color w:val="auto"/>
          <w:sz w:val="24"/>
          <w:szCs w:val="24"/>
          <w:highlight w:val="none"/>
          <w:u w:val="none"/>
          <w:lang w:val="en-US" w:eastAsia="zh-CN"/>
        </w:rPr>
        <w:t>李京鸿</w:t>
      </w:r>
      <w:r>
        <w:rPr>
          <w:rFonts w:hint="eastAsia" w:ascii="微软雅黑" w:hAnsi="微软雅黑" w:eastAsia="微软雅黑" w:cs="微软雅黑"/>
          <w:b w:val="0"/>
          <w:bCs w:val="0"/>
          <w:i w:val="0"/>
          <w:iCs w:val="0"/>
          <w:color w:val="auto"/>
          <w:sz w:val="24"/>
          <w:szCs w:val="24"/>
          <w:highlight w:val="none"/>
          <w:u w:val="none"/>
        </w:rPr>
        <w:t>　　　　</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b w:val="0"/>
          <w:bCs w:val="0"/>
          <w:i w:val="0"/>
          <w:iCs w:val="0"/>
          <w:color w:val="auto"/>
          <w:sz w:val="24"/>
          <w:szCs w:val="24"/>
          <w:highlight w:val="none"/>
          <w:u w:val="none"/>
        </w:rPr>
      </w:pPr>
      <w:r>
        <w:rPr>
          <w:rFonts w:hint="eastAsia" w:ascii="微软雅黑" w:hAnsi="微软雅黑" w:eastAsia="微软雅黑" w:cs="微软雅黑"/>
          <w:b w:val="0"/>
          <w:bCs w:val="0"/>
          <w:i w:val="0"/>
          <w:iCs w:val="0"/>
          <w:color w:val="auto"/>
          <w:sz w:val="24"/>
          <w:szCs w:val="24"/>
          <w:highlight w:val="none"/>
          <w:u w:val="none"/>
        </w:rPr>
        <w:t>联系</w:t>
      </w:r>
      <w:r>
        <w:rPr>
          <w:rFonts w:hint="eastAsia" w:ascii="微软雅黑" w:hAnsi="微软雅黑" w:eastAsia="微软雅黑" w:cs="微软雅黑"/>
          <w:b w:val="0"/>
          <w:bCs w:val="0"/>
          <w:i w:val="0"/>
          <w:iCs w:val="0"/>
          <w:color w:val="auto"/>
          <w:sz w:val="24"/>
          <w:szCs w:val="24"/>
          <w:highlight w:val="none"/>
          <w:u w:val="none"/>
          <w:lang w:val="en-US" w:eastAsia="zh-CN"/>
        </w:rPr>
        <w:t>电话</w:t>
      </w:r>
      <w:r>
        <w:rPr>
          <w:rFonts w:hint="eastAsia" w:ascii="微软雅黑" w:hAnsi="微软雅黑" w:eastAsia="微软雅黑" w:cs="微软雅黑"/>
          <w:b w:val="0"/>
          <w:bCs w:val="0"/>
          <w:i w:val="0"/>
          <w:iCs w:val="0"/>
          <w:color w:val="auto"/>
          <w:sz w:val="24"/>
          <w:szCs w:val="24"/>
          <w:highlight w:val="none"/>
          <w:u w:val="none"/>
        </w:rPr>
        <w:t>：</w:t>
      </w:r>
      <w:r>
        <w:rPr>
          <w:rFonts w:hint="eastAsia" w:ascii="微软雅黑" w:hAnsi="微软雅黑" w:eastAsia="微软雅黑" w:cs="微软雅黑"/>
          <w:b w:val="0"/>
          <w:bCs w:val="0"/>
          <w:i w:val="0"/>
          <w:iCs w:val="0"/>
          <w:color w:val="auto"/>
          <w:sz w:val="24"/>
          <w:szCs w:val="24"/>
          <w:highlight w:val="none"/>
          <w:u w:val="none"/>
          <w:lang w:val="en-US" w:eastAsia="zh-CN"/>
        </w:rPr>
        <w:t>0998-7282118</w:t>
      </w:r>
      <w:r>
        <w:rPr>
          <w:rFonts w:hint="eastAsia" w:ascii="微软雅黑" w:hAnsi="微软雅黑" w:eastAsia="微软雅黑" w:cs="微软雅黑"/>
          <w:b w:val="0"/>
          <w:bCs w:val="0"/>
          <w:i w:val="0"/>
          <w:iCs w:val="0"/>
          <w:color w:val="auto"/>
          <w:sz w:val="24"/>
          <w:szCs w:val="24"/>
          <w:highlight w:val="none"/>
          <w:u w:val="none"/>
        </w:rPr>
        <w:t xml:space="preserve">　　　 </w:t>
      </w:r>
      <w:bookmarkStart w:id="459" w:name="_Toc28359086"/>
      <w:bookmarkStart w:id="460" w:name="_Toc28359009"/>
    </w:p>
    <w:p>
      <w:pPr>
        <w:pageBreakBefore w:val="0"/>
        <w:widowControl w:val="0"/>
        <w:kinsoku/>
        <w:wordWrap/>
        <w:overflowPunct/>
        <w:topLinePunct w:val="0"/>
        <w:bidi w:val="0"/>
        <w:snapToGrid/>
        <w:spacing w:line="360" w:lineRule="exact"/>
        <w:ind w:firstLine="722" w:firstLineChars="301"/>
        <w:textAlignment w:val="auto"/>
        <w:rPr>
          <w:rFonts w:hint="eastAsia" w:ascii="微软雅黑" w:hAnsi="微软雅黑" w:eastAsia="微软雅黑" w:cs="微软雅黑"/>
          <w:b w:val="0"/>
          <w:bCs w:val="0"/>
          <w:i w:val="0"/>
          <w:iCs w:val="0"/>
          <w:color w:val="auto"/>
          <w:sz w:val="24"/>
          <w:szCs w:val="24"/>
          <w:highlight w:val="none"/>
          <w:u w:val="none"/>
          <w:lang w:val="en-US" w:eastAsia="zh-CN"/>
        </w:rPr>
      </w:pPr>
      <w:r>
        <w:rPr>
          <w:rFonts w:hint="eastAsia" w:ascii="微软雅黑" w:hAnsi="微软雅黑" w:eastAsia="微软雅黑" w:cs="微软雅黑"/>
          <w:b w:val="0"/>
          <w:bCs w:val="0"/>
          <w:i w:val="0"/>
          <w:iCs w:val="0"/>
          <w:color w:val="auto"/>
          <w:sz w:val="24"/>
          <w:szCs w:val="24"/>
          <w:highlight w:val="none"/>
          <w:u w:val="none"/>
          <w:lang w:val="en-US" w:eastAsia="zh-CN"/>
        </w:rPr>
        <w:t>2.采购代理机构信息</w:t>
      </w:r>
      <w:bookmarkEnd w:id="459"/>
      <w:bookmarkEnd w:id="460"/>
      <w:r>
        <w:rPr>
          <w:rFonts w:hint="eastAsia" w:ascii="微软雅黑" w:hAnsi="微软雅黑" w:eastAsia="微软雅黑" w:cs="微软雅黑"/>
          <w:b w:val="0"/>
          <w:bCs w:val="0"/>
          <w:i w:val="0"/>
          <w:iCs w:val="0"/>
          <w:color w:val="auto"/>
          <w:sz w:val="24"/>
          <w:szCs w:val="24"/>
          <w:highlight w:val="none"/>
          <w:u w:val="none"/>
          <w:lang w:val="en-US" w:eastAsia="zh-CN"/>
        </w:rPr>
        <w:t xml:space="preserve"> </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b w:val="0"/>
          <w:bCs w:val="0"/>
          <w:i w:val="0"/>
          <w:iCs w:val="0"/>
          <w:color w:val="auto"/>
          <w:sz w:val="24"/>
          <w:szCs w:val="24"/>
          <w:highlight w:val="none"/>
          <w:u w:val="none"/>
        </w:rPr>
      </w:pPr>
      <w:bookmarkStart w:id="461" w:name="_Toc28359010"/>
      <w:bookmarkStart w:id="462" w:name="_Toc28359087"/>
      <w:r>
        <w:rPr>
          <w:rFonts w:hint="eastAsia" w:ascii="微软雅黑" w:hAnsi="微软雅黑" w:eastAsia="微软雅黑" w:cs="微软雅黑"/>
          <w:b w:val="0"/>
          <w:bCs w:val="0"/>
          <w:i w:val="0"/>
          <w:iCs w:val="0"/>
          <w:color w:val="auto"/>
          <w:sz w:val="24"/>
          <w:szCs w:val="24"/>
          <w:highlight w:val="none"/>
          <w:u w:val="none"/>
        </w:rPr>
        <w:t xml:space="preserve">名 </w:t>
      </w:r>
      <w:r>
        <w:rPr>
          <w:rFonts w:hint="eastAsia" w:ascii="微软雅黑" w:hAnsi="微软雅黑" w:eastAsia="微软雅黑" w:cs="微软雅黑"/>
          <w:b w:val="0"/>
          <w:bCs w:val="0"/>
          <w:i w:val="0"/>
          <w:iCs w:val="0"/>
          <w:color w:val="auto"/>
          <w:sz w:val="24"/>
          <w:szCs w:val="24"/>
          <w:highlight w:val="none"/>
          <w:u w:val="none"/>
          <w:lang w:val="en-US" w:eastAsia="zh-CN"/>
        </w:rPr>
        <w:t xml:space="preserve">   </w:t>
      </w:r>
      <w:r>
        <w:rPr>
          <w:rFonts w:hint="eastAsia" w:ascii="微软雅黑" w:hAnsi="微软雅黑" w:eastAsia="微软雅黑" w:cs="微软雅黑"/>
          <w:b w:val="0"/>
          <w:bCs w:val="0"/>
          <w:i w:val="0"/>
          <w:iCs w:val="0"/>
          <w:color w:val="auto"/>
          <w:sz w:val="24"/>
          <w:szCs w:val="24"/>
          <w:highlight w:val="none"/>
          <w:u w:val="none"/>
        </w:rPr>
        <w:t>称：中经国际招标集团有限公司　　　　</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b w:val="0"/>
          <w:bCs w:val="0"/>
          <w:i w:val="0"/>
          <w:iCs w:val="0"/>
          <w:color w:val="auto"/>
          <w:sz w:val="24"/>
          <w:szCs w:val="24"/>
          <w:highlight w:val="none"/>
          <w:u w:val="none"/>
        </w:rPr>
      </w:pPr>
      <w:r>
        <w:rPr>
          <w:rFonts w:hint="eastAsia" w:ascii="微软雅黑" w:hAnsi="微软雅黑" w:eastAsia="微软雅黑" w:cs="微软雅黑"/>
          <w:b w:val="0"/>
          <w:bCs w:val="0"/>
          <w:i w:val="0"/>
          <w:iCs w:val="0"/>
          <w:color w:val="auto"/>
          <w:sz w:val="24"/>
          <w:szCs w:val="24"/>
          <w:highlight w:val="none"/>
          <w:u w:val="none"/>
        </w:rPr>
        <w:t>联系地址：新疆喀什地区喀什经济开发区总部经济区深圳城3号楼8层</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b w:val="0"/>
          <w:bCs w:val="0"/>
          <w:i w:val="0"/>
          <w:iCs w:val="0"/>
          <w:color w:val="auto"/>
          <w:sz w:val="24"/>
          <w:szCs w:val="24"/>
          <w:highlight w:val="none"/>
          <w:u w:val="none"/>
        </w:rPr>
      </w:pPr>
      <w:r>
        <w:rPr>
          <w:rFonts w:hint="eastAsia" w:ascii="微软雅黑" w:hAnsi="微软雅黑" w:eastAsia="微软雅黑" w:cs="微软雅黑"/>
          <w:b w:val="0"/>
          <w:bCs w:val="0"/>
          <w:i w:val="0"/>
          <w:iCs w:val="0"/>
          <w:color w:val="auto"/>
          <w:sz w:val="24"/>
          <w:szCs w:val="24"/>
          <w:highlight w:val="none"/>
          <w:u w:val="none"/>
        </w:rPr>
        <w:t>联 系 人：</w:t>
      </w:r>
      <w:r>
        <w:rPr>
          <w:rFonts w:hint="eastAsia" w:ascii="微软雅黑" w:hAnsi="微软雅黑" w:eastAsia="微软雅黑" w:cs="微软雅黑"/>
          <w:b w:val="0"/>
          <w:bCs w:val="0"/>
          <w:i w:val="0"/>
          <w:iCs w:val="0"/>
          <w:color w:val="auto"/>
          <w:sz w:val="24"/>
          <w:szCs w:val="24"/>
          <w:highlight w:val="none"/>
          <w:u w:val="none"/>
          <w:lang w:val="en-US" w:eastAsia="zh-CN"/>
        </w:rPr>
        <w:t>王丽娟</w:t>
      </w:r>
      <w:r>
        <w:rPr>
          <w:rFonts w:hint="eastAsia" w:ascii="微软雅黑" w:hAnsi="微软雅黑" w:eastAsia="微软雅黑" w:cs="微软雅黑"/>
          <w:b w:val="0"/>
          <w:bCs w:val="0"/>
          <w:i w:val="0"/>
          <w:iCs w:val="0"/>
          <w:color w:val="auto"/>
          <w:sz w:val="24"/>
          <w:szCs w:val="24"/>
          <w:highlight w:val="none"/>
          <w:u w:val="none"/>
        </w:rPr>
        <w:t>　</w:t>
      </w:r>
    </w:p>
    <w:p>
      <w:pPr>
        <w:pageBreakBefore w:val="0"/>
        <w:kinsoku/>
        <w:wordWrap/>
        <w:overflowPunct/>
        <w:topLinePunct w:val="0"/>
        <w:bidi w:val="0"/>
        <w:snapToGrid/>
        <w:spacing w:line="360" w:lineRule="exact"/>
        <w:ind w:left="1079" w:leftChars="371" w:hanging="300" w:hangingChars="125"/>
        <w:jc w:val="left"/>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b w:val="0"/>
          <w:bCs w:val="0"/>
          <w:i w:val="0"/>
          <w:iCs w:val="0"/>
          <w:color w:val="auto"/>
          <w:sz w:val="24"/>
          <w:szCs w:val="24"/>
          <w:highlight w:val="none"/>
          <w:u w:val="none"/>
        </w:rPr>
        <w:t>联系电话：15099650569 　</w:t>
      </w:r>
      <w:bookmarkEnd w:id="461"/>
      <w:bookmarkEnd w:id="462"/>
      <w:r>
        <w:rPr>
          <w:rFonts w:hint="eastAsia" w:ascii="微软雅黑" w:hAnsi="微软雅黑" w:eastAsia="微软雅黑" w:cs="微软雅黑"/>
          <w:i w:val="0"/>
          <w:iCs w:val="0"/>
          <w:color w:val="auto"/>
          <w:sz w:val="24"/>
          <w:szCs w:val="24"/>
          <w:highlight w:val="none"/>
        </w:rPr>
        <w:t>　　　　</w:t>
      </w:r>
    </w:p>
    <w:p>
      <w:pPr>
        <w:pStyle w:val="8"/>
        <w:pageBreakBefore w:val="0"/>
        <w:kinsoku/>
        <w:wordWrap/>
        <w:overflowPunct/>
        <w:topLinePunct w:val="0"/>
        <w:bidi w:val="0"/>
        <w:snapToGrid/>
        <w:spacing w:line="360" w:lineRule="exact"/>
        <w:ind w:firstLine="4080" w:firstLineChars="1700"/>
        <w:jc w:val="right"/>
        <w:textAlignment w:val="auto"/>
        <w:rPr>
          <w:rFonts w:hint="eastAsia" w:ascii="微软雅黑" w:hAnsi="微软雅黑" w:eastAsia="微软雅黑" w:cs="微软雅黑"/>
          <w:i w:val="0"/>
          <w:iCs w:val="0"/>
          <w:color w:val="auto"/>
          <w:sz w:val="24"/>
          <w:szCs w:val="24"/>
          <w:highlight w:val="none"/>
        </w:rPr>
      </w:pPr>
    </w:p>
    <w:p>
      <w:pPr>
        <w:rPr>
          <w:rFonts w:hint="eastAsia" w:ascii="微软雅黑" w:hAnsi="微软雅黑" w:eastAsia="微软雅黑" w:cs="微软雅黑"/>
        </w:rPr>
      </w:pPr>
    </w:p>
    <w:p>
      <w:pPr>
        <w:pageBreakBefore w:val="0"/>
        <w:kinsoku/>
        <w:wordWrap/>
        <w:overflowPunct/>
        <w:topLinePunct w:val="0"/>
        <w:bidi w:val="0"/>
        <w:spacing w:line="360" w:lineRule="exact"/>
        <w:rPr>
          <w:rFonts w:hint="eastAsia" w:ascii="微软雅黑" w:hAnsi="微软雅黑" w:eastAsia="微软雅黑" w:cs="微软雅黑"/>
          <w:sz w:val="24"/>
          <w:szCs w:val="24"/>
        </w:rPr>
      </w:pPr>
    </w:p>
    <w:p>
      <w:pPr>
        <w:pStyle w:val="8"/>
        <w:pageBreakBefore w:val="0"/>
        <w:kinsoku/>
        <w:wordWrap/>
        <w:overflowPunct/>
        <w:topLinePunct w:val="0"/>
        <w:bidi w:val="0"/>
        <w:snapToGrid/>
        <w:spacing w:line="360" w:lineRule="exact"/>
        <w:ind w:firstLine="4080" w:firstLineChars="1700"/>
        <w:jc w:val="right"/>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 xml:space="preserve">中经国际招标集团有限公司  </w:t>
      </w:r>
    </w:p>
    <w:p>
      <w:pPr>
        <w:pageBreakBefore w:val="0"/>
        <w:kinsoku/>
        <w:wordWrap/>
        <w:overflowPunct/>
        <w:topLinePunct w:val="0"/>
        <w:bidi w:val="0"/>
        <w:spacing w:line="360" w:lineRule="exact"/>
        <w:rPr>
          <w:rFonts w:hint="eastAsia" w:ascii="微软雅黑" w:hAnsi="微软雅黑" w:eastAsia="微软雅黑" w:cs="微软雅黑"/>
          <w:sz w:val="24"/>
          <w:szCs w:val="24"/>
        </w:rPr>
      </w:pPr>
      <w:r>
        <w:rPr>
          <w:rFonts w:hint="eastAsia" w:ascii="微软雅黑" w:hAnsi="微软雅黑" w:eastAsia="微软雅黑" w:cs="微软雅黑"/>
          <w:color w:val="auto"/>
          <w:kern w:val="2"/>
          <w:sz w:val="24"/>
          <w:szCs w:val="24"/>
          <w:highlight w:val="none"/>
        </w:rPr>
        <w:t xml:space="preserve">                                    </w:t>
      </w:r>
      <w:r>
        <w:rPr>
          <w:rFonts w:hint="eastAsia" w:ascii="微软雅黑" w:hAnsi="微软雅黑" w:eastAsia="微软雅黑" w:cs="微软雅黑"/>
          <w:color w:val="auto"/>
          <w:kern w:val="2"/>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rPr>
        <w:t>202</w:t>
      </w:r>
      <w:r>
        <w:rPr>
          <w:rFonts w:hint="eastAsia" w:ascii="微软雅黑" w:hAnsi="微软雅黑" w:eastAsia="微软雅黑" w:cs="微软雅黑"/>
          <w:color w:val="auto"/>
          <w:kern w:val="2"/>
          <w:sz w:val="24"/>
          <w:szCs w:val="24"/>
          <w:highlight w:val="none"/>
          <w:lang w:val="en-US" w:eastAsia="zh-CN"/>
        </w:rPr>
        <w:t>2</w:t>
      </w:r>
      <w:r>
        <w:rPr>
          <w:rFonts w:hint="eastAsia" w:ascii="微软雅黑" w:hAnsi="微软雅黑" w:eastAsia="微软雅黑" w:cs="微软雅黑"/>
          <w:color w:val="auto"/>
          <w:kern w:val="2"/>
          <w:sz w:val="24"/>
          <w:szCs w:val="24"/>
          <w:highlight w:val="none"/>
        </w:rPr>
        <w:t>年</w:t>
      </w:r>
      <w:r>
        <w:rPr>
          <w:rFonts w:hint="eastAsia" w:ascii="微软雅黑" w:hAnsi="微软雅黑" w:eastAsia="微软雅黑" w:cs="微软雅黑"/>
          <w:color w:val="auto"/>
          <w:kern w:val="2"/>
          <w:sz w:val="24"/>
          <w:szCs w:val="24"/>
          <w:highlight w:val="none"/>
          <w:lang w:val="en-US" w:eastAsia="zh-CN"/>
        </w:rPr>
        <w:t>6</w:t>
      </w:r>
      <w:r>
        <w:rPr>
          <w:rFonts w:hint="eastAsia" w:ascii="微软雅黑" w:hAnsi="微软雅黑" w:eastAsia="微软雅黑" w:cs="微软雅黑"/>
          <w:color w:val="auto"/>
          <w:kern w:val="2"/>
          <w:sz w:val="24"/>
          <w:szCs w:val="24"/>
          <w:highlight w:val="none"/>
        </w:rPr>
        <w:t>月</w:t>
      </w:r>
      <w:r>
        <w:rPr>
          <w:rFonts w:hint="eastAsia" w:ascii="微软雅黑" w:hAnsi="微软雅黑" w:eastAsia="微软雅黑" w:cs="微软雅黑"/>
          <w:color w:val="auto"/>
          <w:kern w:val="2"/>
          <w:sz w:val="24"/>
          <w:szCs w:val="24"/>
          <w:highlight w:val="none"/>
          <w:lang w:val="en-US" w:eastAsia="zh-CN"/>
        </w:rPr>
        <w:t>1</w:t>
      </w:r>
      <w:r>
        <w:rPr>
          <w:rFonts w:hint="eastAsia" w:ascii="微软雅黑" w:hAnsi="微软雅黑" w:eastAsia="微软雅黑" w:cs="微软雅黑"/>
          <w:color w:val="auto"/>
          <w:kern w:val="2"/>
          <w:sz w:val="24"/>
          <w:szCs w:val="24"/>
          <w:highlight w:val="none"/>
        </w:rPr>
        <w:t>日</w:t>
      </w:r>
    </w:p>
    <w:p>
      <w:pPr>
        <w:pStyle w:val="3"/>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exact"/>
        <w:ind w:left="0" w:left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第</w:t>
      </w:r>
      <w:r>
        <w:rPr>
          <w:rFonts w:hint="eastAsia" w:ascii="微软雅黑" w:hAnsi="微软雅黑" w:eastAsia="微软雅黑" w:cs="微软雅黑"/>
          <w:color w:val="auto"/>
          <w:lang w:val="en-US" w:eastAsia="zh-CN"/>
        </w:rPr>
        <w:t xml:space="preserve">4章 </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须知资料表</w:t>
      </w:r>
      <w:bookmarkEnd w:id="400"/>
      <w:bookmarkEnd w:id="401"/>
      <w:bookmarkEnd w:id="402"/>
      <w:bookmarkEnd w:id="403"/>
      <w:bookmarkEnd w:id="404"/>
      <w:bookmarkEnd w:id="405"/>
    </w:p>
    <w:bookmarkEnd w:id="406"/>
    <w:p>
      <w:pPr>
        <w:pStyle w:val="29"/>
        <w:widowControl/>
        <w:spacing w:beforeAutospacing="0" w:afterAutospacing="0" w:line="360" w:lineRule="exact"/>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rPr>
        <w:t xml:space="preserve"> 本表是本招标项目的具体资料，是对</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须知的具体补充和修改，如有矛盾，应以本资料表为准。</w:t>
      </w:r>
    </w:p>
    <w:tbl>
      <w:tblPr>
        <w:tblStyle w:val="34"/>
        <w:tblW w:w="85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8"/>
        <w:gridCol w:w="7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238" w:type="dxa"/>
            <w:noWrap w:val="0"/>
            <w:vAlign w:val="center"/>
          </w:tcPr>
          <w:p>
            <w:pPr>
              <w:pStyle w:val="29"/>
              <w:widowControl/>
              <w:spacing w:beforeAutospacing="0" w:afterAutospacing="0" w:line="360" w:lineRule="exact"/>
              <w:rPr>
                <w:rFonts w:hint="eastAsia" w:ascii="微软雅黑" w:hAnsi="微软雅黑" w:eastAsia="微软雅黑" w:cs="微软雅黑"/>
                <w:color w:val="auto"/>
              </w:rPr>
            </w:pPr>
            <w:r>
              <w:rPr>
                <w:rFonts w:hint="eastAsia" w:ascii="微软雅黑" w:hAnsi="微软雅黑" w:eastAsia="微软雅黑" w:cs="微软雅黑"/>
                <w:color w:val="auto"/>
              </w:rPr>
              <w:t>条款号</w:t>
            </w:r>
          </w:p>
        </w:tc>
        <w:tc>
          <w:tcPr>
            <w:tcW w:w="7270" w:type="dxa"/>
            <w:noWrap w:val="0"/>
            <w:vAlign w:val="center"/>
          </w:tcPr>
          <w:p>
            <w:pPr>
              <w:pStyle w:val="29"/>
              <w:widowControl/>
              <w:spacing w:beforeAutospacing="0" w:afterAutospacing="0" w:line="360" w:lineRule="exact"/>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2"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w:t>
            </w:r>
          </w:p>
        </w:tc>
        <w:tc>
          <w:tcPr>
            <w:tcW w:w="7270" w:type="dxa"/>
            <w:noWrap w:val="0"/>
            <w:vAlign w:val="center"/>
          </w:tcPr>
          <w:p>
            <w:pPr>
              <w:spacing w:line="360" w:lineRule="exact"/>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采购人：</w:t>
            </w:r>
            <w:r>
              <w:rPr>
                <w:rFonts w:hint="eastAsia" w:ascii="微软雅黑" w:hAnsi="微软雅黑" w:eastAsia="微软雅黑" w:cs="微软雅黑"/>
                <w:color w:val="auto"/>
                <w:sz w:val="24"/>
                <w:u w:val="single"/>
              </w:rPr>
              <w:t>中共叶城县委组织部</w:t>
            </w:r>
            <w:r>
              <w:rPr>
                <w:rFonts w:hint="eastAsia" w:ascii="微软雅黑" w:hAnsi="微软雅黑" w:eastAsia="微软雅黑" w:cs="微软雅黑"/>
                <w:color w:val="auto"/>
                <w:sz w:val="24"/>
                <w:u w:val="single"/>
                <w:lang w:val="en-US" w:eastAsia="zh-CN"/>
              </w:rPr>
              <w:t>　</w:t>
            </w:r>
          </w:p>
          <w:p>
            <w:pPr>
              <w:keepNext w:val="0"/>
              <w:keepLines w:val="0"/>
              <w:pageBreakBefore w:val="0"/>
              <w:kinsoku/>
              <w:wordWrap/>
              <w:overflowPunct/>
              <w:topLinePunct w:val="0"/>
              <w:bidi w:val="0"/>
              <w:adjustRightInd/>
              <w:snapToGrid/>
              <w:spacing w:line="36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single"/>
                <w:lang w:eastAsia="zh-CN"/>
              </w:rPr>
              <w:t xml:space="preserve">　 李京鸿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lang w:eastAsia="zh-CN"/>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lang w:eastAsia="zh-CN"/>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none"/>
              </w:rPr>
              <w:t xml:space="preserve">电 </w:t>
            </w:r>
            <w:r>
              <w:rPr>
                <w:rFonts w:hint="eastAsia" w:ascii="微软雅黑" w:hAnsi="微软雅黑" w:eastAsia="微软雅黑" w:cs="微软雅黑"/>
                <w:color w:val="auto"/>
                <w:sz w:val="24"/>
                <w:u w:val="none"/>
                <w:lang w:val="en-US" w:eastAsia="zh-CN"/>
              </w:rPr>
              <w:t xml:space="preserve"> </w:t>
            </w:r>
            <w:r>
              <w:rPr>
                <w:rFonts w:hint="eastAsia" w:ascii="微软雅黑" w:hAnsi="微软雅黑" w:eastAsia="微软雅黑" w:cs="微软雅黑"/>
                <w:color w:val="auto"/>
                <w:sz w:val="24"/>
                <w:u w:val="none"/>
              </w:rPr>
              <w:t>话：</w:t>
            </w:r>
            <w:r>
              <w:rPr>
                <w:rFonts w:hint="eastAsia" w:ascii="微软雅黑" w:hAnsi="微软雅黑" w:eastAsia="微软雅黑" w:cs="微软雅黑"/>
                <w:color w:val="auto"/>
                <w:sz w:val="24"/>
                <w:u w:val="single"/>
                <w:lang w:val="en-US" w:eastAsia="zh-CN"/>
              </w:rPr>
              <w:t xml:space="preserve"> 0998-7282118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w:t>
            </w:r>
          </w:p>
        </w:tc>
        <w:tc>
          <w:tcPr>
            <w:tcW w:w="7270" w:type="dxa"/>
            <w:noWrap w:val="0"/>
            <w:vAlign w:val="center"/>
          </w:tcPr>
          <w:p>
            <w:pPr>
              <w:spacing w:line="360" w:lineRule="exact"/>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采购代理机构：</w:t>
            </w:r>
            <w:r>
              <w:rPr>
                <w:rFonts w:hint="eastAsia" w:ascii="微软雅黑" w:hAnsi="微软雅黑" w:eastAsia="微软雅黑" w:cs="微软雅黑"/>
                <w:color w:val="auto"/>
                <w:sz w:val="24"/>
                <w:u w:val="single"/>
              </w:rPr>
              <w:t xml:space="preserve">  中经国际招标集团有限公司  </w:t>
            </w:r>
          </w:p>
          <w:p>
            <w:pPr>
              <w:spacing w:line="360" w:lineRule="exact"/>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single"/>
              </w:rPr>
              <w:t xml:space="preserve"> 新疆喀什地区喀什经济开发区总部经济区深圳城3号楼8层  </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业务联系人：</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王丽娟</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color="FFFFFF"/>
              </w:rPr>
              <w:t xml:space="preserve"> </w:t>
            </w:r>
            <w:r>
              <w:rPr>
                <w:rFonts w:hint="eastAsia" w:ascii="微软雅黑" w:hAnsi="微软雅黑" w:eastAsia="微软雅黑" w:cs="微软雅黑"/>
                <w:color w:val="auto"/>
                <w:sz w:val="24"/>
              </w:rPr>
              <w:t>电话：</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 xml:space="preserve">15099650569 </w:t>
            </w:r>
            <w:r>
              <w:rPr>
                <w:rFonts w:hint="eastAsia" w:ascii="微软雅黑" w:hAnsi="微软雅黑" w:eastAsia="微软雅黑" w:cs="微软雅黑"/>
                <w:color w:val="auto"/>
                <w:kern w:val="0"/>
                <w:sz w:val="24"/>
                <w:szCs w:val="24"/>
                <w:highlight w:val="none"/>
                <w:u w:val="single"/>
                <w:lang w:val="en-US" w:eastAsia="zh-CN" w:bidi="ar-SA"/>
              </w:rPr>
              <w:t>　</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w:t>
            </w:r>
          </w:p>
        </w:tc>
        <w:tc>
          <w:tcPr>
            <w:tcW w:w="7270"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合格</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的其他资格要求（开标时须携带证明资料</w:t>
            </w:r>
            <w:r>
              <w:rPr>
                <w:rFonts w:hint="eastAsia" w:ascii="微软雅黑" w:hAnsi="微软雅黑" w:eastAsia="微软雅黑" w:cs="微软雅黑"/>
                <w:b/>
                <w:bCs/>
                <w:color w:val="auto"/>
                <w:sz w:val="24"/>
                <w:highlight w:val="none"/>
                <w:lang w:val="en-US" w:eastAsia="zh-CN"/>
              </w:rPr>
              <w:t>原件或复印件加盖公章</w:t>
            </w:r>
            <w:r>
              <w:rPr>
                <w:rFonts w:hint="eastAsia" w:ascii="微软雅黑" w:hAnsi="微软雅黑" w:eastAsia="微软雅黑" w:cs="微软雅黑"/>
                <w:b/>
                <w:bCs/>
                <w:color w:val="auto"/>
                <w:sz w:val="24"/>
                <w:highlight w:val="none"/>
              </w:rPr>
              <w:t>）：</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1.具有有效的独立法人营业执照；</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2.法人代表资格证明书及授权书、被授权人身份证(法人投标需提供法人身份证及法人代表资格证明书)；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3.依法缴纳近6个月内任意1个月的社会保险的凭据；</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4.税务部门出具的近6个月内任意1个月的完税证明；</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5.提供健全的财务制度；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7.参加政府采购活动前3年内未被列入失信、重大税收违法案件、财政部门禁止参加政府采购活动的承诺书；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8.提供针对本次项目《反商业贿赂承诺书》；</w:t>
            </w:r>
          </w:p>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微软雅黑" w:hAnsi="微软雅黑" w:eastAsia="微软雅黑" w:cs="微软雅黑"/>
                <w:b/>
                <w:bCs/>
                <w:i w:val="0"/>
                <w:iCs w:val="0"/>
                <w:color w:val="auto"/>
                <w:kern w:val="2"/>
                <w:sz w:val="24"/>
                <w:szCs w:val="24"/>
                <w:lang w:val="en-US" w:eastAsia="zh-CN" w:bidi="ar-SA"/>
              </w:rPr>
            </w:pPr>
            <w:r>
              <w:rPr>
                <w:rFonts w:hint="eastAsia" w:ascii="微软雅黑" w:hAnsi="微软雅黑" w:eastAsia="微软雅黑" w:cs="微软雅黑"/>
                <w:b/>
                <w:bCs/>
                <w:i w:val="0"/>
                <w:iCs w:val="0"/>
                <w:color w:val="auto"/>
                <w:kern w:val="2"/>
                <w:sz w:val="24"/>
                <w:szCs w:val="24"/>
                <w:lang w:val="en-US" w:eastAsia="zh-CN" w:bidi="ar-SA"/>
              </w:rPr>
              <w:t>9.投标保证金银行转账回执单。</w:t>
            </w:r>
          </w:p>
          <w:p>
            <w:pPr>
              <w:widowControl/>
              <w:snapToGrid w:val="0"/>
              <w:spacing w:line="360" w:lineRule="exact"/>
              <w:jc w:val="left"/>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各供应商应注意以下事项：</w:t>
            </w:r>
          </w:p>
          <w:p>
            <w:pPr>
              <w:widowControl/>
              <w:snapToGrid w:val="0"/>
              <w:spacing w:line="360" w:lineRule="exact"/>
              <w:ind w:firstLine="880" w:firstLineChars="400"/>
              <w:jc w:val="left"/>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 xml:space="preserve">A：本项目要求各投标供应商“提供税务部门出具的近6个月内任意1个月的完税证明；”，若供应商某月税收为零申报，须提供加盖税务局公章的无欠税证明或申报成功网页截图（供应商可自主登录“国家税务总局电子税务局”12366.chinatax.gov.cn/bsfw/onlinetaxation/main——税费申报及缴纳——申报结果查询）。 </w:t>
            </w:r>
          </w:p>
          <w:p>
            <w:pPr>
              <w:widowControl/>
              <w:snapToGrid w:val="0"/>
              <w:spacing w:line="360" w:lineRule="exact"/>
              <w:ind w:firstLine="880" w:firstLineChars="4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b/>
                <w:bCs/>
                <w:color w:val="auto"/>
                <w:kern w:val="2"/>
                <w:sz w:val="22"/>
                <w:szCs w:val="22"/>
                <w:highlight w:val="none"/>
                <w:lang w:val="en-US" w:eastAsia="zh-CN" w:bidi="ar-SA"/>
              </w:rPr>
              <w:t>B：税务局代收的社保缴费证明不可作为本项目的完税证明（“税种”不可为养老保险、医疗保险、失业保险、工伤保险和生育保险）。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1.3.5   </w:t>
            </w:r>
          </w:p>
        </w:tc>
        <w:tc>
          <w:tcPr>
            <w:tcW w:w="7270" w:type="dxa"/>
            <w:noWrap w:val="0"/>
            <w:vAlign w:val="center"/>
          </w:tcPr>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是否允许采购进口产品：</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1.3.6</w:t>
            </w:r>
          </w:p>
        </w:tc>
        <w:tc>
          <w:tcPr>
            <w:tcW w:w="7270" w:type="dxa"/>
            <w:noWrap w:val="0"/>
            <w:vAlign w:val="center"/>
          </w:tcPr>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是否为专门面向中小企业采购：</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w:t>
            </w:r>
          </w:p>
        </w:tc>
        <w:tc>
          <w:tcPr>
            <w:tcW w:w="7270" w:type="dxa"/>
            <w:noWrap w:val="0"/>
            <w:vAlign w:val="center"/>
          </w:tcPr>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是否允许联合体投标：</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w:t>
            </w:r>
          </w:p>
        </w:tc>
        <w:tc>
          <w:tcPr>
            <w:tcW w:w="7270" w:type="dxa"/>
            <w:noWrap w:val="0"/>
            <w:vAlign w:val="center"/>
          </w:tcPr>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w:t>
            </w:r>
          </w:p>
        </w:tc>
        <w:tc>
          <w:tcPr>
            <w:tcW w:w="7270" w:type="dxa"/>
            <w:noWrap w:val="0"/>
            <w:vAlign w:val="center"/>
          </w:tcPr>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项目预算金额：1100000元；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12.1</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u w:val="single"/>
                <w:lang w:val="en-US" w:eastAsia="zh-CN"/>
              </w:rPr>
              <w:t>投标</w:t>
            </w:r>
            <w:r>
              <w:rPr>
                <w:rFonts w:hint="eastAsia" w:ascii="微软雅黑" w:hAnsi="微软雅黑" w:eastAsia="微软雅黑" w:cs="微软雅黑"/>
                <w:color w:val="auto"/>
                <w:sz w:val="24"/>
                <w:u w:val="single"/>
              </w:rPr>
              <w:t>保证金形式：</w:t>
            </w:r>
            <w:r>
              <w:rPr>
                <w:rFonts w:hint="eastAsia" w:ascii="微软雅黑" w:hAnsi="微软雅黑" w:eastAsia="微软雅黑" w:cs="微软雅黑"/>
                <w:color w:val="auto"/>
                <w:sz w:val="24"/>
                <w:u w:val="single"/>
                <w:lang w:eastAsia="zh-CN"/>
              </w:rPr>
              <w:t>□</w:t>
            </w:r>
            <w:r>
              <w:rPr>
                <w:rFonts w:hint="eastAsia" w:ascii="微软雅黑" w:hAnsi="微软雅黑" w:eastAsia="微软雅黑" w:cs="微软雅黑"/>
                <w:color w:val="auto"/>
                <w:sz w:val="24"/>
                <w:u w:val="single"/>
              </w:rPr>
              <w:t xml:space="preserve">保函  </w:t>
            </w:r>
            <w:r>
              <w:rPr>
                <w:rFonts w:hint="eastAsia" w:ascii="微软雅黑" w:hAnsi="微软雅黑" w:eastAsia="微软雅黑" w:cs="微软雅黑"/>
                <w:color w:val="auto"/>
                <w:sz w:val="24"/>
                <w:u w:val="single"/>
                <w:lang w:eastAsia="zh-CN"/>
              </w:rPr>
              <w:t>□</w:t>
            </w:r>
            <w:r>
              <w:rPr>
                <w:rFonts w:hint="eastAsia" w:ascii="微软雅黑" w:hAnsi="微软雅黑" w:eastAsia="微软雅黑" w:cs="微软雅黑"/>
                <w:color w:val="auto"/>
                <w:sz w:val="24"/>
                <w:u w:val="single"/>
              </w:rPr>
              <w:t>电汇  □支票</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☑对公转账   </w:t>
            </w:r>
            <w:r>
              <w:rPr>
                <w:rFonts w:hint="eastAsia" w:ascii="微软雅黑" w:hAnsi="微软雅黑" w:eastAsia="微软雅黑" w:cs="微软雅黑"/>
                <w:i/>
                <w:color w:val="auto"/>
                <w:sz w:val="24"/>
                <w:u w:val="single"/>
              </w:rPr>
              <w:t>（</w:t>
            </w:r>
            <w:r>
              <w:rPr>
                <w:rFonts w:hint="eastAsia" w:ascii="微软雅黑" w:hAnsi="微软雅黑" w:eastAsia="微软雅黑" w:cs="微软雅黑"/>
                <w:i/>
                <w:color w:val="auto"/>
                <w:sz w:val="24"/>
              </w:rPr>
              <w:t xml:space="preserve">本项目允许的其他形式）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color w:val="auto"/>
                <w:sz w:val="24"/>
              </w:rPr>
            </w:pPr>
            <w:r>
              <w:rPr>
                <w:rFonts w:hint="eastAsia" w:ascii="微软雅黑" w:hAnsi="微软雅黑" w:eastAsia="微软雅黑" w:cs="微软雅黑"/>
                <w:color w:val="auto"/>
                <w:sz w:val="24"/>
                <w:u w:val="single"/>
                <w:lang w:val="en-US" w:eastAsia="zh-CN"/>
              </w:rPr>
              <w:t>投标</w:t>
            </w:r>
            <w:r>
              <w:rPr>
                <w:rFonts w:hint="eastAsia" w:ascii="微软雅黑" w:hAnsi="微软雅黑" w:eastAsia="微软雅黑" w:cs="微软雅黑"/>
                <w:color w:val="auto"/>
                <w:sz w:val="24"/>
                <w:u w:val="single"/>
              </w:rPr>
              <w:t>保证金数额</w:t>
            </w:r>
            <w:r>
              <w:rPr>
                <w:rFonts w:hint="eastAsia" w:ascii="微软雅黑" w:hAnsi="微软雅黑" w:eastAsia="微软雅黑" w:cs="微软雅黑"/>
                <w:b/>
                <w:bCs/>
                <w:color w:val="auto"/>
                <w:sz w:val="24"/>
                <w:u w:val="single"/>
                <w:lang w:val="en-US" w:eastAsia="zh-CN"/>
              </w:rPr>
              <w:t>：¥22000.00元（人民币贰万贰仟元整</w:t>
            </w:r>
            <w:r>
              <w:rPr>
                <w:rFonts w:hint="eastAsia" w:ascii="微软雅黑" w:hAnsi="微软雅黑" w:eastAsia="微软雅黑" w:cs="微软雅黑"/>
                <w:b/>
                <w:bCs/>
                <w:color w:val="auto"/>
                <w:sz w:val="24"/>
                <w:u w:val="single"/>
                <w:lang w:eastAsia="zh-CN"/>
              </w:rPr>
              <w:t>）</w:t>
            </w:r>
            <w:r>
              <w:rPr>
                <w:rFonts w:hint="eastAsia" w:ascii="微软雅黑" w:hAnsi="微软雅黑" w:eastAsia="微软雅黑" w:cs="微软雅黑"/>
                <w:color w:val="auto"/>
                <w:sz w:val="24"/>
                <w:u w:val="single"/>
              </w:rPr>
              <w:t>（</w:t>
            </w:r>
            <w:r>
              <w:rPr>
                <w:rFonts w:hint="eastAsia" w:ascii="微软雅黑" w:hAnsi="微软雅黑" w:eastAsia="微软雅黑" w:cs="微软雅黑"/>
                <w:i/>
                <w:color w:val="auto"/>
                <w:sz w:val="24"/>
              </w:rPr>
              <w:t>按照控制金额2%以内的整数计算）</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保证金收款人：</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单位名称：中经国际招标集团有限公司喀什分公司</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开 户 行：乌鲁木齐银行喀什分行营业部</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账    号：0000020070110051349823（电汇时请在汇款备注栏注明项目名称及编号、包号（如有），并注明是</w:t>
            </w:r>
            <w:r>
              <w:rPr>
                <w:rFonts w:hint="eastAsia" w:ascii="微软雅黑" w:hAnsi="微软雅黑" w:eastAsia="微软雅黑" w:cs="微软雅黑"/>
                <w:iCs/>
                <w:color w:val="auto"/>
                <w:sz w:val="24"/>
                <w:lang w:val="en-US" w:eastAsia="zh-CN"/>
              </w:rPr>
              <w:t>投标</w:t>
            </w:r>
            <w:r>
              <w:rPr>
                <w:rFonts w:hint="eastAsia" w:ascii="微软雅黑" w:hAnsi="微软雅黑" w:eastAsia="微软雅黑" w:cs="微软雅黑"/>
                <w:iCs/>
                <w:color w:val="auto"/>
                <w:sz w:val="24"/>
              </w:rPr>
              <w:t xml:space="preserve">保证金）     </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行     号：313894000405</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财务室联系方式： 15099650569</w:t>
            </w:r>
          </w:p>
          <w:p>
            <w:pPr>
              <w:shd w:val="clear" w:color="auto" w:fill="auto"/>
              <w:spacing w:line="400" w:lineRule="exact"/>
              <w:jc w:val="both"/>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A:缴纳</w:t>
            </w:r>
            <w:r>
              <w:rPr>
                <w:rFonts w:hint="eastAsia" w:ascii="微软雅黑" w:hAnsi="微软雅黑" w:eastAsia="微软雅黑" w:cs="微软雅黑"/>
                <w:b/>
                <w:bCs/>
                <w:color w:val="auto"/>
                <w:sz w:val="24"/>
                <w:szCs w:val="24"/>
                <w:highlight w:val="none"/>
                <w:lang w:eastAsia="zh-CN"/>
              </w:rPr>
              <w:t>投标</w:t>
            </w:r>
            <w:r>
              <w:rPr>
                <w:rFonts w:hint="eastAsia" w:ascii="微软雅黑" w:hAnsi="微软雅黑" w:eastAsia="微软雅黑" w:cs="微软雅黑"/>
                <w:b/>
                <w:bCs/>
                <w:color w:val="auto"/>
                <w:sz w:val="24"/>
                <w:szCs w:val="24"/>
                <w:highlight w:val="none"/>
              </w:rPr>
              <w:t>保证金要求：供应商向银行办理</w:t>
            </w:r>
            <w:r>
              <w:rPr>
                <w:rFonts w:hint="eastAsia" w:ascii="微软雅黑" w:hAnsi="微软雅黑" w:eastAsia="微软雅黑" w:cs="微软雅黑"/>
                <w:b/>
                <w:bCs/>
                <w:color w:val="auto"/>
                <w:sz w:val="24"/>
                <w:szCs w:val="24"/>
                <w:highlight w:val="none"/>
                <w:lang w:eastAsia="zh-CN"/>
              </w:rPr>
              <w:t>投标</w:t>
            </w:r>
            <w:r>
              <w:rPr>
                <w:rFonts w:hint="eastAsia" w:ascii="微软雅黑" w:hAnsi="微软雅黑" w:eastAsia="微软雅黑" w:cs="微软雅黑"/>
                <w:b/>
                <w:bCs/>
                <w:color w:val="auto"/>
                <w:sz w:val="24"/>
                <w:szCs w:val="24"/>
                <w:highlight w:val="none"/>
              </w:rPr>
              <w:t>保证金汇（转）款时，应在用途栏（备注栏）注明项目名称及包号（如有），并注明是</w:t>
            </w:r>
            <w:r>
              <w:rPr>
                <w:rFonts w:hint="eastAsia" w:ascii="微软雅黑" w:hAnsi="微软雅黑" w:eastAsia="微软雅黑" w:cs="微软雅黑"/>
                <w:b/>
                <w:bCs/>
                <w:color w:val="auto"/>
                <w:sz w:val="24"/>
                <w:szCs w:val="24"/>
                <w:highlight w:val="none"/>
                <w:lang w:eastAsia="zh-CN"/>
              </w:rPr>
              <w:t>投标</w:t>
            </w:r>
            <w:r>
              <w:rPr>
                <w:rFonts w:hint="eastAsia" w:ascii="微软雅黑" w:hAnsi="微软雅黑" w:eastAsia="微软雅黑" w:cs="微软雅黑"/>
                <w:b/>
                <w:bCs/>
                <w:color w:val="auto"/>
                <w:sz w:val="24"/>
                <w:szCs w:val="24"/>
                <w:highlight w:val="none"/>
              </w:rPr>
              <w:t>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szCs w:val="24"/>
                <w:highlight w:val="none"/>
              </w:rPr>
              <w:t>B：退</w:t>
            </w:r>
            <w:r>
              <w:rPr>
                <w:rFonts w:hint="eastAsia" w:ascii="微软雅黑" w:hAnsi="微软雅黑" w:eastAsia="微软雅黑" w:cs="微软雅黑"/>
                <w:b/>
                <w:bCs/>
                <w:color w:val="auto"/>
                <w:sz w:val="24"/>
                <w:szCs w:val="24"/>
                <w:highlight w:val="none"/>
                <w:lang w:eastAsia="zh-CN"/>
              </w:rPr>
              <w:t>投标</w:t>
            </w:r>
            <w:r>
              <w:rPr>
                <w:rFonts w:hint="eastAsia" w:ascii="微软雅黑" w:hAnsi="微软雅黑" w:eastAsia="微软雅黑" w:cs="微软雅黑"/>
                <w:b/>
                <w:bCs/>
                <w:color w:val="auto"/>
                <w:sz w:val="24"/>
                <w:szCs w:val="24"/>
                <w:highlight w:val="none"/>
              </w:rPr>
              <w:t>保证金：（1）</w:t>
            </w:r>
            <w:r>
              <w:rPr>
                <w:rFonts w:hint="eastAsia" w:ascii="微软雅黑" w:hAnsi="微软雅黑" w:eastAsia="微软雅黑" w:cs="微软雅黑"/>
                <w:b/>
                <w:bCs/>
                <w:color w:val="auto"/>
                <w:sz w:val="24"/>
                <w:szCs w:val="24"/>
                <w:highlight w:val="none"/>
                <w:lang w:eastAsia="zh-CN"/>
              </w:rPr>
              <w:t>评标</w:t>
            </w:r>
            <w:r>
              <w:rPr>
                <w:rFonts w:hint="eastAsia" w:ascii="微软雅黑" w:hAnsi="微软雅黑" w:eastAsia="微软雅黑" w:cs="微软雅黑"/>
                <w:b/>
                <w:bCs/>
                <w:color w:val="auto"/>
                <w:sz w:val="24"/>
                <w:szCs w:val="24"/>
                <w:highlight w:val="none"/>
              </w:rPr>
              <w:t>结束后，</w:t>
            </w:r>
            <w:r>
              <w:rPr>
                <w:rFonts w:hint="eastAsia" w:ascii="微软雅黑" w:hAnsi="微软雅黑" w:eastAsia="微软雅黑" w:cs="微软雅黑"/>
                <w:b/>
                <w:bCs/>
                <w:color w:val="auto"/>
                <w:sz w:val="24"/>
                <w:szCs w:val="24"/>
                <w:highlight w:val="none"/>
                <w:lang w:eastAsia="zh-CN"/>
              </w:rPr>
              <w:t>未中标供应商</w:t>
            </w:r>
            <w:r>
              <w:rPr>
                <w:rFonts w:hint="eastAsia" w:ascii="微软雅黑" w:hAnsi="微软雅黑" w:eastAsia="微软雅黑" w:cs="微软雅黑"/>
                <w:b/>
                <w:bCs/>
                <w:color w:val="auto"/>
                <w:sz w:val="24"/>
                <w:szCs w:val="24"/>
                <w:highlight w:val="none"/>
              </w:rPr>
              <w:t>的</w:t>
            </w:r>
            <w:r>
              <w:rPr>
                <w:rFonts w:hint="eastAsia" w:ascii="微软雅黑" w:hAnsi="微软雅黑" w:eastAsia="微软雅黑" w:cs="微软雅黑"/>
                <w:b/>
                <w:bCs/>
                <w:color w:val="auto"/>
                <w:sz w:val="24"/>
                <w:szCs w:val="24"/>
                <w:highlight w:val="none"/>
                <w:lang w:eastAsia="zh-CN"/>
              </w:rPr>
              <w:t>投标</w:t>
            </w:r>
            <w:r>
              <w:rPr>
                <w:rFonts w:hint="eastAsia" w:ascii="微软雅黑" w:hAnsi="微软雅黑" w:eastAsia="微软雅黑" w:cs="微软雅黑"/>
                <w:b/>
                <w:bCs/>
                <w:color w:val="auto"/>
                <w:sz w:val="24"/>
                <w:szCs w:val="24"/>
                <w:highlight w:val="none"/>
              </w:rPr>
              <w:t>保证金将在5个工作日内退回原账户，供应商不需办理任何手续。（2）</w:t>
            </w:r>
            <w:r>
              <w:rPr>
                <w:rFonts w:hint="eastAsia" w:ascii="微软雅黑" w:hAnsi="微软雅黑" w:eastAsia="微软雅黑" w:cs="微软雅黑"/>
                <w:b/>
                <w:bCs/>
                <w:color w:val="auto"/>
                <w:sz w:val="24"/>
                <w:szCs w:val="24"/>
                <w:highlight w:val="none"/>
                <w:lang w:val="en-US" w:eastAsia="zh-CN"/>
              </w:rPr>
              <w:t>中标</w:t>
            </w:r>
            <w:r>
              <w:rPr>
                <w:rFonts w:hint="eastAsia" w:ascii="微软雅黑" w:hAnsi="微软雅黑" w:eastAsia="微软雅黑" w:cs="微软雅黑"/>
                <w:b/>
                <w:bCs/>
                <w:color w:val="auto"/>
                <w:sz w:val="24"/>
                <w:szCs w:val="24"/>
                <w:highlight w:val="none"/>
              </w:rPr>
              <w:t>供应商的</w:t>
            </w:r>
            <w:r>
              <w:rPr>
                <w:rFonts w:hint="eastAsia" w:ascii="微软雅黑" w:hAnsi="微软雅黑" w:eastAsia="微软雅黑" w:cs="微软雅黑"/>
                <w:b/>
                <w:bCs/>
                <w:color w:val="auto"/>
                <w:sz w:val="24"/>
                <w:szCs w:val="24"/>
                <w:highlight w:val="none"/>
                <w:lang w:eastAsia="zh-CN"/>
              </w:rPr>
              <w:t>投标</w:t>
            </w:r>
            <w:r>
              <w:rPr>
                <w:rFonts w:hint="eastAsia" w:ascii="微软雅黑" w:hAnsi="微软雅黑" w:eastAsia="微软雅黑" w:cs="微软雅黑"/>
                <w:b/>
                <w:bCs/>
                <w:color w:val="auto"/>
                <w:sz w:val="24"/>
                <w:szCs w:val="24"/>
                <w:highlight w:val="none"/>
              </w:rPr>
              <w:t>保证金在与采购人签订合同后，把合同扫描件发送至邮箱2783389030@qq.com后，当日或次日原账户退回。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投标有效期：</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60</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投标文件包括“开标一览表及资格证明文件”和“商务及技术文件”两部分，两部分合订成一册密封递交。</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投标文件：正本：壹份、副本：肆份；（正、副本密封在同一个密封袋中提交，密封袋封面右上角标明“正本和副本”字样）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供应商必须制作“开标一览表”并单独密封提交，并在密封袋上标明“开标一览表”的字样。不按要求标注或不单独提交开标一览表，其投标将被拒绝。</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投标文件使用A4，胶装，每册装订应牢固、不易拆散和换页，不得采用活页装订。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投标文件的签署及规定：</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供应商应按供应商须知资料表中的规定，准备和递交投标文件正本、副本、开标一览表和电子文档，每份投标文件封皮须清楚地标明“正本”或“副本”。若正本和副本不符，以正本为准。</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投标文件的正本需打印或用不褪色墨水书写，并由供应商的法定代表人或经其正式委托代理人按招标文件规定在投标文件上签字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所有包装封皮和信封上均应：</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注明招标公告或投标邀请书中指明的项目名称、项目编号、供应商名称和“在（开标时间）之前不得启封”的字样。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u w:val="single"/>
                <w:lang w:eastAsia="zh-CN"/>
              </w:rPr>
            </w:pPr>
            <w:r>
              <w:rPr>
                <w:rFonts w:hint="eastAsia" w:ascii="微软雅黑" w:hAnsi="微软雅黑" w:eastAsia="微软雅黑" w:cs="微软雅黑"/>
                <w:color w:val="auto"/>
                <w:sz w:val="24"/>
                <w:lang w:val="en-US" w:eastAsia="zh-CN"/>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投标截止时间：</w:t>
            </w:r>
            <w:r>
              <w:rPr>
                <w:rFonts w:hint="eastAsia" w:ascii="微软雅黑" w:hAnsi="微软雅黑" w:eastAsia="微软雅黑" w:cs="微软雅黑"/>
                <w:color w:val="auto"/>
                <w:sz w:val="24"/>
                <w:u w:val="single"/>
              </w:rPr>
              <w:t>202</w:t>
            </w:r>
            <w:r>
              <w:rPr>
                <w:rFonts w:hint="eastAsia" w:ascii="微软雅黑" w:hAnsi="微软雅黑" w:eastAsia="微软雅黑" w:cs="微软雅黑"/>
                <w:color w:val="auto"/>
                <w:sz w:val="24"/>
                <w:u w:val="single"/>
                <w:lang w:val="en-US" w:eastAsia="zh-CN"/>
              </w:rPr>
              <w:t>2</w:t>
            </w:r>
            <w:r>
              <w:rPr>
                <w:rFonts w:hint="eastAsia" w:ascii="微软雅黑" w:hAnsi="微软雅黑" w:eastAsia="微软雅黑" w:cs="微软雅黑"/>
                <w:color w:val="auto"/>
                <w:sz w:val="24"/>
                <w:u w:val="single"/>
              </w:rPr>
              <w:t>年</w:t>
            </w:r>
            <w:r>
              <w:rPr>
                <w:rFonts w:hint="eastAsia" w:ascii="微软雅黑" w:hAnsi="微软雅黑" w:eastAsia="微软雅黑" w:cs="微软雅黑"/>
                <w:color w:val="auto"/>
                <w:sz w:val="24"/>
                <w:u w:val="single"/>
                <w:lang w:val="en-US" w:eastAsia="zh-CN"/>
              </w:rPr>
              <w:t>6</w:t>
            </w:r>
            <w:r>
              <w:rPr>
                <w:rFonts w:hint="eastAsia" w:ascii="微软雅黑" w:hAnsi="微软雅黑" w:eastAsia="微软雅黑" w:cs="微软雅黑"/>
                <w:color w:val="auto"/>
                <w:sz w:val="24"/>
                <w:u w:val="single"/>
              </w:rPr>
              <w:t>月</w:t>
            </w:r>
            <w:r>
              <w:rPr>
                <w:rFonts w:hint="eastAsia" w:ascii="微软雅黑" w:hAnsi="微软雅黑" w:eastAsia="微软雅黑" w:cs="微软雅黑"/>
                <w:color w:val="auto"/>
                <w:sz w:val="24"/>
                <w:u w:val="single"/>
                <w:lang w:val="en-US" w:eastAsia="zh-CN"/>
              </w:rPr>
              <w:t>22</w:t>
            </w:r>
            <w:r>
              <w:rPr>
                <w:rFonts w:hint="eastAsia" w:ascii="微软雅黑" w:hAnsi="微软雅黑" w:eastAsia="微软雅黑" w:cs="微软雅黑"/>
                <w:color w:val="auto"/>
                <w:sz w:val="24"/>
                <w:u w:val="single"/>
              </w:rPr>
              <w:t>日</w:t>
            </w:r>
            <w:r>
              <w:rPr>
                <w:rFonts w:hint="eastAsia" w:ascii="微软雅黑" w:hAnsi="微软雅黑" w:eastAsia="微软雅黑" w:cs="微软雅黑"/>
                <w:color w:val="auto"/>
                <w:sz w:val="24"/>
                <w:u w:val="single"/>
                <w:lang w:eastAsia="zh-CN"/>
              </w:rPr>
              <w:t>下午</w:t>
            </w:r>
            <w:r>
              <w:rPr>
                <w:rFonts w:hint="eastAsia" w:ascii="微软雅黑" w:hAnsi="微软雅黑" w:eastAsia="微软雅黑" w:cs="微软雅黑"/>
                <w:color w:val="auto"/>
                <w:sz w:val="24"/>
                <w:u w:val="single"/>
                <w:lang w:val="en-US" w:eastAsia="zh-CN"/>
              </w:rPr>
              <w:t>16:00</w:t>
            </w:r>
            <w:r>
              <w:rPr>
                <w:rFonts w:hint="eastAsia" w:ascii="微软雅黑" w:hAnsi="微软雅黑" w:eastAsia="微软雅黑" w:cs="微软雅黑"/>
                <w:color w:val="auto"/>
                <w:sz w:val="24"/>
                <w:u w:val="singl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开标时间：</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2</w:t>
            </w:r>
            <w:r>
              <w:rPr>
                <w:rFonts w:hint="eastAsia" w:ascii="微软雅黑" w:hAnsi="微软雅黑" w:eastAsia="微软雅黑" w:cs="微软雅黑"/>
                <w:color w:val="auto"/>
                <w:sz w:val="24"/>
                <w:szCs w:val="24"/>
                <w:u w:val="single"/>
              </w:rPr>
              <w:t>年</w:t>
            </w:r>
            <w:r>
              <w:rPr>
                <w:rFonts w:hint="eastAsia" w:ascii="微软雅黑" w:hAnsi="微软雅黑" w:eastAsia="微软雅黑" w:cs="微软雅黑"/>
                <w:color w:val="auto"/>
                <w:sz w:val="24"/>
                <w:szCs w:val="24"/>
                <w:u w:val="single"/>
                <w:lang w:val="en-US" w:eastAsia="zh-CN"/>
              </w:rPr>
              <w:t>6</w:t>
            </w:r>
            <w:r>
              <w:rPr>
                <w:rFonts w:hint="eastAsia" w:ascii="微软雅黑" w:hAnsi="微软雅黑" w:eastAsia="微软雅黑" w:cs="微软雅黑"/>
                <w:color w:val="auto"/>
                <w:sz w:val="24"/>
                <w:szCs w:val="24"/>
                <w:u w:val="single"/>
              </w:rPr>
              <w:t>月</w:t>
            </w:r>
            <w:r>
              <w:rPr>
                <w:rFonts w:hint="eastAsia" w:ascii="微软雅黑" w:hAnsi="微软雅黑" w:eastAsia="微软雅黑" w:cs="微软雅黑"/>
                <w:color w:val="auto"/>
                <w:sz w:val="24"/>
                <w:szCs w:val="24"/>
                <w:u w:val="single"/>
                <w:lang w:val="en-US" w:eastAsia="zh-CN"/>
              </w:rPr>
              <w:t>22</w:t>
            </w:r>
            <w:r>
              <w:rPr>
                <w:rFonts w:hint="eastAsia" w:ascii="微软雅黑" w:hAnsi="微软雅黑" w:eastAsia="微软雅黑" w:cs="微软雅黑"/>
                <w:color w:val="auto"/>
                <w:sz w:val="24"/>
                <w:szCs w:val="24"/>
                <w:u w:val="single"/>
              </w:rPr>
              <w:t>日</w:t>
            </w:r>
            <w:r>
              <w:rPr>
                <w:rFonts w:hint="eastAsia" w:ascii="微软雅黑" w:hAnsi="微软雅黑" w:eastAsia="微软雅黑" w:cs="微软雅黑"/>
                <w:color w:val="auto"/>
                <w:sz w:val="24"/>
                <w:szCs w:val="24"/>
                <w:u w:val="single"/>
                <w:lang w:eastAsia="zh-CN"/>
              </w:rPr>
              <w:t>下午</w:t>
            </w:r>
            <w:r>
              <w:rPr>
                <w:rFonts w:hint="eastAsia" w:ascii="微软雅黑" w:hAnsi="微软雅黑" w:eastAsia="微软雅黑" w:cs="微软雅黑"/>
                <w:color w:val="auto"/>
                <w:sz w:val="24"/>
                <w:szCs w:val="24"/>
                <w:u w:val="single"/>
                <w:lang w:val="en-US" w:eastAsia="zh-CN"/>
              </w:rPr>
              <w:t>16:00</w:t>
            </w:r>
            <w:r>
              <w:rPr>
                <w:rFonts w:hint="eastAsia" w:ascii="微软雅黑" w:hAnsi="微软雅黑" w:eastAsia="微软雅黑" w:cs="微软雅黑"/>
                <w:color w:val="auto"/>
                <w:sz w:val="24"/>
                <w:szCs w:val="24"/>
                <w:u w:val="single"/>
              </w:rPr>
              <w:t>（北京时间）</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开标地点</w:t>
            </w:r>
            <w:r>
              <w:rPr>
                <w:rFonts w:hint="eastAsia" w:ascii="微软雅黑" w:hAnsi="微软雅黑" w:eastAsia="微软雅黑" w:cs="微软雅黑"/>
                <w:color w:val="auto"/>
                <w:sz w:val="24"/>
                <w:lang w:eastAsia="zh-CN"/>
              </w:rPr>
              <w:t>：叶城县行政综合服务中心（叶城县工业园区纬三路）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微软雅黑" w:hAnsi="微软雅黑" w:eastAsia="微软雅黑" w:cs="微软雅黑"/>
                <w:i/>
                <w:color w:val="auto"/>
                <w:sz w:val="24"/>
              </w:rPr>
            </w:pPr>
            <w:r>
              <w:rPr>
                <w:rFonts w:hint="eastAsia" w:ascii="微软雅黑" w:hAnsi="微软雅黑" w:eastAsia="微软雅黑" w:cs="微软雅黑"/>
                <w:color w:val="auto"/>
                <w:sz w:val="24"/>
              </w:rPr>
              <w:t>评标方法：适用</w:t>
            </w:r>
            <w:r>
              <w:rPr>
                <w:rFonts w:hint="eastAsia" w:ascii="微软雅黑" w:hAnsi="微软雅黑" w:eastAsia="微软雅黑" w:cs="微软雅黑"/>
                <w:color w:val="auto"/>
                <w:sz w:val="24"/>
                <w:u w:val="single"/>
              </w:rPr>
              <w:t>　综合评分法　</w:t>
            </w:r>
            <w:r>
              <w:rPr>
                <w:rFonts w:hint="eastAsia" w:ascii="微软雅黑" w:hAnsi="微软雅黑" w:eastAsia="微软雅黑" w:cs="微软雅黑"/>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推荐中标候选供应商的数量：</w:t>
            </w:r>
            <w:r>
              <w:rPr>
                <w:rFonts w:hint="eastAsia" w:ascii="微软雅黑" w:hAnsi="微软雅黑" w:eastAsia="微软雅黑" w:cs="微软雅黑"/>
                <w:color w:val="auto"/>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招标人是否委托评标委员会直接确定中标人：</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 xml:space="preserve"> </w:t>
            </w:r>
            <w:r>
              <w:rPr>
                <w:rFonts w:hint="eastAsia" w:ascii="微软雅黑" w:hAnsi="微软雅黑" w:eastAsia="微软雅黑" w:cs="微软雅黑"/>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1080" w:leftChars="257" w:hanging="54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31.1</w:t>
            </w:r>
          </w:p>
        </w:tc>
        <w:tc>
          <w:tcPr>
            <w:tcW w:w="7270" w:type="dxa"/>
            <w:noWrap w:val="0"/>
            <w:vAlign w:val="center"/>
          </w:tcPr>
          <w:p>
            <w:pPr>
              <w:spacing w:line="350" w:lineRule="exact"/>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履约保证金金额：</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中标金额</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50" w:lineRule="exact"/>
              <w:ind w:left="600" w:hanging="600" w:hangingChars="250"/>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履约保证金形式：</w:t>
            </w:r>
            <w:r>
              <w:rPr>
                <w:rFonts w:hint="eastAsia" w:ascii="微软雅黑" w:hAnsi="微软雅黑" w:eastAsia="微软雅黑" w:cs="微软雅黑"/>
                <w:color w:val="auto"/>
                <w:sz w:val="24"/>
                <w:u w:val="single"/>
              </w:rPr>
              <w:t xml:space="preserve"> □保函  □电汇  □支票</w:t>
            </w:r>
          </w:p>
          <w:p>
            <w:pPr>
              <w:keepNext w:val="0"/>
              <w:keepLines w:val="0"/>
              <w:pageBreakBefore w:val="0"/>
              <w:widowControl w:val="0"/>
              <w:kinsoku/>
              <w:wordWrap/>
              <w:overflowPunct/>
              <w:topLinePunct w:val="0"/>
              <w:autoSpaceDE/>
              <w:autoSpaceDN/>
              <w:bidi w:val="0"/>
              <w:adjustRightInd/>
              <w:snapToGrid/>
              <w:spacing w:line="350" w:lineRule="exact"/>
              <w:ind w:left="525" w:leftChars="250" w:firstLine="480" w:firstLineChars="200"/>
              <w:textAlignment w:val="auto"/>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对公转账   </w:t>
            </w:r>
            <w:r>
              <w:rPr>
                <w:rFonts w:hint="eastAsia" w:ascii="微软雅黑" w:hAnsi="微软雅黑" w:eastAsia="微软雅黑" w:cs="微软雅黑"/>
                <w:i/>
                <w:color w:val="auto"/>
                <w:sz w:val="24"/>
                <w:u w:val="single"/>
              </w:rPr>
              <w:t>（</w:t>
            </w:r>
            <w:r>
              <w:rPr>
                <w:rFonts w:hint="eastAsia" w:ascii="微软雅黑" w:hAnsi="微软雅黑" w:eastAsia="微软雅黑" w:cs="微软雅黑"/>
                <w:i/>
                <w:color w:val="auto"/>
                <w:sz w:val="24"/>
              </w:rPr>
              <w:t xml:space="preserve">本项目允许的其他形式） </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提交履约保证金的时间：</w:t>
            </w:r>
            <w:r>
              <w:rPr>
                <w:rFonts w:hint="eastAsia" w:ascii="微软雅黑" w:hAnsi="微软雅黑" w:eastAsia="微软雅黑" w:cs="微软雅黑"/>
                <w:color w:val="auto"/>
                <w:sz w:val="24"/>
                <w:u w:val="single"/>
              </w:rPr>
              <w:t>签订合同前</w:t>
            </w:r>
            <w:r>
              <w:rPr>
                <w:rFonts w:hint="eastAsia" w:ascii="微软雅黑" w:hAnsi="微软雅黑" w:eastAsia="微软雅黑" w:cs="微软雅黑"/>
                <w:color w:val="auto"/>
                <w:sz w:val="24"/>
                <w:u w:val="single"/>
                <w:lang w:val="en-US" w:eastAsia="zh-CN"/>
              </w:rPr>
              <w:t>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238" w:type="dxa"/>
            <w:noWrap w:val="0"/>
            <w:vAlign w:val="center"/>
          </w:tcPr>
          <w:p>
            <w:pPr>
              <w:spacing w:line="360" w:lineRule="exac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32</w:t>
            </w:r>
          </w:p>
        </w:tc>
        <w:tc>
          <w:tcPr>
            <w:tcW w:w="7270" w:type="dxa"/>
            <w:noWrap w:val="0"/>
            <w:vAlign w:val="center"/>
          </w:tcPr>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中标服务费：</w:t>
            </w:r>
            <w:r>
              <w:rPr>
                <w:rFonts w:hint="eastAsia" w:ascii="微软雅黑" w:hAnsi="微软雅黑" w:eastAsia="微软雅黑" w:cs="微软雅黑"/>
                <w:color w:val="auto"/>
                <w:sz w:val="24"/>
                <w:lang w:val="en-US" w:eastAsia="zh-CN"/>
              </w:rPr>
              <w:t>根据发改价格[2015]299文：代理服务费按照中标金额的1.5%收取</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（由中标供应商支付）</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支付形式： </w:t>
            </w:r>
            <w:r>
              <w:rPr>
                <w:rFonts w:hint="eastAsia" w:ascii="微软雅黑" w:hAnsi="微软雅黑" w:eastAsia="微软雅黑" w:cs="微软雅黑"/>
                <w:color w:val="auto"/>
                <w:sz w:val="24"/>
                <w:u w:val="single"/>
              </w:rPr>
              <w:t xml:space="preserve">对公转账 </w:t>
            </w:r>
            <w:r>
              <w:rPr>
                <w:rFonts w:hint="eastAsia" w:ascii="微软雅黑" w:hAnsi="微软雅黑" w:eastAsia="微软雅黑" w:cs="微软雅黑"/>
                <w:color w:val="auto"/>
                <w:sz w:val="24"/>
              </w:rPr>
              <w:t xml:space="preserve"> </w:t>
            </w:r>
          </w:p>
          <w:p>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支付时间： </w:t>
            </w:r>
            <w:r>
              <w:rPr>
                <w:rFonts w:hint="eastAsia" w:ascii="微软雅黑" w:hAnsi="微软雅黑" w:eastAsia="微软雅黑" w:cs="微软雅黑"/>
                <w:color w:val="auto"/>
                <w:sz w:val="24"/>
                <w:u w:val="single"/>
              </w:rPr>
              <w:t xml:space="preserve">领取中标通知书时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9" w:hRule="atLeast"/>
        </w:trPr>
        <w:tc>
          <w:tcPr>
            <w:tcW w:w="1238" w:type="dxa"/>
            <w:tcBorders>
              <w:top w:val="single" w:color="auto" w:sz="12" w:space="0"/>
              <w:left w:val="single" w:color="auto" w:sz="12" w:space="0"/>
              <w:bottom w:val="single" w:color="auto" w:sz="12" w:space="0"/>
              <w:right w:val="single" w:color="auto" w:sz="12" w:space="0"/>
            </w:tcBorders>
            <w:noWrap w:val="0"/>
            <w:vAlign w:val="center"/>
          </w:tcPr>
          <w:p>
            <w:pPr>
              <w:spacing w:line="400" w:lineRule="exact"/>
              <w:ind w:left="1080" w:leftChars="257" w:hanging="540" w:firstLineChars="0"/>
              <w:rPr>
                <w:rFonts w:hint="eastAsia" w:ascii="微软雅黑" w:hAnsi="微软雅黑" w:eastAsia="微软雅黑" w:cs="微软雅黑"/>
                <w:color w:val="auto"/>
                <w:sz w:val="24"/>
              </w:rPr>
            </w:pPr>
            <w:r>
              <w:rPr>
                <w:rFonts w:hint="eastAsia" w:ascii="微软雅黑" w:hAnsi="微软雅黑" w:eastAsia="微软雅黑" w:cs="微软雅黑"/>
                <w:color w:val="auto"/>
                <w:sz w:val="24"/>
                <w:highlight w:val="none"/>
              </w:rPr>
              <w:t>33.1</w:t>
            </w:r>
          </w:p>
        </w:tc>
        <w:tc>
          <w:tcPr>
            <w:tcW w:w="7270" w:type="dxa"/>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auto"/>
          <w:sz w:val="24"/>
        </w:rPr>
        <w:sectPr>
          <w:pgSz w:w="11906" w:h="16838"/>
          <w:pgMar w:top="1440" w:right="1797" w:bottom="1440" w:left="1797" w:header="851" w:footer="992" w:gutter="0"/>
          <w:pgNumType w:fmt="decimal"/>
          <w:cols w:space="720" w:num="1"/>
          <w:docGrid w:linePitch="312" w:charSpace="0"/>
        </w:sectPr>
      </w:pPr>
    </w:p>
    <w:p>
      <w:pPr>
        <w:widowControl/>
        <w:spacing w:line="360" w:lineRule="exact"/>
        <w:jc w:val="center"/>
        <w:rPr>
          <w:rFonts w:hint="eastAsia" w:ascii="微软雅黑" w:hAnsi="微软雅黑" w:eastAsia="微软雅黑" w:cs="微软雅黑"/>
          <w:b/>
          <w:color w:val="auto"/>
          <w:kern w:val="0"/>
          <w:sz w:val="32"/>
          <w:szCs w:val="32"/>
        </w:rPr>
      </w:pPr>
      <w:bookmarkStart w:id="463" w:name="_Toc216582811"/>
      <w:bookmarkStart w:id="464" w:name="_Toc219175635"/>
      <w:bookmarkStart w:id="465" w:name="_Toc216513787"/>
      <w:bookmarkStart w:id="466" w:name="_Toc218935351"/>
      <w:r>
        <w:rPr>
          <w:rFonts w:hint="eastAsia" w:ascii="微软雅黑" w:hAnsi="微软雅黑" w:eastAsia="微软雅黑" w:cs="微软雅黑"/>
          <w:b/>
          <w:color w:val="auto"/>
          <w:kern w:val="0"/>
          <w:sz w:val="32"/>
          <w:szCs w:val="32"/>
        </w:rPr>
        <w:t>资格审查表</w:t>
      </w:r>
    </w:p>
    <w:p>
      <w:pPr>
        <w:spacing w:line="360" w:lineRule="exact"/>
        <w:rPr>
          <w:rFonts w:hint="eastAsia" w:ascii="微软雅黑" w:hAnsi="微软雅黑" w:eastAsia="微软雅黑" w:cs="微软雅黑"/>
          <w:color w:val="auto"/>
        </w:rPr>
      </w:pPr>
    </w:p>
    <w:tbl>
      <w:tblPr>
        <w:tblStyle w:val="34"/>
        <w:tblW w:w="15619" w:type="dxa"/>
        <w:tblInd w:w="-793" w:type="dxa"/>
        <w:tblLayout w:type="fixed"/>
        <w:tblCellMar>
          <w:top w:w="0" w:type="dxa"/>
          <w:left w:w="108" w:type="dxa"/>
          <w:bottom w:w="0" w:type="dxa"/>
          <w:right w:w="108" w:type="dxa"/>
        </w:tblCellMar>
      </w:tblPr>
      <w:tblGrid>
        <w:gridCol w:w="562"/>
        <w:gridCol w:w="870"/>
        <w:gridCol w:w="1562"/>
        <w:gridCol w:w="1125"/>
        <w:gridCol w:w="1042"/>
        <w:gridCol w:w="1210"/>
        <w:gridCol w:w="4540"/>
        <w:gridCol w:w="1155"/>
        <w:gridCol w:w="1295"/>
        <w:gridCol w:w="1129"/>
        <w:gridCol w:w="1129"/>
      </w:tblGrid>
      <w:tr>
        <w:tblPrEx>
          <w:tblCellMar>
            <w:top w:w="0" w:type="dxa"/>
            <w:left w:w="108" w:type="dxa"/>
            <w:bottom w:w="0" w:type="dxa"/>
            <w:right w:w="108" w:type="dxa"/>
          </w:tblCellMar>
        </w:tblPrEx>
        <w:trPr>
          <w:trHeight w:val="554" w:hRule="atLeast"/>
        </w:trPr>
        <w:tc>
          <w:tcPr>
            <w:tcW w:w="5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lang w:eastAsia="zh-CN"/>
              </w:rPr>
              <w:t>供应商</w:t>
            </w:r>
            <w:r>
              <w:rPr>
                <w:rFonts w:hint="eastAsia" w:ascii="微软雅黑" w:hAnsi="微软雅黑" w:eastAsia="微软雅黑" w:cs="微软雅黑"/>
                <w:color w:val="auto"/>
                <w:kern w:val="0"/>
                <w:sz w:val="22"/>
                <w:szCs w:val="22"/>
              </w:rPr>
              <w:t>名称</w:t>
            </w:r>
          </w:p>
        </w:tc>
        <w:tc>
          <w:tcPr>
            <w:tcW w:w="12799"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审查项目</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12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结论</w:t>
            </w:r>
          </w:p>
        </w:tc>
      </w:tr>
      <w:tr>
        <w:tblPrEx>
          <w:tblCellMar>
            <w:top w:w="0" w:type="dxa"/>
            <w:left w:w="108" w:type="dxa"/>
            <w:bottom w:w="0" w:type="dxa"/>
            <w:right w:w="108" w:type="dxa"/>
          </w:tblCellMar>
        </w:tblPrEx>
        <w:trPr>
          <w:trHeight w:val="3240" w:hRule="atLeast"/>
        </w:trPr>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具有有效的独立法人营业执照；</w:t>
            </w:r>
          </w:p>
        </w:tc>
        <w:tc>
          <w:tcPr>
            <w:tcW w:w="1562"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法人代表资格证明书及授权书、被授权人身份证(法人投标需提供法人身份证及法人代表资格证明书)；</w:t>
            </w:r>
          </w:p>
        </w:tc>
        <w:tc>
          <w:tcPr>
            <w:tcW w:w="1125"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依法缴纳近6个月内任意1个月的社会保险的凭据；</w:t>
            </w:r>
          </w:p>
        </w:tc>
        <w:tc>
          <w:tcPr>
            <w:tcW w:w="1042"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税务部门出具的近6个月内任意1个月的完税证明；</w:t>
            </w:r>
          </w:p>
        </w:tc>
        <w:tc>
          <w:tcPr>
            <w:tcW w:w="1210"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提供健全的财务制度；</w:t>
            </w:r>
          </w:p>
        </w:tc>
        <w:tc>
          <w:tcPr>
            <w:tcW w:w="4540"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tc>
        <w:tc>
          <w:tcPr>
            <w:tcW w:w="1155"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参加政府采购活动前3年内未被列入失信、重大税收违法案件、财政部门禁止参加政府采购活动的承诺书；</w:t>
            </w:r>
          </w:p>
        </w:tc>
        <w:tc>
          <w:tcPr>
            <w:tcW w:w="1295"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提供针对本次项目《反商业贿赂承诺书》；</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both"/>
              <w:rPr>
                <w:rFonts w:hint="eastAsia" w:ascii="微软雅黑" w:hAnsi="微软雅黑" w:eastAsia="微软雅黑" w:cs="微软雅黑"/>
                <w:color w:val="auto"/>
                <w:kern w:val="0"/>
                <w:sz w:val="16"/>
                <w:szCs w:val="16"/>
                <w:highlight w:val="none"/>
                <w:lang w:val="en-US" w:eastAsia="zh-CN"/>
              </w:rPr>
            </w:pPr>
            <w:r>
              <w:rPr>
                <w:rFonts w:hint="eastAsia" w:ascii="微软雅黑" w:hAnsi="微软雅黑" w:eastAsia="微软雅黑" w:cs="微软雅黑"/>
                <w:color w:val="auto"/>
                <w:kern w:val="0"/>
                <w:sz w:val="16"/>
                <w:szCs w:val="16"/>
                <w:highlight w:val="none"/>
                <w:lang w:val="en-US" w:eastAsia="zh-CN"/>
              </w:rPr>
              <w:t>投标保证金银行转账回执单。</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01"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5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01"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5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01"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5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bl>
    <w:p>
      <w:pPr>
        <w:pStyle w:val="3"/>
        <w:spacing w:before="0" w:after="0" w:line="360" w:lineRule="exact"/>
        <w:ind w:left="1844"/>
        <w:jc w:val="both"/>
        <w:rPr>
          <w:rFonts w:hint="eastAsia" w:ascii="微软雅黑" w:hAnsi="微软雅黑" w:eastAsia="微软雅黑" w:cs="微软雅黑"/>
          <w:color w:val="auto"/>
        </w:rPr>
        <w:sectPr>
          <w:pgSz w:w="16838" w:h="11906" w:orient="landscape"/>
          <w:pgMar w:top="1797" w:right="1440" w:bottom="1797" w:left="1440" w:header="851" w:footer="992" w:gutter="0"/>
          <w:pgNumType w:fmt="decimal"/>
          <w:cols w:space="720" w:num="1"/>
          <w:docGrid w:linePitch="312" w:charSpace="0"/>
        </w:sectPr>
      </w:pPr>
    </w:p>
    <w:p>
      <w:pPr>
        <w:rPr>
          <w:rFonts w:hint="eastAsia"/>
        </w:rPr>
      </w:pPr>
    </w:p>
    <w:p>
      <w:pPr>
        <w:pStyle w:val="3"/>
        <w:tabs>
          <w:tab w:val="left" w:pos="0"/>
        </w:tabs>
        <w:spacing w:before="0" w:after="0" w:line="360" w:lineRule="exact"/>
        <w:outlineLvl w:val="0"/>
        <w:rPr>
          <w:rFonts w:hint="eastAsia" w:ascii="微软雅黑" w:hAnsi="微软雅黑" w:eastAsia="微软雅黑" w:cs="微软雅黑"/>
          <w:b w:val="0"/>
          <w:bCs/>
          <w:color w:val="auto"/>
        </w:rPr>
      </w:pPr>
      <w:bookmarkStart w:id="467" w:name="_Toc21299"/>
      <w:bookmarkStart w:id="468" w:name="_Toc9887"/>
      <w:bookmarkStart w:id="469" w:name="_Toc9032"/>
      <w:bookmarkStart w:id="470" w:name="_Toc219175638"/>
      <w:bookmarkStart w:id="471" w:name="_Toc216582825"/>
      <w:bookmarkStart w:id="472" w:name="_Toc507399906"/>
      <w:bookmarkStart w:id="473" w:name="_Toc218935354"/>
      <w:bookmarkStart w:id="474" w:name="_Toc515647831"/>
      <w:bookmarkStart w:id="475" w:name="_Toc512937852"/>
      <w:r>
        <w:rPr>
          <w:rFonts w:hint="eastAsia" w:ascii="微软雅黑" w:hAnsi="微软雅黑" w:eastAsia="微软雅黑" w:cs="微软雅黑"/>
          <w:color w:val="auto"/>
        </w:rPr>
        <w:t>第5章</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b w:val="0"/>
          <w:bCs/>
          <w:color w:val="auto"/>
          <w:lang w:val="en-US" w:eastAsia="zh-CN"/>
        </w:rPr>
        <w:t>服务</w:t>
      </w:r>
      <w:r>
        <w:rPr>
          <w:rFonts w:hint="eastAsia" w:ascii="微软雅黑" w:hAnsi="微软雅黑" w:eastAsia="微软雅黑" w:cs="微软雅黑"/>
          <w:b w:val="0"/>
          <w:bCs/>
          <w:color w:val="auto"/>
        </w:rPr>
        <w:t>需求一览表及技术规格</w:t>
      </w:r>
      <w:bookmarkEnd w:id="467"/>
    </w:p>
    <w:p>
      <w:pPr>
        <w:pStyle w:val="4"/>
        <w:tabs>
          <w:tab w:val="left" w:pos="0"/>
        </w:tabs>
        <w:spacing w:before="0" w:after="0" w:line="360" w:lineRule="exact"/>
        <w:jc w:val="both"/>
        <w:outlineLvl w:val="1"/>
        <w:rPr>
          <w:rFonts w:hint="eastAsia"/>
        </w:rPr>
      </w:pPr>
      <w:bookmarkStart w:id="476" w:name="_Toc17417"/>
      <w:bookmarkStart w:id="477" w:name="_Toc15915"/>
      <w:bookmarkStart w:id="478" w:name="_Toc18059"/>
      <w:bookmarkStart w:id="479" w:name="_Toc3395"/>
      <w:bookmarkStart w:id="480" w:name="_Toc13663"/>
      <w:r>
        <w:rPr>
          <w:rFonts w:hint="eastAsia" w:ascii="微软雅黑" w:hAnsi="微软雅黑" w:eastAsia="微软雅黑" w:cs="微软雅黑"/>
          <w:b w:val="0"/>
          <w:bCs/>
          <w:color w:val="auto"/>
          <w:lang w:val="en-US" w:eastAsia="zh-CN"/>
        </w:rPr>
        <w:t>一、服务</w:t>
      </w:r>
      <w:bookmarkEnd w:id="468"/>
      <w:bookmarkEnd w:id="469"/>
      <w:bookmarkEnd w:id="470"/>
      <w:bookmarkEnd w:id="471"/>
      <w:bookmarkEnd w:id="472"/>
      <w:bookmarkEnd w:id="473"/>
      <w:bookmarkEnd w:id="474"/>
      <w:r>
        <w:rPr>
          <w:rFonts w:hint="eastAsia" w:ascii="微软雅黑" w:hAnsi="微软雅黑" w:eastAsia="微软雅黑" w:cs="微软雅黑"/>
          <w:b w:val="0"/>
          <w:bCs/>
          <w:color w:val="auto"/>
          <w:lang w:val="en-US" w:eastAsia="zh-CN"/>
        </w:rPr>
        <w:t>内容</w:t>
      </w:r>
      <w:bookmarkEnd w:id="475"/>
      <w:bookmarkEnd w:id="476"/>
      <w:bookmarkEnd w:id="477"/>
      <w:bookmarkEnd w:id="478"/>
      <w:bookmarkEnd w:id="479"/>
      <w:bookmarkEnd w:id="480"/>
    </w:p>
    <w:bookmarkEnd w:id="463"/>
    <w:bookmarkEnd w:id="464"/>
    <w:bookmarkEnd w:id="465"/>
    <w:bookmarkEnd w:id="466"/>
    <w:p>
      <w:pPr>
        <w:pStyle w:val="93"/>
        <w:numPr>
          <w:ilvl w:val="0"/>
          <w:numId w:val="6"/>
        </w:numPr>
        <w:ind w:firstLineChars="0"/>
        <w:rPr>
          <w:rFonts w:ascii="微软雅黑" w:hAnsi="微软雅黑" w:eastAsia="微软雅黑" w:cs="微软雅黑"/>
          <w:kern w:val="2"/>
        </w:rPr>
      </w:pPr>
      <w:bookmarkStart w:id="481" w:name="_Toc218935355"/>
      <w:bookmarkStart w:id="482" w:name="_Toc219175639"/>
      <w:bookmarkStart w:id="483" w:name="_Toc216582826"/>
      <w:r>
        <w:rPr>
          <w:rFonts w:hint="eastAsia" w:ascii="微软雅黑" w:hAnsi="微软雅黑" w:eastAsia="微软雅黑" w:cs="微软雅黑"/>
          <w:kern w:val="2"/>
        </w:rPr>
        <w:t>学习形式与课程安排</w:t>
      </w:r>
    </w:p>
    <w:p>
      <w:pPr>
        <w:pStyle w:val="93"/>
        <w:ind w:left="360" w:firstLine="480"/>
        <w:rPr>
          <w:rFonts w:ascii="微软雅黑" w:hAnsi="微软雅黑" w:eastAsia="微软雅黑" w:cs="微软雅黑"/>
          <w:kern w:val="2"/>
        </w:rPr>
      </w:pPr>
      <w:r>
        <w:rPr>
          <w:rFonts w:hint="eastAsia" w:ascii="微软雅黑" w:hAnsi="微软雅黑" w:eastAsia="微软雅黑" w:cs="微软雅黑"/>
          <w:kern w:val="2"/>
        </w:rPr>
        <w:t>需要采取多种形式的教学和交流方式，根据</w:t>
      </w:r>
      <w:r>
        <w:rPr>
          <w:rFonts w:hint="eastAsia" w:ascii="微软雅黑" w:hAnsi="微软雅黑" w:eastAsia="微软雅黑" w:cs="微软雅黑"/>
          <w:kern w:val="2"/>
          <w:lang w:eastAsia="zh-CN"/>
        </w:rPr>
        <w:t>交流活动</w:t>
      </w:r>
      <w:r>
        <w:rPr>
          <w:rFonts w:hint="eastAsia" w:ascii="微软雅黑" w:hAnsi="微软雅黑" w:eastAsia="微软雅黑" w:cs="微软雅黑"/>
          <w:kern w:val="2"/>
        </w:rPr>
        <w:t>对象和人员的结构、人数等详细编写针对性的</w:t>
      </w:r>
      <w:r>
        <w:rPr>
          <w:rFonts w:hint="eastAsia" w:ascii="微软雅黑" w:hAnsi="微软雅黑" w:eastAsia="微软雅黑" w:cs="微软雅黑"/>
          <w:kern w:val="2"/>
          <w:lang w:eastAsia="zh-CN"/>
        </w:rPr>
        <w:t>交流活动</w:t>
      </w:r>
      <w:r>
        <w:rPr>
          <w:rFonts w:hint="eastAsia" w:ascii="微软雅黑" w:hAnsi="微软雅黑" w:eastAsia="微软雅黑" w:cs="微软雅黑"/>
          <w:kern w:val="2"/>
        </w:rPr>
        <w:t>方案。方案中专题讲座不少于</w:t>
      </w:r>
      <w:r>
        <w:rPr>
          <w:rFonts w:hint="eastAsia" w:ascii="微软雅黑" w:hAnsi="微软雅黑" w:eastAsia="微软雅黑" w:cs="微软雅黑"/>
          <w:kern w:val="2"/>
          <w:lang w:val="en-US" w:eastAsia="zh-CN"/>
        </w:rPr>
        <w:t>3</w:t>
      </w:r>
      <w:r>
        <w:rPr>
          <w:rFonts w:hint="eastAsia" w:ascii="微软雅黑" w:hAnsi="微软雅黑" w:eastAsia="微软雅黑" w:cs="微软雅黑"/>
          <w:kern w:val="2"/>
        </w:rPr>
        <w:t>讲</w:t>
      </w:r>
      <w:r>
        <w:rPr>
          <w:rFonts w:hint="eastAsia" w:ascii="微软雅黑" w:hAnsi="微软雅黑" w:eastAsia="微软雅黑" w:cs="微软雅黑"/>
          <w:kern w:val="2"/>
          <w:lang w:eastAsia="zh-CN"/>
        </w:rPr>
        <w:t>（</w:t>
      </w:r>
      <w:r>
        <w:rPr>
          <w:rFonts w:hint="eastAsia" w:ascii="微软雅黑" w:hAnsi="微软雅黑" w:eastAsia="微软雅黑" w:cs="微软雅黑"/>
          <w:kern w:val="2"/>
          <w:lang w:val="en-US" w:eastAsia="zh-CN"/>
        </w:rPr>
        <w:t>其中专业讲座不少于2讲</w:t>
      </w:r>
      <w:r>
        <w:rPr>
          <w:rFonts w:hint="eastAsia" w:ascii="微软雅黑" w:hAnsi="微软雅黑" w:eastAsia="微软雅黑" w:cs="微软雅黑"/>
          <w:kern w:val="2"/>
          <w:lang w:eastAsia="zh-CN"/>
        </w:rPr>
        <w:t>）</w:t>
      </w:r>
      <w:r>
        <w:rPr>
          <w:rFonts w:hint="eastAsia" w:ascii="微软雅黑" w:hAnsi="微软雅黑" w:eastAsia="微软雅黑" w:cs="微软雅黑"/>
          <w:kern w:val="2"/>
        </w:rPr>
        <w:t>，现场教学不少于</w:t>
      </w:r>
      <w:r>
        <w:rPr>
          <w:rFonts w:hint="eastAsia" w:ascii="微软雅黑" w:hAnsi="微软雅黑" w:eastAsia="微软雅黑" w:cs="微软雅黑"/>
          <w:kern w:val="2"/>
          <w:lang w:val="en-US" w:eastAsia="zh-CN"/>
        </w:rPr>
        <w:t>5</w:t>
      </w:r>
      <w:r>
        <w:rPr>
          <w:rFonts w:hint="eastAsia" w:ascii="微软雅黑" w:hAnsi="微软雅黑" w:eastAsia="微软雅黑" w:cs="微软雅黑"/>
          <w:kern w:val="2"/>
        </w:rPr>
        <w:t>次（不少于2次党性教育，以及参观上海改革发展的变化），其中必须参观宝山区乡村振兴示范点</w:t>
      </w:r>
      <w:r>
        <w:rPr>
          <w:rFonts w:hint="eastAsia" w:ascii="微软雅黑" w:hAnsi="微软雅黑" w:eastAsia="微软雅黑" w:cs="微软雅黑"/>
          <w:kern w:val="2"/>
          <w:lang w:val="en-US" w:eastAsia="zh-CN"/>
        </w:rPr>
        <w:t>及</w:t>
      </w:r>
      <w:r>
        <w:rPr>
          <w:rFonts w:hint="eastAsia" w:ascii="微软雅黑" w:hAnsi="微软雅黑" w:eastAsia="微软雅黑" w:cs="微软雅黑"/>
          <w:kern w:val="2"/>
        </w:rPr>
        <w:t>宝山发展亮点，现场教学需要配备专业人员的讲解。</w:t>
      </w:r>
    </w:p>
    <w:p>
      <w:pPr>
        <w:pStyle w:val="93"/>
        <w:numPr>
          <w:ilvl w:val="0"/>
          <w:numId w:val="6"/>
        </w:numPr>
        <w:ind w:firstLineChars="0"/>
        <w:rPr>
          <w:rFonts w:ascii="微软雅黑" w:hAnsi="微软雅黑" w:eastAsia="微软雅黑" w:cs="微软雅黑"/>
          <w:kern w:val="2"/>
        </w:rPr>
      </w:pPr>
      <w:r>
        <w:rPr>
          <w:rFonts w:hint="eastAsia" w:ascii="微软雅黑" w:hAnsi="微软雅黑" w:eastAsia="微软雅黑" w:cs="微软雅黑"/>
          <w:kern w:val="2"/>
          <w:lang w:eastAsia="zh-CN"/>
        </w:rPr>
        <w:t>交流活动</w:t>
      </w:r>
      <w:r>
        <w:rPr>
          <w:rFonts w:hint="eastAsia" w:ascii="微软雅黑" w:hAnsi="微软雅黑" w:eastAsia="微软雅黑" w:cs="微软雅黑"/>
          <w:kern w:val="2"/>
        </w:rPr>
        <w:t>要求</w:t>
      </w:r>
    </w:p>
    <w:p>
      <w:pPr>
        <w:ind w:left="360" w:firstLine="480" w:firstLineChars="20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投标单位必须具有承办此类交流活动的丰富经验，确保交流活动目的的完成。</w:t>
      </w:r>
      <w:r>
        <w:rPr>
          <w:rFonts w:hint="eastAsia" w:ascii="微软雅黑" w:hAnsi="微软雅黑" w:eastAsia="微软雅黑" w:cs="微软雅黑"/>
          <w:sz w:val="24"/>
        </w:rPr>
        <w:t>考虑到宝山区对口支援“三交”工作要求，</w:t>
      </w:r>
      <w:r>
        <w:rPr>
          <w:rFonts w:hint="eastAsia" w:ascii="微软雅黑" w:hAnsi="微软雅黑" w:eastAsia="微软雅黑" w:cs="微软雅黑"/>
          <w:sz w:val="24"/>
          <w:lang w:eastAsia="zh-CN"/>
        </w:rPr>
        <w:t>交流活动</w:t>
      </w:r>
      <w:r>
        <w:rPr>
          <w:rFonts w:hint="eastAsia" w:ascii="微软雅黑" w:hAnsi="微软雅黑" w:eastAsia="微软雅黑" w:cs="微软雅黑"/>
          <w:sz w:val="24"/>
        </w:rPr>
        <w:t>重要节点</w:t>
      </w:r>
      <w:r>
        <w:rPr>
          <w:rFonts w:hint="eastAsia" w:ascii="微软雅黑" w:hAnsi="微软雅黑" w:eastAsia="微软雅黑" w:cs="微软雅黑"/>
          <w:sz w:val="24"/>
          <w:lang w:val="en-US" w:eastAsia="zh-CN"/>
        </w:rPr>
        <w:t>必须</w:t>
      </w:r>
      <w:r>
        <w:rPr>
          <w:rFonts w:hint="eastAsia" w:ascii="微软雅黑" w:hAnsi="微软雅黑" w:eastAsia="微软雅黑" w:cs="微软雅黑"/>
          <w:sz w:val="24"/>
        </w:rPr>
        <w:t>邀请宝山区合作交流办公室相关领导</w:t>
      </w:r>
      <w:r>
        <w:rPr>
          <w:rFonts w:hint="eastAsia" w:ascii="微软雅黑" w:hAnsi="微软雅黑" w:eastAsia="微软雅黑" w:cs="微软雅黑"/>
          <w:sz w:val="24"/>
          <w:lang w:val="en-US" w:eastAsia="zh-CN"/>
        </w:rPr>
        <w:t>确保</w:t>
      </w:r>
      <w:r>
        <w:rPr>
          <w:rFonts w:hint="eastAsia" w:ascii="微软雅黑" w:hAnsi="微软雅黑" w:eastAsia="微软雅黑" w:cs="微软雅黑"/>
          <w:sz w:val="24"/>
        </w:rPr>
        <w:t>出席，同时结业证书须由上海市宝山区合作交流办公室颁发。</w:t>
      </w:r>
    </w:p>
    <w:p>
      <w:pPr>
        <w:pStyle w:val="93"/>
        <w:numPr>
          <w:ilvl w:val="0"/>
          <w:numId w:val="6"/>
        </w:numPr>
        <w:ind w:firstLineChars="0"/>
        <w:rPr>
          <w:rFonts w:ascii="微软雅黑" w:hAnsi="微软雅黑" w:eastAsia="微软雅黑" w:cs="微软雅黑"/>
          <w:kern w:val="2"/>
        </w:rPr>
      </w:pPr>
      <w:r>
        <w:rPr>
          <w:rFonts w:hint="eastAsia" w:ascii="微软雅黑" w:hAnsi="微软雅黑" w:eastAsia="微软雅黑" w:cs="微软雅黑"/>
          <w:kern w:val="2"/>
        </w:rPr>
        <w:t>安全保障</w:t>
      </w:r>
    </w:p>
    <w:p>
      <w:pPr>
        <w:pStyle w:val="93"/>
        <w:ind w:left="360" w:firstLine="480" w:firstLineChars="200"/>
        <w:rPr>
          <w:rFonts w:ascii="微软雅黑" w:hAnsi="微软雅黑" w:eastAsia="微软雅黑" w:cs="微软雅黑"/>
          <w:kern w:val="2"/>
        </w:rPr>
      </w:pPr>
      <w:r>
        <w:rPr>
          <w:rFonts w:hint="eastAsia" w:ascii="微软雅黑" w:hAnsi="微软雅黑" w:eastAsia="微软雅黑" w:cs="微软雅黑"/>
          <w:kern w:val="2"/>
        </w:rPr>
        <w:t>需与配合本次招标需求方根据相关规定必须填报的相关信息，如</w:t>
      </w:r>
      <w:r>
        <w:rPr>
          <w:rFonts w:hint="eastAsia" w:ascii="微软雅黑" w:hAnsi="微软雅黑" w:eastAsia="微软雅黑" w:cs="微软雅黑"/>
          <w:kern w:val="2"/>
          <w:lang w:val="en-US" w:eastAsia="zh-CN"/>
        </w:rPr>
        <w:t>报备</w:t>
      </w:r>
      <w:r>
        <w:rPr>
          <w:rFonts w:hint="eastAsia" w:ascii="微软雅黑" w:hAnsi="微软雅黑" w:eastAsia="微软雅黑" w:cs="微软雅黑"/>
          <w:kern w:val="2"/>
          <w:lang w:eastAsia="zh-CN"/>
        </w:rPr>
        <w:t>交流活动</w:t>
      </w:r>
      <w:r>
        <w:rPr>
          <w:rFonts w:hint="eastAsia" w:ascii="微软雅黑" w:hAnsi="微软雅黑" w:eastAsia="微软雅黑" w:cs="微软雅黑"/>
          <w:kern w:val="2"/>
        </w:rPr>
        <w:t>所在地的相关派出所</w:t>
      </w:r>
      <w:r>
        <w:rPr>
          <w:rFonts w:hint="eastAsia" w:ascii="微软雅黑" w:hAnsi="微软雅黑" w:eastAsia="微软雅黑" w:cs="微软雅黑"/>
          <w:kern w:val="2"/>
          <w:lang w:eastAsia="zh-CN"/>
        </w:rPr>
        <w:t>，</w:t>
      </w:r>
      <w:r>
        <w:rPr>
          <w:rFonts w:hint="eastAsia" w:ascii="微软雅黑" w:hAnsi="微软雅黑" w:eastAsia="微软雅黑" w:cs="微软雅黑"/>
          <w:kern w:val="2"/>
          <w:lang w:val="en-US" w:eastAsia="zh-CN"/>
        </w:rPr>
        <w:t>同时交流活动期间有相关应急预案，以便处理突发状况</w:t>
      </w:r>
      <w:r>
        <w:rPr>
          <w:rFonts w:hint="eastAsia" w:ascii="微软雅黑" w:hAnsi="微软雅黑" w:eastAsia="微软雅黑" w:cs="微软雅黑"/>
          <w:kern w:val="2"/>
        </w:rPr>
        <w:t>。</w:t>
      </w:r>
    </w:p>
    <w:p>
      <w:pPr>
        <w:pStyle w:val="93"/>
        <w:numPr>
          <w:ilvl w:val="0"/>
          <w:numId w:val="6"/>
        </w:numPr>
        <w:ind w:firstLineChars="0"/>
        <w:rPr>
          <w:rFonts w:ascii="微软雅黑" w:hAnsi="微软雅黑" w:eastAsia="微软雅黑" w:cs="微软雅黑"/>
          <w:kern w:val="2"/>
        </w:rPr>
      </w:pPr>
      <w:r>
        <w:rPr>
          <w:rFonts w:hint="eastAsia" w:ascii="微软雅黑" w:hAnsi="微软雅黑" w:eastAsia="微软雅黑" w:cs="微软雅黑"/>
          <w:kern w:val="2"/>
        </w:rPr>
        <w:t>后勤保障</w:t>
      </w:r>
    </w:p>
    <w:p>
      <w:pPr>
        <w:ind w:left="420" w:leftChars="200"/>
        <w:rPr>
          <w:rFonts w:ascii="微软雅黑" w:hAnsi="微软雅黑" w:eastAsia="微软雅黑" w:cs="微软雅黑"/>
          <w:sz w:val="24"/>
        </w:rPr>
      </w:pPr>
      <w:r>
        <w:rPr>
          <w:rFonts w:hint="eastAsia" w:ascii="微软雅黑" w:hAnsi="微软雅黑" w:eastAsia="微软雅黑" w:cs="微软雅黑"/>
          <w:sz w:val="24"/>
        </w:rPr>
        <w:t>4.1需派遣至少1名专职的人员24小时为来沪</w:t>
      </w:r>
      <w:r>
        <w:rPr>
          <w:rFonts w:hint="eastAsia" w:ascii="微软雅黑" w:hAnsi="微软雅黑" w:eastAsia="微软雅黑" w:cs="微软雅黑"/>
          <w:sz w:val="24"/>
          <w:lang w:eastAsia="zh-CN"/>
        </w:rPr>
        <w:t>交流活动</w:t>
      </w:r>
      <w:r>
        <w:rPr>
          <w:rFonts w:hint="eastAsia" w:ascii="微软雅黑" w:hAnsi="微软雅黑" w:eastAsia="微软雅黑" w:cs="微软雅黑"/>
          <w:sz w:val="24"/>
        </w:rPr>
        <w:t>的人员提供管家式服务，保障</w:t>
      </w:r>
      <w:r>
        <w:rPr>
          <w:rFonts w:hint="eastAsia" w:ascii="微软雅黑" w:hAnsi="微软雅黑" w:eastAsia="微软雅黑" w:cs="微软雅黑"/>
          <w:sz w:val="24"/>
          <w:lang w:eastAsia="zh-CN"/>
        </w:rPr>
        <w:t>交流活动</w:t>
      </w:r>
      <w:r>
        <w:rPr>
          <w:rFonts w:hint="eastAsia" w:ascii="微软雅黑" w:hAnsi="微软雅黑" w:eastAsia="微软雅黑" w:cs="微软雅黑"/>
          <w:sz w:val="24"/>
        </w:rPr>
        <w:t>的运转顺畅</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做到“同吃、同住、同学习”，记录交流活动期间的点点滴滴</w:t>
      </w:r>
      <w:r>
        <w:rPr>
          <w:rFonts w:hint="eastAsia" w:ascii="微软雅黑" w:hAnsi="微软雅黑" w:eastAsia="微软雅黑" w:cs="微软雅黑"/>
          <w:sz w:val="24"/>
        </w:rPr>
        <w:t>。</w:t>
      </w:r>
    </w:p>
    <w:p>
      <w:pPr>
        <w:ind w:left="360" w:firstLine="120" w:firstLineChars="50"/>
        <w:rPr>
          <w:rFonts w:hint="eastAsia" w:ascii="微软雅黑" w:hAnsi="微软雅黑" w:eastAsia="微软雅黑" w:cs="微软雅黑"/>
          <w:sz w:val="24"/>
        </w:rPr>
      </w:pPr>
      <w:r>
        <w:rPr>
          <w:rFonts w:hint="eastAsia" w:ascii="微软雅黑" w:hAnsi="微软雅黑" w:eastAsia="微软雅黑" w:cs="微软雅黑"/>
          <w:sz w:val="24"/>
        </w:rPr>
        <w:t>4.2车辆：</w:t>
      </w:r>
      <w:r>
        <w:rPr>
          <w:rFonts w:hint="eastAsia" w:ascii="微软雅黑" w:hAnsi="微软雅黑" w:eastAsia="微软雅黑" w:cs="微软雅黑"/>
          <w:sz w:val="24"/>
          <w:lang w:eastAsia="zh-CN"/>
        </w:rPr>
        <w:t>交流活动</w:t>
      </w:r>
      <w:r>
        <w:rPr>
          <w:rFonts w:hint="eastAsia" w:ascii="微软雅黑" w:hAnsi="微软雅黑" w:eastAsia="微软雅黑" w:cs="微软雅黑"/>
          <w:sz w:val="24"/>
        </w:rPr>
        <w:t>期间的现场教学以及参观考察涉及到用车，车辆所属公司必须是上海且需要正规的资质，以及车辆保险。</w:t>
      </w:r>
    </w:p>
    <w:p>
      <w:pPr>
        <w:pStyle w:val="33"/>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4.3 根据防疫要求，做好充分准备，落实相关细节。</w:t>
      </w:r>
    </w:p>
    <w:p>
      <w:pPr>
        <w:pStyle w:val="93"/>
        <w:numPr>
          <w:ilvl w:val="0"/>
          <w:numId w:val="6"/>
        </w:numPr>
        <w:ind w:firstLineChars="0"/>
        <w:rPr>
          <w:rFonts w:ascii="微软雅黑" w:hAnsi="微软雅黑" w:eastAsia="微软雅黑" w:cs="微软雅黑"/>
          <w:kern w:val="2"/>
        </w:rPr>
      </w:pPr>
      <w:r>
        <w:rPr>
          <w:rFonts w:hint="eastAsia" w:ascii="微软雅黑" w:hAnsi="微软雅黑" w:eastAsia="微软雅黑" w:cs="微软雅黑"/>
          <w:kern w:val="2"/>
        </w:rPr>
        <w:t>用餐</w:t>
      </w:r>
    </w:p>
    <w:p>
      <w:pPr>
        <w:pStyle w:val="93"/>
        <w:ind w:left="360" w:firstLine="480" w:firstLineChars="200"/>
        <w:rPr>
          <w:rFonts w:ascii="微软雅黑" w:hAnsi="微软雅黑" w:eastAsia="微软雅黑" w:cs="微软雅黑"/>
          <w:kern w:val="2"/>
        </w:rPr>
      </w:pPr>
      <w:r>
        <w:rPr>
          <w:rFonts w:hint="eastAsia" w:ascii="微软雅黑" w:hAnsi="微软雅黑" w:eastAsia="微软雅黑" w:cs="微软雅黑"/>
          <w:kern w:val="2"/>
        </w:rPr>
        <w:t>根据</w:t>
      </w:r>
      <w:r>
        <w:rPr>
          <w:rFonts w:hint="eastAsia" w:ascii="微软雅黑" w:hAnsi="微软雅黑" w:eastAsia="微软雅黑" w:cs="微软雅黑"/>
          <w:kern w:val="2"/>
          <w:lang w:eastAsia="zh-CN"/>
        </w:rPr>
        <w:t>交流活动</w:t>
      </w:r>
      <w:r>
        <w:rPr>
          <w:rFonts w:hint="eastAsia" w:ascii="微软雅黑" w:hAnsi="微软雅黑" w:eastAsia="微软雅黑" w:cs="微软雅黑"/>
          <w:kern w:val="2"/>
        </w:rPr>
        <w:t>需求，</w:t>
      </w:r>
      <w:r>
        <w:rPr>
          <w:rFonts w:hint="eastAsia" w:ascii="微软雅黑" w:hAnsi="微软雅黑" w:eastAsia="微软雅黑" w:cs="微软雅黑"/>
          <w:kern w:val="2"/>
          <w:lang w:val="en-US" w:eastAsia="zh-CN"/>
        </w:rPr>
        <w:t>制定标准餐标</w:t>
      </w:r>
      <w:r>
        <w:rPr>
          <w:rFonts w:hint="eastAsia" w:ascii="微软雅黑" w:hAnsi="微软雅黑" w:eastAsia="微软雅黑" w:cs="微软雅黑"/>
          <w:kern w:val="2"/>
        </w:rPr>
        <w:t>。</w:t>
      </w:r>
    </w:p>
    <w:p>
      <w:pPr>
        <w:pStyle w:val="93"/>
        <w:numPr>
          <w:ilvl w:val="0"/>
          <w:numId w:val="6"/>
        </w:numPr>
        <w:ind w:firstLineChars="0"/>
        <w:rPr>
          <w:rFonts w:ascii="微软雅黑" w:hAnsi="微软雅黑" w:eastAsia="微软雅黑" w:cs="微软雅黑"/>
          <w:kern w:val="2"/>
        </w:rPr>
      </w:pPr>
      <w:r>
        <w:rPr>
          <w:rFonts w:hint="eastAsia" w:ascii="微软雅黑" w:hAnsi="微软雅黑" w:eastAsia="微软雅黑" w:cs="微软雅黑"/>
          <w:kern w:val="2"/>
        </w:rPr>
        <w:t>住宿要求</w:t>
      </w:r>
    </w:p>
    <w:p>
      <w:pPr>
        <w:pStyle w:val="93"/>
        <w:ind w:left="360" w:firstLine="480" w:firstLineChars="200"/>
        <w:rPr>
          <w:rFonts w:hint="eastAsia" w:ascii="微软雅黑" w:hAnsi="微软雅黑" w:eastAsia="微软雅黑" w:cs="微软雅黑"/>
          <w:kern w:val="2"/>
          <w:lang w:eastAsia="zh-CN"/>
        </w:rPr>
      </w:pPr>
      <w:r>
        <w:rPr>
          <w:rFonts w:hint="eastAsia" w:ascii="微软雅黑" w:hAnsi="微软雅黑" w:eastAsia="微软雅黑" w:cs="微软雅黑"/>
          <w:kern w:val="2"/>
        </w:rPr>
        <w:t>提供</w:t>
      </w:r>
      <w:r>
        <w:rPr>
          <w:rFonts w:hint="eastAsia" w:ascii="微软雅黑" w:hAnsi="微软雅黑" w:eastAsia="微软雅黑" w:cs="微软雅黑"/>
          <w:kern w:val="2"/>
          <w:lang w:val="en-US" w:eastAsia="zh-CN"/>
        </w:rPr>
        <w:t>至少1</w:t>
      </w:r>
      <w:r>
        <w:rPr>
          <w:rFonts w:hint="eastAsia" w:ascii="微软雅黑" w:hAnsi="微软雅黑" w:eastAsia="微软雅黑" w:cs="微软雅黑"/>
          <w:kern w:val="2"/>
        </w:rPr>
        <w:t>家</w:t>
      </w:r>
      <w:r>
        <w:rPr>
          <w:rFonts w:ascii="微软雅黑" w:hAnsi="微软雅黑" w:eastAsia="微软雅黑" w:cs="微软雅黑"/>
          <w:kern w:val="2"/>
        </w:rPr>
        <w:t>3</w:t>
      </w:r>
      <w:r>
        <w:rPr>
          <w:rFonts w:hint="eastAsia" w:ascii="微软雅黑" w:hAnsi="微软雅黑" w:eastAsia="微软雅黑" w:cs="微软雅黑"/>
          <w:kern w:val="2"/>
        </w:rPr>
        <w:t>星标准</w:t>
      </w:r>
      <w:r>
        <w:rPr>
          <w:rFonts w:hint="eastAsia" w:ascii="微软雅黑" w:hAnsi="微软雅黑" w:eastAsia="微软雅黑" w:cs="微软雅黑"/>
          <w:kern w:val="2"/>
          <w:lang w:val="en-US" w:eastAsia="zh-CN"/>
        </w:rPr>
        <w:t>或以上</w:t>
      </w:r>
      <w:r>
        <w:rPr>
          <w:rFonts w:hint="eastAsia" w:ascii="微软雅黑" w:hAnsi="微软雅黑" w:eastAsia="微软雅黑" w:cs="微软雅黑"/>
          <w:kern w:val="2"/>
        </w:rPr>
        <w:t>的</w:t>
      </w:r>
      <w:r>
        <w:rPr>
          <w:rFonts w:hint="eastAsia" w:ascii="微软雅黑" w:hAnsi="微软雅黑" w:eastAsia="微软雅黑" w:cs="微软雅黑"/>
          <w:kern w:val="2"/>
          <w:lang w:val="en-US" w:eastAsia="zh-CN"/>
        </w:rPr>
        <w:t>上海市宝山区的酒店</w:t>
      </w:r>
      <w:r>
        <w:rPr>
          <w:rFonts w:hint="eastAsia" w:ascii="微软雅黑" w:hAnsi="微软雅黑" w:eastAsia="微软雅黑" w:cs="微软雅黑"/>
          <w:kern w:val="2"/>
          <w:lang w:eastAsia="zh-CN"/>
        </w:rPr>
        <w:t>，</w:t>
      </w:r>
      <w:r>
        <w:rPr>
          <w:rFonts w:hint="eastAsia" w:ascii="微软雅黑" w:hAnsi="微软雅黑" w:eastAsia="微软雅黑"/>
          <w:sz w:val="24"/>
        </w:rPr>
        <w:t>所提供住宿</w:t>
      </w:r>
      <w:r>
        <w:rPr>
          <w:rFonts w:hint="eastAsia" w:ascii="微软雅黑" w:hAnsi="微软雅黑" w:eastAsia="微软雅黑"/>
          <w:sz w:val="24"/>
          <w:lang w:val="en-US" w:eastAsia="zh-CN"/>
        </w:rPr>
        <w:t>场所具有相关交流活动接待的经验，以及</w:t>
      </w:r>
      <w:r>
        <w:rPr>
          <w:rFonts w:hint="eastAsia" w:ascii="微软雅黑" w:hAnsi="微软雅黑" w:eastAsia="微软雅黑"/>
          <w:sz w:val="24"/>
        </w:rPr>
        <w:t>距离宝山区人民政府1</w:t>
      </w:r>
      <w:r>
        <w:rPr>
          <w:rFonts w:ascii="微软雅黑" w:hAnsi="微软雅黑" w:eastAsia="微软雅黑"/>
          <w:sz w:val="24"/>
        </w:rPr>
        <w:t>0</w:t>
      </w:r>
      <w:r>
        <w:rPr>
          <w:rFonts w:hint="eastAsia" w:ascii="微软雅黑" w:hAnsi="微软雅黑" w:eastAsia="微软雅黑"/>
          <w:sz w:val="24"/>
        </w:rPr>
        <w:t>公里以内，</w:t>
      </w:r>
      <w:r>
        <w:rPr>
          <w:rFonts w:hint="eastAsia" w:ascii="仿宋" w:hAnsi="仿宋" w:eastAsia="仿宋" w:cs="仿宋"/>
          <w:b/>
          <w:bCs/>
          <w:color w:val="auto"/>
          <w:sz w:val="24"/>
          <w:szCs w:val="24"/>
          <w:lang w:val="en-US" w:eastAsia="zh-CN"/>
        </w:rPr>
        <w:t>且必须</w:t>
      </w:r>
      <w:r>
        <w:rPr>
          <w:rFonts w:hint="eastAsia" w:ascii="微软雅黑" w:hAnsi="微软雅黑" w:eastAsia="微软雅黑" w:cs="Times New Roman"/>
          <w:sz w:val="24"/>
          <w:lang w:val="en-US" w:eastAsia="zh-CN"/>
        </w:rPr>
        <w:t>是宝山区党政机关会议定点场所</w:t>
      </w:r>
      <w:r>
        <w:rPr>
          <w:rFonts w:hint="eastAsia" w:ascii="微软雅黑" w:hAnsi="微软雅黑" w:eastAsia="微软雅黑" w:cs="Times New Roman"/>
          <w:sz w:val="24"/>
          <w:lang w:eastAsia="zh-CN"/>
        </w:rPr>
        <w:t>。</w:t>
      </w:r>
    </w:p>
    <w:p>
      <w:pPr>
        <w:pStyle w:val="93"/>
        <w:numPr>
          <w:ilvl w:val="0"/>
          <w:numId w:val="6"/>
        </w:numPr>
        <w:ind w:firstLineChars="0"/>
        <w:rPr>
          <w:rFonts w:ascii="微软雅黑" w:hAnsi="微软雅黑" w:eastAsia="微软雅黑" w:cs="微软雅黑"/>
          <w:kern w:val="2"/>
        </w:rPr>
      </w:pPr>
      <w:r>
        <w:rPr>
          <w:rFonts w:hint="eastAsia" w:ascii="微软雅黑" w:hAnsi="微软雅黑" w:eastAsia="微软雅黑" w:cs="微软雅黑"/>
          <w:kern w:val="2"/>
        </w:rPr>
        <w:t>完成时间</w:t>
      </w:r>
    </w:p>
    <w:p>
      <w:pPr>
        <w:pStyle w:val="93"/>
        <w:ind w:left="360" w:firstLine="480" w:firstLineChars="200"/>
        <w:rPr>
          <w:rFonts w:ascii="微软雅黑" w:hAnsi="微软雅黑" w:eastAsia="微软雅黑" w:cs="微软雅黑"/>
          <w:kern w:val="2"/>
        </w:rPr>
      </w:pPr>
      <w:r>
        <w:rPr>
          <w:rFonts w:hint="eastAsia" w:ascii="微软雅黑" w:hAnsi="微软雅黑" w:eastAsia="微软雅黑" w:cs="微软雅黑"/>
          <w:kern w:val="2"/>
          <w:lang w:val="en-US" w:eastAsia="zh-CN"/>
        </w:rPr>
        <w:t>按照要求的时间节点，完成整个交流活动工作</w:t>
      </w:r>
      <w:r>
        <w:rPr>
          <w:rFonts w:hint="eastAsia" w:ascii="微软雅黑" w:hAnsi="微软雅黑" w:eastAsia="微软雅黑" w:cs="微软雅黑"/>
          <w:kern w:val="2"/>
        </w:rPr>
        <w:t>。</w:t>
      </w:r>
    </w:p>
    <w:p>
      <w:pPr>
        <w:numPr>
          <w:ilvl w:val="0"/>
          <w:numId w:val="6"/>
        </w:numPr>
        <w:ind w:left="360" w:leftChars="0" w:hanging="360" w:firstLineChars="0"/>
        <w:rPr>
          <w:rFonts w:hint="eastAsia" w:ascii="微软雅黑" w:hAnsi="微软雅黑" w:eastAsia="微软雅黑" w:cs="微软雅黑"/>
          <w:sz w:val="24"/>
        </w:rPr>
      </w:pPr>
      <w:r>
        <w:rPr>
          <w:rFonts w:hint="eastAsia" w:ascii="微软雅黑" w:hAnsi="微软雅黑" w:eastAsia="微软雅黑" w:cs="微软雅黑"/>
          <w:sz w:val="24"/>
        </w:rPr>
        <w:t>所有活动全程必须制作完整的影像画册</w:t>
      </w:r>
      <w:r>
        <w:rPr>
          <w:rFonts w:hint="eastAsia" w:ascii="微软雅黑" w:hAnsi="微软雅黑" w:eastAsia="微软雅黑" w:cs="微软雅黑"/>
          <w:sz w:val="24"/>
          <w:lang w:val="en-US" w:eastAsia="zh-CN"/>
        </w:rPr>
        <w:t>或</w:t>
      </w:r>
      <w:r>
        <w:rPr>
          <w:rFonts w:hint="eastAsia" w:ascii="微软雅黑" w:hAnsi="微软雅黑" w:eastAsia="微软雅黑" w:cs="微软雅黑"/>
          <w:sz w:val="24"/>
        </w:rPr>
        <w:t>音视频资料</w:t>
      </w:r>
      <w:r>
        <w:rPr>
          <w:rFonts w:hint="eastAsia" w:ascii="微软雅黑" w:hAnsi="微软雅黑" w:eastAsia="微软雅黑" w:cs="微软雅黑"/>
          <w:sz w:val="24"/>
          <w:lang w:val="en-US" w:eastAsia="zh-CN"/>
        </w:rPr>
        <w:t>等</w:t>
      </w:r>
      <w:r>
        <w:rPr>
          <w:rFonts w:hint="eastAsia" w:ascii="微软雅黑" w:hAnsi="微软雅黑" w:eastAsia="微软雅黑" w:cs="微软雅黑"/>
          <w:sz w:val="24"/>
        </w:rPr>
        <w:t>。</w:t>
      </w:r>
    </w:p>
    <w:p>
      <w:pPr>
        <w:numPr>
          <w:ilvl w:val="0"/>
          <w:numId w:val="6"/>
        </w:numPr>
        <w:ind w:left="360" w:leftChars="0" w:hanging="360" w:firstLineChars="0"/>
        <w:rPr>
          <w:rFonts w:hint="eastAsia" w:ascii="微软雅黑" w:hAnsi="微软雅黑" w:eastAsia="微软雅黑" w:cs="微软雅黑"/>
          <w:sz w:val="24"/>
        </w:rPr>
      </w:pPr>
      <w:r>
        <w:rPr>
          <w:rFonts w:hint="eastAsia" w:ascii="微软雅黑" w:hAnsi="微软雅黑" w:eastAsia="微软雅黑" w:cs="微软雅黑"/>
          <w:sz w:val="24"/>
          <w:lang w:val="en-US" w:eastAsia="zh-CN"/>
        </w:rPr>
        <w:t>负责安排并承担往返交通、食宿、培训费用。</w:t>
      </w:r>
    </w:p>
    <w:p>
      <w:pPr>
        <w:pStyle w:val="93"/>
        <w:keepNext w:val="0"/>
        <w:keepLines w:val="0"/>
        <w:pageBreakBefore w:val="0"/>
        <w:numPr>
          <w:ilvl w:val="0"/>
          <w:numId w:val="0"/>
        </w:numPr>
        <w:kinsoku/>
        <w:wordWrap/>
        <w:overflowPunct/>
        <w:topLinePunct w:val="0"/>
        <w:autoSpaceDE/>
        <w:autoSpaceDN/>
        <w:bidi w:val="0"/>
        <w:adjustRightInd/>
        <w:spacing w:line="500" w:lineRule="exact"/>
        <w:ind w:leftChars="0"/>
        <w:jc w:val="left"/>
        <w:textAlignment w:val="auto"/>
        <w:outlineLvl w:val="1"/>
        <w:rPr>
          <w:rFonts w:hint="default" w:ascii="微软雅黑" w:hAnsi="微软雅黑" w:eastAsia="微软雅黑" w:cs="微软雅黑"/>
          <w:b w:val="0"/>
          <w:bCs w:val="0"/>
          <w:sz w:val="32"/>
          <w:szCs w:val="32"/>
          <w:lang w:val="en-US" w:eastAsia="zh-CN"/>
        </w:rPr>
      </w:pPr>
      <w:bookmarkStart w:id="484" w:name="_Toc31450"/>
      <w:bookmarkStart w:id="485" w:name="_Toc6716"/>
      <w:bookmarkStart w:id="486" w:name="_Toc6313"/>
      <w:bookmarkStart w:id="487" w:name="_Toc15701"/>
      <w:r>
        <w:rPr>
          <w:rFonts w:hint="eastAsia" w:ascii="微软雅黑" w:hAnsi="微软雅黑" w:eastAsia="微软雅黑" w:cs="微软雅黑"/>
          <w:b w:val="0"/>
          <w:bCs w:val="0"/>
          <w:sz w:val="32"/>
          <w:szCs w:val="32"/>
          <w:lang w:val="en-US" w:eastAsia="zh-CN"/>
        </w:rPr>
        <w:t>二、项目要求：</w:t>
      </w:r>
      <w:bookmarkEnd w:id="484"/>
      <w:bookmarkEnd w:id="485"/>
      <w:bookmarkEnd w:id="486"/>
      <w:bookmarkEnd w:id="487"/>
    </w:p>
    <w:p>
      <w:pPr>
        <w:pStyle w:val="24"/>
        <w:keepNext w:val="0"/>
        <w:keepLines w:val="0"/>
        <w:pageBreakBefore w:val="0"/>
        <w:numPr>
          <w:ilvl w:val="0"/>
          <w:numId w:val="0"/>
        </w:numPr>
        <w:kinsoku/>
        <w:wordWrap/>
        <w:overflowPunct/>
        <w:topLinePunct w:val="0"/>
        <w:autoSpaceDE/>
        <w:autoSpaceDN/>
        <w:bidi w:val="0"/>
        <w:adjustRightInd/>
        <w:spacing w:line="500" w:lineRule="exact"/>
        <w:ind w:firstLine="240" w:firstLineChars="100"/>
        <w:textAlignment w:val="auto"/>
        <w:rPr>
          <w:rFonts w:hint="default"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w:t>
      </w:r>
      <w:r>
        <w:rPr>
          <w:rFonts w:hint="default" w:ascii="微软雅黑" w:hAnsi="微软雅黑" w:eastAsia="微软雅黑" w:cs="微软雅黑"/>
          <w:b w:val="0"/>
          <w:bCs w:val="0"/>
          <w:color w:val="auto"/>
          <w:kern w:val="2"/>
          <w:sz w:val="24"/>
          <w:szCs w:val="24"/>
          <w:highlight w:val="none"/>
          <w:lang w:val="en-US" w:eastAsia="zh-CN" w:bidi="ar-SA"/>
        </w:rPr>
        <w:t>服务期：</w:t>
      </w:r>
      <w:r>
        <w:rPr>
          <w:rFonts w:hint="eastAsia" w:ascii="微软雅黑" w:hAnsi="微软雅黑" w:eastAsia="微软雅黑" w:cs="微软雅黑"/>
          <w:b w:val="0"/>
          <w:bCs w:val="0"/>
          <w:color w:val="auto"/>
          <w:kern w:val="2"/>
          <w:sz w:val="24"/>
          <w:szCs w:val="24"/>
          <w:highlight w:val="none"/>
          <w:lang w:val="en-US" w:eastAsia="zh-CN" w:bidi="ar-SA"/>
        </w:rPr>
        <w:t>一年</w:t>
      </w:r>
      <w:r>
        <w:rPr>
          <w:rFonts w:hint="default" w:ascii="微软雅黑" w:hAnsi="微软雅黑" w:eastAsia="微软雅黑" w:cs="微软雅黑"/>
          <w:b w:val="0"/>
          <w:bCs w:val="0"/>
          <w:color w:val="auto"/>
          <w:kern w:val="2"/>
          <w:sz w:val="24"/>
          <w:szCs w:val="24"/>
          <w:highlight w:val="none"/>
          <w:lang w:val="en-US" w:eastAsia="zh-CN" w:bidi="ar-SA"/>
        </w:rPr>
        <w:t>。</w:t>
      </w:r>
    </w:p>
    <w:p>
      <w:pPr>
        <w:pStyle w:val="24"/>
        <w:keepNext w:val="0"/>
        <w:keepLines w:val="0"/>
        <w:pageBreakBefore w:val="0"/>
        <w:numPr>
          <w:ilvl w:val="0"/>
          <w:numId w:val="0"/>
        </w:numPr>
        <w:kinsoku/>
        <w:wordWrap/>
        <w:overflowPunct/>
        <w:topLinePunct w:val="0"/>
        <w:autoSpaceDE/>
        <w:autoSpaceDN/>
        <w:bidi w:val="0"/>
        <w:adjustRightInd/>
        <w:spacing w:line="500" w:lineRule="exact"/>
        <w:ind w:firstLine="240" w:firstLineChars="1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w:t>
      </w:r>
      <w:r>
        <w:rPr>
          <w:rFonts w:hint="default" w:ascii="微软雅黑" w:hAnsi="微软雅黑" w:eastAsia="微软雅黑" w:cs="微软雅黑"/>
          <w:b w:val="0"/>
          <w:bCs w:val="0"/>
          <w:color w:val="auto"/>
          <w:kern w:val="2"/>
          <w:sz w:val="24"/>
          <w:szCs w:val="24"/>
          <w:highlight w:val="none"/>
          <w:lang w:val="en-US" w:eastAsia="zh-CN" w:bidi="ar-SA"/>
        </w:rPr>
        <w:t>付款方式：</w:t>
      </w:r>
      <w:r>
        <w:rPr>
          <w:rFonts w:hint="eastAsia" w:ascii="微软雅黑" w:hAnsi="微软雅黑" w:eastAsia="微软雅黑" w:cs="微软雅黑"/>
          <w:b w:val="0"/>
          <w:bCs w:val="0"/>
          <w:color w:val="auto"/>
          <w:kern w:val="2"/>
          <w:sz w:val="24"/>
          <w:szCs w:val="24"/>
          <w:highlight w:val="none"/>
          <w:lang w:val="en-US" w:eastAsia="zh-CN" w:bidi="ar-SA"/>
        </w:rPr>
        <w:t>签订合同时另行约定。</w:t>
      </w:r>
    </w:p>
    <w:p>
      <w:pPr>
        <w:pStyle w:val="24"/>
        <w:keepNext w:val="0"/>
        <w:keepLines w:val="0"/>
        <w:pageBreakBefore w:val="0"/>
        <w:numPr>
          <w:ilvl w:val="0"/>
          <w:numId w:val="0"/>
        </w:numPr>
        <w:kinsoku/>
        <w:wordWrap/>
        <w:overflowPunct/>
        <w:topLinePunct w:val="0"/>
        <w:autoSpaceDE/>
        <w:autoSpaceDN/>
        <w:bidi w:val="0"/>
        <w:adjustRightInd/>
        <w:spacing w:line="500" w:lineRule="exact"/>
        <w:ind w:firstLine="240" w:firstLineChars="1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3、项目实施地点：甲方指定地点。</w:t>
      </w:r>
    </w:p>
    <w:p>
      <w:pPr>
        <w:pStyle w:val="89"/>
        <w:keepNext w:val="0"/>
        <w:keepLines w:val="0"/>
        <w:pageBreakBefore w:val="0"/>
        <w:kinsoku/>
        <w:wordWrap/>
        <w:overflowPunct/>
        <w:topLinePunct w:val="0"/>
        <w:autoSpaceDE/>
        <w:autoSpaceDN/>
        <w:bidi w:val="0"/>
        <w:adjustRightInd/>
        <w:snapToGrid/>
        <w:spacing w:line="500" w:lineRule="exact"/>
        <w:ind w:left="0" w:leftChars="0" w:firstLine="240" w:firstLineChars="100"/>
        <w:textAlignment w:val="auto"/>
        <w:rPr>
          <w:rFonts w:hint="default"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4、（1）</w:t>
      </w:r>
      <w:r>
        <w:rPr>
          <w:rFonts w:hint="default" w:ascii="微软雅黑" w:hAnsi="微软雅黑" w:eastAsia="微软雅黑" w:cs="微软雅黑"/>
          <w:b w:val="0"/>
          <w:bCs w:val="0"/>
          <w:kern w:val="2"/>
          <w:sz w:val="24"/>
          <w:szCs w:val="24"/>
          <w:highlight w:val="none"/>
          <w:lang w:val="en-US" w:eastAsia="zh-CN" w:bidi="ar-SA"/>
        </w:rPr>
        <w:t>针对项目提供详尽的项目需求分析以及清晰的描述，对该项目提供总体认识、理解以及整体规划；</w:t>
      </w:r>
    </w:p>
    <w:p>
      <w:pPr>
        <w:pStyle w:val="89"/>
        <w:keepNext w:val="0"/>
        <w:keepLines w:val="0"/>
        <w:pageBreakBefore w:val="0"/>
        <w:kinsoku/>
        <w:wordWrap/>
        <w:overflowPunct/>
        <w:topLinePunct w:val="0"/>
        <w:autoSpaceDE/>
        <w:autoSpaceDN/>
        <w:bidi w:val="0"/>
        <w:adjustRightInd/>
        <w:snapToGrid/>
        <w:spacing w:line="500" w:lineRule="exact"/>
        <w:textAlignment w:val="auto"/>
        <w:rPr>
          <w:rFonts w:hint="default" w:ascii="微软雅黑" w:hAnsi="微软雅黑" w:eastAsia="微软雅黑" w:cs="微软雅黑"/>
          <w:b w:val="0"/>
          <w:bCs w:val="0"/>
          <w:kern w:val="2"/>
          <w:sz w:val="24"/>
          <w:szCs w:val="24"/>
          <w:highlight w:val="none"/>
          <w:lang w:val="en-US" w:eastAsia="zh-CN" w:bidi="ar-SA"/>
        </w:rPr>
      </w:pPr>
      <w:r>
        <w:rPr>
          <w:rFonts w:hint="default" w:ascii="微软雅黑" w:hAnsi="微软雅黑" w:eastAsia="微软雅黑" w:cs="微软雅黑"/>
          <w:b w:val="0"/>
          <w:bCs w:val="0"/>
          <w:kern w:val="2"/>
          <w:sz w:val="24"/>
          <w:szCs w:val="24"/>
          <w:highlight w:val="none"/>
          <w:lang w:val="en-US" w:eastAsia="zh-CN" w:bidi="ar-SA"/>
        </w:rPr>
        <w:t>（2）针对项目实施进度计划以及具体时间安排计划表；</w:t>
      </w:r>
    </w:p>
    <w:p>
      <w:pPr>
        <w:pStyle w:val="89"/>
        <w:keepNext w:val="0"/>
        <w:keepLines w:val="0"/>
        <w:pageBreakBefore w:val="0"/>
        <w:kinsoku/>
        <w:wordWrap/>
        <w:overflowPunct/>
        <w:topLinePunct w:val="0"/>
        <w:autoSpaceDE/>
        <w:autoSpaceDN/>
        <w:bidi w:val="0"/>
        <w:adjustRightInd/>
        <w:snapToGrid/>
        <w:spacing w:line="500" w:lineRule="exact"/>
        <w:textAlignment w:val="auto"/>
        <w:rPr>
          <w:rFonts w:hint="default" w:ascii="微软雅黑" w:hAnsi="微软雅黑" w:eastAsia="微软雅黑" w:cs="微软雅黑"/>
          <w:b w:val="0"/>
          <w:bCs w:val="0"/>
          <w:kern w:val="2"/>
          <w:sz w:val="24"/>
          <w:szCs w:val="24"/>
          <w:highlight w:val="none"/>
          <w:lang w:val="en-US" w:eastAsia="zh-CN" w:bidi="ar-SA"/>
        </w:rPr>
      </w:pPr>
      <w:r>
        <w:rPr>
          <w:rFonts w:hint="default" w:ascii="微软雅黑" w:hAnsi="微软雅黑" w:eastAsia="微软雅黑" w:cs="微软雅黑"/>
          <w:b w:val="0"/>
          <w:bCs w:val="0"/>
          <w:kern w:val="2"/>
          <w:sz w:val="24"/>
          <w:szCs w:val="24"/>
          <w:highlight w:val="none"/>
          <w:lang w:val="en-US" w:eastAsia="zh-CN" w:bidi="ar-SA"/>
        </w:rPr>
        <w:t>（3）针对本项目有专门负责执行团队</w:t>
      </w:r>
      <w:r>
        <w:rPr>
          <w:rFonts w:hint="eastAsia" w:ascii="微软雅黑" w:hAnsi="微软雅黑" w:eastAsia="微软雅黑" w:cs="微软雅黑"/>
          <w:b w:val="0"/>
          <w:bCs w:val="0"/>
          <w:kern w:val="2"/>
          <w:sz w:val="24"/>
          <w:szCs w:val="24"/>
          <w:highlight w:val="none"/>
          <w:lang w:val="en-US" w:eastAsia="zh-CN" w:bidi="ar-SA"/>
        </w:rPr>
        <w:t>，</w:t>
      </w:r>
      <w:r>
        <w:rPr>
          <w:rFonts w:hint="default" w:ascii="微软雅黑" w:hAnsi="微软雅黑" w:eastAsia="微软雅黑" w:cs="微软雅黑"/>
          <w:b w:val="0"/>
          <w:bCs w:val="0"/>
          <w:kern w:val="2"/>
          <w:sz w:val="24"/>
          <w:szCs w:val="24"/>
          <w:highlight w:val="none"/>
          <w:lang w:val="en-US" w:eastAsia="zh-CN" w:bidi="ar-SA"/>
        </w:rPr>
        <w:t>具体的项目负责人及人员组建构成；</w:t>
      </w:r>
    </w:p>
    <w:p>
      <w:pPr>
        <w:pStyle w:val="89"/>
        <w:keepNext w:val="0"/>
        <w:keepLines w:val="0"/>
        <w:pageBreakBefore w:val="0"/>
        <w:kinsoku/>
        <w:wordWrap/>
        <w:overflowPunct/>
        <w:topLinePunct w:val="0"/>
        <w:autoSpaceDE/>
        <w:autoSpaceDN/>
        <w:bidi w:val="0"/>
        <w:adjustRightInd/>
        <w:snapToGrid/>
        <w:spacing w:line="500" w:lineRule="exact"/>
        <w:textAlignment w:val="auto"/>
        <w:rPr>
          <w:rFonts w:hint="default" w:ascii="微软雅黑" w:hAnsi="微软雅黑" w:eastAsia="微软雅黑" w:cs="微软雅黑"/>
          <w:b w:val="0"/>
          <w:bCs w:val="0"/>
          <w:kern w:val="2"/>
          <w:sz w:val="24"/>
          <w:szCs w:val="24"/>
          <w:highlight w:val="none"/>
          <w:lang w:val="en-US" w:eastAsia="zh-CN" w:bidi="ar-SA"/>
        </w:rPr>
      </w:pPr>
      <w:r>
        <w:rPr>
          <w:rFonts w:hint="default" w:ascii="微软雅黑" w:hAnsi="微软雅黑" w:eastAsia="微软雅黑" w:cs="微软雅黑"/>
          <w:b w:val="0"/>
          <w:bCs w:val="0"/>
          <w:kern w:val="2"/>
          <w:sz w:val="24"/>
          <w:szCs w:val="24"/>
          <w:highlight w:val="none"/>
          <w:lang w:val="en-US" w:eastAsia="zh-CN" w:bidi="ar-SA"/>
        </w:rPr>
        <w:t>（4）从交通出行线路、安全保障措施、交通车辆质量保证措施、急救车安排计划以及对突发性事件预估、应急处理措施</w:t>
      </w:r>
      <w:r>
        <w:rPr>
          <w:rFonts w:hint="eastAsia" w:ascii="微软雅黑" w:hAnsi="微软雅黑" w:eastAsia="微软雅黑" w:cs="微软雅黑"/>
          <w:b w:val="0"/>
          <w:bCs w:val="0"/>
          <w:kern w:val="2"/>
          <w:sz w:val="24"/>
          <w:szCs w:val="24"/>
          <w:highlight w:val="none"/>
          <w:lang w:val="en-US" w:eastAsia="zh-CN" w:bidi="ar-SA"/>
        </w:rPr>
        <w:t>；</w:t>
      </w:r>
    </w:p>
    <w:p>
      <w:pPr>
        <w:pStyle w:val="93"/>
        <w:keepNext w:val="0"/>
        <w:keepLines w:val="0"/>
        <w:pageBreakBefore w:val="0"/>
        <w:numPr>
          <w:ilvl w:val="0"/>
          <w:numId w:val="0"/>
        </w:numPr>
        <w:kinsoku/>
        <w:wordWrap/>
        <w:overflowPunct/>
        <w:topLinePunct w:val="0"/>
        <w:autoSpaceDE/>
        <w:autoSpaceDN/>
        <w:bidi w:val="0"/>
        <w:adjustRightInd/>
        <w:spacing w:line="500" w:lineRule="exact"/>
        <w:ind w:leftChars="0"/>
        <w:jc w:val="left"/>
        <w:textAlignment w:val="auto"/>
        <w:outlineLvl w:val="1"/>
        <w:rPr>
          <w:rFonts w:hint="default" w:ascii="微软雅黑" w:hAnsi="微软雅黑" w:eastAsia="微软雅黑" w:cs="微软雅黑"/>
          <w:b w:val="0"/>
          <w:bCs w:val="0"/>
          <w:sz w:val="32"/>
          <w:szCs w:val="32"/>
          <w:lang w:val="en-US" w:eastAsia="zh-CN"/>
        </w:rPr>
      </w:pPr>
      <w:bookmarkStart w:id="488" w:name="_Toc10866"/>
      <w:bookmarkStart w:id="489" w:name="_Toc13458"/>
      <w:bookmarkStart w:id="490" w:name="_Toc29554"/>
      <w:bookmarkStart w:id="491" w:name="_Toc12533"/>
      <w:r>
        <w:rPr>
          <w:rFonts w:hint="eastAsia" w:ascii="微软雅黑" w:hAnsi="微软雅黑" w:eastAsia="微软雅黑" w:cs="微软雅黑"/>
          <w:b w:val="0"/>
          <w:bCs w:val="0"/>
          <w:sz w:val="32"/>
          <w:szCs w:val="32"/>
          <w:lang w:val="en-US" w:eastAsia="zh-CN"/>
        </w:rPr>
        <w:t>三、其他要求</w:t>
      </w:r>
      <w:bookmarkEnd w:id="488"/>
      <w:bookmarkEnd w:id="489"/>
      <w:bookmarkEnd w:id="490"/>
      <w:bookmarkEnd w:id="491"/>
    </w:p>
    <w:p>
      <w:pPr>
        <w:pStyle w:val="89"/>
        <w:keepNext w:val="0"/>
        <w:keepLines w:val="0"/>
        <w:pageBreakBefore w:val="0"/>
        <w:kinsoku/>
        <w:wordWrap/>
        <w:overflowPunct/>
        <w:topLinePunct w:val="0"/>
        <w:autoSpaceDE/>
        <w:autoSpaceDN/>
        <w:bidi w:val="0"/>
        <w:adjustRightInd/>
        <w:snapToGrid/>
        <w:spacing w:line="500" w:lineRule="exact"/>
        <w:ind w:left="0" w:leftChars="0" w:firstLine="720" w:firstLineChars="300"/>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lang w:val="en-US" w:eastAsia="zh-CN" w:bidi="ar-SA"/>
        </w:rPr>
        <w:t>1、提供近三年内类似项目业绩证明材料（中标通知书或合同）；</w:t>
      </w:r>
      <w:r>
        <w:rPr>
          <w:rFonts w:hint="eastAsia" w:ascii="微软雅黑" w:hAnsi="微软雅黑" w:eastAsia="微软雅黑" w:cs="微软雅黑"/>
          <w:b w:val="0"/>
          <w:bCs w:val="0"/>
          <w:kern w:val="2"/>
          <w:sz w:val="24"/>
          <w:szCs w:val="24"/>
          <w:highlight w:val="none"/>
          <w:lang w:val="en-US" w:eastAsia="zh-CN" w:bidi="ar-SA"/>
        </w:rPr>
        <w:t>（提供的资料须能体现采购内容，否则属于无效资料，如有提供虚假资料，中标后取消中标资格。）</w:t>
      </w:r>
    </w:p>
    <w:p>
      <w:pPr>
        <w:pStyle w:val="89"/>
        <w:keepNext w:val="0"/>
        <w:keepLines w:val="0"/>
        <w:pageBreakBefore w:val="0"/>
        <w:kinsoku/>
        <w:wordWrap/>
        <w:overflowPunct/>
        <w:topLinePunct w:val="0"/>
        <w:autoSpaceDE/>
        <w:autoSpaceDN/>
        <w:bidi w:val="0"/>
        <w:adjustRightInd/>
        <w:snapToGrid/>
        <w:spacing w:line="500" w:lineRule="exact"/>
        <w:ind w:left="0" w:leftChars="0" w:firstLine="720" w:firstLineChars="3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2、观摩结束后需要提供相应场所进行交流学习。</w:t>
      </w:r>
    </w:p>
    <w:p>
      <w:pPr>
        <w:pStyle w:val="89"/>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2、疫情防控措施：</w:t>
      </w:r>
    </w:p>
    <w:p>
      <w:pPr>
        <w:pStyle w:val="89"/>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（1）严格遵守当地疫情防控要求（进出扫码、入住酒店做核酸）</w:t>
      </w:r>
    </w:p>
    <w:p>
      <w:pPr>
        <w:pStyle w:val="89"/>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2）对旅游产品进行安全风险评估，选择具有相应资质且符合当地疫情防控要求的供应商、合作商，确认防疫要求，明确各方权责，满足安全条件。要加强沟通联系，及时了解和掌握旅游目的地和客源地卫生健康部门疫情防控情况，做好线路设计、产品对接和预订等工作。双方疫情防控相关责任，加强协作配合，实现信息共享，确保团队旅游平稳、有序、安全。</w:t>
      </w:r>
    </w:p>
    <w:p>
      <w:pPr>
        <w:pStyle w:val="89"/>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3）配备防护用品。配备数量充足且符合一次性使用医用口罩标准或相当防护级别的口罩、体温检测设备、洗手液、一次性手套、消毒用品等防护用品；要督促车辆、酒店客房、餐厅等接待设施和场所进行全面消毒清洁。</w:t>
      </w:r>
    </w:p>
    <w:p>
      <w:pPr>
        <w:pStyle w:val="89"/>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（4）宣传疫情防控知识，及时发布游客出游防控注意事项,提醒游客落实“戴口罩、勤洗手、不聚集、保持距离”要求，增强游客自我防控意识</w:t>
      </w:r>
    </w:p>
    <w:p>
      <w:pPr>
        <w:pStyle w:val="89"/>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微软雅黑" w:hAnsi="微软雅黑" w:eastAsia="微软雅黑" w:cs="微软雅黑"/>
          <w:b w:val="0"/>
          <w:bCs w:val="0"/>
          <w:kern w:val="2"/>
          <w:sz w:val="24"/>
          <w:szCs w:val="24"/>
          <w:highlight w:val="none"/>
          <w:lang w:val="en-US" w:eastAsia="zh-CN" w:bidi="ar-SA"/>
        </w:rPr>
        <w:sectPr>
          <w:pgSz w:w="11907" w:h="16840"/>
          <w:pgMar w:top="1474" w:right="1814" w:bottom="1474" w:left="1814" w:header="851" w:footer="850" w:gutter="0"/>
          <w:pgNumType w:fmt="decimal"/>
          <w:cols w:space="720" w:num="1"/>
          <w:rtlGutter w:val="0"/>
          <w:docGrid w:linePitch="462" w:charSpace="0"/>
        </w:sectPr>
      </w:pPr>
      <w:r>
        <w:rPr>
          <w:rFonts w:hint="eastAsia" w:ascii="微软雅黑" w:hAnsi="微软雅黑" w:eastAsia="微软雅黑" w:cs="微软雅黑"/>
          <w:b w:val="0"/>
          <w:bCs w:val="0"/>
          <w:kern w:val="2"/>
          <w:sz w:val="24"/>
          <w:szCs w:val="24"/>
          <w:highlight w:val="none"/>
          <w:lang w:val="en-US" w:eastAsia="zh-CN" w:bidi="ar-SA"/>
        </w:rPr>
        <w:t>（5）应急措施：如行程中客源地发生疫情，严格按照疫情防控办要求，实行隔离或劝返，所产生的费用损失由组织方或客人自行承担。</w:t>
      </w:r>
    </w:p>
    <w:p>
      <w:pPr>
        <w:pStyle w:val="3"/>
        <w:pageBreakBefore w:val="0"/>
        <w:tabs>
          <w:tab w:val="left" w:pos="0"/>
        </w:tabs>
        <w:kinsoku/>
        <w:wordWrap/>
        <w:overflowPunct/>
        <w:topLinePunct w:val="0"/>
        <w:bidi w:val="0"/>
        <w:snapToGrid/>
        <w:spacing w:before="0" w:after="0" w:line="340" w:lineRule="exact"/>
        <w:jc w:val="center"/>
        <w:textAlignment w:val="auto"/>
        <w:rPr>
          <w:rFonts w:hint="eastAsia" w:ascii="微软雅黑" w:hAnsi="微软雅黑" w:eastAsia="微软雅黑" w:cs="微软雅黑"/>
          <w:color w:val="auto"/>
        </w:rPr>
      </w:pPr>
      <w:bookmarkStart w:id="492" w:name="_Toc12030"/>
      <w:r>
        <w:rPr>
          <w:rFonts w:hint="eastAsia" w:ascii="微软雅黑" w:hAnsi="微软雅黑" w:eastAsia="微软雅黑" w:cs="微软雅黑"/>
          <w:color w:val="auto"/>
        </w:rPr>
        <w:t xml:space="preserve">第6章  </w:t>
      </w:r>
      <w:bookmarkStart w:id="493" w:name="_Toc507399907"/>
      <w:bookmarkStart w:id="494" w:name="_Toc7971"/>
      <w:bookmarkStart w:id="495" w:name="_Toc32647"/>
      <w:bookmarkStart w:id="496" w:name="_Toc515647832"/>
      <w:r>
        <w:rPr>
          <w:rFonts w:hint="eastAsia" w:ascii="微软雅黑" w:hAnsi="微软雅黑" w:eastAsia="微软雅黑" w:cs="微软雅黑"/>
          <w:color w:val="auto"/>
        </w:rPr>
        <w:t>评标方法和标准</w:t>
      </w:r>
      <w:bookmarkEnd w:id="481"/>
      <w:bookmarkEnd w:id="482"/>
      <w:bookmarkEnd w:id="483"/>
      <w:bookmarkEnd w:id="492"/>
      <w:bookmarkEnd w:id="493"/>
      <w:bookmarkEnd w:id="494"/>
      <w:bookmarkEnd w:id="495"/>
      <w:bookmarkEnd w:id="496"/>
    </w:p>
    <w:p>
      <w:pPr>
        <w:pStyle w:val="11"/>
        <w:keepNext w:val="0"/>
        <w:keepLines w:val="0"/>
        <w:pageBreakBefore w:val="0"/>
        <w:widowControl w:val="0"/>
        <w:shd w:val="clear" w:color="auto" w:fill="auto"/>
        <w:tabs>
          <w:tab w:val="clear" w:pos="567"/>
        </w:tabs>
        <w:kinsoku/>
        <w:wordWrap/>
        <w:overflowPunct/>
        <w:topLinePunct w:val="0"/>
        <w:bidi w:val="0"/>
        <w:snapToGrid/>
        <w:spacing w:before="0" w:line="400" w:lineRule="exact"/>
        <w:ind w:firstLine="540" w:firstLineChars="2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本项目将按照招标文件第一章</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须知中“五 开标及评标”、“六 确定中标”及本章的规定评标。</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注：1.投标无效的情形：</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（1）单位负责人为同一人或者存在直接控股、管理关系的不同供应商，其相关投标将被认定为投标无效。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（2）若供应商须知资料表中未写明允许采购进口产品，如供应商所投产品为进口产品，其投标将被认定为投标无效。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（3）为本项目提供过整体设计、规范编制或者项目管理、监理、检测等服务的供应商，不得再参加本项目上述服务以外的其他采购活动。否则其投标将被认定为投标无效。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供应商在投标过程中不得向采购人提供、给予任何有价值的物品，影响其正常决策行为。一经发现，其将被认定为投标无效。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（4）供应商报价超过招标文件规定的预算金额或者分项、分包最高限价的，其投标将被认定为投标无效。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应认真阅读招标文件所有的事项、格式、条款和技术规范等。如供应商没有按照招标文件要求提交全部资料，或者投标文件没有对招标文件在各方面都做出实质性响应，可能导致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（6）供应商应当对所投分包招标文件中“服务需求”所列的所有内容进行投标，如仅响应某一包中的部分内容，其该包投标将被认定为投标无效。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（7）供应商未按本须知第12.1和12.3条规定提交投标保证金的，其投标将被认定为投标无效。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所有投标均以人民币报价。供应商的投标报价应遵守《中华人民共和国价格法》。同时，根据《中华人民共和国政府采购法》第二条的规定，为保证公平竞争，如有服务主体部分的赠与行为，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（9）供应商所报的各分项投标单价在合同履行过程中是固定不变的，不得以任何理由予以变更。任何包含价格调整要求的投标，其投标将被认定为投标无效。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（10）投标应在供应商须知资料表中规定时间内保持有效。投标有效期不满足要求的投标，其投标将被认定为投标无效。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（11）所有投标文件采用不可拆装的胶订方式装订，否则其投标将被认定为投标无效。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（12）采购人或采购代理机构将在开标前1个工作日至投标截止后1小时的期间内查询供应商的信用记录。供应商存在不良信用记录的，其投标将被认定为投标无效。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（15）如发现下列情况之一的，其投标将被认定为投标无效：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未按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
          <w:bCs/>
          <w:color w:val="auto"/>
          <w:sz w:val="24"/>
          <w:szCs w:val="24"/>
          <w:highlight w:val="none"/>
          <w:lang w:val="en-US" w:eastAsia="zh-CN"/>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投标报价扣除10%后参与评审。对于同时属于小微企业、监狱企业或残疾人福利性单位的，不重复进行投标报价扣除。</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3.联合协议中约定，小型、微型企业和监狱企业的协议合同金额占到联合体协议合同总金额30%以上的，可给予联合体2-3%的价格扣除。（本项目不适用）</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联合体各方均为小型、微型企业和监狱企业的，联合体视同为小型、微型企业和监狱企业。</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5.如采购人所采购产品为政府强制采购的节能产品，供应商所投产品的品牌及型号必须为清单中有效期内产品并提供证明文件，否则其投标将被认定为投标无效。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6.对创新产品或创新性企业的优惠措施为：    /       </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7.中标候选人并列式时的处理方式：    </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如采用综合评标法，则：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8.开标：</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（1）采购人和采购代理机构将按供应商须知资料表中规定的开标时间和地点组织公开开标并邀请所有供应商代表参加。</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开标时，由供应商或其推选的代表检查自己或所代表的投标文件的密封情况，经记录后，由采购人或采购代理机构当众拆封投标文件第一部分，宣读供应商名称、投标价格及招标文件规定的内容。对于供应商在投标截止期前递交的投标声明，在开标时当众宣读，评标时有效。</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（3）未宣读投标价格、价格折扣等实质内容，评标时不予承认。</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（4）采购人或采购代理机构将对开标过程进行记录，由参加开标的各供应商代表和相关工作人员签字确认，并存档备查。</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（5）供应商代表对开标过程和开标记录有疑义，以及认为采购人、采购代理机构相关工作人员有需要回避的情形的，应当场提出询问或者回避申请。</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9.评标：</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（1）采购人或采购代理机构依据法律法规和招标文件中规定的内容，对供应商及其服务的资格进行审查。</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（2）未通过资格审查的供应商不进入评标；通过资格审查的供应商少于不足三家的，不得评标。</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（3）符合性审查是指依据招标文件的规定，从投标文件的有效性和完整性对招标文件的响应程度进行审查，以确定是否对招标文件的实质性要求做出响应。</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（4）经符合性审查合格的投标文件，评标委员会将根据招标文件确定的评标方法和标准，对其技术部分和商务部分作进一步的比较和评价。</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（5）评标严格按照招标文件的要求和条件进行：综合评分法，是指投标文件满足招标文件全部实质性要求，且按照评审因素的量化指标评审得分最高的供应商为中标候选人的评标方法。</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10.定标：</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（1）采购代理机构应当在评标结束后2个工作日内将评标报告送采购人。</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pPr>
        <w:pStyle w:val="11"/>
        <w:shd w:val="clear" w:color="auto" w:fill="auto"/>
        <w:tabs>
          <w:tab w:val="clear" w:pos="567"/>
        </w:tabs>
        <w:spacing w:before="0" w:line="400" w:lineRule="exact"/>
        <w:ind w:firstLine="540" w:firstLineChars="22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pageBreakBefore w:val="0"/>
        <w:kinsoku/>
        <w:wordWrap/>
        <w:overflowPunct/>
        <w:topLinePunct w:val="0"/>
        <w:bidi w:val="0"/>
        <w:snapToGrid/>
        <w:spacing w:line="340" w:lineRule="exact"/>
        <w:jc w:val="center"/>
        <w:textAlignment w:val="auto"/>
        <w:outlineLvl w:val="1"/>
        <w:rPr>
          <w:rFonts w:hint="eastAsia" w:ascii="微软雅黑" w:hAnsi="微软雅黑" w:eastAsia="微软雅黑" w:cs="微软雅黑"/>
          <w:color w:val="auto"/>
          <w:sz w:val="28"/>
          <w:szCs w:val="32"/>
        </w:rPr>
      </w:pPr>
      <w:r>
        <w:rPr>
          <w:rFonts w:hint="eastAsia" w:ascii="微软雅黑" w:hAnsi="微软雅黑" w:eastAsia="微软雅黑" w:cs="微软雅黑"/>
          <w:i/>
          <w:color w:val="auto"/>
        </w:rPr>
        <w:br w:type="page"/>
      </w:r>
      <w:bookmarkStart w:id="497" w:name="_Toc11530"/>
      <w:bookmarkStart w:id="498" w:name="_Toc9265"/>
      <w:bookmarkStart w:id="499" w:name="_Toc14109"/>
      <w:bookmarkStart w:id="500" w:name="_Toc14483"/>
      <w:r>
        <w:rPr>
          <w:rFonts w:hint="eastAsia" w:ascii="微软雅黑" w:hAnsi="微软雅黑" w:eastAsia="微软雅黑" w:cs="微软雅黑"/>
          <w:color w:val="auto"/>
          <w:sz w:val="28"/>
          <w:szCs w:val="32"/>
        </w:rPr>
        <w:t>初步评审—资格性审查表</w:t>
      </w:r>
      <w:bookmarkEnd w:id="497"/>
      <w:bookmarkEnd w:id="498"/>
      <w:bookmarkEnd w:id="499"/>
      <w:bookmarkEnd w:id="500"/>
    </w:p>
    <w:tbl>
      <w:tblPr>
        <w:tblStyle w:val="34"/>
        <w:tblpPr w:leftFromText="180" w:rightFromText="180" w:vertAnchor="text" w:horzAnchor="page" w:tblpXSpec="center" w:tblpY="116"/>
        <w:tblOverlap w:val="never"/>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6650"/>
        <w:gridCol w:w="765"/>
        <w:gridCol w:w="853"/>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5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序号</w:t>
            </w:r>
          </w:p>
        </w:tc>
        <w:tc>
          <w:tcPr>
            <w:tcW w:w="665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评审内容</w:t>
            </w:r>
          </w:p>
        </w:tc>
        <w:tc>
          <w:tcPr>
            <w:tcW w:w="244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5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p>
        </w:tc>
        <w:tc>
          <w:tcPr>
            <w:tcW w:w="665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p>
        </w:tc>
        <w:tc>
          <w:tcPr>
            <w:tcW w:w="765"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是否合格</w:t>
            </w:r>
          </w:p>
        </w:tc>
        <w:tc>
          <w:tcPr>
            <w:tcW w:w="85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是否合格</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具有有效的独立法人营业执照；</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法人代表资格证明书及授权书、被授权人身份证(法人投标需提供法人身份证及法人代表资格证明书)；</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依法缴纳近6个月内任意1个月的社会保险的凭据；</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税务部门出具的近6个月内任意1个月的完税证明；</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5</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提供健全的财务制度；</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8"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6</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val="en-US" w:eastAsia="zh-CN"/>
              </w:rPr>
              <w:t>7</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参加政府采购活动前3年内未被列入失信、重大税收违法案件、财政部门禁止参加政府采购活动的承诺书；</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8</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kern w:val="2"/>
                <w:sz w:val="22"/>
                <w:szCs w:val="22"/>
                <w:lang w:val="en-US" w:eastAsia="zh-CN" w:bidi="ar-SA"/>
              </w:rPr>
              <w:t>提供针对本次项目《反商业贿赂承诺书》；</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9</w:t>
            </w:r>
          </w:p>
        </w:tc>
        <w:tc>
          <w:tcPr>
            <w:tcW w:w="6650" w:type="dxa"/>
            <w:noWrap w:val="0"/>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2"/>
                <w:sz w:val="22"/>
                <w:szCs w:val="22"/>
                <w:lang w:val="en-US" w:eastAsia="zh-CN" w:bidi="ar-SA"/>
              </w:rPr>
              <w:t>投标保证金银行转账回执单。</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auto"/>
                <w:sz w:val="22"/>
                <w:szCs w:val="22"/>
              </w:rPr>
            </w:pPr>
          </w:p>
        </w:tc>
        <w:tc>
          <w:tcPr>
            <w:tcW w:w="6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结论</w:t>
            </w: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5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c>
          <w:tcPr>
            <w:tcW w:w="828" w:type="dxa"/>
            <w:noWrap w:val="0"/>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auto"/>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exact"/>
        <w:ind w:left="6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说明：（1）上述各项中用“√”表示</w:t>
      </w:r>
      <w:r>
        <w:rPr>
          <w:rFonts w:hint="eastAsia" w:ascii="微软雅黑" w:hAnsi="微软雅黑" w:eastAsia="微软雅黑" w:cs="微软雅黑"/>
          <w:color w:val="auto"/>
          <w:sz w:val="22"/>
          <w:szCs w:val="22"/>
          <w:lang w:eastAsia="zh-CN"/>
        </w:rPr>
        <w:t>合格</w:t>
      </w:r>
      <w:r>
        <w:rPr>
          <w:rFonts w:hint="eastAsia" w:ascii="微软雅黑" w:hAnsi="微软雅黑" w:eastAsia="微软雅黑" w:cs="微软雅黑"/>
          <w:color w:val="auto"/>
          <w:sz w:val="22"/>
          <w:szCs w:val="22"/>
        </w:rPr>
        <w:t>，“×”表示不</w:t>
      </w:r>
      <w:r>
        <w:rPr>
          <w:rFonts w:hint="eastAsia" w:ascii="微软雅黑" w:hAnsi="微软雅黑" w:eastAsia="微软雅黑" w:cs="微软雅黑"/>
          <w:color w:val="auto"/>
          <w:sz w:val="22"/>
          <w:szCs w:val="22"/>
          <w:lang w:eastAsia="zh-CN"/>
        </w:rPr>
        <w:t>合格</w:t>
      </w:r>
      <w:r>
        <w:rPr>
          <w:rFonts w:hint="eastAsia" w:ascii="微软雅黑" w:hAnsi="微软雅黑" w:eastAsia="微软雅黑" w:cs="微软雅黑"/>
          <w:color w:val="auto"/>
          <w:sz w:val="22"/>
          <w:szCs w:val="22"/>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（2）上述各项中如有一项为“×”，则结论为“×”，表示该投标文件中存在重大偏差，不能通过初步评审；评委对某一分项评审认为不合格时，必须要写明原因。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360" w:lineRule="exact"/>
        <w:ind w:left="6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（3）投标文件最终合格与否，以所有评委的评审意见中少数服从多数为原则定论。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备注：如果投标文件中有一项未通过上述审查标准，评标委员会将认定整个投标文件未响应招标文件而予以废标处理。</w:t>
      </w:r>
    </w:p>
    <w:p>
      <w:pPr>
        <w:pStyle w:val="11"/>
        <w:tabs>
          <w:tab w:val="clear" w:pos="567"/>
        </w:tabs>
        <w:spacing w:before="0" w:line="360" w:lineRule="exact"/>
        <w:ind w:left="-181" w:leftChars="-86" w:firstLine="605" w:firstLineChars="275"/>
        <w:rPr>
          <w:rFonts w:hint="eastAsia" w:ascii="微软雅黑" w:hAnsi="微软雅黑" w:eastAsia="微软雅黑" w:cs="微软雅黑"/>
          <w:i/>
          <w:color w:val="auto"/>
          <w:sz w:val="22"/>
          <w:szCs w:val="22"/>
        </w:rPr>
        <w:sectPr>
          <w:headerReference r:id="rId11" w:type="first"/>
          <w:footerReference r:id="rId14" w:type="first"/>
          <w:headerReference r:id="rId9" w:type="default"/>
          <w:footerReference r:id="rId12" w:type="default"/>
          <w:headerReference r:id="rId10" w:type="even"/>
          <w:footerReference r:id="rId13" w:type="even"/>
          <w:pgSz w:w="11907" w:h="16840"/>
          <w:pgMar w:top="1474" w:right="1814" w:bottom="1474" w:left="1814" w:header="851" w:footer="851" w:gutter="0"/>
          <w:pgNumType w:fmt="decimal"/>
          <w:cols w:space="720" w:num="1"/>
          <w:docGrid w:linePitch="462" w:charSpace="0"/>
        </w:sectPr>
      </w:pPr>
    </w:p>
    <w:p>
      <w:pPr>
        <w:pStyle w:val="8"/>
        <w:spacing w:line="300" w:lineRule="auto"/>
        <w:ind w:firstLine="0"/>
        <w:jc w:val="center"/>
        <w:outlineLvl w:val="1"/>
        <w:rPr>
          <w:rFonts w:hint="eastAsia" w:ascii="微软雅黑" w:hAnsi="微软雅黑" w:eastAsia="微软雅黑" w:cs="微软雅黑"/>
          <w:b/>
          <w:bCs/>
          <w:color w:val="auto"/>
          <w:sz w:val="32"/>
          <w:szCs w:val="32"/>
        </w:rPr>
      </w:pPr>
      <w:bookmarkStart w:id="501" w:name="_Toc32287"/>
      <w:bookmarkStart w:id="502" w:name="_Toc30056"/>
      <w:bookmarkStart w:id="503" w:name="_Toc20822"/>
      <w:bookmarkStart w:id="504" w:name="_Toc18260"/>
      <w:r>
        <w:rPr>
          <w:rFonts w:hint="eastAsia" w:ascii="微软雅黑" w:hAnsi="微软雅黑" w:eastAsia="微软雅黑" w:cs="微软雅黑"/>
          <w:b/>
          <w:bCs/>
          <w:color w:val="auto"/>
          <w:sz w:val="32"/>
          <w:szCs w:val="32"/>
        </w:rPr>
        <w:t>初步评审—符合性审查表</w:t>
      </w:r>
      <w:bookmarkEnd w:id="501"/>
      <w:bookmarkEnd w:id="502"/>
      <w:bookmarkEnd w:id="503"/>
      <w:bookmarkEnd w:id="504"/>
    </w:p>
    <w:tbl>
      <w:tblPr>
        <w:tblStyle w:val="34"/>
        <w:tblpPr w:leftFromText="180" w:rightFromText="180" w:vertAnchor="text" w:horzAnchor="page" w:tblpXSpec="center" w:tblpY="262"/>
        <w:tblOverlap w:val="never"/>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697"/>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评审内容</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各供应商投标报价未高于预算金额；</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评标委员会认为供应商的报价无明显低于其他通过符合性审查供应商的报价的，供应商的报价不存在异常一致并成规律性的，其报价合理；</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投标文件按照招标文件的规定编制、标记及签署盖章的，法定代表人或其授权代表签字（章）和加盖供应商公章的（投标文件正本的印章和签字不能为复印件）；</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按招标文件规定的格式填写，内容全的；</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符合招标文件中规定的其他实质性要求（服务期等）</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没有采购人不能接受的附加条件的；</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7</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不同供应商的投标文件没有错漏一致的情况；</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8</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供应商附有详细地址、联系人、电话标明的；</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结论：通过评审打“√”，未通过评审打“×”</w:t>
            </w:r>
          </w:p>
        </w:tc>
        <w:tc>
          <w:tcPr>
            <w:tcW w:w="1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rPr>
            </w:pPr>
          </w:p>
        </w:tc>
      </w:tr>
    </w:tbl>
    <w:p>
      <w:pPr>
        <w:spacing w:line="300" w:lineRule="auto"/>
        <w:rPr>
          <w:rFonts w:hint="eastAsia" w:ascii="微软雅黑" w:hAnsi="微软雅黑" w:eastAsia="微软雅黑" w:cs="微软雅黑"/>
          <w:color w:val="auto"/>
          <w:sz w:val="21"/>
          <w:szCs w:val="21"/>
        </w:rPr>
      </w:pPr>
    </w:p>
    <w:p>
      <w:pPr>
        <w:spacing w:line="300" w:lineRule="auto"/>
        <w:ind w:left="6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p>
      <w:pPr>
        <w:spacing w:line="300" w:lineRule="auto"/>
        <w:ind w:left="6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（1）上述各项中用“√”表示通过，“×”表示不通过；</w:t>
      </w:r>
    </w:p>
    <w:p>
      <w:pPr>
        <w:spacing w:line="300" w:lineRule="auto"/>
        <w:ind w:left="689" w:leftChars="28" w:hanging="630" w:hangingChars="3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（2）上述各项中如有一项为“×”，则结论为“×”，表示该投标文件中存在重大偏差，不能通过初步评审；评委对某一分项评审认为不合格时，必须要写明原因。</w:t>
      </w:r>
    </w:p>
    <w:p>
      <w:pPr>
        <w:pStyle w:val="8"/>
        <w:spacing w:line="300" w:lineRule="auto"/>
        <w:ind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未通过资格审查的</w:t>
      </w:r>
      <w:r>
        <w:rPr>
          <w:rFonts w:hint="eastAsia" w:ascii="微软雅黑" w:hAnsi="微软雅黑" w:eastAsia="微软雅黑" w:cs="微软雅黑"/>
          <w:b/>
          <w:bCs/>
          <w:color w:val="auto"/>
          <w:sz w:val="21"/>
          <w:szCs w:val="21"/>
          <w:lang w:eastAsia="zh-CN"/>
        </w:rPr>
        <w:t>供应商</w:t>
      </w:r>
      <w:r>
        <w:rPr>
          <w:rFonts w:hint="eastAsia" w:ascii="微软雅黑" w:hAnsi="微软雅黑" w:eastAsia="微软雅黑" w:cs="微软雅黑"/>
          <w:b/>
          <w:bCs/>
          <w:color w:val="auto"/>
          <w:sz w:val="21"/>
          <w:szCs w:val="21"/>
        </w:rPr>
        <w:t>不进入评标；通过资格审查的</w:t>
      </w:r>
      <w:r>
        <w:rPr>
          <w:rFonts w:hint="eastAsia" w:ascii="微软雅黑" w:hAnsi="微软雅黑" w:eastAsia="微软雅黑" w:cs="微软雅黑"/>
          <w:b/>
          <w:bCs/>
          <w:color w:val="auto"/>
          <w:sz w:val="21"/>
          <w:szCs w:val="21"/>
          <w:lang w:eastAsia="zh-CN"/>
        </w:rPr>
        <w:t>供应商</w:t>
      </w:r>
      <w:r>
        <w:rPr>
          <w:rFonts w:hint="eastAsia" w:ascii="微软雅黑" w:hAnsi="微软雅黑" w:eastAsia="微软雅黑" w:cs="微软雅黑"/>
          <w:b/>
          <w:bCs/>
          <w:color w:val="auto"/>
          <w:sz w:val="21"/>
          <w:szCs w:val="21"/>
        </w:rPr>
        <w:t>少于不足三家的，不得评标。</w:t>
      </w:r>
    </w:p>
    <w:p>
      <w:pPr>
        <w:pStyle w:val="33"/>
        <w:rPr>
          <w:rFonts w:hint="eastAsia" w:ascii="微软雅黑" w:hAnsi="微软雅黑" w:eastAsia="微软雅黑" w:cs="微软雅黑"/>
          <w:b/>
          <w:bCs/>
          <w:color w:val="auto"/>
          <w:sz w:val="21"/>
          <w:szCs w:val="21"/>
        </w:rPr>
      </w:pPr>
    </w:p>
    <w:p>
      <w:pPr>
        <w:pStyle w:val="33"/>
        <w:rPr>
          <w:rFonts w:hint="eastAsia" w:ascii="微软雅黑" w:hAnsi="微软雅黑" w:eastAsia="微软雅黑" w:cs="微软雅黑"/>
          <w:b/>
          <w:bCs/>
          <w:color w:val="auto"/>
          <w:sz w:val="21"/>
          <w:szCs w:val="21"/>
        </w:rPr>
      </w:pPr>
    </w:p>
    <w:p>
      <w:pPr>
        <w:pStyle w:val="33"/>
        <w:rPr>
          <w:rFonts w:hint="eastAsia" w:ascii="微软雅黑" w:hAnsi="微软雅黑" w:eastAsia="微软雅黑" w:cs="微软雅黑"/>
          <w:b/>
          <w:bCs/>
          <w:color w:val="auto"/>
          <w:sz w:val="21"/>
          <w:szCs w:val="21"/>
        </w:rPr>
      </w:pPr>
    </w:p>
    <w:p>
      <w:pPr>
        <w:pStyle w:val="11"/>
        <w:tabs>
          <w:tab w:val="clear" w:pos="567"/>
        </w:tabs>
        <w:spacing w:before="0" w:line="360" w:lineRule="exact"/>
        <w:rPr>
          <w:rFonts w:hint="eastAsia" w:ascii="微软雅黑" w:hAnsi="微软雅黑" w:eastAsia="微软雅黑" w:cs="微软雅黑"/>
          <w:i/>
          <w:color w:val="auto"/>
        </w:rPr>
      </w:pPr>
    </w:p>
    <w:tbl>
      <w:tblPr>
        <w:tblStyle w:val="34"/>
        <w:tblW w:w="0" w:type="auto"/>
        <w:tblInd w:w="-279" w:type="dxa"/>
        <w:tblLayout w:type="fixed"/>
        <w:tblCellMar>
          <w:top w:w="0" w:type="dxa"/>
          <w:left w:w="108" w:type="dxa"/>
          <w:bottom w:w="0" w:type="dxa"/>
          <w:right w:w="108" w:type="dxa"/>
        </w:tblCellMar>
      </w:tblPr>
      <w:tblGrid>
        <w:gridCol w:w="2315"/>
        <w:gridCol w:w="4640"/>
        <w:gridCol w:w="870"/>
        <w:gridCol w:w="722"/>
        <w:gridCol w:w="870"/>
      </w:tblGrid>
      <w:tr>
        <w:tblPrEx>
          <w:tblCellMar>
            <w:top w:w="0" w:type="dxa"/>
            <w:left w:w="108" w:type="dxa"/>
            <w:bottom w:w="0" w:type="dxa"/>
            <w:right w:w="108" w:type="dxa"/>
          </w:tblCellMar>
        </w:tblPrEx>
        <w:trPr>
          <w:trHeight w:val="585" w:hRule="atLeast"/>
        </w:trPr>
        <w:tc>
          <w:tcPr>
            <w:tcW w:w="9417" w:type="dxa"/>
            <w:gridSpan w:val="5"/>
            <w:tcBorders>
              <w:top w:val="nil"/>
              <w:left w:val="nil"/>
              <w:bottom w:val="single" w:color="auto" w:sz="4" w:space="0"/>
              <w:right w:val="nil"/>
            </w:tcBorders>
            <w:noWrap w:val="0"/>
            <w:vAlign w:val="center"/>
          </w:tcPr>
          <w:p>
            <w:pPr>
              <w:widowControl/>
              <w:spacing w:line="360" w:lineRule="exact"/>
              <w:jc w:val="center"/>
              <w:outlineLvl w:val="1"/>
              <w:rPr>
                <w:rFonts w:hint="eastAsia" w:ascii="微软雅黑" w:hAnsi="微软雅黑" w:eastAsia="微软雅黑" w:cs="微软雅黑"/>
                <w:b/>
                <w:bCs/>
                <w:color w:val="auto"/>
                <w:kern w:val="0"/>
                <w:sz w:val="32"/>
                <w:szCs w:val="32"/>
              </w:rPr>
            </w:pPr>
            <w:bookmarkStart w:id="505" w:name="_Toc14334"/>
            <w:bookmarkStart w:id="506" w:name="_Toc22581"/>
            <w:bookmarkStart w:id="507" w:name="_Toc4786"/>
            <w:bookmarkStart w:id="508" w:name="_Toc27728"/>
            <w:r>
              <w:rPr>
                <w:rFonts w:hint="eastAsia" w:ascii="微软雅黑" w:hAnsi="微软雅黑" w:eastAsia="微软雅黑" w:cs="微软雅黑"/>
                <w:b/>
                <w:bCs/>
                <w:color w:val="auto"/>
                <w:kern w:val="0"/>
                <w:sz w:val="32"/>
                <w:szCs w:val="32"/>
              </w:rPr>
              <w:t>一、商务符合性审查表</w:t>
            </w:r>
            <w:bookmarkEnd w:id="505"/>
            <w:bookmarkEnd w:id="506"/>
            <w:bookmarkEnd w:id="507"/>
            <w:bookmarkEnd w:id="508"/>
          </w:p>
        </w:tc>
      </w:tr>
      <w:tr>
        <w:tblPrEx>
          <w:tblCellMar>
            <w:top w:w="0" w:type="dxa"/>
            <w:left w:w="108" w:type="dxa"/>
            <w:bottom w:w="0" w:type="dxa"/>
            <w:right w:w="108" w:type="dxa"/>
          </w:tblCellMar>
        </w:tblPrEx>
        <w:trPr>
          <w:trHeight w:val="754" w:hRule="atLeast"/>
        </w:trPr>
        <w:tc>
          <w:tcPr>
            <w:tcW w:w="69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审查事项</w:t>
            </w:r>
          </w:p>
        </w:tc>
        <w:tc>
          <w:tcPr>
            <w:tcW w:w="246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lang w:eastAsia="zh-CN"/>
              </w:rPr>
              <w:t>供应商</w:t>
            </w:r>
            <w:r>
              <w:rPr>
                <w:rFonts w:hint="eastAsia" w:ascii="微软雅黑" w:hAnsi="微软雅黑" w:eastAsia="微软雅黑" w:cs="微软雅黑"/>
                <w:b/>
                <w:color w:val="auto"/>
                <w:kern w:val="0"/>
                <w:sz w:val="22"/>
                <w:szCs w:val="22"/>
              </w:rPr>
              <w:t>名称及审查情况</w:t>
            </w:r>
          </w:p>
        </w:tc>
      </w:tr>
      <w:tr>
        <w:tblPrEx>
          <w:tblCellMar>
            <w:top w:w="0" w:type="dxa"/>
            <w:left w:w="108" w:type="dxa"/>
            <w:bottom w:w="0" w:type="dxa"/>
            <w:right w:w="108" w:type="dxa"/>
          </w:tblCellMar>
        </w:tblPrEx>
        <w:trPr>
          <w:trHeight w:val="57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招标文件条款（</w:t>
            </w:r>
            <w:r>
              <w:rPr>
                <w:rFonts w:hint="eastAsia" w:ascii="微软雅黑" w:hAnsi="微软雅黑" w:eastAsia="微软雅黑" w:cs="微软雅黑"/>
                <w:b/>
                <w:color w:val="auto"/>
                <w:kern w:val="0"/>
                <w:sz w:val="22"/>
                <w:szCs w:val="22"/>
                <w:lang w:eastAsia="zh-CN"/>
              </w:rPr>
              <w:t>供应商</w:t>
            </w:r>
            <w:r>
              <w:rPr>
                <w:rFonts w:hint="eastAsia" w:ascii="微软雅黑" w:hAnsi="微软雅黑" w:eastAsia="微软雅黑" w:cs="微软雅黑"/>
                <w:b/>
                <w:color w:val="auto"/>
                <w:kern w:val="0"/>
                <w:sz w:val="22"/>
                <w:szCs w:val="22"/>
              </w:rPr>
              <w:t>须知、</w:t>
            </w:r>
            <w:r>
              <w:rPr>
                <w:rFonts w:hint="eastAsia" w:ascii="微软雅黑" w:hAnsi="微软雅黑" w:eastAsia="微软雅黑" w:cs="微软雅黑"/>
                <w:b/>
                <w:color w:val="auto"/>
                <w:kern w:val="0"/>
                <w:sz w:val="22"/>
                <w:szCs w:val="22"/>
                <w:lang w:eastAsia="zh-CN"/>
              </w:rPr>
              <w:t>供应商</w:t>
            </w:r>
            <w:r>
              <w:rPr>
                <w:rFonts w:hint="eastAsia" w:ascii="微软雅黑" w:hAnsi="微软雅黑" w:eastAsia="微软雅黑" w:cs="微软雅黑"/>
                <w:b/>
                <w:color w:val="auto"/>
                <w:kern w:val="0"/>
                <w:sz w:val="22"/>
                <w:szCs w:val="22"/>
              </w:rPr>
              <w:t>须知资料表条款号）</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本项目要求</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9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中小企业投标要求（1.3.6）</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w:t>
            </w:r>
            <w:r>
              <w:rPr>
                <w:rFonts w:hint="eastAsia" w:ascii="微软雅黑" w:hAnsi="微软雅黑" w:eastAsia="微软雅黑" w:cs="微软雅黑"/>
                <w:i/>
                <w:iCs/>
                <w:color w:val="auto"/>
                <w:kern w:val="0"/>
                <w:szCs w:val="21"/>
                <w:u w:val="single"/>
              </w:rPr>
              <w:t>适用</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联合体投标规定</w:t>
            </w:r>
          </w:p>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（1.4）</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w:t>
            </w:r>
            <w:r>
              <w:rPr>
                <w:rFonts w:hint="eastAsia" w:ascii="微软雅黑" w:hAnsi="微软雅黑" w:eastAsia="微软雅黑" w:cs="微软雅黑"/>
                <w:i/>
                <w:iCs/>
                <w:color w:val="auto"/>
                <w:kern w:val="0"/>
                <w:szCs w:val="21"/>
                <w:u w:val="single"/>
              </w:rPr>
              <w:t>不接受</w:t>
            </w:r>
            <w:r>
              <w:rPr>
                <w:rFonts w:hint="eastAsia" w:ascii="微软雅黑" w:hAnsi="微软雅黑" w:eastAsia="微软雅黑" w:cs="微软雅黑"/>
                <w:color w:val="auto"/>
                <w:kern w:val="0"/>
                <w:szCs w:val="21"/>
              </w:rPr>
              <w:t>联合体投标</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lang w:eastAsia="zh-CN"/>
              </w:rPr>
              <w:t>供应商</w:t>
            </w:r>
            <w:r>
              <w:rPr>
                <w:rFonts w:hint="eastAsia" w:ascii="微软雅黑" w:hAnsi="微软雅黑" w:eastAsia="微软雅黑" w:cs="微软雅黑"/>
                <w:color w:val="auto"/>
                <w:kern w:val="0"/>
                <w:sz w:val="22"/>
                <w:szCs w:val="22"/>
              </w:rPr>
              <w:t>的关联性</w:t>
            </w:r>
          </w:p>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（1.5）</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在同一标包内，单位负责人为非同一人或者不存在直接控股、管理关系的不同供应商。</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未发现影响采购人决策行为（1.5）</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在投标过程中未向采购人提供、给予任何有价值的物品，影响其正常决策行为。</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满足投标范围的完整性要求（8.1）</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对所投分包招标文件中所列的所有内容进行投标。</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未包含价格调整要求（11.4）</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所报的各分项投标报价在合同履行过程中是固定不变的，不得以任何理由予以变更。</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投标保证金（12.1）</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符合招标文件要求</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投标有效期满足要求（13.1）</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自提交投标文件截止之日起</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60</w:t>
            </w:r>
            <w:r>
              <w:rPr>
                <w:rFonts w:hint="eastAsia" w:ascii="微软雅黑" w:hAnsi="微软雅黑" w:eastAsia="微软雅黑" w:cs="微软雅黑"/>
                <w:color w:val="auto"/>
                <w:szCs w:val="21"/>
                <w:u w:val="single"/>
              </w:rPr>
              <w:t xml:space="preserve"> 日</w:t>
            </w:r>
            <w:r>
              <w:rPr>
                <w:rFonts w:hint="eastAsia" w:ascii="微软雅黑" w:hAnsi="微软雅黑" w:eastAsia="微软雅黑" w:cs="微软雅黑"/>
                <w:color w:val="auto"/>
                <w:szCs w:val="21"/>
              </w:rPr>
              <w:t>历日内</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投标文件的装订方式（14.3）</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所有投标文件采用不可拆装的胶订方式装订</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投标文件的签署和盖章符合要求</w:t>
            </w:r>
          </w:p>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（14.2、14.4）</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按照招标文件规定要求签署、盖章。</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接受价格的算术修正（20.3）</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投标文件报价出现前后不一致的，应按照招标文件规定的顺序修正。修正后的报价经</w:t>
            </w: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确认后产生约束力。</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符合强制采购节能产品要求（20.6）</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w:t>
            </w:r>
            <w:r>
              <w:rPr>
                <w:rFonts w:hint="eastAsia" w:ascii="微软雅黑" w:hAnsi="微软雅黑" w:eastAsia="微软雅黑" w:cs="微软雅黑"/>
                <w:i/>
                <w:iCs/>
                <w:color w:val="auto"/>
                <w:kern w:val="0"/>
                <w:szCs w:val="21"/>
                <w:u w:val="single"/>
              </w:rPr>
              <w:t>不适用</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未发现串通投标（22.2）</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未与其他</w:t>
            </w: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串通投标，或者与招标人串通投标。</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报价说明可以接受（22.2）</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的报价明显低于其他通过符合性检查</w:t>
            </w: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的报价，有可能影响履约的，</w:t>
            </w: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能按照规定证明其报价合理性。</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无采购人不能接受的附加条件（22.2）</w:t>
            </w:r>
          </w:p>
        </w:tc>
        <w:tc>
          <w:tcPr>
            <w:tcW w:w="46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投标文件未含有采购人不能接受的附加条件。</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774" w:hRule="atLeast"/>
        </w:trPr>
        <w:tc>
          <w:tcPr>
            <w:tcW w:w="69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b/>
                <w:color w:val="auto"/>
                <w:szCs w:val="21"/>
              </w:rPr>
            </w:pPr>
            <w:r>
              <w:rPr>
                <w:rFonts w:hint="eastAsia" w:ascii="微软雅黑" w:hAnsi="微软雅黑" w:eastAsia="微软雅黑" w:cs="微软雅黑"/>
                <w:b/>
                <w:color w:val="auto"/>
                <w:kern w:val="0"/>
                <w:sz w:val="22"/>
                <w:szCs w:val="22"/>
              </w:rPr>
              <w:t>结论</w:t>
            </w: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72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r>
    </w:tbl>
    <w:p>
      <w:pPr>
        <w:pStyle w:val="11"/>
        <w:tabs>
          <w:tab w:val="clear" w:pos="567"/>
        </w:tabs>
        <w:spacing w:before="0" w:line="360" w:lineRule="exact"/>
        <w:rPr>
          <w:rFonts w:hint="eastAsia" w:ascii="微软雅黑" w:hAnsi="微软雅黑" w:eastAsia="微软雅黑" w:cs="微软雅黑"/>
          <w:color w:val="auto"/>
        </w:rPr>
      </w:pPr>
    </w:p>
    <w:p>
      <w:pPr>
        <w:pStyle w:val="11"/>
        <w:tabs>
          <w:tab w:val="clear" w:pos="567"/>
        </w:tabs>
        <w:spacing w:before="0" w:line="360" w:lineRule="exact"/>
        <w:rPr>
          <w:rFonts w:hint="eastAsia" w:ascii="微软雅黑" w:hAnsi="微软雅黑" w:eastAsia="微软雅黑" w:cs="微软雅黑"/>
          <w:color w:val="auto"/>
        </w:rPr>
      </w:pPr>
    </w:p>
    <w:p>
      <w:pPr>
        <w:pStyle w:val="11"/>
        <w:tabs>
          <w:tab w:val="clear" w:pos="567"/>
        </w:tabs>
        <w:spacing w:before="0" w:line="360" w:lineRule="exact"/>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p>
      <w:pPr>
        <w:pStyle w:val="33"/>
        <w:rPr>
          <w:rFonts w:hint="eastAsia" w:ascii="微软雅黑" w:hAnsi="微软雅黑" w:eastAsia="微软雅黑" w:cs="微软雅黑"/>
          <w:color w:val="auto"/>
        </w:rPr>
      </w:pPr>
    </w:p>
    <w:tbl>
      <w:tblPr>
        <w:tblStyle w:val="34"/>
        <w:tblW w:w="0" w:type="auto"/>
        <w:tblInd w:w="-297" w:type="dxa"/>
        <w:tblLayout w:type="fixed"/>
        <w:tblCellMar>
          <w:top w:w="0" w:type="dxa"/>
          <w:left w:w="108" w:type="dxa"/>
          <w:bottom w:w="0" w:type="dxa"/>
          <w:right w:w="108" w:type="dxa"/>
        </w:tblCellMar>
      </w:tblPr>
      <w:tblGrid>
        <w:gridCol w:w="3225"/>
        <w:gridCol w:w="920"/>
        <w:gridCol w:w="1505"/>
        <w:gridCol w:w="1843"/>
        <w:gridCol w:w="1612"/>
      </w:tblGrid>
      <w:tr>
        <w:tblPrEx>
          <w:tblCellMar>
            <w:top w:w="0" w:type="dxa"/>
            <w:left w:w="108" w:type="dxa"/>
            <w:bottom w:w="0" w:type="dxa"/>
            <w:right w:w="108" w:type="dxa"/>
          </w:tblCellMar>
        </w:tblPrEx>
        <w:trPr>
          <w:trHeight w:val="585" w:hRule="atLeast"/>
        </w:trPr>
        <w:tc>
          <w:tcPr>
            <w:tcW w:w="9105" w:type="dxa"/>
            <w:gridSpan w:val="5"/>
            <w:tcBorders>
              <w:top w:val="nil"/>
              <w:left w:val="nil"/>
              <w:bottom w:val="single" w:color="auto" w:sz="4" w:space="0"/>
              <w:right w:val="nil"/>
            </w:tcBorders>
            <w:noWrap w:val="0"/>
            <w:vAlign w:val="center"/>
          </w:tcPr>
          <w:p>
            <w:pPr>
              <w:widowControl/>
              <w:spacing w:line="360" w:lineRule="exact"/>
              <w:jc w:val="center"/>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t>技术符合性审查表</w:t>
            </w:r>
          </w:p>
        </w:tc>
      </w:tr>
      <w:tr>
        <w:tblPrEx>
          <w:tblCellMar>
            <w:top w:w="0" w:type="dxa"/>
            <w:left w:w="108" w:type="dxa"/>
            <w:bottom w:w="0" w:type="dxa"/>
            <w:right w:w="108" w:type="dxa"/>
          </w:tblCellMar>
        </w:tblPrEx>
        <w:trPr>
          <w:trHeight w:val="390" w:hRule="atLeast"/>
        </w:trPr>
        <w:tc>
          <w:tcPr>
            <w:tcW w:w="4145"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审查事项</w:t>
            </w:r>
          </w:p>
        </w:tc>
        <w:tc>
          <w:tcPr>
            <w:tcW w:w="150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lang w:eastAsia="zh-CN"/>
              </w:rPr>
              <w:t>供应商</w:t>
            </w:r>
            <w:r>
              <w:rPr>
                <w:rFonts w:hint="eastAsia" w:ascii="微软雅黑" w:hAnsi="微软雅黑" w:eastAsia="微软雅黑" w:cs="微软雅黑"/>
                <w:color w:val="auto"/>
                <w:kern w:val="0"/>
                <w:sz w:val="22"/>
                <w:szCs w:val="22"/>
              </w:rPr>
              <w:t>名称</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lang w:eastAsia="zh-CN"/>
              </w:rPr>
              <w:t>供应商</w:t>
            </w:r>
            <w:r>
              <w:rPr>
                <w:rFonts w:hint="eastAsia" w:ascii="微软雅黑" w:hAnsi="微软雅黑" w:eastAsia="微软雅黑" w:cs="微软雅黑"/>
                <w:color w:val="auto"/>
                <w:kern w:val="0"/>
                <w:sz w:val="22"/>
                <w:szCs w:val="22"/>
              </w:rPr>
              <w:t>名称</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lang w:eastAsia="zh-CN"/>
              </w:rPr>
              <w:t>供应商</w:t>
            </w:r>
            <w:r>
              <w:rPr>
                <w:rFonts w:hint="eastAsia" w:ascii="微软雅黑" w:hAnsi="微软雅黑" w:eastAsia="微软雅黑" w:cs="微软雅黑"/>
                <w:color w:val="auto"/>
                <w:kern w:val="0"/>
                <w:sz w:val="22"/>
                <w:szCs w:val="22"/>
              </w:rPr>
              <w:t>名称</w:t>
            </w:r>
          </w:p>
        </w:tc>
      </w:tr>
      <w:tr>
        <w:tblPrEx>
          <w:tblCellMar>
            <w:top w:w="0" w:type="dxa"/>
            <w:left w:w="108" w:type="dxa"/>
            <w:bottom w:w="0" w:type="dxa"/>
            <w:right w:w="108" w:type="dxa"/>
          </w:tblCellMar>
        </w:tblPrEx>
        <w:trPr>
          <w:trHeight w:val="570" w:hRule="atLeast"/>
        </w:trPr>
        <w:tc>
          <w:tcPr>
            <w:tcW w:w="4145"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招标文件要求</w:t>
            </w: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条款号</w:t>
            </w: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lang w:val="en-US" w:eastAsia="zh-CN"/>
              </w:rPr>
              <w:t>服务</w:t>
            </w:r>
            <w:r>
              <w:rPr>
                <w:rFonts w:hint="eastAsia" w:ascii="微软雅黑" w:hAnsi="微软雅黑" w:eastAsia="微软雅黑" w:cs="微软雅黑"/>
                <w:color w:val="auto"/>
                <w:kern w:val="0"/>
                <w:sz w:val="22"/>
                <w:szCs w:val="22"/>
              </w:rPr>
              <w:t>需求一览表</w:t>
            </w: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第5章</w:t>
            </w: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b/>
                <w:bCs/>
                <w:color w:val="auto"/>
                <w:kern w:val="0"/>
                <w:sz w:val="22"/>
                <w:szCs w:val="22"/>
              </w:rPr>
            </w:pPr>
            <w:r>
              <w:rPr>
                <w:rFonts w:hint="eastAsia" w:ascii="微软雅黑" w:hAnsi="微软雅黑" w:eastAsia="微软雅黑" w:cs="微软雅黑"/>
                <w:b/>
                <w:bCs/>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b/>
                <w:bCs/>
                <w:color w:val="auto"/>
                <w:kern w:val="0"/>
                <w:sz w:val="22"/>
                <w:szCs w:val="22"/>
              </w:rPr>
            </w:pPr>
            <w:r>
              <w:rPr>
                <w:rFonts w:hint="eastAsia" w:ascii="微软雅黑" w:hAnsi="微软雅黑" w:eastAsia="微软雅黑" w:cs="微软雅黑"/>
                <w:b/>
                <w:bCs/>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lang w:val="en-US" w:eastAsia="zh-CN"/>
              </w:rPr>
            </w:pPr>
            <w:r>
              <w:rPr>
                <w:rFonts w:hint="eastAsia" w:ascii="微软雅黑" w:hAnsi="微软雅黑" w:eastAsia="微软雅黑" w:cs="微软雅黑"/>
                <w:color w:val="auto"/>
                <w:kern w:val="0"/>
                <w:sz w:val="22"/>
                <w:szCs w:val="22"/>
                <w:lang w:val="en-US" w:eastAsia="zh-CN"/>
              </w:rPr>
              <w:t>......</w:t>
            </w: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nil"/>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nil"/>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nil"/>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nil"/>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nil"/>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225"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结论</w:t>
            </w:r>
          </w:p>
        </w:tc>
        <w:tc>
          <w:tcPr>
            <w:tcW w:w="150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161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465" w:hRule="atLeast"/>
        </w:trPr>
        <w:tc>
          <w:tcPr>
            <w:tcW w:w="3225" w:type="dxa"/>
            <w:tcBorders>
              <w:top w:val="nil"/>
              <w:left w:val="nil"/>
              <w:bottom w:val="nil"/>
              <w:right w:val="nil"/>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920" w:type="dxa"/>
            <w:tcBorders>
              <w:top w:val="nil"/>
              <w:left w:val="nil"/>
              <w:bottom w:val="nil"/>
              <w:right w:val="nil"/>
            </w:tcBorders>
            <w:noWrap w:val="0"/>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1505" w:type="dxa"/>
            <w:tcBorders>
              <w:top w:val="nil"/>
              <w:left w:val="nil"/>
              <w:bottom w:val="nil"/>
              <w:right w:val="nil"/>
            </w:tcBorders>
            <w:noWrap w:val="0"/>
            <w:vAlign w:val="center"/>
          </w:tcPr>
          <w:p>
            <w:pPr>
              <w:widowControl/>
              <w:spacing w:line="360" w:lineRule="exact"/>
              <w:jc w:val="center"/>
              <w:rPr>
                <w:rFonts w:hint="eastAsia" w:ascii="微软雅黑" w:hAnsi="微软雅黑" w:eastAsia="微软雅黑" w:cs="微软雅黑"/>
                <w:color w:val="auto"/>
                <w:kern w:val="0"/>
                <w:sz w:val="20"/>
                <w:szCs w:val="20"/>
              </w:rPr>
            </w:pPr>
          </w:p>
        </w:tc>
        <w:tc>
          <w:tcPr>
            <w:tcW w:w="1843" w:type="dxa"/>
            <w:tcBorders>
              <w:top w:val="nil"/>
              <w:left w:val="nil"/>
              <w:bottom w:val="nil"/>
              <w:right w:val="nil"/>
            </w:tcBorders>
            <w:noWrap w:val="0"/>
            <w:vAlign w:val="center"/>
          </w:tcPr>
          <w:p>
            <w:pPr>
              <w:widowControl/>
              <w:spacing w:line="360" w:lineRule="exact"/>
              <w:jc w:val="left"/>
              <w:rPr>
                <w:rFonts w:hint="eastAsia" w:ascii="微软雅黑" w:hAnsi="微软雅黑" w:eastAsia="微软雅黑" w:cs="微软雅黑"/>
                <w:color w:val="auto"/>
                <w:kern w:val="0"/>
                <w:sz w:val="20"/>
                <w:szCs w:val="20"/>
              </w:rPr>
            </w:pPr>
          </w:p>
        </w:tc>
        <w:tc>
          <w:tcPr>
            <w:tcW w:w="1612" w:type="dxa"/>
            <w:tcBorders>
              <w:top w:val="nil"/>
              <w:left w:val="nil"/>
              <w:bottom w:val="nil"/>
              <w:right w:val="nil"/>
            </w:tcBorders>
            <w:noWrap w:val="0"/>
            <w:vAlign w:val="center"/>
          </w:tcPr>
          <w:p>
            <w:pPr>
              <w:widowControl/>
              <w:spacing w:line="360" w:lineRule="exact"/>
              <w:jc w:val="left"/>
              <w:rPr>
                <w:rFonts w:hint="eastAsia" w:ascii="微软雅黑" w:hAnsi="微软雅黑" w:eastAsia="微软雅黑" w:cs="微软雅黑"/>
                <w:color w:val="auto"/>
                <w:kern w:val="0"/>
                <w:sz w:val="22"/>
                <w:szCs w:val="22"/>
              </w:rPr>
            </w:pPr>
          </w:p>
        </w:tc>
      </w:tr>
    </w:tbl>
    <w:p>
      <w:pPr>
        <w:pStyle w:val="99"/>
        <w:spacing w:after="0" w:afterLines="0" w:line="440" w:lineRule="exact"/>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jc w:val="both"/>
        <w:outlineLvl w:val="9"/>
        <w:rPr>
          <w:rFonts w:hint="eastAsia" w:ascii="微软雅黑" w:hAnsi="微软雅黑" w:eastAsia="微软雅黑" w:cs="微软雅黑"/>
          <w:bCs/>
          <w:color w:val="auto"/>
          <w:sz w:val="28"/>
          <w:szCs w:val="28"/>
        </w:rPr>
      </w:pPr>
    </w:p>
    <w:p>
      <w:pPr>
        <w:pStyle w:val="99"/>
        <w:spacing w:after="0" w:afterLines="0" w:line="440" w:lineRule="exact"/>
        <w:outlineLvl w:val="9"/>
        <w:rPr>
          <w:rFonts w:hint="eastAsia" w:ascii="微软雅黑" w:hAnsi="微软雅黑" w:eastAsia="微软雅黑" w:cs="微软雅黑"/>
          <w:bCs/>
          <w:color w:val="auto"/>
          <w:sz w:val="28"/>
          <w:szCs w:val="28"/>
        </w:rPr>
      </w:pPr>
    </w:p>
    <w:p>
      <w:pPr>
        <w:pStyle w:val="99"/>
        <w:spacing w:after="0" w:afterLines="0" w:line="440" w:lineRule="exact"/>
        <w:outlineLvl w:val="1"/>
        <w:rPr>
          <w:rFonts w:hint="eastAsia" w:ascii="微软雅黑" w:hAnsi="微软雅黑" w:eastAsia="微软雅黑" w:cs="微软雅黑"/>
          <w:b/>
          <w:bCs/>
          <w:color w:val="auto"/>
          <w:sz w:val="24"/>
        </w:rPr>
      </w:pPr>
      <w:bookmarkStart w:id="509" w:name="_Toc28908"/>
      <w:bookmarkStart w:id="510" w:name="_Toc16164"/>
      <w:bookmarkStart w:id="511" w:name="_Toc3075"/>
      <w:bookmarkStart w:id="512" w:name="_Toc12883"/>
      <w:r>
        <w:rPr>
          <w:rFonts w:hint="eastAsia" w:ascii="微软雅黑" w:hAnsi="微软雅黑" w:eastAsia="微软雅黑" w:cs="微软雅黑"/>
          <w:bCs/>
          <w:color w:val="auto"/>
          <w:sz w:val="28"/>
          <w:szCs w:val="28"/>
          <w:lang w:val="en-US" w:eastAsia="zh-CN"/>
        </w:rPr>
        <w:t>综合评分</w:t>
      </w:r>
      <w:r>
        <w:rPr>
          <w:rFonts w:hint="eastAsia" w:ascii="微软雅黑" w:hAnsi="微软雅黑" w:eastAsia="微软雅黑" w:cs="微软雅黑"/>
          <w:bCs/>
          <w:color w:val="auto"/>
          <w:sz w:val="28"/>
          <w:szCs w:val="28"/>
        </w:rPr>
        <w:t>表</w:t>
      </w:r>
      <w:bookmarkEnd w:id="509"/>
      <w:bookmarkEnd w:id="510"/>
      <w:bookmarkEnd w:id="511"/>
      <w:bookmarkEnd w:id="512"/>
    </w:p>
    <w:tbl>
      <w:tblPr>
        <w:tblStyle w:val="34"/>
        <w:tblpPr w:leftFromText="180" w:rightFromText="180" w:vertAnchor="text" w:horzAnchor="page" w:tblpX="1004" w:tblpY="317"/>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3"/>
        <w:gridCol w:w="661"/>
        <w:gridCol w:w="601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bookmarkStart w:id="513" w:name="_Toc507399904"/>
            <w:r>
              <w:rPr>
                <w:rFonts w:hint="eastAsia" w:ascii="微软雅黑" w:hAnsi="微软雅黑" w:eastAsia="微软雅黑" w:cs="微软雅黑"/>
                <w:b/>
                <w:color w:val="auto"/>
                <w:sz w:val="18"/>
                <w:szCs w:val="18"/>
              </w:rPr>
              <w:t>序号</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评分因素</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及权重</w:t>
            </w: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分值</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评分标准</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价   格：</w:t>
            </w:r>
            <w:r>
              <w:rPr>
                <w:rFonts w:hint="eastAsia" w:ascii="微软雅黑" w:hAnsi="微软雅黑" w:eastAsia="微软雅黑" w:cs="微软雅黑"/>
                <w:color w:val="auto"/>
                <w:sz w:val="18"/>
                <w:szCs w:val="18"/>
                <w:lang w:val="en-US" w:eastAsia="zh-CN"/>
              </w:rPr>
              <w:t>20</w:t>
            </w:r>
            <w:r>
              <w:rPr>
                <w:rFonts w:hint="eastAsia" w:ascii="微软雅黑" w:hAnsi="微软雅黑" w:eastAsia="微软雅黑" w:cs="微软雅黑"/>
                <w:color w:val="auto"/>
                <w:sz w:val="18"/>
                <w:szCs w:val="18"/>
              </w:rPr>
              <w:t>分  商   务：</w:t>
            </w:r>
            <w:r>
              <w:rPr>
                <w:rFonts w:hint="eastAsia" w:ascii="微软雅黑" w:hAnsi="微软雅黑" w:eastAsia="微软雅黑" w:cs="微软雅黑"/>
                <w:color w:val="auto"/>
                <w:sz w:val="18"/>
                <w:szCs w:val="18"/>
                <w:lang w:val="en-US" w:eastAsia="zh-CN"/>
              </w:rPr>
              <w:t>10</w:t>
            </w:r>
            <w:r>
              <w:rPr>
                <w:rFonts w:hint="eastAsia" w:ascii="微软雅黑" w:hAnsi="微软雅黑" w:eastAsia="微软雅黑" w:cs="微软雅黑"/>
                <w:color w:val="auto"/>
                <w:sz w:val="18"/>
                <w:szCs w:val="18"/>
              </w:rPr>
              <w:t>分   技   术：</w:t>
            </w:r>
            <w:r>
              <w:rPr>
                <w:rFonts w:hint="eastAsia" w:ascii="微软雅黑" w:hAnsi="微软雅黑" w:eastAsia="微软雅黑" w:cs="微软雅黑"/>
                <w:color w:val="auto"/>
                <w:sz w:val="18"/>
                <w:szCs w:val="18"/>
                <w:lang w:val="en-US" w:eastAsia="zh-CN"/>
              </w:rPr>
              <w:t>70</w:t>
            </w:r>
            <w:r>
              <w:rPr>
                <w:rFonts w:hint="eastAsia" w:ascii="微软雅黑" w:hAnsi="微软雅黑" w:eastAsia="微软雅黑" w:cs="微软雅黑"/>
                <w:color w:val="auto"/>
                <w:sz w:val="18"/>
                <w:szCs w:val="18"/>
              </w:rPr>
              <w:t xml:space="preserve">分              </w:t>
            </w:r>
          </w:p>
        </w:tc>
        <w:tc>
          <w:tcPr>
            <w:tcW w:w="1343" w:type="dxa"/>
            <w:noWrap w:val="0"/>
            <w:vAlign w:val="center"/>
          </w:tcPr>
          <w:p>
            <w:pPr>
              <w:pStyle w:val="98"/>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价格评分标准</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投标报价</w:t>
            </w: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20</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完全满足</w:t>
            </w:r>
            <w:r>
              <w:rPr>
                <w:rFonts w:hint="eastAsia" w:ascii="微软雅黑" w:hAnsi="微软雅黑" w:eastAsia="微软雅黑" w:cs="微软雅黑"/>
                <w:color w:val="auto"/>
                <w:sz w:val="18"/>
                <w:szCs w:val="18"/>
                <w:lang w:eastAsia="zh-CN"/>
              </w:rPr>
              <w:t>招标文件</w:t>
            </w:r>
            <w:r>
              <w:rPr>
                <w:rFonts w:hint="eastAsia" w:ascii="微软雅黑" w:hAnsi="微软雅黑" w:eastAsia="微软雅黑" w:cs="微软雅黑"/>
                <w:color w:val="auto"/>
                <w:sz w:val="18"/>
                <w:szCs w:val="18"/>
                <w:lang w:val="en-US" w:eastAsia="zh-CN"/>
              </w:rPr>
              <w:t>要求</w:t>
            </w:r>
            <w:r>
              <w:rPr>
                <w:rFonts w:hint="eastAsia" w:ascii="微软雅黑" w:hAnsi="微软雅黑" w:eastAsia="微软雅黑" w:cs="微软雅黑"/>
                <w:color w:val="auto"/>
                <w:sz w:val="18"/>
                <w:szCs w:val="18"/>
              </w:rPr>
              <w:t>的投标报价中的最低价为评标基准价，按照下列公式计算每个</w:t>
            </w:r>
            <w:r>
              <w:rPr>
                <w:rFonts w:hint="eastAsia" w:ascii="微软雅黑" w:hAnsi="微软雅黑" w:eastAsia="微软雅黑" w:cs="微软雅黑"/>
                <w:color w:val="auto"/>
                <w:sz w:val="18"/>
                <w:szCs w:val="18"/>
                <w:lang w:eastAsia="zh-CN"/>
              </w:rPr>
              <w:t>供应商</w:t>
            </w:r>
            <w:r>
              <w:rPr>
                <w:rFonts w:hint="eastAsia" w:ascii="微软雅黑" w:hAnsi="微软雅黑" w:eastAsia="微软雅黑" w:cs="微软雅黑"/>
                <w:color w:val="auto"/>
                <w:sz w:val="18"/>
                <w:szCs w:val="18"/>
              </w:rPr>
              <w:t>的投标价格得分。投标报价得分＝（基准价/投标报价）×价格权重×100。</w:t>
            </w:r>
          </w:p>
        </w:tc>
        <w:tc>
          <w:tcPr>
            <w:tcW w:w="13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商务评分标准</w:t>
            </w:r>
          </w:p>
        </w:tc>
        <w:tc>
          <w:tcPr>
            <w:tcW w:w="12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sz w:val="18"/>
                <w:szCs w:val="18"/>
              </w:rPr>
              <w:t>企业综合实力</w:t>
            </w: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8</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提供近三年内类似项目业绩证明材料（中标通知书或合同），每提供一个得2分，共</w:t>
            </w:r>
            <w:r>
              <w:rPr>
                <w:rFonts w:hint="eastAsia" w:ascii="微软雅黑" w:hAnsi="微软雅黑" w:eastAsia="微软雅黑" w:cs="微软雅黑"/>
                <w:color w:val="auto"/>
                <w:sz w:val="18"/>
                <w:szCs w:val="18"/>
                <w:lang w:val="en-US" w:eastAsia="zh-CN"/>
              </w:rPr>
              <w:t>8</w:t>
            </w:r>
            <w:r>
              <w:rPr>
                <w:rFonts w:hint="eastAsia" w:ascii="微软雅黑" w:hAnsi="微软雅黑" w:eastAsia="微软雅黑" w:cs="微软雅黑"/>
                <w:color w:val="auto"/>
                <w:sz w:val="18"/>
                <w:szCs w:val="18"/>
              </w:rPr>
              <w:t>分，不提供不得分。</w:t>
            </w:r>
          </w:p>
        </w:tc>
        <w:tc>
          <w:tcPr>
            <w:tcW w:w="13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b/>
                <w:bCs/>
                <w:color w:val="auto"/>
                <w:sz w:val="18"/>
                <w:szCs w:val="18"/>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val="en-US" w:eastAsia="zh-CN"/>
              </w:rPr>
              <w:t>2</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rPr>
              <w:t>经营地址注册在上海市行政区域范围内或</w:t>
            </w:r>
            <w:r>
              <w:rPr>
                <w:rFonts w:hint="eastAsia" w:ascii="微软雅黑" w:hAnsi="微软雅黑" w:eastAsia="微软雅黑" w:cs="微软雅黑"/>
                <w:color w:val="auto"/>
                <w:sz w:val="18"/>
                <w:szCs w:val="18"/>
                <w:lang w:val="en-US" w:eastAsia="zh-CN"/>
              </w:rPr>
              <w:t>自</w:t>
            </w:r>
            <w:r>
              <w:rPr>
                <w:rFonts w:hint="eastAsia" w:ascii="微软雅黑" w:hAnsi="微软雅黑" w:eastAsia="微软雅黑" w:cs="微软雅黑"/>
                <w:color w:val="auto"/>
                <w:sz w:val="18"/>
                <w:szCs w:val="18"/>
                <w:lang w:eastAsia="zh-CN"/>
              </w:rPr>
              <w:t>有</w:t>
            </w:r>
            <w:r>
              <w:rPr>
                <w:rFonts w:hint="eastAsia" w:ascii="微软雅黑" w:hAnsi="微软雅黑" w:eastAsia="微软雅黑" w:cs="微软雅黑"/>
                <w:color w:val="auto"/>
                <w:sz w:val="18"/>
                <w:szCs w:val="18"/>
                <w:lang w:val="en-US" w:eastAsia="zh-CN"/>
              </w:rPr>
              <w:t>长期</w:t>
            </w:r>
            <w:r>
              <w:rPr>
                <w:rFonts w:hint="eastAsia" w:ascii="微软雅黑" w:hAnsi="微软雅黑" w:eastAsia="微软雅黑" w:cs="微软雅黑"/>
                <w:color w:val="auto"/>
                <w:sz w:val="18"/>
                <w:szCs w:val="18"/>
                <w:lang w:eastAsia="zh-CN"/>
              </w:rPr>
              <w:t>固定（</w:t>
            </w:r>
            <w:r>
              <w:rPr>
                <w:rFonts w:hint="eastAsia" w:ascii="微软雅黑" w:hAnsi="微软雅黑" w:eastAsia="微软雅黑" w:cs="微软雅黑"/>
                <w:color w:val="auto"/>
                <w:sz w:val="18"/>
                <w:szCs w:val="18"/>
                <w:lang w:val="en-US" w:eastAsia="zh-CN"/>
              </w:rPr>
              <w:t>三年以上</w:t>
            </w:r>
            <w:r>
              <w:rPr>
                <w:rFonts w:hint="eastAsia" w:ascii="微软雅黑" w:hAnsi="微软雅黑" w:eastAsia="微软雅黑" w:cs="微软雅黑"/>
                <w:color w:val="auto"/>
                <w:sz w:val="18"/>
                <w:szCs w:val="18"/>
                <w:lang w:eastAsia="zh-CN"/>
              </w:rPr>
              <w:t>）的办公场所得</w:t>
            </w:r>
            <w:r>
              <w:rPr>
                <w:rFonts w:hint="eastAsia" w:ascii="微软雅黑" w:hAnsi="微软雅黑" w:eastAsia="微软雅黑" w:cs="微软雅黑"/>
                <w:color w:val="auto"/>
                <w:sz w:val="18"/>
                <w:szCs w:val="18"/>
                <w:lang w:val="en-US" w:eastAsia="zh-CN"/>
              </w:rPr>
              <w:t>2分。</w:t>
            </w:r>
            <w:r>
              <w:rPr>
                <w:rFonts w:hint="eastAsia" w:ascii="微软雅黑" w:hAnsi="微软雅黑" w:eastAsia="微软雅黑" w:cs="微软雅黑"/>
                <w:b/>
                <w:bCs/>
                <w:color w:val="auto"/>
                <w:kern w:val="0"/>
                <w:sz w:val="18"/>
                <w:szCs w:val="18"/>
                <w:highlight w:val="none"/>
                <w:lang w:val="en-US" w:eastAsia="zh-CN"/>
              </w:rPr>
              <w:t>（投标文件内</w:t>
            </w:r>
            <w:r>
              <w:rPr>
                <w:rFonts w:hint="eastAsia" w:ascii="微软雅黑" w:hAnsi="微软雅黑" w:eastAsia="微软雅黑" w:cs="微软雅黑"/>
                <w:b/>
                <w:bCs/>
                <w:color w:val="auto"/>
                <w:sz w:val="18"/>
                <w:szCs w:val="18"/>
                <w:highlight w:val="none"/>
                <w:lang w:val="en-US" w:eastAsia="zh-CN"/>
              </w:rPr>
              <w:t>须</w:t>
            </w:r>
            <w:r>
              <w:rPr>
                <w:rFonts w:hint="eastAsia" w:ascii="微软雅黑" w:hAnsi="微软雅黑" w:eastAsia="微软雅黑" w:cs="微软雅黑"/>
                <w:b/>
                <w:bCs/>
                <w:color w:val="auto"/>
                <w:kern w:val="0"/>
                <w:sz w:val="18"/>
                <w:szCs w:val="18"/>
                <w:highlight w:val="none"/>
                <w:lang w:val="en-US" w:eastAsia="zh-CN"/>
              </w:rPr>
              <w:t>提供相关证明材料如不动产证或租赁合同等，否则不得分。）</w:t>
            </w:r>
          </w:p>
        </w:tc>
        <w:tc>
          <w:tcPr>
            <w:tcW w:w="13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技术评分标准</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项目总体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规划</w:t>
            </w:r>
            <w:r>
              <w:rPr>
                <w:rFonts w:hint="eastAsia" w:ascii="微软雅黑" w:hAnsi="微软雅黑" w:eastAsia="微软雅黑" w:cs="微软雅黑"/>
                <w:color w:val="auto"/>
                <w:sz w:val="18"/>
                <w:szCs w:val="18"/>
                <w:lang w:eastAsia="zh-CN"/>
              </w:rPr>
              <w:t>与课程安排</w:t>
            </w: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12</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综合考虑供应商对本项目工作的总体认识、理解和课程的整体规划。</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内容全面、具体、清晰、课程安排合理得：12分；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内容较为全面、较为具体、较为清晰、课程安排较为合理得：8分；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内容不够全面、不够具体、不够清晰、课程安排不够合理得：4分。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不提供不得分。</w:t>
            </w:r>
          </w:p>
        </w:tc>
        <w:tc>
          <w:tcPr>
            <w:tcW w:w="13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b/>
                <w:bCs/>
                <w:color w:val="auto"/>
                <w:sz w:val="18"/>
                <w:szCs w:val="18"/>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拟投入本项目的执行团队情况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rPr>
            </w:pP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15</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项目负责人：项目负责人应具有丰富的实践经验和组织管理能力；</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项目组组成人员：项目组的人员构成合理，项目经验丰富，有利于项目的执行，是一支具有专业性、科学性、可靠性的执行团队。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项目团队配置合理、科学性强、专业性强、团队经验丰富得15分；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项目团队配置较为合理、科学性较强、专业性较强、团队欠缺得 10分；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项目团队配置不合理、专业性不足、团队无相关经验得5分；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eastAsia="zh-CN"/>
              </w:rPr>
              <w:t>不提供不得分。</w:t>
            </w:r>
          </w:p>
        </w:tc>
        <w:tc>
          <w:tcPr>
            <w:tcW w:w="13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食宿餐饮方案</w:t>
            </w: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val="en-US"/>
              </w:rPr>
            </w:pPr>
            <w:r>
              <w:rPr>
                <w:rFonts w:hint="eastAsia" w:ascii="微软雅黑" w:hAnsi="微软雅黑" w:eastAsia="微软雅黑" w:cs="微软雅黑"/>
                <w:color w:val="auto"/>
                <w:sz w:val="18"/>
                <w:szCs w:val="18"/>
                <w:lang w:val="en-US" w:eastAsia="zh-CN"/>
              </w:rPr>
              <w:t>14</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餐饮食宿安排计划周密、考虑全面、饮食及住宿安全保</w:t>
            </w:r>
            <w:r>
              <w:rPr>
                <w:rFonts w:hint="eastAsia" w:ascii="微软雅黑" w:hAnsi="微软雅黑" w:eastAsia="微软雅黑" w:cs="微软雅黑"/>
                <w:color w:val="auto"/>
                <w:sz w:val="18"/>
                <w:szCs w:val="18"/>
                <w:lang w:eastAsia="zh-CN"/>
              </w:rPr>
              <w:t>障</w:t>
            </w:r>
            <w:r>
              <w:rPr>
                <w:rFonts w:hint="eastAsia" w:ascii="微软雅黑" w:hAnsi="微软雅黑" w:eastAsia="微软雅黑" w:cs="微软雅黑"/>
                <w:color w:val="auto"/>
                <w:sz w:val="18"/>
                <w:szCs w:val="18"/>
              </w:rPr>
              <w:t>措施完善得</w:t>
            </w:r>
            <w:r>
              <w:rPr>
                <w:rFonts w:hint="eastAsia" w:ascii="微软雅黑" w:hAnsi="微软雅黑" w:eastAsia="微软雅黑" w:cs="微软雅黑"/>
                <w:color w:val="auto"/>
                <w:sz w:val="18"/>
                <w:szCs w:val="18"/>
                <w:lang w:val="en-US" w:eastAsia="zh-CN"/>
              </w:rPr>
              <w:t>14</w:t>
            </w:r>
            <w:r>
              <w:rPr>
                <w:rFonts w:hint="eastAsia" w:ascii="微软雅黑" w:hAnsi="微软雅黑" w:eastAsia="微软雅黑" w:cs="微软雅黑"/>
                <w:color w:val="auto"/>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餐饮食宿安排计划</w:t>
            </w:r>
            <w:r>
              <w:rPr>
                <w:rFonts w:hint="eastAsia" w:ascii="微软雅黑" w:hAnsi="微软雅黑" w:eastAsia="微软雅黑" w:cs="微软雅黑"/>
                <w:color w:val="auto"/>
                <w:sz w:val="18"/>
                <w:szCs w:val="18"/>
                <w:lang w:eastAsia="zh-CN"/>
              </w:rPr>
              <w:t>较</w:t>
            </w:r>
            <w:r>
              <w:rPr>
                <w:rFonts w:hint="eastAsia" w:ascii="微软雅黑" w:hAnsi="微软雅黑" w:eastAsia="微软雅黑" w:cs="微软雅黑"/>
                <w:color w:val="auto"/>
                <w:sz w:val="18"/>
                <w:szCs w:val="18"/>
              </w:rPr>
              <w:t>周密、考虑</w:t>
            </w:r>
            <w:r>
              <w:rPr>
                <w:rFonts w:hint="eastAsia" w:ascii="微软雅黑" w:hAnsi="微软雅黑" w:eastAsia="微软雅黑" w:cs="微软雅黑"/>
                <w:color w:val="auto"/>
                <w:sz w:val="18"/>
                <w:szCs w:val="18"/>
                <w:lang w:eastAsia="zh-CN"/>
              </w:rPr>
              <w:t>较</w:t>
            </w:r>
            <w:r>
              <w:rPr>
                <w:rFonts w:hint="eastAsia" w:ascii="微软雅黑" w:hAnsi="微软雅黑" w:eastAsia="微软雅黑" w:cs="微软雅黑"/>
                <w:color w:val="auto"/>
                <w:sz w:val="18"/>
                <w:szCs w:val="18"/>
              </w:rPr>
              <w:t>全面、饮食及住宿安全保证措施</w:t>
            </w:r>
            <w:r>
              <w:rPr>
                <w:rFonts w:hint="eastAsia" w:ascii="微软雅黑" w:hAnsi="微软雅黑" w:eastAsia="微软雅黑" w:cs="微软雅黑"/>
                <w:color w:val="auto"/>
                <w:sz w:val="18"/>
                <w:szCs w:val="18"/>
                <w:lang w:eastAsia="zh-CN"/>
              </w:rPr>
              <w:t>较</w:t>
            </w:r>
            <w:r>
              <w:rPr>
                <w:rFonts w:hint="eastAsia" w:ascii="微软雅黑" w:hAnsi="微软雅黑" w:eastAsia="微软雅黑" w:cs="微软雅黑"/>
                <w:color w:val="auto"/>
                <w:sz w:val="18"/>
                <w:szCs w:val="18"/>
              </w:rPr>
              <w:t>完善得</w:t>
            </w:r>
            <w:r>
              <w:rPr>
                <w:rFonts w:hint="eastAsia" w:ascii="微软雅黑" w:hAnsi="微软雅黑" w:eastAsia="微软雅黑" w:cs="微软雅黑"/>
                <w:color w:val="auto"/>
                <w:sz w:val="18"/>
                <w:szCs w:val="18"/>
                <w:lang w:val="en-US" w:eastAsia="zh-CN"/>
              </w:rPr>
              <w:t>10</w:t>
            </w:r>
            <w:r>
              <w:rPr>
                <w:rFonts w:hint="eastAsia" w:ascii="微软雅黑" w:hAnsi="微软雅黑" w:eastAsia="微软雅黑" w:cs="微软雅黑"/>
                <w:color w:val="auto"/>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餐饮食宿安排计划</w:t>
            </w:r>
            <w:r>
              <w:rPr>
                <w:rFonts w:hint="eastAsia" w:ascii="微软雅黑" w:hAnsi="微软雅黑" w:eastAsia="微软雅黑" w:cs="微软雅黑"/>
                <w:color w:val="auto"/>
                <w:sz w:val="18"/>
                <w:szCs w:val="18"/>
                <w:lang w:eastAsia="zh-CN"/>
              </w:rPr>
              <w:t>基本</w:t>
            </w:r>
            <w:r>
              <w:rPr>
                <w:rFonts w:hint="eastAsia" w:ascii="微软雅黑" w:hAnsi="微软雅黑" w:eastAsia="微软雅黑" w:cs="微软雅黑"/>
                <w:color w:val="auto"/>
                <w:sz w:val="18"/>
                <w:szCs w:val="18"/>
              </w:rPr>
              <w:t>周密、考虑</w:t>
            </w:r>
            <w:r>
              <w:rPr>
                <w:rFonts w:hint="eastAsia" w:ascii="微软雅黑" w:hAnsi="微软雅黑" w:eastAsia="微软雅黑" w:cs="微软雅黑"/>
                <w:color w:val="auto"/>
                <w:sz w:val="18"/>
                <w:szCs w:val="18"/>
                <w:lang w:eastAsia="zh-CN"/>
              </w:rPr>
              <w:t>基本</w:t>
            </w:r>
            <w:r>
              <w:rPr>
                <w:rFonts w:hint="eastAsia" w:ascii="微软雅黑" w:hAnsi="微软雅黑" w:eastAsia="微软雅黑" w:cs="微软雅黑"/>
                <w:color w:val="auto"/>
                <w:sz w:val="18"/>
                <w:szCs w:val="18"/>
              </w:rPr>
              <w:t>全面、饮食及住宿安全保证措施</w:t>
            </w:r>
            <w:r>
              <w:rPr>
                <w:rFonts w:hint="eastAsia" w:ascii="微软雅黑" w:hAnsi="微软雅黑" w:eastAsia="微软雅黑" w:cs="微软雅黑"/>
                <w:color w:val="auto"/>
                <w:sz w:val="18"/>
                <w:szCs w:val="18"/>
                <w:lang w:eastAsia="zh-CN"/>
              </w:rPr>
              <w:t>基本</w:t>
            </w:r>
            <w:r>
              <w:rPr>
                <w:rFonts w:hint="eastAsia" w:ascii="微软雅黑" w:hAnsi="微软雅黑" w:eastAsia="微软雅黑" w:cs="微软雅黑"/>
                <w:color w:val="auto"/>
                <w:sz w:val="18"/>
                <w:szCs w:val="18"/>
              </w:rPr>
              <w:t>完善得</w:t>
            </w:r>
            <w:r>
              <w:rPr>
                <w:rFonts w:hint="eastAsia" w:ascii="微软雅黑" w:hAnsi="微软雅黑" w:eastAsia="微软雅黑" w:cs="微软雅黑"/>
                <w:color w:val="auto"/>
                <w:sz w:val="18"/>
                <w:szCs w:val="18"/>
                <w:lang w:val="en-US" w:eastAsia="zh-CN"/>
              </w:rPr>
              <w:t>8</w:t>
            </w:r>
            <w:r>
              <w:rPr>
                <w:rFonts w:hint="eastAsia" w:ascii="微软雅黑" w:hAnsi="微软雅黑" w:eastAsia="微软雅黑" w:cs="微软雅黑"/>
                <w:color w:val="auto"/>
                <w:sz w:val="18"/>
                <w:szCs w:val="18"/>
              </w:rPr>
              <w:t>分。不提供不得分。</w:t>
            </w:r>
          </w:p>
        </w:tc>
        <w:tc>
          <w:tcPr>
            <w:tcW w:w="13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交通、车辆安排方案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16</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方案内容考虑全面、交通出行线路安排妥当、安全保障措施完善、交通车辆质量保证措施完善、急救车安排计划完善得</w:t>
            </w:r>
            <w:r>
              <w:rPr>
                <w:rFonts w:hint="eastAsia" w:ascii="微软雅黑" w:hAnsi="微软雅黑" w:eastAsia="微软雅黑" w:cs="微软雅黑"/>
                <w:color w:val="auto"/>
                <w:sz w:val="18"/>
                <w:szCs w:val="18"/>
                <w:lang w:val="en-US" w:eastAsia="zh-CN"/>
              </w:rPr>
              <w:t>16</w:t>
            </w:r>
            <w:r>
              <w:rPr>
                <w:rFonts w:hint="eastAsia" w:ascii="微软雅黑" w:hAnsi="微软雅黑" w:eastAsia="微软雅黑" w:cs="微软雅黑"/>
                <w:color w:val="auto"/>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方案内容考虑较全面、交通出行线路安排妥当、安全保障措施较完善、交通车辆质量保证措施较完善、急救车安排计划较完善得</w:t>
            </w:r>
            <w:r>
              <w:rPr>
                <w:rFonts w:hint="eastAsia" w:ascii="微软雅黑" w:hAnsi="微软雅黑" w:eastAsia="微软雅黑" w:cs="微软雅黑"/>
                <w:color w:val="auto"/>
                <w:sz w:val="18"/>
                <w:szCs w:val="18"/>
                <w:lang w:val="en-US" w:eastAsia="zh-CN"/>
              </w:rPr>
              <w:t>12</w:t>
            </w:r>
            <w:r>
              <w:rPr>
                <w:rFonts w:hint="eastAsia" w:ascii="微软雅黑" w:hAnsi="微软雅黑" w:eastAsia="微软雅黑" w:cs="微软雅黑"/>
                <w:color w:val="auto"/>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方案内容考虑不够全面、交通出行线路安排不够妥当、安全保障措施不够完善、交通车辆质量保证措施不够完善、急救车安排计划不够完善得</w:t>
            </w:r>
            <w:r>
              <w:rPr>
                <w:rFonts w:hint="eastAsia" w:ascii="微软雅黑" w:hAnsi="微软雅黑" w:eastAsia="微软雅黑" w:cs="微软雅黑"/>
                <w:color w:val="auto"/>
                <w:sz w:val="18"/>
                <w:szCs w:val="18"/>
                <w:lang w:val="en-US" w:eastAsia="zh-CN"/>
              </w:rPr>
              <w:t>8</w:t>
            </w:r>
            <w:r>
              <w:rPr>
                <w:rFonts w:hint="eastAsia" w:ascii="微软雅黑" w:hAnsi="微软雅黑" w:eastAsia="微软雅黑" w:cs="微软雅黑"/>
                <w:color w:val="auto"/>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不提供不得分。</w:t>
            </w:r>
          </w:p>
        </w:tc>
        <w:tc>
          <w:tcPr>
            <w:tcW w:w="13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应急预案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val="en-US" w:eastAsia="zh-CN"/>
              </w:rPr>
            </w:pP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10</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对突发性事件预估合理性，全面度；应急处理措施的全面性、有效性、可操作性等进行评审。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对于突发事件预估合理、全面；应急预案全面有效、可行、可操作性强，得</w:t>
            </w:r>
            <w:r>
              <w:rPr>
                <w:rFonts w:hint="eastAsia" w:ascii="微软雅黑" w:hAnsi="微软雅黑" w:eastAsia="微软雅黑" w:cs="微软雅黑"/>
                <w:color w:val="auto"/>
                <w:sz w:val="18"/>
                <w:szCs w:val="18"/>
                <w:lang w:val="en-US" w:eastAsia="zh-CN"/>
              </w:rPr>
              <w:t>10</w:t>
            </w:r>
            <w:r>
              <w:rPr>
                <w:rFonts w:hint="eastAsia" w:ascii="微软雅黑" w:hAnsi="微软雅黑" w:eastAsia="微软雅黑" w:cs="微软雅黑"/>
                <w:color w:val="auto"/>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对于突发事件预估不够全面；预案可操作性一般，得</w:t>
            </w:r>
            <w:r>
              <w:rPr>
                <w:rFonts w:hint="eastAsia" w:ascii="微软雅黑" w:hAnsi="微软雅黑" w:eastAsia="微软雅黑" w:cs="微软雅黑"/>
                <w:color w:val="auto"/>
                <w:sz w:val="18"/>
                <w:szCs w:val="18"/>
                <w:lang w:val="en-US" w:eastAsia="zh-CN"/>
              </w:rPr>
              <w:t>7</w:t>
            </w:r>
            <w:r>
              <w:rPr>
                <w:rFonts w:hint="eastAsia" w:ascii="微软雅黑" w:hAnsi="微软雅黑" w:eastAsia="微软雅黑" w:cs="微软雅黑"/>
                <w:color w:val="auto"/>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应急预案较差，可操作性较差，得 </w:t>
            </w:r>
            <w:r>
              <w:rPr>
                <w:rFonts w:hint="eastAsia" w:ascii="微软雅黑" w:hAnsi="微软雅黑" w:eastAsia="微软雅黑" w:cs="微软雅黑"/>
                <w:color w:val="auto"/>
                <w:sz w:val="18"/>
                <w:szCs w:val="18"/>
                <w:lang w:val="en-US" w:eastAsia="zh-CN"/>
              </w:rPr>
              <w:t>4</w:t>
            </w:r>
            <w:r>
              <w:rPr>
                <w:rFonts w:hint="eastAsia" w:ascii="微软雅黑" w:hAnsi="微软雅黑" w:eastAsia="微软雅黑" w:cs="微软雅黑"/>
                <w:color w:val="auto"/>
                <w:sz w:val="18"/>
                <w:szCs w:val="18"/>
              </w:rPr>
              <w:t xml:space="preserve">分；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不提供不得分。</w:t>
            </w:r>
          </w:p>
        </w:tc>
        <w:tc>
          <w:tcPr>
            <w:tcW w:w="13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kern w:val="0"/>
                <w:sz w:val="18"/>
                <w:szCs w:val="18"/>
              </w:rPr>
              <w:t>标书制作</w:t>
            </w: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3</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val="en-US" w:eastAsia="zh-CN"/>
              </w:rPr>
              <w:t>投标文件目录清晰、页码连续、目录与页码对应准确，评审内容便于查找，正副本内容一样清晰可辨得3分，否则不得分。</w:t>
            </w:r>
          </w:p>
        </w:tc>
        <w:tc>
          <w:tcPr>
            <w:tcW w:w="13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p>
        </w:tc>
      </w:tr>
    </w:tbl>
    <w:p>
      <w:pPr>
        <w:rPr>
          <w:rFonts w:hint="eastAsia" w:ascii="微软雅黑" w:hAnsi="微软雅黑" w:eastAsia="微软雅黑" w:cs="微软雅黑"/>
          <w:color w:val="auto"/>
        </w:rPr>
      </w:pPr>
    </w:p>
    <w:p>
      <w:pPr>
        <w:spacing w:line="360" w:lineRule="exact"/>
        <w:ind w:left="1080" w:leftChars="257" w:hanging="540"/>
        <w:jc w:val="center"/>
        <w:rPr>
          <w:rFonts w:hint="eastAsia" w:ascii="微软雅黑" w:hAnsi="微软雅黑" w:eastAsia="微软雅黑" w:cs="微软雅黑"/>
          <w:color w:val="auto"/>
        </w:rPr>
      </w:pPr>
    </w:p>
    <w:p>
      <w:pPr>
        <w:pStyle w:val="99"/>
        <w:spacing w:after="0" w:afterLines="0" w:line="440" w:lineRule="exact"/>
        <w:rPr>
          <w:rFonts w:hint="eastAsia" w:ascii="微软雅黑" w:hAnsi="微软雅黑" w:eastAsia="微软雅黑" w:cs="微软雅黑"/>
          <w:bCs/>
          <w:color w:val="auto"/>
          <w:sz w:val="28"/>
          <w:szCs w:val="28"/>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spacing w:before="0" w:after="0" w:line="440" w:lineRule="exact"/>
        <w:ind w:firstLine="1260" w:firstLineChars="600"/>
        <w:outlineLvl w:val="9"/>
        <w:rPr>
          <w:rFonts w:hint="eastAsia" w:ascii="微软雅黑" w:hAnsi="微软雅黑" w:eastAsia="微软雅黑" w:cs="微软雅黑"/>
          <w:color w:val="auto"/>
          <w:szCs w:val="36"/>
        </w:rPr>
      </w:pPr>
    </w:p>
    <w:p>
      <w:pPr>
        <w:spacing w:line="360" w:lineRule="exact"/>
        <w:ind w:left="1080" w:leftChars="257" w:hanging="540"/>
        <w:jc w:val="center"/>
        <w:rPr>
          <w:rFonts w:hint="eastAsia" w:ascii="微软雅黑" w:hAnsi="微软雅黑" w:eastAsia="微软雅黑" w:cs="微软雅黑"/>
          <w:color w:val="auto"/>
        </w:rPr>
      </w:pPr>
    </w:p>
    <w:p>
      <w:pPr>
        <w:spacing w:line="360" w:lineRule="exact"/>
        <w:ind w:left="1080" w:leftChars="257" w:hanging="540"/>
        <w:jc w:val="center"/>
        <w:rPr>
          <w:rFonts w:hint="eastAsia" w:ascii="微软雅黑" w:hAnsi="微软雅黑" w:eastAsia="微软雅黑" w:cs="微软雅黑"/>
          <w:color w:val="auto"/>
        </w:rPr>
      </w:pPr>
    </w:p>
    <w:p>
      <w:pPr>
        <w:spacing w:line="360" w:lineRule="exact"/>
        <w:ind w:left="1080" w:leftChars="257" w:hanging="540"/>
        <w:jc w:val="center"/>
        <w:rPr>
          <w:rFonts w:hint="eastAsia" w:ascii="微软雅黑" w:hAnsi="微软雅黑" w:eastAsia="微软雅黑" w:cs="微软雅黑"/>
          <w:color w:val="auto"/>
        </w:rPr>
      </w:pPr>
    </w:p>
    <w:p>
      <w:pPr>
        <w:spacing w:line="360" w:lineRule="exact"/>
        <w:ind w:left="1080" w:leftChars="257" w:hanging="540"/>
        <w:jc w:val="center"/>
        <w:rPr>
          <w:rFonts w:hint="eastAsia" w:ascii="微软雅黑" w:hAnsi="微软雅黑" w:eastAsia="微软雅黑" w:cs="微软雅黑"/>
          <w:color w:val="auto"/>
        </w:rPr>
      </w:pPr>
    </w:p>
    <w:p>
      <w:pPr>
        <w:spacing w:line="360" w:lineRule="auto"/>
        <w:ind w:left="1080" w:leftChars="257" w:hanging="540"/>
        <w:jc w:val="center"/>
        <w:rPr>
          <w:rFonts w:hint="eastAsia" w:ascii="微软雅黑" w:hAnsi="微软雅黑" w:eastAsia="微软雅黑" w:cs="微软雅黑"/>
          <w:color w:val="auto"/>
        </w:rPr>
      </w:pPr>
    </w:p>
    <w:p>
      <w:pPr>
        <w:spacing w:line="360" w:lineRule="auto"/>
        <w:jc w:val="center"/>
        <w:rPr>
          <w:rFonts w:hint="eastAsia" w:ascii="微软雅黑" w:hAnsi="微软雅黑" w:eastAsia="微软雅黑" w:cs="微软雅黑"/>
          <w:b/>
          <w:color w:val="auto"/>
          <w:sz w:val="32"/>
        </w:rPr>
      </w:pPr>
    </w:p>
    <w:p>
      <w:pPr>
        <w:spacing w:line="360" w:lineRule="auto"/>
        <w:jc w:val="center"/>
        <w:rPr>
          <w:rFonts w:hint="eastAsia"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招 标 文 件</w:t>
      </w:r>
    </w:p>
    <w:p>
      <w:pPr>
        <w:spacing w:line="360" w:lineRule="auto"/>
        <w:jc w:val="center"/>
        <w:rPr>
          <w:rFonts w:hint="eastAsia" w:ascii="微软雅黑" w:hAnsi="微软雅黑" w:eastAsia="微软雅黑" w:cs="微软雅黑"/>
          <w:b/>
          <w:color w:val="auto"/>
          <w:sz w:val="40"/>
          <w:szCs w:val="40"/>
        </w:rPr>
      </w:pPr>
    </w:p>
    <w:p>
      <w:pPr>
        <w:spacing w:line="360" w:lineRule="auto"/>
        <w:jc w:val="center"/>
        <w:rPr>
          <w:rFonts w:hint="eastAsia" w:ascii="微软雅黑" w:hAnsi="微软雅黑" w:eastAsia="微软雅黑" w:cs="微软雅黑"/>
          <w:b/>
          <w:color w:val="auto"/>
          <w:sz w:val="40"/>
          <w:szCs w:val="40"/>
          <w:lang w:val="en-US" w:eastAsia="zh-CN"/>
        </w:rPr>
      </w:pPr>
      <w:r>
        <w:rPr>
          <w:rFonts w:hint="eastAsia" w:ascii="微软雅黑" w:hAnsi="微软雅黑" w:eastAsia="微软雅黑" w:cs="微软雅黑"/>
          <w:b/>
          <w:color w:val="auto"/>
          <w:sz w:val="40"/>
          <w:szCs w:val="40"/>
          <w:lang w:eastAsia="zh-CN"/>
        </w:rPr>
        <w:t xml:space="preserve">项目编号：ZJ（GK）-22021 </w:t>
      </w:r>
    </w:p>
    <w:p>
      <w:pPr>
        <w:spacing w:line="360" w:lineRule="auto"/>
        <w:jc w:val="both"/>
        <w:rPr>
          <w:rFonts w:hint="eastAsia" w:ascii="微软雅黑" w:hAnsi="微软雅黑" w:eastAsia="微软雅黑" w:cs="微软雅黑"/>
          <w:b/>
          <w:color w:val="auto"/>
          <w:sz w:val="40"/>
          <w:szCs w:val="40"/>
        </w:rPr>
      </w:pPr>
    </w:p>
    <w:p>
      <w:pPr>
        <w:spacing w:line="360" w:lineRule="auto"/>
        <w:jc w:val="center"/>
        <w:rPr>
          <w:rFonts w:hint="eastAsia" w:ascii="微软雅黑" w:hAnsi="微软雅黑" w:eastAsia="微软雅黑" w:cs="微软雅黑"/>
          <w:b/>
          <w:color w:val="auto"/>
          <w:sz w:val="40"/>
          <w:szCs w:val="40"/>
        </w:rPr>
      </w:pPr>
      <w:r>
        <w:rPr>
          <w:rFonts w:hint="eastAsia" w:ascii="微软雅黑" w:hAnsi="微软雅黑" w:eastAsia="微软雅黑" w:cs="微软雅黑"/>
          <w:b/>
          <w:color w:val="auto"/>
          <w:sz w:val="40"/>
          <w:szCs w:val="40"/>
        </w:rPr>
        <w:t>第 三 册</w:t>
      </w:r>
    </w:p>
    <w:p>
      <w:pPr>
        <w:spacing w:line="360" w:lineRule="exact"/>
        <w:jc w:val="center"/>
        <w:rPr>
          <w:rFonts w:hint="eastAsia" w:ascii="微软雅黑" w:hAnsi="微软雅黑" w:eastAsia="微软雅黑" w:cs="微软雅黑"/>
          <w:b/>
          <w:color w:val="auto"/>
          <w:sz w:val="32"/>
        </w:rPr>
      </w:pPr>
    </w:p>
    <w:p>
      <w:pPr>
        <w:spacing w:line="360" w:lineRule="exact"/>
        <w:ind w:left="1080" w:leftChars="257" w:hanging="540"/>
        <w:jc w:val="center"/>
        <w:rPr>
          <w:rFonts w:hint="eastAsia" w:ascii="微软雅黑" w:hAnsi="微软雅黑" w:eastAsia="微软雅黑" w:cs="微软雅黑"/>
          <w:b/>
          <w:color w:val="auto"/>
          <w:sz w:val="52"/>
        </w:rPr>
      </w:pPr>
    </w:p>
    <w:p>
      <w:pPr>
        <w:spacing w:line="360" w:lineRule="exact"/>
        <w:ind w:left="1080" w:leftChars="257" w:hanging="540"/>
        <w:jc w:val="center"/>
        <w:rPr>
          <w:rFonts w:hint="eastAsia" w:ascii="微软雅黑" w:hAnsi="微软雅黑" w:eastAsia="微软雅黑" w:cs="微软雅黑"/>
          <w:b/>
          <w:color w:val="auto"/>
          <w:sz w:val="52"/>
        </w:rPr>
      </w:pPr>
    </w:p>
    <w:p>
      <w:pPr>
        <w:spacing w:line="360" w:lineRule="exact"/>
        <w:ind w:left="1080" w:leftChars="257" w:hanging="540"/>
        <w:jc w:val="center"/>
        <w:rPr>
          <w:rFonts w:hint="eastAsia" w:ascii="微软雅黑" w:hAnsi="微软雅黑" w:eastAsia="微软雅黑" w:cs="微软雅黑"/>
          <w:b/>
          <w:color w:val="auto"/>
          <w:sz w:val="52"/>
        </w:rPr>
      </w:pPr>
    </w:p>
    <w:p>
      <w:pPr>
        <w:spacing w:line="360" w:lineRule="exact"/>
        <w:ind w:left="1080" w:leftChars="257" w:hanging="540"/>
        <w:jc w:val="center"/>
        <w:rPr>
          <w:rFonts w:hint="eastAsia" w:ascii="微软雅黑" w:hAnsi="微软雅黑" w:eastAsia="微软雅黑" w:cs="微软雅黑"/>
          <w:b/>
          <w:color w:val="auto"/>
          <w:sz w:val="52"/>
        </w:rPr>
      </w:pPr>
    </w:p>
    <w:p>
      <w:pPr>
        <w:spacing w:line="360" w:lineRule="exact"/>
        <w:ind w:left="1080" w:leftChars="257" w:hanging="540"/>
        <w:jc w:val="center"/>
        <w:rPr>
          <w:rFonts w:hint="eastAsia" w:ascii="微软雅黑" w:hAnsi="微软雅黑" w:eastAsia="微软雅黑" w:cs="微软雅黑"/>
          <w:b/>
          <w:color w:val="auto"/>
          <w:szCs w:val="21"/>
        </w:rPr>
      </w:pPr>
      <w:r>
        <w:rPr>
          <w:rFonts w:hint="eastAsia" w:ascii="微软雅黑" w:hAnsi="微软雅黑" w:eastAsia="微软雅黑" w:cs="微软雅黑"/>
          <w:b/>
          <w:color w:val="auto"/>
          <w:sz w:val="52"/>
        </w:rPr>
        <w:t xml:space="preserve">  </w:t>
      </w:r>
    </w:p>
    <w:p>
      <w:pPr>
        <w:spacing w:line="360" w:lineRule="exact"/>
        <w:rPr>
          <w:rFonts w:hint="eastAsia" w:ascii="微软雅黑" w:hAnsi="微软雅黑" w:eastAsia="微软雅黑" w:cs="微软雅黑"/>
          <w:color w:val="auto"/>
        </w:rPr>
      </w:pPr>
    </w:p>
    <w:p>
      <w:pPr>
        <w:pStyle w:val="91"/>
        <w:rPr>
          <w:rFonts w:hint="eastAsia" w:ascii="微软雅黑" w:hAnsi="微软雅黑" w:eastAsia="微软雅黑" w:cs="微软雅黑"/>
          <w:color w:val="auto"/>
        </w:rPr>
      </w:pPr>
    </w:p>
    <w:p>
      <w:pPr>
        <w:pStyle w:val="8"/>
        <w:spacing w:line="360" w:lineRule="exact"/>
        <w:ind w:left="0" w:leftChars="0" w:firstLine="0" w:firstLineChars="0"/>
        <w:rPr>
          <w:rFonts w:hint="eastAsia" w:ascii="微软雅黑" w:hAnsi="微软雅黑" w:eastAsia="微软雅黑" w:cs="微软雅黑"/>
          <w:color w:val="auto"/>
        </w:rPr>
      </w:pPr>
    </w:p>
    <w:p>
      <w:pPr>
        <w:tabs>
          <w:tab w:val="left" w:pos="0"/>
        </w:tabs>
        <w:spacing w:before="0" w:after="0" w:line="360" w:lineRule="exact"/>
        <w:ind w:left="-15"/>
        <w:outlineLvl w:val="9"/>
        <w:rPr>
          <w:rFonts w:hint="eastAsia" w:ascii="微软雅黑" w:hAnsi="微软雅黑" w:eastAsia="微软雅黑" w:cs="微软雅黑"/>
          <w:color w:val="auto"/>
        </w:rPr>
      </w:pPr>
      <w:bookmarkStart w:id="514" w:name="_Toc515647833"/>
      <w:bookmarkStart w:id="515" w:name="_Toc6865"/>
      <w:bookmarkStart w:id="516" w:name="_Toc4796"/>
    </w:p>
    <w:bookmarkEnd w:id="513"/>
    <w:bookmarkEnd w:id="514"/>
    <w:bookmarkEnd w:id="515"/>
    <w:bookmarkEnd w:id="516"/>
    <w:p>
      <w:pPr>
        <w:pageBreakBefore w:val="0"/>
        <w:tabs>
          <w:tab w:val="left" w:pos="0"/>
        </w:tabs>
        <w:kinsoku/>
        <w:wordWrap/>
        <w:overflowPunct/>
        <w:topLinePunct w:val="0"/>
        <w:bidi w:val="0"/>
        <w:snapToGrid/>
        <w:spacing w:before="0" w:after="0" w:line="340" w:lineRule="exact"/>
        <w:textAlignment w:val="auto"/>
        <w:outlineLvl w:val="9"/>
        <w:rPr>
          <w:rFonts w:hint="eastAsia" w:ascii="微软雅黑" w:hAnsi="微软雅黑" w:eastAsia="微软雅黑" w:cs="微软雅黑"/>
          <w:b/>
          <w:bCs w:val="0"/>
          <w:color w:val="auto"/>
          <w:sz w:val="48"/>
          <w:szCs w:val="48"/>
        </w:rPr>
      </w:pPr>
      <w:bookmarkStart w:id="517" w:name="_Toc17858"/>
      <w:bookmarkStart w:id="518" w:name="_Toc12914"/>
      <w:bookmarkStart w:id="519" w:name="_Toc487900382"/>
      <w:bookmarkStart w:id="520" w:name="_Toc216513788"/>
    </w:p>
    <w:bookmarkEnd w:id="517"/>
    <w:p>
      <w:pPr>
        <w:pStyle w:val="3"/>
        <w:pageBreakBefore w:val="0"/>
        <w:tabs>
          <w:tab w:val="left" w:pos="0"/>
        </w:tabs>
        <w:kinsoku/>
        <w:wordWrap/>
        <w:overflowPunct/>
        <w:topLinePunct w:val="0"/>
        <w:bidi w:val="0"/>
        <w:snapToGrid/>
        <w:spacing w:before="0" w:after="0" w:line="340" w:lineRule="exact"/>
        <w:jc w:val="center"/>
        <w:textAlignment w:val="auto"/>
        <w:outlineLvl w:val="0"/>
        <w:rPr>
          <w:rFonts w:hint="eastAsia" w:ascii="微软雅黑" w:hAnsi="微软雅黑" w:eastAsia="微软雅黑" w:cs="微软雅黑"/>
          <w:b/>
          <w:bCs w:val="0"/>
          <w:color w:val="auto"/>
          <w:sz w:val="32"/>
          <w:szCs w:val="32"/>
        </w:rPr>
      </w:pPr>
      <w:bookmarkStart w:id="521" w:name="_Toc16468"/>
      <w:r>
        <w:rPr>
          <w:rFonts w:hint="eastAsia" w:ascii="微软雅黑" w:hAnsi="微软雅黑" w:eastAsia="微软雅黑" w:cs="微软雅黑"/>
          <w:b/>
          <w:bCs w:val="0"/>
          <w:color w:val="auto"/>
          <w:sz w:val="32"/>
          <w:szCs w:val="32"/>
          <w:lang w:eastAsia="zh-CN"/>
        </w:rPr>
        <w:t>第</w:t>
      </w:r>
      <w:r>
        <w:rPr>
          <w:rFonts w:hint="eastAsia" w:ascii="微软雅黑" w:hAnsi="微软雅黑" w:eastAsia="微软雅黑" w:cs="微软雅黑"/>
          <w:b/>
          <w:bCs w:val="0"/>
          <w:color w:val="auto"/>
          <w:sz w:val="32"/>
          <w:szCs w:val="32"/>
          <w:lang w:val="en-US" w:eastAsia="zh-CN"/>
        </w:rPr>
        <w:t>7章</w:t>
      </w:r>
      <w:r>
        <w:rPr>
          <w:rFonts w:hint="eastAsia" w:ascii="微软雅黑" w:hAnsi="微软雅黑" w:eastAsia="微软雅黑" w:cs="微软雅黑"/>
          <w:b/>
          <w:bCs w:val="0"/>
          <w:color w:val="auto"/>
          <w:sz w:val="22"/>
          <w:szCs w:val="22"/>
        </w:rPr>
        <w:t xml:space="preserve">  </w:t>
      </w:r>
      <w:bookmarkStart w:id="522" w:name="_Toc773"/>
      <w:bookmarkStart w:id="523" w:name="_Toc8736"/>
      <w:r>
        <w:rPr>
          <w:rFonts w:hint="eastAsia" w:ascii="微软雅黑" w:hAnsi="微软雅黑" w:eastAsia="微软雅黑" w:cs="微软雅黑"/>
          <w:b/>
          <w:bCs w:val="0"/>
          <w:color w:val="auto"/>
          <w:sz w:val="32"/>
          <w:szCs w:val="32"/>
        </w:rPr>
        <w:t>合同条款</w:t>
      </w:r>
      <w:bookmarkEnd w:id="518"/>
      <w:bookmarkEnd w:id="521"/>
      <w:bookmarkEnd w:id="522"/>
      <w:bookmarkEnd w:id="523"/>
    </w:p>
    <w:bookmarkEnd w:id="519"/>
    <w:bookmarkEnd w:id="520"/>
    <w:p>
      <w:pPr>
        <w:spacing w:line="400" w:lineRule="exact"/>
        <w:rPr>
          <w:rFonts w:hint="eastAsia" w:ascii="微软雅黑" w:hAnsi="微软雅黑" w:eastAsia="微软雅黑" w:cs="微软雅黑"/>
          <w:sz w:val="30"/>
          <w:szCs w:val="30"/>
          <w:u w:val="single"/>
        </w:rPr>
      </w:pPr>
      <w:r>
        <w:rPr>
          <w:rFonts w:hint="eastAsia" w:ascii="微软雅黑" w:hAnsi="微软雅黑" w:eastAsia="微软雅黑" w:cs="微软雅黑"/>
          <w:sz w:val="30"/>
          <w:szCs w:val="30"/>
        </w:rPr>
        <w:t>合同编号：</w:t>
      </w:r>
      <w:r>
        <w:rPr>
          <w:rFonts w:hint="eastAsia" w:ascii="微软雅黑" w:hAnsi="微软雅黑" w:eastAsia="微软雅黑" w:cs="微软雅黑"/>
          <w:sz w:val="30"/>
          <w:szCs w:val="30"/>
          <w:u w:val="single"/>
        </w:rPr>
        <w:t xml:space="preserve">           </w:t>
      </w:r>
    </w:p>
    <w:p>
      <w:pPr>
        <w:spacing w:line="400" w:lineRule="exact"/>
        <w:jc w:val="center"/>
        <w:rPr>
          <w:rFonts w:hint="eastAsia" w:ascii="微软雅黑" w:hAnsi="微软雅黑" w:eastAsia="微软雅黑" w:cs="微软雅黑"/>
          <w:b/>
          <w:sz w:val="21"/>
          <w:szCs w:val="21"/>
        </w:rPr>
      </w:pPr>
    </w:p>
    <w:p>
      <w:pPr>
        <w:spacing w:line="400" w:lineRule="exact"/>
        <w:jc w:val="center"/>
        <w:rPr>
          <w:rFonts w:hint="eastAsia" w:ascii="微软雅黑" w:hAnsi="微软雅黑" w:eastAsia="微软雅黑" w:cs="微软雅黑"/>
          <w:b/>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政府采购合同参考范本</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（服务类）</w:t>
      </w:r>
    </w:p>
    <w:p>
      <w:pPr>
        <w:pStyle w:val="45"/>
        <w:spacing w:line="400" w:lineRule="exact"/>
        <w:ind w:firstLine="0"/>
        <w:rPr>
          <w:rFonts w:hint="eastAsia" w:ascii="微软雅黑" w:hAnsi="微软雅黑" w:eastAsia="微软雅黑" w:cs="微软雅黑"/>
          <w:sz w:val="21"/>
          <w:szCs w:val="21"/>
        </w:rPr>
      </w:pPr>
    </w:p>
    <w:p>
      <w:pPr>
        <w:pStyle w:val="45"/>
        <w:spacing w:line="400" w:lineRule="exact"/>
        <w:ind w:firstLine="0"/>
        <w:rPr>
          <w:rFonts w:hint="eastAsia" w:ascii="微软雅黑" w:hAnsi="微软雅黑" w:eastAsia="微软雅黑" w:cs="微软雅黑"/>
          <w:sz w:val="21"/>
          <w:szCs w:val="21"/>
        </w:rPr>
      </w:pPr>
    </w:p>
    <w:p>
      <w:pPr>
        <w:pStyle w:val="45"/>
        <w:spacing w:line="400" w:lineRule="exact"/>
        <w:ind w:firstLine="0"/>
        <w:rPr>
          <w:rFonts w:hint="eastAsia" w:ascii="微软雅黑" w:hAnsi="微软雅黑" w:eastAsia="微软雅黑" w:cs="微软雅黑"/>
          <w:sz w:val="21"/>
          <w:szCs w:val="21"/>
        </w:rPr>
      </w:pPr>
    </w:p>
    <w:p>
      <w:pPr>
        <w:pStyle w:val="45"/>
        <w:spacing w:line="400" w:lineRule="exact"/>
        <w:ind w:firstLine="0"/>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第一部分 合同书</w:t>
      </w:r>
    </w:p>
    <w:p>
      <w:pPr>
        <w:pStyle w:val="45"/>
        <w:spacing w:line="400" w:lineRule="exact"/>
        <w:ind w:firstLine="0"/>
        <w:rPr>
          <w:rFonts w:hint="eastAsia" w:ascii="微软雅黑" w:hAnsi="微软雅黑" w:eastAsia="微软雅黑" w:cs="微软雅黑"/>
          <w:sz w:val="21"/>
          <w:szCs w:val="21"/>
        </w:rPr>
      </w:pPr>
    </w:p>
    <w:p>
      <w:pPr>
        <w:pStyle w:val="45"/>
        <w:spacing w:line="400" w:lineRule="exact"/>
        <w:ind w:firstLine="0"/>
        <w:rPr>
          <w:rFonts w:hint="eastAsia" w:ascii="微软雅黑" w:hAnsi="微软雅黑" w:eastAsia="微软雅黑" w:cs="微软雅黑"/>
          <w:sz w:val="21"/>
          <w:szCs w:val="21"/>
        </w:rPr>
      </w:pPr>
    </w:p>
    <w:p>
      <w:pPr>
        <w:spacing w:before="120" w:line="400" w:lineRule="exact"/>
        <w:rPr>
          <w:rFonts w:hint="eastAsia" w:ascii="微软雅黑" w:hAnsi="微软雅黑" w:eastAsia="微软雅黑" w:cs="微软雅黑"/>
          <w:sz w:val="21"/>
          <w:szCs w:val="21"/>
        </w:rPr>
      </w:pPr>
    </w:p>
    <w:p>
      <w:pPr>
        <w:spacing w:before="120" w:line="400" w:lineRule="exact"/>
        <w:ind w:left="96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u w:val="single"/>
        </w:rPr>
        <w:t xml:space="preserve">                                   </w:t>
      </w:r>
    </w:p>
    <w:p>
      <w:pPr>
        <w:pStyle w:val="83"/>
        <w:spacing w:before="120" w:line="400" w:lineRule="exact"/>
        <w:rPr>
          <w:rFonts w:hint="eastAsia" w:ascii="微软雅黑" w:hAnsi="微软雅黑" w:eastAsia="微软雅黑" w:cs="微软雅黑"/>
          <w:sz w:val="21"/>
          <w:szCs w:val="21"/>
        </w:rPr>
      </w:pPr>
    </w:p>
    <w:p>
      <w:pPr>
        <w:spacing w:line="400" w:lineRule="exact"/>
        <w:rPr>
          <w:rFonts w:hint="eastAsia" w:ascii="微软雅黑" w:hAnsi="微软雅黑" w:eastAsia="微软雅黑" w:cs="微软雅黑"/>
          <w:sz w:val="21"/>
          <w:szCs w:val="21"/>
        </w:rPr>
      </w:pPr>
    </w:p>
    <w:p>
      <w:pPr>
        <w:spacing w:before="120" w:line="400" w:lineRule="exact"/>
        <w:ind w:left="96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甲方：</w:t>
      </w:r>
      <w:r>
        <w:rPr>
          <w:rFonts w:hint="eastAsia" w:ascii="微软雅黑" w:hAnsi="微软雅黑" w:eastAsia="微软雅黑" w:cs="微软雅黑"/>
          <w:sz w:val="21"/>
          <w:szCs w:val="21"/>
          <w:u w:val="single"/>
        </w:rPr>
        <w:t xml:space="preserve">                                       </w:t>
      </w:r>
    </w:p>
    <w:p>
      <w:pPr>
        <w:spacing w:before="120" w:line="400" w:lineRule="exact"/>
        <w:rPr>
          <w:rFonts w:hint="eastAsia" w:ascii="微软雅黑" w:hAnsi="微软雅黑" w:eastAsia="微软雅黑" w:cs="微软雅黑"/>
          <w:sz w:val="21"/>
          <w:szCs w:val="21"/>
        </w:rPr>
      </w:pPr>
    </w:p>
    <w:p>
      <w:pPr>
        <w:spacing w:before="120" w:line="400" w:lineRule="exact"/>
        <w:ind w:left="96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乙方：</w:t>
      </w:r>
      <w:r>
        <w:rPr>
          <w:rFonts w:hint="eastAsia" w:ascii="微软雅黑" w:hAnsi="微软雅黑" w:eastAsia="微软雅黑" w:cs="微软雅黑"/>
          <w:sz w:val="21"/>
          <w:szCs w:val="21"/>
          <w:u w:val="single"/>
        </w:rPr>
        <w:t xml:space="preserve">                                       </w:t>
      </w:r>
    </w:p>
    <w:p>
      <w:pPr>
        <w:spacing w:before="120" w:line="400" w:lineRule="exact"/>
        <w:rPr>
          <w:rFonts w:hint="eastAsia" w:ascii="微软雅黑" w:hAnsi="微软雅黑" w:eastAsia="微软雅黑" w:cs="微软雅黑"/>
          <w:sz w:val="21"/>
          <w:szCs w:val="21"/>
        </w:rPr>
      </w:pPr>
    </w:p>
    <w:p>
      <w:pPr>
        <w:spacing w:before="120" w:line="400" w:lineRule="exact"/>
        <w:ind w:firstLine="840" w:firstLineChars="4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签订地：</w:t>
      </w:r>
      <w:r>
        <w:rPr>
          <w:rFonts w:hint="eastAsia" w:ascii="微软雅黑" w:hAnsi="微软雅黑" w:eastAsia="微软雅黑" w:cs="微软雅黑"/>
          <w:sz w:val="21"/>
          <w:szCs w:val="21"/>
          <w:u w:val="single"/>
        </w:rPr>
        <w:t xml:space="preserve">                                     </w:t>
      </w:r>
    </w:p>
    <w:p>
      <w:pPr>
        <w:spacing w:before="120" w:line="400" w:lineRule="exact"/>
        <w:rPr>
          <w:rFonts w:hint="eastAsia" w:ascii="微软雅黑" w:hAnsi="微软雅黑" w:eastAsia="微软雅黑" w:cs="微软雅黑"/>
          <w:sz w:val="21"/>
          <w:szCs w:val="21"/>
        </w:rPr>
      </w:pPr>
    </w:p>
    <w:p>
      <w:pPr>
        <w:spacing w:before="120" w:line="400" w:lineRule="exact"/>
        <w:ind w:firstLine="840" w:firstLineChars="4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签订日期：</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w:t>
      </w:r>
    </w:p>
    <w:p>
      <w:pPr>
        <w:autoSpaceDE w:val="0"/>
        <w:autoSpaceDN w:val="0"/>
        <w:adjustRightInd w:val="0"/>
        <w:spacing w:line="400" w:lineRule="exact"/>
        <w:ind w:firstLine="640"/>
        <w:jc w:val="center"/>
        <w:rPr>
          <w:rFonts w:hint="eastAsia" w:ascii="微软雅黑" w:hAnsi="微软雅黑" w:eastAsia="微软雅黑" w:cs="微软雅黑"/>
          <w:sz w:val="21"/>
          <w:szCs w:val="21"/>
        </w:rPr>
        <w:sectPr>
          <w:headerReference r:id="rId16" w:type="first"/>
          <w:footerReference r:id="rId19" w:type="first"/>
          <w:footerReference r:id="rId17" w:type="default"/>
          <w:headerReference r:id="rId15" w:type="even"/>
          <w:footerReference r:id="rId18" w:type="even"/>
          <w:pgSz w:w="11907" w:h="16840"/>
          <w:pgMar w:top="1474" w:right="1814" w:bottom="1474" w:left="1814" w:header="851" w:footer="851" w:gutter="0"/>
          <w:pgNumType w:fmt="decimal"/>
          <w:cols w:space="720" w:num="1"/>
          <w:docGrid w:linePitch="462" w:charSpace="0"/>
        </w:sectPr>
      </w:pP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u w:val="single"/>
          <w:lang w:val="zh-CN"/>
        </w:rPr>
        <w:t xml:space="preserve">        </w:t>
      </w:r>
      <w:r>
        <w:rPr>
          <w:rFonts w:hint="eastAsia" w:ascii="微软雅黑" w:hAnsi="微软雅黑" w:eastAsia="微软雅黑" w:cs="微软雅黑"/>
          <w:sz w:val="21"/>
          <w:szCs w:val="21"/>
          <w:lang w:val="zh-CN"/>
        </w:rPr>
        <w:t>年</w:t>
      </w:r>
      <w:r>
        <w:rPr>
          <w:rFonts w:hint="eastAsia" w:ascii="微软雅黑" w:hAnsi="微软雅黑" w:eastAsia="微软雅黑" w:cs="微软雅黑"/>
          <w:sz w:val="21"/>
          <w:szCs w:val="21"/>
          <w:u w:val="single"/>
          <w:lang w:val="zh-CN"/>
        </w:rPr>
        <w:t xml:space="preserve">    </w:t>
      </w:r>
      <w:r>
        <w:rPr>
          <w:rFonts w:hint="eastAsia" w:ascii="微软雅黑" w:hAnsi="微软雅黑" w:eastAsia="微软雅黑" w:cs="微软雅黑"/>
          <w:sz w:val="21"/>
          <w:szCs w:val="21"/>
          <w:lang w:val="zh-CN"/>
        </w:rPr>
        <w:t>月</w:t>
      </w:r>
      <w:r>
        <w:rPr>
          <w:rFonts w:hint="eastAsia" w:ascii="微软雅黑" w:hAnsi="微软雅黑" w:eastAsia="微软雅黑" w:cs="微软雅黑"/>
          <w:sz w:val="21"/>
          <w:szCs w:val="21"/>
          <w:u w:val="single"/>
          <w:lang w:val="zh-CN"/>
        </w:rPr>
        <w:t xml:space="preserve">    </w:t>
      </w:r>
      <w:r>
        <w:rPr>
          <w:rFonts w:hint="eastAsia" w:ascii="微软雅黑" w:hAnsi="微软雅黑" w:eastAsia="微软雅黑" w:cs="微软雅黑"/>
          <w:sz w:val="21"/>
          <w:szCs w:val="21"/>
          <w:lang w:val="zh-CN"/>
        </w:rPr>
        <w:t>日</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u w:val="single"/>
        </w:rPr>
        <w:t xml:space="preserve">   （采购人名称）   </w:t>
      </w:r>
      <w:r>
        <w:rPr>
          <w:rFonts w:hint="eastAsia" w:ascii="微软雅黑" w:hAnsi="微软雅黑" w:eastAsia="微软雅黑" w:cs="微软雅黑"/>
          <w:sz w:val="21"/>
          <w:szCs w:val="21"/>
        </w:rPr>
        <w:t>以</w:t>
      </w:r>
      <w:r>
        <w:rPr>
          <w:rFonts w:hint="eastAsia" w:ascii="微软雅黑" w:hAnsi="微软雅黑" w:eastAsia="微软雅黑" w:cs="微软雅黑"/>
          <w:sz w:val="21"/>
          <w:szCs w:val="21"/>
          <w:u w:val="single"/>
        </w:rPr>
        <w:t xml:space="preserve">   （政府采购方式）  </w:t>
      </w:r>
      <w:r>
        <w:rPr>
          <w:rFonts w:hint="eastAsia" w:ascii="微软雅黑" w:hAnsi="微软雅黑" w:eastAsia="微软雅黑" w:cs="微软雅黑"/>
          <w:sz w:val="21"/>
          <w:szCs w:val="21"/>
        </w:rPr>
        <w:t>对</w:t>
      </w:r>
      <w:r>
        <w:rPr>
          <w:rFonts w:hint="eastAsia" w:ascii="微软雅黑" w:hAnsi="微软雅黑" w:eastAsia="微软雅黑" w:cs="微软雅黑"/>
          <w:sz w:val="21"/>
          <w:szCs w:val="21"/>
          <w:u w:val="single"/>
        </w:rPr>
        <w:t xml:space="preserve">   （同前页项目名称）   </w:t>
      </w:r>
      <w:r>
        <w:rPr>
          <w:rFonts w:hint="eastAsia" w:ascii="微软雅黑" w:hAnsi="微软雅黑" w:eastAsia="微软雅黑" w:cs="微软雅黑"/>
          <w:sz w:val="21"/>
          <w:szCs w:val="21"/>
        </w:rPr>
        <w:t>项目进行了采购。经</w:t>
      </w:r>
      <w:r>
        <w:rPr>
          <w:rFonts w:hint="eastAsia" w:ascii="微软雅黑" w:hAnsi="微软雅黑" w:eastAsia="微软雅黑" w:cs="微软雅黑"/>
          <w:sz w:val="21"/>
          <w:szCs w:val="21"/>
          <w:u w:val="single"/>
        </w:rPr>
        <w:t xml:space="preserve">   （相关评定主体名称）   </w:t>
      </w:r>
      <w:r>
        <w:rPr>
          <w:rFonts w:hint="eastAsia" w:ascii="微软雅黑" w:hAnsi="微软雅黑" w:eastAsia="微软雅黑" w:cs="微软雅黑"/>
          <w:sz w:val="21"/>
          <w:szCs w:val="21"/>
        </w:rPr>
        <w:t>评定，</w:t>
      </w:r>
      <w:r>
        <w:rPr>
          <w:rFonts w:hint="eastAsia" w:ascii="微软雅黑" w:hAnsi="微软雅黑" w:eastAsia="微软雅黑" w:cs="微软雅黑"/>
          <w:sz w:val="21"/>
          <w:szCs w:val="21"/>
          <w:u w:val="single"/>
        </w:rPr>
        <w:t xml:space="preserve">   （中标供应商名称） </w:t>
      </w:r>
      <w:r>
        <w:rPr>
          <w:rFonts w:hint="eastAsia" w:ascii="微软雅黑" w:hAnsi="微软雅黑" w:eastAsia="微软雅黑" w:cs="微软雅黑"/>
          <w:sz w:val="21"/>
          <w:szCs w:val="21"/>
        </w:rPr>
        <w:t>为该项目中标供应商。现于中标通知书发出之日起三十日内，按照采购文件确定的事项签订本合同。</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1"/>
          <w:szCs w:val="21"/>
          <w:u w:val="single"/>
        </w:rPr>
        <w:t xml:space="preserve">   （采购人名称）   </w:t>
      </w:r>
      <w:r>
        <w:rPr>
          <w:rFonts w:hint="eastAsia" w:ascii="微软雅黑" w:hAnsi="微软雅黑" w:eastAsia="微软雅黑" w:cs="微软雅黑"/>
          <w:sz w:val="21"/>
          <w:szCs w:val="21"/>
          <w:lang w:val="zh-CN"/>
        </w:rPr>
        <w:t>(以下简称：甲方)和</w:t>
      </w:r>
      <w:r>
        <w:rPr>
          <w:rFonts w:hint="eastAsia" w:ascii="微软雅黑" w:hAnsi="微软雅黑" w:eastAsia="微软雅黑" w:cs="微软雅黑"/>
          <w:sz w:val="21"/>
          <w:szCs w:val="21"/>
          <w:u w:val="single"/>
        </w:rPr>
        <w:t xml:space="preserve">   （中标供应商名称）   </w:t>
      </w:r>
      <w:r>
        <w:rPr>
          <w:rFonts w:hint="eastAsia" w:ascii="微软雅黑" w:hAnsi="微软雅黑" w:eastAsia="微软雅黑" w:cs="微软雅黑"/>
          <w:sz w:val="21"/>
          <w:szCs w:val="21"/>
          <w:lang w:val="zh-CN"/>
        </w:rPr>
        <w:t>(以下简称：乙方)协商一致，约定以下合同</w:t>
      </w:r>
      <w:r>
        <w:rPr>
          <w:rFonts w:hint="eastAsia" w:ascii="微软雅黑" w:hAnsi="微软雅黑" w:eastAsia="微软雅黑" w:cs="微软雅黑"/>
          <w:sz w:val="21"/>
          <w:szCs w:val="21"/>
        </w:rPr>
        <w:t>条款，以兹共同遵守、全面履行。</w:t>
      </w:r>
    </w:p>
    <w:p>
      <w:pPr>
        <w:spacing w:line="400" w:lineRule="exact"/>
        <w:ind w:firstLine="420" w:firstLineChars="200"/>
        <w:outlineLvl w:val="0"/>
        <w:rPr>
          <w:rFonts w:hint="eastAsia" w:ascii="微软雅黑" w:hAnsi="微软雅黑" w:eastAsia="微软雅黑" w:cs="微软雅黑"/>
          <w:sz w:val="21"/>
          <w:szCs w:val="21"/>
        </w:rPr>
      </w:pPr>
      <w:bookmarkStart w:id="524" w:name="_Toc15367"/>
      <w:bookmarkStart w:id="525" w:name="_Toc23100"/>
      <w:bookmarkStart w:id="526" w:name="_Toc21173"/>
      <w:bookmarkStart w:id="527" w:name="_Toc17181"/>
      <w:bookmarkStart w:id="528" w:name="_Toc28855"/>
      <w:bookmarkStart w:id="529" w:name="_Toc20041"/>
      <w:bookmarkStart w:id="530" w:name="_Toc19273"/>
      <w:bookmarkStart w:id="531" w:name="_Toc20421"/>
      <w:bookmarkStart w:id="532" w:name="_Toc32304"/>
      <w:bookmarkStart w:id="533" w:name="_Toc18383"/>
      <w:bookmarkStart w:id="534" w:name="_Toc5753"/>
      <w:r>
        <w:rPr>
          <w:rFonts w:hint="eastAsia" w:ascii="微软雅黑" w:hAnsi="微软雅黑" w:eastAsia="微软雅黑" w:cs="微软雅黑"/>
          <w:b/>
          <w:sz w:val="21"/>
          <w:szCs w:val="21"/>
        </w:rPr>
        <w:t>1.1 合同组成部分</w:t>
      </w:r>
      <w:bookmarkEnd w:id="524"/>
      <w:bookmarkEnd w:id="525"/>
      <w:bookmarkEnd w:id="526"/>
      <w:bookmarkEnd w:id="527"/>
      <w:bookmarkEnd w:id="528"/>
      <w:bookmarkEnd w:id="529"/>
      <w:bookmarkEnd w:id="530"/>
      <w:bookmarkEnd w:id="531"/>
      <w:bookmarkEnd w:id="532"/>
      <w:bookmarkEnd w:id="533"/>
      <w:bookmarkEnd w:id="534"/>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1.1.1 本合同及其补充合同、变更协议；</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1.1.2 中标通知书；</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1.1.3 </w:t>
      </w:r>
      <w:r>
        <w:rPr>
          <w:rFonts w:hint="eastAsia" w:ascii="微软雅黑" w:hAnsi="微软雅黑" w:eastAsia="微软雅黑" w:cs="微软雅黑"/>
          <w:sz w:val="21"/>
          <w:szCs w:val="21"/>
          <w:lang w:eastAsia="zh-CN"/>
        </w:rPr>
        <w:t>招标</w:t>
      </w:r>
      <w:r>
        <w:rPr>
          <w:rFonts w:hint="eastAsia" w:ascii="微软雅黑" w:hAnsi="微软雅黑" w:eastAsia="微软雅黑" w:cs="微软雅黑"/>
          <w:sz w:val="21"/>
          <w:szCs w:val="21"/>
        </w:rPr>
        <w:t>文件（含澄清或者说明文件）；</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1.1.4 </w:t>
      </w:r>
      <w:r>
        <w:rPr>
          <w:rFonts w:hint="eastAsia" w:ascii="微软雅黑" w:hAnsi="微软雅黑" w:eastAsia="微软雅黑" w:cs="微软雅黑"/>
          <w:sz w:val="21"/>
          <w:szCs w:val="21"/>
          <w:lang w:eastAsia="zh-CN"/>
        </w:rPr>
        <w:t>招标文件</w:t>
      </w:r>
      <w:r>
        <w:rPr>
          <w:rFonts w:hint="eastAsia" w:ascii="微软雅黑" w:hAnsi="微软雅黑" w:eastAsia="微软雅黑" w:cs="微软雅黑"/>
          <w:sz w:val="21"/>
          <w:szCs w:val="21"/>
        </w:rPr>
        <w:t>（含澄清或者修改文件）；</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1.1.5 其他相关采购文件。</w:t>
      </w:r>
    </w:p>
    <w:p>
      <w:pPr>
        <w:spacing w:line="400" w:lineRule="exact"/>
        <w:ind w:firstLine="420" w:firstLineChars="200"/>
        <w:outlineLvl w:val="0"/>
        <w:rPr>
          <w:rFonts w:hint="eastAsia" w:ascii="微软雅黑" w:hAnsi="微软雅黑" w:eastAsia="微软雅黑" w:cs="微软雅黑"/>
          <w:b/>
          <w:sz w:val="21"/>
          <w:szCs w:val="21"/>
        </w:rPr>
      </w:pPr>
      <w:bookmarkStart w:id="535" w:name="_Toc6311"/>
      <w:bookmarkStart w:id="536" w:name="_Toc538"/>
      <w:bookmarkStart w:id="537" w:name="_Toc24493"/>
      <w:bookmarkStart w:id="538" w:name="_Toc23275"/>
      <w:bookmarkStart w:id="539" w:name="_Toc18585"/>
      <w:bookmarkStart w:id="540" w:name="_Toc6773"/>
      <w:bookmarkStart w:id="541" w:name="_Toc3124"/>
      <w:bookmarkStart w:id="542" w:name="_Toc2918"/>
      <w:bookmarkStart w:id="543" w:name="_Toc23334"/>
      <w:bookmarkStart w:id="544" w:name="_Toc15104"/>
      <w:bookmarkStart w:id="545" w:name="_Toc17319"/>
      <w:bookmarkStart w:id="546" w:name="_Toc27911"/>
      <w:bookmarkStart w:id="547" w:name="_Toc22185"/>
      <w:r>
        <w:rPr>
          <w:rFonts w:hint="eastAsia" w:ascii="微软雅黑" w:hAnsi="微软雅黑" w:eastAsia="微软雅黑" w:cs="微软雅黑"/>
          <w:b/>
          <w:sz w:val="21"/>
          <w:szCs w:val="21"/>
        </w:rPr>
        <w:t>1.2 标的</w:t>
      </w:r>
      <w:bookmarkEnd w:id="535"/>
      <w:bookmarkEnd w:id="536"/>
      <w:bookmarkEnd w:id="537"/>
      <w:bookmarkEnd w:id="538"/>
      <w:bookmarkEnd w:id="539"/>
      <w:bookmarkEnd w:id="540"/>
      <w:bookmarkEnd w:id="541"/>
      <w:bookmarkEnd w:id="542"/>
      <w:bookmarkEnd w:id="543"/>
      <w:bookmarkEnd w:id="544"/>
      <w:bookmarkEnd w:id="545"/>
      <w:bookmarkEnd w:id="546"/>
      <w:bookmarkEnd w:id="547"/>
    </w:p>
    <w:p>
      <w:pPr>
        <w:spacing w:line="400" w:lineRule="exact"/>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1.2.1 标的名称：</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1.2.2 标的数量：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1.2.3 标的质量：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outlineLvl w:val="0"/>
        <w:rPr>
          <w:rFonts w:hint="eastAsia" w:ascii="微软雅黑" w:hAnsi="微软雅黑" w:eastAsia="微软雅黑" w:cs="微软雅黑"/>
          <w:b/>
          <w:sz w:val="21"/>
          <w:szCs w:val="21"/>
        </w:rPr>
      </w:pPr>
      <w:bookmarkStart w:id="548" w:name="_Toc21124"/>
      <w:bookmarkStart w:id="549" w:name="_Toc12902"/>
      <w:bookmarkStart w:id="550" w:name="_Toc1386"/>
      <w:bookmarkStart w:id="551" w:name="_Toc4932"/>
      <w:bookmarkStart w:id="552" w:name="_Toc23906"/>
      <w:bookmarkStart w:id="553" w:name="_Toc14732"/>
      <w:bookmarkStart w:id="554" w:name="_Toc13918"/>
      <w:bookmarkStart w:id="555" w:name="_Toc2888"/>
      <w:bookmarkStart w:id="556" w:name="_Toc30335"/>
      <w:bookmarkStart w:id="557" w:name="_Toc13554"/>
      <w:bookmarkStart w:id="558" w:name="_Toc4929"/>
      <w:bookmarkStart w:id="559" w:name="_Toc5635"/>
      <w:bookmarkStart w:id="560" w:name="_Toc27077"/>
      <w:r>
        <w:rPr>
          <w:rFonts w:hint="eastAsia" w:ascii="微软雅黑" w:hAnsi="微软雅黑" w:eastAsia="微软雅黑" w:cs="微软雅黑"/>
          <w:b/>
          <w:sz w:val="21"/>
          <w:szCs w:val="21"/>
        </w:rPr>
        <w:t>1.3 价款</w:t>
      </w:r>
      <w:bookmarkEnd w:id="548"/>
      <w:bookmarkEnd w:id="549"/>
      <w:bookmarkEnd w:id="550"/>
      <w:bookmarkEnd w:id="551"/>
      <w:bookmarkEnd w:id="552"/>
      <w:bookmarkEnd w:id="553"/>
      <w:bookmarkEnd w:id="554"/>
      <w:bookmarkEnd w:id="555"/>
      <w:bookmarkEnd w:id="556"/>
      <w:bookmarkEnd w:id="557"/>
      <w:bookmarkEnd w:id="558"/>
      <w:bookmarkEnd w:id="559"/>
      <w:bookmarkEnd w:id="560"/>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本合同总价为：￥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元（大写：</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元人民币）。</w:t>
      </w:r>
    </w:p>
    <w:p>
      <w:pPr>
        <w:spacing w:line="400" w:lineRule="exact"/>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400" w:lineRule="exact"/>
              <w:jc w:val="center"/>
              <w:rPr>
                <w:rFonts w:hint="eastAsia" w:ascii="微软雅黑" w:hAnsi="微软雅黑" w:eastAsia="微软雅黑" w:cs="微软雅黑"/>
                <w:color w:val="000000"/>
                <w:kern w:val="2"/>
                <w:sz w:val="21"/>
                <w:szCs w:val="21"/>
              </w:rPr>
            </w:pPr>
            <w:r>
              <w:rPr>
                <w:rFonts w:hint="eastAsia" w:ascii="微软雅黑" w:hAnsi="微软雅黑" w:eastAsia="微软雅黑" w:cs="微软雅黑"/>
                <w:color w:val="000000"/>
                <w:kern w:val="2"/>
                <w:sz w:val="21"/>
                <w:szCs w:val="21"/>
              </w:rPr>
              <w:t>序号</w:t>
            </w:r>
          </w:p>
        </w:tc>
        <w:tc>
          <w:tcPr>
            <w:tcW w:w="340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r>
              <w:rPr>
                <w:rFonts w:hint="eastAsia" w:ascii="微软雅黑" w:hAnsi="微软雅黑" w:eastAsia="微软雅黑" w:cs="微软雅黑"/>
                <w:color w:val="000000"/>
                <w:kern w:val="2"/>
                <w:sz w:val="21"/>
                <w:szCs w:val="21"/>
              </w:rPr>
              <w:t>分项名称</w:t>
            </w:r>
          </w:p>
        </w:tc>
        <w:tc>
          <w:tcPr>
            <w:tcW w:w="2552" w:type="dxa"/>
            <w:noWrap w:val="0"/>
            <w:vAlign w:val="center"/>
          </w:tcPr>
          <w:p>
            <w:pPr>
              <w:pStyle w:val="71"/>
              <w:spacing w:line="400" w:lineRule="exact"/>
              <w:jc w:val="center"/>
              <w:rPr>
                <w:rFonts w:hint="eastAsia" w:ascii="微软雅黑" w:hAnsi="微软雅黑" w:eastAsia="微软雅黑" w:cs="微软雅黑"/>
                <w:color w:val="000000"/>
                <w:kern w:val="2"/>
                <w:sz w:val="21"/>
                <w:szCs w:val="21"/>
              </w:rPr>
            </w:pPr>
            <w:r>
              <w:rPr>
                <w:rFonts w:hint="eastAsia" w:ascii="微软雅黑" w:hAnsi="微软雅黑" w:eastAsia="微软雅黑" w:cs="微软雅黑"/>
                <w:color w:val="000000"/>
                <w:kern w:val="2"/>
                <w:sz w:val="21"/>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340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255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340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255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340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255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340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c>
          <w:tcPr>
            <w:tcW w:w="255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r>
              <w:rPr>
                <w:rFonts w:hint="eastAsia" w:ascii="微软雅黑" w:hAnsi="微软雅黑" w:eastAsia="微软雅黑" w:cs="微软雅黑"/>
                <w:color w:val="000000"/>
                <w:kern w:val="2"/>
                <w:sz w:val="21"/>
                <w:szCs w:val="21"/>
              </w:rPr>
              <w:t>总价</w:t>
            </w:r>
          </w:p>
        </w:tc>
        <w:tc>
          <w:tcPr>
            <w:tcW w:w="2552" w:type="dxa"/>
            <w:noWrap w:val="0"/>
            <w:vAlign w:val="center"/>
          </w:tcPr>
          <w:p>
            <w:pPr>
              <w:pStyle w:val="71"/>
              <w:spacing w:line="400" w:lineRule="exact"/>
              <w:ind w:firstLine="200"/>
              <w:jc w:val="center"/>
              <w:rPr>
                <w:rFonts w:hint="eastAsia" w:ascii="微软雅黑" w:hAnsi="微软雅黑" w:eastAsia="微软雅黑" w:cs="微软雅黑"/>
                <w:color w:val="000000"/>
                <w:kern w:val="2"/>
                <w:sz w:val="21"/>
                <w:szCs w:val="21"/>
              </w:rPr>
            </w:pPr>
          </w:p>
        </w:tc>
      </w:tr>
    </w:tbl>
    <w:p>
      <w:pPr>
        <w:spacing w:line="400" w:lineRule="exact"/>
        <w:ind w:firstLine="420" w:firstLineChars="200"/>
        <w:outlineLvl w:val="0"/>
        <w:rPr>
          <w:rFonts w:hint="eastAsia" w:ascii="微软雅黑" w:hAnsi="微软雅黑" w:eastAsia="微软雅黑" w:cs="微软雅黑"/>
          <w:b/>
          <w:sz w:val="21"/>
          <w:szCs w:val="21"/>
        </w:rPr>
      </w:pPr>
      <w:bookmarkStart w:id="561" w:name="_Toc26916"/>
      <w:bookmarkStart w:id="562" w:name="_Toc32305"/>
      <w:bookmarkStart w:id="563" w:name="_Toc29873"/>
      <w:bookmarkStart w:id="564" w:name="_Toc3654"/>
      <w:bookmarkStart w:id="565" w:name="_Toc17855"/>
      <w:bookmarkStart w:id="566" w:name="_Toc19143"/>
      <w:bookmarkStart w:id="567" w:name="_Toc14993"/>
      <w:bookmarkStart w:id="568" w:name="_Toc7832"/>
      <w:bookmarkStart w:id="569" w:name="_Toc27074"/>
      <w:bookmarkStart w:id="570" w:name="_Toc31028"/>
      <w:bookmarkStart w:id="571" w:name="_Toc30158"/>
      <w:bookmarkStart w:id="572" w:name="_Toc30506"/>
      <w:bookmarkStart w:id="573" w:name="_Toc21059"/>
      <w:r>
        <w:rPr>
          <w:rFonts w:hint="eastAsia" w:ascii="微软雅黑" w:hAnsi="微软雅黑" w:eastAsia="微软雅黑" w:cs="微软雅黑"/>
          <w:b/>
          <w:sz w:val="21"/>
          <w:szCs w:val="21"/>
        </w:rPr>
        <w:t>1.4 付款方式和发票开具方式</w:t>
      </w:r>
      <w:bookmarkEnd w:id="561"/>
      <w:bookmarkEnd w:id="562"/>
      <w:bookmarkEnd w:id="563"/>
      <w:bookmarkEnd w:id="564"/>
      <w:bookmarkEnd w:id="565"/>
      <w:bookmarkEnd w:id="566"/>
      <w:bookmarkEnd w:id="567"/>
      <w:bookmarkEnd w:id="568"/>
      <w:bookmarkEnd w:id="569"/>
      <w:bookmarkEnd w:id="570"/>
      <w:bookmarkEnd w:id="571"/>
      <w:bookmarkEnd w:id="572"/>
      <w:bookmarkEnd w:id="573"/>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1.4.1付款方式：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1.4.2 发票开具方式：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outlineLvl w:val="0"/>
        <w:rPr>
          <w:rFonts w:hint="eastAsia" w:ascii="微软雅黑" w:hAnsi="微软雅黑" w:eastAsia="微软雅黑" w:cs="微软雅黑"/>
          <w:b/>
          <w:sz w:val="21"/>
          <w:szCs w:val="21"/>
        </w:rPr>
      </w:pPr>
      <w:bookmarkStart w:id="574" w:name="_Toc32135"/>
      <w:bookmarkStart w:id="575" w:name="_Toc28212"/>
      <w:bookmarkStart w:id="576" w:name="_Toc12261"/>
      <w:bookmarkStart w:id="577" w:name="_Toc3625"/>
      <w:bookmarkStart w:id="578" w:name="_Toc31264"/>
      <w:bookmarkStart w:id="579" w:name="_Toc21606"/>
      <w:bookmarkStart w:id="580" w:name="_Toc4760"/>
      <w:bookmarkStart w:id="581" w:name="_Toc11108"/>
      <w:bookmarkStart w:id="582" w:name="_Toc31421"/>
      <w:bookmarkStart w:id="583" w:name="_Toc8772"/>
      <w:bookmarkStart w:id="584" w:name="_Toc23903"/>
      <w:bookmarkStart w:id="585" w:name="_Toc24160"/>
      <w:bookmarkStart w:id="586" w:name="_Toc23172"/>
      <w:r>
        <w:rPr>
          <w:rFonts w:hint="eastAsia" w:ascii="微软雅黑" w:hAnsi="微软雅黑" w:eastAsia="微软雅黑" w:cs="微软雅黑"/>
          <w:b/>
          <w:sz w:val="21"/>
          <w:szCs w:val="21"/>
        </w:rPr>
        <w:t>1.5 履行期限、地点和方式</w:t>
      </w:r>
      <w:bookmarkEnd w:id="574"/>
      <w:bookmarkEnd w:id="575"/>
      <w:bookmarkEnd w:id="576"/>
      <w:bookmarkEnd w:id="577"/>
      <w:bookmarkEnd w:id="578"/>
      <w:bookmarkEnd w:id="579"/>
      <w:bookmarkEnd w:id="580"/>
      <w:bookmarkEnd w:id="581"/>
      <w:bookmarkEnd w:id="582"/>
      <w:bookmarkEnd w:id="583"/>
      <w:bookmarkEnd w:id="584"/>
      <w:bookmarkEnd w:id="585"/>
      <w:bookmarkEnd w:id="586"/>
    </w:p>
    <w:p>
      <w:pPr>
        <w:spacing w:line="400" w:lineRule="exact"/>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1.5.1 履行期限：</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1.5.2 履行地点：</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1.5.3 履行方式：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400" w:lineRule="exact"/>
        <w:ind w:firstLine="420" w:firstLineChars="200"/>
        <w:outlineLvl w:val="0"/>
        <w:rPr>
          <w:rFonts w:hint="eastAsia" w:ascii="微软雅黑" w:hAnsi="微软雅黑" w:eastAsia="微软雅黑" w:cs="微软雅黑"/>
          <w:sz w:val="21"/>
          <w:szCs w:val="21"/>
          <w:u w:val="single"/>
        </w:rPr>
      </w:pPr>
      <w:bookmarkStart w:id="587" w:name="_Toc13712"/>
      <w:bookmarkStart w:id="588" w:name="_Toc8698"/>
      <w:bookmarkStart w:id="589" w:name="_Toc24662"/>
      <w:bookmarkStart w:id="590" w:name="_Toc3079"/>
      <w:bookmarkStart w:id="591" w:name="_Toc5418"/>
      <w:bookmarkStart w:id="592" w:name="_Toc27990"/>
      <w:bookmarkStart w:id="593" w:name="_Toc2375"/>
      <w:bookmarkStart w:id="594" w:name="_Toc10490"/>
      <w:bookmarkStart w:id="595" w:name="_Toc12217"/>
      <w:bookmarkStart w:id="596" w:name="_Toc12514"/>
      <w:bookmarkStart w:id="597" w:name="_Toc8586"/>
      <w:bookmarkStart w:id="598" w:name="_Toc5698"/>
      <w:bookmarkStart w:id="599" w:name="_Toc3290"/>
      <w:r>
        <w:rPr>
          <w:rFonts w:hint="eastAsia" w:ascii="微软雅黑" w:hAnsi="微软雅黑" w:eastAsia="微软雅黑" w:cs="微软雅黑"/>
          <w:b/>
          <w:sz w:val="21"/>
          <w:szCs w:val="21"/>
        </w:rPr>
        <w:t>1.6 违约责任</w:t>
      </w:r>
      <w:bookmarkEnd w:id="587"/>
      <w:bookmarkEnd w:id="588"/>
      <w:bookmarkEnd w:id="589"/>
      <w:bookmarkEnd w:id="590"/>
      <w:bookmarkEnd w:id="591"/>
      <w:bookmarkEnd w:id="592"/>
      <w:bookmarkEnd w:id="593"/>
      <w:bookmarkEnd w:id="594"/>
      <w:bookmarkEnd w:id="595"/>
      <w:bookmarkEnd w:id="596"/>
      <w:bookmarkEnd w:id="597"/>
      <w:bookmarkEnd w:id="598"/>
      <w:bookmarkEnd w:id="599"/>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%计算，最高限额为本合同总价的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%；迟延履行的违约金计算数额达到前述最高限额之日起，甲方有权在要求乙方支付违约金的同时，书面通知乙方解除本合同；</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%计算，最高限额为本合同总价的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%；迟延付款的违约金计算数额达到前述最高限额之日起，乙方有权在要求甲方支付违约金的同时，书面通知甲方解除本合同；</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400" w:lineRule="exact"/>
        <w:ind w:firstLine="420" w:firstLineChars="200"/>
        <w:outlineLvl w:val="0"/>
        <w:rPr>
          <w:rFonts w:hint="eastAsia" w:ascii="微软雅黑" w:hAnsi="微软雅黑" w:eastAsia="微软雅黑" w:cs="微软雅黑"/>
          <w:b/>
          <w:sz w:val="21"/>
          <w:szCs w:val="21"/>
        </w:rPr>
      </w:pPr>
      <w:bookmarkStart w:id="600" w:name="_Toc23069"/>
      <w:bookmarkStart w:id="601" w:name="_Toc9782"/>
      <w:bookmarkStart w:id="602" w:name="_Toc26807"/>
      <w:bookmarkStart w:id="603" w:name="_Toc32454"/>
      <w:bookmarkStart w:id="604" w:name="_Toc21818"/>
      <w:bookmarkStart w:id="605" w:name="_Toc30329"/>
      <w:bookmarkStart w:id="606" w:name="_Toc25694"/>
      <w:bookmarkStart w:id="607" w:name="_Toc13358"/>
      <w:bookmarkStart w:id="608" w:name="_Toc18683"/>
      <w:bookmarkStart w:id="609" w:name="_Toc16760"/>
      <w:bookmarkStart w:id="610" w:name="_Toc9497"/>
      <w:bookmarkStart w:id="611" w:name="_Toc11195"/>
      <w:bookmarkStart w:id="612" w:name="_Toc4563"/>
      <w:r>
        <w:rPr>
          <w:rFonts w:hint="eastAsia" w:ascii="微软雅黑" w:hAnsi="微软雅黑" w:eastAsia="微软雅黑" w:cs="微软雅黑"/>
          <w:b/>
          <w:sz w:val="21"/>
          <w:szCs w:val="21"/>
        </w:rPr>
        <w:t>1.7 合同争议的解决</w:t>
      </w:r>
      <w:bookmarkEnd w:id="600"/>
      <w:bookmarkEnd w:id="601"/>
      <w:bookmarkEnd w:id="602"/>
      <w:bookmarkEnd w:id="603"/>
      <w:bookmarkEnd w:id="604"/>
      <w:bookmarkEnd w:id="605"/>
      <w:bookmarkEnd w:id="606"/>
      <w:bookmarkEnd w:id="607"/>
      <w:bookmarkEnd w:id="608"/>
      <w:bookmarkEnd w:id="609"/>
      <w:bookmarkEnd w:id="610"/>
      <w:bookmarkEnd w:id="611"/>
      <w:bookmarkEnd w:id="612"/>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种方式解决：</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1.7.1 将争议提交</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仲裁委员会依申请仲裁时其现行有效的仲裁规则裁决；</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1.7.2 向</w:t>
      </w:r>
      <w:r>
        <w:rPr>
          <w:rFonts w:hint="eastAsia" w:ascii="微软雅黑" w:hAnsi="微软雅黑" w:eastAsia="微软雅黑" w:cs="微软雅黑"/>
          <w:sz w:val="21"/>
          <w:szCs w:val="21"/>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1"/>
          <w:szCs w:val="21"/>
        </w:rPr>
        <w:t>人民法院起诉。</w:t>
      </w:r>
    </w:p>
    <w:p>
      <w:pPr>
        <w:spacing w:line="400" w:lineRule="exact"/>
        <w:ind w:firstLine="420" w:firstLineChars="200"/>
        <w:outlineLvl w:val="0"/>
        <w:rPr>
          <w:rFonts w:hint="eastAsia" w:ascii="微软雅黑" w:hAnsi="微软雅黑" w:eastAsia="微软雅黑" w:cs="微软雅黑"/>
          <w:b/>
          <w:sz w:val="21"/>
          <w:szCs w:val="21"/>
        </w:rPr>
      </w:pPr>
      <w:bookmarkStart w:id="613" w:name="_Toc13173"/>
      <w:bookmarkStart w:id="614" w:name="_Toc6048"/>
      <w:bookmarkStart w:id="615" w:name="_Toc2709"/>
      <w:bookmarkStart w:id="616" w:name="_Toc17508"/>
      <w:bookmarkStart w:id="617" w:name="_Toc12273"/>
      <w:bookmarkStart w:id="618" w:name="_Toc16417"/>
      <w:bookmarkStart w:id="619" w:name="_Toc23784"/>
      <w:bookmarkStart w:id="620" w:name="_Toc16074"/>
      <w:bookmarkStart w:id="621" w:name="_Toc26227"/>
      <w:bookmarkStart w:id="622" w:name="_Toc6707"/>
      <w:bookmarkStart w:id="623" w:name="_Toc9721"/>
      <w:bookmarkStart w:id="624" w:name="_Toc1048"/>
      <w:bookmarkStart w:id="625" w:name="_Toc15827"/>
      <w:r>
        <w:rPr>
          <w:rFonts w:hint="eastAsia" w:ascii="微软雅黑" w:hAnsi="微软雅黑" w:eastAsia="微软雅黑" w:cs="微软雅黑"/>
          <w:b/>
          <w:sz w:val="21"/>
          <w:szCs w:val="21"/>
        </w:rPr>
        <w:t>1.8 合同生效</w:t>
      </w:r>
      <w:bookmarkEnd w:id="613"/>
      <w:bookmarkEnd w:id="614"/>
      <w:bookmarkEnd w:id="615"/>
      <w:bookmarkEnd w:id="616"/>
      <w:bookmarkEnd w:id="617"/>
      <w:bookmarkEnd w:id="618"/>
      <w:bookmarkEnd w:id="619"/>
      <w:bookmarkEnd w:id="620"/>
      <w:bookmarkEnd w:id="621"/>
      <w:bookmarkEnd w:id="622"/>
      <w:bookmarkEnd w:id="623"/>
      <w:bookmarkEnd w:id="624"/>
      <w:bookmarkEnd w:id="625"/>
    </w:p>
    <w:p>
      <w:pPr>
        <w:spacing w:line="400" w:lineRule="exact"/>
        <w:ind w:firstLine="420" w:firstLineChars="200"/>
        <w:rPr>
          <w:rFonts w:hint="eastAsia" w:ascii="微软雅黑" w:hAnsi="微软雅黑" w:eastAsia="微软雅黑" w:cs="微软雅黑"/>
          <w:b/>
          <w:sz w:val="21"/>
          <w:szCs w:val="21"/>
        </w:rPr>
      </w:pPr>
      <w:r>
        <w:rPr>
          <w:rFonts w:hint="eastAsia" w:ascii="微软雅黑" w:hAnsi="微软雅黑" w:eastAsia="微软雅黑" w:cs="微软雅黑"/>
          <w:sz w:val="21"/>
          <w:szCs w:val="21"/>
        </w:rPr>
        <w:t>本合同自双方当事人盖章或者签字时生效。</w:t>
      </w:r>
    </w:p>
    <w:p>
      <w:pPr>
        <w:autoSpaceDE w:val="0"/>
        <w:autoSpaceDN w:val="0"/>
        <w:adjustRightInd w:val="0"/>
        <w:spacing w:line="400" w:lineRule="exact"/>
        <w:rPr>
          <w:rFonts w:hint="eastAsia" w:ascii="微软雅黑" w:hAnsi="微软雅黑" w:eastAsia="微软雅黑" w:cs="微软雅黑"/>
          <w:sz w:val="21"/>
          <w:szCs w:val="21"/>
          <w:lang w:val="zh-CN"/>
        </w:rPr>
      </w:pP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b/>
          <w:sz w:val="21"/>
          <w:szCs w:val="21"/>
          <w:lang w:val="zh-CN"/>
        </w:rPr>
        <w:t>甲方</w:t>
      </w:r>
      <w:r>
        <w:rPr>
          <w:rFonts w:hint="eastAsia" w:ascii="微软雅黑" w:hAnsi="微软雅黑" w:eastAsia="微软雅黑" w:cs="微软雅黑"/>
          <w:sz w:val="21"/>
          <w:szCs w:val="21"/>
          <w:lang w:val="zh-CN"/>
        </w:rPr>
        <w:t xml:space="preserve">：                             </w:t>
      </w:r>
      <w:r>
        <w:rPr>
          <w:rFonts w:hint="eastAsia" w:ascii="微软雅黑" w:hAnsi="微软雅黑" w:eastAsia="微软雅黑" w:cs="微软雅黑"/>
          <w:b/>
          <w:sz w:val="21"/>
          <w:szCs w:val="21"/>
          <w:lang w:val="zh-CN"/>
        </w:rPr>
        <w:t xml:space="preserve">      乙方</w:t>
      </w:r>
      <w:r>
        <w:rPr>
          <w:rFonts w:hint="eastAsia" w:ascii="微软雅黑" w:hAnsi="微软雅黑" w:eastAsia="微软雅黑" w:cs="微软雅黑"/>
          <w:sz w:val="21"/>
          <w:szCs w:val="21"/>
          <w:lang w:val="zh-CN"/>
        </w:rPr>
        <w:t>：</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统一社会信用代码：                        统一社会信用代码或身份证号码：</w:t>
      </w:r>
    </w:p>
    <w:p>
      <w:pPr>
        <w:autoSpaceDE w:val="0"/>
        <w:autoSpaceDN w:val="0"/>
        <w:adjustRightInd w:val="0"/>
        <w:spacing w:line="400" w:lineRule="exact"/>
        <w:rPr>
          <w:rFonts w:hint="eastAsia" w:ascii="微软雅黑" w:hAnsi="微软雅黑" w:eastAsia="微软雅黑" w:cs="微软雅黑"/>
          <w:sz w:val="21"/>
          <w:szCs w:val="21"/>
          <w:lang w:val="zh-CN"/>
        </w:rPr>
      </w:pP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住所：                                   住所：</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法定代表人或                             法定代表人</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 xml:space="preserve">授权代表（签字）：                        或授权代表（签字）: </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联系人：                                 联系人：</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约定送达地址：                           约定送达地址：</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邮政编码：                               邮政编码：</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 xml:space="preserve">电话:                                    电话: </w:t>
      </w:r>
    </w:p>
    <w:p>
      <w:pPr>
        <w:autoSpaceDE w:val="0"/>
        <w:autoSpaceDN w:val="0"/>
        <w:adjustRightInd w:val="0"/>
        <w:spacing w:line="400" w:lineRule="exact"/>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传真:                                    传真:</w:t>
      </w:r>
    </w:p>
    <w:p>
      <w:pPr>
        <w:autoSpaceDE w:val="0"/>
        <w:autoSpaceDN w:val="0"/>
        <w:adjustRightIn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电子邮箱：                               电子邮箱：</w:t>
      </w:r>
    </w:p>
    <w:p>
      <w:pPr>
        <w:autoSpaceDE w:val="0"/>
        <w:autoSpaceDN w:val="0"/>
        <w:adjustRightIn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开户银行：                               开户银行： </w:t>
      </w:r>
    </w:p>
    <w:p>
      <w:pPr>
        <w:autoSpaceDE w:val="0"/>
        <w:autoSpaceDN w:val="0"/>
        <w:adjustRightIn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开户名称：                               开户名称： </w:t>
      </w:r>
    </w:p>
    <w:p>
      <w:pPr>
        <w:autoSpaceDE w:val="0"/>
        <w:autoSpaceDN w:val="0"/>
        <w:adjustRightIn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开户账号：</w:t>
      </w:r>
      <w:r>
        <w:rPr>
          <w:rFonts w:hint="eastAsia" w:ascii="微软雅黑" w:hAnsi="微软雅黑" w:eastAsia="微软雅黑" w:cs="微软雅黑"/>
          <w:sz w:val="21"/>
          <w:szCs w:val="21"/>
          <w:lang w:val="zh-CN"/>
        </w:rPr>
        <w:t xml:space="preserve">                               </w:t>
      </w:r>
      <w:r>
        <w:rPr>
          <w:rFonts w:hint="eastAsia" w:ascii="微软雅黑" w:hAnsi="微软雅黑" w:eastAsia="微软雅黑" w:cs="微软雅黑"/>
          <w:sz w:val="21"/>
          <w:szCs w:val="21"/>
        </w:rPr>
        <w:t>开户账号：</w:t>
      </w:r>
    </w:p>
    <w:p>
      <w:pPr>
        <w:widowControl/>
        <w:spacing w:line="400" w:lineRule="exact"/>
        <w:jc w:val="left"/>
        <w:rPr>
          <w:rFonts w:hint="eastAsia" w:ascii="微软雅黑" w:hAnsi="微软雅黑" w:eastAsia="微软雅黑" w:cs="微软雅黑"/>
          <w:b/>
          <w:sz w:val="21"/>
          <w:szCs w:val="21"/>
        </w:rPr>
      </w:pPr>
      <w:bookmarkStart w:id="626" w:name="_Toc331685783"/>
    </w:p>
    <w:p>
      <w:pPr>
        <w:widowControl/>
        <w:spacing w:line="400" w:lineRule="exact"/>
        <w:jc w:val="left"/>
        <w:rPr>
          <w:rFonts w:hint="eastAsia" w:ascii="微软雅黑" w:hAnsi="微软雅黑" w:eastAsia="微软雅黑" w:cs="微软雅黑"/>
          <w:b/>
          <w:sz w:val="21"/>
          <w:szCs w:val="21"/>
        </w:rPr>
      </w:pPr>
    </w:p>
    <w:p>
      <w:pPr>
        <w:pStyle w:val="45"/>
        <w:spacing w:line="400" w:lineRule="exact"/>
        <w:ind w:left="0" w:leftChars="0" w:firstLine="0" w:firstLineChars="0"/>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第二部分 合同一般条款</w:t>
      </w:r>
      <w:bookmarkEnd w:id="626"/>
    </w:p>
    <w:p>
      <w:pPr>
        <w:spacing w:line="400" w:lineRule="exact"/>
        <w:ind w:firstLine="420" w:firstLineChars="200"/>
        <w:outlineLvl w:val="0"/>
        <w:rPr>
          <w:rFonts w:hint="eastAsia" w:ascii="微软雅黑" w:hAnsi="微软雅黑" w:eastAsia="微软雅黑" w:cs="微软雅黑"/>
          <w:b/>
          <w:sz w:val="21"/>
          <w:szCs w:val="21"/>
        </w:rPr>
      </w:pPr>
      <w:bookmarkStart w:id="627" w:name="_Ref467379214"/>
      <w:bookmarkStart w:id="628" w:name="_Ref467379225"/>
      <w:bookmarkStart w:id="629" w:name="_Ref467379205"/>
      <w:bookmarkStart w:id="630" w:name="_Toc26799"/>
      <w:bookmarkStart w:id="631" w:name="_Ref467378463"/>
      <w:bookmarkStart w:id="632" w:name="_Ref467379109"/>
      <w:bookmarkStart w:id="633" w:name="_Toc29024"/>
      <w:bookmarkStart w:id="634" w:name="_Ref467379094"/>
      <w:bookmarkStart w:id="635" w:name="_Toc17704"/>
      <w:bookmarkStart w:id="636" w:name="_Toc19680"/>
      <w:bookmarkStart w:id="637" w:name="_Toc24176"/>
      <w:bookmarkStart w:id="638" w:name="_Toc487900349"/>
      <w:bookmarkStart w:id="639" w:name="_Toc259093669"/>
      <w:bookmarkStart w:id="640" w:name="_Toc5117"/>
      <w:bookmarkStart w:id="641" w:name="_Toc5228"/>
      <w:bookmarkStart w:id="642" w:name="_Toc14021"/>
      <w:bookmarkStart w:id="643" w:name="_Toc31297"/>
      <w:bookmarkStart w:id="644" w:name="_Toc25079"/>
      <w:bookmarkStart w:id="645" w:name="_Toc21058"/>
      <w:bookmarkStart w:id="646" w:name="_Ref467378404"/>
      <w:bookmarkStart w:id="647" w:name="_Ref467379195"/>
      <w:bookmarkStart w:id="648" w:name="_Ref467379101"/>
      <w:bookmarkStart w:id="649" w:name="_Toc279701240"/>
      <w:bookmarkStart w:id="650" w:name="_Toc16934"/>
      <w:bookmarkStart w:id="651" w:name="_Ref467378499"/>
      <w:bookmarkStart w:id="652" w:name="_Toc9055"/>
      <w:r>
        <w:rPr>
          <w:rFonts w:hint="eastAsia" w:ascii="微软雅黑" w:hAnsi="微软雅黑" w:eastAsia="微软雅黑" w:cs="微软雅黑"/>
          <w:b/>
          <w:sz w:val="21"/>
          <w:szCs w:val="21"/>
        </w:rPr>
        <w:t>2.1 定义</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本合同中的下列词语应按以下内容进行解释：</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2.1.1 “合同”系指采购人和中标供应商签订的载明双方当事人所达成的协议，并包括所有的附件、附录和构成合同的其他文件。</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2.1.2 “合同价”系指根据合同约定，中标供应商在完全履行合同义务后，采购人应支付给中标供应商的价格。</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2.1.3 “服务”系指中标供应商根据合同约定应向采购人履行的除货物和工程以外的其他政府采购对象，包括采购人自身需要的服务和向社会公众提供的公共服务。</w:t>
      </w:r>
    </w:p>
    <w:p>
      <w:pPr>
        <w:spacing w:line="400" w:lineRule="exact"/>
        <w:ind w:firstLine="420" w:firstLineChars="200"/>
        <w:rPr>
          <w:rFonts w:hint="eastAsia" w:ascii="微软雅黑" w:hAnsi="微软雅黑" w:eastAsia="微软雅黑" w:cs="微软雅黑"/>
          <w:sz w:val="21"/>
          <w:szCs w:val="21"/>
        </w:rPr>
      </w:pPr>
      <w:bookmarkStart w:id="653" w:name="_Ref467378840"/>
      <w:r>
        <w:rPr>
          <w:rFonts w:hint="eastAsia" w:ascii="微软雅黑" w:hAnsi="微软雅黑" w:eastAsia="微软雅黑" w:cs="微软雅黑"/>
          <w:sz w:val="21"/>
          <w:szCs w:val="21"/>
        </w:rPr>
        <w:t>2.1.4 “甲方”系指与中标供应商签署合同的采购人</w:t>
      </w:r>
      <w:bookmarkEnd w:id="653"/>
      <w:r>
        <w:rPr>
          <w:rFonts w:hint="eastAsia" w:ascii="微软雅黑" w:hAnsi="微软雅黑" w:eastAsia="微软雅黑" w:cs="微软雅黑"/>
          <w:sz w:val="21"/>
          <w:szCs w:val="21"/>
        </w:rPr>
        <w:t>；采购人委托采购代理机构代表其与乙方签订合同的，采购人的授权委托书作为合同附件。</w:t>
      </w:r>
    </w:p>
    <w:p>
      <w:pPr>
        <w:spacing w:line="400" w:lineRule="exact"/>
        <w:ind w:firstLine="420" w:firstLineChars="200"/>
        <w:rPr>
          <w:rFonts w:hint="eastAsia" w:ascii="微软雅黑" w:hAnsi="微软雅黑" w:eastAsia="微软雅黑" w:cs="微软雅黑"/>
          <w:sz w:val="21"/>
          <w:szCs w:val="21"/>
        </w:rPr>
      </w:pPr>
      <w:bookmarkStart w:id="654" w:name="_Ref467379400"/>
      <w:r>
        <w:rPr>
          <w:rFonts w:hint="eastAsia" w:ascii="微软雅黑" w:hAnsi="微软雅黑" w:eastAsia="微软雅黑" w:cs="微软雅黑"/>
          <w:sz w:val="21"/>
          <w:szCs w:val="21"/>
        </w:rPr>
        <w:t>2.1.5 “乙方”系指根据合同约定提供服务的中标供应商</w:t>
      </w:r>
      <w:bookmarkEnd w:id="654"/>
      <w:r>
        <w:rPr>
          <w:rFonts w:hint="eastAsia" w:ascii="微软雅黑" w:hAnsi="微软雅黑" w:eastAsia="微软雅黑" w:cs="微软雅黑"/>
          <w:sz w:val="21"/>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20" w:firstLineChars="200"/>
        <w:rPr>
          <w:rFonts w:hint="eastAsia" w:ascii="微软雅黑" w:hAnsi="微软雅黑" w:eastAsia="微软雅黑" w:cs="微软雅黑"/>
          <w:sz w:val="21"/>
          <w:szCs w:val="21"/>
        </w:rPr>
      </w:pPr>
      <w:bookmarkStart w:id="655" w:name="_Ref467379436"/>
      <w:r>
        <w:rPr>
          <w:rFonts w:hint="eastAsia" w:ascii="微软雅黑" w:hAnsi="微软雅黑" w:eastAsia="微软雅黑" w:cs="微软雅黑"/>
          <w:sz w:val="21"/>
          <w:szCs w:val="21"/>
        </w:rPr>
        <w:t>2.1.6 “现场”系指合同约定提供服务的地点。</w:t>
      </w:r>
      <w:bookmarkEnd w:id="655"/>
    </w:p>
    <w:p>
      <w:pPr>
        <w:spacing w:line="400" w:lineRule="exact"/>
        <w:ind w:firstLine="420" w:firstLineChars="200"/>
        <w:outlineLvl w:val="0"/>
        <w:rPr>
          <w:rFonts w:hint="eastAsia" w:ascii="微软雅黑" w:hAnsi="微软雅黑" w:eastAsia="微软雅黑" w:cs="微软雅黑"/>
          <w:b/>
          <w:sz w:val="21"/>
          <w:szCs w:val="21"/>
        </w:rPr>
      </w:pPr>
      <w:bookmarkStart w:id="656" w:name="_Toc24501"/>
      <w:bookmarkStart w:id="657" w:name="_Toc3769"/>
      <w:bookmarkStart w:id="658" w:name="_Toc31402"/>
      <w:bookmarkStart w:id="659" w:name="_Toc487900350"/>
      <w:bookmarkStart w:id="660" w:name="_Toc259093670"/>
      <w:bookmarkStart w:id="661" w:name="_Toc15686"/>
      <w:bookmarkStart w:id="662" w:name="_Toc22493"/>
      <w:bookmarkStart w:id="663" w:name="_Toc13926"/>
      <w:bookmarkStart w:id="664" w:name="_Toc16752"/>
      <w:bookmarkStart w:id="665" w:name="_Toc279701241"/>
      <w:bookmarkStart w:id="666" w:name="_Toc19539"/>
      <w:bookmarkStart w:id="667" w:name="_Toc10249"/>
      <w:bookmarkStart w:id="668" w:name="_Toc24815"/>
      <w:bookmarkStart w:id="669" w:name="_Toc17554"/>
      <w:bookmarkStart w:id="670" w:name="_Toc25980"/>
      <w:bookmarkStart w:id="671" w:name="_Toc23289"/>
      <w:r>
        <w:rPr>
          <w:rFonts w:hint="eastAsia" w:ascii="微软雅黑" w:hAnsi="微软雅黑" w:eastAsia="微软雅黑" w:cs="微软雅黑"/>
          <w:b/>
          <w:sz w:val="21"/>
          <w:szCs w:val="21"/>
        </w:rPr>
        <w:t>2.2 技术规范</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20" w:firstLineChars="200"/>
        <w:outlineLvl w:val="0"/>
        <w:rPr>
          <w:rFonts w:hint="eastAsia" w:ascii="微软雅黑" w:hAnsi="微软雅黑" w:eastAsia="微软雅黑" w:cs="微软雅黑"/>
          <w:b/>
          <w:sz w:val="21"/>
          <w:szCs w:val="21"/>
        </w:rPr>
      </w:pPr>
      <w:bookmarkStart w:id="672" w:name="_Toc1438"/>
      <w:bookmarkStart w:id="673" w:name="_Toc487900351"/>
      <w:bookmarkStart w:id="674" w:name="_Toc7280"/>
      <w:bookmarkStart w:id="675" w:name="_Toc12412"/>
      <w:bookmarkStart w:id="676" w:name="_Toc21762"/>
      <w:bookmarkStart w:id="677" w:name="_Toc9578"/>
      <w:bookmarkStart w:id="678" w:name="_Toc30138"/>
      <w:bookmarkStart w:id="679" w:name="_Toc259093671"/>
      <w:bookmarkStart w:id="680" w:name="_Toc4133"/>
      <w:bookmarkStart w:id="681" w:name="_Toc279701242"/>
      <w:bookmarkStart w:id="682" w:name="_Toc22416"/>
      <w:bookmarkStart w:id="683" w:name="_Toc9161"/>
      <w:bookmarkStart w:id="684" w:name="_Toc1059"/>
      <w:bookmarkStart w:id="685" w:name="_Toc27945"/>
      <w:bookmarkStart w:id="686" w:name="_Toc9094"/>
      <w:bookmarkStart w:id="687" w:name="_Toc13673"/>
      <w:r>
        <w:rPr>
          <w:rFonts w:hint="eastAsia" w:ascii="微软雅黑" w:hAnsi="微软雅黑" w:eastAsia="微软雅黑" w:cs="微软雅黑"/>
          <w:b/>
          <w:sz w:val="21"/>
          <w:szCs w:val="21"/>
        </w:rPr>
        <w:t>2.3 知识产权</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2.3.2 合同涉及技术成果的归属和收益的分成办法的，详见</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w:t>
      </w:r>
    </w:p>
    <w:p>
      <w:pPr>
        <w:spacing w:line="400" w:lineRule="exact"/>
        <w:ind w:firstLine="420"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2.4 履约检查和问题反馈</w:t>
      </w:r>
    </w:p>
    <w:p>
      <w:pPr>
        <w:spacing w:line="400" w:lineRule="exact"/>
        <w:ind w:firstLine="420" w:firstLineChars="200"/>
        <w:rPr>
          <w:rFonts w:hint="eastAsia" w:ascii="微软雅黑" w:hAnsi="微软雅黑" w:eastAsia="微软雅黑" w:cs="微软雅黑"/>
          <w:sz w:val="21"/>
          <w:szCs w:val="21"/>
        </w:rPr>
      </w:pPr>
      <w:bookmarkStart w:id="688" w:name="_Ref467379657"/>
      <w:r>
        <w:rPr>
          <w:rFonts w:hint="eastAsia" w:ascii="微软雅黑" w:hAnsi="微软雅黑" w:eastAsia="微软雅黑" w:cs="微软雅黑"/>
          <w:sz w:val="21"/>
          <w:szCs w:val="21"/>
        </w:rPr>
        <w:t>2.4.1</w:t>
      </w:r>
      <w:bookmarkEnd w:id="688"/>
      <w:bookmarkStart w:id="689" w:name="_Toc186431854"/>
      <w:bookmarkStart w:id="690" w:name="_Toc279701247"/>
      <w:bookmarkStart w:id="691" w:name="_Toc259093676"/>
      <w:bookmarkStart w:id="692" w:name="_Toc487900357"/>
      <w:bookmarkStart w:id="693" w:name="_Ref467379807"/>
      <w:bookmarkStart w:id="694" w:name="_Ref467379793"/>
      <w:r>
        <w:rPr>
          <w:rFonts w:hint="eastAsia" w:ascii="微软雅黑" w:hAnsi="微软雅黑" w:eastAsia="微软雅黑" w:cs="微软雅黑"/>
          <w:sz w:val="21"/>
          <w:szCs w:val="21"/>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2.4.2 合同履行期间，甲方有权将履行过程中出现的问题反馈给乙方，双方当事人应以书面形式约定需要完善和改进的内容</w:t>
      </w:r>
      <w:bookmarkEnd w:id="689"/>
      <w:bookmarkStart w:id="695" w:name="_Toc186431855"/>
      <w:r>
        <w:rPr>
          <w:rFonts w:hint="eastAsia" w:ascii="微软雅黑" w:hAnsi="微软雅黑" w:eastAsia="微软雅黑" w:cs="微软雅黑"/>
          <w:sz w:val="21"/>
          <w:szCs w:val="21"/>
        </w:rPr>
        <w:t>。</w:t>
      </w:r>
    </w:p>
    <w:bookmarkEnd w:id="695"/>
    <w:p>
      <w:pPr>
        <w:spacing w:line="400" w:lineRule="exact"/>
        <w:ind w:firstLine="420" w:firstLineChars="200"/>
        <w:outlineLvl w:val="0"/>
        <w:rPr>
          <w:rFonts w:hint="eastAsia" w:ascii="微软雅黑" w:hAnsi="微软雅黑" w:eastAsia="微软雅黑" w:cs="微软雅黑"/>
          <w:b/>
          <w:sz w:val="21"/>
          <w:szCs w:val="21"/>
        </w:rPr>
      </w:pPr>
      <w:bookmarkStart w:id="696" w:name="_Toc12450"/>
      <w:bookmarkStart w:id="697" w:name="_Toc16669"/>
      <w:bookmarkStart w:id="698" w:name="_Toc15567"/>
      <w:bookmarkStart w:id="699" w:name="_Toc21474"/>
      <w:bookmarkStart w:id="700" w:name="_Toc22011"/>
      <w:bookmarkStart w:id="701" w:name="_Toc31233"/>
      <w:bookmarkStart w:id="702" w:name="_Toc15447"/>
      <w:bookmarkStart w:id="703" w:name="_Toc32043"/>
      <w:bookmarkStart w:id="704" w:name="_Toc29275"/>
      <w:bookmarkStart w:id="705" w:name="_Toc32670"/>
      <w:bookmarkStart w:id="706" w:name="_Toc26555"/>
      <w:bookmarkStart w:id="707" w:name="_Toc25428"/>
      <w:bookmarkStart w:id="708" w:name="_Toc4237"/>
      <w:r>
        <w:rPr>
          <w:rFonts w:hint="eastAsia" w:ascii="微软雅黑" w:hAnsi="微软雅黑" w:eastAsia="微软雅黑" w:cs="微软雅黑"/>
          <w:b/>
          <w:sz w:val="21"/>
          <w:szCs w:val="21"/>
        </w:rPr>
        <w:t>2.5 结算方式和付款条件</w:t>
      </w:r>
      <w:bookmarkEnd w:id="690"/>
      <w:bookmarkEnd w:id="691"/>
      <w:bookmarkEnd w:id="692"/>
      <w:bookmarkEnd w:id="693"/>
      <w:bookmarkEnd w:id="694"/>
      <w:bookmarkEnd w:id="696"/>
      <w:bookmarkEnd w:id="697"/>
      <w:bookmarkEnd w:id="698"/>
      <w:bookmarkEnd w:id="699"/>
      <w:bookmarkEnd w:id="700"/>
      <w:bookmarkEnd w:id="701"/>
      <w:bookmarkEnd w:id="702"/>
      <w:bookmarkEnd w:id="703"/>
      <w:bookmarkEnd w:id="704"/>
      <w:bookmarkEnd w:id="705"/>
      <w:bookmarkEnd w:id="706"/>
      <w:bookmarkEnd w:id="707"/>
      <w:bookmarkEnd w:id="708"/>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w:t>
      </w:r>
    </w:p>
    <w:p>
      <w:pPr>
        <w:spacing w:line="400" w:lineRule="exact"/>
        <w:ind w:firstLine="420" w:firstLineChars="200"/>
        <w:outlineLvl w:val="0"/>
        <w:rPr>
          <w:rFonts w:hint="eastAsia" w:ascii="微软雅黑" w:hAnsi="微软雅黑" w:eastAsia="微软雅黑" w:cs="微软雅黑"/>
          <w:b/>
          <w:sz w:val="21"/>
          <w:szCs w:val="21"/>
        </w:rPr>
      </w:pPr>
      <w:bookmarkStart w:id="709" w:name="_Toc279701248"/>
      <w:bookmarkStart w:id="710" w:name="_Ref467379923"/>
      <w:bookmarkStart w:id="711" w:name="_Ref467379852"/>
      <w:bookmarkStart w:id="712" w:name="_Toc259093677"/>
      <w:bookmarkStart w:id="713" w:name="_Toc487900358"/>
      <w:bookmarkStart w:id="714" w:name="_Ref467379863"/>
      <w:bookmarkStart w:id="715" w:name="_Toc13154"/>
      <w:bookmarkStart w:id="716" w:name="_Toc26815"/>
      <w:bookmarkStart w:id="717" w:name="_Toc29402"/>
      <w:bookmarkStart w:id="718" w:name="_Toc30507"/>
      <w:bookmarkStart w:id="719" w:name="_Toc3982"/>
      <w:bookmarkStart w:id="720" w:name="_Toc18398"/>
      <w:bookmarkStart w:id="721" w:name="_Toc19435"/>
      <w:bookmarkStart w:id="722" w:name="_Toc13467"/>
      <w:bookmarkStart w:id="723" w:name="_Toc16163"/>
      <w:bookmarkStart w:id="724" w:name="_Toc18186"/>
      <w:bookmarkStart w:id="725" w:name="_Toc18990"/>
      <w:bookmarkStart w:id="726" w:name="_Toc13740"/>
      <w:bookmarkStart w:id="727" w:name="_Toc23122"/>
      <w:r>
        <w:rPr>
          <w:rFonts w:hint="eastAsia" w:ascii="微软雅黑" w:hAnsi="微软雅黑" w:eastAsia="微软雅黑" w:cs="微软雅黑"/>
          <w:b/>
          <w:sz w:val="21"/>
          <w:szCs w:val="21"/>
        </w:rPr>
        <w:t>2.6 技术资料</w:t>
      </w:r>
      <w:bookmarkEnd w:id="709"/>
      <w:bookmarkEnd w:id="710"/>
      <w:bookmarkEnd w:id="711"/>
      <w:bookmarkEnd w:id="712"/>
      <w:bookmarkEnd w:id="713"/>
      <w:bookmarkEnd w:id="714"/>
      <w:r>
        <w:rPr>
          <w:rFonts w:hint="eastAsia" w:ascii="微软雅黑" w:hAnsi="微软雅黑" w:eastAsia="微软雅黑" w:cs="微软雅黑"/>
          <w:b/>
          <w:sz w:val="21"/>
          <w:szCs w:val="21"/>
        </w:rPr>
        <w:t>和保密义务</w:t>
      </w:r>
      <w:bookmarkEnd w:id="715"/>
      <w:bookmarkEnd w:id="716"/>
      <w:bookmarkEnd w:id="717"/>
      <w:bookmarkEnd w:id="718"/>
      <w:bookmarkEnd w:id="719"/>
      <w:bookmarkEnd w:id="720"/>
      <w:bookmarkEnd w:id="721"/>
      <w:bookmarkEnd w:id="722"/>
      <w:bookmarkEnd w:id="723"/>
      <w:bookmarkEnd w:id="724"/>
      <w:bookmarkEnd w:id="725"/>
      <w:bookmarkEnd w:id="726"/>
      <w:bookmarkEnd w:id="727"/>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2.6.1 乙方有权依据合同约定和项目需要，向甲方了解有关情况，调阅有关资料等，甲方应予积极配合；</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2.6.2 乙方有义务妥善保管和保护由甲方提供的前款信息和资料等；</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20" w:firstLineChars="200"/>
        <w:outlineLvl w:val="0"/>
        <w:rPr>
          <w:rFonts w:hint="eastAsia" w:ascii="微软雅黑" w:hAnsi="微软雅黑" w:eastAsia="微软雅黑" w:cs="微软雅黑"/>
          <w:b/>
          <w:sz w:val="21"/>
          <w:szCs w:val="21"/>
        </w:rPr>
      </w:pPr>
      <w:bookmarkStart w:id="728" w:name="_Toc19069"/>
      <w:bookmarkStart w:id="729" w:name="_Toc10458"/>
      <w:bookmarkStart w:id="730" w:name="_Toc21039"/>
      <w:bookmarkStart w:id="731" w:name="_Toc1948"/>
      <w:bookmarkStart w:id="732" w:name="_Toc30162"/>
      <w:bookmarkStart w:id="733" w:name="_Toc18372"/>
      <w:bookmarkStart w:id="734" w:name="_Toc10699"/>
      <w:bookmarkStart w:id="735" w:name="_Toc24552"/>
      <w:bookmarkStart w:id="736" w:name="_Toc20114"/>
      <w:bookmarkStart w:id="737" w:name="_Toc487900362"/>
      <w:bookmarkStart w:id="738" w:name="_Toc259093681"/>
      <w:bookmarkStart w:id="739" w:name="_Toc279701252"/>
      <w:r>
        <w:rPr>
          <w:rFonts w:hint="eastAsia" w:ascii="微软雅黑" w:hAnsi="微软雅黑" w:eastAsia="微软雅黑" w:cs="微软雅黑"/>
          <w:b/>
          <w:sz w:val="21"/>
          <w:szCs w:val="21"/>
        </w:rPr>
        <w:t>2.7 质量保证</w:t>
      </w:r>
      <w:bookmarkEnd w:id="728"/>
      <w:bookmarkEnd w:id="729"/>
      <w:bookmarkEnd w:id="730"/>
      <w:bookmarkEnd w:id="731"/>
      <w:bookmarkEnd w:id="732"/>
      <w:bookmarkEnd w:id="733"/>
      <w:bookmarkEnd w:id="734"/>
      <w:bookmarkEnd w:id="735"/>
      <w:bookmarkEnd w:id="736"/>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2.7.1 乙方应建立和完善履行合同的内部质量保证体系，并提供相关内部规章制度给甲方，以便甲方进行监督检查；</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2.7.2 乙方应保证履行合同的人员数量和素质、软件和硬件设备的配置、场地、环境和设施等满足全面履行合同的要求，并应接受甲方的监督检查。</w:t>
      </w:r>
    </w:p>
    <w:p>
      <w:pPr>
        <w:spacing w:line="400" w:lineRule="exact"/>
        <w:ind w:firstLine="420" w:firstLineChars="200"/>
        <w:outlineLvl w:val="0"/>
        <w:rPr>
          <w:rFonts w:hint="eastAsia" w:ascii="微软雅黑" w:hAnsi="微软雅黑" w:eastAsia="微软雅黑" w:cs="微软雅黑"/>
          <w:b/>
          <w:sz w:val="21"/>
          <w:szCs w:val="21"/>
        </w:rPr>
      </w:pPr>
      <w:bookmarkStart w:id="740" w:name="_Toc22198"/>
      <w:bookmarkStart w:id="741" w:name="_Toc24499"/>
      <w:bookmarkStart w:id="742" w:name="_Toc7710"/>
      <w:bookmarkStart w:id="743" w:name="_Toc11034"/>
      <w:bookmarkStart w:id="744" w:name="_Toc1263"/>
      <w:bookmarkStart w:id="745" w:name="_Toc31651"/>
      <w:bookmarkStart w:id="746" w:name="_Toc22267"/>
      <w:bookmarkStart w:id="747" w:name="_Toc11272"/>
      <w:bookmarkStart w:id="748" w:name="_Toc23262"/>
      <w:r>
        <w:rPr>
          <w:rFonts w:hint="eastAsia" w:ascii="微软雅黑" w:hAnsi="微软雅黑" w:eastAsia="微软雅黑" w:cs="微软雅黑"/>
          <w:b/>
          <w:sz w:val="21"/>
          <w:szCs w:val="21"/>
        </w:rPr>
        <w:t>2.8 延迟</w:t>
      </w:r>
      <w:bookmarkEnd w:id="737"/>
      <w:bookmarkEnd w:id="738"/>
      <w:bookmarkEnd w:id="739"/>
      <w:r>
        <w:rPr>
          <w:rFonts w:hint="eastAsia" w:ascii="微软雅黑" w:hAnsi="微软雅黑" w:eastAsia="微软雅黑" w:cs="微软雅黑"/>
          <w:b/>
          <w:sz w:val="21"/>
          <w:szCs w:val="21"/>
        </w:rPr>
        <w:t>履行</w:t>
      </w:r>
      <w:bookmarkEnd w:id="740"/>
      <w:bookmarkEnd w:id="741"/>
      <w:bookmarkEnd w:id="742"/>
      <w:bookmarkEnd w:id="743"/>
      <w:bookmarkEnd w:id="744"/>
      <w:bookmarkEnd w:id="745"/>
      <w:bookmarkEnd w:id="746"/>
      <w:bookmarkEnd w:id="747"/>
      <w:bookmarkEnd w:id="748"/>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20" w:firstLineChars="200"/>
        <w:outlineLvl w:val="0"/>
        <w:rPr>
          <w:rFonts w:hint="eastAsia" w:ascii="微软雅黑" w:hAnsi="微软雅黑" w:eastAsia="微软雅黑" w:cs="微软雅黑"/>
          <w:b/>
          <w:sz w:val="21"/>
          <w:szCs w:val="21"/>
        </w:rPr>
      </w:pPr>
      <w:bookmarkStart w:id="749" w:name="_Toc20659"/>
      <w:bookmarkStart w:id="750" w:name="_Toc13769"/>
      <w:bookmarkStart w:id="751" w:name="_Toc29936"/>
      <w:bookmarkStart w:id="752" w:name="_Toc3810"/>
      <w:bookmarkStart w:id="753" w:name="_Toc27101"/>
      <w:bookmarkStart w:id="754" w:name="_Toc6471"/>
      <w:bookmarkStart w:id="755" w:name="_Toc3758"/>
      <w:bookmarkStart w:id="756" w:name="_Toc10611"/>
      <w:bookmarkStart w:id="757" w:name="_Toc12190"/>
      <w:bookmarkStart w:id="758" w:name="_Toc279701254"/>
      <w:bookmarkStart w:id="759" w:name="_Toc259093683"/>
      <w:bookmarkStart w:id="760" w:name="_Toc487900364"/>
      <w:bookmarkStart w:id="761" w:name="_Ref467378121"/>
      <w:r>
        <w:rPr>
          <w:rFonts w:hint="eastAsia" w:ascii="微软雅黑" w:hAnsi="微软雅黑" w:eastAsia="微软雅黑" w:cs="微软雅黑"/>
          <w:b/>
          <w:sz w:val="21"/>
          <w:szCs w:val="21"/>
        </w:rPr>
        <w:t>2.9 合同变更</w:t>
      </w:r>
      <w:bookmarkEnd w:id="749"/>
      <w:bookmarkEnd w:id="750"/>
      <w:bookmarkEnd w:id="751"/>
      <w:bookmarkEnd w:id="752"/>
      <w:bookmarkEnd w:id="753"/>
      <w:bookmarkEnd w:id="754"/>
      <w:bookmarkEnd w:id="755"/>
      <w:bookmarkEnd w:id="756"/>
      <w:bookmarkEnd w:id="757"/>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2.9.2 合同继续履行将损害国家利益和社会公共利益的，双方当事人应当以书面形式变更合同。有过错的一方应当承担赔偿责任，双方当事人都有过错的，各自承担相应的责任。</w:t>
      </w:r>
      <w:bookmarkStart w:id="762" w:name="_Toc259093688"/>
      <w:bookmarkStart w:id="763" w:name="_Toc279701259"/>
      <w:bookmarkStart w:id="764" w:name="_Toc487900369"/>
    </w:p>
    <w:p>
      <w:pPr>
        <w:spacing w:line="400" w:lineRule="exact"/>
        <w:ind w:firstLine="420" w:firstLineChars="200"/>
        <w:outlineLvl w:val="0"/>
        <w:rPr>
          <w:rFonts w:hint="eastAsia" w:ascii="微软雅黑" w:hAnsi="微软雅黑" w:eastAsia="微软雅黑" w:cs="微软雅黑"/>
          <w:b/>
          <w:sz w:val="21"/>
          <w:szCs w:val="21"/>
        </w:rPr>
      </w:pPr>
      <w:bookmarkStart w:id="765" w:name="_Toc6424"/>
      <w:bookmarkStart w:id="766" w:name="_Toc26689"/>
      <w:bookmarkStart w:id="767" w:name="_Toc1805"/>
      <w:bookmarkStart w:id="768" w:name="_Toc18298"/>
      <w:bookmarkStart w:id="769" w:name="_Toc30446"/>
      <w:bookmarkStart w:id="770" w:name="_Toc23368"/>
      <w:bookmarkStart w:id="771" w:name="_Toc7775"/>
      <w:bookmarkStart w:id="772" w:name="_Toc28640"/>
      <w:bookmarkStart w:id="773" w:name="_Toc10663"/>
      <w:bookmarkStart w:id="774" w:name="_Toc7532"/>
      <w:bookmarkStart w:id="775" w:name="_Toc42"/>
      <w:bookmarkStart w:id="776" w:name="_Toc17116"/>
      <w:bookmarkStart w:id="777" w:name="_Toc21830"/>
      <w:r>
        <w:rPr>
          <w:rFonts w:hint="eastAsia" w:ascii="微软雅黑" w:hAnsi="微软雅黑" w:eastAsia="微软雅黑" w:cs="微软雅黑"/>
          <w:b/>
          <w:sz w:val="21"/>
          <w:szCs w:val="21"/>
        </w:rPr>
        <w:t>2.10 合同转让</w:t>
      </w:r>
      <w:bookmarkEnd w:id="762"/>
      <w:bookmarkEnd w:id="763"/>
      <w:bookmarkEnd w:id="764"/>
      <w:r>
        <w:rPr>
          <w:rFonts w:hint="eastAsia" w:ascii="微软雅黑" w:hAnsi="微软雅黑" w:eastAsia="微软雅黑" w:cs="微软雅黑"/>
          <w:b/>
          <w:sz w:val="21"/>
          <w:szCs w:val="21"/>
        </w:rPr>
        <w:t>和分包</w:t>
      </w:r>
      <w:bookmarkEnd w:id="765"/>
      <w:bookmarkEnd w:id="766"/>
      <w:bookmarkEnd w:id="767"/>
      <w:bookmarkEnd w:id="768"/>
      <w:bookmarkEnd w:id="769"/>
      <w:bookmarkEnd w:id="770"/>
      <w:bookmarkEnd w:id="771"/>
      <w:bookmarkEnd w:id="772"/>
      <w:bookmarkEnd w:id="773"/>
      <w:bookmarkEnd w:id="774"/>
      <w:bookmarkEnd w:id="775"/>
      <w:bookmarkEnd w:id="776"/>
      <w:bookmarkEnd w:id="777"/>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20" w:firstLineChars="200"/>
        <w:outlineLvl w:val="0"/>
        <w:rPr>
          <w:rFonts w:hint="eastAsia" w:ascii="微软雅黑" w:hAnsi="微软雅黑" w:eastAsia="微软雅黑" w:cs="微软雅黑"/>
          <w:b/>
          <w:sz w:val="21"/>
          <w:szCs w:val="21"/>
        </w:rPr>
      </w:pPr>
      <w:bookmarkStart w:id="778" w:name="_Toc26633"/>
      <w:bookmarkStart w:id="779" w:name="_Toc9462"/>
      <w:bookmarkStart w:id="780" w:name="_Toc31144"/>
      <w:bookmarkStart w:id="781" w:name="_Toc21769"/>
      <w:bookmarkStart w:id="782" w:name="_Toc8431"/>
      <w:bookmarkStart w:id="783" w:name="_Toc4720"/>
      <w:bookmarkStart w:id="784" w:name="_Toc25571"/>
      <w:bookmarkStart w:id="785" w:name="_Toc30847"/>
      <w:bookmarkStart w:id="786" w:name="_Toc14371"/>
      <w:bookmarkStart w:id="787" w:name="_Toc9705"/>
      <w:bookmarkStart w:id="788" w:name="_Toc24708"/>
      <w:bookmarkStart w:id="789" w:name="_Toc4211"/>
      <w:bookmarkStart w:id="790" w:name="_Toc32494"/>
      <w:r>
        <w:rPr>
          <w:rFonts w:hint="eastAsia" w:ascii="微软雅黑" w:hAnsi="微软雅黑" w:eastAsia="微软雅黑" w:cs="微软雅黑"/>
          <w:b/>
          <w:sz w:val="21"/>
          <w:szCs w:val="21"/>
        </w:rPr>
        <w:t>2.11 不可抗力</w:t>
      </w:r>
      <w:bookmarkEnd w:id="778"/>
      <w:bookmarkEnd w:id="779"/>
      <w:bookmarkEnd w:id="780"/>
      <w:bookmarkEnd w:id="781"/>
      <w:bookmarkEnd w:id="782"/>
      <w:bookmarkEnd w:id="783"/>
      <w:bookmarkEnd w:id="784"/>
      <w:bookmarkEnd w:id="785"/>
      <w:bookmarkEnd w:id="786"/>
      <w:bookmarkEnd w:id="787"/>
      <w:bookmarkEnd w:id="788"/>
      <w:bookmarkEnd w:id="789"/>
      <w:bookmarkEnd w:id="790"/>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2.11.1如果任何一方遭遇法律规定的不可抗力，致使合同履行受阻时，履行合同的期限应予延长，延长的期限应相当于不可抗力所影响的时间；</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2.11.2 因不可抗力致使不能实现合同目的的，当事人可以解除合同；</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2.11.3 因不可抗力致使合同有变更必要的，双方当事人应在</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约定时间内以书面形式变更合同；</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2.11.4受不可抗力影响的一方在不可抗力发生后，应在</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约定时间内以书面形式通知对方当事人，并在</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约定时间内，将有关部门出具的证明文件送达对方当事人。</w:t>
      </w:r>
    </w:p>
    <w:p>
      <w:pPr>
        <w:spacing w:line="400" w:lineRule="exact"/>
        <w:ind w:firstLine="420" w:firstLineChars="200"/>
        <w:outlineLvl w:val="0"/>
        <w:rPr>
          <w:rFonts w:hint="eastAsia" w:ascii="微软雅黑" w:hAnsi="微软雅黑" w:eastAsia="微软雅黑" w:cs="微软雅黑"/>
          <w:b/>
          <w:sz w:val="21"/>
          <w:szCs w:val="21"/>
        </w:rPr>
      </w:pPr>
      <w:bookmarkStart w:id="791" w:name="_Toc23854"/>
      <w:bookmarkStart w:id="792" w:name="_Toc25783"/>
      <w:bookmarkStart w:id="793" w:name="_Toc24465"/>
      <w:bookmarkStart w:id="794" w:name="_Toc14370"/>
      <w:bookmarkStart w:id="795" w:name="_Toc3638"/>
      <w:bookmarkStart w:id="796" w:name="_Toc13565"/>
      <w:bookmarkStart w:id="797" w:name="_Toc2665"/>
      <w:bookmarkStart w:id="798" w:name="_Toc259093684"/>
      <w:bookmarkStart w:id="799" w:name="_Toc2995"/>
      <w:bookmarkStart w:id="800" w:name="_Toc6743"/>
      <w:bookmarkStart w:id="801" w:name="_Toc14115"/>
      <w:bookmarkStart w:id="802" w:name="_Toc219"/>
      <w:bookmarkStart w:id="803" w:name="_Toc3156"/>
      <w:bookmarkStart w:id="804" w:name="_Toc279701255"/>
      <w:bookmarkStart w:id="805" w:name="_Toc487900365"/>
      <w:bookmarkStart w:id="806" w:name="_Toc32181"/>
      <w:r>
        <w:rPr>
          <w:rFonts w:hint="eastAsia" w:ascii="微软雅黑" w:hAnsi="微软雅黑" w:eastAsia="微软雅黑" w:cs="微软雅黑"/>
          <w:b/>
          <w:sz w:val="21"/>
          <w:szCs w:val="21"/>
        </w:rPr>
        <w:t>2.12 税费</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与合同有关的一切税费，均按照中华人民共和国法律的相关规定缴纳。</w:t>
      </w:r>
    </w:p>
    <w:p>
      <w:pPr>
        <w:spacing w:line="400" w:lineRule="exact"/>
        <w:ind w:firstLine="420" w:firstLineChars="200"/>
        <w:outlineLvl w:val="0"/>
        <w:rPr>
          <w:rFonts w:hint="eastAsia" w:ascii="微软雅黑" w:hAnsi="微软雅黑" w:eastAsia="微软雅黑" w:cs="微软雅黑"/>
          <w:b/>
          <w:sz w:val="21"/>
          <w:szCs w:val="21"/>
        </w:rPr>
      </w:pPr>
      <w:bookmarkStart w:id="807" w:name="_Toc25525"/>
      <w:bookmarkStart w:id="808" w:name="_Toc10735"/>
      <w:bookmarkStart w:id="809" w:name="_Toc31237"/>
      <w:bookmarkStart w:id="810" w:name="_Toc487900368"/>
      <w:bookmarkStart w:id="811" w:name="_Toc15966"/>
      <w:bookmarkStart w:id="812" w:name="_Toc3759"/>
      <w:bookmarkStart w:id="813" w:name="_Toc24809"/>
      <w:bookmarkStart w:id="814" w:name="_Toc14814"/>
      <w:bookmarkStart w:id="815" w:name="_Toc7315"/>
      <w:bookmarkStart w:id="816" w:name="_Toc259093687"/>
      <w:bookmarkStart w:id="817" w:name="_Toc29427"/>
      <w:bookmarkStart w:id="818" w:name="_Toc4896"/>
      <w:bookmarkStart w:id="819" w:name="_Toc30105"/>
      <w:bookmarkStart w:id="820" w:name="_Toc7330"/>
      <w:bookmarkStart w:id="821" w:name="_Toc26883"/>
      <w:bookmarkStart w:id="822" w:name="_Toc279701258"/>
      <w:r>
        <w:rPr>
          <w:rFonts w:hint="eastAsia" w:ascii="微软雅黑" w:hAnsi="微软雅黑" w:eastAsia="微软雅黑" w:cs="微软雅黑"/>
          <w:b/>
          <w:sz w:val="21"/>
          <w:szCs w:val="21"/>
        </w:rPr>
        <w:t>2.13 乙方破产</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20" w:firstLineChars="200"/>
        <w:outlineLvl w:val="0"/>
        <w:rPr>
          <w:rFonts w:hint="eastAsia" w:ascii="微软雅黑" w:hAnsi="微软雅黑" w:eastAsia="微软雅黑" w:cs="微软雅黑"/>
          <w:b/>
          <w:sz w:val="21"/>
          <w:szCs w:val="21"/>
        </w:rPr>
      </w:pPr>
      <w:bookmarkStart w:id="823" w:name="_Toc8069"/>
      <w:bookmarkStart w:id="824" w:name="_Toc23637"/>
      <w:bookmarkStart w:id="825" w:name="_Toc15650"/>
      <w:bookmarkStart w:id="826" w:name="_Toc23323"/>
      <w:bookmarkStart w:id="827" w:name="_Toc4845"/>
      <w:bookmarkStart w:id="828" w:name="_Toc26320"/>
      <w:bookmarkStart w:id="829" w:name="_Toc1123"/>
      <w:bookmarkStart w:id="830" w:name="_Toc21402"/>
      <w:bookmarkStart w:id="831" w:name="_Toc2016"/>
      <w:bookmarkStart w:id="832" w:name="_Toc2305"/>
      <w:bookmarkStart w:id="833" w:name="_Toc31298"/>
      <w:r>
        <w:rPr>
          <w:rFonts w:hint="eastAsia" w:ascii="微软雅黑" w:hAnsi="微软雅黑" w:eastAsia="微软雅黑" w:cs="微软雅黑"/>
          <w:b/>
          <w:sz w:val="21"/>
          <w:szCs w:val="21"/>
        </w:rPr>
        <w:t>2.14 合同中止、终止</w:t>
      </w:r>
      <w:bookmarkEnd w:id="823"/>
      <w:bookmarkEnd w:id="824"/>
      <w:bookmarkEnd w:id="825"/>
      <w:bookmarkEnd w:id="826"/>
      <w:bookmarkEnd w:id="827"/>
      <w:bookmarkEnd w:id="828"/>
      <w:bookmarkEnd w:id="829"/>
      <w:bookmarkEnd w:id="830"/>
      <w:bookmarkEnd w:id="831"/>
      <w:bookmarkEnd w:id="832"/>
      <w:bookmarkEnd w:id="833"/>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2.14.1 双方当事人不得擅自中止或者终止合同；</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20" w:firstLineChars="200"/>
        <w:outlineLvl w:val="0"/>
        <w:rPr>
          <w:rFonts w:hint="eastAsia" w:ascii="微软雅黑" w:hAnsi="微软雅黑" w:eastAsia="微软雅黑" w:cs="微软雅黑"/>
          <w:b/>
          <w:sz w:val="21"/>
          <w:szCs w:val="21"/>
        </w:rPr>
      </w:pPr>
      <w:bookmarkStart w:id="834" w:name="_Toc22475"/>
      <w:bookmarkStart w:id="835" w:name="_Toc7924"/>
      <w:bookmarkStart w:id="836" w:name="_Toc1969"/>
      <w:bookmarkStart w:id="837" w:name="_Toc17363"/>
      <w:bookmarkStart w:id="838" w:name="_Toc14525"/>
      <w:bookmarkStart w:id="839" w:name="_Toc25815"/>
      <w:bookmarkStart w:id="840" w:name="_Toc16198"/>
      <w:bookmarkStart w:id="841" w:name="_Toc14653"/>
      <w:bookmarkStart w:id="842" w:name="_Toc25753"/>
      <w:bookmarkStart w:id="843" w:name="_Toc6071"/>
      <w:bookmarkStart w:id="844" w:name="_Toc31348"/>
      <w:r>
        <w:rPr>
          <w:rFonts w:hint="eastAsia" w:ascii="微软雅黑" w:hAnsi="微软雅黑" w:eastAsia="微软雅黑" w:cs="微软雅黑"/>
          <w:b/>
          <w:sz w:val="21"/>
          <w:szCs w:val="21"/>
        </w:rPr>
        <w:t>2.15 检验和验收</w:t>
      </w:r>
      <w:bookmarkEnd w:id="834"/>
      <w:bookmarkEnd w:id="835"/>
      <w:bookmarkEnd w:id="836"/>
      <w:bookmarkEnd w:id="837"/>
      <w:bookmarkEnd w:id="838"/>
      <w:bookmarkEnd w:id="839"/>
      <w:bookmarkEnd w:id="840"/>
      <w:bookmarkEnd w:id="841"/>
      <w:bookmarkEnd w:id="842"/>
      <w:bookmarkEnd w:id="843"/>
      <w:bookmarkEnd w:id="844"/>
    </w:p>
    <w:p>
      <w:pPr>
        <w:tabs>
          <w:tab w:val="left" w:pos="360"/>
          <w:tab w:val="left" w:pos="540"/>
          <w:tab w:val="left" w:pos="1080"/>
        </w:tabs>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2.15.1 乙方按照</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的约定，定期提交服务报告，甲方按照</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的约定进行定期验收；</w:t>
      </w:r>
    </w:p>
    <w:p>
      <w:pPr>
        <w:tabs>
          <w:tab w:val="left" w:pos="360"/>
          <w:tab w:val="left" w:pos="540"/>
          <w:tab w:val="left" w:pos="1080"/>
        </w:tabs>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2.15.3 检验和验收标准、程序等具体内容以及前述验收书的效力详见</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i/>
          <w:sz w:val="21"/>
          <w:szCs w:val="21"/>
        </w:rPr>
        <w:t>。</w:t>
      </w:r>
    </w:p>
    <w:bookmarkEnd w:id="758"/>
    <w:bookmarkEnd w:id="759"/>
    <w:bookmarkEnd w:id="760"/>
    <w:bookmarkEnd w:id="761"/>
    <w:p>
      <w:pPr>
        <w:spacing w:line="400" w:lineRule="exact"/>
        <w:ind w:firstLine="420" w:firstLineChars="200"/>
        <w:outlineLvl w:val="0"/>
        <w:rPr>
          <w:rFonts w:hint="eastAsia" w:ascii="微软雅黑" w:hAnsi="微软雅黑" w:eastAsia="微软雅黑" w:cs="微软雅黑"/>
          <w:b/>
          <w:sz w:val="21"/>
          <w:szCs w:val="21"/>
        </w:rPr>
      </w:pPr>
      <w:bookmarkStart w:id="845" w:name="_Toc487900371"/>
      <w:bookmarkStart w:id="846" w:name="_Toc279701261"/>
      <w:bookmarkStart w:id="847" w:name="_Toc259093690"/>
      <w:bookmarkStart w:id="848" w:name="_Toc29667"/>
      <w:bookmarkStart w:id="849" w:name="_Toc10819"/>
      <w:bookmarkStart w:id="850" w:name="_Toc26095"/>
      <w:bookmarkStart w:id="851" w:name="_Toc25198"/>
      <w:bookmarkStart w:id="852" w:name="_Toc6307"/>
      <w:bookmarkStart w:id="853" w:name="_Toc12666"/>
      <w:bookmarkStart w:id="854" w:name="_Toc10525"/>
      <w:bookmarkStart w:id="855" w:name="_Toc14978"/>
      <w:bookmarkStart w:id="856" w:name="_Toc9808"/>
      <w:bookmarkStart w:id="857" w:name="_Toc953"/>
      <w:bookmarkStart w:id="858" w:name="_Toc31892"/>
      <w:bookmarkStart w:id="859" w:name="_Toc15607"/>
      <w:bookmarkStart w:id="860" w:name="_Toc2308"/>
      <w:r>
        <w:rPr>
          <w:rFonts w:hint="eastAsia" w:ascii="微软雅黑" w:hAnsi="微软雅黑" w:eastAsia="微软雅黑" w:cs="微软雅黑"/>
          <w:b/>
          <w:sz w:val="21"/>
          <w:szCs w:val="21"/>
        </w:rPr>
        <w:t>2.16 通知</w:t>
      </w:r>
      <w:bookmarkEnd w:id="845"/>
      <w:bookmarkEnd w:id="846"/>
      <w:bookmarkEnd w:id="847"/>
      <w:r>
        <w:rPr>
          <w:rFonts w:hint="eastAsia" w:ascii="微软雅黑" w:hAnsi="微软雅黑" w:eastAsia="微软雅黑" w:cs="微软雅黑"/>
          <w:b/>
          <w:sz w:val="21"/>
          <w:szCs w:val="21"/>
        </w:rPr>
        <w:t>和送达</w:t>
      </w:r>
      <w:bookmarkEnd w:id="848"/>
      <w:bookmarkEnd w:id="849"/>
      <w:bookmarkEnd w:id="850"/>
      <w:bookmarkEnd w:id="851"/>
      <w:bookmarkEnd w:id="852"/>
      <w:bookmarkEnd w:id="853"/>
      <w:bookmarkEnd w:id="854"/>
      <w:bookmarkEnd w:id="855"/>
      <w:bookmarkEnd w:id="856"/>
      <w:bookmarkEnd w:id="857"/>
      <w:bookmarkEnd w:id="858"/>
      <w:bookmarkEnd w:id="859"/>
      <w:bookmarkEnd w:id="860"/>
    </w:p>
    <w:p>
      <w:pPr>
        <w:spacing w:line="400" w:lineRule="exact"/>
        <w:ind w:firstLine="420" w:firstLineChars="200"/>
        <w:rPr>
          <w:rFonts w:hint="eastAsia" w:ascii="微软雅黑" w:hAnsi="微软雅黑" w:eastAsia="微软雅黑" w:cs="微软雅黑"/>
          <w:sz w:val="21"/>
          <w:szCs w:val="21"/>
        </w:rPr>
      </w:pPr>
      <w:bookmarkStart w:id="861" w:name="_Toc29220"/>
      <w:bookmarkStart w:id="862" w:name="_Toc7073"/>
      <w:bookmarkStart w:id="863" w:name="_Toc487900372"/>
      <w:bookmarkStart w:id="864" w:name="_Toc259093691"/>
      <w:bookmarkStart w:id="865" w:name="_Toc279701262"/>
      <w:r>
        <w:rPr>
          <w:rFonts w:hint="eastAsia" w:ascii="微软雅黑" w:hAnsi="微软雅黑" w:eastAsia="微软雅黑" w:cs="微软雅黑"/>
          <w:sz w:val="21"/>
          <w:szCs w:val="21"/>
        </w:rPr>
        <w:t>2.16.1 任何一方因履行合同而以合同第一部分尾部所列明的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发出的所有通知、文件、材料，均视为已向对方当事人送达；任何一方变更上述送达方式或者地址的，应于</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个工作日内书面通知对方当事人，在对方当事人收到有关变更通知之前，变更前的约定送达方式或者地址仍视为有效。</w:t>
      </w:r>
      <w:bookmarkEnd w:id="861"/>
      <w:bookmarkEnd w:id="862"/>
    </w:p>
    <w:p>
      <w:pPr>
        <w:spacing w:line="400" w:lineRule="exact"/>
        <w:ind w:firstLine="420" w:firstLineChars="200"/>
        <w:rPr>
          <w:rFonts w:hint="eastAsia" w:ascii="微软雅黑" w:hAnsi="微软雅黑" w:eastAsia="微软雅黑" w:cs="微软雅黑"/>
          <w:sz w:val="21"/>
          <w:szCs w:val="21"/>
        </w:rPr>
      </w:pPr>
      <w:bookmarkStart w:id="866" w:name="_Toc27674"/>
      <w:bookmarkStart w:id="867" w:name="_Toc18401"/>
      <w:r>
        <w:rPr>
          <w:rFonts w:hint="eastAsia" w:ascii="微软雅黑" w:hAnsi="微软雅黑" w:eastAsia="微软雅黑" w:cs="微软雅黑"/>
          <w:sz w:val="21"/>
          <w:szCs w:val="21"/>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866"/>
      <w:bookmarkEnd w:id="867"/>
    </w:p>
    <w:bookmarkEnd w:id="863"/>
    <w:bookmarkEnd w:id="864"/>
    <w:bookmarkEnd w:id="865"/>
    <w:p>
      <w:pPr>
        <w:spacing w:line="400" w:lineRule="exact"/>
        <w:ind w:firstLine="420" w:firstLineChars="200"/>
        <w:outlineLvl w:val="0"/>
        <w:rPr>
          <w:rFonts w:hint="eastAsia" w:ascii="微软雅黑" w:hAnsi="微软雅黑" w:eastAsia="微软雅黑" w:cs="微软雅黑"/>
          <w:b/>
          <w:sz w:val="21"/>
          <w:szCs w:val="21"/>
        </w:rPr>
      </w:pPr>
      <w:bookmarkStart w:id="868" w:name="_Toc31615"/>
      <w:bookmarkStart w:id="869" w:name="_Toc20808"/>
      <w:bookmarkStart w:id="870" w:name="_Toc5063"/>
      <w:bookmarkStart w:id="871" w:name="_Toc556"/>
      <w:bookmarkStart w:id="872" w:name="_Toc16009"/>
      <w:bookmarkStart w:id="873" w:name="_Toc1846"/>
      <w:bookmarkStart w:id="874" w:name="_Toc7037"/>
      <w:bookmarkStart w:id="875" w:name="_Toc28906"/>
      <w:bookmarkStart w:id="876" w:name="_Toc17963"/>
      <w:bookmarkStart w:id="877" w:name="_Toc19148"/>
      <w:bookmarkStart w:id="878" w:name="_Toc487900373"/>
      <w:bookmarkStart w:id="879" w:name="_Toc4407"/>
      <w:bookmarkStart w:id="880" w:name="_Toc259093692"/>
      <w:bookmarkStart w:id="881" w:name="_Toc12254"/>
      <w:bookmarkStart w:id="882" w:name="_Toc279701263"/>
      <w:bookmarkStart w:id="883" w:name="_Toc27644"/>
      <w:r>
        <w:rPr>
          <w:rFonts w:hint="eastAsia" w:ascii="微软雅黑" w:hAnsi="微软雅黑" w:eastAsia="微软雅黑" w:cs="微软雅黑"/>
          <w:b/>
          <w:sz w:val="21"/>
          <w:szCs w:val="21"/>
        </w:rPr>
        <w:t>2.17 合同使用的文字和适用的法律</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2.17.1 合同使用汉语书就、变更和解释；</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2.17.2 合同适用中华人民共和国法律。</w:t>
      </w:r>
    </w:p>
    <w:p>
      <w:pPr>
        <w:spacing w:line="400" w:lineRule="exact"/>
        <w:ind w:firstLine="420" w:firstLineChars="200"/>
        <w:outlineLvl w:val="0"/>
        <w:rPr>
          <w:rFonts w:hint="eastAsia" w:ascii="微软雅黑" w:hAnsi="微软雅黑" w:eastAsia="微软雅黑" w:cs="微软雅黑"/>
          <w:b/>
          <w:sz w:val="21"/>
          <w:szCs w:val="21"/>
        </w:rPr>
      </w:pPr>
      <w:bookmarkStart w:id="884" w:name="_Toc1492"/>
      <w:bookmarkStart w:id="885" w:name="_Toc279701264"/>
      <w:bookmarkStart w:id="886" w:name="_Toc259093693"/>
      <w:bookmarkStart w:id="887" w:name="_Toc17086"/>
      <w:bookmarkStart w:id="888" w:name="_Toc20559"/>
      <w:bookmarkStart w:id="889" w:name="_Toc4961"/>
      <w:bookmarkStart w:id="890" w:name="_Toc27127"/>
      <w:bookmarkStart w:id="891" w:name="_Toc22266"/>
      <w:bookmarkStart w:id="892" w:name="_Toc24074"/>
      <w:bookmarkStart w:id="893" w:name="_Toc26691"/>
      <w:bookmarkStart w:id="894" w:name="_Toc30312"/>
      <w:bookmarkStart w:id="895" w:name="_Toc15033"/>
      <w:bookmarkStart w:id="896" w:name="_Toc18902"/>
      <w:bookmarkStart w:id="897" w:name="_Toc30096"/>
      <w:bookmarkStart w:id="898" w:name="_Toc27403"/>
      <w:bookmarkStart w:id="899" w:name="_Toc487900374"/>
      <w:r>
        <w:rPr>
          <w:rFonts w:hint="eastAsia" w:ascii="微软雅黑" w:hAnsi="微软雅黑" w:eastAsia="微软雅黑" w:cs="微软雅黑"/>
          <w:b/>
          <w:sz w:val="21"/>
          <w:szCs w:val="21"/>
        </w:rPr>
        <w:t>2.18 履约保证金</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2.18.1 采购文件要求乙方提交履约保证金的，乙方应按</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约定的方式，以支票、汇票、本票或者金融机构、担保机构出具的保函等非现金形式，提交不超过合同价10%的履约保证金；</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2.18.2 履约保证金在</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约定期间内不予退还或者应完全有效，前述约定期间届满之日起</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个工作日内，甲方应将履约保证金退还乙方；</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899"/>
    <w:p>
      <w:pPr>
        <w:spacing w:line="400" w:lineRule="exact"/>
        <w:ind w:firstLine="420"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2.19 合同份数</w:t>
      </w:r>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合同份数按</w:t>
      </w:r>
      <w:r>
        <w:rPr>
          <w:rFonts w:hint="eastAsia" w:ascii="微软雅黑" w:hAnsi="微软雅黑" w:eastAsia="微软雅黑" w:cs="微软雅黑"/>
          <w:b/>
          <w:i/>
          <w:sz w:val="21"/>
          <w:szCs w:val="21"/>
          <w:u w:val="single"/>
        </w:rPr>
        <w:t>合同专用条款</w:t>
      </w:r>
      <w:r>
        <w:rPr>
          <w:rFonts w:hint="eastAsia" w:ascii="微软雅黑" w:hAnsi="微软雅黑" w:eastAsia="微软雅黑" w:cs="微软雅黑"/>
          <w:sz w:val="21"/>
          <w:szCs w:val="21"/>
        </w:rPr>
        <w:t>规定，每份均具有同等法律效力。</w:t>
      </w:r>
    </w:p>
    <w:p>
      <w:pPr>
        <w:pStyle w:val="45"/>
        <w:spacing w:line="400" w:lineRule="exact"/>
        <w:ind w:firstLine="0"/>
        <w:jc w:val="center"/>
        <w:rPr>
          <w:rFonts w:hint="eastAsia" w:ascii="微软雅黑" w:hAnsi="微软雅黑" w:eastAsia="微软雅黑" w:cs="微软雅黑"/>
          <w:b/>
          <w:sz w:val="21"/>
          <w:szCs w:val="21"/>
        </w:rPr>
      </w:pPr>
      <w:r>
        <w:rPr>
          <w:rFonts w:hint="eastAsia" w:ascii="微软雅黑" w:hAnsi="微软雅黑" w:eastAsia="微软雅黑" w:cs="微软雅黑"/>
          <w:sz w:val="21"/>
          <w:szCs w:val="21"/>
        </w:rPr>
        <w:br w:type="page"/>
      </w:r>
      <w:bookmarkStart w:id="900" w:name="_Toc331685784"/>
      <w:r>
        <w:rPr>
          <w:rFonts w:hint="eastAsia" w:ascii="微软雅黑" w:hAnsi="微软雅黑" w:eastAsia="微软雅黑" w:cs="微软雅黑"/>
          <w:b/>
          <w:sz w:val="21"/>
          <w:szCs w:val="21"/>
        </w:rPr>
        <w:t>第三部分  合同专用条款</w:t>
      </w:r>
      <w:bookmarkEnd w:id="900"/>
    </w:p>
    <w:p>
      <w:pPr>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400" w:lineRule="exact"/>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条款号</w:t>
            </w:r>
          </w:p>
        </w:tc>
        <w:tc>
          <w:tcPr>
            <w:tcW w:w="7633" w:type="dxa"/>
            <w:noWrap w:val="0"/>
            <w:vAlign w:val="center"/>
          </w:tcPr>
          <w:p>
            <w:pPr>
              <w:spacing w:line="400" w:lineRule="exact"/>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sz w:val="21"/>
                <w:szCs w:val="21"/>
              </w:rPr>
            </w:pPr>
          </w:p>
        </w:tc>
        <w:tc>
          <w:tcPr>
            <w:tcW w:w="7633" w:type="dxa"/>
            <w:noWrap w:val="0"/>
            <w:vAlign w:val="center"/>
          </w:tcPr>
          <w:p>
            <w:pPr>
              <w:spacing w:line="400" w:lineRule="exact"/>
              <w:rPr>
                <w:rFonts w:hint="eastAsia" w:ascii="微软雅黑" w:hAnsi="微软雅黑" w:eastAsia="微软雅黑" w:cs="微软雅黑"/>
                <w:sz w:val="21"/>
                <w:szCs w:val="21"/>
              </w:rPr>
            </w:pPr>
          </w:p>
        </w:tc>
      </w:tr>
    </w:tbl>
    <w:p>
      <w:pPr>
        <w:spacing w:after="156" w:line="400" w:lineRule="exact"/>
        <w:ind w:firstLine="480"/>
        <w:rPr>
          <w:rFonts w:hint="eastAsia" w:ascii="微软雅黑" w:hAnsi="微软雅黑" w:eastAsia="微软雅黑" w:cs="微软雅黑"/>
          <w:sz w:val="21"/>
          <w:szCs w:val="21"/>
        </w:rPr>
      </w:pPr>
    </w:p>
    <w:p>
      <w:pPr>
        <w:bidi w:val="0"/>
        <w:rPr>
          <w:rFonts w:hint="eastAsia"/>
        </w:rPr>
      </w:pPr>
    </w:p>
    <w:p>
      <w:pPr>
        <w:spacing w:line="400" w:lineRule="exact"/>
        <w:rPr>
          <w:rFonts w:hint="eastAsia" w:ascii="微软雅黑" w:hAnsi="微软雅黑" w:eastAsia="微软雅黑" w:cs="微软雅黑"/>
          <w:sz w:val="21"/>
          <w:szCs w:val="21"/>
        </w:rPr>
      </w:pPr>
    </w:p>
    <w:p>
      <w:pPr>
        <w:bidi w:val="0"/>
        <w:rPr>
          <w:rFonts w:hint="eastAsia"/>
        </w:rPr>
      </w:pPr>
    </w:p>
    <w:p>
      <w:pPr>
        <w:spacing w:line="400" w:lineRule="exact"/>
        <w:rPr>
          <w:rFonts w:hint="eastAsia" w:ascii="微软雅黑" w:hAnsi="微软雅黑" w:eastAsia="微软雅黑" w:cs="微软雅黑"/>
          <w:sz w:val="21"/>
          <w:szCs w:val="21"/>
        </w:rPr>
      </w:pPr>
    </w:p>
    <w:p>
      <w:pPr>
        <w:spacing w:line="400" w:lineRule="exact"/>
        <w:rPr>
          <w:rFonts w:hint="eastAsia" w:ascii="微软雅黑" w:hAnsi="微软雅黑" w:eastAsia="微软雅黑" w:cs="微软雅黑"/>
          <w:sz w:val="21"/>
          <w:szCs w:val="21"/>
        </w:rPr>
      </w:pPr>
    </w:p>
    <w:p>
      <w:pPr>
        <w:bidi w:val="0"/>
        <w:rPr>
          <w:rFonts w:hint="eastAsia"/>
          <w:lang w:val="en-US" w:eastAsia="zh-CN"/>
        </w:rPr>
      </w:pPr>
    </w:p>
    <w:sectPr>
      <w:footerReference r:id="rId20" w:type="default"/>
      <w:pgSz w:w="11907" w:h="16840"/>
      <w:pgMar w:top="1474" w:right="1474" w:bottom="1474"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7A"/>
    <w:family w:val="auto"/>
    <w:pitch w:val="default"/>
    <w:sig w:usb0="80000287" w:usb1="2ACF3C50" w:usb2="00000016" w:usb3="00000000" w:csb0="0004001F" w:csb1="00000000"/>
  </w:font>
  <w:font w:name="新宋体">
    <w:panose1 w:val="02010609030101010101"/>
    <w:charset w:val="7A"/>
    <w:family w:val="modern"/>
    <w:pitch w:val="default"/>
    <w:sig w:usb0="000002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rPr>
        <w:rFonts w:hint="eastAsia"/>
      </w:rPr>
    </w:pPr>
    <w:r>
      <w:rPr>
        <w:color w:val="800000"/>
      </w:rPr>
      <w:t>Add</w:t>
    </w:r>
    <w:r>
      <w:rPr>
        <w:rFonts w:hint="eastAsia" w:cs="宋体"/>
        <w:color w:val="800000"/>
      </w:rPr>
      <w:t>：喀什经济开发区深喀大道深圳城3号楼9楼</w:t>
    </w:r>
    <w:r>
      <w:rPr>
        <w:color w:val="800000"/>
      </w:rPr>
      <w:t xml:space="preserve">        Tel</w:t>
    </w:r>
    <w:r>
      <w:rPr>
        <w:rFonts w:hint="eastAsia" w:cs="宋体"/>
        <w:color w:val="800000"/>
      </w:rPr>
      <w:t>：15099650569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2070" o:spid="_x0000_s2070" o:spt="202" type="#_x0000_t202" style="position:absolute;left:0pt;margin-top:0pt;height:144pt;width:144pt;mso-position-horizontal:right;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60</w:t>
                </w:r>
                <w:r>
                  <w:fldChar w:fldCharType="end"/>
                </w:r>
              </w:p>
            </w:txbxContent>
          </v:textbox>
        </v:shape>
      </w:pict>
    </w:r>
  </w:p>
  <w:p>
    <w:pPr>
      <w:pStyle w:val="20"/>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2067" o:spid="_x0000_s2067"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w:r>
  </w:p>
  <w:p>
    <w:pPr>
      <w:pStyle w:val="20"/>
      <w:ind w:right="360"/>
      <w:jc w:val="center"/>
      <w:rPr>
        <w:rFonts w:hint="eastAsia"/>
      </w:rPr>
    </w:pPr>
    <w:r>
      <w:rPr>
        <w:color w:val="800000"/>
      </w:rPr>
      <w:t>Add</w:t>
    </w:r>
    <w:r>
      <w:rPr>
        <w:rFonts w:hint="eastAsia" w:cs="宋体"/>
        <w:color w:val="800000"/>
      </w:rPr>
      <w:t>：喀什经济开发区深喀大道深圳城3号楼9楼</w:t>
    </w:r>
    <w:r>
      <w:rPr>
        <w:color w:val="800000"/>
      </w:rPr>
      <w:t xml:space="preserve">        Tel</w:t>
    </w:r>
    <w:r>
      <w:rPr>
        <w:rFonts w:hint="eastAsia" w:cs="宋体"/>
        <w:color w:val="800000"/>
      </w:rPr>
      <w:t>：15099650569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8"/>
      </w:rPr>
    </w:pPr>
    <w:r>
      <w:fldChar w:fldCharType="begin"/>
    </w:r>
    <w:r>
      <w:rPr>
        <w:rStyle w:val="38"/>
      </w:rPr>
      <w:instrText xml:space="preserve">PAGE  </w:instrTex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2068" o:spid="_x0000_s2068"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47</w:t>
                </w:r>
                <w:r>
                  <w:fldChar w:fldCharType="end"/>
                </w:r>
              </w:p>
            </w:txbxContent>
          </v:textbox>
        </v:shape>
      </w:pict>
    </w:r>
    <w:r>
      <w:rPr>
        <w:color w:val="800000"/>
      </w:rPr>
      <w:t>Add</w:t>
    </w:r>
    <w:r>
      <w:rPr>
        <w:rFonts w:hint="eastAsia" w:cs="宋体"/>
        <w:color w:val="800000"/>
      </w:rPr>
      <w:t>：喀什经济开发区深喀大道深圳城3号楼9楼</w:t>
    </w:r>
    <w:r>
      <w:rPr>
        <w:color w:val="800000"/>
      </w:rPr>
      <w:t xml:space="preserve">        Tel</w:t>
    </w:r>
    <w:r>
      <w:rPr>
        <w:rFonts w:hint="eastAsia" w:cs="宋体"/>
        <w:color w:val="800000"/>
      </w:rPr>
      <w:t>：15099650569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2069" o:spid="_x0000_s2069" o:spt="202" type="#_x0000_t202" style="position:absolute;left:0pt;margin-top:0pt;height:144pt;width:144pt;mso-position-horizontal:right;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53</w:t>
                </w:r>
                <w:r>
                  <w:fldChar w:fldCharType="end"/>
                </w:r>
              </w:p>
            </w:txbxContent>
          </v:textbox>
        </v:shape>
      </w:pict>
    </w:r>
  </w:p>
  <w:p>
    <w:pPr>
      <w:pStyle w:val="2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0"/>
      </w:pBdr>
      <w:jc w:val="left"/>
    </w:pPr>
    <w:r>
      <w:pict>
        <v:shape id="_x0000_s2049" o:spid="_x0000_s2049" o:spt="136" type="#_x0000_t136" style="position:absolute;left:0pt;margin-left:67.2pt;margin-top:32.95pt;height:15.6pt;width:152.25pt;z-index:25165926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rotate-letters:f;v-same-letter-heights:f;v-text-align:left;"/>
        </v:shape>
      </w:pict>
    </w:r>
    <w:r>
      <w:pict>
        <v:shape id="_x0000_i1025" o:spt="75" type="#_x0000_t75" style="height:49.85pt;width:78.05pt;" filled="f" o:preferrelative="t" stroked="f" coordsize="21600,21600">
          <v:path/>
          <v:fill on="f" focussize="0,0"/>
          <v:stroke on="f"/>
          <v:imagedata r:id="rId1" embosscolor="#FFFFFF" o:title=""/>
          <o:lock v:ext="edit" grouping="f" rotation="f" text="f" aspectratio="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0"/>
      </w:pBdr>
      <w:jc w:val="left"/>
    </w:pPr>
    <w:r>
      <w:pict>
        <v:shape id="_x0000_i1026" o:spt="75" type="#_x0000_t75" style="height:49.85pt;width:78.05pt;" filled="f" o:preferrelative="t" stroked="f" coordsize="21600,21600">
          <v:path/>
          <v:fill on="f" focussize="0,0"/>
          <v:stroke on="f"/>
          <v:imagedata r:id="rId1" embosscolor="#FFFFFF" o:title=""/>
          <o:lock v:ext="edit" grouping="f" rotation="f" text="f" aspectratio="t"/>
          <w10:wrap type="none"/>
          <w10:anchorlock/>
        </v:shape>
      </w:pict>
    </w:r>
    <w:r>
      <w:pict>
        <v:shape id="_x0000_s2055" o:spid="_x0000_s2055" o:spt="136" type="#_x0000_t136" style="position:absolute;left:0pt;margin-left:67.2pt;margin-top:32.95pt;height:15.6pt;width:152.25pt;z-index:25166028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rotate-letters:f;v-same-letter-heights:f;v-text-align:le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0"/>
      </w:pBdr>
      <w:jc w:val="left"/>
    </w:pPr>
    <w:r>
      <w:pict>
        <v:shape id="_x0000_i1027" o:spt="75" type="#_x0000_t75" style="height:49.85pt;width:78.05pt;" filled="f" o:preferrelative="t" stroked="f" coordsize="21600,21600">
          <v:path/>
          <v:fill on="f" focussize="0,0"/>
          <v:stroke on="f"/>
          <v:imagedata r:id="rId1" embosscolor="#FFFFFF" o:title=""/>
          <o:lock v:ext="edit" grouping="f" rotation="f" text="f" aspectratio="t"/>
          <w10:wrap type="none"/>
          <w10:anchorlock/>
        </v:shape>
      </w:pict>
    </w:r>
    <w:r>
      <w:pict>
        <v:shape id="_x0000_s2057" o:spid="_x0000_s2057" o:spt="136" type="#_x0000_t136" style="position:absolute;left:0pt;margin-left:66.35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rotate-letters:f;v-same-letter-heights:f;v-text-align:le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0000002"/>
    <w:multiLevelType w:val="multilevel"/>
    <w:tmpl w:val="00000002"/>
    <w:lvl w:ilvl="0" w:tentative="0">
      <w:start w:val="1"/>
      <w:numFmt w:val="decimal"/>
      <w:lvlText w:val="第%1章"/>
      <w:lvlJc w:val="left"/>
      <w:pPr>
        <w:tabs>
          <w:tab w:val="left" w:pos="3134"/>
        </w:tabs>
        <w:ind w:left="649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00000003"/>
    <w:multiLevelType w:val="multilevel"/>
    <w:tmpl w:val="00000003"/>
    <w:lvl w:ilvl="0" w:tentative="0">
      <w:start w:val="1"/>
      <w:numFmt w:val="decimal"/>
      <w:lvlText w:val="（%1）"/>
      <w:lvlJc w:val="left"/>
      <w:pPr>
        <w:tabs>
          <w:tab w:val="left" w:pos="1571"/>
        </w:tabs>
        <w:ind w:left="1720" w:hanging="720"/>
      </w:pPr>
      <w:rPr>
        <w:rFonts w:ascii="仿宋_GB2312" w:hAnsi="宋体" w:eastAsia="仿宋_GB2312" w:cs="Times New Roman"/>
      </w:rPr>
    </w:lvl>
    <w:lvl w:ilvl="1" w:tentative="0">
      <w:start w:val="1"/>
      <w:numFmt w:val="lowerLetter"/>
      <w:lvlText w:val="%2)"/>
      <w:lvlJc w:val="left"/>
      <w:pPr>
        <w:tabs>
          <w:tab w:val="left" w:pos="1739"/>
        </w:tabs>
        <w:ind w:left="1888" w:hanging="420"/>
      </w:pPr>
    </w:lvl>
    <w:lvl w:ilvl="2" w:tentative="0">
      <w:start w:val="1"/>
      <w:numFmt w:val="lowerRoman"/>
      <w:lvlText w:val="%3."/>
      <w:lvlJc w:val="right"/>
      <w:pPr>
        <w:tabs>
          <w:tab w:val="left" w:pos="2159"/>
        </w:tabs>
        <w:ind w:left="2308" w:hanging="420"/>
      </w:pPr>
    </w:lvl>
    <w:lvl w:ilvl="3" w:tentative="0">
      <w:start w:val="1"/>
      <w:numFmt w:val="decimal"/>
      <w:lvlText w:val="%4."/>
      <w:lvlJc w:val="left"/>
      <w:pPr>
        <w:tabs>
          <w:tab w:val="left" w:pos="2579"/>
        </w:tabs>
        <w:ind w:left="2728" w:hanging="420"/>
      </w:pPr>
    </w:lvl>
    <w:lvl w:ilvl="4" w:tentative="0">
      <w:start w:val="1"/>
      <w:numFmt w:val="lowerLetter"/>
      <w:lvlText w:val="%5)"/>
      <w:lvlJc w:val="left"/>
      <w:pPr>
        <w:tabs>
          <w:tab w:val="left" w:pos="2999"/>
        </w:tabs>
        <w:ind w:left="3148" w:hanging="420"/>
      </w:pPr>
    </w:lvl>
    <w:lvl w:ilvl="5" w:tentative="0">
      <w:start w:val="1"/>
      <w:numFmt w:val="lowerRoman"/>
      <w:lvlText w:val="%6."/>
      <w:lvlJc w:val="right"/>
      <w:pPr>
        <w:tabs>
          <w:tab w:val="left" w:pos="3419"/>
        </w:tabs>
        <w:ind w:left="3568" w:hanging="420"/>
      </w:pPr>
    </w:lvl>
    <w:lvl w:ilvl="6" w:tentative="0">
      <w:start w:val="1"/>
      <w:numFmt w:val="decimal"/>
      <w:lvlText w:val="%7."/>
      <w:lvlJc w:val="left"/>
      <w:pPr>
        <w:tabs>
          <w:tab w:val="left" w:pos="3839"/>
        </w:tabs>
        <w:ind w:left="3988" w:hanging="420"/>
      </w:pPr>
    </w:lvl>
    <w:lvl w:ilvl="7" w:tentative="0">
      <w:start w:val="1"/>
      <w:numFmt w:val="lowerLetter"/>
      <w:lvlText w:val="%8)"/>
      <w:lvlJc w:val="left"/>
      <w:pPr>
        <w:tabs>
          <w:tab w:val="left" w:pos="4259"/>
        </w:tabs>
        <w:ind w:left="4408" w:hanging="420"/>
      </w:pPr>
    </w:lvl>
    <w:lvl w:ilvl="8" w:tentative="0">
      <w:start w:val="1"/>
      <w:numFmt w:val="lowerRoman"/>
      <w:lvlText w:val="%9."/>
      <w:lvlJc w:val="right"/>
      <w:pPr>
        <w:tabs>
          <w:tab w:val="left" w:pos="4679"/>
        </w:tabs>
        <w:ind w:left="4828" w:hanging="420"/>
      </w:pPr>
    </w:lvl>
  </w:abstractNum>
  <w:abstractNum w:abstractNumId="3">
    <w:nsid w:val="00000004"/>
    <w:multiLevelType w:val="multilevel"/>
    <w:tmpl w:val="0000000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7"/>
    <w:multiLevelType w:val="multilevel"/>
    <w:tmpl w:val="00000007"/>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2A081D84"/>
    <w:multiLevelType w:val="multilevel"/>
    <w:tmpl w:val="2A081D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JmMjk4ZWM3OTJiYTJhMTUxNTg0Zjk5MTQ1ZjEwMjkifQ=="/>
  </w:docVars>
  <w:rsids>
    <w:rsidRoot w:val="00172A27"/>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1F736E"/>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1F"/>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0EE"/>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0FD8"/>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093D"/>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37759"/>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15EA"/>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5C25"/>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098B"/>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3094"/>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239"/>
    <w:rsid w:val="00F313F8"/>
    <w:rsid w:val="00F315AB"/>
    <w:rsid w:val="00F33F07"/>
    <w:rsid w:val="00F3528D"/>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475050"/>
    <w:rsid w:val="01592D24"/>
    <w:rsid w:val="01775986"/>
    <w:rsid w:val="018E7ABF"/>
    <w:rsid w:val="0198796C"/>
    <w:rsid w:val="019F3704"/>
    <w:rsid w:val="01BF557D"/>
    <w:rsid w:val="01C133B8"/>
    <w:rsid w:val="01D923E8"/>
    <w:rsid w:val="020F2171"/>
    <w:rsid w:val="02177213"/>
    <w:rsid w:val="024F0D82"/>
    <w:rsid w:val="02515380"/>
    <w:rsid w:val="02564337"/>
    <w:rsid w:val="02602565"/>
    <w:rsid w:val="027D6EBC"/>
    <w:rsid w:val="029E5678"/>
    <w:rsid w:val="02A3645B"/>
    <w:rsid w:val="02F778BD"/>
    <w:rsid w:val="03121468"/>
    <w:rsid w:val="03295B1A"/>
    <w:rsid w:val="035D669A"/>
    <w:rsid w:val="03642DDB"/>
    <w:rsid w:val="036E1DEC"/>
    <w:rsid w:val="03822C68"/>
    <w:rsid w:val="039F2BBC"/>
    <w:rsid w:val="03D96AC5"/>
    <w:rsid w:val="03EC4379"/>
    <w:rsid w:val="041328B5"/>
    <w:rsid w:val="042372E8"/>
    <w:rsid w:val="0433593B"/>
    <w:rsid w:val="04370391"/>
    <w:rsid w:val="048255E0"/>
    <w:rsid w:val="04EB6588"/>
    <w:rsid w:val="050135EA"/>
    <w:rsid w:val="05071955"/>
    <w:rsid w:val="05072433"/>
    <w:rsid w:val="050B36B6"/>
    <w:rsid w:val="051E3875"/>
    <w:rsid w:val="0524125B"/>
    <w:rsid w:val="0533125B"/>
    <w:rsid w:val="054D71B9"/>
    <w:rsid w:val="054F4EE9"/>
    <w:rsid w:val="05931D03"/>
    <w:rsid w:val="05D250B1"/>
    <w:rsid w:val="05D4775F"/>
    <w:rsid w:val="062C3C62"/>
    <w:rsid w:val="067335FA"/>
    <w:rsid w:val="068239D5"/>
    <w:rsid w:val="06AB5586"/>
    <w:rsid w:val="06CB44B7"/>
    <w:rsid w:val="06EE20B1"/>
    <w:rsid w:val="07064A74"/>
    <w:rsid w:val="072F1EC7"/>
    <w:rsid w:val="07505328"/>
    <w:rsid w:val="0757657B"/>
    <w:rsid w:val="075B63E2"/>
    <w:rsid w:val="076B186A"/>
    <w:rsid w:val="07B1625B"/>
    <w:rsid w:val="07C64BE5"/>
    <w:rsid w:val="07C8386F"/>
    <w:rsid w:val="07D96E9C"/>
    <w:rsid w:val="08266553"/>
    <w:rsid w:val="08485E5F"/>
    <w:rsid w:val="08534B88"/>
    <w:rsid w:val="087067C9"/>
    <w:rsid w:val="089B6095"/>
    <w:rsid w:val="08B64B66"/>
    <w:rsid w:val="08D31906"/>
    <w:rsid w:val="08E50158"/>
    <w:rsid w:val="08F062C2"/>
    <w:rsid w:val="090B19E1"/>
    <w:rsid w:val="090D5235"/>
    <w:rsid w:val="0910646C"/>
    <w:rsid w:val="092855CA"/>
    <w:rsid w:val="09303C1C"/>
    <w:rsid w:val="093158CD"/>
    <w:rsid w:val="094305C3"/>
    <w:rsid w:val="09437F29"/>
    <w:rsid w:val="095538B8"/>
    <w:rsid w:val="09AC6517"/>
    <w:rsid w:val="09E15530"/>
    <w:rsid w:val="0A036205"/>
    <w:rsid w:val="0A1B58FF"/>
    <w:rsid w:val="0A1F196D"/>
    <w:rsid w:val="0A294D9D"/>
    <w:rsid w:val="0A33700C"/>
    <w:rsid w:val="0A6D7B49"/>
    <w:rsid w:val="0A7A5BFF"/>
    <w:rsid w:val="0AB67EFC"/>
    <w:rsid w:val="0ABA7CC7"/>
    <w:rsid w:val="0AD11D45"/>
    <w:rsid w:val="0AE903B8"/>
    <w:rsid w:val="0AEB13EA"/>
    <w:rsid w:val="0B0D375C"/>
    <w:rsid w:val="0B167BE5"/>
    <w:rsid w:val="0B1873A5"/>
    <w:rsid w:val="0B5074A6"/>
    <w:rsid w:val="0B5758FD"/>
    <w:rsid w:val="0B7462A1"/>
    <w:rsid w:val="0B807F85"/>
    <w:rsid w:val="0BA16641"/>
    <w:rsid w:val="0BC9304F"/>
    <w:rsid w:val="0BCD6D72"/>
    <w:rsid w:val="0C192D19"/>
    <w:rsid w:val="0C225630"/>
    <w:rsid w:val="0C3B2D30"/>
    <w:rsid w:val="0C54333A"/>
    <w:rsid w:val="0C615DB9"/>
    <w:rsid w:val="0CA15A2A"/>
    <w:rsid w:val="0CAC6BB6"/>
    <w:rsid w:val="0CB35ABE"/>
    <w:rsid w:val="0CC34F37"/>
    <w:rsid w:val="0CEA1C84"/>
    <w:rsid w:val="0D3E646C"/>
    <w:rsid w:val="0D4702B5"/>
    <w:rsid w:val="0D584380"/>
    <w:rsid w:val="0D864353"/>
    <w:rsid w:val="0D8814CD"/>
    <w:rsid w:val="0D9F44C3"/>
    <w:rsid w:val="0DD505F0"/>
    <w:rsid w:val="0DEA5E6A"/>
    <w:rsid w:val="0DFC36FB"/>
    <w:rsid w:val="0DFE1C5C"/>
    <w:rsid w:val="0E1E7C17"/>
    <w:rsid w:val="0E7A2AE2"/>
    <w:rsid w:val="0E971DB0"/>
    <w:rsid w:val="0EB37705"/>
    <w:rsid w:val="0EDC465F"/>
    <w:rsid w:val="0EE334D5"/>
    <w:rsid w:val="0F0D26CC"/>
    <w:rsid w:val="0F184ADA"/>
    <w:rsid w:val="0FA1669B"/>
    <w:rsid w:val="0FA50879"/>
    <w:rsid w:val="101F20D6"/>
    <w:rsid w:val="10214D87"/>
    <w:rsid w:val="103D0A77"/>
    <w:rsid w:val="105A0E14"/>
    <w:rsid w:val="108D68AD"/>
    <w:rsid w:val="10D20006"/>
    <w:rsid w:val="10DB318E"/>
    <w:rsid w:val="10EF538B"/>
    <w:rsid w:val="112265B9"/>
    <w:rsid w:val="11252420"/>
    <w:rsid w:val="11312DC0"/>
    <w:rsid w:val="11445A50"/>
    <w:rsid w:val="114701EB"/>
    <w:rsid w:val="115F4013"/>
    <w:rsid w:val="117E05A4"/>
    <w:rsid w:val="118848CF"/>
    <w:rsid w:val="11C11380"/>
    <w:rsid w:val="11F1426F"/>
    <w:rsid w:val="11F36FDC"/>
    <w:rsid w:val="12092462"/>
    <w:rsid w:val="120F2891"/>
    <w:rsid w:val="120F4DC7"/>
    <w:rsid w:val="121D403F"/>
    <w:rsid w:val="124C5748"/>
    <w:rsid w:val="12984B53"/>
    <w:rsid w:val="129F7C67"/>
    <w:rsid w:val="12B26B12"/>
    <w:rsid w:val="12C9467E"/>
    <w:rsid w:val="13035355"/>
    <w:rsid w:val="13380DD8"/>
    <w:rsid w:val="1344521A"/>
    <w:rsid w:val="134475AE"/>
    <w:rsid w:val="13472E02"/>
    <w:rsid w:val="13645ACB"/>
    <w:rsid w:val="13A37686"/>
    <w:rsid w:val="13BC4C04"/>
    <w:rsid w:val="13D926C2"/>
    <w:rsid w:val="13DD18CC"/>
    <w:rsid w:val="13E833A5"/>
    <w:rsid w:val="13E957B5"/>
    <w:rsid w:val="13F54664"/>
    <w:rsid w:val="13F746A9"/>
    <w:rsid w:val="14033731"/>
    <w:rsid w:val="142B7510"/>
    <w:rsid w:val="14412BB2"/>
    <w:rsid w:val="146F2D0E"/>
    <w:rsid w:val="149C72DC"/>
    <w:rsid w:val="14BC5BA2"/>
    <w:rsid w:val="15202F40"/>
    <w:rsid w:val="155A49C0"/>
    <w:rsid w:val="15A078BC"/>
    <w:rsid w:val="15A626B8"/>
    <w:rsid w:val="15AC208D"/>
    <w:rsid w:val="15AE733A"/>
    <w:rsid w:val="16214067"/>
    <w:rsid w:val="1636158B"/>
    <w:rsid w:val="16473792"/>
    <w:rsid w:val="16921356"/>
    <w:rsid w:val="16BF0FD8"/>
    <w:rsid w:val="16EE0D13"/>
    <w:rsid w:val="16F93153"/>
    <w:rsid w:val="172A1253"/>
    <w:rsid w:val="174D4953"/>
    <w:rsid w:val="1765194C"/>
    <w:rsid w:val="17874B40"/>
    <w:rsid w:val="17D84D84"/>
    <w:rsid w:val="180475D9"/>
    <w:rsid w:val="182461DA"/>
    <w:rsid w:val="18251BF1"/>
    <w:rsid w:val="18277484"/>
    <w:rsid w:val="188A4DE2"/>
    <w:rsid w:val="18904498"/>
    <w:rsid w:val="18A27B72"/>
    <w:rsid w:val="18A3471E"/>
    <w:rsid w:val="18A478A1"/>
    <w:rsid w:val="18FE0EA9"/>
    <w:rsid w:val="19093343"/>
    <w:rsid w:val="192876D4"/>
    <w:rsid w:val="192A48B5"/>
    <w:rsid w:val="192B4DF7"/>
    <w:rsid w:val="194525A5"/>
    <w:rsid w:val="195E1EBD"/>
    <w:rsid w:val="198606BB"/>
    <w:rsid w:val="19906754"/>
    <w:rsid w:val="199419A3"/>
    <w:rsid w:val="199C4C10"/>
    <w:rsid w:val="19B15441"/>
    <w:rsid w:val="19BA6371"/>
    <w:rsid w:val="19D22568"/>
    <w:rsid w:val="19F90D7B"/>
    <w:rsid w:val="19FC4671"/>
    <w:rsid w:val="1A0C7411"/>
    <w:rsid w:val="1A276136"/>
    <w:rsid w:val="1A325030"/>
    <w:rsid w:val="1A4964D8"/>
    <w:rsid w:val="1A4B50CC"/>
    <w:rsid w:val="1A6C4CF2"/>
    <w:rsid w:val="1A6D2AC3"/>
    <w:rsid w:val="1AE13A15"/>
    <w:rsid w:val="1AF6583C"/>
    <w:rsid w:val="1B0F5DDA"/>
    <w:rsid w:val="1B2E2B60"/>
    <w:rsid w:val="1B39093F"/>
    <w:rsid w:val="1B602AA7"/>
    <w:rsid w:val="1B7B66B5"/>
    <w:rsid w:val="1BD50FAE"/>
    <w:rsid w:val="1C025B30"/>
    <w:rsid w:val="1C225F98"/>
    <w:rsid w:val="1C252361"/>
    <w:rsid w:val="1C272EF4"/>
    <w:rsid w:val="1C310BAA"/>
    <w:rsid w:val="1C3249CE"/>
    <w:rsid w:val="1C84148C"/>
    <w:rsid w:val="1CAD4BAE"/>
    <w:rsid w:val="1CC64A9B"/>
    <w:rsid w:val="1CE3111D"/>
    <w:rsid w:val="1CEA3FE8"/>
    <w:rsid w:val="1CF12070"/>
    <w:rsid w:val="1D0613A9"/>
    <w:rsid w:val="1D320A97"/>
    <w:rsid w:val="1D3541D9"/>
    <w:rsid w:val="1D3E6FE0"/>
    <w:rsid w:val="1D412D21"/>
    <w:rsid w:val="1D4766C2"/>
    <w:rsid w:val="1D4F2685"/>
    <w:rsid w:val="1D9E42D9"/>
    <w:rsid w:val="1DA7214D"/>
    <w:rsid w:val="1E0D6559"/>
    <w:rsid w:val="1E1574E9"/>
    <w:rsid w:val="1E273F23"/>
    <w:rsid w:val="1E3E2D25"/>
    <w:rsid w:val="1E4507E4"/>
    <w:rsid w:val="1E4C6080"/>
    <w:rsid w:val="1E6210B8"/>
    <w:rsid w:val="1E6372FB"/>
    <w:rsid w:val="1E656768"/>
    <w:rsid w:val="1E7243D6"/>
    <w:rsid w:val="1E9E6F14"/>
    <w:rsid w:val="1EB32A14"/>
    <w:rsid w:val="1EC014EF"/>
    <w:rsid w:val="1EC664F8"/>
    <w:rsid w:val="1EDA6951"/>
    <w:rsid w:val="1F0538CF"/>
    <w:rsid w:val="1F08544B"/>
    <w:rsid w:val="1F4D28DA"/>
    <w:rsid w:val="1F9D7579"/>
    <w:rsid w:val="1FA10C7F"/>
    <w:rsid w:val="1FB330DF"/>
    <w:rsid w:val="1FBF390B"/>
    <w:rsid w:val="1FCF7B92"/>
    <w:rsid w:val="1FE31598"/>
    <w:rsid w:val="1FEF5E1C"/>
    <w:rsid w:val="1FF91559"/>
    <w:rsid w:val="200C647D"/>
    <w:rsid w:val="203B7BB0"/>
    <w:rsid w:val="20873064"/>
    <w:rsid w:val="208B7FF1"/>
    <w:rsid w:val="20B20B7E"/>
    <w:rsid w:val="20CC332B"/>
    <w:rsid w:val="214A59F5"/>
    <w:rsid w:val="214E7C92"/>
    <w:rsid w:val="21A3266E"/>
    <w:rsid w:val="21A66B25"/>
    <w:rsid w:val="21DC146A"/>
    <w:rsid w:val="21F45784"/>
    <w:rsid w:val="22155EFF"/>
    <w:rsid w:val="2238122B"/>
    <w:rsid w:val="226006F6"/>
    <w:rsid w:val="22833ACF"/>
    <w:rsid w:val="22881CDA"/>
    <w:rsid w:val="228A692A"/>
    <w:rsid w:val="22902E9F"/>
    <w:rsid w:val="22B11172"/>
    <w:rsid w:val="22B77183"/>
    <w:rsid w:val="22D13917"/>
    <w:rsid w:val="23207452"/>
    <w:rsid w:val="232446E0"/>
    <w:rsid w:val="23245841"/>
    <w:rsid w:val="23404F3D"/>
    <w:rsid w:val="235C60DC"/>
    <w:rsid w:val="235F361B"/>
    <w:rsid w:val="2364528E"/>
    <w:rsid w:val="23723632"/>
    <w:rsid w:val="237878F9"/>
    <w:rsid w:val="23867E53"/>
    <w:rsid w:val="2395665B"/>
    <w:rsid w:val="23A178E3"/>
    <w:rsid w:val="23B76016"/>
    <w:rsid w:val="23C34481"/>
    <w:rsid w:val="243A4911"/>
    <w:rsid w:val="244D238E"/>
    <w:rsid w:val="2452764C"/>
    <w:rsid w:val="247B7075"/>
    <w:rsid w:val="249030E1"/>
    <w:rsid w:val="24CC3AFF"/>
    <w:rsid w:val="24F36825"/>
    <w:rsid w:val="25171854"/>
    <w:rsid w:val="25445D9E"/>
    <w:rsid w:val="255E23FD"/>
    <w:rsid w:val="25856A2D"/>
    <w:rsid w:val="259932E2"/>
    <w:rsid w:val="25B274E0"/>
    <w:rsid w:val="25C27FD1"/>
    <w:rsid w:val="25C473C7"/>
    <w:rsid w:val="25E6396A"/>
    <w:rsid w:val="25E70642"/>
    <w:rsid w:val="26186173"/>
    <w:rsid w:val="26225933"/>
    <w:rsid w:val="2632322C"/>
    <w:rsid w:val="263D4A6F"/>
    <w:rsid w:val="2646672D"/>
    <w:rsid w:val="265D221E"/>
    <w:rsid w:val="2675482A"/>
    <w:rsid w:val="26CF57CC"/>
    <w:rsid w:val="26F75C98"/>
    <w:rsid w:val="26FF563B"/>
    <w:rsid w:val="270124D8"/>
    <w:rsid w:val="27022042"/>
    <w:rsid w:val="27117049"/>
    <w:rsid w:val="27330776"/>
    <w:rsid w:val="274976E1"/>
    <w:rsid w:val="276C29FF"/>
    <w:rsid w:val="27B13177"/>
    <w:rsid w:val="27B5702F"/>
    <w:rsid w:val="27B755B5"/>
    <w:rsid w:val="27FC081F"/>
    <w:rsid w:val="28067B30"/>
    <w:rsid w:val="28225438"/>
    <w:rsid w:val="28390F72"/>
    <w:rsid w:val="287C2442"/>
    <w:rsid w:val="28855A7D"/>
    <w:rsid w:val="28C06DE5"/>
    <w:rsid w:val="28F441D6"/>
    <w:rsid w:val="28F56D38"/>
    <w:rsid w:val="292C4FEB"/>
    <w:rsid w:val="293B2995"/>
    <w:rsid w:val="29CA55AC"/>
    <w:rsid w:val="29D61821"/>
    <w:rsid w:val="29D64F4E"/>
    <w:rsid w:val="29EB624B"/>
    <w:rsid w:val="29F86C2E"/>
    <w:rsid w:val="2A025891"/>
    <w:rsid w:val="2A2742E7"/>
    <w:rsid w:val="2A3E0585"/>
    <w:rsid w:val="2A472991"/>
    <w:rsid w:val="2A4901FE"/>
    <w:rsid w:val="2A506DBA"/>
    <w:rsid w:val="2ABE6C1D"/>
    <w:rsid w:val="2ABF25ED"/>
    <w:rsid w:val="2AC33F50"/>
    <w:rsid w:val="2AEA115B"/>
    <w:rsid w:val="2AF27B83"/>
    <w:rsid w:val="2B2A3917"/>
    <w:rsid w:val="2B313286"/>
    <w:rsid w:val="2B565717"/>
    <w:rsid w:val="2B5A518A"/>
    <w:rsid w:val="2BE95450"/>
    <w:rsid w:val="2BF30BAD"/>
    <w:rsid w:val="2C0440A1"/>
    <w:rsid w:val="2C0F6E41"/>
    <w:rsid w:val="2C1F3898"/>
    <w:rsid w:val="2C2643AF"/>
    <w:rsid w:val="2CAF27AF"/>
    <w:rsid w:val="2CC76232"/>
    <w:rsid w:val="2CF271A5"/>
    <w:rsid w:val="2D0E401C"/>
    <w:rsid w:val="2D395076"/>
    <w:rsid w:val="2D3F7C2B"/>
    <w:rsid w:val="2D426A09"/>
    <w:rsid w:val="2D69305E"/>
    <w:rsid w:val="2D7D4560"/>
    <w:rsid w:val="2D8400D7"/>
    <w:rsid w:val="2D851D9A"/>
    <w:rsid w:val="2DA75449"/>
    <w:rsid w:val="2DD17EBA"/>
    <w:rsid w:val="2DE177EA"/>
    <w:rsid w:val="2DFC5902"/>
    <w:rsid w:val="2E071577"/>
    <w:rsid w:val="2E0E65DA"/>
    <w:rsid w:val="2EDE0726"/>
    <w:rsid w:val="2F2E08E0"/>
    <w:rsid w:val="2F347E84"/>
    <w:rsid w:val="2F5F787A"/>
    <w:rsid w:val="2F656DC3"/>
    <w:rsid w:val="2F6D1EE9"/>
    <w:rsid w:val="2F7B10A8"/>
    <w:rsid w:val="2F80779A"/>
    <w:rsid w:val="2F917401"/>
    <w:rsid w:val="2F950A10"/>
    <w:rsid w:val="2FDB604A"/>
    <w:rsid w:val="2FE7396B"/>
    <w:rsid w:val="2FEA4FF7"/>
    <w:rsid w:val="300D7D4A"/>
    <w:rsid w:val="301F1F33"/>
    <w:rsid w:val="3055288C"/>
    <w:rsid w:val="30633714"/>
    <w:rsid w:val="30647D42"/>
    <w:rsid w:val="30EF3549"/>
    <w:rsid w:val="30F72CC9"/>
    <w:rsid w:val="31984C12"/>
    <w:rsid w:val="31C02BAF"/>
    <w:rsid w:val="31D816FE"/>
    <w:rsid w:val="31FE7C49"/>
    <w:rsid w:val="323F6EB6"/>
    <w:rsid w:val="324463DD"/>
    <w:rsid w:val="324E53DD"/>
    <w:rsid w:val="32537FB9"/>
    <w:rsid w:val="32743184"/>
    <w:rsid w:val="327F2033"/>
    <w:rsid w:val="32C25FB9"/>
    <w:rsid w:val="32E64696"/>
    <w:rsid w:val="33006072"/>
    <w:rsid w:val="33185FAF"/>
    <w:rsid w:val="333E72A9"/>
    <w:rsid w:val="33AA59E9"/>
    <w:rsid w:val="33C336E9"/>
    <w:rsid w:val="33C44212"/>
    <w:rsid w:val="33E541BA"/>
    <w:rsid w:val="340A39D8"/>
    <w:rsid w:val="343D3E2D"/>
    <w:rsid w:val="343E7D20"/>
    <w:rsid w:val="346644D8"/>
    <w:rsid w:val="346932C7"/>
    <w:rsid w:val="34A501E1"/>
    <w:rsid w:val="34D84DA0"/>
    <w:rsid w:val="34E140E4"/>
    <w:rsid w:val="35074B08"/>
    <w:rsid w:val="351B231A"/>
    <w:rsid w:val="355855BD"/>
    <w:rsid w:val="358566E3"/>
    <w:rsid w:val="359C4649"/>
    <w:rsid w:val="35A069CF"/>
    <w:rsid w:val="35B6520A"/>
    <w:rsid w:val="35FC443B"/>
    <w:rsid w:val="35FE4179"/>
    <w:rsid w:val="36032528"/>
    <w:rsid w:val="360607D9"/>
    <w:rsid w:val="36190C5C"/>
    <w:rsid w:val="361D323E"/>
    <w:rsid w:val="36291B91"/>
    <w:rsid w:val="363D616D"/>
    <w:rsid w:val="364269D5"/>
    <w:rsid w:val="3680580C"/>
    <w:rsid w:val="3687340C"/>
    <w:rsid w:val="369C6266"/>
    <w:rsid w:val="36C669AD"/>
    <w:rsid w:val="36DA4B0F"/>
    <w:rsid w:val="36DB4768"/>
    <w:rsid w:val="36DC20F9"/>
    <w:rsid w:val="37903768"/>
    <w:rsid w:val="37977513"/>
    <w:rsid w:val="38303478"/>
    <w:rsid w:val="3850132D"/>
    <w:rsid w:val="385A07E5"/>
    <w:rsid w:val="38675474"/>
    <w:rsid w:val="38815E8C"/>
    <w:rsid w:val="389E008F"/>
    <w:rsid w:val="38A94C99"/>
    <w:rsid w:val="38B01D2C"/>
    <w:rsid w:val="38BB6F11"/>
    <w:rsid w:val="38D6246F"/>
    <w:rsid w:val="38F00189"/>
    <w:rsid w:val="391E1D1E"/>
    <w:rsid w:val="395555EB"/>
    <w:rsid w:val="39ED47AD"/>
    <w:rsid w:val="39FF4534"/>
    <w:rsid w:val="3A1C2224"/>
    <w:rsid w:val="3A3C70DA"/>
    <w:rsid w:val="3A8E5D10"/>
    <w:rsid w:val="3AB66A70"/>
    <w:rsid w:val="3AC72B8C"/>
    <w:rsid w:val="3AE11A4E"/>
    <w:rsid w:val="3AE530EE"/>
    <w:rsid w:val="3AFB6AC0"/>
    <w:rsid w:val="3B10495E"/>
    <w:rsid w:val="3B2A4FB6"/>
    <w:rsid w:val="3B514A49"/>
    <w:rsid w:val="3B691352"/>
    <w:rsid w:val="3B932D9C"/>
    <w:rsid w:val="3BAF251D"/>
    <w:rsid w:val="3BC422D5"/>
    <w:rsid w:val="3BCA6412"/>
    <w:rsid w:val="3BD26834"/>
    <w:rsid w:val="3C13618B"/>
    <w:rsid w:val="3C19288C"/>
    <w:rsid w:val="3C587AB0"/>
    <w:rsid w:val="3C865275"/>
    <w:rsid w:val="3C881C99"/>
    <w:rsid w:val="3C8866BD"/>
    <w:rsid w:val="3CBA43FC"/>
    <w:rsid w:val="3CCE5FE8"/>
    <w:rsid w:val="3CD27F25"/>
    <w:rsid w:val="3D384E0A"/>
    <w:rsid w:val="3D573AAE"/>
    <w:rsid w:val="3D7D541E"/>
    <w:rsid w:val="3DA60AB4"/>
    <w:rsid w:val="3DBC4307"/>
    <w:rsid w:val="3DDC6AF7"/>
    <w:rsid w:val="3DE01DB2"/>
    <w:rsid w:val="3DFD50F4"/>
    <w:rsid w:val="3E190884"/>
    <w:rsid w:val="3E2A5C4F"/>
    <w:rsid w:val="3E5212C8"/>
    <w:rsid w:val="3E593C8B"/>
    <w:rsid w:val="3E5F1E94"/>
    <w:rsid w:val="3EFE0737"/>
    <w:rsid w:val="3F022944"/>
    <w:rsid w:val="3F125943"/>
    <w:rsid w:val="3F5F1127"/>
    <w:rsid w:val="3F817D6A"/>
    <w:rsid w:val="3FA91820"/>
    <w:rsid w:val="3FAF4912"/>
    <w:rsid w:val="3FEE6AC2"/>
    <w:rsid w:val="3FF45064"/>
    <w:rsid w:val="4004716E"/>
    <w:rsid w:val="401621C8"/>
    <w:rsid w:val="406A72FF"/>
    <w:rsid w:val="408213B1"/>
    <w:rsid w:val="40B83F50"/>
    <w:rsid w:val="40CD787E"/>
    <w:rsid w:val="412E0665"/>
    <w:rsid w:val="416B0D88"/>
    <w:rsid w:val="416C1802"/>
    <w:rsid w:val="421B7832"/>
    <w:rsid w:val="421D6E4B"/>
    <w:rsid w:val="421F4D8D"/>
    <w:rsid w:val="42254A34"/>
    <w:rsid w:val="424865BD"/>
    <w:rsid w:val="42616642"/>
    <w:rsid w:val="426771C5"/>
    <w:rsid w:val="42825920"/>
    <w:rsid w:val="429462ED"/>
    <w:rsid w:val="42993A57"/>
    <w:rsid w:val="42BC7DDF"/>
    <w:rsid w:val="42EB34FD"/>
    <w:rsid w:val="42F3523B"/>
    <w:rsid w:val="42F468C8"/>
    <w:rsid w:val="43076C51"/>
    <w:rsid w:val="437C3045"/>
    <w:rsid w:val="437E2698"/>
    <w:rsid w:val="43801D8E"/>
    <w:rsid w:val="43AD43B9"/>
    <w:rsid w:val="43AE66F3"/>
    <w:rsid w:val="43CF3366"/>
    <w:rsid w:val="43E74E6E"/>
    <w:rsid w:val="44201AAB"/>
    <w:rsid w:val="444C7148"/>
    <w:rsid w:val="448A72D9"/>
    <w:rsid w:val="44EF1B82"/>
    <w:rsid w:val="44F93196"/>
    <w:rsid w:val="451166E0"/>
    <w:rsid w:val="45797C51"/>
    <w:rsid w:val="457F3ABC"/>
    <w:rsid w:val="45A168B6"/>
    <w:rsid w:val="45C319D4"/>
    <w:rsid w:val="45C67BA8"/>
    <w:rsid w:val="45EE4E64"/>
    <w:rsid w:val="45F03BF4"/>
    <w:rsid w:val="46053869"/>
    <w:rsid w:val="460D316A"/>
    <w:rsid w:val="461B2714"/>
    <w:rsid w:val="462C7BBB"/>
    <w:rsid w:val="46A97B09"/>
    <w:rsid w:val="46DB52C0"/>
    <w:rsid w:val="46F41301"/>
    <w:rsid w:val="46FB4C79"/>
    <w:rsid w:val="46FC6C97"/>
    <w:rsid w:val="470D751B"/>
    <w:rsid w:val="471E1799"/>
    <w:rsid w:val="472332A6"/>
    <w:rsid w:val="473D2DF8"/>
    <w:rsid w:val="474B026A"/>
    <w:rsid w:val="47500F68"/>
    <w:rsid w:val="476826FD"/>
    <w:rsid w:val="476C55F0"/>
    <w:rsid w:val="47831A92"/>
    <w:rsid w:val="47C967E5"/>
    <w:rsid w:val="47F66832"/>
    <w:rsid w:val="480E38CB"/>
    <w:rsid w:val="481C695F"/>
    <w:rsid w:val="482E4DBC"/>
    <w:rsid w:val="484B304F"/>
    <w:rsid w:val="48641766"/>
    <w:rsid w:val="488C5ECA"/>
    <w:rsid w:val="488D700A"/>
    <w:rsid w:val="48AC46F7"/>
    <w:rsid w:val="48B967C6"/>
    <w:rsid w:val="48D3794F"/>
    <w:rsid w:val="48E979C3"/>
    <w:rsid w:val="48F21691"/>
    <w:rsid w:val="498D1813"/>
    <w:rsid w:val="499B778A"/>
    <w:rsid w:val="49A630A9"/>
    <w:rsid w:val="49C15D06"/>
    <w:rsid w:val="4A112E3F"/>
    <w:rsid w:val="4A13457D"/>
    <w:rsid w:val="4AC50AF6"/>
    <w:rsid w:val="4AF42255"/>
    <w:rsid w:val="4B2342C6"/>
    <w:rsid w:val="4B2D1DE6"/>
    <w:rsid w:val="4B454D62"/>
    <w:rsid w:val="4B807D59"/>
    <w:rsid w:val="4BA72EF2"/>
    <w:rsid w:val="4BE62E49"/>
    <w:rsid w:val="4BED171A"/>
    <w:rsid w:val="4C0C3C89"/>
    <w:rsid w:val="4C0E4504"/>
    <w:rsid w:val="4C0F397C"/>
    <w:rsid w:val="4C3E203F"/>
    <w:rsid w:val="4C4A2448"/>
    <w:rsid w:val="4C8C77FA"/>
    <w:rsid w:val="4CF6285E"/>
    <w:rsid w:val="4CFD6F4C"/>
    <w:rsid w:val="4D1751D8"/>
    <w:rsid w:val="4D52132B"/>
    <w:rsid w:val="4D6624CB"/>
    <w:rsid w:val="4DB85FA2"/>
    <w:rsid w:val="4DED52D5"/>
    <w:rsid w:val="4E227DFD"/>
    <w:rsid w:val="4E3B2540"/>
    <w:rsid w:val="4E414825"/>
    <w:rsid w:val="4E993BBD"/>
    <w:rsid w:val="4EA96CFE"/>
    <w:rsid w:val="4ECF17A1"/>
    <w:rsid w:val="4F73779A"/>
    <w:rsid w:val="4F815C76"/>
    <w:rsid w:val="4FB97DFA"/>
    <w:rsid w:val="501150E2"/>
    <w:rsid w:val="502E20C4"/>
    <w:rsid w:val="50427642"/>
    <w:rsid w:val="505805E5"/>
    <w:rsid w:val="508924E3"/>
    <w:rsid w:val="50902684"/>
    <w:rsid w:val="50C91EF6"/>
    <w:rsid w:val="50D71E15"/>
    <w:rsid w:val="50DF56DA"/>
    <w:rsid w:val="50E340B3"/>
    <w:rsid w:val="5141174F"/>
    <w:rsid w:val="516A1F01"/>
    <w:rsid w:val="516B7550"/>
    <w:rsid w:val="51806DE1"/>
    <w:rsid w:val="51864A75"/>
    <w:rsid w:val="51A4443E"/>
    <w:rsid w:val="51B426ED"/>
    <w:rsid w:val="51D066E1"/>
    <w:rsid w:val="51E413C8"/>
    <w:rsid w:val="51E73753"/>
    <w:rsid w:val="52293672"/>
    <w:rsid w:val="52393390"/>
    <w:rsid w:val="523D4C05"/>
    <w:rsid w:val="523F6E60"/>
    <w:rsid w:val="524E5A9B"/>
    <w:rsid w:val="52693681"/>
    <w:rsid w:val="527103FC"/>
    <w:rsid w:val="528E57E1"/>
    <w:rsid w:val="529A792F"/>
    <w:rsid w:val="52A4759B"/>
    <w:rsid w:val="52AF082D"/>
    <w:rsid w:val="52B35629"/>
    <w:rsid w:val="52D32AFD"/>
    <w:rsid w:val="52E8238E"/>
    <w:rsid w:val="53481136"/>
    <w:rsid w:val="53563CBE"/>
    <w:rsid w:val="535848AB"/>
    <w:rsid w:val="539F3171"/>
    <w:rsid w:val="53B04407"/>
    <w:rsid w:val="53BF6A0D"/>
    <w:rsid w:val="54161C7D"/>
    <w:rsid w:val="541C1301"/>
    <w:rsid w:val="54C011E1"/>
    <w:rsid w:val="550C558B"/>
    <w:rsid w:val="551A224E"/>
    <w:rsid w:val="558668A9"/>
    <w:rsid w:val="55992337"/>
    <w:rsid w:val="55B21C95"/>
    <w:rsid w:val="55CC5FDF"/>
    <w:rsid w:val="55D0480F"/>
    <w:rsid w:val="561F1F50"/>
    <w:rsid w:val="56262AA1"/>
    <w:rsid w:val="562E2336"/>
    <w:rsid w:val="565F1615"/>
    <w:rsid w:val="566C5F18"/>
    <w:rsid w:val="567231B5"/>
    <w:rsid w:val="567C4485"/>
    <w:rsid w:val="568440AD"/>
    <w:rsid w:val="56B912C9"/>
    <w:rsid w:val="56DC7CFB"/>
    <w:rsid w:val="56E76413"/>
    <w:rsid w:val="56ED21A5"/>
    <w:rsid w:val="57143D75"/>
    <w:rsid w:val="577F01DF"/>
    <w:rsid w:val="57B62CFD"/>
    <w:rsid w:val="57E412FA"/>
    <w:rsid w:val="57F059F0"/>
    <w:rsid w:val="580931C3"/>
    <w:rsid w:val="582B6D0B"/>
    <w:rsid w:val="585E41AF"/>
    <w:rsid w:val="58DF6CF4"/>
    <w:rsid w:val="58F00712"/>
    <w:rsid w:val="58F270AE"/>
    <w:rsid w:val="58F911E7"/>
    <w:rsid w:val="590400C7"/>
    <w:rsid w:val="5904132B"/>
    <w:rsid w:val="59096C4B"/>
    <w:rsid w:val="59107DF2"/>
    <w:rsid w:val="59157827"/>
    <w:rsid w:val="591D516E"/>
    <w:rsid w:val="594400A5"/>
    <w:rsid w:val="59460EC7"/>
    <w:rsid w:val="5946342B"/>
    <w:rsid w:val="5956454D"/>
    <w:rsid w:val="59735D4E"/>
    <w:rsid w:val="59C90F05"/>
    <w:rsid w:val="5A0877EA"/>
    <w:rsid w:val="5A0C1131"/>
    <w:rsid w:val="5A4F1B74"/>
    <w:rsid w:val="5A58029B"/>
    <w:rsid w:val="5A6452F4"/>
    <w:rsid w:val="5A734B88"/>
    <w:rsid w:val="5A7A573C"/>
    <w:rsid w:val="5A8A523A"/>
    <w:rsid w:val="5A9410D3"/>
    <w:rsid w:val="5A943E04"/>
    <w:rsid w:val="5AA37B72"/>
    <w:rsid w:val="5AB23A35"/>
    <w:rsid w:val="5ADA59DF"/>
    <w:rsid w:val="5AF413B3"/>
    <w:rsid w:val="5AF53EC7"/>
    <w:rsid w:val="5B2C39F6"/>
    <w:rsid w:val="5B383F1E"/>
    <w:rsid w:val="5B4F7AA0"/>
    <w:rsid w:val="5B987355"/>
    <w:rsid w:val="5BAA2E83"/>
    <w:rsid w:val="5BAE7D55"/>
    <w:rsid w:val="5BF7186B"/>
    <w:rsid w:val="5C1F2335"/>
    <w:rsid w:val="5C305D14"/>
    <w:rsid w:val="5C3914B8"/>
    <w:rsid w:val="5C5E624F"/>
    <w:rsid w:val="5C6D68F5"/>
    <w:rsid w:val="5C85755D"/>
    <w:rsid w:val="5C975E72"/>
    <w:rsid w:val="5CD272ED"/>
    <w:rsid w:val="5CE944B2"/>
    <w:rsid w:val="5D085B0F"/>
    <w:rsid w:val="5D372F06"/>
    <w:rsid w:val="5D705862"/>
    <w:rsid w:val="5D7647EC"/>
    <w:rsid w:val="5D98392D"/>
    <w:rsid w:val="5DA6626A"/>
    <w:rsid w:val="5DBA1FF8"/>
    <w:rsid w:val="5DCE05A9"/>
    <w:rsid w:val="5DD6310C"/>
    <w:rsid w:val="5DF33B1E"/>
    <w:rsid w:val="5E030143"/>
    <w:rsid w:val="5E171441"/>
    <w:rsid w:val="5E187D62"/>
    <w:rsid w:val="5E1C3537"/>
    <w:rsid w:val="5E1C5448"/>
    <w:rsid w:val="5E1D3725"/>
    <w:rsid w:val="5E37668B"/>
    <w:rsid w:val="5E3C2027"/>
    <w:rsid w:val="5E805680"/>
    <w:rsid w:val="5E9C51FA"/>
    <w:rsid w:val="5EC42D73"/>
    <w:rsid w:val="5ED54C52"/>
    <w:rsid w:val="5F2F7406"/>
    <w:rsid w:val="5F720CEA"/>
    <w:rsid w:val="5F7A745B"/>
    <w:rsid w:val="5F92436A"/>
    <w:rsid w:val="5FCD2398"/>
    <w:rsid w:val="5FD0797B"/>
    <w:rsid w:val="5FDD330E"/>
    <w:rsid w:val="60047E35"/>
    <w:rsid w:val="603D75C9"/>
    <w:rsid w:val="608A166B"/>
    <w:rsid w:val="60A116EF"/>
    <w:rsid w:val="60A4613E"/>
    <w:rsid w:val="60C346C6"/>
    <w:rsid w:val="60C73328"/>
    <w:rsid w:val="61141727"/>
    <w:rsid w:val="61604610"/>
    <w:rsid w:val="61763C29"/>
    <w:rsid w:val="61A0775B"/>
    <w:rsid w:val="61CC4E31"/>
    <w:rsid w:val="61D10697"/>
    <w:rsid w:val="61D41829"/>
    <w:rsid w:val="61FB0F8B"/>
    <w:rsid w:val="6228204F"/>
    <w:rsid w:val="625E1FC6"/>
    <w:rsid w:val="62677529"/>
    <w:rsid w:val="62B2507E"/>
    <w:rsid w:val="62C934AE"/>
    <w:rsid w:val="62E63B22"/>
    <w:rsid w:val="630048F7"/>
    <w:rsid w:val="63215DB8"/>
    <w:rsid w:val="632757F0"/>
    <w:rsid w:val="6378543F"/>
    <w:rsid w:val="63B77B8E"/>
    <w:rsid w:val="63E11A2B"/>
    <w:rsid w:val="63F07E82"/>
    <w:rsid w:val="643D5C22"/>
    <w:rsid w:val="64430EF5"/>
    <w:rsid w:val="644F3EA4"/>
    <w:rsid w:val="645079A9"/>
    <w:rsid w:val="647C5A5C"/>
    <w:rsid w:val="64BE130D"/>
    <w:rsid w:val="64E64F73"/>
    <w:rsid w:val="650808BF"/>
    <w:rsid w:val="650A4AEB"/>
    <w:rsid w:val="653B1E64"/>
    <w:rsid w:val="653E2502"/>
    <w:rsid w:val="65510496"/>
    <w:rsid w:val="6554061E"/>
    <w:rsid w:val="65593DE8"/>
    <w:rsid w:val="65674EA7"/>
    <w:rsid w:val="65752EBA"/>
    <w:rsid w:val="657D1C0C"/>
    <w:rsid w:val="65907C33"/>
    <w:rsid w:val="65CE3536"/>
    <w:rsid w:val="65F07B59"/>
    <w:rsid w:val="66340632"/>
    <w:rsid w:val="66611B82"/>
    <w:rsid w:val="666E595E"/>
    <w:rsid w:val="668F7750"/>
    <w:rsid w:val="66B57168"/>
    <w:rsid w:val="66CE6A39"/>
    <w:rsid w:val="66E56F57"/>
    <w:rsid w:val="67793D72"/>
    <w:rsid w:val="67816FAB"/>
    <w:rsid w:val="67842746"/>
    <w:rsid w:val="67BA614D"/>
    <w:rsid w:val="67E5455A"/>
    <w:rsid w:val="67E941A2"/>
    <w:rsid w:val="67FA2386"/>
    <w:rsid w:val="68342FDA"/>
    <w:rsid w:val="6878082B"/>
    <w:rsid w:val="6888580B"/>
    <w:rsid w:val="68892419"/>
    <w:rsid w:val="68F10571"/>
    <w:rsid w:val="692B0CE1"/>
    <w:rsid w:val="69B11812"/>
    <w:rsid w:val="69C16BA7"/>
    <w:rsid w:val="69F81F39"/>
    <w:rsid w:val="6A160FCF"/>
    <w:rsid w:val="6A16697F"/>
    <w:rsid w:val="6A232BA1"/>
    <w:rsid w:val="6A296146"/>
    <w:rsid w:val="6A4150A5"/>
    <w:rsid w:val="6A7D0DCA"/>
    <w:rsid w:val="6A8F72B9"/>
    <w:rsid w:val="6A91215A"/>
    <w:rsid w:val="6AAB7F50"/>
    <w:rsid w:val="6ABA37F6"/>
    <w:rsid w:val="6AF20FCD"/>
    <w:rsid w:val="6B0E56ED"/>
    <w:rsid w:val="6B184809"/>
    <w:rsid w:val="6B245AEA"/>
    <w:rsid w:val="6B573195"/>
    <w:rsid w:val="6B6B2790"/>
    <w:rsid w:val="6B9B32B9"/>
    <w:rsid w:val="6B9F193F"/>
    <w:rsid w:val="6BA83124"/>
    <w:rsid w:val="6BB46349"/>
    <w:rsid w:val="6BB5594B"/>
    <w:rsid w:val="6BD231CD"/>
    <w:rsid w:val="6BD64C8F"/>
    <w:rsid w:val="6BD97C4E"/>
    <w:rsid w:val="6BE648F5"/>
    <w:rsid w:val="6BE91D29"/>
    <w:rsid w:val="6BFA67E5"/>
    <w:rsid w:val="6C0978D6"/>
    <w:rsid w:val="6C310293"/>
    <w:rsid w:val="6C44793C"/>
    <w:rsid w:val="6C484530"/>
    <w:rsid w:val="6C5D7FE5"/>
    <w:rsid w:val="6C615EA7"/>
    <w:rsid w:val="6C7E4ACD"/>
    <w:rsid w:val="6C9E126D"/>
    <w:rsid w:val="6CAD70E4"/>
    <w:rsid w:val="6CBE0064"/>
    <w:rsid w:val="6CC90D79"/>
    <w:rsid w:val="6CE67F4E"/>
    <w:rsid w:val="6D043E2D"/>
    <w:rsid w:val="6D0D30D1"/>
    <w:rsid w:val="6D214629"/>
    <w:rsid w:val="6D4E69C1"/>
    <w:rsid w:val="6D9956BA"/>
    <w:rsid w:val="6DFC351E"/>
    <w:rsid w:val="6E610D0A"/>
    <w:rsid w:val="6E625129"/>
    <w:rsid w:val="6E8E53F0"/>
    <w:rsid w:val="6EA16987"/>
    <w:rsid w:val="6EDF48AF"/>
    <w:rsid w:val="6EFE048F"/>
    <w:rsid w:val="6F0E11EF"/>
    <w:rsid w:val="6F484143"/>
    <w:rsid w:val="6F4B2FEF"/>
    <w:rsid w:val="6F574271"/>
    <w:rsid w:val="6F61667D"/>
    <w:rsid w:val="6F750F26"/>
    <w:rsid w:val="6F7B72E9"/>
    <w:rsid w:val="6F8445D4"/>
    <w:rsid w:val="6F8D5C1A"/>
    <w:rsid w:val="6F8E342E"/>
    <w:rsid w:val="6FA8133A"/>
    <w:rsid w:val="6FD27139"/>
    <w:rsid w:val="6FE37E70"/>
    <w:rsid w:val="6FEB1EC0"/>
    <w:rsid w:val="708E05A3"/>
    <w:rsid w:val="70A4760C"/>
    <w:rsid w:val="70C5753D"/>
    <w:rsid w:val="70CD2B48"/>
    <w:rsid w:val="70D2709E"/>
    <w:rsid w:val="70E002FA"/>
    <w:rsid w:val="70F725F8"/>
    <w:rsid w:val="71071A64"/>
    <w:rsid w:val="71126EE7"/>
    <w:rsid w:val="7147515D"/>
    <w:rsid w:val="715D183E"/>
    <w:rsid w:val="71654E27"/>
    <w:rsid w:val="71971F13"/>
    <w:rsid w:val="719E73CE"/>
    <w:rsid w:val="71F6500C"/>
    <w:rsid w:val="721C62DD"/>
    <w:rsid w:val="72455164"/>
    <w:rsid w:val="72633A6A"/>
    <w:rsid w:val="72AA7B18"/>
    <w:rsid w:val="72AB1549"/>
    <w:rsid w:val="72AE5C5C"/>
    <w:rsid w:val="72DE790D"/>
    <w:rsid w:val="730336BD"/>
    <w:rsid w:val="73435055"/>
    <w:rsid w:val="735C296A"/>
    <w:rsid w:val="735D2EB3"/>
    <w:rsid w:val="737E24ED"/>
    <w:rsid w:val="737F1141"/>
    <w:rsid w:val="73903B50"/>
    <w:rsid w:val="73971C7D"/>
    <w:rsid w:val="73CF190D"/>
    <w:rsid w:val="73F632DD"/>
    <w:rsid w:val="74027DFF"/>
    <w:rsid w:val="741F22C1"/>
    <w:rsid w:val="74203020"/>
    <w:rsid w:val="745B3EE7"/>
    <w:rsid w:val="745F1F6C"/>
    <w:rsid w:val="746F4D19"/>
    <w:rsid w:val="748C471F"/>
    <w:rsid w:val="74960D99"/>
    <w:rsid w:val="74AE27E7"/>
    <w:rsid w:val="74B26AE2"/>
    <w:rsid w:val="74B3403E"/>
    <w:rsid w:val="74E516DA"/>
    <w:rsid w:val="74F52BB4"/>
    <w:rsid w:val="75115283"/>
    <w:rsid w:val="75613C83"/>
    <w:rsid w:val="757C043C"/>
    <w:rsid w:val="75CC46A2"/>
    <w:rsid w:val="75D933E6"/>
    <w:rsid w:val="75DA0533"/>
    <w:rsid w:val="75EA13C3"/>
    <w:rsid w:val="75F11861"/>
    <w:rsid w:val="7603678B"/>
    <w:rsid w:val="76134845"/>
    <w:rsid w:val="763922F4"/>
    <w:rsid w:val="766271A8"/>
    <w:rsid w:val="766B5F36"/>
    <w:rsid w:val="76B4336C"/>
    <w:rsid w:val="77117315"/>
    <w:rsid w:val="77423CA2"/>
    <w:rsid w:val="774B075C"/>
    <w:rsid w:val="77870647"/>
    <w:rsid w:val="77896DD2"/>
    <w:rsid w:val="779032EC"/>
    <w:rsid w:val="77BD5709"/>
    <w:rsid w:val="77F653DF"/>
    <w:rsid w:val="77FF63CD"/>
    <w:rsid w:val="782A7F03"/>
    <w:rsid w:val="789F12DD"/>
    <w:rsid w:val="78A17B1C"/>
    <w:rsid w:val="78A32629"/>
    <w:rsid w:val="78AB7D91"/>
    <w:rsid w:val="78FD0246"/>
    <w:rsid w:val="79616DC4"/>
    <w:rsid w:val="79624854"/>
    <w:rsid w:val="798F221F"/>
    <w:rsid w:val="798F2B44"/>
    <w:rsid w:val="79921C96"/>
    <w:rsid w:val="79A232FD"/>
    <w:rsid w:val="79BC6932"/>
    <w:rsid w:val="79C22CD2"/>
    <w:rsid w:val="79E62F88"/>
    <w:rsid w:val="79E820BE"/>
    <w:rsid w:val="7A174A60"/>
    <w:rsid w:val="7A402145"/>
    <w:rsid w:val="7A4D4979"/>
    <w:rsid w:val="7A582C61"/>
    <w:rsid w:val="7A862644"/>
    <w:rsid w:val="7AA41B46"/>
    <w:rsid w:val="7ACA7D58"/>
    <w:rsid w:val="7B26731C"/>
    <w:rsid w:val="7B3F7218"/>
    <w:rsid w:val="7B4128F5"/>
    <w:rsid w:val="7B460C14"/>
    <w:rsid w:val="7B5D43AB"/>
    <w:rsid w:val="7B681A01"/>
    <w:rsid w:val="7B86410F"/>
    <w:rsid w:val="7BA637FC"/>
    <w:rsid w:val="7BD3539E"/>
    <w:rsid w:val="7BF71A38"/>
    <w:rsid w:val="7C47478B"/>
    <w:rsid w:val="7C5E740D"/>
    <w:rsid w:val="7C615E2D"/>
    <w:rsid w:val="7C7F0CA1"/>
    <w:rsid w:val="7CB42860"/>
    <w:rsid w:val="7CF14B72"/>
    <w:rsid w:val="7D021F92"/>
    <w:rsid w:val="7D0F05B5"/>
    <w:rsid w:val="7D441F5F"/>
    <w:rsid w:val="7D5C4DE3"/>
    <w:rsid w:val="7D7D7CF0"/>
    <w:rsid w:val="7D88642F"/>
    <w:rsid w:val="7D922712"/>
    <w:rsid w:val="7E47198D"/>
    <w:rsid w:val="7E6E2E4D"/>
    <w:rsid w:val="7E7F0779"/>
    <w:rsid w:val="7E8174D0"/>
    <w:rsid w:val="7EBE6F11"/>
    <w:rsid w:val="7EBF3D8D"/>
    <w:rsid w:val="7EC40A46"/>
    <w:rsid w:val="7EE30DF1"/>
    <w:rsid w:val="7EE811AF"/>
    <w:rsid w:val="7F3F0976"/>
    <w:rsid w:val="7F485B07"/>
    <w:rsid w:val="7F4B3A46"/>
    <w:rsid w:val="7F521735"/>
    <w:rsid w:val="7F6A6508"/>
    <w:rsid w:val="7F833D8D"/>
    <w:rsid w:val="7F8671C8"/>
    <w:rsid w:val="7FDC13B0"/>
    <w:rsid w:val="7FE47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2"/>
    <w:uiPriority w:val="0"/>
    <w:pPr>
      <w:keepNext/>
      <w:keepLines/>
      <w:autoSpaceDE w:val="0"/>
      <w:autoSpaceDN w:val="0"/>
      <w:adjustRightInd w:val="0"/>
      <w:spacing w:before="240" w:after="120" w:line="300" w:lineRule="auto"/>
      <w:jc w:val="center"/>
      <w:outlineLvl w:val="0"/>
    </w:pPr>
    <w:rPr>
      <w:rFonts w:ascii="宋体" w:hAnsi="Calibri" w:eastAsia="宋体" w:cs="Times New Roman"/>
      <w:b/>
      <w:kern w:val="44"/>
      <w:sz w:val="32"/>
      <w:szCs w:val="20"/>
    </w:rPr>
  </w:style>
  <w:style w:type="paragraph" w:styleId="4">
    <w:name w:val="heading 2"/>
    <w:basedOn w:val="1"/>
    <w:next w:val="1"/>
    <w:link w:val="43"/>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2">
    <w:name w:val="heading 3"/>
    <w:basedOn w:val="1"/>
    <w:next w:val="1"/>
    <w:link w:val="50"/>
    <w:qFormat/>
    <w:uiPriority w:val="0"/>
    <w:pPr>
      <w:keepNext/>
      <w:keepLines/>
      <w:autoSpaceDE w:val="0"/>
      <w:autoSpaceDN w:val="0"/>
      <w:adjustRightInd w:val="0"/>
      <w:spacing w:before="360" w:after="120"/>
      <w:jc w:val="left"/>
      <w:outlineLvl w:val="2"/>
    </w:pPr>
    <w:rPr>
      <w:rFonts w:ascii="宋体" w:hAnsi="Times New Roman" w:eastAsia="宋体" w:cs="Times New Roman"/>
      <w:sz w:val="24"/>
      <w:u w:val="single"/>
    </w:rPr>
  </w:style>
  <w:style w:type="paragraph" w:styleId="5">
    <w:name w:val="heading 4"/>
    <w:basedOn w:val="1"/>
    <w:next w:val="1"/>
    <w:qFormat/>
    <w:uiPriority w:val="0"/>
    <w:pPr>
      <w:keepNext/>
      <w:widowControl/>
      <w:jc w:val="left"/>
      <w:outlineLvl w:val="3"/>
    </w:pPr>
    <w:rPr>
      <w:rFonts w:ascii="宋体" w:hAnsi="宋体" w:eastAsia="宋体"/>
      <w:b/>
      <w:bCs/>
      <w:w w:val="80"/>
      <w:sz w:val="24"/>
    </w:rPr>
  </w:style>
  <w:style w:type="paragraph" w:styleId="6">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cs="Times New Roman"/>
      <w:sz w:val="21"/>
    </w:rPr>
  </w:style>
  <w:style w:type="character" w:default="1" w:styleId="36">
    <w:name w:val="Default Paragraph Font"/>
    <w:uiPriority w:val="0"/>
    <w:rPr>
      <w:rFonts w:ascii="Calibri" w:hAnsi="Calibri" w:eastAsia="宋体" w:cs="Times New Roman"/>
    </w:rPr>
  </w:style>
  <w:style w:type="table" w:default="1" w:styleId="34">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next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styleId="9">
    <w:name w:val="toa heading"/>
    <w:basedOn w:val="1"/>
    <w:next w:val="1"/>
    <w:unhideWhenUsed/>
    <w:qFormat/>
    <w:uiPriority w:val="99"/>
    <w:pPr>
      <w:spacing w:before="120"/>
    </w:pPr>
    <w:rPr>
      <w:rFonts w:ascii="Cambria" w:hAnsi="Cambria" w:eastAsia="宋体" w:cs="Times New Roman"/>
      <w:sz w:val="24"/>
    </w:rPr>
  </w:style>
  <w:style w:type="paragraph" w:styleId="10">
    <w:name w:val="annotation text"/>
    <w:basedOn w:val="1"/>
    <w:link w:val="53"/>
    <w:qFormat/>
    <w:uiPriority w:val="0"/>
    <w:pPr>
      <w:jc w:val="left"/>
    </w:pPr>
    <w:rPr>
      <w:rFonts w:ascii="Calibri" w:hAnsi="Calibri" w:eastAsia="宋体" w:cs="Times New Roman"/>
    </w:rPr>
  </w:style>
  <w:style w:type="paragraph" w:styleId="11">
    <w:name w:val="Body Text"/>
    <w:basedOn w:val="1"/>
    <w:next w:val="1"/>
    <w:link w:val="55"/>
    <w:qFormat/>
    <w:uiPriority w:val="0"/>
    <w:pPr>
      <w:tabs>
        <w:tab w:val="left" w:pos="567"/>
      </w:tabs>
      <w:spacing w:before="120" w:line="22" w:lineRule="atLeast"/>
    </w:pPr>
    <w:rPr>
      <w:rFonts w:ascii="宋体" w:hAnsi="宋体" w:eastAsia="宋体" w:cs="Times New Roman"/>
      <w:sz w:val="24"/>
    </w:rPr>
  </w:style>
  <w:style w:type="paragraph" w:styleId="12">
    <w:name w:val="Body Text Indent"/>
    <w:basedOn w:val="1"/>
    <w:next w:val="1"/>
    <w:qFormat/>
    <w:uiPriority w:val="0"/>
    <w:pPr>
      <w:spacing w:line="360" w:lineRule="auto"/>
      <w:ind w:firstLine="570"/>
    </w:pPr>
    <w:rPr>
      <w:rFonts w:ascii="Calibri" w:hAnsi="Calibri" w:eastAsia="宋体" w:cs="Times New Roman"/>
      <w:sz w:val="24"/>
    </w:rPr>
  </w:style>
  <w:style w:type="paragraph" w:styleId="13">
    <w:name w:val="toc 5"/>
    <w:basedOn w:val="1"/>
    <w:next w:val="1"/>
    <w:qFormat/>
    <w:uiPriority w:val="0"/>
    <w:pPr>
      <w:ind w:left="1680" w:leftChars="800"/>
    </w:pPr>
    <w:rPr>
      <w:rFonts w:ascii="Calibri" w:hAnsi="Calibri" w:eastAsia="宋体" w:cs="Times New Roman"/>
    </w:rPr>
  </w:style>
  <w:style w:type="paragraph" w:styleId="14">
    <w:name w:val="toc 3"/>
    <w:basedOn w:val="1"/>
    <w:next w:val="1"/>
    <w:qFormat/>
    <w:uiPriority w:val="0"/>
    <w:pPr>
      <w:tabs>
        <w:tab w:val="left" w:pos="1260"/>
        <w:tab w:val="right" w:leader="dot" w:pos="8630"/>
      </w:tabs>
      <w:ind w:left="840" w:leftChars="400"/>
    </w:pPr>
    <w:rPr>
      <w:rFonts w:ascii="Calibri" w:hAnsi="Calibri" w:eastAsia="宋体" w:cs="Times New Roman"/>
    </w:rPr>
  </w:style>
  <w:style w:type="paragraph" w:styleId="15">
    <w:name w:val="Plain Text"/>
    <w:basedOn w:val="1"/>
    <w:link w:val="56"/>
    <w:qFormat/>
    <w:uiPriority w:val="0"/>
    <w:rPr>
      <w:rFonts w:ascii="宋体" w:hAnsi="Courier New" w:eastAsia="宋体" w:cs="Times New Roman"/>
      <w:szCs w:val="20"/>
    </w:rPr>
  </w:style>
  <w:style w:type="paragraph" w:styleId="16">
    <w:name w:val="toc 8"/>
    <w:basedOn w:val="1"/>
    <w:next w:val="1"/>
    <w:qFormat/>
    <w:uiPriority w:val="0"/>
    <w:pPr>
      <w:ind w:left="2940" w:leftChars="1400"/>
    </w:pPr>
    <w:rPr>
      <w:rFonts w:ascii="Calibri" w:hAnsi="Calibri" w:eastAsia="宋体" w:cs="Times New Roman"/>
    </w:rPr>
  </w:style>
  <w:style w:type="paragraph" w:styleId="17">
    <w:name w:val="Date"/>
    <w:basedOn w:val="1"/>
    <w:next w:val="1"/>
    <w:link w:val="57"/>
    <w:qFormat/>
    <w:uiPriority w:val="0"/>
    <w:pPr>
      <w:ind w:left="100" w:leftChars="2500"/>
    </w:pPr>
    <w:rPr>
      <w:rFonts w:ascii="仿宋_GB2312" w:hAnsi="宋体" w:eastAsia="仿宋_GB2312" w:cs="Times New Roman"/>
      <w:color w:val="000000"/>
      <w:sz w:val="24"/>
    </w:rPr>
  </w:style>
  <w:style w:type="paragraph" w:styleId="18">
    <w:name w:val="Body Text Indent 2"/>
    <w:basedOn w:val="1"/>
    <w:qFormat/>
    <w:uiPriority w:val="0"/>
    <w:pPr>
      <w:ind w:firstLine="480" w:firstLineChars="200"/>
    </w:pPr>
    <w:rPr>
      <w:rFonts w:ascii="仿宋_GB2312" w:hAnsi="Calibri" w:eastAsia="仿宋_GB2312" w:cs="Times New Roman"/>
      <w:sz w:val="24"/>
    </w:rPr>
  </w:style>
  <w:style w:type="paragraph" w:styleId="19">
    <w:name w:val="Balloon Text"/>
    <w:basedOn w:val="1"/>
    <w:link w:val="58"/>
    <w:uiPriority w:val="0"/>
    <w:rPr>
      <w:rFonts w:ascii="Calibri" w:hAnsi="Calibri" w:eastAsia="宋体" w:cs="Times New Roman"/>
      <w:sz w:val="18"/>
      <w:szCs w:val="18"/>
    </w:rPr>
  </w:style>
  <w:style w:type="paragraph" w:styleId="20">
    <w:name w:val="footer"/>
    <w:basedOn w:val="1"/>
    <w:link w:val="59"/>
    <w:qFormat/>
    <w:uiPriority w:val="0"/>
    <w:pPr>
      <w:tabs>
        <w:tab w:val="center" w:pos="4153"/>
        <w:tab w:val="right" w:pos="8306"/>
      </w:tabs>
      <w:autoSpaceDE w:val="0"/>
      <w:autoSpaceDN w:val="0"/>
      <w:adjustRightInd w:val="0"/>
      <w:snapToGrid w:val="0"/>
      <w:jc w:val="left"/>
    </w:pPr>
    <w:rPr>
      <w:rFonts w:ascii="宋体" w:hAnsi="Calibri" w:eastAsia="宋体" w:cs="Times New Roman"/>
      <w:kern w:val="0"/>
      <w:sz w:val="18"/>
      <w:szCs w:val="20"/>
    </w:rPr>
  </w:style>
  <w:style w:type="paragraph" w:styleId="21">
    <w:name w:val="header"/>
    <w:basedOn w:val="1"/>
    <w:link w:val="4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2">
    <w:name w:val="toc 1"/>
    <w:basedOn w:val="1"/>
    <w:next w:val="1"/>
    <w:qFormat/>
    <w:uiPriority w:val="0"/>
    <w:rPr>
      <w:rFonts w:ascii="Calibri" w:hAnsi="Calibri" w:eastAsia="宋体" w:cs="Times New Roman"/>
    </w:rPr>
  </w:style>
  <w:style w:type="paragraph" w:styleId="23">
    <w:name w:val="toc 4"/>
    <w:basedOn w:val="1"/>
    <w:next w:val="1"/>
    <w:qFormat/>
    <w:uiPriority w:val="0"/>
    <w:pPr>
      <w:ind w:left="1260" w:leftChars="600"/>
    </w:pPr>
    <w:rPr>
      <w:rFonts w:ascii="Calibri" w:hAnsi="Calibri" w:eastAsia="宋体" w:cs="Times New Roman"/>
    </w:rPr>
  </w:style>
  <w:style w:type="paragraph" w:styleId="24">
    <w:name w:val="footnote text"/>
    <w:basedOn w:val="1"/>
    <w:qFormat/>
    <w:uiPriority w:val="0"/>
    <w:pPr>
      <w:snapToGrid w:val="0"/>
      <w:jc w:val="left"/>
    </w:pPr>
    <w:rPr>
      <w:sz w:val="18"/>
    </w:rPr>
  </w:style>
  <w:style w:type="paragraph" w:styleId="25">
    <w:name w:val="toc 6"/>
    <w:basedOn w:val="1"/>
    <w:next w:val="1"/>
    <w:qFormat/>
    <w:uiPriority w:val="0"/>
    <w:pPr>
      <w:ind w:left="2100" w:leftChars="1000"/>
    </w:pPr>
    <w:rPr>
      <w:rFonts w:ascii="Calibri" w:hAnsi="Calibri" w:eastAsia="宋体" w:cs="Times New Roman"/>
    </w:r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hAnsi="Calibri" w:eastAsia="宋体" w:cs="Times New Roman"/>
      <w:kern w:val="0"/>
      <w:sz w:val="24"/>
      <w:szCs w:val="20"/>
    </w:rPr>
  </w:style>
  <w:style w:type="paragraph" w:styleId="27">
    <w:name w:val="toc 2"/>
    <w:basedOn w:val="1"/>
    <w:next w:val="1"/>
    <w:qFormat/>
    <w:uiPriority w:val="0"/>
    <w:pPr>
      <w:ind w:left="420" w:leftChars="200"/>
    </w:pPr>
    <w:rPr>
      <w:rFonts w:ascii="Calibri" w:hAnsi="Calibri" w:eastAsia="宋体" w:cs="Times New Roman"/>
    </w:rPr>
  </w:style>
  <w:style w:type="paragraph" w:styleId="28">
    <w:name w:val="toc 9"/>
    <w:basedOn w:val="1"/>
    <w:next w:val="1"/>
    <w:qFormat/>
    <w:uiPriority w:val="0"/>
    <w:pPr>
      <w:ind w:left="3360" w:leftChars="1600"/>
    </w:pPr>
    <w:rPr>
      <w:rFonts w:ascii="Calibri" w:hAnsi="Calibri" w:eastAsia="宋体" w:cs="Times New Roman"/>
    </w:rPr>
  </w:style>
  <w:style w:type="paragraph" w:styleId="29">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30">
    <w:name w:val="index 1"/>
    <w:basedOn w:val="1"/>
    <w:next w:val="1"/>
    <w:qFormat/>
    <w:uiPriority w:val="0"/>
    <w:rPr>
      <w:rFonts w:ascii="Calibri" w:hAnsi="Calibri" w:eastAsia="宋体" w:cs="Times New Roman"/>
      <w:szCs w:val="20"/>
    </w:rPr>
  </w:style>
  <w:style w:type="paragraph" w:styleId="31">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32">
    <w:name w:val="annotation subject"/>
    <w:basedOn w:val="10"/>
    <w:next w:val="10"/>
    <w:link w:val="60"/>
    <w:qFormat/>
    <w:uiPriority w:val="0"/>
    <w:rPr>
      <w:rFonts w:ascii="Calibri" w:hAnsi="Calibri" w:eastAsia="宋体" w:cs="Times New Roman"/>
      <w:b/>
      <w:bCs/>
    </w:rPr>
  </w:style>
  <w:style w:type="paragraph" w:styleId="33">
    <w:name w:val="Body Text First Indent 2"/>
    <w:basedOn w:val="12"/>
    <w:qFormat/>
    <w:uiPriority w:val="0"/>
    <w:pPr>
      <w:ind w:firstLine="420" w:firstLineChars="200"/>
    </w:pPr>
    <w:rPr>
      <w:rFonts w:ascii="Calibri" w:hAnsi="Calibri" w:eastAsia="宋体" w:cs="Times New Roman"/>
      <w:szCs w:val="24"/>
    </w:rPr>
  </w:style>
  <w:style w:type="table" w:styleId="35">
    <w:name w:val="Table Grid"/>
    <w:basedOn w:val="3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rFonts w:ascii="Calibri" w:hAnsi="Calibri" w:eastAsia="宋体" w:cs="Times New Roman"/>
      <w:b/>
      <w:bCs/>
    </w:rPr>
  </w:style>
  <w:style w:type="character" w:styleId="38">
    <w:name w:val="page number"/>
    <w:basedOn w:val="36"/>
    <w:qFormat/>
    <w:uiPriority w:val="0"/>
    <w:rPr>
      <w:rFonts w:ascii="Calibri" w:hAnsi="Calibri" w:eastAsia="宋体" w:cs="Times New Roman"/>
    </w:rPr>
  </w:style>
  <w:style w:type="character" w:styleId="39">
    <w:name w:val="FollowedHyperlink"/>
    <w:basedOn w:val="36"/>
    <w:qFormat/>
    <w:uiPriority w:val="0"/>
    <w:rPr>
      <w:rFonts w:ascii="Calibri" w:hAnsi="Calibri" w:eastAsia="宋体" w:cs="Times New Roman"/>
      <w:color w:val="020202"/>
      <w:sz w:val="18"/>
      <w:szCs w:val="18"/>
      <w:u w:val="none"/>
    </w:rPr>
  </w:style>
  <w:style w:type="character" w:styleId="40">
    <w:name w:val="Hyperlink"/>
    <w:basedOn w:val="36"/>
    <w:qFormat/>
    <w:uiPriority w:val="0"/>
    <w:rPr>
      <w:rFonts w:ascii="Calibri" w:hAnsi="Calibri" w:eastAsia="宋体" w:cs="Times New Roman"/>
      <w:color w:val="020202"/>
      <w:sz w:val="18"/>
      <w:szCs w:val="18"/>
      <w:u w:val="none"/>
    </w:rPr>
  </w:style>
  <w:style w:type="character" w:styleId="41">
    <w:name w:val="annotation reference"/>
    <w:qFormat/>
    <w:uiPriority w:val="0"/>
    <w:rPr>
      <w:rFonts w:ascii="Calibri" w:hAnsi="Calibri" w:eastAsia="宋体" w:cs="Times New Roman"/>
      <w:sz w:val="21"/>
      <w:szCs w:val="21"/>
    </w:rPr>
  </w:style>
  <w:style w:type="character" w:customStyle="1" w:styleId="42">
    <w:name w:val="标题 1 Char"/>
    <w:link w:val="3"/>
    <w:qFormat/>
    <w:uiPriority w:val="0"/>
    <w:rPr>
      <w:rFonts w:ascii="宋体" w:hAnsi="Calibri" w:eastAsia="宋体" w:cs="Times New Roman"/>
      <w:b/>
      <w:kern w:val="44"/>
      <w:sz w:val="32"/>
    </w:rPr>
  </w:style>
  <w:style w:type="character" w:customStyle="1" w:styleId="43">
    <w:name w:val="标题 2 Char"/>
    <w:link w:val="4"/>
    <w:qFormat/>
    <w:uiPriority w:val="0"/>
    <w:rPr>
      <w:rFonts w:ascii="Arial" w:hAnsi="Arial" w:eastAsia="黑体" w:cs="Times New Roman"/>
      <w:b/>
      <w:sz w:val="30"/>
    </w:rPr>
  </w:style>
  <w:style w:type="character" w:customStyle="1" w:styleId="44">
    <w:name w:val="正文缩进 Char1"/>
    <w:link w:val="45"/>
    <w:qFormat/>
    <w:uiPriority w:val="0"/>
    <w:rPr>
      <w:rFonts w:ascii="宋体" w:hAnsi="Calibri" w:eastAsia="宋体" w:cs="Times New Roman"/>
      <w:sz w:val="24"/>
    </w:rPr>
  </w:style>
  <w:style w:type="paragraph" w:customStyle="1" w:styleId="45">
    <w:name w:val="正文缩进1"/>
    <w:basedOn w:val="1"/>
    <w:link w:val="44"/>
    <w:qFormat/>
    <w:uiPriority w:val="0"/>
    <w:pPr>
      <w:autoSpaceDE w:val="0"/>
      <w:autoSpaceDN w:val="0"/>
      <w:adjustRightInd w:val="0"/>
      <w:ind w:firstLine="420"/>
      <w:jc w:val="left"/>
    </w:pPr>
    <w:rPr>
      <w:rFonts w:ascii="宋体" w:hAnsi="Calibri" w:eastAsia="宋体" w:cs="Times New Roman"/>
      <w:kern w:val="0"/>
      <w:sz w:val="24"/>
      <w:szCs w:val="20"/>
    </w:rPr>
  </w:style>
  <w:style w:type="character" w:customStyle="1" w:styleId="46">
    <w:name w:val="wdlg"/>
    <w:basedOn w:val="36"/>
    <w:qFormat/>
    <w:uiPriority w:val="0"/>
    <w:rPr>
      <w:rFonts w:ascii="宋体" w:hAnsi="宋体" w:eastAsia="宋体" w:cs="宋体"/>
      <w:b/>
      <w:color w:val="000000"/>
      <w:sz w:val="21"/>
      <w:szCs w:val="21"/>
      <w:u w:val="none"/>
    </w:rPr>
  </w:style>
  <w:style w:type="character" w:customStyle="1" w:styleId="47">
    <w:name w:val="页眉 Char"/>
    <w:link w:val="21"/>
    <w:qFormat/>
    <w:uiPriority w:val="0"/>
    <w:rPr>
      <w:rFonts w:ascii="Calibri" w:hAnsi="Calibri" w:eastAsia="宋体" w:cs="Times New Roman"/>
      <w:kern w:val="2"/>
      <w:sz w:val="18"/>
      <w:szCs w:val="18"/>
    </w:rPr>
  </w:style>
  <w:style w:type="character" w:customStyle="1" w:styleId="48">
    <w:name w:val="zhou"/>
    <w:basedOn w:val="36"/>
    <w:qFormat/>
    <w:uiPriority w:val="0"/>
    <w:rPr>
      <w:rFonts w:ascii="Calibri" w:hAnsi="Calibri" w:eastAsia="宋体" w:cs="Times New Roman"/>
      <w:bdr w:val="single" w:color="666666" w:sz="6" w:space="0"/>
    </w:rPr>
  </w:style>
  <w:style w:type="character" w:customStyle="1" w:styleId="49">
    <w:name w:val="font31"/>
    <w:basedOn w:val="36"/>
    <w:qFormat/>
    <w:uiPriority w:val="0"/>
    <w:rPr>
      <w:rFonts w:hint="eastAsia" w:ascii="宋体" w:hAnsi="宋体" w:eastAsia="宋体" w:cs="宋体"/>
      <w:color w:val="000000"/>
      <w:sz w:val="20"/>
      <w:szCs w:val="20"/>
      <w:u w:val="none"/>
    </w:rPr>
  </w:style>
  <w:style w:type="character" w:customStyle="1" w:styleId="50">
    <w:name w:val="标题 3 Char"/>
    <w:link w:val="2"/>
    <w:qFormat/>
    <w:uiPriority w:val="0"/>
    <w:rPr>
      <w:rFonts w:ascii="宋体" w:hAnsi="Calibri" w:eastAsia="宋体" w:cs="Times New Roman"/>
      <w:b/>
      <w:sz w:val="24"/>
      <w:u w:val="single"/>
    </w:rPr>
  </w:style>
  <w:style w:type="character" w:customStyle="1" w:styleId="51">
    <w:name w:val="font112"/>
    <w:qFormat/>
    <w:uiPriority w:val="0"/>
    <w:rPr>
      <w:rFonts w:hint="eastAsia" w:ascii="微软雅黑" w:hAnsi="微软雅黑" w:eastAsia="微软雅黑" w:cs="微软雅黑"/>
      <w:color w:val="000000"/>
      <w:sz w:val="20"/>
      <w:szCs w:val="20"/>
      <w:u w:val="none"/>
    </w:rPr>
  </w:style>
  <w:style w:type="character" w:customStyle="1" w:styleId="52">
    <w:name w:val="navadr"/>
    <w:basedOn w:val="36"/>
    <w:qFormat/>
    <w:uiPriority w:val="0"/>
    <w:rPr>
      <w:rFonts w:ascii="Calibri" w:hAnsi="Calibri" w:eastAsia="宋体" w:cs="Times New Roman"/>
    </w:rPr>
  </w:style>
  <w:style w:type="character" w:customStyle="1" w:styleId="53">
    <w:name w:val="批注文字 Char"/>
    <w:link w:val="10"/>
    <w:qFormat/>
    <w:uiPriority w:val="0"/>
    <w:rPr>
      <w:rFonts w:ascii="Calibri" w:hAnsi="Calibri" w:eastAsia="宋体" w:cs="Times New Roman"/>
      <w:kern w:val="2"/>
      <w:sz w:val="21"/>
      <w:szCs w:val="24"/>
    </w:rPr>
  </w:style>
  <w:style w:type="character" w:customStyle="1" w:styleId="54">
    <w:name w:val="批注框文本 Char1"/>
    <w:qFormat/>
    <w:uiPriority w:val="0"/>
    <w:rPr>
      <w:rFonts w:ascii="Calibri" w:hAnsi="Calibri" w:eastAsia="宋体" w:cs="Times New Roman"/>
      <w:kern w:val="2"/>
      <w:sz w:val="18"/>
      <w:szCs w:val="18"/>
    </w:rPr>
  </w:style>
  <w:style w:type="character" w:customStyle="1" w:styleId="55">
    <w:name w:val="正文文本 Char"/>
    <w:link w:val="11"/>
    <w:qFormat/>
    <w:uiPriority w:val="0"/>
    <w:rPr>
      <w:rFonts w:ascii="宋体" w:hAnsi="宋体" w:eastAsia="宋体" w:cs="Times New Roman"/>
      <w:kern w:val="2"/>
      <w:sz w:val="24"/>
      <w:szCs w:val="24"/>
    </w:rPr>
  </w:style>
  <w:style w:type="character" w:customStyle="1" w:styleId="56">
    <w:name w:val="纯文本 Char"/>
    <w:link w:val="15"/>
    <w:qFormat/>
    <w:uiPriority w:val="0"/>
    <w:rPr>
      <w:rFonts w:ascii="宋体" w:hAnsi="Courier New" w:eastAsia="宋体" w:cs="Times New Roman"/>
      <w:kern w:val="2"/>
      <w:sz w:val="21"/>
    </w:rPr>
  </w:style>
  <w:style w:type="character" w:customStyle="1" w:styleId="57">
    <w:name w:val="日期 Char"/>
    <w:link w:val="17"/>
    <w:uiPriority w:val="0"/>
    <w:rPr>
      <w:rFonts w:ascii="仿宋_GB2312" w:hAnsi="宋体" w:eastAsia="仿宋_GB2312" w:cs="Times New Roman"/>
      <w:color w:val="000000"/>
      <w:kern w:val="2"/>
      <w:sz w:val="24"/>
      <w:szCs w:val="24"/>
    </w:rPr>
  </w:style>
  <w:style w:type="character" w:customStyle="1" w:styleId="58">
    <w:name w:val="批注框文本 Char"/>
    <w:link w:val="19"/>
    <w:qFormat/>
    <w:uiPriority w:val="0"/>
    <w:rPr>
      <w:rFonts w:ascii="Calibri" w:hAnsi="Calibri" w:eastAsia="宋体" w:cs="Times New Roman"/>
      <w:kern w:val="2"/>
      <w:sz w:val="18"/>
      <w:szCs w:val="18"/>
    </w:rPr>
  </w:style>
  <w:style w:type="character" w:customStyle="1" w:styleId="59">
    <w:name w:val="页脚 Char"/>
    <w:link w:val="20"/>
    <w:qFormat/>
    <w:uiPriority w:val="0"/>
    <w:rPr>
      <w:rFonts w:ascii="宋体" w:hAnsi="Calibri" w:eastAsia="宋体" w:cs="Times New Roman"/>
      <w:sz w:val="18"/>
    </w:rPr>
  </w:style>
  <w:style w:type="character" w:customStyle="1" w:styleId="60">
    <w:name w:val="批注主题 Char"/>
    <w:link w:val="32"/>
    <w:qFormat/>
    <w:uiPriority w:val="0"/>
    <w:rPr>
      <w:rFonts w:ascii="Calibri" w:hAnsi="Calibri" w:eastAsia="宋体" w:cs="Times New Roman"/>
      <w:b/>
      <w:bCs/>
      <w:kern w:val="2"/>
      <w:sz w:val="21"/>
      <w:szCs w:val="24"/>
    </w:rPr>
  </w:style>
  <w:style w:type="character" w:customStyle="1" w:styleId="61">
    <w:name w:val="批注主题 Char1"/>
    <w:qFormat/>
    <w:uiPriority w:val="0"/>
    <w:rPr>
      <w:rFonts w:ascii="Calibri" w:hAnsi="Calibri" w:eastAsia="宋体" w:cs="Times New Roman"/>
      <w:b/>
      <w:bCs/>
      <w:kern w:val="2"/>
      <w:sz w:val="21"/>
      <w:szCs w:val="24"/>
    </w:rPr>
  </w:style>
  <w:style w:type="character" w:customStyle="1" w:styleId="62">
    <w:name w:val="批注文字 Char1"/>
    <w:qFormat/>
    <w:uiPriority w:val="0"/>
    <w:rPr>
      <w:rFonts w:ascii="Calibri" w:hAnsi="Calibri" w:eastAsia="宋体" w:cs="Times New Roman"/>
      <w:kern w:val="2"/>
      <w:sz w:val="21"/>
      <w:szCs w:val="24"/>
    </w:rPr>
  </w:style>
  <w:style w:type="character" w:customStyle="1" w:styleId="63">
    <w:name w:val="prev_page"/>
    <w:basedOn w:val="36"/>
    <w:qFormat/>
    <w:uiPriority w:val="0"/>
    <w:rPr>
      <w:rFonts w:ascii="Calibri" w:hAnsi="Calibri" w:eastAsia="宋体" w:cs="Times New Roman"/>
      <w:color w:val="C0C0C0"/>
    </w:rPr>
  </w:style>
  <w:style w:type="character" w:customStyle="1" w:styleId="64">
    <w:name w:val="current2"/>
    <w:basedOn w:val="36"/>
    <w:qFormat/>
    <w:uiPriority w:val="0"/>
    <w:rPr>
      <w:rFonts w:ascii="Calibri" w:hAnsi="Calibri" w:eastAsia="宋体" w:cs="Times New Roman"/>
      <w:color w:val="FFFFFF"/>
      <w:sz w:val="21"/>
      <w:szCs w:val="21"/>
      <w:bdr w:val="single" w:color="0077C3" w:sz="6" w:space="0"/>
      <w:shd w:val="clear" w:color="auto" w:fill="0077C3"/>
    </w:rPr>
  </w:style>
  <w:style w:type="character" w:customStyle="1" w:styleId="65">
    <w:name w:val="font71"/>
    <w:basedOn w:val="36"/>
    <w:qFormat/>
    <w:uiPriority w:val="0"/>
    <w:rPr>
      <w:rFonts w:hint="eastAsia" w:ascii="新宋体" w:hAnsi="新宋体" w:eastAsia="新宋体" w:cs="新宋体"/>
      <w:color w:val="000000"/>
      <w:sz w:val="20"/>
      <w:szCs w:val="20"/>
      <w:u w:val="none"/>
      <w:vertAlign w:val="superscript"/>
    </w:rPr>
  </w:style>
  <w:style w:type="character" w:customStyle="1" w:styleId="66">
    <w:name w:val="font131"/>
    <w:basedOn w:val="36"/>
    <w:qFormat/>
    <w:uiPriority w:val="0"/>
    <w:rPr>
      <w:rFonts w:hint="eastAsia" w:ascii="新宋体" w:hAnsi="新宋体" w:eastAsia="新宋体" w:cs="新宋体"/>
      <w:color w:val="000000"/>
      <w:sz w:val="20"/>
      <w:szCs w:val="20"/>
      <w:u w:val="none"/>
    </w:rPr>
  </w:style>
  <w:style w:type="character" w:customStyle="1" w:styleId="67">
    <w:name w:val="font21"/>
    <w:basedOn w:val="36"/>
    <w:qFormat/>
    <w:uiPriority w:val="0"/>
    <w:rPr>
      <w:rFonts w:hint="eastAsia" w:ascii="宋体" w:hAnsi="宋体" w:eastAsia="宋体" w:cs="宋体"/>
      <w:color w:val="000000"/>
      <w:sz w:val="24"/>
      <w:szCs w:val="24"/>
      <w:u w:val="none"/>
    </w:rPr>
  </w:style>
  <w:style w:type="character" w:customStyle="1" w:styleId="68">
    <w:name w:val="页眉 Char1"/>
    <w:uiPriority w:val="0"/>
    <w:rPr>
      <w:rFonts w:ascii="Calibri" w:hAnsi="Calibri" w:eastAsia="宋体" w:cs="Times New Roman"/>
      <w:kern w:val="2"/>
      <w:sz w:val="18"/>
      <w:szCs w:val="18"/>
    </w:rPr>
  </w:style>
  <w:style w:type="character" w:customStyle="1" w:styleId="69">
    <w:name w:val="zpimg"/>
    <w:basedOn w:val="36"/>
    <w:qFormat/>
    <w:uiPriority w:val="0"/>
    <w:rPr>
      <w:rFonts w:ascii="Calibri" w:hAnsi="Calibri" w:eastAsia="宋体" w:cs="Times New Roman"/>
    </w:rPr>
  </w:style>
  <w:style w:type="character" w:customStyle="1" w:styleId="70">
    <w:name w:val="纯文本 Char1"/>
    <w:link w:val="71"/>
    <w:qFormat/>
    <w:uiPriority w:val="0"/>
    <w:rPr>
      <w:rFonts w:ascii="宋体" w:hAnsi="Courier New" w:eastAsia="宋体" w:cs="Times New Roman"/>
    </w:rPr>
  </w:style>
  <w:style w:type="paragraph" w:customStyle="1" w:styleId="71">
    <w:name w:val="纯文本1"/>
    <w:basedOn w:val="1"/>
    <w:link w:val="70"/>
    <w:qFormat/>
    <w:uiPriority w:val="0"/>
    <w:rPr>
      <w:rFonts w:ascii="宋体" w:hAnsi="Courier New" w:eastAsia="宋体" w:cs="Times New Roman"/>
      <w:kern w:val="0"/>
      <w:sz w:val="20"/>
      <w:szCs w:val="20"/>
    </w:rPr>
  </w:style>
  <w:style w:type="character" w:customStyle="1" w:styleId="72">
    <w:name w:val="font91"/>
    <w:basedOn w:val="36"/>
    <w:qFormat/>
    <w:uiPriority w:val="0"/>
    <w:rPr>
      <w:rFonts w:hint="eastAsia" w:ascii="新宋体" w:hAnsi="新宋体" w:eastAsia="新宋体" w:cs="新宋体"/>
      <w:b/>
      <w:color w:val="000000"/>
      <w:sz w:val="20"/>
      <w:szCs w:val="20"/>
      <w:u w:val="none"/>
    </w:rPr>
  </w:style>
  <w:style w:type="character" w:customStyle="1" w:styleId="73">
    <w:name w:val="current3"/>
    <w:basedOn w:val="36"/>
    <w:qFormat/>
    <w:uiPriority w:val="0"/>
    <w:rPr>
      <w:rFonts w:ascii="Calibri" w:hAnsi="Calibri" w:eastAsia="宋体" w:cs="Times New Roman"/>
      <w:color w:val="FFFFFF"/>
      <w:bdr w:val="single" w:color="F53F00" w:sz="6" w:space="0"/>
      <w:shd w:val="clear" w:color="auto" w:fill="F53F00"/>
    </w:rPr>
  </w:style>
  <w:style w:type="character" w:customStyle="1" w:styleId="74">
    <w:name w:val="firstspanwx"/>
    <w:basedOn w:val="36"/>
    <w:qFormat/>
    <w:uiPriority w:val="0"/>
    <w:rPr>
      <w:rFonts w:ascii="Calibri" w:hAnsi="Calibri" w:eastAsia="宋体" w:cs="Times New Roman"/>
    </w:rPr>
  </w:style>
  <w:style w:type="character" w:customStyle="1" w:styleId="75">
    <w:name w:val="no_mr"/>
    <w:basedOn w:val="36"/>
    <w:qFormat/>
    <w:uiPriority w:val="0"/>
    <w:rPr>
      <w:rFonts w:ascii="Calibri" w:hAnsi="Calibri" w:eastAsia="宋体" w:cs="Times New Roman"/>
    </w:rPr>
  </w:style>
  <w:style w:type="character" w:customStyle="1" w:styleId="76">
    <w:name w:val="yue"/>
    <w:basedOn w:val="36"/>
    <w:qFormat/>
    <w:uiPriority w:val="0"/>
    <w:rPr>
      <w:rFonts w:ascii="Calibri" w:hAnsi="Calibri" w:eastAsia="宋体" w:cs="Times New Roman"/>
    </w:rPr>
  </w:style>
  <w:style w:type="character" w:customStyle="1" w:styleId="77">
    <w:name w:val="hs_prev_page"/>
    <w:basedOn w:val="36"/>
    <w:qFormat/>
    <w:uiPriority w:val="0"/>
    <w:rPr>
      <w:rFonts w:ascii="Calibri" w:hAnsi="Calibri" w:eastAsia="宋体" w:cs="Times New Roman"/>
      <w:color w:val="C0C0C0"/>
    </w:rPr>
  </w:style>
  <w:style w:type="character" w:customStyle="1" w:styleId="78">
    <w:name w:val="font01"/>
    <w:basedOn w:val="36"/>
    <w:qFormat/>
    <w:uiPriority w:val="0"/>
    <w:rPr>
      <w:rFonts w:ascii="Symbol" w:hAnsi="Symbol" w:eastAsia="宋体" w:cs="Symbol"/>
      <w:color w:val="000000"/>
      <w:sz w:val="24"/>
      <w:szCs w:val="24"/>
      <w:u w:val="none"/>
    </w:rPr>
  </w:style>
  <w:style w:type="character" w:customStyle="1" w:styleId="79">
    <w:name w:val="font61"/>
    <w:basedOn w:val="36"/>
    <w:qFormat/>
    <w:uiPriority w:val="0"/>
    <w:rPr>
      <w:rFonts w:hint="eastAsia" w:ascii="新宋体" w:hAnsi="新宋体" w:eastAsia="新宋体" w:cs="新宋体"/>
      <w:color w:val="000000"/>
      <w:sz w:val="20"/>
      <w:szCs w:val="20"/>
      <w:u w:val="none"/>
    </w:rPr>
  </w:style>
  <w:style w:type="character" w:customStyle="1" w:styleId="80">
    <w:name w:val="仿宋_GB2312 下划线"/>
    <w:qFormat/>
    <w:uiPriority w:val="99"/>
    <w:rPr>
      <w:rFonts w:ascii="仿宋_GB2312" w:hAnsi="仿宋_GB2312" w:eastAsia="仿宋_GB2312"/>
      <w:sz w:val="28"/>
      <w:u w:val="single"/>
    </w:rPr>
  </w:style>
  <w:style w:type="character" w:customStyle="1" w:styleId="81">
    <w:name w:val="red2"/>
    <w:basedOn w:val="36"/>
    <w:qFormat/>
    <w:uiPriority w:val="0"/>
    <w:rPr>
      <w:rFonts w:ascii="Calibri" w:hAnsi="Calibri" w:eastAsia="宋体" w:cs="Times New Roman"/>
      <w:b/>
      <w:color w:val="DA2F27"/>
      <w:sz w:val="21"/>
      <w:szCs w:val="21"/>
    </w:rPr>
  </w:style>
  <w:style w:type="paragraph" w:customStyle="1" w:styleId="82">
    <w:name w:val="采购正文"/>
    <w:basedOn w:val="1"/>
    <w:qFormat/>
    <w:uiPriority w:val="0"/>
    <w:pPr>
      <w:snapToGrid w:val="0"/>
      <w:spacing w:line="560" w:lineRule="exact"/>
      <w:ind w:firstLine="480" w:firstLineChars="200"/>
    </w:pPr>
    <w:rPr>
      <w:rFonts w:ascii="宋体" w:hAnsi="宋体" w:eastAsia="仿宋"/>
      <w:color w:val="000000"/>
      <w:sz w:val="24"/>
      <w:szCs w:val="24"/>
    </w:rPr>
  </w:style>
  <w:style w:type="paragraph" w:customStyle="1" w:styleId="83">
    <w:name w:val="索引 11"/>
    <w:basedOn w:val="1"/>
    <w:next w:val="1"/>
    <w:qFormat/>
    <w:uiPriority w:val="0"/>
    <w:pPr>
      <w:spacing w:line="360" w:lineRule="auto"/>
    </w:pPr>
    <w:rPr>
      <w:rFonts w:ascii="仿宋_GB2312" w:hAnsi="Calibri" w:eastAsia="仿宋_GB2312" w:cs="Times New Roman"/>
      <w:sz w:val="24"/>
      <w:szCs w:val="20"/>
    </w:rPr>
  </w:style>
  <w:style w:type="paragraph" w:customStyle="1" w:styleId="84">
    <w:name w:val="List Paragraph_950ef204-ccf4-4d36-8da3-09d279cbb147"/>
    <w:basedOn w:val="1"/>
    <w:qFormat/>
    <w:uiPriority w:val="0"/>
    <w:pPr>
      <w:ind w:firstLine="420" w:firstLineChars="200"/>
    </w:pPr>
    <w:rPr>
      <w:rFonts w:ascii="Calibri" w:hAnsi="Calibri" w:eastAsia="宋体" w:cs="Times New Roman"/>
    </w:rPr>
  </w:style>
  <w:style w:type="paragraph" w:customStyle="1" w:styleId="85">
    <w:name w:val="采购二级"/>
    <w:basedOn w:val="1"/>
    <w:qFormat/>
    <w:uiPriority w:val="0"/>
    <w:pPr>
      <w:snapToGrid w:val="0"/>
      <w:spacing w:line="560" w:lineRule="exact"/>
      <w:ind w:firstLine="480" w:firstLineChars="200"/>
      <w:outlineLvl w:val="1"/>
    </w:pPr>
    <w:rPr>
      <w:rFonts w:ascii="仿宋" w:hAnsi="仿宋" w:eastAsia="仿宋"/>
      <w:b/>
      <w:color w:val="000000"/>
      <w:sz w:val="24"/>
      <w:szCs w:val="24"/>
    </w:rPr>
  </w:style>
  <w:style w:type="paragraph" w:customStyle="1" w:styleId="86">
    <w:name w:val="黑体 四号 加粗"/>
    <w:basedOn w:val="1"/>
    <w:next w:val="1"/>
    <w:qFormat/>
    <w:uiPriority w:val="99"/>
    <w:pPr>
      <w:spacing w:line="360" w:lineRule="auto"/>
      <w:ind w:firstLine="420" w:firstLineChars="200"/>
      <w:jc w:val="center"/>
    </w:pPr>
    <w:rPr>
      <w:rFonts w:ascii="黑体" w:hAnsi="黑体" w:eastAsia="黑体" w:cs="宋体"/>
      <w:b/>
      <w:bCs/>
      <w:snapToGrid w:val="0"/>
      <w:spacing w:val="-4"/>
      <w:w w:val="90"/>
      <w:sz w:val="28"/>
      <w:szCs w:val="24"/>
    </w:rPr>
  </w:style>
  <w:style w:type="paragraph" w:customStyle="1" w:styleId="87">
    <w:name w:val="Char"/>
    <w:basedOn w:val="1"/>
    <w:qFormat/>
    <w:uiPriority w:val="0"/>
    <w:pPr>
      <w:tabs>
        <w:tab w:val="left" w:pos="360"/>
      </w:tabs>
    </w:pPr>
    <w:rPr>
      <w:rFonts w:ascii="Calibri" w:hAnsi="Calibri" w:eastAsia="宋体" w:cs="Times New Roman"/>
      <w:sz w:val="24"/>
    </w:rPr>
  </w:style>
  <w:style w:type="paragraph" w:customStyle="1" w:styleId="88">
    <w:name w:val="样式 (符号) 宋体 四号 加粗"/>
    <w:basedOn w:val="1"/>
    <w:qFormat/>
    <w:uiPriority w:val="99"/>
    <w:pPr>
      <w:spacing w:line="360" w:lineRule="auto"/>
      <w:ind w:firstLine="200" w:firstLineChars="200"/>
      <w:jc w:val="left"/>
    </w:pPr>
    <w:rPr>
      <w:rFonts w:ascii="仿宋_GB2312" w:hAnsi="宋体" w:eastAsia="仿宋_GB2312" w:cs="Times New Roman"/>
      <w:b/>
      <w:snapToGrid w:val="0"/>
      <w:sz w:val="28"/>
      <w:szCs w:val="24"/>
    </w:rPr>
  </w:style>
  <w:style w:type="paragraph" w:customStyle="1" w:styleId="89">
    <w:name w:val="列出段落1"/>
    <w:basedOn w:val="1"/>
    <w:qFormat/>
    <w:uiPriority w:val="0"/>
    <w:pPr>
      <w:ind w:firstLine="420" w:firstLineChars="200"/>
    </w:pPr>
    <w:rPr>
      <w:rFonts w:ascii="Calibri" w:hAnsi="Calibri" w:eastAsia="宋体" w:cs="Times New Roman"/>
    </w:rPr>
  </w:style>
  <w:style w:type="paragraph" w:customStyle="1" w:styleId="90">
    <w:name w:val="样式 样式 仿宋＋首行缩进 + 首行缩进:  2 字符 + 首行缩进:  2 字符"/>
    <w:basedOn w:val="1"/>
    <w:qFormat/>
    <w:uiPriority w:val="99"/>
    <w:pPr>
      <w:adjustRightInd w:val="0"/>
      <w:snapToGrid w:val="0"/>
      <w:spacing w:line="360" w:lineRule="auto"/>
      <w:ind w:firstLine="200" w:firstLineChars="200"/>
      <w:jc w:val="left"/>
    </w:pPr>
    <w:rPr>
      <w:rFonts w:ascii="仿宋_GB2312" w:hAnsi="Times New Roman" w:eastAsia="仿宋_GB2312" w:cs="宋体"/>
      <w:kern w:val="0"/>
      <w:sz w:val="28"/>
      <w:szCs w:val="20"/>
    </w:rPr>
  </w:style>
  <w:style w:type="paragraph" w:customStyle="1" w:styleId="9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92">
    <w:name w:val="样式 正文小四wg + 首行缩进:  2 字符"/>
    <w:basedOn w:val="1"/>
    <w:qFormat/>
    <w:uiPriority w:val="0"/>
    <w:pPr>
      <w:autoSpaceDE w:val="0"/>
      <w:autoSpaceDN w:val="0"/>
      <w:adjustRightInd w:val="0"/>
      <w:spacing w:line="400" w:lineRule="exact"/>
      <w:ind w:firstLine="200" w:firstLineChars="200"/>
    </w:pPr>
    <w:rPr>
      <w:rFonts w:ascii="仿宋_GB2312" w:hAnsi="宋体" w:eastAsia="仿宋_GB2312" w:cs="宋体"/>
      <w:color w:val="000000"/>
      <w:kern w:val="20"/>
      <w:sz w:val="24"/>
      <w:szCs w:val="20"/>
    </w:rPr>
  </w:style>
  <w:style w:type="paragraph" w:styleId="93">
    <w:name w:val="List Paragraph"/>
    <w:basedOn w:val="1"/>
    <w:qFormat/>
    <w:uiPriority w:val="0"/>
    <w:pPr>
      <w:widowControl/>
      <w:ind w:firstLine="420" w:firstLineChars="200"/>
      <w:jc w:val="left"/>
    </w:pPr>
    <w:rPr>
      <w:rFonts w:ascii="Calibri" w:hAnsi="Calibri" w:eastAsia="宋体" w:cs="Times New Roman"/>
      <w:kern w:val="0"/>
      <w:sz w:val="24"/>
    </w:rPr>
  </w:style>
  <w:style w:type="paragraph" w:customStyle="1" w:styleId="9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95">
    <w:name w:val="采购一级"/>
    <w:basedOn w:val="3"/>
    <w:qFormat/>
    <w:uiPriority w:val="0"/>
    <w:pPr>
      <w:keepLines w:val="0"/>
      <w:tabs>
        <w:tab w:val="left" w:pos="1530"/>
        <w:tab w:val="left" w:pos="3360"/>
      </w:tabs>
      <w:snapToGrid w:val="0"/>
      <w:spacing w:before="120" w:beforeLines="50" w:after="120" w:afterLines="50" w:line="560" w:lineRule="exact"/>
      <w:jc w:val="center"/>
    </w:pPr>
    <w:rPr>
      <w:rFonts w:ascii="方正小标宋简体" w:hAnsi="仿宋" w:eastAsia="方正小标宋简体"/>
      <w:sz w:val="36"/>
      <w:szCs w:val="36"/>
    </w:rPr>
  </w:style>
  <w:style w:type="paragraph" w:customStyle="1" w:styleId="96">
    <w:name w:val="列出段落2"/>
    <w:basedOn w:val="1"/>
    <w:qFormat/>
    <w:uiPriority w:val="34"/>
    <w:pPr>
      <w:ind w:firstLine="420" w:firstLineChars="200"/>
    </w:pPr>
  </w:style>
  <w:style w:type="paragraph" w:customStyle="1" w:styleId="97">
    <w:name w:val="采购三级"/>
    <w:basedOn w:val="1"/>
    <w:qFormat/>
    <w:uiPriority w:val="0"/>
    <w:pPr>
      <w:overflowPunct w:val="0"/>
      <w:spacing w:line="560" w:lineRule="exact"/>
      <w:jc w:val="left"/>
      <w:outlineLvl w:val="1"/>
    </w:pPr>
    <w:rPr>
      <w:rFonts w:ascii="仿宋" w:hAnsi="仿宋" w:eastAsia="方正小标宋简体"/>
      <w:b/>
      <w:sz w:val="32"/>
      <w:szCs w:val="32"/>
    </w:rPr>
  </w:style>
  <w:style w:type="paragraph" w:customStyle="1" w:styleId="98">
    <w:name w:val="图例"/>
    <w:basedOn w:val="1"/>
    <w:qFormat/>
    <w:uiPriority w:val="0"/>
    <w:pPr>
      <w:spacing w:before="120" w:after="120" w:line="360" w:lineRule="auto"/>
      <w:jc w:val="center"/>
    </w:pPr>
    <w:rPr>
      <w:rFonts w:eastAsia="仿宋_GB2312"/>
      <w:b/>
      <w:sz w:val="24"/>
    </w:rPr>
  </w:style>
  <w:style w:type="paragraph" w:customStyle="1" w:styleId="99">
    <w:name w:val="1"/>
    <w:basedOn w:val="1"/>
    <w:qFormat/>
    <w:uiPriority w:val="0"/>
    <w:pPr>
      <w:spacing w:after="120" w:afterLines="50" w:line="360" w:lineRule="auto"/>
      <w:jc w:val="center"/>
    </w:pPr>
    <w:rPr>
      <w:rFonts w:ascii="宋体" w:hAnsi="宋体"/>
      <w:b/>
      <w:sz w:val="3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67" textRotate="1"/>
    <customShpInfo spid="_x0000_s2055"/>
    <customShpInfo spid="_x0000_s2057"/>
    <customShpInfo spid="_x0000_s2068" textRotate="1"/>
    <customShpInfo spid="_x0000_s2069" textRotate="1"/>
    <customShpInfo spid="_x0000_s2070" textRotate="1"/>
    <customShpInfo spid="_x0000_s1027"/>
    <customShpInfo spid="_x0000_s1028"/>
    <customShpInfo spid="_x0000_s1029"/>
    <customShpInfo spid="_x0000_s1030"/>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33552</Words>
  <Characters>35948</Characters>
  <Lines>487</Lines>
  <Paragraphs>137</Paragraphs>
  <TotalTime>9</TotalTime>
  <ScaleCrop>false</ScaleCrop>
  <LinksUpToDate>false</LinksUpToDate>
  <CharactersWithSpaces>40602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宁宁宁呀宁</cp:lastModifiedBy>
  <cp:lastPrinted>2019-01-08T11:06:00Z</cp:lastPrinted>
  <dcterms:modified xsi:type="dcterms:W3CDTF">2022-06-01T10:30:49Z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251F018419504CABA9BB9A8505549B3E</vt:lpwstr>
  </property>
</Properties>
</file>