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134"/>
          <w:tab w:val="left" w:pos="5481"/>
          <w:tab w:val="left" w:pos="5859"/>
        </w:tabs>
        <w:jc w:val="center"/>
        <w:rPr>
          <w:rFonts w:asciiTheme="minorEastAsia" w:hAnsiTheme="minorEastAsia" w:eastAsiaTheme="minorEastAsia" w:cstheme="minorEastAsia"/>
          <w:b/>
          <w:color w:val="000000" w:themeColor="text1"/>
          <w:sz w:val="44"/>
          <w:szCs w:val="20"/>
          <w14:textFill>
            <w14:solidFill>
              <w14:schemeClr w14:val="tx1"/>
            </w14:solidFill>
          </w14:textFill>
        </w:rPr>
      </w:pPr>
    </w:p>
    <w:p>
      <w:pPr>
        <w:adjustRightInd w:val="0"/>
        <w:snapToGrid w:val="0"/>
        <w:spacing w:line="480" w:lineRule="exact"/>
        <w:jc w:val="center"/>
        <w:rPr>
          <w:rFonts w:ascii="宋体"/>
          <w:b/>
          <w:bCs/>
        </w:rPr>
      </w:pPr>
      <w:r>
        <w:rPr>
          <w:rFonts w:hint="eastAsia" w:ascii="宋体" w:hAnsi="宋体"/>
          <w:bCs/>
          <w:sz w:val="48"/>
          <w:szCs w:val="48"/>
        </w:rPr>
        <w:t>招</w:t>
      </w:r>
      <w:r>
        <w:rPr>
          <w:rFonts w:ascii="宋体" w:hAnsi="宋体"/>
          <w:bCs/>
          <w:sz w:val="48"/>
          <w:szCs w:val="48"/>
        </w:rPr>
        <w:t xml:space="preserve"> </w:t>
      </w:r>
      <w:r>
        <w:rPr>
          <w:rFonts w:hint="eastAsia" w:ascii="宋体" w:hAnsi="宋体"/>
          <w:bCs/>
          <w:sz w:val="48"/>
          <w:szCs w:val="48"/>
        </w:rPr>
        <w:t>标</w:t>
      </w:r>
      <w:r>
        <w:rPr>
          <w:rFonts w:ascii="宋体" w:hAnsi="宋体"/>
          <w:bCs/>
          <w:sz w:val="48"/>
          <w:szCs w:val="48"/>
        </w:rPr>
        <w:t xml:space="preserve"> </w:t>
      </w:r>
      <w:r>
        <w:rPr>
          <w:rFonts w:hint="eastAsia" w:ascii="宋体" w:hAnsi="宋体"/>
          <w:bCs/>
          <w:sz w:val="48"/>
          <w:szCs w:val="48"/>
        </w:rPr>
        <w:t>文</w:t>
      </w:r>
      <w:r>
        <w:rPr>
          <w:rFonts w:ascii="宋体" w:hAnsi="宋体"/>
          <w:bCs/>
          <w:sz w:val="48"/>
          <w:szCs w:val="48"/>
        </w:rPr>
        <w:t xml:space="preserve"> </w:t>
      </w:r>
      <w:r>
        <w:rPr>
          <w:rFonts w:hint="eastAsia" w:ascii="宋体" w:hAnsi="宋体"/>
          <w:bCs/>
          <w:sz w:val="48"/>
          <w:szCs w:val="48"/>
        </w:rPr>
        <w:t>件</w:t>
      </w:r>
    </w:p>
    <w:p>
      <w:pPr>
        <w:adjustRightInd w:val="0"/>
        <w:snapToGrid w:val="0"/>
        <w:spacing w:line="480" w:lineRule="exact"/>
        <w:jc w:val="center"/>
        <w:rPr>
          <w:rFonts w:ascii="宋体" w:hAnsi="宋体"/>
          <w:bCs/>
          <w:sz w:val="36"/>
          <w:szCs w:val="36"/>
        </w:rPr>
      </w:pPr>
      <w:r>
        <w:rPr>
          <w:rFonts w:hint="eastAsia" w:ascii="宋体" w:hAnsi="宋体"/>
          <w:bCs/>
          <w:sz w:val="36"/>
          <w:szCs w:val="36"/>
        </w:rPr>
        <w:t>（政府采购货物）</w:t>
      </w:r>
    </w:p>
    <w:p>
      <w:pPr>
        <w:adjustRightInd w:val="0"/>
        <w:snapToGrid w:val="0"/>
        <w:spacing w:line="480" w:lineRule="exact"/>
        <w:jc w:val="center"/>
        <w:rPr>
          <w:rFonts w:ascii="宋体"/>
          <w:bCs/>
          <w:sz w:val="32"/>
          <w:szCs w:val="32"/>
        </w:rPr>
      </w:pPr>
    </w:p>
    <w:p>
      <w:pPr>
        <w:spacing w:before="312" w:beforeLines="100" w:after="312" w:afterLines="100" w:line="360" w:lineRule="auto"/>
        <w:ind w:left="1574" w:hanging="1574" w:hangingChars="492"/>
        <w:jc w:val="left"/>
        <w:rPr>
          <w:rFonts w:ascii="宋体" w:hAnsi="宋体"/>
          <w:bCs/>
          <w:sz w:val="32"/>
        </w:rPr>
      </w:pPr>
      <w:r>
        <w:rPr>
          <w:rFonts w:hint="eastAsia" w:ascii="宋体" w:hAnsi="宋体"/>
          <w:bCs/>
          <w:kern w:val="0"/>
          <w:sz w:val="32"/>
          <w:szCs w:val="32"/>
        </w:rPr>
        <w:t>项目名称：</w:t>
      </w:r>
      <w:r>
        <w:rPr>
          <w:rFonts w:ascii="宋体" w:hAnsi="宋体"/>
          <w:bCs/>
          <w:sz w:val="32"/>
        </w:rPr>
        <w:t>新疆职业大学先进装备制造与运维虚拟仿真示范基地设备采购项目</w:t>
      </w:r>
    </w:p>
    <w:p>
      <w:pPr>
        <w:adjustRightInd w:val="0"/>
        <w:snapToGrid w:val="0"/>
        <w:spacing w:before="312" w:beforeLines="100" w:after="312" w:afterLines="100" w:line="360" w:lineRule="auto"/>
        <w:jc w:val="left"/>
        <w:rPr>
          <w:rFonts w:ascii="宋体"/>
          <w:bCs/>
          <w:kern w:val="0"/>
          <w:sz w:val="32"/>
          <w:szCs w:val="32"/>
        </w:rPr>
      </w:pPr>
      <w:r>
        <w:rPr>
          <w:rFonts w:hint="eastAsia" w:ascii="宋体" w:hAnsi="宋体"/>
          <w:bCs/>
          <w:kern w:val="0"/>
          <w:sz w:val="32"/>
          <w:szCs w:val="32"/>
        </w:rPr>
        <w:t>采购人</w:t>
      </w:r>
      <w:r>
        <w:rPr>
          <w:rFonts w:ascii="宋体" w:hAnsi="宋体"/>
          <w:bCs/>
          <w:kern w:val="0"/>
          <w:sz w:val="32"/>
          <w:szCs w:val="32"/>
        </w:rPr>
        <w:t>(</w:t>
      </w:r>
      <w:r>
        <w:rPr>
          <w:rFonts w:hint="eastAsia" w:ascii="宋体" w:hAnsi="宋体"/>
          <w:bCs/>
          <w:kern w:val="0"/>
          <w:sz w:val="32"/>
          <w:szCs w:val="32"/>
        </w:rPr>
        <w:t>盖章</w:t>
      </w:r>
      <w:r>
        <w:rPr>
          <w:rFonts w:ascii="宋体" w:hAnsi="宋体"/>
          <w:bCs/>
          <w:kern w:val="0"/>
          <w:sz w:val="32"/>
          <w:szCs w:val="32"/>
        </w:rPr>
        <w:t>)</w:t>
      </w:r>
      <w:r>
        <w:rPr>
          <w:rFonts w:hint="eastAsia" w:ascii="宋体" w:hAnsi="宋体"/>
          <w:bCs/>
          <w:kern w:val="0"/>
          <w:sz w:val="32"/>
          <w:szCs w:val="32"/>
        </w:rPr>
        <w:t>：</w:t>
      </w:r>
      <w:r>
        <w:rPr>
          <w:rFonts w:ascii="宋体" w:hAnsi="宋体"/>
          <w:bCs/>
          <w:sz w:val="32"/>
        </w:rPr>
        <w:t>新疆职业大学</w:t>
      </w:r>
    </w:p>
    <w:p>
      <w:pPr>
        <w:adjustRightInd w:val="0"/>
        <w:snapToGrid w:val="0"/>
        <w:spacing w:before="312" w:beforeLines="100" w:after="312" w:afterLines="100" w:line="360" w:lineRule="auto"/>
        <w:jc w:val="left"/>
        <w:rPr>
          <w:rFonts w:ascii="宋体" w:eastAsiaTheme="minorEastAsia"/>
          <w:bCs/>
          <w:sz w:val="32"/>
          <w:szCs w:val="32"/>
        </w:rPr>
      </w:pPr>
      <w:r>
        <w:rPr>
          <w:rFonts w:hint="eastAsia" w:ascii="宋体" w:hAnsi="宋体"/>
          <w:bCs/>
          <w:sz w:val="32"/>
          <w:szCs w:val="32"/>
        </w:rPr>
        <w:t>联</w:t>
      </w:r>
      <w:r>
        <w:rPr>
          <w:rFonts w:ascii="宋体" w:hAnsi="宋体"/>
          <w:bCs/>
          <w:sz w:val="32"/>
          <w:szCs w:val="32"/>
        </w:rPr>
        <w:t xml:space="preserve"> </w:t>
      </w:r>
      <w:r>
        <w:rPr>
          <w:rFonts w:hint="eastAsia" w:ascii="宋体" w:hAnsi="宋体"/>
          <w:bCs/>
          <w:sz w:val="32"/>
          <w:szCs w:val="32"/>
        </w:rPr>
        <w:t>系</w:t>
      </w:r>
      <w:r>
        <w:rPr>
          <w:rFonts w:ascii="宋体" w:hAnsi="宋体"/>
          <w:bCs/>
          <w:sz w:val="32"/>
          <w:szCs w:val="32"/>
        </w:rPr>
        <w:t xml:space="preserve"> </w:t>
      </w:r>
      <w:r>
        <w:rPr>
          <w:rFonts w:hint="eastAsia" w:ascii="宋体" w:hAnsi="宋体"/>
          <w:bCs/>
          <w:sz w:val="32"/>
          <w:szCs w:val="32"/>
        </w:rPr>
        <w:t>人：高老师</w:t>
      </w:r>
      <w:r>
        <w:rPr>
          <w:rFonts w:hint="eastAsia" w:ascii="宋体" w:hAnsi="宋体" w:eastAsia="宋体" w:cs="Times New Roman"/>
          <w:bCs/>
          <w:sz w:val="32"/>
        </w:rPr>
        <w:t>、张老师</w:t>
      </w:r>
    </w:p>
    <w:p>
      <w:pPr>
        <w:adjustRightInd w:val="0"/>
        <w:snapToGrid w:val="0"/>
        <w:spacing w:before="312" w:beforeLines="100" w:after="312" w:afterLines="100" w:line="360" w:lineRule="auto"/>
        <w:jc w:val="left"/>
        <w:rPr>
          <w:rFonts w:hint="eastAsia" w:ascii="宋体" w:eastAsia="宋体"/>
          <w:bCs/>
          <w:sz w:val="32"/>
          <w:szCs w:val="32"/>
          <w:lang w:eastAsia="zh-CN"/>
        </w:rPr>
      </w:pPr>
      <w:r>
        <w:rPr>
          <w:rFonts w:hint="eastAsia" w:ascii="宋体" w:hAnsi="宋体"/>
          <w:bCs/>
          <w:kern w:val="0"/>
          <w:sz w:val="32"/>
          <w:szCs w:val="32"/>
        </w:rPr>
        <w:t>电</w:t>
      </w:r>
      <w:r>
        <w:rPr>
          <w:rFonts w:ascii="宋体" w:hAnsi="宋体"/>
          <w:bCs/>
          <w:kern w:val="0"/>
          <w:sz w:val="32"/>
          <w:szCs w:val="32"/>
        </w:rPr>
        <w:t xml:space="preserve">    </w:t>
      </w:r>
      <w:r>
        <w:rPr>
          <w:rFonts w:hint="eastAsia" w:ascii="宋体" w:hAnsi="宋体"/>
          <w:bCs/>
          <w:kern w:val="0"/>
          <w:sz w:val="32"/>
          <w:szCs w:val="32"/>
        </w:rPr>
        <w:t>话</w:t>
      </w:r>
      <w:r>
        <w:rPr>
          <w:rFonts w:hint="eastAsia" w:ascii="宋体" w:hAnsi="宋体"/>
          <w:bCs/>
          <w:sz w:val="32"/>
          <w:szCs w:val="32"/>
        </w:rPr>
        <w:t>：0991-3785337、</w:t>
      </w:r>
      <w:r>
        <w:rPr>
          <w:rFonts w:hint="eastAsia" w:ascii="宋体" w:hAnsi="宋体"/>
          <w:bCs/>
          <w:sz w:val="32"/>
          <w:szCs w:val="32"/>
          <w:lang w:eastAsia="zh-CN"/>
        </w:rPr>
        <w:t>15099511675</w:t>
      </w:r>
    </w:p>
    <w:p>
      <w:pPr>
        <w:adjustRightInd w:val="0"/>
        <w:snapToGrid w:val="0"/>
        <w:spacing w:line="360" w:lineRule="auto"/>
        <w:jc w:val="left"/>
        <w:rPr>
          <w:rFonts w:ascii="宋体"/>
          <w:bCs/>
          <w:kern w:val="0"/>
          <w:sz w:val="32"/>
          <w:szCs w:val="32"/>
        </w:rPr>
      </w:pPr>
      <w:r>
        <w:rPr>
          <w:rFonts w:ascii="宋体" w:hAnsi="宋体"/>
          <w:bCs/>
          <w:kern w:val="0"/>
          <w:sz w:val="32"/>
          <w:szCs w:val="32"/>
        </w:rPr>
        <w:t>—————————————————————————</w:t>
      </w:r>
    </w:p>
    <w:p>
      <w:pPr>
        <w:adjustRightInd w:val="0"/>
        <w:snapToGrid w:val="0"/>
        <w:spacing w:before="312" w:beforeLines="100" w:after="312" w:afterLines="100" w:line="360" w:lineRule="auto"/>
        <w:jc w:val="left"/>
        <w:rPr>
          <w:rFonts w:ascii="宋体" w:eastAsiaTheme="minorEastAsia"/>
          <w:bCs/>
          <w:sz w:val="32"/>
          <w:szCs w:val="32"/>
        </w:rPr>
      </w:pPr>
      <w:r>
        <w:rPr>
          <w:rFonts w:hint="eastAsia" w:ascii="宋体" w:hAnsi="宋体"/>
          <w:bCs/>
          <w:sz w:val="32"/>
          <w:szCs w:val="32"/>
        </w:rPr>
        <w:t>采购代理机构</w:t>
      </w:r>
      <w:r>
        <w:rPr>
          <w:rFonts w:ascii="宋体" w:hAnsi="宋体"/>
          <w:sz w:val="32"/>
          <w:szCs w:val="32"/>
        </w:rPr>
        <w:t>(</w:t>
      </w:r>
      <w:r>
        <w:rPr>
          <w:rFonts w:hint="eastAsia" w:ascii="宋体" w:hAnsi="宋体"/>
          <w:sz w:val="32"/>
          <w:szCs w:val="32"/>
        </w:rPr>
        <w:t>盖章</w:t>
      </w:r>
      <w:r>
        <w:rPr>
          <w:rFonts w:ascii="宋体" w:hAnsi="宋体"/>
          <w:sz w:val="32"/>
          <w:szCs w:val="32"/>
        </w:rPr>
        <w:t>)</w:t>
      </w:r>
      <w:r>
        <w:rPr>
          <w:rFonts w:hint="eastAsia" w:ascii="宋体" w:hAnsi="宋体"/>
          <w:bCs/>
          <w:sz w:val="32"/>
          <w:szCs w:val="32"/>
        </w:rPr>
        <w:t>：新疆君凯杰工程项目管理有限公司</w:t>
      </w:r>
    </w:p>
    <w:p>
      <w:pPr>
        <w:adjustRightInd w:val="0"/>
        <w:snapToGrid w:val="0"/>
        <w:spacing w:before="312" w:beforeLines="100" w:after="312" w:afterLines="100" w:line="360" w:lineRule="auto"/>
        <w:jc w:val="left"/>
        <w:rPr>
          <w:rFonts w:ascii="宋体"/>
          <w:bCs/>
          <w:sz w:val="32"/>
          <w:szCs w:val="32"/>
        </w:rPr>
      </w:pPr>
      <w:r>
        <w:rPr>
          <w:rFonts w:hint="eastAsia" w:ascii="宋体" w:hAnsi="宋体"/>
          <w:bCs/>
          <w:sz w:val="32"/>
          <w:szCs w:val="32"/>
        </w:rPr>
        <w:t>法定代表人</w:t>
      </w:r>
      <w:r>
        <w:rPr>
          <w:rFonts w:ascii="宋体" w:hAnsi="宋体"/>
          <w:bCs/>
          <w:sz w:val="32"/>
          <w:szCs w:val="32"/>
        </w:rPr>
        <w:t>(</w:t>
      </w:r>
      <w:r>
        <w:rPr>
          <w:rFonts w:hint="eastAsia" w:ascii="宋体" w:hAnsi="宋体"/>
          <w:bCs/>
          <w:sz w:val="32"/>
          <w:szCs w:val="32"/>
        </w:rPr>
        <w:t>盖章</w:t>
      </w:r>
      <w:r>
        <w:rPr>
          <w:rFonts w:ascii="宋体" w:hAnsi="宋体"/>
          <w:bCs/>
          <w:sz w:val="32"/>
          <w:szCs w:val="32"/>
        </w:rPr>
        <w:t>)</w:t>
      </w:r>
      <w:r>
        <w:rPr>
          <w:rFonts w:hint="eastAsia" w:ascii="宋体" w:hAnsi="宋体"/>
          <w:bCs/>
          <w:sz w:val="32"/>
          <w:szCs w:val="32"/>
        </w:rPr>
        <w:t>：吕砚君</w:t>
      </w:r>
    </w:p>
    <w:p>
      <w:pPr>
        <w:adjustRightInd w:val="0"/>
        <w:snapToGrid w:val="0"/>
        <w:spacing w:before="312" w:beforeLines="100" w:after="312" w:afterLines="100" w:line="360" w:lineRule="auto"/>
        <w:jc w:val="left"/>
        <w:rPr>
          <w:rFonts w:ascii="宋体" w:eastAsiaTheme="minorEastAsia"/>
          <w:bCs/>
          <w:sz w:val="32"/>
          <w:szCs w:val="32"/>
        </w:rPr>
      </w:pPr>
      <w:r>
        <w:rPr>
          <w:rFonts w:hint="eastAsia" w:ascii="宋体" w:hAnsi="宋体"/>
          <w:bCs/>
          <w:sz w:val="32"/>
          <w:szCs w:val="32"/>
        </w:rPr>
        <w:t>联</w:t>
      </w:r>
      <w:r>
        <w:rPr>
          <w:rFonts w:ascii="宋体" w:hAnsi="宋体"/>
          <w:bCs/>
          <w:sz w:val="32"/>
          <w:szCs w:val="32"/>
        </w:rPr>
        <w:t xml:space="preserve"> </w:t>
      </w:r>
      <w:r>
        <w:rPr>
          <w:rFonts w:hint="eastAsia" w:ascii="宋体" w:hAnsi="宋体"/>
          <w:bCs/>
          <w:sz w:val="32"/>
          <w:szCs w:val="32"/>
        </w:rPr>
        <w:t>系</w:t>
      </w:r>
      <w:r>
        <w:rPr>
          <w:rFonts w:ascii="宋体" w:hAnsi="宋体"/>
          <w:bCs/>
          <w:sz w:val="32"/>
          <w:szCs w:val="32"/>
        </w:rPr>
        <w:t xml:space="preserve"> </w:t>
      </w:r>
      <w:r>
        <w:rPr>
          <w:rFonts w:hint="eastAsia" w:ascii="宋体" w:hAnsi="宋体"/>
          <w:bCs/>
          <w:sz w:val="32"/>
          <w:szCs w:val="32"/>
        </w:rPr>
        <w:t xml:space="preserve">人：陈晨 </w:t>
      </w:r>
    </w:p>
    <w:p>
      <w:pPr>
        <w:adjustRightInd w:val="0"/>
        <w:snapToGrid w:val="0"/>
        <w:spacing w:before="312" w:beforeLines="100" w:after="312" w:afterLines="100" w:line="360" w:lineRule="auto"/>
        <w:jc w:val="left"/>
        <w:rPr>
          <w:rFonts w:ascii="宋体" w:eastAsiaTheme="minorEastAsia"/>
          <w:bCs/>
          <w:sz w:val="32"/>
          <w:szCs w:val="32"/>
        </w:rPr>
      </w:pPr>
      <w:r>
        <w:rPr>
          <w:rFonts w:hint="eastAsia" w:ascii="宋体" w:hAnsi="宋体"/>
          <w:bCs/>
          <w:kern w:val="0"/>
          <w:sz w:val="32"/>
          <w:szCs w:val="32"/>
        </w:rPr>
        <w:t>电</w:t>
      </w:r>
      <w:r>
        <w:rPr>
          <w:rFonts w:ascii="宋体" w:hAnsi="宋体"/>
          <w:bCs/>
          <w:kern w:val="0"/>
          <w:sz w:val="32"/>
          <w:szCs w:val="32"/>
        </w:rPr>
        <w:t xml:space="preserve">    </w:t>
      </w:r>
      <w:r>
        <w:rPr>
          <w:rFonts w:hint="eastAsia" w:ascii="宋体" w:hAnsi="宋体"/>
          <w:bCs/>
          <w:kern w:val="0"/>
          <w:sz w:val="32"/>
          <w:szCs w:val="32"/>
        </w:rPr>
        <w:t>话</w:t>
      </w:r>
      <w:r>
        <w:rPr>
          <w:rFonts w:hint="eastAsia" w:ascii="宋体" w:hAnsi="宋体"/>
          <w:bCs/>
          <w:sz w:val="32"/>
          <w:szCs w:val="32"/>
        </w:rPr>
        <w:t xml:space="preserve">：13201097601  </w:t>
      </w:r>
    </w:p>
    <w:p>
      <w:pPr>
        <w:pStyle w:val="46"/>
        <w:widowControl/>
        <w:spacing w:before="312" w:beforeLines="100" w:after="312" w:afterLines="100" w:line="360" w:lineRule="auto"/>
        <w:ind w:left="0" w:leftChars="0" w:firstLine="0" w:firstLineChars="0"/>
        <w:jc w:val="left"/>
        <w:rPr>
          <w:rStyle w:val="150"/>
          <w:rFonts w:asciiTheme="minorEastAsia" w:hAnsiTheme="minorEastAsia" w:eastAsiaTheme="minorEastAsia" w:cstheme="minorEastAsia"/>
          <w:b/>
          <w:color w:val="000000" w:themeColor="text1"/>
          <w:sz w:val="32"/>
          <w14:textFill>
            <w14:solidFill>
              <w14:schemeClr w14:val="tx1"/>
            </w14:solidFill>
          </w14:textFill>
        </w:rPr>
      </w:pPr>
      <w:r>
        <w:rPr>
          <w:rFonts w:hint="eastAsia" w:ascii="宋体" w:hAnsi="宋体"/>
          <w:bCs/>
          <w:sz w:val="32"/>
          <w:szCs w:val="32"/>
        </w:rPr>
        <w:t>详细地址：乌鲁木齐市会展大道1119号大成尔雅A座901室</w:t>
      </w:r>
    </w:p>
    <w:p>
      <w:pPr>
        <w:pStyle w:val="46"/>
        <w:widowControl/>
        <w:spacing w:line="240" w:lineRule="auto"/>
        <w:ind w:left="0" w:leftChars="0" w:firstLineChars="0"/>
        <w:jc w:val="center"/>
        <w:rPr>
          <w:rStyle w:val="150"/>
          <w:rFonts w:asciiTheme="minorEastAsia" w:hAnsiTheme="minorEastAsia" w:eastAsiaTheme="minorEastAsia" w:cstheme="minorEastAsia"/>
          <w:b/>
          <w:color w:val="000000" w:themeColor="text1"/>
          <w:sz w:val="32"/>
          <w14:textFill>
            <w14:solidFill>
              <w14:schemeClr w14:val="tx1"/>
            </w14:solidFill>
          </w14:textFill>
        </w:rPr>
      </w:pPr>
    </w:p>
    <w:p>
      <w:pPr>
        <w:rPr>
          <w:rFonts w:asciiTheme="minorEastAsia" w:hAnsiTheme="minorEastAsia" w:eastAsiaTheme="minorEastAsia" w:cstheme="minorEastAsia"/>
          <w:b/>
          <w:color w:val="000000" w:themeColor="text1"/>
          <w:sz w:val="28"/>
          <w:szCs w:val="28"/>
          <w:lang w:val="zh-CN"/>
          <w14:textFill>
            <w14:solidFill>
              <w14:schemeClr w14:val="tx1"/>
            </w14:solidFill>
          </w14:textFill>
        </w:rPr>
      </w:pPr>
      <w:r>
        <w:rPr>
          <w:rFonts w:hint="eastAsia" w:asciiTheme="minorEastAsia" w:hAnsiTheme="minorEastAsia" w:eastAsiaTheme="minorEastAsia" w:cstheme="minorEastAsia"/>
          <w:b/>
          <w:color w:val="000000" w:themeColor="text1"/>
          <w:sz w:val="28"/>
          <w:szCs w:val="28"/>
          <w:lang w:val="zh-CN"/>
          <w14:textFill>
            <w14:solidFill>
              <w14:schemeClr w14:val="tx1"/>
            </w14:solidFill>
          </w14:textFill>
        </w:rPr>
        <w:br w:type="page"/>
      </w:r>
    </w:p>
    <w:p>
      <w:pPr>
        <w:spacing w:line="360" w:lineRule="auto"/>
        <w:ind w:firstLine="4357" w:firstLineChars="1550"/>
        <w:rPr>
          <w:rFonts w:asciiTheme="minorEastAsia" w:hAnsiTheme="minorEastAsia" w:eastAsiaTheme="minorEastAsia" w:cstheme="minorEastAsia"/>
          <w:b/>
          <w:color w:val="000000" w:themeColor="text1"/>
          <w:sz w:val="28"/>
          <w:szCs w:val="28"/>
          <w14:textFill>
            <w14:solidFill>
              <w14:schemeClr w14:val="tx1"/>
            </w14:solidFill>
          </w14:textFill>
        </w:rPr>
      </w:pPr>
      <w:r>
        <w:rPr>
          <w:rFonts w:hint="eastAsia" w:asciiTheme="minorEastAsia" w:hAnsiTheme="minorEastAsia" w:eastAsiaTheme="minorEastAsia" w:cstheme="minorEastAsia"/>
          <w:b/>
          <w:color w:val="000000" w:themeColor="text1"/>
          <w:sz w:val="28"/>
          <w:szCs w:val="28"/>
          <w:lang w:val="zh-CN"/>
          <w14:textFill>
            <w14:solidFill>
              <w14:schemeClr w14:val="tx1"/>
            </w14:solidFill>
          </w14:textFill>
        </w:rPr>
        <w:t>目 录</w:t>
      </w:r>
    </w:p>
    <w:p>
      <w:pPr>
        <w:pStyle w:val="31"/>
        <w:tabs>
          <w:tab w:val="right" w:leader="dot" w:pos="8312"/>
          <w:tab w:val="clear" w:pos="8302"/>
        </w:tabs>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fldChar w:fldCharType="begin"/>
      </w:r>
      <w:r>
        <w:rPr>
          <w:rFonts w:hint="eastAsia" w:asciiTheme="minorEastAsia" w:hAnsiTheme="minorEastAsia" w:eastAsiaTheme="minorEastAsia" w:cstheme="minorEastAsia"/>
          <w:color w:val="000000" w:themeColor="text1"/>
          <w14:textFill>
            <w14:solidFill>
              <w14:schemeClr w14:val="tx1"/>
            </w14:solidFill>
          </w14:textFill>
        </w:rPr>
        <w:instrText xml:space="preserve"> TOC \o "1-3" \u </w:instrText>
      </w:r>
      <w:r>
        <w:rPr>
          <w:rFonts w:hint="eastAsia" w:asciiTheme="minorEastAsia" w:hAnsiTheme="minorEastAsia" w:eastAsiaTheme="minorEastAsia" w:cstheme="minorEastAsia"/>
          <w:color w:val="000000" w:themeColor="text1"/>
          <w14:textFill>
            <w14:solidFill>
              <w14:schemeClr w14:val="tx1"/>
            </w14:solidFill>
          </w14:textFill>
        </w:rPr>
        <w:fldChar w:fldCharType="separate"/>
      </w:r>
      <w:r>
        <w:rPr>
          <w:rFonts w:hint="eastAsia" w:asciiTheme="minorEastAsia" w:hAnsiTheme="minorEastAsia" w:eastAsiaTheme="minorEastAsia" w:cstheme="minorEastAsia"/>
          <w:color w:val="000000" w:themeColor="text1"/>
          <w14:textFill>
            <w14:solidFill>
              <w14:schemeClr w14:val="tx1"/>
            </w14:solidFill>
          </w14:textFill>
        </w:rPr>
        <w:t>第一部分  招标公告</w:t>
      </w:r>
      <w:r>
        <w:rPr>
          <w:rFonts w:hint="eastAsia" w:asciiTheme="minorEastAsia" w:hAnsiTheme="minorEastAsia" w:eastAsiaTheme="minorEastAsia" w:cstheme="minorEastAsia"/>
          <w:color w:val="000000" w:themeColor="text1"/>
          <w14:textFill>
            <w14:solidFill>
              <w14:schemeClr w14:val="tx1"/>
            </w14:solidFill>
          </w14:textFill>
        </w:rPr>
        <w:tab/>
      </w:r>
      <w:r>
        <w:rPr>
          <w:rFonts w:hint="eastAsia" w:asciiTheme="minorEastAsia" w:hAnsiTheme="minorEastAsia" w:eastAsiaTheme="minorEastAsia" w:cstheme="minorEastAsia"/>
          <w:color w:val="000000" w:themeColor="text1"/>
          <w14:textFill>
            <w14:solidFill>
              <w14:schemeClr w14:val="tx1"/>
            </w14:solidFill>
          </w14:textFill>
        </w:rPr>
        <w:fldChar w:fldCharType="begin"/>
      </w:r>
      <w:r>
        <w:rPr>
          <w:rFonts w:hint="eastAsia" w:asciiTheme="minorEastAsia" w:hAnsiTheme="minorEastAsia" w:eastAsiaTheme="minorEastAsia" w:cstheme="minorEastAsia"/>
          <w:color w:val="000000" w:themeColor="text1"/>
          <w14:textFill>
            <w14:solidFill>
              <w14:schemeClr w14:val="tx1"/>
            </w14:solidFill>
          </w14:textFill>
        </w:rPr>
        <w:instrText xml:space="preserve"> PAGEREF _Toc4964 \h </w:instrText>
      </w:r>
      <w:r>
        <w:rPr>
          <w:rFonts w:hint="eastAsia" w:asciiTheme="minorEastAsia" w:hAnsiTheme="minorEastAsia" w:eastAsiaTheme="minorEastAsia" w:cstheme="minorEastAsia"/>
          <w:color w:val="000000" w:themeColor="text1"/>
          <w14:textFill>
            <w14:solidFill>
              <w14:schemeClr w14:val="tx1"/>
            </w14:solidFill>
          </w14:textFill>
        </w:rPr>
        <w:fldChar w:fldCharType="separate"/>
      </w:r>
      <w:r>
        <w:rPr>
          <w:rFonts w:hint="eastAsia" w:asciiTheme="minorEastAsia" w:hAnsiTheme="minorEastAsia" w:eastAsiaTheme="minorEastAsia" w:cstheme="minorEastAsia"/>
          <w:color w:val="000000" w:themeColor="text1"/>
          <w14:textFill>
            <w14:solidFill>
              <w14:schemeClr w14:val="tx1"/>
            </w14:solidFill>
          </w14:textFill>
        </w:rPr>
        <w:t>1</w:t>
      </w:r>
      <w:r>
        <w:rPr>
          <w:rFonts w:hint="eastAsia" w:asciiTheme="minorEastAsia" w:hAnsiTheme="minorEastAsia" w:eastAsiaTheme="minorEastAsia" w:cstheme="minorEastAsia"/>
          <w:color w:val="000000" w:themeColor="text1"/>
          <w14:textFill>
            <w14:solidFill>
              <w14:schemeClr w14:val="tx1"/>
            </w14:solidFill>
          </w14:textFill>
        </w:rPr>
        <w:fldChar w:fldCharType="end"/>
      </w:r>
    </w:p>
    <w:p>
      <w:pPr>
        <w:pStyle w:val="31"/>
        <w:tabs>
          <w:tab w:val="right" w:leader="dot" w:pos="8312"/>
          <w:tab w:val="clear" w:pos="8302"/>
        </w:tabs>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第二部分  投标人须知</w:t>
      </w:r>
      <w:r>
        <w:rPr>
          <w:rFonts w:hint="eastAsia" w:asciiTheme="minorEastAsia" w:hAnsiTheme="minorEastAsia" w:eastAsiaTheme="minorEastAsia" w:cstheme="minorEastAsia"/>
          <w:color w:val="000000" w:themeColor="text1"/>
          <w14:textFill>
            <w14:solidFill>
              <w14:schemeClr w14:val="tx1"/>
            </w14:solidFill>
          </w14:textFill>
        </w:rPr>
        <w:tab/>
      </w:r>
      <w:r>
        <w:rPr>
          <w:rFonts w:hint="eastAsia" w:asciiTheme="minorEastAsia" w:hAnsiTheme="minorEastAsia" w:eastAsiaTheme="minorEastAsia" w:cstheme="minorEastAsia"/>
          <w:color w:val="000000" w:themeColor="text1"/>
          <w14:textFill>
            <w14:solidFill>
              <w14:schemeClr w14:val="tx1"/>
            </w14:solidFill>
          </w14:textFill>
        </w:rPr>
        <w:fldChar w:fldCharType="begin"/>
      </w:r>
      <w:r>
        <w:rPr>
          <w:rFonts w:hint="eastAsia" w:asciiTheme="minorEastAsia" w:hAnsiTheme="minorEastAsia" w:eastAsiaTheme="minorEastAsia" w:cstheme="minorEastAsia"/>
          <w:color w:val="000000" w:themeColor="text1"/>
          <w14:textFill>
            <w14:solidFill>
              <w14:schemeClr w14:val="tx1"/>
            </w14:solidFill>
          </w14:textFill>
        </w:rPr>
        <w:instrText xml:space="preserve"> PAGEREF _Toc22314 \h </w:instrText>
      </w:r>
      <w:r>
        <w:rPr>
          <w:rFonts w:hint="eastAsia" w:asciiTheme="minorEastAsia" w:hAnsiTheme="minorEastAsia" w:eastAsiaTheme="minorEastAsia" w:cstheme="minorEastAsia"/>
          <w:color w:val="000000" w:themeColor="text1"/>
          <w14:textFill>
            <w14:solidFill>
              <w14:schemeClr w14:val="tx1"/>
            </w14:solidFill>
          </w14:textFill>
        </w:rPr>
        <w:fldChar w:fldCharType="separate"/>
      </w:r>
      <w:r>
        <w:rPr>
          <w:rFonts w:hint="eastAsia" w:asciiTheme="minorEastAsia" w:hAnsiTheme="minorEastAsia" w:eastAsiaTheme="minorEastAsia" w:cstheme="minorEastAsia"/>
          <w:color w:val="000000" w:themeColor="text1"/>
          <w14:textFill>
            <w14:solidFill>
              <w14:schemeClr w14:val="tx1"/>
            </w14:solidFill>
          </w14:textFill>
        </w:rPr>
        <w:t>4</w:t>
      </w:r>
      <w:r>
        <w:rPr>
          <w:rFonts w:hint="eastAsia" w:asciiTheme="minorEastAsia" w:hAnsiTheme="minorEastAsia" w:eastAsiaTheme="minorEastAsia" w:cstheme="minorEastAsia"/>
          <w:color w:val="000000" w:themeColor="text1"/>
          <w14:textFill>
            <w14:solidFill>
              <w14:schemeClr w14:val="tx1"/>
            </w14:solidFill>
          </w14:textFill>
        </w:rPr>
        <w:fldChar w:fldCharType="end"/>
      </w:r>
    </w:p>
    <w:p>
      <w:pPr>
        <w:pStyle w:val="33"/>
        <w:tabs>
          <w:tab w:val="right" w:leader="dot" w:pos="8312"/>
        </w:tabs>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szCs w:val="28"/>
          <w14:textFill>
            <w14:solidFill>
              <w14:schemeClr w14:val="tx1"/>
            </w14:solidFill>
          </w14:textFill>
        </w:rPr>
        <w:t>投标人须知前附表</w:t>
      </w:r>
      <w:r>
        <w:rPr>
          <w:rFonts w:hint="eastAsia" w:asciiTheme="minorEastAsia" w:hAnsiTheme="minorEastAsia" w:eastAsiaTheme="minorEastAsia" w:cstheme="minorEastAsia"/>
          <w:color w:val="000000" w:themeColor="text1"/>
          <w14:textFill>
            <w14:solidFill>
              <w14:schemeClr w14:val="tx1"/>
            </w14:solidFill>
          </w14:textFill>
        </w:rPr>
        <w:tab/>
      </w:r>
      <w:r>
        <w:rPr>
          <w:rFonts w:hint="eastAsia" w:asciiTheme="minorEastAsia" w:hAnsiTheme="minorEastAsia" w:eastAsiaTheme="minorEastAsia" w:cstheme="minorEastAsia"/>
          <w:color w:val="000000" w:themeColor="text1"/>
          <w14:textFill>
            <w14:solidFill>
              <w14:schemeClr w14:val="tx1"/>
            </w14:solidFill>
          </w14:textFill>
        </w:rPr>
        <w:fldChar w:fldCharType="begin"/>
      </w:r>
      <w:r>
        <w:rPr>
          <w:rFonts w:hint="eastAsia" w:asciiTheme="minorEastAsia" w:hAnsiTheme="minorEastAsia" w:eastAsiaTheme="minorEastAsia" w:cstheme="minorEastAsia"/>
          <w:color w:val="000000" w:themeColor="text1"/>
          <w14:textFill>
            <w14:solidFill>
              <w14:schemeClr w14:val="tx1"/>
            </w14:solidFill>
          </w14:textFill>
        </w:rPr>
        <w:instrText xml:space="preserve"> PAGEREF _Toc11613 \h </w:instrText>
      </w:r>
      <w:r>
        <w:rPr>
          <w:rFonts w:hint="eastAsia" w:asciiTheme="minorEastAsia" w:hAnsiTheme="minorEastAsia" w:eastAsiaTheme="minorEastAsia" w:cstheme="minorEastAsia"/>
          <w:color w:val="000000" w:themeColor="text1"/>
          <w14:textFill>
            <w14:solidFill>
              <w14:schemeClr w14:val="tx1"/>
            </w14:solidFill>
          </w14:textFill>
        </w:rPr>
        <w:fldChar w:fldCharType="separate"/>
      </w:r>
      <w:r>
        <w:rPr>
          <w:rFonts w:hint="eastAsia" w:asciiTheme="minorEastAsia" w:hAnsiTheme="minorEastAsia" w:eastAsiaTheme="minorEastAsia" w:cstheme="minorEastAsia"/>
          <w:color w:val="000000" w:themeColor="text1"/>
          <w14:textFill>
            <w14:solidFill>
              <w14:schemeClr w14:val="tx1"/>
            </w14:solidFill>
          </w14:textFill>
        </w:rPr>
        <w:t>4</w:t>
      </w:r>
      <w:r>
        <w:rPr>
          <w:rFonts w:hint="eastAsia" w:asciiTheme="minorEastAsia" w:hAnsiTheme="minorEastAsia" w:eastAsiaTheme="minorEastAsia" w:cstheme="minorEastAsia"/>
          <w:color w:val="000000" w:themeColor="text1"/>
          <w14:textFill>
            <w14:solidFill>
              <w14:schemeClr w14:val="tx1"/>
            </w14:solidFill>
          </w14:textFill>
        </w:rPr>
        <w:fldChar w:fldCharType="end"/>
      </w:r>
    </w:p>
    <w:p>
      <w:pPr>
        <w:pStyle w:val="33"/>
        <w:tabs>
          <w:tab w:val="right" w:leader="dot" w:pos="8312"/>
        </w:tabs>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szCs w:val="28"/>
          <w14:textFill>
            <w14:solidFill>
              <w14:schemeClr w14:val="tx1"/>
            </w14:solidFill>
          </w14:textFill>
        </w:rPr>
        <w:t>投标人须知正文部分</w:t>
      </w:r>
      <w:r>
        <w:rPr>
          <w:rFonts w:hint="eastAsia" w:asciiTheme="minorEastAsia" w:hAnsiTheme="minorEastAsia" w:eastAsiaTheme="minorEastAsia" w:cstheme="minorEastAsia"/>
          <w:color w:val="000000" w:themeColor="text1"/>
          <w14:textFill>
            <w14:solidFill>
              <w14:schemeClr w14:val="tx1"/>
            </w14:solidFill>
          </w14:textFill>
        </w:rPr>
        <w:tab/>
      </w:r>
      <w:r>
        <w:rPr>
          <w:rFonts w:hint="eastAsia" w:asciiTheme="minorEastAsia" w:hAnsiTheme="minorEastAsia" w:eastAsiaTheme="minorEastAsia" w:cstheme="minorEastAsia"/>
          <w:color w:val="000000" w:themeColor="text1"/>
          <w14:textFill>
            <w14:solidFill>
              <w14:schemeClr w14:val="tx1"/>
            </w14:solidFill>
          </w14:textFill>
        </w:rPr>
        <w:fldChar w:fldCharType="begin"/>
      </w:r>
      <w:r>
        <w:rPr>
          <w:rFonts w:hint="eastAsia" w:asciiTheme="minorEastAsia" w:hAnsiTheme="minorEastAsia" w:eastAsiaTheme="minorEastAsia" w:cstheme="minorEastAsia"/>
          <w:color w:val="000000" w:themeColor="text1"/>
          <w14:textFill>
            <w14:solidFill>
              <w14:schemeClr w14:val="tx1"/>
            </w14:solidFill>
          </w14:textFill>
        </w:rPr>
        <w:instrText xml:space="preserve"> PAGEREF _Toc20770 \h </w:instrText>
      </w:r>
      <w:r>
        <w:rPr>
          <w:rFonts w:hint="eastAsia" w:asciiTheme="minorEastAsia" w:hAnsiTheme="minorEastAsia" w:eastAsiaTheme="minorEastAsia" w:cstheme="minorEastAsia"/>
          <w:color w:val="000000" w:themeColor="text1"/>
          <w14:textFill>
            <w14:solidFill>
              <w14:schemeClr w14:val="tx1"/>
            </w14:solidFill>
          </w14:textFill>
        </w:rPr>
        <w:fldChar w:fldCharType="separate"/>
      </w:r>
      <w:r>
        <w:rPr>
          <w:rFonts w:hint="eastAsia" w:asciiTheme="minorEastAsia" w:hAnsiTheme="minorEastAsia" w:eastAsiaTheme="minorEastAsia" w:cstheme="minorEastAsia"/>
          <w:color w:val="000000" w:themeColor="text1"/>
          <w14:textFill>
            <w14:solidFill>
              <w14:schemeClr w14:val="tx1"/>
            </w14:solidFill>
          </w14:textFill>
        </w:rPr>
        <w:t>8</w:t>
      </w:r>
      <w:r>
        <w:rPr>
          <w:rFonts w:hint="eastAsia" w:asciiTheme="minorEastAsia" w:hAnsiTheme="minorEastAsia" w:eastAsiaTheme="minorEastAsia" w:cstheme="minorEastAsia"/>
          <w:color w:val="000000" w:themeColor="text1"/>
          <w14:textFill>
            <w14:solidFill>
              <w14:schemeClr w14:val="tx1"/>
            </w14:solidFill>
          </w14:textFill>
        </w:rPr>
        <w:fldChar w:fldCharType="end"/>
      </w:r>
    </w:p>
    <w:p>
      <w:pPr>
        <w:pStyle w:val="24"/>
        <w:tabs>
          <w:tab w:val="right" w:leader="dot" w:pos="8312"/>
        </w:tabs>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szCs w:val="24"/>
          <w14:textFill>
            <w14:solidFill>
              <w14:schemeClr w14:val="tx1"/>
            </w14:solidFill>
          </w14:textFill>
        </w:rPr>
        <w:t>一、总则</w:t>
      </w:r>
      <w:r>
        <w:rPr>
          <w:rFonts w:hint="eastAsia" w:asciiTheme="minorEastAsia" w:hAnsiTheme="minorEastAsia" w:eastAsiaTheme="minorEastAsia" w:cstheme="minorEastAsia"/>
          <w:color w:val="000000" w:themeColor="text1"/>
          <w14:textFill>
            <w14:solidFill>
              <w14:schemeClr w14:val="tx1"/>
            </w14:solidFill>
          </w14:textFill>
        </w:rPr>
        <w:tab/>
      </w:r>
      <w:r>
        <w:rPr>
          <w:rFonts w:hint="eastAsia" w:asciiTheme="minorEastAsia" w:hAnsiTheme="minorEastAsia" w:eastAsiaTheme="minorEastAsia" w:cstheme="minorEastAsia"/>
          <w:color w:val="000000" w:themeColor="text1"/>
          <w14:textFill>
            <w14:solidFill>
              <w14:schemeClr w14:val="tx1"/>
            </w14:solidFill>
          </w14:textFill>
        </w:rPr>
        <w:fldChar w:fldCharType="begin"/>
      </w:r>
      <w:r>
        <w:rPr>
          <w:rFonts w:hint="eastAsia" w:asciiTheme="minorEastAsia" w:hAnsiTheme="minorEastAsia" w:eastAsiaTheme="minorEastAsia" w:cstheme="minorEastAsia"/>
          <w:color w:val="000000" w:themeColor="text1"/>
          <w14:textFill>
            <w14:solidFill>
              <w14:schemeClr w14:val="tx1"/>
            </w14:solidFill>
          </w14:textFill>
        </w:rPr>
        <w:instrText xml:space="preserve"> PAGEREF _Toc4585 \h </w:instrText>
      </w:r>
      <w:r>
        <w:rPr>
          <w:rFonts w:hint="eastAsia" w:asciiTheme="minorEastAsia" w:hAnsiTheme="minorEastAsia" w:eastAsiaTheme="minorEastAsia" w:cstheme="minorEastAsia"/>
          <w:color w:val="000000" w:themeColor="text1"/>
          <w14:textFill>
            <w14:solidFill>
              <w14:schemeClr w14:val="tx1"/>
            </w14:solidFill>
          </w14:textFill>
        </w:rPr>
        <w:fldChar w:fldCharType="separate"/>
      </w:r>
      <w:r>
        <w:rPr>
          <w:rFonts w:hint="eastAsia" w:asciiTheme="minorEastAsia" w:hAnsiTheme="minorEastAsia" w:eastAsiaTheme="minorEastAsia" w:cstheme="minorEastAsia"/>
          <w:color w:val="000000" w:themeColor="text1"/>
          <w14:textFill>
            <w14:solidFill>
              <w14:schemeClr w14:val="tx1"/>
            </w14:solidFill>
          </w14:textFill>
        </w:rPr>
        <w:t>8</w:t>
      </w:r>
      <w:r>
        <w:rPr>
          <w:rFonts w:hint="eastAsia" w:asciiTheme="minorEastAsia" w:hAnsiTheme="minorEastAsia" w:eastAsiaTheme="minorEastAsia" w:cstheme="minorEastAsia"/>
          <w:color w:val="000000" w:themeColor="text1"/>
          <w14:textFill>
            <w14:solidFill>
              <w14:schemeClr w14:val="tx1"/>
            </w14:solidFill>
          </w14:textFill>
        </w:rPr>
        <w:fldChar w:fldCharType="end"/>
      </w:r>
    </w:p>
    <w:p>
      <w:pPr>
        <w:pStyle w:val="24"/>
        <w:tabs>
          <w:tab w:val="right" w:leader="dot" w:pos="8312"/>
        </w:tabs>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szCs w:val="24"/>
          <w14:textFill>
            <w14:solidFill>
              <w14:schemeClr w14:val="tx1"/>
            </w14:solidFill>
          </w14:textFill>
        </w:rPr>
        <w:t>二、招标文件</w:t>
      </w:r>
      <w:r>
        <w:rPr>
          <w:rFonts w:hint="eastAsia" w:asciiTheme="minorEastAsia" w:hAnsiTheme="minorEastAsia" w:eastAsiaTheme="minorEastAsia" w:cstheme="minorEastAsia"/>
          <w:color w:val="000000" w:themeColor="text1"/>
          <w14:textFill>
            <w14:solidFill>
              <w14:schemeClr w14:val="tx1"/>
            </w14:solidFill>
          </w14:textFill>
        </w:rPr>
        <w:tab/>
      </w:r>
      <w:r>
        <w:rPr>
          <w:rFonts w:hint="eastAsia" w:asciiTheme="minorEastAsia" w:hAnsiTheme="minorEastAsia" w:eastAsiaTheme="minorEastAsia" w:cstheme="minorEastAsia"/>
          <w:color w:val="000000" w:themeColor="text1"/>
          <w14:textFill>
            <w14:solidFill>
              <w14:schemeClr w14:val="tx1"/>
            </w14:solidFill>
          </w14:textFill>
        </w:rPr>
        <w:fldChar w:fldCharType="begin"/>
      </w:r>
      <w:r>
        <w:rPr>
          <w:rFonts w:hint="eastAsia" w:asciiTheme="minorEastAsia" w:hAnsiTheme="minorEastAsia" w:eastAsiaTheme="minorEastAsia" w:cstheme="minorEastAsia"/>
          <w:color w:val="000000" w:themeColor="text1"/>
          <w14:textFill>
            <w14:solidFill>
              <w14:schemeClr w14:val="tx1"/>
            </w14:solidFill>
          </w14:textFill>
        </w:rPr>
        <w:instrText xml:space="preserve"> PAGEREF _Toc11714 \h </w:instrText>
      </w:r>
      <w:r>
        <w:rPr>
          <w:rFonts w:hint="eastAsia" w:asciiTheme="minorEastAsia" w:hAnsiTheme="minorEastAsia" w:eastAsiaTheme="minorEastAsia" w:cstheme="minorEastAsia"/>
          <w:color w:val="000000" w:themeColor="text1"/>
          <w14:textFill>
            <w14:solidFill>
              <w14:schemeClr w14:val="tx1"/>
            </w14:solidFill>
          </w14:textFill>
        </w:rPr>
        <w:fldChar w:fldCharType="separate"/>
      </w:r>
      <w:r>
        <w:rPr>
          <w:rFonts w:hint="eastAsia" w:asciiTheme="minorEastAsia" w:hAnsiTheme="minorEastAsia" w:eastAsiaTheme="minorEastAsia" w:cstheme="minorEastAsia"/>
          <w:color w:val="000000" w:themeColor="text1"/>
          <w14:textFill>
            <w14:solidFill>
              <w14:schemeClr w14:val="tx1"/>
            </w14:solidFill>
          </w14:textFill>
        </w:rPr>
        <w:t>11</w:t>
      </w:r>
      <w:r>
        <w:rPr>
          <w:rFonts w:hint="eastAsia" w:asciiTheme="minorEastAsia" w:hAnsiTheme="minorEastAsia" w:eastAsiaTheme="minorEastAsia" w:cstheme="minorEastAsia"/>
          <w:color w:val="000000" w:themeColor="text1"/>
          <w14:textFill>
            <w14:solidFill>
              <w14:schemeClr w14:val="tx1"/>
            </w14:solidFill>
          </w14:textFill>
        </w:rPr>
        <w:fldChar w:fldCharType="end"/>
      </w:r>
    </w:p>
    <w:p>
      <w:pPr>
        <w:pStyle w:val="24"/>
        <w:tabs>
          <w:tab w:val="right" w:leader="dot" w:pos="8312"/>
        </w:tabs>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szCs w:val="24"/>
          <w14:textFill>
            <w14:solidFill>
              <w14:schemeClr w14:val="tx1"/>
            </w14:solidFill>
          </w14:textFill>
        </w:rPr>
        <w:t>三、投标文件</w:t>
      </w:r>
      <w:r>
        <w:rPr>
          <w:rFonts w:hint="eastAsia" w:asciiTheme="minorEastAsia" w:hAnsiTheme="minorEastAsia" w:eastAsiaTheme="minorEastAsia" w:cstheme="minorEastAsia"/>
          <w:color w:val="000000" w:themeColor="text1"/>
          <w14:textFill>
            <w14:solidFill>
              <w14:schemeClr w14:val="tx1"/>
            </w14:solidFill>
          </w14:textFill>
        </w:rPr>
        <w:tab/>
      </w:r>
      <w:r>
        <w:rPr>
          <w:rFonts w:hint="eastAsia" w:asciiTheme="minorEastAsia" w:hAnsiTheme="minorEastAsia" w:eastAsiaTheme="minorEastAsia" w:cstheme="minorEastAsia"/>
          <w:color w:val="000000" w:themeColor="text1"/>
          <w14:textFill>
            <w14:solidFill>
              <w14:schemeClr w14:val="tx1"/>
            </w14:solidFill>
          </w14:textFill>
        </w:rPr>
        <w:fldChar w:fldCharType="begin"/>
      </w:r>
      <w:r>
        <w:rPr>
          <w:rFonts w:hint="eastAsia" w:asciiTheme="minorEastAsia" w:hAnsiTheme="minorEastAsia" w:eastAsiaTheme="minorEastAsia" w:cstheme="minorEastAsia"/>
          <w:color w:val="000000" w:themeColor="text1"/>
          <w14:textFill>
            <w14:solidFill>
              <w14:schemeClr w14:val="tx1"/>
            </w14:solidFill>
          </w14:textFill>
        </w:rPr>
        <w:instrText xml:space="preserve"> PAGEREF _Toc22619 \h </w:instrText>
      </w:r>
      <w:r>
        <w:rPr>
          <w:rFonts w:hint="eastAsia" w:asciiTheme="minorEastAsia" w:hAnsiTheme="minorEastAsia" w:eastAsiaTheme="minorEastAsia" w:cstheme="minorEastAsia"/>
          <w:color w:val="000000" w:themeColor="text1"/>
          <w14:textFill>
            <w14:solidFill>
              <w14:schemeClr w14:val="tx1"/>
            </w14:solidFill>
          </w14:textFill>
        </w:rPr>
        <w:fldChar w:fldCharType="separate"/>
      </w:r>
      <w:r>
        <w:rPr>
          <w:rFonts w:hint="eastAsia" w:asciiTheme="minorEastAsia" w:hAnsiTheme="minorEastAsia" w:eastAsiaTheme="minorEastAsia" w:cstheme="minorEastAsia"/>
          <w:color w:val="000000" w:themeColor="text1"/>
          <w14:textFill>
            <w14:solidFill>
              <w14:schemeClr w14:val="tx1"/>
            </w14:solidFill>
          </w14:textFill>
        </w:rPr>
        <w:t>12</w:t>
      </w:r>
      <w:r>
        <w:rPr>
          <w:rFonts w:hint="eastAsia" w:asciiTheme="minorEastAsia" w:hAnsiTheme="minorEastAsia" w:eastAsiaTheme="minorEastAsia" w:cstheme="minorEastAsia"/>
          <w:color w:val="000000" w:themeColor="text1"/>
          <w14:textFill>
            <w14:solidFill>
              <w14:schemeClr w14:val="tx1"/>
            </w14:solidFill>
          </w14:textFill>
        </w:rPr>
        <w:fldChar w:fldCharType="end"/>
      </w:r>
    </w:p>
    <w:p>
      <w:pPr>
        <w:pStyle w:val="24"/>
        <w:tabs>
          <w:tab w:val="right" w:leader="dot" w:pos="8312"/>
        </w:tabs>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szCs w:val="24"/>
          <w14:textFill>
            <w14:solidFill>
              <w14:schemeClr w14:val="tx1"/>
            </w14:solidFill>
          </w14:textFill>
        </w:rPr>
        <w:t>四、投标保证金</w:t>
      </w:r>
      <w:r>
        <w:rPr>
          <w:rFonts w:hint="eastAsia" w:asciiTheme="minorEastAsia" w:hAnsiTheme="minorEastAsia" w:eastAsiaTheme="minorEastAsia" w:cstheme="minorEastAsia"/>
          <w:color w:val="000000" w:themeColor="text1"/>
          <w14:textFill>
            <w14:solidFill>
              <w14:schemeClr w14:val="tx1"/>
            </w14:solidFill>
          </w14:textFill>
        </w:rPr>
        <w:tab/>
      </w:r>
      <w:r>
        <w:rPr>
          <w:rFonts w:hint="eastAsia" w:asciiTheme="minorEastAsia" w:hAnsiTheme="minorEastAsia" w:eastAsiaTheme="minorEastAsia" w:cstheme="minorEastAsia"/>
          <w:color w:val="000000" w:themeColor="text1"/>
          <w14:textFill>
            <w14:solidFill>
              <w14:schemeClr w14:val="tx1"/>
            </w14:solidFill>
          </w14:textFill>
        </w:rPr>
        <w:fldChar w:fldCharType="begin"/>
      </w:r>
      <w:r>
        <w:rPr>
          <w:rFonts w:hint="eastAsia" w:asciiTheme="minorEastAsia" w:hAnsiTheme="minorEastAsia" w:eastAsiaTheme="minorEastAsia" w:cstheme="minorEastAsia"/>
          <w:color w:val="000000" w:themeColor="text1"/>
          <w14:textFill>
            <w14:solidFill>
              <w14:schemeClr w14:val="tx1"/>
            </w14:solidFill>
          </w14:textFill>
        </w:rPr>
        <w:instrText xml:space="preserve"> PAGEREF _Toc21523 \h </w:instrText>
      </w:r>
      <w:r>
        <w:rPr>
          <w:rFonts w:hint="eastAsia" w:asciiTheme="minorEastAsia" w:hAnsiTheme="minorEastAsia" w:eastAsiaTheme="minorEastAsia" w:cstheme="minorEastAsia"/>
          <w:color w:val="000000" w:themeColor="text1"/>
          <w14:textFill>
            <w14:solidFill>
              <w14:schemeClr w14:val="tx1"/>
            </w14:solidFill>
          </w14:textFill>
        </w:rPr>
        <w:fldChar w:fldCharType="separate"/>
      </w:r>
      <w:r>
        <w:rPr>
          <w:rFonts w:hint="eastAsia" w:asciiTheme="minorEastAsia" w:hAnsiTheme="minorEastAsia" w:eastAsiaTheme="minorEastAsia" w:cstheme="minorEastAsia"/>
          <w:color w:val="000000" w:themeColor="text1"/>
          <w14:textFill>
            <w14:solidFill>
              <w14:schemeClr w14:val="tx1"/>
            </w14:solidFill>
          </w14:textFill>
        </w:rPr>
        <w:t>15</w:t>
      </w:r>
      <w:r>
        <w:rPr>
          <w:rFonts w:hint="eastAsia" w:asciiTheme="minorEastAsia" w:hAnsiTheme="minorEastAsia" w:eastAsiaTheme="minorEastAsia" w:cstheme="minorEastAsia"/>
          <w:color w:val="000000" w:themeColor="text1"/>
          <w14:textFill>
            <w14:solidFill>
              <w14:schemeClr w14:val="tx1"/>
            </w14:solidFill>
          </w14:textFill>
        </w:rPr>
        <w:fldChar w:fldCharType="end"/>
      </w:r>
    </w:p>
    <w:p>
      <w:pPr>
        <w:pStyle w:val="24"/>
        <w:tabs>
          <w:tab w:val="right" w:leader="dot" w:pos="8312"/>
        </w:tabs>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szCs w:val="24"/>
          <w14:textFill>
            <w14:solidFill>
              <w14:schemeClr w14:val="tx1"/>
            </w14:solidFill>
          </w14:textFill>
        </w:rPr>
        <w:t>五、投标文件的递交</w:t>
      </w:r>
      <w:r>
        <w:rPr>
          <w:rFonts w:hint="eastAsia" w:asciiTheme="minorEastAsia" w:hAnsiTheme="minorEastAsia" w:eastAsiaTheme="minorEastAsia" w:cstheme="minorEastAsia"/>
          <w:color w:val="000000" w:themeColor="text1"/>
          <w14:textFill>
            <w14:solidFill>
              <w14:schemeClr w14:val="tx1"/>
            </w14:solidFill>
          </w14:textFill>
        </w:rPr>
        <w:tab/>
      </w:r>
      <w:r>
        <w:rPr>
          <w:rFonts w:hint="eastAsia" w:asciiTheme="minorEastAsia" w:hAnsiTheme="minorEastAsia" w:eastAsiaTheme="minorEastAsia" w:cstheme="minorEastAsia"/>
          <w:color w:val="000000" w:themeColor="text1"/>
          <w14:textFill>
            <w14:solidFill>
              <w14:schemeClr w14:val="tx1"/>
            </w14:solidFill>
          </w14:textFill>
        </w:rPr>
        <w:fldChar w:fldCharType="begin"/>
      </w:r>
      <w:r>
        <w:rPr>
          <w:rFonts w:hint="eastAsia" w:asciiTheme="minorEastAsia" w:hAnsiTheme="minorEastAsia" w:eastAsiaTheme="minorEastAsia" w:cstheme="minorEastAsia"/>
          <w:color w:val="000000" w:themeColor="text1"/>
          <w14:textFill>
            <w14:solidFill>
              <w14:schemeClr w14:val="tx1"/>
            </w14:solidFill>
          </w14:textFill>
        </w:rPr>
        <w:instrText xml:space="preserve"> PAGEREF _Toc19605 \h </w:instrText>
      </w:r>
      <w:r>
        <w:rPr>
          <w:rFonts w:hint="eastAsia" w:asciiTheme="minorEastAsia" w:hAnsiTheme="minorEastAsia" w:eastAsiaTheme="minorEastAsia" w:cstheme="minorEastAsia"/>
          <w:color w:val="000000" w:themeColor="text1"/>
          <w14:textFill>
            <w14:solidFill>
              <w14:schemeClr w14:val="tx1"/>
            </w14:solidFill>
          </w14:textFill>
        </w:rPr>
        <w:fldChar w:fldCharType="separate"/>
      </w:r>
      <w:r>
        <w:rPr>
          <w:rFonts w:hint="eastAsia" w:asciiTheme="minorEastAsia" w:hAnsiTheme="minorEastAsia" w:eastAsiaTheme="minorEastAsia" w:cstheme="minorEastAsia"/>
          <w:color w:val="000000" w:themeColor="text1"/>
          <w14:textFill>
            <w14:solidFill>
              <w14:schemeClr w14:val="tx1"/>
            </w14:solidFill>
          </w14:textFill>
        </w:rPr>
        <w:t>16</w:t>
      </w:r>
      <w:r>
        <w:rPr>
          <w:rFonts w:hint="eastAsia" w:asciiTheme="minorEastAsia" w:hAnsiTheme="minorEastAsia" w:eastAsiaTheme="minorEastAsia" w:cstheme="minorEastAsia"/>
          <w:color w:val="000000" w:themeColor="text1"/>
          <w14:textFill>
            <w14:solidFill>
              <w14:schemeClr w14:val="tx1"/>
            </w14:solidFill>
          </w14:textFill>
        </w:rPr>
        <w:fldChar w:fldCharType="end"/>
      </w:r>
    </w:p>
    <w:p>
      <w:pPr>
        <w:pStyle w:val="24"/>
        <w:tabs>
          <w:tab w:val="right" w:leader="dot" w:pos="8312"/>
        </w:tabs>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szCs w:val="24"/>
          <w14:textFill>
            <w14:solidFill>
              <w14:schemeClr w14:val="tx1"/>
            </w14:solidFill>
          </w14:textFill>
        </w:rPr>
        <w:t>六、开标</w:t>
      </w:r>
      <w:r>
        <w:rPr>
          <w:rFonts w:hint="eastAsia" w:asciiTheme="minorEastAsia" w:hAnsiTheme="minorEastAsia" w:eastAsiaTheme="minorEastAsia" w:cstheme="minorEastAsia"/>
          <w:color w:val="000000" w:themeColor="text1"/>
          <w14:textFill>
            <w14:solidFill>
              <w14:schemeClr w14:val="tx1"/>
            </w14:solidFill>
          </w14:textFill>
        </w:rPr>
        <w:tab/>
      </w:r>
      <w:r>
        <w:rPr>
          <w:rFonts w:hint="eastAsia" w:asciiTheme="minorEastAsia" w:hAnsiTheme="minorEastAsia" w:eastAsiaTheme="minorEastAsia" w:cstheme="minorEastAsia"/>
          <w:color w:val="000000" w:themeColor="text1"/>
          <w14:textFill>
            <w14:solidFill>
              <w14:schemeClr w14:val="tx1"/>
            </w14:solidFill>
          </w14:textFill>
        </w:rPr>
        <w:fldChar w:fldCharType="begin"/>
      </w:r>
      <w:r>
        <w:rPr>
          <w:rFonts w:hint="eastAsia" w:asciiTheme="minorEastAsia" w:hAnsiTheme="minorEastAsia" w:eastAsiaTheme="minorEastAsia" w:cstheme="minorEastAsia"/>
          <w:color w:val="000000" w:themeColor="text1"/>
          <w14:textFill>
            <w14:solidFill>
              <w14:schemeClr w14:val="tx1"/>
            </w14:solidFill>
          </w14:textFill>
        </w:rPr>
        <w:instrText xml:space="preserve"> PAGEREF _Toc17792 \h </w:instrText>
      </w:r>
      <w:r>
        <w:rPr>
          <w:rFonts w:hint="eastAsia" w:asciiTheme="minorEastAsia" w:hAnsiTheme="minorEastAsia" w:eastAsiaTheme="minorEastAsia" w:cstheme="minorEastAsia"/>
          <w:color w:val="000000" w:themeColor="text1"/>
          <w14:textFill>
            <w14:solidFill>
              <w14:schemeClr w14:val="tx1"/>
            </w14:solidFill>
          </w14:textFill>
        </w:rPr>
        <w:fldChar w:fldCharType="separate"/>
      </w:r>
      <w:r>
        <w:rPr>
          <w:rFonts w:hint="eastAsia" w:asciiTheme="minorEastAsia" w:hAnsiTheme="minorEastAsia" w:eastAsiaTheme="minorEastAsia" w:cstheme="minorEastAsia"/>
          <w:color w:val="000000" w:themeColor="text1"/>
          <w14:textFill>
            <w14:solidFill>
              <w14:schemeClr w14:val="tx1"/>
            </w14:solidFill>
          </w14:textFill>
        </w:rPr>
        <w:t>16</w:t>
      </w:r>
      <w:r>
        <w:rPr>
          <w:rFonts w:hint="eastAsia" w:asciiTheme="minorEastAsia" w:hAnsiTheme="minorEastAsia" w:eastAsiaTheme="minorEastAsia" w:cstheme="minorEastAsia"/>
          <w:color w:val="000000" w:themeColor="text1"/>
          <w14:textFill>
            <w14:solidFill>
              <w14:schemeClr w14:val="tx1"/>
            </w14:solidFill>
          </w14:textFill>
        </w:rPr>
        <w:fldChar w:fldCharType="end"/>
      </w:r>
    </w:p>
    <w:p>
      <w:pPr>
        <w:pStyle w:val="24"/>
        <w:tabs>
          <w:tab w:val="right" w:leader="dot" w:pos="8312"/>
        </w:tabs>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szCs w:val="24"/>
          <w14:textFill>
            <w14:solidFill>
              <w14:schemeClr w14:val="tx1"/>
            </w14:solidFill>
          </w14:textFill>
        </w:rPr>
        <w:t>七、评标步骤和要求</w:t>
      </w:r>
      <w:r>
        <w:rPr>
          <w:rFonts w:hint="eastAsia" w:asciiTheme="minorEastAsia" w:hAnsiTheme="minorEastAsia" w:eastAsiaTheme="minorEastAsia" w:cstheme="minorEastAsia"/>
          <w:color w:val="000000" w:themeColor="text1"/>
          <w14:textFill>
            <w14:solidFill>
              <w14:schemeClr w14:val="tx1"/>
            </w14:solidFill>
          </w14:textFill>
        </w:rPr>
        <w:tab/>
      </w:r>
      <w:r>
        <w:rPr>
          <w:rFonts w:hint="eastAsia" w:asciiTheme="minorEastAsia" w:hAnsiTheme="minorEastAsia" w:eastAsiaTheme="minorEastAsia" w:cstheme="minorEastAsia"/>
          <w:color w:val="000000" w:themeColor="text1"/>
          <w14:textFill>
            <w14:solidFill>
              <w14:schemeClr w14:val="tx1"/>
            </w14:solidFill>
          </w14:textFill>
        </w:rPr>
        <w:fldChar w:fldCharType="begin"/>
      </w:r>
      <w:r>
        <w:rPr>
          <w:rFonts w:hint="eastAsia" w:asciiTheme="minorEastAsia" w:hAnsiTheme="minorEastAsia" w:eastAsiaTheme="minorEastAsia" w:cstheme="minorEastAsia"/>
          <w:color w:val="000000" w:themeColor="text1"/>
          <w14:textFill>
            <w14:solidFill>
              <w14:schemeClr w14:val="tx1"/>
            </w14:solidFill>
          </w14:textFill>
        </w:rPr>
        <w:instrText xml:space="preserve"> PAGEREF _Toc798 \h </w:instrText>
      </w:r>
      <w:r>
        <w:rPr>
          <w:rFonts w:hint="eastAsia" w:asciiTheme="minorEastAsia" w:hAnsiTheme="minorEastAsia" w:eastAsiaTheme="minorEastAsia" w:cstheme="minorEastAsia"/>
          <w:color w:val="000000" w:themeColor="text1"/>
          <w14:textFill>
            <w14:solidFill>
              <w14:schemeClr w14:val="tx1"/>
            </w14:solidFill>
          </w14:textFill>
        </w:rPr>
        <w:fldChar w:fldCharType="separate"/>
      </w:r>
      <w:r>
        <w:rPr>
          <w:rFonts w:hint="eastAsia" w:asciiTheme="minorEastAsia" w:hAnsiTheme="minorEastAsia" w:eastAsiaTheme="minorEastAsia" w:cstheme="minorEastAsia"/>
          <w:color w:val="000000" w:themeColor="text1"/>
          <w14:textFill>
            <w14:solidFill>
              <w14:schemeClr w14:val="tx1"/>
            </w14:solidFill>
          </w14:textFill>
        </w:rPr>
        <w:t>17</w:t>
      </w:r>
      <w:r>
        <w:rPr>
          <w:rFonts w:hint="eastAsia" w:asciiTheme="minorEastAsia" w:hAnsiTheme="minorEastAsia" w:eastAsiaTheme="minorEastAsia" w:cstheme="minorEastAsia"/>
          <w:color w:val="000000" w:themeColor="text1"/>
          <w14:textFill>
            <w14:solidFill>
              <w14:schemeClr w14:val="tx1"/>
            </w14:solidFill>
          </w14:textFill>
        </w:rPr>
        <w:fldChar w:fldCharType="end"/>
      </w:r>
    </w:p>
    <w:p>
      <w:pPr>
        <w:pStyle w:val="24"/>
        <w:tabs>
          <w:tab w:val="right" w:leader="dot" w:pos="8312"/>
        </w:tabs>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szCs w:val="24"/>
          <w14:textFill>
            <w14:solidFill>
              <w14:schemeClr w14:val="tx1"/>
            </w14:solidFill>
          </w14:textFill>
        </w:rPr>
        <w:t>八、履约保证金</w:t>
      </w:r>
      <w:r>
        <w:rPr>
          <w:rFonts w:hint="eastAsia" w:asciiTheme="minorEastAsia" w:hAnsiTheme="minorEastAsia" w:eastAsiaTheme="minorEastAsia" w:cstheme="minorEastAsia"/>
          <w:color w:val="000000" w:themeColor="text1"/>
          <w14:textFill>
            <w14:solidFill>
              <w14:schemeClr w14:val="tx1"/>
            </w14:solidFill>
          </w14:textFill>
        </w:rPr>
        <w:tab/>
      </w:r>
      <w:r>
        <w:rPr>
          <w:rFonts w:hint="eastAsia" w:asciiTheme="minorEastAsia" w:hAnsiTheme="minorEastAsia" w:eastAsiaTheme="minorEastAsia" w:cstheme="minorEastAsia"/>
          <w:color w:val="000000" w:themeColor="text1"/>
          <w14:textFill>
            <w14:solidFill>
              <w14:schemeClr w14:val="tx1"/>
            </w14:solidFill>
          </w14:textFill>
        </w:rPr>
        <w:fldChar w:fldCharType="begin"/>
      </w:r>
      <w:r>
        <w:rPr>
          <w:rFonts w:hint="eastAsia" w:asciiTheme="minorEastAsia" w:hAnsiTheme="minorEastAsia" w:eastAsiaTheme="minorEastAsia" w:cstheme="minorEastAsia"/>
          <w:color w:val="000000" w:themeColor="text1"/>
          <w14:textFill>
            <w14:solidFill>
              <w14:schemeClr w14:val="tx1"/>
            </w14:solidFill>
          </w14:textFill>
        </w:rPr>
        <w:instrText xml:space="preserve"> PAGEREF _Toc8726 \h </w:instrText>
      </w:r>
      <w:r>
        <w:rPr>
          <w:rFonts w:hint="eastAsia" w:asciiTheme="minorEastAsia" w:hAnsiTheme="minorEastAsia" w:eastAsiaTheme="minorEastAsia" w:cstheme="minorEastAsia"/>
          <w:color w:val="000000" w:themeColor="text1"/>
          <w14:textFill>
            <w14:solidFill>
              <w14:schemeClr w14:val="tx1"/>
            </w14:solidFill>
          </w14:textFill>
        </w:rPr>
        <w:fldChar w:fldCharType="separate"/>
      </w:r>
      <w:r>
        <w:rPr>
          <w:rFonts w:hint="eastAsia" w:asciiTheme="minorEastAsia" w:hAnsiTheme="minorEastAsia" w:eastAsiaTheme="minorEastAsia" w:cstheme="minorEastAsia"/>
          <w:color w:val="000000" w:themeColor="text1"/>
          <w14:textFill>
            <w14:solidFill>
              <w14:schemeClr w14:val="tx1"/>
            </w14:solidFill>
          </w14:textFill>
        </w:rPr>
        <w:t>20</w:t>
      </w:r>
      <w:r>
        <w:rPr>
          <w:rFonts w:hint="eastAsia" w:asciiTheme="minorEastAsia" w:hAnsiTheme="minorEastAsia" w:eastAsiaTheme="minorEastAsia" w:cstheme="minorEastAsia"/>
          <w:color w:val="000000" w:themeColor="text1"/>
          <w14:textFill>
            <w14:solidFill>
              <w14:schemeClr w14:val="tx1"/>
            </w14:solidFill>
          </w14:textFill>
        </w:rPr>
        <w:fldChar w:fldCharType="end"/>
      </w:r>
    </w:p>
    <w:p>
      <w:pPr>
        <w:pStyle w:val="24"/>
        <w:tabs>
          <w:tab w:val="right" w:leader="dot" w:pos="8312"/>
        </w:tabs>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szCs w:val="24"/>
          <w14:textFill>
            <w14:solidFill>
              <w14:schemeClr w14:val="tx1"/>
            </w14:solidFill>
          </w14:textFill>
        </w:rPr>
        <w:t>九、代理服务费</w:t>
      </w:r>
      <w:r>
        <w:rPr>
          <w:rFonts w:hint="eastAsia" w:asciiTheme="minorEastAsia" w:hAnsiTheme="minorEastAsia" w:eastAsiaTheme="minorEastAsia" w:cstheme="minorEastAsia"/>
          <w:color w:val="000000" w:themeColor="text1"/>
          <w14:textFill>
            <w14:solidFill>
              <w14:schemeClr w14:val="tx1"/>
            </w14:solidFill>
          </w14:textFill>
        </w:rPr>
        <w:tab/>
      </w:r>
      <w:r>
        <w:rPr>
          <w:rFonts w:hint="eastAsia" w:asciiTheme="minorEastAsia" w:hAnsiTheme="minorEastAsia" w:eastAsiaTheme="minorEastAsia" w:cstheme="minorEastAsia"/>
          <w:color w:val="000000" w:themeColor="text1"/>
          <w14:textFill>
            <w14:solidFill>
              <w14:schemeClr w14:val="tx1"/>
            </w14:solidFill>
          </w14:textFill>
        </w:rPr>
        <w:fldChar w:fldCharType="begin"/>
      </w:r>
      <w:r>
        <w:rPr>
          <w:rFonts w:hint="eastAsia" w:asciiTheme="minorEastAsia" w:hAnsiTheme="minorEastAsia" w:eastAsiaTheme="minorEastAsia" w:cstheme="minorEastAsia"/>
          <w:color w:val="000000" w:themeColor="text1"/>
          <w14:textFill>
            <w14:solidFill>
              <w14:schemeClr w14:val="tx1"/>
            </w14:solidFill>
          </w14:textFill>
        </w:rPr>
        <w:instrText xml:space="preserve"> PAGEREF _Toc2793 \h </w:instrText>
      </w:r>
      <w:r>
        <w:rPr>
          <w:rFonts w:hint="eastAsia" w:asciiTheme="minorEastAsia" w:hAnsiTheme="minorEastAsia" w:eastAsiaTheme="minorEastAsia" w:cstheme="minorEastAsia"/>
          <w:color w:val="000000" w:themeColor="text1"/>
          <w14:textFill>
            <w14:solidFill>
              <w14:schemeClr w14:val="tx1"/>
            </w14:solidFill>
          </w14:textFill>
        </w:rPr>
        <w:fldChar w:fldCharType="separate"/>
      </w:r>
      <w:r>
        <w:rPr>
          <w:rFonts w:hint="eastAsia" w:asciiTheme="minorEastAsia" w:hAnsiTheme="minorEastAsia" w:eastAsiaTheme="minorEastAsia" w:cstheme="minorEastAsia"/>
          <w:color w:val="000000" w:themeColor="text1"/>
          <w14:textFill>
            <w14:solidFill>
              <w14:schemeClr w14:val="tx1"/>
            </w14:solidFill>
          </w14:textFill>
        </w:rPr>
        <w:t>20</w:t>
      </w:r>
      <w:r>
        <w:rPr>
          <w:rFonts w:hint="eastAsia" w:asciiTheme="minorEastAsia" w:hAnsiTheme="minorEastAsia" w:eastAsiaTheme="minorEastAsia" w:cstheme="minorEastAsia"/>
          <w:color w:val="000000" w:themeColor="text1"/>
          <w14:textFill>
            <w14:solidFill>
              <w14:schemeClr w14:val="tx1"/>
            </w14:solidFill>
          </w14:textFill>
        </w:rPr>
        <w:fldChar w:fldCharType="end"/>
      </w:r>
    </w:p>
    <w:p>
      <w:pPr>
        <w:pStyle w:val="24"/>
        <w:tabs>
          <w:tab w:val="right" w:leader="dot" w:pos="8312"/>
        </w:tabs>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szCs w:val="24"/>
          <w14:textFill>
            <w14:solidFill>
              <w14:schemeClr w14:val="tx1"/>
            </w14:solidFill>
          </w14:textFill>
        </w:rPr>
        <w:t>十、签订、审核合同</w:t>
      </w:r>
      <w:r>
        <w:rPr>
          <w:rFonts w:hint="eastAsia" w:asciiTheme="minorEastAsia" w:hAnsiTheme="minorEastAsia" w:eastAsiaTheme="minorEastAsia" w:cstheme="minorEastAsia"/>
          <w:color w:val="000000" w:themeColor="text1"/>
          <w14:textFill>
            <w14:solidFill>
              <w14:schemeClr w14:val="tx1"/>
            </w14:solidFill>
          </w14:textFill>
        </w:rPr>
        <w:tab/>
      </w:r>
      <w:r>
        <w:rPr>
          <w:rFonts w:hint="eastAsia" w:asciiTheme="minorEastAsia" w:hAnsiTheme="minorEastAsia" w:eastAsiaTheme="minorEastAsia" w:cstheme="minorEastAsia"/>
          <w:color w:val="000000" w:themeColor="text1"/>
          <w14:textFill>
            <w14:solidFill>
              <w14:schemeClr w14:val="tx1"/>
            </w14:solidFill>
          </w14:textFill>
        </w:rPr>
        <w:fldChar w:fldCharType="begin"/>
      </w:r>
      <w:r>
        <w:rPr>
          <w:rFonts w:hint="eastAsia" w:asciiTheme="minorEastAsia" w:hAnsiTheme="minorEastAsia" w:eastAsiaTheme="minorEastAsia" w:cstheme="minorEastAsia"/>
          <w:color w:val="000000" w:themeColor="text1"/>
          <w14:textFill>
            <w14:solidFill>
              <w14:schemeClr w14:val="tx1"/>
            </w14:solidFill>
          </w14:textFill>
        </w:rPr>
        <w:instrText xml:space="preserve"> PAGEREF _Toc22446 \h </w:instrText>
      </w:r>
      <w:r>
        <w:rPr>
          <w:rFonts w:hint="eastAsia" w:asciiTheme="minorEastAsia" w:hAnsiTheme="minorEastAsia" w:eastAsiaTheme="minorEastAsia" w:cstheme="minorEastAsia"/>
          <w:color w:val="000000" w:themeColor="text1"/>
          <w14:textFill>
            <w14:solidFill>
              <w14:schemeClr w14:val="tx1"/>
            </w14:solidFill>
          </w14:textFill>
        </w:rPr>
        <w:fldChar w:fldCharType="separate"/>
      </w:r>
      <w:r>
        <w:rPr>
          <w:rFonts w:hint="eastAsia" w:asciiTheme="minorEastAsia" w:hAnsiTheme="minorEastAsia" w:eastAsiaTheme="minorEastAsia" w:cstheme="minorEastAsia"/>
          <w:color w:val="000000" w:themeColor="text1"/>
          <w14:textFill>
            <w14:solidFill>
              <w14:schemeClr w14:val="tx1"/>
            </w14:solidFill>
          </w14:textFill>
        </w:rPr>
        <w:t>20</w:t>
      </w:r>
      <w:r>
        <w:rPr>
          <w:rFonts w:hint="eastAsia" w:asciiTheme="minorEastAsia" w:hAnsiTheme="minorEastAsia" w:eastAsiaTheme="minorEastAsia" w:cstheme="minorEastAsia"/>
          <w:color w:val="000000" w:themeColor="text1"/>
          <w14:textFill>
            <w14:solidFill>
              <w14:schemeClr w14:val="tx1"/>
            </w14:solidFill>
          </w14:textFill>
        </w:rPr>
        <w:fldChar w:fldCharType="end"/>
      </w:r>
    </w:p>
    <w:p>
      <w:pPr>
        <w:pStyle w:val="24"/>
        <w:tabs>
          <w:tab w:val="right" w:leader="dot" w:pos="8312"/>
        </w:tabs>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szCs w:val="24"/>
          <w14:textFill>
            <w14:solidFill>
              <w14:schemeClr w14:val="tx1"/>
            </w14:solidFill>
          </w14:textFill>
        </w:rPr>
        <w:t>十一、处罚、询问和质疑</w:t>
      </w:r>
      <w:r>
        <w:rPr>
          <w:rFonts w:hint="eastAsia" w:asciiTheme="minorEastAsia" w:hAnsiTheme="minorEastAsia" w:eastAsiaTheme="minorEastAsia" w:cstheme="minorEastAsia"/>
          <w:color w:val="000000" w:themeColor="text1"/>
          <w14:textFill>
            <w14:solidFill>
              <w14:schemeClr w14:val="tx1"/>
            </w14:solidFill>
          </w14:textFill>
        </w:rPr>
        <w:tab/>
      </w:r>
      <w:r>
        <w:rPr>
          <w:rFonts w:hint="eastAsia" w:asciiTheme="minorEastAsia" w:hAnsiTheme="minorEastAsia" w:eastAsiaTheme="minorEastAsia" w:cstheme="minorEastAsia"/>
          <w:color w:val="000000" w:themeColor="text1"/>
          <w14:textFill>
            <w14:solidFill>
              <w14:schemeClr w14:val="tx1"/>
            </w14:solidFill>
          </w14:textFill>
        </w:rPr>
        <w:fldChar w:fldCharType="begin"/>
      </w:r>
      <w:r>
        <w:rPr>
          <w:rFonts w:hint="eastAsia" w:asciiTheme="minorEastAsia" w:hAnsiTheme="minorEastAsia" w:eastAsiaTheme="minorEastAsia" w:cstheme="minorEastAsia"/>
          <w:color w:val="000000" w:themeColor="text1"/>
          <w14:textFill>
            <w14:solidFill>
              <w14:schemeClr w14:val="tx1"/>
            </w14:solidFill>
          </w14:textFill>
        </w:rPr>
        <w:instrText xml:space="preserve"> PAGEREF _Toc4693 \h </w:instrText>
      </w:r>
      <w:r>
        <w:rPr>
          <w:rFonts w:hint="eastAsia" w:asciiTheme="minorEastAsia" w:hAnsiTheme="minorEastAsia" w:eastAsiaTheme="minorEastAsia" w:cstheme="minorEastAsia"/>
          <w:color w:val="000000" w:themeColor="text1"/>
          <w14:textFill>
            <w14:solidFill>
              <w14:schemeClr w14:val="tx1"/>
            </w14:solidFill>
          </w14:textFill>
        </w:rPr>
        <w:fldChar w:fldCharType="separate"/>
      </w:r>
      <w:r>
        <w:rPr>
          <w:rFonts w:hint="eastAsia" w:asciiTheme="minorEastAsia" w:hAnsiTheme="minorEastAsia" w:eastAsiaTheme="minorEastAsia" w:cstheme="minorEastAsia"/>
          <w:color w:val="000000" w:themeColor="text1"/>
          <w14:textFill>
            <w14:solidFill>
              <w14:schemeClr w14:val="tx1"/>
            </w14:solidFill>
          </w14:textFill>
        </w:rPr>
        <w:t>21</w:t>
      </w:r>
      <w:r>
        <w:rPr>
          <w:rFonts w:hint="eastAsia" w:asciiTheme="minorEastAsia" w:hAnsiTheme="minorEastAsia" w:eastAsiaTheme="minorEastAsia" w:cstheme="minorEastAsia"/>
          <w:color w:val="000000" w:themeColor="text1"/>
          <w14:textFill>
            <w14:solidFill>
              <w14:schemeClr w14:val="tx1"/>
            </w14:solidFill>
          </w14:textFill>
        </w:rPr>
        <w:fldChar w:fldCharType="end"/>
      </w:r>
    </w:p>
    <w:p>
      <w:pPr>
        <w:pStyle w:val="24"/>
        <w:tabs>
          <w:tab w:val="right" w:leader="dot" w:pos="8312"/>
        </w:tabs>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szCs w:val="24"/>
          <w14:textFill>
            <w14:solidFill>
              <w14:schemeClr w14:val="tx1"/>
            </w14:solidFill>
          </w14:textFill>
        </w:rPr>
        <w:t>十二、保密和披露</w:t>
      </w:r>
      <w:r>
        <w:rPr>
          <w:rFonts w:hint="eastAsia" w:asciiTheme="minorEastAsia" w:hAnsiTheme="minorEastAsia" w:eastAsiaTheme="minorEastAsia" w:cstheme="minorEastAsia"/>
          <w:color w:val="000000" w:themeColor="text1"/>
          <w14:textFill>
            <w14:solidFill>
              <w14:schemeClr w14:val="tx1"/>
            </w14:solidFill>
          </w14:textFill>
        </w:rPr>
        <w:tab/>
      </w:r>
      <w:r>
        <w:rPr>
          <w:rFonts w:hint="eastAsia" w:asciiTheme="minorEastAsia" w:hAnsiTheme="minorEastAsia" w:eastAsiaTheme="minorEastAsia" w:cstheme="minorEastAsia"/>
          <w:color w:val="000000" w:themeColor="text1"/>
          <w14:textFill>
            <w14:solidFill>
              <w14:schemeClr w14:val="tx1"/>
            </w14:solidFill>
          </w14:textFill>
        </w:rPr>
        <w:fldChar w:fldCharType="begin"/>
      </w:r>
      <w:r>
        <w:rPr>
          <w:rFonts w:hint="eastAsia" w:asciiTheme="minorEastAsia" w:hAnsiTheme="minorEastAsia" w:eastAsiaTheme="minorEastAsia" w:cstheme="minorEastAsia"/>
          <w:color w:val="000000" w:themeColor="text1"/>
          <w14:textFill>
            <w14:solidFill>
              <w14:schemeClr w14:val="tx1"/>
            </w14:solidFill>
          </w14:textFill>
        </w:rPr>
        <w:instrText xml:space="preserve"> PAGEREF _Toc7020 \h </w:instrText>
      </w:r>
      <w:r>
        <w:rPr>
          <w:rFonts w:hint="eastAsia" w:asciiTheme="minorEastAsia" w:hAnsiTheme="minorEastAsia" w:eastAsiaTheme="minorEastAsia" w:cstheme="minorEastAsia"/>
          <w:color w:val="000000" w:themeColor="text1"/>
          <w14:textFill>
            <w14:solidFill>
              <w14:schemeClr w14:val="tx1"/>
            </w14:solidFill>
          </w14:textFill>
        </w:rPr>
        <w:fldChar w:fldCharType="separate"/>
      </w:r>
      <w:r>
        <w:rPr>
          <w:rFonts w:hint="eastAsia" w:asciiTheme="minorEastAsia" w:hAnsiTheme="minorEastAsia" w:eastAsiaTheme="minorEastAsia" w:cstheme="minorEastAsia"/>
          <w:color w:val="000000" w:themeColor="text1"/>
          <w14:textFill>
            <w14:solidFill>
              <w14:schemeClr w14:val="tx1"/>
            </w14:solidFill>
          </w14:textFill>
        </w:rPr>
        <w:t>22</w:t>
      </w:r>
      <w:r>
        <w:rPr>
          <w:rFonts w:hint="eastAsia" w:asciiTheme="minorEastAsia" w:hAnsiTheme="minorEastAsia" w:eastAsiaTheme="minorEastAsia" w:cstheme="minorEastAsia"/>
          <w:color w:val="000000" w:themeColor="text1"/>
          <w14:textFill>
            <w14:solidFill>
              <w14:schemeClr w14:val="tx1"/>
            </w14:solidFill>
          </w14:textFill>
        </w:rPr>
        <w:fldChar w:fldCharType="end"/>
      </w:r>
    </w:p>
    <w:p>
      <w:pPr>
        <w:pStyle w:val="31"/>
        <w:tabs>
          <w:tab w:val="right" w:leader="dot" w:pos="8312"/>
          <w:tab w:val="clear" w:pos="8302"/>
        </w:tabs>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第三部分   采购需求</w:t>
      </w:r>
      <w:r>
        <w:rPr>
          <w:rFonts w:hint="eastAsia" w:asciiTheme="minorEastAsia" w:hAnsiTheme="minorEastAsia" w:eastAsiaTheme="minorEastAsia" w:cstheme="minorEastAsia"/>
          <w:color w:val="000000" w:themeColor="text1"/>
          <w14:textFill>
            <w14:solidFill>
              <w14:schemeClr w14:val="tx1"/>
            </w14:solidFill>
          </w14:textFill>
        </w:rPr>
        <w:tab/>
      </w:r>
      <w:r>
        <w:rPr>
          <w:rFonts w:hint="eastAsia" w:asciiTheme="minorEastAsia" w:hAnsiTheme="minorEastAsia" w:eastAsiaTheme="minorEastAsia" w:cstheme="minorEastAsia"/>
          <w:color w:val="000000" w:themeColor="text1"/>
          <w14:textFill>
            <w14:solidFill>
              <w14:schemeClr w14:val="tx1"/>
            </w14:solidFill>
          </w14:textFill>
        </w:rPr>
        <w:fldChar w:fldCharType="begin"/>
      </w:r>
      <w:r>
        <w:rPr>
          <w:rFonts w:hint="eastAsia" w:asciiTheme="minorEastAsia" w:hAnsiTheme="minorEastAsia" w:eastAsiaTheme="minorEastAsia" w:cstheme="minorEastAsia"/>
          <w:color w:val="000000" w:themeColor="text1"/>
          <w14:textFill>
            <w14:solidFill>
              <w14:schemeClr w14:val="tx1"/>
            </w14:solidFill>
          </w14:textFill>
        </w:rPr>
        <w:instrText xml:space="preserve"> PAGEREF _Toc16687 \h </w:instrText>
      </w:r>
      <w:r>
        <w:rPr>
          <w:rFonts w:hint="eastAsia" w:asciiTheme="minorEastAsia" w:hAnsiTheme="minorEastAsia" w:eastAsiaTheme="minorEastAsia" w:cstheme="minorEastAsia"/>
          <w:color w:val="000000" w:themeColor="text1"/>
          <w14:textFill>
            <w14:solidFill>
              <w14:schemeClr w14:val="tx1"/>
            </w14:solidFill>
          </w14:textFill>
        </w:rPr>
        <w:fldChar w:fldCharType="separate"/>
      </w:r>
      <w:r>
        <w:rPr>
          <w:rFonts w:hint="eastAsia" w:asciiTheme="minorEastAsia" w:hAnsiTheme="minorEastAsia" w:eastAsiaTheme="minorEastAsia" w:cstheme="minorEastAsia"/>
          <w:color w:val="000000" w:themeColor="text1"/>
          <w14:textFill>
            <w14:solidFill>
              <w14:schemeClr w14:val="tx1"/>
            </w14:solidFill>
          </w14:textFill>
        </w:rPr>
        <w:t>24</w:t>
      </w:r>
      <w:r>
        <w:rPr>
          <w:rFonts w:hint="eastAsia" w:asciiTheme="minorEastAsia" w:hAnsiTheme="minorEastAsia" w:eastAsiaTheme="minorEastAsia" w:cstheme="minorEastAsia"/>
          <w:color w:val="000000" w:themeColor="text1"/>
          <w14:textFill>
            <w14:solidFill>
              <w14:schemeClr w14:val="tx1"/>
            </w14:solidFill>
          </w14:textFill>
        </w:rPr>
        <w:fldChar w:fldCharType="end"/>
      </w:r>
    </w:p>
    <w:p>
      <w:pPr>
        <w:pStyle w:val="31"/>
        <w:tabs>
          <w:tab w:val="right" w:leader="dot" w:pos="8312"/>
          <w:tab w:val="clear" w:pos="8302"/>
        </w:tabs>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第四部分   评审方法（综合评分法）</w:t>
      </w:r>
      <w:r>
        <w:rPr>
          <w:rFonts w:hint="eastAsia" w:asciiTheme="minorEastAsia" w:hAnsiTheme="minorEastAsia" w:eastAsiaTheme="minorEastAsia" w:cstheme="minorEastAsia"/>
          <w:color w:val="000000" w:themeColor="text1"/>
          <w14:textFill>
            <w14:solidFill>
              <w14:schemeClr w14:val="tx1"/>
            </w14:solidFill>
          </w14:textFill>
        </w:rPr>
        <w:tab/>
      </w:r>
      <w:r>
        <w:rPr>
          <w:rFonts w:hint="eastAsia" w:asciiTheme="minorEastAsia" w:hAnsiTheme="minorEastAsia" w:eastAsiaTheme="minorEastAsia" w:cstheme="minorEastAsia"/>
          <w:color w:val="000000" w:themeColor="text1"/>
          <w14:textFill>
            <w14:solidFill>
              <w14:schemeClr w14:val="tx1"/>
            </w14:solidFill>
          </w14:textFill>
        </w:rPr>
        <w:fldChar w:fldCharType="begin"/>
      </w:r>
      <w:r>
        <w:rPr>
          <w:rFonts w:hint="eastAsia" w:asciiTheme="minorEastAsia" w:hAnsiTheme="minorEastAsia" w:eastAsiaTheme="minorEastAsia" w:cstheme="minorEastAsia"/>
          <w:color w:val="000000" w:themeColor="text1"/>
          <w14:textFill>
            <w14:solidFill>
              <w14:schemeClr w14:val="tx1"/>
            </w14:solidFill>
          </w14:textFill>
        </w:rPr>
        <w:instrText xml:space="preserve"> PAGEREF _Toc2110 \h </w:instrText>
      </w:r>
      <w:r>
        <w:rPr>
          <w:rFonts w:hint="eastAsia" w:asciiTheme="minorEastAsia" w:hAnsiTheme="minorEastAsia" w:eastAsiaTheme="minorEastAsia" w:cstheme="minorEastAsia"/>
          <w:color w:val="000000" w:themeColor="text1"/>
          <w14:textFill>
            <w14:solidFill>
              <w14:schemeClr w14:val="tx1"/>
            </w14:solidFill>
          </w14:textFill>
        </w:rPr>
        <w:fldChar w:fldCharType="separate"/>
      </w:r>
      <w:r>
        <w:rPr>
          <w:rFonts w:hint="eastAsia" w:asciiTheme="minorEastAsia" w:hAnsiTheme="minorEastAsia" w:eastAsiaTheme="minorEastAsia" w:cstheme="minorEastAsia"/>
          <w:color w:val="000000" w:themeColor="text1"/>
          <w14:textFill>
            <w14:solidFill>
              <w14:schemeClr w14:val="tx1"/>
            </w14:solidFill>
          </w14:textFill>
        </w:rPr>
        <w:t>40</w:t>
      </w:r>
      <w:r>
        <w:rPr>
          <w:rFonts w:hint="eastAsia" w:asciiTheme="minorEastAsia" w:hAnsiTheme="minorEastAsia" w:eastAsiaTheme="minorEastAsia" w:cstheme="minorEastAsia"/>
          <w:color w:val="000000" w:themeColor="text1"/>
          <w14:textFill>
            <w14:solidFill>
              <w14:schemeClr w14:val="tx1"/>
            </w14:solidFill>
          </w14:textFill>
        </w:rPr>
        <w:fldChar w:fldCharType="end"/>
      </w:r>
    </w:p>
    <w:p>
      <w:pPr>
        <w:pStyle w:val="31"/>
        <w:tabs>
          <w:tab w:val="right" w:leader="dot" w:pos="8312"/>
          <w:tab w:val="clear" w:pos="8302"/>
        </w:tabs>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第五部分   政府采购合同</w:t>
      </w:r>
      <w:r>
        <w:rPr>
          <w:rFonts w:hint="eastAsia" w:asciiTheme="minorEastAsia" w:hAnsiTheme="minorEastAsia" w:eastAsiaTheme="minorEastAsia" w:cstheme="minorEastAsia"/>
          <w:color w:val="000000" w:themeColor="text1"/>
          <w14:textFill>
            <w14:solidFill>
              <w14:schemeClr w14:val="tx1"/>
            </w14:solidFill>
          </w14:textFill>
        </w:rPr>
        <w:tab/>
      </w:r>
      <w:r>
        <w:rPr>
          <w:rFonts w:hint="eastAsia" w:asciiTheme="minorEastAsia" w:hAnsiTheme="minorEastAsia" w:eastAsiaTheme="minorEastAsia" w:cstheme="minorEastAsia"/>
          <w:color w:val="000000" w:themeColor="text1"/>
          <w14:textFill>
            <w14:solidFill>
              <w14:schemeClr w14:val="tx1"/>
            </w14:solidFill>
          </w14:textFill>
        </w:rPr>
        <w:fldChar w:fldCharType="begin"/>
      </w:r>
      <w:r>
        <w:rPr>
          <w:rFonts w:hint="eastAsia" w:asciiTheme="minorEastAsia" w:hAnsiTheme="minorEastAsia" w:eastAsiaTheme="minorEastAsia" w:cstheme="minorEastAsia"/>
          <w:color w:val="000000" w:themeColor="text1"/>
          <w14:textFill>
            <w14:solidFill>
              <w14:schemeClr w14:val="tx1"/>
            </w14:solidFill>
          </w14:textFill>
        </w:rPr>
        <w:instrText xml:space="preserve"> PAGEREF _Toc22459 \h </w:instrText>
      </w:r>
      <w:r>
        <w:rPr>
          <w:rFonts w:hint="eastAsia" w:asciiTheme="minorEastAsia" w:hAnsiTheme="minorEastAsia" w:eastAsiaTheme="minorEastAsia" w:cstheme="minorEastAsia"/>
          <w:color w:val="000000" w:themeColor="text1"/>
          <w14:textFill>
            <w14:solidFill>
              <w14:schemeClr w14:val="tx1"/>
            </w14:solidFill>
          </w14:textFill>
        </w:rPr>
        <w:fldChar w:fldCharType="separate"/>
      </w:r>
      <w:r>
        <w:rPr>
          <w:rFonts w:hint="eastAsia" w:asciiTheme="minorEastAsia" w:hAnsiTheme="minorEastAsia" w:eastAsiaTheme="minorEastAsia" w:cstheme="minorEastAsia"/>
          <w:color w:val="000000" w:themeColor="text1"/>
          <w14:textFill>
            <w14:solidFill>
              <w14:schemeClr w14:val="tx1"/>
            </w14:solidFill>
          </w14:textFill>
        </w:rPr>
        <w:t>45</w:t>
      </w:r>
      <w:r>
        <w:rPr>
          <w:rFonts w:hint="eastAsia" w:asciiTheme="minorEastAsia" w:hAnsiTheme="minorEastAsia" w:eastAsiaTheme="minorEastAsia" w:cstheme="minorEastAsia"/>
          <w:color w:val="000000" w:themeColor="text1"/>
          <w14:textFill>
            <w14:solidFill>
              <w14:schemeClr w14:val="tx1"/>
            </w14:solidFill>
          </w14:textFill>
        </w:rPr>
        <w:fldChar w:fldCharType="end"/>
      </w:r>
    </w:p>
    <w:p>
      <w:pPr>
        <w:pStyle w:val="31"/>
        <w:tabs>
          <w:tab w:val="right" w:leader="dot" w:pos="8312"/>
          <w:tab w:val="clear" w:pos="8302"/>
        </w:tabs>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第六部分   投标文件格式</w:t>
      </w:r>
      <w:r>
        <w:rPr>
          <w:rFonts w:hint="eastAsia" w:asciiTheme="minorEastAsia" w:hAnsiTheme="minorEastAsia" w:eastAsiaTheme="minorEastAsia" w:cstheme="minorEastAsia"/>
          <w:color w:val="000000" w:themeColor="text1"/>
          <w14:textFill>
            <w14:solidFill>
              <w14:schemeClr w14:val="tx1"/>
            </w14:solidFill>
          </w14:textFill>
        </w:rPr>
        <w:tab/>
      </w:r>
      <w:r>
        <w:rPr>
          <w:rFonts w:hint="eastAsia" w:asciiTheme="minorEastAsia" w:hAnsiTheme="minorEastAsia" w:eastAsiaTheme="minorEastAsia" w:cstheme="minorEastAsia"/>
          <w:color w:val="000000" w:themeColor="text1"/>
          <w14:textFill>
            <w14:solidFill>
              <w14:schemeClr w14:val="tx1"/>
            </w14:solidFill>
          </w14:textFill>
        </w:rPr>
        <w:fldChar w:fldCharType="begin"/>
      </w:r>
      <w:r>
        <w:rPr>
          <w:rFonts w:hint="eastAsia" w:asciiTheme="minorEastAsia" w:hAnsiTheme="minorEastAsia" w:eastAsiaTheme="minorEastAsia" w:cstheme="minorEastAsia"/>
          <w:color w:val="000000" w:themeColor="text1"/>
          <w14:textFill>
            <w14:solidFill>
              <w14:schemeClr w14:val="tx1"/>
            </w14:solidFill>
          </w14:textFill>
        </w:rPr>
        <w:instrText xml:space="preserve"> PAGEREF _Toc21049 \h </w:instrText>
      </w:r>
      <w:r>
        <w:rPr>
          <w:rFonts w:hint="eastAsia" w:asciiTheme="minorEastAsia" w:hAnsiTheme="minorEastAsia" w:eastAsiaTheme="minorEastAsia" w:cstheme="minorEastAsia"/>
          <w:color w:val="000000" w:themeColor="text1"/>
          <w14:textFill>
            <w14:solidFill>
              <w14:schemeClr w14:val="tx1"/>
            </w14:solidFill>
          </w14:textFill>
        </w:rPr>
        <w:fldChar w:fldCharType="separate"/>
      </w:r>
      <w:r>
        <w:rPr>
          <w:rFonts w:hint="eastAsia" w:asciiTheme="minorEastAsia" w:hAnsiTheme="minorEastAsia" w:eastAsiaTheme="minorEastAsia" w:cstheme="minorEastAsia"/>
          <w:color w:val="000000" w:themeColor="text1"/>
          <w14:textFill>
            <w14:solidFill>
              <w14:schemeClr w14:val="tx1"/>
            </w14:solidFill>
          </w14:textFill>
        </w:rPr>
        <w:t>58</w:t>
      </w:r>
      <w:r>
        <w:rPr>
          <w:rFonts w:hint="eastAsia" w:asciiTheme="minorEastAsia" w:hAnsiTheme="minorEastAsia" w:eastAsiaTheme="minorEastAsia" w:cstheme="minorEastAsia"/>
          <w:color w:val="000000" w:themeColor="text1"/>
          <w14:textFill>
            <w14:solidFill>
              <w14:schemeClr w14:val="tx1"/>
            </w14:solidFill>
          </w14:textFill>
        </w:rPr>
        <w:fldChar w:fldCharType="end"/>
      </w:r>
    </w:p>
    <w:p>
      <w:pPr>
        <w:pStyle w:val="24"/>
        <w:tabs>
          <w:tab w:val="right" w:leader="dot" w:pos="8312"/>
        </w:tabs>
        <w:rPr>
          <w:rFonts w:asciiTheme="minorEastAsia" w:hAnsiTheme="minorEastAsia" w:eastAsiaTheme="minorEastAsia" w:cstheme="minorEastAsia"/>
          <w:color w:val="000000" w:themeColor="text1"/>
          <w14:textFill>
            <w14:solidFill>
              <w14:schemeClr w14:val="tx1"/>
            </w14:solidFill>
          </w14:textFill>
        </w:rPr>
      </w:pPr>
    </w:p>
    <w:p>
      <w:pPr>
        <w:rPr>
          <w:rFonts w:asciiTheme="minorEastAsia" w:hAnsiTheme="minorEastAsia" w:eastAsiaTheme="minorEastAsia" w:cstheme="minorEastAsia"/>
          <w:b/>
          <w:bCs/>
          <w:color w:val="000000" w:themeColor="text1"/>
          <w:lang w:val="zh-CN"/>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fldChar w:fldCharType="end"/>
      </w:r>
    </w:p>
    <w:p>
      <w:pPr>
        <w:pStyle w:val="21"/>
        <w:tabs>
          <w:tab w:val="left" w:pos="0"/>
        </w:tabs>
        <w:ind w:left="0" w:leftChars="0" w:firstLine="0" w:firstLineChars="0"/>
        <w:jc w:val="center"/>
        <w:outlineLvl w:val="0"/>
        <w:rPr>
          <w:rFonts w:asciiTheme="minorEastAsia" w:hAnsiTheme="minorEastAsia" w:eastAsiaTheme="minorEastAsia" w:cstheme="minorEastAsia"/>
          <w:b/>
          <w:color w:val="000000" w:themeColor="text1"/>
          <w:sz w:val="28"/>
          <w:szCs w:val="28"/>
          <w14:textFill>
            <w14:solidFill>
              <w14:schemeClr w14:val="tx1"/>
            </w14:solidFill>
          </w14:textFill>
        </w:rPr>
        <w:sectPr>
          <w:pgSz w:w="11906" w:h="16838"/>
          <w:pgMar w:top="1440" w:right="1800" w:bottom="1440" w:left="1800" w:header="851" w:footer="992" w:gutter="0"/>
          <w:cols w:space="425" w:num="1"/>
          <w:docGrid w:type="lines" w:linePitch="312" w:charSpace="0"/>
        </w:sectPr>
      </w:pPr>
      <w:bookmarkStart w:id="0" w:name="_Toc4964"/>
      <w:bookmarkStart w:id="1" w:name="_Toc28224"/>
    </w:p>
    <w:p>
      <w:pPr>
        <w:pStyle w:val="21"/>
        <w:tabs>
          <w:tab w:val="left" w:pos="0"/>
        </w:tabs>
        <w:ind w:left="0" w:leftChars="0" w:firstLine="0" w:firstLineChars="0"/>
        <w:jc w:val="center"/>
        <w:outlineLvl w:val="0"/>
        <w:rPr>
          <w:rFonts w:asciiTheme="minorEastAsia" w:hAnsiTheme="minorEastAsia" w:eastAsiaTheme="minorEastAsia" w:cstheme="minorEastAsia"/>
          <w:b/>
          <w:color w:val="000000" w:themeColor="text1"/>
          <w:sz w:val="28"/>
          <w:szCs w:val="28"/>
          <w14:textFill>
            <w14:solidFill>
              <w14:schemeClr w14:val="tx1"/>
            </w14:solidFill>
          </w14:textFill>
        </w:rPr>
      </w:pPr>
      <w:r>
        <w:rPr>
          <w:rFonts w:hint="eastAsia" w:asciiTheme="minorEastAsia" w:hAnsiTheme="minorEastAsia" w:eastAsiaTheme="minorEastAsia" w:cstheme="minorEastAsia"/>
          <w:b/>
          <w:color w:val="000000" w:themeColor="text1"/>
          <w:sz w:val="28"/>
          <w:szCs w:val="28"/>
          <w14:textFill>
            <w14:solidFill>
              <w14:schemeClr w14:val="tx1"/>
            </w14:solidFill>
          </w14:textFill>
        </w:rPr>
        <w:t>第一章  招标公告</w:t>
      </w:r>
      <w:bookmarkEnd w:id="0"/>
      <w:bookmarkEnd w:id="1"/>
    </w:p>
    <w:p>
      <w:pPr>
        <w:spacing w:line="500" w:lineRule="exact"/>
        <w:jc w:val="center"/>
        <w:rPr>
          <w:rFonts w:asciiTheme="minorEastAsia" w:hAnsiTheme="minorEastAsia" w:eastAsiaTheme="minorEastAsia" w:cstheme="minorEastAsia"/>
          <w:b/>
          <w:bCs/>
          <w:color w:val="000000" w:themeColor="text1"/>
          <w:sz w:val="28"/>
          <w:szCs w:val="28"/>
          <w14:textFill>
            <w14:solidFill>
              <w14:schemeClr w14:val="tx1"/>
            </w14:solidFill>
          </w14:textFill>
        </w:rPr>
      </w:pPr>
      <w:r>
        <w:rPr>
          <w:rFonts w:hint="eastAsia" w:asciiTheme="minorEastAsia" w:hAnsiTheme="minorEastAsia" w:eastAsiaTheme="minorEastAsia" w:cstheme="minorEastAsia"/>
          <w:b/>
          <w:color w:val="000000" w:themeColor="text1"/>
          <w:sz w:val="28"/>
          <w:szCs w:val="28"/>
          <w14:textFill>
            <w14:solidFill>
              <w14:schemeClr w14:val="tx1"/>
            </w14:solidFill>
          </w14:textFill>
        </w:rPr>
        <w:t>新疆职业大学先进装备制造与运维虚拟仿真示范基地设备采购项目招标公告</w:t>
      </w:r>
    </w:p>
    <w:tbl>
      <w:tblPr>
        <w:tblStyle w:val="38"/>
        <w:tblW w:w="87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5" w:type="dxa"/>
          </w:tcPr>
          <w:p>
            <w:pPr>
              <w:pStyle w:val="34"/>
              <w:spacing w:beforeAutospacing="0" w:afterAutospacing="0" w:line="500" w:lineRule="exact"/>
              <w:rPr>
                <w:rFonts w:asciiTheme="minorEastAsia" w:hAnsiTheme="minorEastAsia" w:eastAsiaTheme="minorEastAsia" w:cstheme="minorEastAsia"/>
                <w:color w:val="000000" w:themeColor="text1"/>
                <w:szCs w:val="24"/>
                <w14:textFill>
                  <w14:solidFill>
                    <w14:schemeClr w14:val="tx1"/>
                  </w14:solidFill>
                </w14:textFill>
              </w:rPr>
            </w:pPr>
            <w:r>
              <w:rPr>
                <w:rFonts w:hint="eastAsia" w:asciiTheme="minorEastAsia" w:hAnsiTheme="minorEastAsia" w:eastAsiaTheme="minorEastAsia" w:cstheme="minorEastAsia"/>
                <w:color w:val="000000" w:themeColor="text1"/>
                <w:szCs w:val="24"/>
                <w14:textFill>
                  <w14:solidFill>
                    <w14:schemeClr w14:val="tx1"/>
                  </w14:solidFill>
                </w14:textFill>
              </w:rPr>
              <w:t>项目概况</w:t>
            </w:r>
          </w:p>
          <w:p>
            <w:pPr>
              <w:pStyle w:val="34"/>
              <w:spacing w:beforeAutospacing="0" w:afterAutospacing="0" w:line="500" w:lineRule="exact"/>
              <w:ind w:firstLine="480" w:firstLineChars="200"/>
              <w:rPr>
                <w:rFonts w:asciiTheme="minorEastAsia" w:hAnsiTheme="minorEastAsia" w:eastAsiaTheme="minorEastAsia" w:cstheme="minorEastAsia"/>
                <w:color w:val="000000" w:themeColor="text1"/>
                <w:szCs w:val="24"/>
                <w14:textFill>
                  <w14:solidFill>
                    <w14:schemeClr w14:val="tx1"/>
                  </w14:solidFill>
                </w14:textFill>
              </w:rPr>
            </w:pPr>
            <w:r>
              <w:rPr>
                <w:rFonts w:hint="eastAsia" w:asciiTheme="minorEastAsia" w:hAnsiTheme="minorEastAsia" w:eastAsiaTheme="minorEastAsia" w:cstheme="minorEastAsia"/>
                <w:color w:val="000000" w:themeColor="text1"/>
                <w:szCs w:val="24"/>
                <w:u w:val="single"/>
                <w14:textFill>
                  <w14:solidFill>
                    <w14:schemeClr w14:val="tx1"/>
                  </w14:solidFill>
                </w14:textFill>
              </w:rPr>
              <w:t>新疆职业大学先进装备制造与运维虚拟仿真示范基地设备采购项目</w:t>
            </w:r>
            <w:r>
              <w:rPr>
                <w:rFonts w:hint="eastAsia" w:asciiTheme="minorEastAsia" w:hAnsiTheme="minorEastAsia" w:eastAsiaTheme="minorEastAsia" w:cstheme="minorEastAsia"/>
                <w:color w:val="000000" w:themeColor="text1"/>
                <w:szCs w:val="24"/>
                <w14:textFill>
                  <w14:solidFill>
                    <w14:schemeClr w14:val="tx1"/>
                  </w14:solidFill>
                </w14:textFill>
              </w:rPr>
              <w:t>的潜在投标人应在</w:t>
            </w:r>
            <w:r>
              <w:rPr>
                <w:rFonts w:hint="eastAsia" w:asciiTheme="minorEastAsia" w:hAnsiTheme="minorEastAsia" w:eastAsiaTheme="minorEastAsia" w:cstheme="minorEastAsia"/>
                <w:color w:val="000000" w:themeColor="text1"/>
                <w:szCs w:val="24"/>
                <w:u w:val="single"/>
                <w14:textFill>
                  <w14:solidFill>
                    <w14:schemeClr w14:val="tx1"/>
                  </w14:solidFill>
                </w14:textFill>
              </w:rPr>
              <w:t>乌鲁木齐市会展大道1119号大成尔雅A座901</w:t>
            </w:r>
            <w:r>
              <w:rPr>
                <w:rFonts w:hint="eastAsia" w:asciiTheme="minorEastAsia" w:hAnsiTheme="minorEastAsia" w:eastAsiaTheme="minorEastAsia" w:cstheme="minorEastAsia"/>
                <w:color w:val="000000" w:themeColor="text1"/>
                <w:szCs w:val="24"/>
                <w14:textFill>
                  <w14:solidFill>
                    <w14:schemeClr w14:val="tx1"/>
                  </w14:solidFill>
                </w14:textFill>
              </w:rPr>
              <w:t>室获取招标文件，并于</w:t>
            </w:r>
            <w:r>
              <w:rPr>
                <w:rFonts w:hint="eastAsia" w:asciiTheme="minorEastAsia" w:hAnsiTheme="minorEastAsia" w:eastAsiaTheme="minorEastAsia" w:cstheme="minorEastAsia"/>
                <w:color w:val="FF0000"/>
                <w:szCs w:val="24"/>
                <w:u w:val="single"/>
              </w:rPr>
              <w:t xml:space="preserve">2022 年 </w:t>
            </w:r>
            <w:r>
              <w:rPr>
                <w:rFonts w:hint="eastAsia" w:asciiTheme="minorEastAsia" w:hAnsiTheme="minorEastAsia" w:eastAsiaTheme="minorEastAsia" w:cstheme="minorEastAsia"/>
                <w:color w:val="FF0000"/>
                <w:szCs w:val="24"/>
                <w:u w:val="single"/>
                <w:lang w:val="en-US" w:eastAsia="zh-CN"/>
              </w:rPr>
              <w:t>6</w:t>
            </w:r>
            <w:r>
              <w:rPr>
                <w:rFonts w:hint="eastAsia" w:asciiTheme="minorEastAsia" w:hAnsiTheme="minorEastAsia" w:eastAsiaTheme="minorEastAsia" w:cstheme="minorEastAsia"/>
                <w:color w:val="FF0000"/>
                <w:szCs w:val="24"/>
                <w:u w:val="single"/>
              </w:rPr>
              <w:t xml:space="preserve"> 月 </w:t>
            </w:r>
            <w:r>
              <w:rPr>
                <w:rFonts w:hint="eastAsia" w:asciiTheme="minorEastAsia" w:hAnsiTheme="minorEastAsia" w:eastAsiaTheme="minorEastAsia" w:cstheme="minorEastAsia"/>
                <w:color w:val="FF0000"/>
                <w:szCs w:val="24"/>
                <w:u w:val="single"/>
                <w:lang w:val="en-US" w:eastAsia="zh-CN"/>
              </w:rPr>
              <w:t>23</w:t>
            </w:r>
            <w:r>
              <w:rPr>
                <w:rFonts w:hint="eastAsia" w:asciiTheme="minorEastAsia" w:hAnsiTheme="minorEastAsia" w:eastAsiaTheme="minorEastAsia" w:cstheme="minorEastAsia"/>
                <w:color w:val="FF0000"/>
                <w:szCs w:val="24"/>
                <w:u w:val="single"/>
              </w:rPr>
              <w:t xml:space="preserve"> 日11:00</w:t>
            </w:r>
            <w:r>
              <w:rPr>
                <w:rFonts w:hint="eastAsia" w:asciiTheme="minorEastAsia" w:hAnsiTheme="minorEastAsia" w:eastAsiaTheme="minorEastAsia" w:cstheme="minorEastAsia"/>
                <w:color w:val="000000" w:themeColor="text1"/>
                <w:szCs w:val="24"/>
                <w14:textFill>
                  <w14:solidFill>
                    <w14:schemeClr w14:val="tx1"/>
                  </w14:solidFill>
                </w14:textFill>
              </w:rPr>
              <w:t>（北京时间）前递交投标文件。</w:t>
            </w:r>
          </w:p>
        </w:tc>
      </w:tr>
    </w:tbl>
    <w:p>
      <w:pPr>
        <w:pStyle w:val="34"/>
        <w:adjustRightInd w:val="0"/>
        <w:snapToGrid w:val="0"/>
        <w:spacing w:beforeAutospacing="0" w:afterAutospacing="0" w:line="500" w:lineRule="exact"/>
        <w:jc w:val="both"/>
        <w:rPr>
          <w:rFonts w:asciiTheme="minorEastAsia" w:hAnsiTheme="minorEastAsia" w:eastAsiaTheme="minorEastAsia" w:cstheme="minorEastAsia"/>
          <w:color w:val="000000" w:themeColor="text1"/>
          <w:szCs w:val="24"/>
          <w14:textFill>
            <w14:solidFill>
              <w14:schemeClr w14:val="tx1"/>
            </w14:solidFill>
          </w14:textFill>
        </w:rPr>
      </w:pPr>
      <w:r>
        <w:rPr>
          <w:rStyle w:val="41"/>
          <w:rFonts w:hint="eastAsia" w:asciiTheme="minorEastAsia" w:hAnsiTheme="minorEastAsia" w:eastAsiaTheme="minorEastAsia" w:cstheme="minorEastAsia"/>
          <w:color w:val="000000" w:themeColor="text1"/>
          <w:szCs w:val="24"/>
          <w14:textFill>
            <w14:solidFill>
              <w14:schemeClr w14:val="tx1"/>
            </w14:solidFill>
          </w14:textFill>
        </w:rPr>
        <w:t>一、项目基本情况</w:t>
      </w:r>
    </w:p>
    <w:p>
      <w:pPr>
        <w:pStyle w:val="34"/>
        <w:adjustRightInd w:val="0"/>
        <w:snapToGrid w:val="0"/>
        <w:spacing w:beforeAutospacing="0" w:afterAutospacing="0" w:line="500" w:lineRule="exact"/>
        <w:ind w:firstLine="480" w:firstLineChars="200"/>
        <w:jc w:val="both"/>
        <w:rPr>
          <w:rStyle w:val="41"/>
          <w:rFonts w:asciiTheme="minorEastAsia" w:hAnsiTheme="minorEastAsia" w:eastAsiaTheme="minorEastAsia" w:cstheme="minorEastAsia"/>
          <w:b w:val="0"/>
          <w:bCs w:val="0"/>
          <w:color w:val="000000" w:themeColor="text1"/>
          <w:szCs w:val="24"/>
          <w14:textFill>
            <w14:solidFill>
              <w14:schemeClr w14:val="tx1"/>
            </w14:solidFill>
          </w14:textFill>
        </w:rPr>
      </w:pPr>
      <w:r>
        <w:rPr>
          <w:rStyle w:val="41"/>
          <w:rFonts w:hint="eastAsia" w:asciiTheme="minorEastAsia" w:hAnsiTheme="minorEastAsia" w:eastAsiaTheme="minorEastAsia" w:cstheme="minorEastAsia"/>
          <w:b w:val="0"/>
          <w:bCs w:val="0"/>
          <w:color w:val="000000" w:themeColor="text1"/>
          <w:szCs w:val="24"/>
          <w14:textFill>
            <w14:solidFill>
              <w14:schemeClr w14:val="tx1"/>
            </w14:solidFill>
          </w14:textFill>
        </w:rPr>
        <w:t>项目编号：2022（JKJ）137</w:t>
      </w:r>
    </w:p>
    <w:p>
      <w:pPr>
        <w:pStyle w:val="34"/>
        <w:adjustRightInd w:val="0"/>
        <w:snapToGrid w:val="0"/>
        <w:spacing w:beforeAutospacing="0" w:afterAutospacing="0" w:line="500" w:lineRule="exact"/>
        <w:ind w:firstLine="480" w:firstLineChars="200"/>
        <w:jc w:val="both"/>
        <w:rPr>
          <w:rStyle w:val="41"/>
          <w:rFonts w:asciiTheme="minorEastAsia" w:hAnsiTheme="minorEastAsia" w:eastAsiaTheme="minorEastAsia" w:cstheme="minorEastAsia"/>
          <w:b w:val="0"/>
          <w:bCs w:val="0"/>
          <w:color w:val="000000" w:themeColor="text1"/>
          <w:szCs w:val="24"/>
          <w14:textFill>
            <w14:solidFill>
              <w14:schemeClr w14:val="tx1"/>
            </w14:solidFill>
          </w14:textFill>
        </w:rPr>
      </w:pPr>
      <w:r>
        <w:rPr>
          <w:rStyle w:val="41"/>
          <w:rFonts w:hint="eastAsia" w:asciiTheme="minorEastAsia" w:hAnsiTheme="minorEastAsia" w:eastAsiaTheme="minorEastAsia" w:cstheme="minorEastAsia"/>
          <w:b w:val="0"/>
          <w:bCs w:val="0"/>
          <w:color w:val="000000" w:themeColor="text1"/>
          <w:szCs w:val="24"/>
          <w14:textFill>
            <w14:solidFill>
              <w14:schemeClr w14:val="tx1"/>
            </w14:solidFill>
          </w14:textFill>
        </w:rPr>
        <w:t>项目名称：新疆职业大学先进装备制造与运维虚拟仿真示范基地设备采购项目</w:t>
      </w:r>
    </w:p>
    <w:p>
      <w:pPr>
        <w:pStyle w:val="34"/>
        <w:adjustRightInd w:val="0"/>
        <w:snapToGrid w:val="0"/>
        <w:spacing w:beforeAutospacing="0" w:afterAutospacing="0" w:line="500" w:lineRule="exact"/>
        <w:ind w:firstLine="480" w:firstLineChars="200"/>
        <w:jc w:val="both"/>
        <w:rPr>
          <w:rStyle w:val="41"/>
          <w:rFonts w:asciiTheme="minorEastAsia" w:hAnsiTheme="minorEastAsia" w:eastAsiaTheme="minorEastAsia" w:cstheme="minorEastAsia"/>
          <w:b w:val="0"/>
          <w:bCs w:val="0"/>
          <w:color w:val="000000" w:themeColor="text1"/>
          <w:szCs w:val="24"/>
          <w14:textFill>
            <w14:solidFill>
              <w14:schemeClr w14:val="tx1"/>
            </w14:solidFill>
          </w14:textFill>
        </w:rPr>
      </w:pPr>
      <w:r>
        <w:rPr>
          <w:rStyle w:val="41"/>
          <w:rFonts w:hint="eastAsia" w:asciiTheme="minorEastAsia" w:hAnsiTheme="minorEastAsia" w:eastAsiaTheme="minorEastAsia" w:cstheme="minorEastAsia"/>
          <w:b w:val="0"/>
          <w:bCs w:val="0"/>
          <w:color w:val="000000" w:themeColor="text1"/>
          <w:szCs w:val="24"/>
          <w14:textFill>
            <w14:solidFill>
              <w14:schemeClr w14:val="tx1"/>
            </w14:solidFill>
          </w14:textFill>
        </w:rPr>
        <w:t>采购方式：公开招标</w:t>
      </w:r>
    </w:p>
    <w:p>
      <w:pPr>
        <w:pStyle w:val="34"/>
        <w:adjustRightInd w:val="0"/>
        <w:snapToGrid w:val="0"/>
        <w:spacing w:beforeAutospacing="0" w:afterAutospacing="0" w:line="500" w:lineRule="exact"/>
        <w:ind w:firstLine="480" w:firstLineChars="200"/>
        <w:jc w:val="both"/>
        <w:rPr>
          <w:rStyle w:val="41"/>
          <w:rFonts w:asciiTheme="minorEastAsia" w:hAnsiTheme="minorEastAsia" w:eastAsiaTheme="minorEastAsia" w:cstheme="minorEastAsia"/>
          <w:b w:val="0"/>
          <w:bCs w:val="0"/>
          <w:color w:val="000000" w:themeColor="text1"/>
          <w:szCs w:val="24"/>
          <w14:textFill>
            <w14:solidFill>
              <w14:schemeClr w14:val="tx1"/>
            </w14:solidFill>
          </w14:textFill>
        </w:rPr>
      </w:pPr>
      <w:r>
        <w:rPr>
          <w:rStyle w:val="41"/>
          <w:rFonts w:hint="eastAsia" w:asciiTheme="minorEastAsia" w:hAnsiTheme="minorEastAsia" w:eastAsiaTheme="minorEastAsia" w:cstheme="minorEastAsia"/>
          <w:b w:val="0"/>
          <w:bCs w:val="0"/>
          <w:color w:val="000000" w:themeColor="text1"/>
          <w:szCs w:val="24"/>
          <w14:textFill>
            <w14:solidFill>
              <w14:schemeClr w14:val="tx1"/>
            </w14:solidFill>
          </w14:textFill>
        </w:rPr>
        <w:t>预算金额（元）：4083070.00</w:t>
      </w:r>
    </w:p>
    <w:p>
      <w:pPr>
        <w:pStyle w:val="34"/>
        <w:adjustRightInd w:val="0"/>
        <w:snapToGrid w:val="0"/>
        <w:spacing w:beforeAutospacing="0" w:afterAutospacing="0" w:line="500" w:lineRule="exact"/>
        <w:ind w:firstLine="480" w:firstLineChars="200"/>
        <w:jc w:val="both"/>
        <w:rPr>
          <w:rStyle w:val="41"/>
          <w:rFonts w:asciiTheme="minorEastAsia" w:hAnsiTheme="minorEastAsia" w:eastAsiaTheme="minorEastAsia" w:cstheme="minorEastAsia"/>
          <w:b w:val="0"/>
          <w:bCs w:val="0"/>
          <w:color w:val="000000" w:themeColor="text1"/>
          <w:szCs w:val="24"/>
          <w14:textFill>
            <w14:solidFill>
              <w14:schemeClr w14:val="tx1"/>
            </w14:solidFill>
          </w14:textFill>
        </w:rPr>
      </w:pPr>
      <w:r>
        <w:rPr>
          <w:rStyle w:val="41"/>
          <w:rFonts w:hint="eastAsia" w:asciiTheme="minorEastAsia" w:hAnsiTheme="minorEastAsia" w:eastAsiaTheme="minorEastAsia" w:cstheme="minorEastAsia"/>
          <w:b w:val="0"/>
          <w:bCs w:val="0"/>
          <w:color w:val="000000" w:themeColor="text1"/>
          <w:szCs w:val="24"/>
          <w14:textFill>
            <w14:solidFill>
              <w14:schemeClr w14:val="tx1"/>
            </w14:solidFill>
          </w14:textFill>
        </w:rPr>
        <w:t>采购需求：</w:t>
      </w:r>
    </w:p>
    <w:p>
      <w:pPr>
        <w:pStyle w:val="34"/>
        <w:adjustRightInd w:val="0"/>
        <w:snapToGrid w:val="0"/>
        <w:spacing w:beforeAutospacing="0" w:afterAutospacing="0" w:line="500" w:lineRule="exact"/>
        <w:ind w:left="479" w:leftChars="228"/>
        <w:jc w:val="both"/>
        <w:rPr>
          <w:rStyle w:val="41"/>
          <w:rFonts w:hint="eastAsia" w:asciiTheme="minorEastAsia" w:hAnsiTheme="minorEastAsia" w:eastAsiaTheme="minorEastAsia" w:cstheme="minorEastAsia"/>
          <w:b w:val="0"/>
          <w:bCs w:val="0"/>
          <w:color w:val="000000" w:themeColor="text1"/>
          <w:szCs w:val="24"/>
          <w:lang w:eastAsia="zh-CN"/>
          <w14:textFill>
            <w14:solidFill>
              <w14:schemeClr w14:val="tx1"/>
            </w14:solidFill>
          </w14:textFill>
        </w:rPr>
      </w:pPr>
      <w:r>
        <w:rPr>
          <w:rStyle w:val="41"/>
          <w:rFonts w:hint="eastAsia" w:asciiTheme="minorEastAsia" w:hAnsiTheme="minorEastAsia" w:eastAsiaTheme="minorEastAsia" w:cstheme="minorEastAsia"/>
          <w:b w:val="0"/>
          <w:bCs w:val="0"/>
          <w:color w:val="000000" w:themeColor="text1"/>
          <w:szCs w:val="24"/>
          <w14:textFill>
            <w14:solidFill>
              <w14:schemeClr w14:val="tx1"/>
            </w14:solidFill>
          </w14:textFill>
        </w:rPr>
        <w:t>标项名称：新疆职业大学先进装备制造与运维虚拟仿真示范基地设备采购项目</w:t>
      </w:r>
    </w:p>
    <w:p>
      <w:pPr>
        <w:pStyle w:val="34"/>
        <w:adjustRightInd w:val="0"/>
        <w:snapToGrid w:val="0"/>
        <w:spacing w:beforeAutospacing="0" w:afterAutospacing="0" w:line="500" w:lineRule="exact"/>
        <w:ind w:left="479" w:leftChars="228"/>
        <w:jc w:val="both"/>
        <w:rPr>
          <w:rStyle w:val="41"/>
          <w:rFonts w:asciiTheme="minorEastAsia" w:hAnsiTheme="minorEastAsia" w:eastAsiaTheme="minorEastAsia" w:cstheme="minorEastAsia"/>
          <w:b w:val="0"/>
          <w:bCs w:val="0"/>
          <w:color w:val="000000" w:themeColor="text1"/>
          <w:szCs w:val="24"/>
          <w14:textFill>
            <w14:solidFill>
              <w14:schemeClr w14:val="tx1"/>
            </w14:solidFill>
          </w14:textFill>
        </w:rPr>
      </w:pPr>
      <w:r>
        <w:rPr>
          <w:rStyle w:val="41"/>
          <w:rFonts w:hint="eastAsia" w:asciiTheme="minorEastAsia" w:hAnsiTheme="minorEastAsia" w:eastAsiaTheme="minorEastAsia" w:cstheme="minorEastAsia"/>
          <w:b w:val="0"/>
          <w:bCs w:val="0"/>
          <w:color w:val="000000" w:themeColor="text1"/>
          <w:szCs w:val="24"/>
          <w14:textFill>
            <w14:solidFill>
              <w14:schemeClr w14:val="tx1"/>
            </w14:solidFill>
          </w14:textFill>
        </w:rPr>
        <w:t>数量：1批</w:t>
      </w:r>
    </w:p>
    <w:p>
      <w:pPr>
        <w:pStyle w:val="34"/>
        <w:adjustRightInd w:val="0"/>
        <w:snapToGrid w:val="0"/>
        <w:spacing w:beforeAutospacing="0" w:afterAutospacing="0" w:line="500" w:lineRule="exact"/>
        <w:ind w:left="479" w:leftChars="228"/>
        <w:jc w:val="both"/>
        <w:rPr>
          <w:rStyle w:val="41"/>
          <w:rFonts w:hint="eastAsia" w:asciiTheme="minorEastAsia" w:hAnsiTheme="minorEastAsia" w:eastAsiaTheme="minorEastAsia" w:cstheme="minorEastAsia"/>
          <w:b w:val="0"/>
          <w:bCs w:val="0"/>
          <w:color w:val="000000" w:themeColor="text1"/>
          <w:szCs w:val="24"/>
          <w:lang w:eastAsia="zh-CN"/>
          <w14:textFill>
            <w14:solidFill>
              <w14:schemeClr w14:val="tx1"/>
            </w14:solidFill>
          </w14:textFill>
        </w:rPr>
      </w:pPr>
      <w:r>
        <w:rPr>
          <w:rStyle w:val="41"/>
          <w:rFonts w:hint="eastAsia" w:asciiTheme="minorEastAsia" w:hAnsiTheme="minorEastAsia" w:eastAsiaTheme="minorEastAsia" w:cstheme="minorEastAsia"/>
          <w:b w:val="0"/>
          <w:bCs w:val="0"/>
          <w:color w:val="000000" w:themeColor="text1"/>
          <w:szCs w:val="24"/>
          <w14:textFill>
            <w14:solidFill>
              <w14:schemeClr w14:val="tx1"/>
            </w14:solidFill>
          </w14:textFill>
        </w:rPr>
        <w:t>预算金额（元）：4083070.00</w:t>
      </w:r>
    </w:p>
    <w:p>
      <w:pPr>
        <w:pStyle w:val="34"/>
        <w:adjustRightInd w:val="0"/>
        <w:snapToGrid w:val="0"/>
        <w:spacing w:beforeAutospacing="0" w:afterAutospacing="0" w:line="500" w:lineRule="exact"/>
        <w:ind w:left="479" w:leftChars="228"/>
        <w:jc w:val="both"/>
        <w:rPr>
          <w:rStyle w:val="41"/>
          <w:rFonts w:hint="eastAsia" w:asciiTheme="minorEastAsia" w:hAnsiTheme="minorEastAsia" w:eastAsiaTheme="minorEastAsia" w:cstheme="minorEastAsia"/>
          <w:b w:val="0"/>
          <w:bCs w:val="0"/>
          <w:color w:val="000000" w:themeColor="text1"/>
          <w:szCs w:val="24"/>
          <w:lang w:eastAsia="zh-CN"/>
          <w14:textFill>
            <w14:solidFill>
              <w14:schemeClr w14:val="tx1"/>
            </w14:solidFill>
          </w14:textFill>
        </w:rPr>
      </w:pPr>
      <w:r>
        <w:rPr>
          <w:rStyle w:val="41"/>
          <w:rFonts w:hint="eastAsia" w:asciiTheme="minorEastAsia" w:hAnsiTheme="minorEastAsia" w:eastAsiaTheme="minorEastAsia" w:cstheme="minorEastAsia"/>
          <w:b w:val="0"/>
          <w:bCs w:val="0"/>
          <w:color w:val="000000" w:themeColor="text1"/>
          <w:szCs w:val="24"/>
          <w14:textFill>
            <w14:solidFill>
              <w14:schemeClr w14:val="tx1"/>
            </w14:solidFill>
          </w14:textFill>
        </w:rPr>
        <w:t>简要规格描述或项目基本概况介绍、用途：详见招标文件</w:t>
      </w:r>
    </w:p>
    <w:p>
      <w:pPr>
        <w:pStyle w:val="34"/>
        <w:adjustRightInd w:val="0"/>
        <w:snapToGrid w:val="0"/>
        <w:spacing w:beforeAutospacing="0" w:afterAutospacing="0" w:line="500" w:lineRule="exact"/>
        <w:ind w:left="479" w:leftChars="228"/>
        <w:jc w:val="both"/>
        <w:rPr>
          <w:rStyle w:val="41"/>
          <w:rFonts w:asciiTheme="minorEastAsia" w:hAnsiTheme="minorEastAsia" w:eastAsiaTheme="minorEastAsia" w:cstheme="minorEastAsia"/>
          <w:b w:val="0"/>
          <w:bCs w:val="0"/>
          <w:color w:val="000000" w:themeColor="text1"/>
          <w:szCs w:val="24"/>
          <w14:textFill>
            <w14:solidFill>
              <w14:schemeClr w14:val="tx1"/>
            </w14:solidFill>
          </w14:textFill>
        </w:rPr>
      </w:pPr>
      <w:r>
        <w:rPr>
          <w:rStyle w:val="41"/>
          <w:rFonts w:hint="eastAsia" w:asciiTheme="minorEastAsia" w:hAnsiTheme="minorEastAsia" w:eastAsiaTheme="minorEastAsia" w:cstheme="minorEastAsia"/>
          <w:b w:val="0"/>
          <w:bCs w:val="0"/>
          <w:color w:val="000000" w:themeColor="text1"/>
          <w:szCs w:val="24"/>
          <w14:textFill>
            <w14:solidFill>
              <w14:schemeClr w14:val="tx1"/>
            </w14:solidFill>
          </w14:textFill>
        </w:rPr>
        <w:t>备注：</w:t>
      </w:r>
    </w:p>
    <w:p>
      <w:pPr>
        <w:pStyle w:val="34"/>
        <w:adjustRightInd w:val="0"/>
        <w:snapToGrid w:val="0"/>
        <w:spacing w:beforeAutospacing="0" w:afterAutospacing="0" w:line="500" w:lineRule="exact"/>
        <w:ind w:firstLine="480" w:firstLineChars="200"/>
        <w:jc w:val="both"/>
        <w:rPr>
          <w:rStyle w:val="41"/>
          <w:rFonts w:hint="eastAsia" w:asciiTheme="minorEastAsia" w:hAnsiTheme="minorEastAsia" w:eastAsiaTheme="minorEastAsia" w:cstheme="minorEastAsia"/>
          <w:b w:val="0"/>
          <w:bCs w:val="0"/>
          <w:color w:val="000000" w:themeColor="text1"/>
          <w:szCs w:val="24"/>
          <w14:textFill>
            <w14:solidFill>
              <w14:schemeClr w14:val="tx1"/>
            </w14:solidFill>
          </w14:textFill>
        </w:rPr>
      </w:pPr>
      <w:r>
        <w:rPr>
          <w:rStyle w:val="41"/>
          <w:rFonts w:hint="eastAsia" w:asciiTheme="minorEastAsia" w:hAnsiTheme="minorEastAsia" w:eastAsiaTheme="minorEastAsia" w:cstheme="minorEastAsia"/>
          <w:b w:val="0"/>
          <w:bCs w:val="0"/>
          <w:color w:val="000000" w:themeColor="text1"/>
          <w:szCs w:val="24"/>
          <w14:textFill>
            <w14:solidFill>
              <w14:schemeClr w14:val="tx1"/>
            </w14:solidFill>
          </w14:textFill>
        </w:rPr>
        <w:t>合同履约期限：自合同签订之日起45日历日内送达采购人指定地点完成装修及设备安装调试并通过采购人验收合格</w:t>
      </w:r>
    </w:p>
    <w:p>
      <w:pPr>
        <w:pStyle w:val="34"/>
        <w:adjustRightInd w:val="0"/>
        <w:snapToGrid w:val="0"/>
        <w:spacing w:beforeAutospacing="0" w:afterAutospacing="0" w:line="500" w:lineRule="exact"/>
        <w:ind w:firstLine="480" w:firstLineChars="200"/>
        <w:jc w:val="both"/>
        <w:rPr>
          <w:rStyle w:val="41"/>
          <w:rFonts w:hint="eastAsia" w:asciiTheme="minorEastAsia" w:hAnsiTheme="minorEastAsia" w:eastAsiaTheme="minorEastAsia" w:cstheme="minorEastAsia"/>
          <w:b w:val="0"/>
          <w:bCs w:val="0"/>
          <w:color w:val="000000" w:themeColor="text1"/>
          <w:szCs w:val="24"/>
          <w14:textFill>
            <w14:solidFill>
              <w14:schemeClr w14:val="tx1"/>
            </w14:solidFill>
          </w14:textFill>
        </w:rPr>
      </w:pPr>
      <w:r>
        <w:rPr>
          <w:rStyle w:val="41"/>
          <w:rFonts w:hint="eastAsia" w:asciiTheme="minorEastAsia" w:hAnsiTheme="minorEastAsia" w:eastAsiaTheme="minorEastAsia" w:cstheme="minorEastAsia"/>
          <w:b w:val="0"/>
          <w:bCs w:val="0"/>
          <w:color w:val="000000" w:themeColor="text1"/>
          <w:szCs w:val="24"/>
          <w14:textFill>
            <w14:solidFill>
              <w14:schemeClr w14:val="tx1"/>
            </w14:solidFill>
          </w14:textFill>
        </w:rPr>
        <w:t>本项目不接受联合体投标。</w:t>
      </w:r>
    </w:p>
    <w:p>
      <w:pPr>
        <w:pStyle w:val="34"/>
        <w:adjustRightInd w:val="0"/>
        <w:snapToGrid w:val="0"/>
        <w:spacing w:beforeAutospacing="0" w:afterAutospacing="0" w:line="500" w:lineRule="exact"/>
        <w:jc w:val="both"/>
        <w:rPr>
          <w:rFonts w:asciiTheme="minorEastAsia" w:hAnsiTheme="minorEastAsia" w:eastAsiaTheme="minorEastAsia" w:cstheme="minorEastAsia"/>
          <w:color w:val="000000" w:themeColor="text1"/>
          <w:szCs w:val="24"/>
          <w14:textFill>
            <w14:solidFill>
              <w14:schemeClr w14:val="tx1"/>
            </w14:solidFill>
          </w14:textFill>
        </w:rPr>
      </w:pPr>
      <w:r>
        <w:rPr>
          <w:rStyle w:val="41"/>
          <w:rFonts w:hint="eastAsia" w:asciiTheme="minorEastAsia" w:hAnsiTheme="minorEastAsia" w:eastAsiaTheme="minorEastAsia" w:cstheme="minorEastAsia"/>
          <w:color w:val="000000" w:themeColor="text1"/>
          <w:szCs w:val="24"/>
          <w14:textFill>
            <w14:solidFill>
              <w14:schemeClr w14:val="tx1"/>
            </w14:solidFill>
          </w14:textFill>
        </w:rPr>
        <w:t>二、投标人的资格要求：</w:t>
      </w:r>
    </w:p>
    <w:p>
      <w:pPr>
        <w:pStyle w:val="34"/>
        <w:adjustRightInd w:val="0"/>
        <w:snapToGrid w:val="0"/>
        <w:spacing w:beforeAutospacing="0" w:afterAutospacing="0" w:line="500" w:lineRule="exact"/>
        <w:ind w:firstLine="480" w:firstLineChars="200"/>
        <w:rPr>
          <w:rFonts w:asciiTheme="minorEastAsia" w:hAnsiTheme="minorEastAsia" w:eastAsiaTheme="minorEastAsia" w:cstheme="minorEastAsia"/>
          <w:color w:val="000000" w:themeColor="text1"/>
          <w:szCs w:val="24"/>
          <w14:textFill>
            <w14:solidFill>
              <w14:schemeClr w14:val="tx1"/>
            </w14:solidFill>
          </w14:textFill>
        </w:rPr>
      </w:pPr>
      <w:r>
        <w:rPr>
          <w:rFonts w:hint="eastAsia" w:asciiTheme="minorEastAsia" w:hAnsiTheme="minorEastAsia" w:eastAsiaTheme="minorEastAsia" w:cstheme="minorEastAsia"/>
          <w:color w:val="000000" w:themeColor="text1"/>
          <w:szCs w:val="24"/>
          <w14:textFill>
            <w14:solidFill>
              <w14:schemeClr w14:val="tx1"/>
            </w14:solidFill>
          </w14:textFill>
        </w:rPr>
        <w:t>1.满足《中华人民共和国政府采购法》第二十二条规定；</w:t>
      </w:r>
    </w:p>
    <w:p>
      <w:pPr>
        <w:pStyle w:val="34"/>
        <w:adjustRightInd w:val="0"/>
        <w:snapToGrid w:val="0"/>
        <w:spacing w:beforeAutospacing="0" w:afterAutospacing="0" w:line="500" w:lineRule="exact"/>
        <w:ind w:firstLine="480" w:firstLineChars="200"/>
        <w:rPr>
          <w:rFonts w:asciiTheme="minorEastAsia" w:hAnsiTheme="minorEastAsia" w:eastAsiaTheme="minorEastAsia" w:cstheme="minorEastAsia"/>
          <w:color w:val="000000" w:themeColor="text1"/>
          <w:szCs w:val="24"/>
          <w14:textFill>
            <w14:solidFill>
              <w14:schemeClr w14:val="tx1"/>
            </w14:solidFill>
          </w14:textFill>
        </w:rPr>
      </w:pPr>
      <w:r>
        <w:rPr>
          <w:rFonts w:hint="eastAsia" w:asciiTheme="minorEastAsia" w:hAnsiTheme="minorEastAsia" w:eastAsiaTheme="minorEastAsia" w:cstheme="minorEastAsia"/>
          <w:color w:val="000000" w:themeColor="text1"/>
          <w:szCs w:val="24"/>
          <w14:textFill>
            <w14:solidFill>
              <w14:schemeClr w14:val="tx1"/>
            </w14:solidFill>
          </w14:textFill>
        </w:rPr>
        <w:t>2.落实政府采购政策需满足的资格要求：《政府采购促进中小企业发展管理办法》（财库〔2020〕46号）、《财政部、司法部关于政府采购支持监狱企业发展有关问题的通知》（财库〔2014〕68号）、《财政部 民政部 中国残疾人联合会关于促进残疾人就业政府采购政策的通知》财库〔2017〕141号；</w:t>
      </w:r>
    </w:p>
    <w:p>
      <w:pPr>
        <w:pStyle w:val="34"/>
        <w:adjustRightInd w:val="0"/>
        <w:snapToGrid w:val="0"/>
        <w:spacing w:beforeAutospacing="0" w:afterAutospacing="0" w:line="500" w:lineRule="exact"/>
        <w:ind w:firstLine="480" w:firstLineChars="200"/>
        <w:rPr>
          <w:rFonts w:asciiTheme="minorEastAsia" w:hAnsiTheme="minorEastAsia" w:eastAsiaTheme="minorEastAsia" w:cstheme="minorEastAsia"/>
          <w:color w:val="000000" w:themeColor="text1"/>
          <w:szCs w:val="24"/>
          <w14:textFill>
            <w14:solidFill>
              <w14:schemeClr w14:val="tx1"/>
            </w14:solidFill>
          </w14:textFill>
        </w:rPr>
      </w:pPr>
      <w:r>
        <w:rPr>
          <w:rFonts w:hint="eastAsia" w:asciiTheme="minorEastAsia" w:hAnsiTheme="minorEastAsia" w:eastAsiaTheme="minorEastAsia" w:cstheme="minorEastAsia"/>
          <w:color w:val="000000" w:themeColor="text1"/>
          <w:szCs w:val="24"/>
          <w14:textFill>
            <w14:solidFill>
              <w14:schemeClr w14:val="tx1"/>
            </w14:solidFill>
          </w14:textFill>
        </w:rPr>
        <w:t>3.本项目的特定资格要求：</w:t>
      </w:r>
    </w:p>
    <w:p>
      <w:pPr>
        <w:pStyle w:val="34"/>
        <w:adjustRightInd w:val="0"/>
        <w:snapToGrid w:val="0"/>
        <w:spacing w:beforeAutospacing="0" w:afterAutospacing="0" w:line="500" w:lineRule="exact"/>
        <w:ind w:firstLine="480" w:firstLineChars="200"/>
        <w:rPr>
          <w:rFonts w:asciiTheme="minorEastAsia" w:hAnsiTheme="minorEastAsia" w:eastAsiaTheme="minorEastAsia" w:cstheme="minorEastAsia"/>
          <w:color w:val="000000" w:themeColor="text1"/>
          <w:szCs w:val="24"/>
          <w14:textFill>
            <w14:solidFill>
              <w14:schemeClr w14:val="tx1"/>
            </w14:solidFill>
          </w14:textFill>
        </w:rPr>
      </w:pPr>
      <w:r>
        <w:rPr>
          <w:rFonts w:hint="eastAsia" w:asciiTheme="minorEastAsia" w:hAnsiTheme="minorEastAsia" w:eastAsiaTheme="minorEastAsia" w:cstheme="minorEastAsia"/>
          <w:color w:val="000000" w:themeColor="text1"/>
          <w:szCs w:val="24"/>
          <w14:textFill>
            <w14:solidFill>
              <w14:schemeClr w14:val="tx1"/>
            </w14:solidFill>
          </w14:textFill>
        </w:rPr>
        <w:t>（1）符合《中华人民共和国政府采购法》第二十二条的相关规定； </w:t>
      </w:r>
    </w:p>
    <w:p>
      <w:pPr>
        <w:pStyle w:val="34"/>
        <w:adjustRightInd w:val="0"/>
        <w:snapToGrid w:val="0"/>
        <w:spacing w:beforeAutospacing="0" w:afterAutospacing="0" w:line="500" w:lineRule="exact"/>
        <w:ind w:firstLine="480" w:firstLineChars="200"/>
        <w:rPr>
          <w:rFonts w:asciiTheme="minorEastAsia" w:hAnsiTheme="minorEastAsia" w:eastAsiaTheme="minorEastAsia" w:cstheme="minorEastAsia"/>
          <w:color w:val="000000" w:themeColor="text1"/>
          <w:szCs w:val="24"/>
          <w14:textFill>
            <w14:solidFill>
              <w14:schemeClr w14:val="tx1"/>
            </w14:solidFill>
          </w14:textFill>
        </w:rPr>
      </w:pPr>
      <w:r>
        <w:rPr>
          <w:rFonts w:hint="eastAsia" w:asciiTheme="minorEastAsia" w:hAnsiTheme="minorEastAsia" w:eastAsiaTheme="minorEastAsia" w:cstheme="minorEastAsia"/>
          <w:color w:val="000000" w:themeColor="text1"/>
          <w:szCs w:val="24"/>
          <w14:textFill>
            <w14:solidFill>
              <w14:schemeClr w14:val="tx1"/>
            </w14:solidFill>
          </w14:textFill>
        </w:rPr>
        <w:t>（2）具有有效的“一证一码”或“三证合一”的营业执照；</w:t>
      </w:r>
    </w:p>
    <w:p>
      <w:pPr>
        <w:pStyle w:val="34"/>
        <w:adjustRightInd w:val="0"/>
        <w:snapToGrid w:val="0"/>
        <w:spacing w:beforeAutospacing="0" w:afterAutospacing="0" w:line="500" w:lineRule="exact"/>
        <w:ind w:firstLine="480" w:firstLineChars="200"/>
      </w:pPr>
      <w:r>
        <w:rPr>
          <w:rFonts w:hint="eastAsia" w:asciiTheme="minorEastAsia" w:hAnsiTheme="minorEastAsia" w:eastAsiaTheme="minorEastAsia" w:cstheme="minorEastAsia"/>
          <w:color w:val="000000" w:themeColor="text1"/>
          <w:szCs w:val="24"/>
          <w14:textFill>
            <w14:solidFill>
              <w14:schemeClr w14:val="tx1"/>
            </w14:solidFill>
          </w14:textFill>
        </w:rPr>
        <w:t>（3）凡拟参加本次招标项目的投标人，如在“信用中国”网站（www.creditchina.gov.vn ）被列入失信被执行人、重大税收违法案件当事人名单；如在中国政府采购网（www.ccgp.gov.vn ）被列入政府采购严重违法失信行为记录名单的（尚在处罚期内的），将拒绝其参本次招标活动；</w:t>
      </w:r>
    </w:p>
    <w:p>
      <w:pPr>
        <w:pStyle w:val="34"/>
        <w:adjustRightInd w:val="0"/>
        <w:snapToGrid w:val="0"/>
        <w:spacing w:beforeAutospacing="0" w:afterAutospacing="0" w:line="500" w:lineRule="exact"/>
        <w:jc w:val="both"/>
        <w:rPr>
          <w:rFonts w:asciiTheme="minorEastAsia" w:hAnsiTheme="minorEastAsia" w:eastAsiaTheme="minorEastAsia" w:cstheme="minorEastAsia"/>
          <w:color w:val="000000" w:themeColor="text1"/>
          <w:szCs w:val="24"/>
          <w14:textFill>
            <w14:solidFill>
              <w14:schemeClr w14:val="tx1"/>
            </w14:solidFill>
          </w14:textFill>
        </w:rPr>
      </w:pPr>
      <w:r>
        <w:rPr>
          <w:rStyle w:val="41"/>
          <w:rFonts w:hint="eastAsia" w:asciiTheme="minorEastAsia" w:hAnsiTheme="minorEastAsia" w:eastAsiaTheme="minorEastAsia" w:cstheme="minorEastAsia"/>
          <w:color w:val="000000" w:themeColor="text1"/>
          <w:szCs w:val="24"/>
          <w14:textFill>
            <w14:solidFill>
              <w14:schemeClr w14:val="tx1"/>
            </w14:solidFill>
          </w14:textFill>
        </w:rPr>
        <w:t>三、获取招标文件</w:t>
      </w:r>
    </w:p>
    <w:p>
      <w:pPr>
        <w:pStyle w:val="34"/>
        <w:adjustRightInd w:val="0"/>
        <w:snapToGrid w:val="0"/>
        <w:spacing w:beforeAutospacing="0" w:afterAutospacing="0" w:line="500" w:lineRule="exact"/>
        <w:ind w:firstLine="480" w:firstLineChars="200"/>
        <w:rPr>
          <w:rFonts w:asciiTheme="minorEastAsia" w:hAnsiTheme="minorEastAsia" w:eastAsiaTheme="minorEastAsia" w:cstheme="minorEastAsia"/>
          <w:color w:val="FF0000"/>
          <w:szCs w:val="24"/>
        </w:rPr>
      </w:pPr>
      <w:r>
        <w:rPr>
          <w:rFonts w:hint="eastAsia" w:asciiTheme="minorEastAsia" w:hAnsiTheme="minorEastAsia" w:eastAsiaTheme="minorEastAsia" w:cstheme="minorEastAsia"/>
          <w:color w:val="000000" w:themeColor="text1"/>
          <w:szCs w:val="24"/>
          <w14:textFill>
            <w14:solidFill>
              <w14:schemeClr w14:val="tx1"/>
            </w14:solidFill>
          </w14:textFill>
        </w:rPr>
        <w:t>时间：</w:t>
      </w:r>
      <w:r>
        <w:rPr>
          <w:rFonts w:hint="eastAsia" w:asciiTheme="minorEastAsia" w:hAnsiTheme="minorEastAsia" w:eastAsiaTheme="minorEastAsia" w:cstheme="minorEastAsia"/>
          <w:color w:val="FF0000"/>
          <w:szCs w:val="24"/>
        </w:rPr>
        <w:t xml:space="preserve">2022年 </w:t>
      </w:r>
      <w:r>
        <w:rPr>
          <w:rFonts w:hint="eastAsia" w:asciiTheme="minorEastAsia" w:hAnsiTheme="minorEastAsia" w:eastAsiaTheme="minorEastAsia" w:cstheme="minorEastAsia"/>
          <w:color w:val="FF0000"/>
          <w:szCs w:val="24"/>
          <w:lang w:val="en-US" w:eastAsia="zh-CN"/>
        </w:rPr>
        <w:t>6</w:t>
      </w:r>
      <w:r>
        <w:rPr>
          <w:rFonts w:hint="eastAsia" w:asciiTheme="minorEastAsia" w:hAnsiTheme="minorEastAsia" w:eastAsiaTheme="minorEastAsia" w:cstheme="minorEastAsia"/>
          <w:color w:val="FF0000"/>
          <w:szCs w:val="24"/>
        </w:rPr>
        <w:t xml:space="preserve"> 月 </w:t>
      </w:r>
      <w:r>
        <w:rPr>
          <w:rFonts w:hint="eastAsia" w:asciiTheme="minorEastAsia" w:hAnsiTheme="minorEastAsia" w:eastAsiaTheme="minorEastAsia" w:cstheme="minorEastAsia"/>
          <w:color w:val="FF0000"/>
          <w:szCs w:val="24"/>
          <w:lang w:val="en-US" w:eastAsia="zh-CN"/>
        </w:rPr>
        <w:t>2</w:t>
      </w:r>
      <w:r>
        <w:rPr>
          <w:rFonts w:hint="eastAsia" w:asciiTheme="minorEastAsia" w:hAnsiTheme="minorEastAsia" w:eastAsiaTheme="minorEastAsia" w:cstheme="minorEastAsia"/>
          <w:color w:val="FF0000"/>
          <w:szCs w:val="24"/>
        </w:rPr>
        <w:t xml:space="preserve"> 日至2022年 </w:t>
      </w:r>
      <w:r>
        <w:rPr>
          <w:rFonts w:hint="eastAsia" w:asciiTheme="minorEastAsia" w:hAnsiTheme="minorEastAsia" w:eastAsiaTheme="minorEastAsia" w:cstheme="minorEastAsia"/>
          <w:color w:val="FF0000"/>
          <w:szCs w:val="24"/>
          <w:lang w:val="en-US" w:eastAsia="zh-CN"/>
        </w:rPr>
        <w:t>6</w:t>
      </w:r>
      <w:r>
        <w:rPr>
          <w:rFonts w:hint="eastAsia" w:asciiTheme="minorEastAsia" w:hAnsiTheme="minorEastAsia" w:eastAsiaTheme="minorEastAsia" w:cstheme="minorEastAsia"/>
          <w:color w:val="FF0000"/>
          <w:szCs w:val="24"/>
        </w:rPr>
        <w:t xml:space="preserve">月 </w:t>
      </w:r>
      <w:r>
        <w:rPr>
          <w:rFonts w:hint="eastAsia" w:asciiTheme="minorEastAsia" w:hAnsiTheme="minorEastAsia" w:eastAsiaTheme="minorEastAsia" w:cstheme="minorEastAsia"/>
          <w:color w:val="FF0000"/>
          <w:szCs w:val="24"/>
          <w:lang w:val="en-US" w:eastAsia="zh-CN"/>
        </w:rPr>
        <w:t>10</w:t>
      </w:r>
      <w:r>
        <w:rPr>
          <w:rFonts w:hint="eastAsia" w:asciiTheme="minorEastAsia" w:hAnsiTheme="minorEastAsia" w:eastAsiaTheme="minorEastAsia" w:cstheme="minorEastAsia"/>
          <w:color w:val="FF0000"/>
          <w:szCs w:val="24"/>
        </w:rPr>
        <w:t xml:space="preserve"> 日，每天上午10:00至13:30，下午15:30至18:30（北京时间，法定节假日除外）</w:t>
      </w:r>
    </w:p>
    <w:p>
      <w:pPr>
        <w:pStyle w:val="34"/>
        <w:adjustRightInd w:val="0"/>
        <w:snapToGrid w:val="0"/>
        <w:spacing w:beforeAutospacing="0" w:afterAutospacing="0" w:line="500" w:lineRule="exact"/>
        <w:ind w:firstLine="480" w:firstLineChars="200"/>
        <w:rPr>
          <w:rFonts w:asciiTheme="minorEastAsia" w:hAnsiTheme="minorEastAsia" w:eastAsiaTheme="minorEastAsia" w:cstheme="minorEastAsia"/>
          <w:color w:val="000000" w:themeColor="text1"/>
          <w:szCs w:val="24"/>
          <w14:textFill>
            <w14:solidFill>
              <w14:schemeClr w14:val="tx1"/>
            </w14:solidFill>
          </w14:textFill>
        </w:rPr>
      </w:pPr>
      <w:r>
        <w:rPr>
          <w:rFonts w:hint="eastAsia" w:asciiTheme="minorEastAsia" w:hAnsiTheme="minorEastAsia" w:eastAsiaTheme="minorEastAsia" w:cstheme="minorEastAsia"/>
          <w:color w:val="000000" w:themeColor="text1"/>
          <w:szCs w:val="24"/>
          <w14:textFill>
            <w14:solidFill>
              <w14:schemeClr w14:val="tx1"/>
            </w14:solidFill>
          </w14:textFill>
        </w:rPr>
        <w:t>地点：乌鲁木齐市会展大道1119号大成尔雅A座901室</w:t>
      </w:r>
    </w:p>
    <w:p>
      <w:pPr>
        <w:pStyle w:val="34"/>
        <w:adjustRightInd w:val="0"/>
        <w:snapToGrid w:val="0"/>
        <w:spacing w:beforeAutospacing="0" w:afterAutospacing="0" w:line="500" w:lineRule="exact"/>
        <w:ind w:firstLine="480" w:firstLineChars="200"/>
        <w:rPr>
          <w:rFonts w:asciiTheme="minorEastAsia" w:hAnsiTheme="minorEastAsia" w:eastAsiaTheme="minorEastAsia" w:cstheme="minorEastAsia"/>
          <w:color w:val="000000" w:themeColor="text1"/>
          <w:szCs w:val="24"/>
          <w14:textFill>
            <w14:solidFill>
              <w14:schemeClr w14:val="tx1"/>
            </w14:solidFill>
          </w14:textFill>
        </w:rPr>
      </w:pPr>
      <w:r>
        <w:rPr>
          <w:rFonts w:hint="eastAsia" w:asciiTheme="minorEastAsia" w:hAnsiTheme="minorEastAsia" w:eastAsiaTheme="minorEastAsia" w:cstheme="minorEastAsia"/>
          <w:color w:val="000000" w:themeColor="text1"/>
          <w:szCs w:val="24"/>
          <w14:textFill>
            <w14:solidFill>
              <w14:schemeClr w14:val="tx1"/>
            </w14:solidFill>
          </w14:textFill>
        </w:rPr>
        <w:t>方式：线下获取；投标人购买文件时需提供以下资料复印件一份并加盖单位公章，原件备查：1、法人授权委托书及被授权人身份证（或法定代表人身份证明书及法定代表人身份证）；2、营业执照副本；3、信用中国”（www.creditchina.gov.cn）、中国政府采购网（www.ccgp.gov.cn）失信被执行人、重大税收违法案件当事人名单、政府采购严重违法失信行为记录名单截图。</w:t>
      </w:r>
    </w:p>
    <w:p>
      <w:pPr>
        <w:pStyle w:val="34"/>
        <w:adjustRightInd w:val="0"/>
        <w:snapToGrid w:val="0"/>
        <w:spacing w:beforeAutospacing="0" w:afterAutospacing="0" w:line="500" w:lineRule="exact"/>
        <w:ind w:firstLine="480" w:firstLineChars="200"/>
        <w:rPr>
          <w:rFonts w:asciiTheme="minorEastAsia" w:hAnsiTheme="minorEastAsia" w:eastAsiaTheme="minorEastAsia" w:cstheme="minorEastAsia"/>
          <w:color w:val="000000" w:themeColor="text1"/>
          <w:szCs w:val="24"/>
          <w14:textFill>
            <w14:solidFill>
              <w14:schemeClr w14:val="tx1"/>
            </w14:solidFill>
          </w14:textFill>
        </w:rPr>
      </w:pPr>
      <w:r>
        <w:rPr>
          <w:rFonts w:hint="eastAsia" w:asciiTheme="minorEastAsia" w:hAnsiTheme="minorEastAsia" w:eastAsiaTheme="minorEastAsia" w:cstheme="minorEastAsia"/>
          <w:color w:val="000000" w:themeColor="text1"/>
          <w:szCs w:val="24"/>
          <w14:textFill>
            <w14:solidFill>
              <w14:schemeClr w14:val="tx1"/>
            </w14:solidFill>
          </w14:textFill>
        </w:rPr>
        <w:t>售价（元）：300 （现金）</w:t>
      </w:r>
    </w:p>
    <w:p>
      <w:pPr>
        <w:pStyle w:val="34"/>
        <w:adjustRightInd w:val="0"/>
        <w:snapToGrid w:val="0"/>
        <w:spacing w:beforeAutospacing="0" w:afterAutospacing="0" w:line="500" w:lineRule="exact"/>
        <w:jc w:val="both"/>
        <w:rPr>
          <w:rFonts w:asciiTheme="minorEastAsia" w:hAnsiTheme="minorEastAsia" w:eastAsiaTheme="minorEastAsia" w:cstheme="minorEastAsia"/>
          <w:color w:val="000000" w:themeColor="text1"/>
          <w:szCs w:val="24"/>
          <w14:textFill>
            <w14:solidFill>
              <w14:schemeClr w14:val="tx1"/>
            </w14:solidFill>
          </w14:textFill>
        </w:rPr>
      </w:pPr>
      <w:r>
        <w:rPr>
          <w:rStyle w:val="41"/>
          <w:rFonts w:hint="eastAsia" w:asciiTheme="minorEastAsia" w:hAnsiTheme="minorEastAsia" w:eastAsiaTheme="minorEastAsia" w:cstheme="minorEastAsia"/>
          <w:color w:val="000000" w:themeColor="text1"/>
          <w:szCs w:val="24"/>
          <w14:textFill>
            <w14:solidFill>
              <w14:schemeClr w14:val="tx1"/>
            </w14:solidFill>
          </w14:textFill>
        </w:rPr>
        <w:t>四、提交投标文件截止时间、开标时间和地点</w:t>
      </w:r>
    </w:p>
    <w:p>
      <w:pPr>
        <w:pStyle w:val="34"/>
        <w:adjustRightInd w:val="0"/>
        <w:snapToGrid w:val="0"/>
        <w:spacing w:beforeAutospacing="0" w:afterAutospacing="0" w:line="500" w:lineRule="exact"/>
        <w:ind w:firstLine="480" w:firstLineChars="200"/>
        <w:jc w:val="both"/>
        <w:rPr>
          <w:rStyle w:val="41"/>
          <w:rFonts w:asciiTheme="minorEastAsia" w:hAnsiTheme="minorEastAsia" w:eastAsiaTheme="minorEastAsia" w:cstheme="minorEastAsia"/>
          <w:b w:val="0"/>
          <w:bCs w:val="0"/>
          <w:color w:val="000000" w:themeColor="text1"/>
          <w:szCs w:val="24"/>
          <w14:textFill>
            <w14:solidFill>
              <w14:schemeClr w14:val="tx1"/>
            </w14:solidFill>
          </w14:textFill>
        </w:rPr>
      </w:pPr>
      <w:r>
        <w:rPr>
          <w:rStyle w:val="41"/>
          <w:rFonts w:hint="eastAsia" w:asciiTheme="minorEastAsia" w:hAnsiTheme="minorEastAsia" w:eastAsiaTheme="minorEastAsia" w:cstheme="minorEastAsia"/>
          <w:b w:val="0"/>
          <w:bCs w:val="0"/>
          <w:color w:val="000000" w:themeColor="text1"/>
          <w:szCs w:val="24"/>
          <w14:textFill>
            <w14:solidFill>
              <w14:schemeClr w14:val="tx1"/>
            </w14:solidFill>
          </w14:textFill>
        </w:rPr>
        <w:t>提交投标文件截止时间：</w:t>
      </w:r>
      <w:r>
        <w:rPr>
          <w:rStyle w:val="41"/>
          <w:rFonts w:hint="eastAsia" w:asciiTheme="minorEastAsia" w:hAnsiTheme="minorEastAsia" w:eastAsiaTheme="minorEastAsia" w:cstheme="minorEastAsia"/>
          <w:b w:val="0"/>
          <w:bCs w:val="0"/>
          <w:color w:val="FF0000"/>
          <w:szCs w:val="24"/>
        </w:rPr>
        <w:t xml:space="preserve">2022年 </w:t>
      </w:r>
      <w:r>
        <w:rPr>
          <w:rStyle w:val="41"/>
          <w:rFonts w:hint="eastAsia" w:asciiTheme="minorEastAsia" w:hAnsiTheme="minorEastAsia" w:eastAsiaTheme="minorEastAsia" w:cstheme="minorEastAsia"/>
          <w:b w:val="0"/>
          <w:bCs w:val="0"/>
          <w:color w:val="FF0000"/>
          <w:szCs w:val="24"/>
          <w:lang w:val="en-US" w:eastAsia="zh-CN"/>
        </w:rPr>
        <w:t>6</w:t>
      </w:r>
      <w:r>
        <w:rPr>
          <w:rStyle w:val="41"/>
          <w:rFonts w:hint="eastAsia" w:asciiTheme="minorEastAsia" w:hAnsiTheme="minorEastAsia" w:eastAsiaTheme="minorEastAsia" w:cstheme="minorEastAsia"/>
          <w:b w:val="0"/>
          <w:bCs w:val="0"/>
          <w:color w:val="FF0000"/>
          <w:szCs w:val="24"/>
        </w:rPr>
        <w:t xml:space="preserve">  月 </w:t>
      </w:r>
      <w:r>
        <w:rPr>
          <w:rStyle w:val="41"/>
          <w:rFonts w:hint="eastAsia" w:asciiTheme="minorEastAsia" w:hAnsiTheme="minorEastAsia" w:eastAsiaTheme="minorEastAsia" w:cstheme="minorEastAsia"/>
          <w:b w:val="0"/>
          <w:bCs w:val="0"/>
          <w:color w:val="FF0000"/>
          <w:szCs w:val="24"/>
          <w:lang w:val="en-US" w:eastAsia="zh-CN"/>
        </w:rPr>
        <w:t>23</w:t>
      </w:r>
      <w:r>
        <w:rPr>
          <w:rStyle w:val="41"/>
          <w:rFonts w:hint="eastAsia" w:asciiTheme="minorEastAsia" w:hAnsiTheme="minorEastAsia" w:eastAsiaTheme="minorEastAsia" w:cstheme="minorEastAsia"/>
          <w:b w:val="0"/>
          <w:bCs w:val="0"/>
          <w:color w:val="FF0000"/>
          <w:szCs w:val="24"/>
        </w:rPr>
        <w:t xml:space="preserve">  日 11:00</w:t>
      </w:r>
      <w:r>
        <w:rPr>
          <w:rStyle w:val="41"/>
          <w:rFonts w:hint="eastAsia" w:asciiTheme="minorEastAsia" w:hAnsiTheme="minorEastAsia" w:eastAsiaTheme="minorEastAsia" w:cstheme="minorEastAsia"/>
          <w:b w:val="0"/>
          <w:bCs w:val="0"/>
          <w:color w:val="000000" w:themeColor="text1"/>
          <w:szCs w:val="24"/>
          <w14:textFill>
            <w14:solidFill>
              <w14:schemeClr w14:val="tx1"/>
            </w14:solidFill>
          </w14:textFill>
        </w:rPr>
        <w:t>（北京时间）</w:t>
      </w:r>
    </w:p>
    <w:p>
      <w:pPr>
        <w:pStyle w:val="34"/>
        <w:adjustRightInd w:val="0"/>
        <w:snapToGrid w:val="0"/>
        <w:spacing w:beforeAutospacing="0" w:afterAutospacing="0" w:line="500" w:lineRule="exact"/>
        <w:ind w:firstLine="480" w:firstLineChars="200"/>
        <w:jc w:val="both"/>
        <w:rPr>
          <w:rStyle w:val="41"/>
          <w:rFonts w:asciiTheme="minorEastAsia" w:hAnsiTheme="minorEastAsia" w:eastAsiaTheme="minorEastAsia" w:cstheme="minorEastAsia"/>
          <w:b w:val="0"/>
          <w:bCs w:val="0"/>
          <w:color w:val="000000" w:themeColor="text1"/>
          <w:szCs w:val="24"/>
          <w14:textFill>
            <w14:solidFill>
              <w14:schemeClr w14:val="tx1"/>
            </w14:solidFill>
          </w14:textFill>
        </w:rPr>
      </w:pPr>
      <w:r>
        <w:rPr>
          <w:rStyle w:val="41"/>
          <w:rFonts w:hint="eastAsia" w:asciiTheme="minorEastAsia" w:hAnsiTheme="minorEastAsia" w:eastAsiaTheme="minorEastAsia" w:cstheme="minorEastAsia"/>
          <w:b w:val="0"/>
          <w:bCs w:val="0"/>
          <w:color w:val="000000" w:themeColor="text1"/>
          <w:szCs w:val="24"/>
          <w14:textFill>
            <w14:solidFill>
              <w14:schemeClr w14:val="tx1"/>
            </w14:solidFill>
          </w14:textFill>
        </w:rPr>
        <w:t>投标地点：</w:t>
      </w:r>
      <w:r>
        <w:rPr>
          <w:rFonts w:hint="eastAsia" w:ascii="宋体" w:hAnsi="宋体" w:cs="宋体"/>
          <w:szCs w:val="24"/>
        </w:rPr>
        <w:t>乌鲁木齐市会展大道1119号大成尔雅A座</w:t>
      </w:r>
      <w:r>
        <w:rPr>
          <w:rFonts w:hint="eastAsia" w:cs="宋体"/>
          <w:szCs w:val="24"/>
        </w:rPr>
        <w:t>807</w:t>
      </w:r>
      <w:r>
        <w:rPr>
          <w:rFonts w:hint="eastAsia" w:ascii="宋体" w:hAnsi="宋体" w:cs="宋体"/>
          <w:szCs w:val="24"/>
        </w:rPr>
        <w:t>室</w:t>
      </w:r>
    </w:p>
    <w:p>
      <w:pPr>
        <w:pStyle w:val="34"/>
        <w:adjustRightInd w:val="0"/>
        <w:snapToGrid w:val="0"/>
        <w:spacing w:beforeAutospacing="0" w:afterAutospacing="0" w:line="500" w:lineRule="exact"/>
        <w:ind w:firstLine="480" w:firstLineChars="200"/>
        <w:jc w:val="both"/>
        <w:rPr>
          <w:rStyle w:val="41"/>
          <w:rFonts w:asciiTheme="minorEastAsia" w:hAnsiTheme="minorEastAsia" w:eastAsiaTheme="minorEastAsia" w:cstheme="minorEastAsia"/>
          <w:b w:val="0"/>
          <w:bCs w:val="0"/>
          <w:color w:val="000000" w:themeColor="text1"/>
          <w:szCs w:val="24"/>
          <w14:textFill>
            <w14:solidFill>
              <w14:schemeClr w14:val="tx1"/>
            </w14:solidFill>
          </w14:textFill>
        </w:rPr>
      </w:pPr>
      <w:r>
        <w:rPr>
          <w:rStyle w:val="41"/>
          <w:rFonts w:hint="eastAsia" w:asciiTheme="minorEastAsia" w:hAnsiTheme="minorEastAsia" w:eastAsiaTheme="minorEastAsia" w:cstheme="minorEastAsia"/>
          <w:b w:val="0"/>
          <w:bCs w:val="0"/>
          <w:color w:val="000000" w:themeColor="text1"/>
          <w:szCs w:val="24"/>
          <w14:textFill>
            <w14:solidFill>
              <w14:schemeClr w14:val="tx1"/>
            </w14:solidFill>
          </w14:textFill>
        </w:rPr>
        <w:t>开标时间：</w:t>
      </w:r>
      <w:r>
        <w:rPr>
          <w:rStyle w:val="41"/>
          <w:rFonts w:hint="eastAsia" w:asciiTheme="minorEastAsia" w:hAnsiTheme="minorEastAsia" w:eastAsiaTheme="minorEastAsia" w:cstheme="minorEastAsia"/>
          <w:b w:val="0"/>
          <w:bCs w:val="0"/>
          <w:color w:val="FF0000"/>
          <w:szCs w:val="24"/>
        </w:rPr>
        <w:t xml:space="preserve">2022年 </w:t>
      </w:r>
      <w:r>
        <w:rPr>
          <w:rStyle w:val="41"/>
          <w:rFonts w:hint="eastAsia" w:asciiTheme="minorEastAsia" w:hAnsiTheme="minorEastAsia" w:eastAsiaTheme="minorEastAsia" w:cstheme="minorEastAsia"/>
          <w:b w:val="0"/>
          <w:bCs w:val="0"/>
          <w:color w:val="FF0000"/>
          <w:szCs w:val="24"/>
          <w:lang w:val="en-US" w:eastAsia="zh-CN"/>
        </w:rPr>
        <w:t>6</w:t>
      </w:r>
      <w:r>
        <w:rPr>
          <w:rStyle w:val="41"/>
          <w:rFonts w:hint="eastAsia" w:asciiTheme="minorEastAsia" w:hAnsiTheme="minorEastAsia" w:eastAsiaTheme="minorEastAsia" w:cstheme="minorEastAsia"/>
          <w:b w:val="0"/>
          <w:bCs w:val="0"/>
          <w:color w:val="FF0000"/>
          <w:szCs w:val="24"/>
        </w:rPr>
        <w:t xml:space="preserve"> 月 </w:t>
      </w:r>
      <w:r>
        <w:rPr>
          <w:rStyle w:val="41"/>
          <w:rFonts w:hint="eastAsia" w:asciiTheme="minorEastAsia" w:hAnsiTheme="minorEastAsia" w:eastAsiaTheme="minorEastAsia" w:cstheme="minorEastAsia"/>
          <w:b w:val="0"/>
          <w:bCs w:val="0"/>
          <w:color w:val="FF0000"/>
          <w:szCs w:val="24"/>
          <w:lang w:val="en-US" w:eastAsia="zh-CN"/>
        </w:rPr>
        <w:t>23</w:t>
      </w:r>
      <w:r>
        <w:rPr>
          <w:rStyle w:val="41"/>
          <w:rFonts w:hint="eastAsia" w:asciiTheme="minorEastAsia" w:hAnsiTheme="minorEastAsia" w:eastAsiaTheme="minorEastAsia" w:cstheme="minorEastAsia"/>
          <w:b w:val="0"/>
          <w:bCs w:val="0"/>
          <w:color w:val="FF0000"/>
          <w:szCs w:val="24"/>
        </w:rPr>
        <w:t xml:space="preserve"> 日 11:00</w:t>
      </w:r>
      <w:r>
        <w:rPr>
          <w:rStyle w:val="41"/>
          <w:rFonts w:hint="eastAsia" w:asciiTheme="minorEastAsia" w:hAnsiTheme="minorEastAsia" w:eastAsiaTheme="minorEastAsia" w:cstheme="minorEastAsia"/>
          <w:b w:val="0"/>
          <w:bCs w:val="0"/>
          <w:color w:val="000000" w:themeColor="text1"/>
          <w:szCs w:val="24"/>
          <w14:textFill>
            <w14:solidFill>
              <w14:schemeClr w14:val="tx1"/>
            </w14:solidFill>
          </w14:textFill>
        </w:rPr>
        <w:t>（北京时间）</w:t>
      </w:r>
    </w:p>
    <w:p>
      <w:pPr>
        <w:pStyle w:val="34"/>
        <w:adjustRightInd w:val="0"/>
        <w:snapToGrid w:val="0"/>
        <w:spacing w:beforeAutospacing="0" w:afterAutospacing="0" w:line="500" w:lineRule="exact"/>
        <w:ind w:firstLine="480" w:firstLineChars="200"/>
        <w:jc w:val="both"/>
        <w:rPr>
          <w:rStyle w:val="41"/>
          <w:rFonts w:asciiTheme="minorEastAsia" w:hAnsiTheme="minorEastAsia" w:eastAsiaTheme="minorEastAsia" w:cstheme="minorEastAsia"/>
          <w:b w:val="0"/>
          <w:bCs w:val="0"/>
          <w:color w:val="000000" w:themeColor="text1"/>
          <w:szCs w:val="24"/>
          <w14:textFill>
            <w14:solidFill>
              <w14:schemeClr w14:val="tx1"/>
            </w14:solidFill>
          </w14:textFill>
        </w:rPr>
      </w:pPr>
      <w:r>
        <w:rPr>
          <w:rStyle w:val="41"/>
          <w:rFonts w:hint="eastAsia" w:asciiTheme="minorEastAsia" w:hAnsiTheme="minorEastAsia" w:eastAsiaTheme="minorEastAsia" w:cstheme="minorEastAsia"/>
          <w:b w:val="0"/>
          <w:bCs w:val="0"/>
          <w:color w:val="000000" w:themeColor="text1"/>
          <w:szCs w:val="24"/>
          <w14:textFill>
            <w14:solidFill>
              <w14:schemeClr w14:val="tx1"/>
            </w14:solidFill>
          </w14:textFill>
        </w:rPr>
        <w:t>开标地点：</w:t>
      </w:r>
      <w:r>
        <w:rPr>
          <w:rFonts w:hint="eastAsia" w:ascii="宋体" w:hAnsi="宋体" w:cs="宋体"/>
          <w:szCs w:val="24"/>
        </w:rPr>
        <w:t>乌鲁木齐市会展大道1119号大成尔雅A座</w:t>
      </w:r>
      <w:r>
        <w:rPr>
          <w:rFonts w:hint="eastAsia" w:cs="宋体"/>
          <w:szCs w:val="24"/>
        </w:rPr>
        <w:t>807</w:t>
      </w:r>
      <w:r>
        <w:rPr>
          <w:rFonts w:hint="eastAsia" w:ascii="宋体" w:hAnsi="宋体" w:cs="宋体"/>
          <w:szCs w:val="24"/>
        </w:rPr>
        <w:t>室</w:t>
      </w:r>
    </w:p>
    <w:p>
      <w:pPr>
        <w:pStyle w:val="34"/>
        <w:adjustRightInd w:val="0"/>
        <w:snapToGrid w:val="0"/>
        <w:spacing w:beforeAutospacing="0" w:afterAutospacing="0" w:line="500" w:lineRule="exact"/>
        <w:jc w:val="both"/>
        <w:rPr>
          <w:rFonts w:asciiTheme="minorEastAsia" w:hAnsiTheme="minorEastAsia" w:eastAsiaTheme="minorEastAsia" w:cstheme="minorEastAsia"/>
          <w:color w:val="000000" w:themeColor="text1"/>
          <w:szCs w:val="24"/>
          <w14:textFill>
            <w14:solidFill>
              <w14:schemeClr w14:val="tx1"/>
            </w14:solidFill>
          </w14:textFill>
        </w:rPr>
      </w:pPr>
      <w:r>
        <w:rPr>
          <w:rStyle w:val="41"/>
          <w:rFonts w:hint="eastAsia" w:asciiTheme="minorEastAsia" w:hAnsiTheme="minorEastAsia" w:eastAsiaTheme="minorEastAsia" w:cstheme="minorEastAsia"/>
          <w:color w:val="000000" w:themeColor="text1"/>
          <w:szCs w:val="24"/>
          <w14:textFill>
            <w14:solidFill>
              <w14:schemeClr w14:val="tx1"/>
            </w14:solidFill>
          </w14:textFill>
        </w:rPr>
        <w:t>五、公告期限</w:t>
      </w:r>
    </w:p>
    <w:p>
      <w:pPr>
        <w:pStyle w:val="34"/>
        <w:adjustRightInd w:val="0"/>
        <w:snapToGrid w:val="0"/>
        <w:spacing w:beforeAutospacing="0" w:afterAutospacing="0" w:line="500" w:lineRule="exact"/>
        <w:ind w:firstLine="480" w:firstLineChars="200"/>
        <w:rPr>
          <w:rFonts w:asciiTheme="minorEastAsia" w:hAnsiTheme="minorEastAsia" w:eastAsiaTheme="minorEastAsia" w:cstheme="minorEastAsia"/>
          <w:color w:val="000000" w:themeColor="text1"/>
          <w:szCs w:val="24"/>
          <w14:textFill>
            <w14:solidFill>
              <w14:schemeClr w14:val="tx1"/>
            </w14:solidFill>
          </w14:textFill>
        </w:rPr>
      </w:pPr>
      <w:r>
        <w:rPr>
          <w:rFonts w:hint="eastAsia" w:asciiTheme="minorEastAsia" w:hAnsiTheme="minorEastAsia" w:eastAsiaTheme="minorEastAsia" w:cstheme="minorEastAsia"/>
          <w:color w:val="000000" w:themeColor="text1"/>
          <w:szCs w:val="24"/>
          <w14:textFill>
            <w14:solidFill>
              <w14:schemeClr w14:val="tx1"/>
            </w14:solidFill>
          </w14:textFill>
        </w:rPr>
        <w:t>自本公告发布之日起5个工作日。　　</w:t>
      </w:r>
    </w:p>
    <w:p>
      <w:pPr>
        <w:pStyle w:val="34"/>
        <w:numPr>
          <w:ilvl w:val="0"/>
          <w:numId w:val="3"/>
        </w:numPr>
        <w:adjustRightInd w:val="0"/>
        <w:snapToGrid w:val="0"/>
        <w:spacing w:beforeAutospacing="0" w:afterAutospacing="0" w:line="500" w:lineRule="exact"/>
        <w:rPr>
          <w:rFonts w:asciiTheme="minorEastAsia" w:hAnsiTheme="minorEastAsia" w:eastAsiaTheme="minorEastAsia" w:cstheme="minorEastAsia"/>
          <w:b/>
          <w:color w:val="000000" w:themeColor="text1"/>
          <w:szCs w:val="24"/>
          <w14:textFill>
            <w14:solidFill>
              <w14:schemeClr w14:val="tx1"/>
            </w14:solidFill>
          </w14:textFill>
        </w:rPr>
      </w:pPr>
      <w:r>
        <w:rPr>
          <w:rStyle w:val="41"/>
          <w:rFonts w:hint="eastAsia" w:asciiTheme="minorEastAsia" w:hAnsiTheme="minorEastAsia" w:eastAsiaTheme="minorEastAsia" w:cstheme="minorEastAsia"/>
          <w:bCs w:val="0"/>
          <w:color w:val="000000" w:themeColor="text1"/>
          <w:szCs w:val="24"/>
          <w14:textFill>
            <w14:solidFill>
              <w14:schemeClr w14:val="tx1"/>
            </w14:solidFill>
          </w14:textFill>
        </w:rPr>
        <w:t>其他补充事宜</w:t>
      </w:r>
      <w:r>
        <w:rPr>
          <w:rFonts w:hint="eastAsia" w:asciiTheme="minorEastAsia" w:hAnsiTheme="minorEastAsia" w:eastAsiaTheme="minorEastAsia" w:cstheme="minorEastAsia"/>
          <w:b/>
          <w:color w:val="000000" w:themeColor="text1"/>
          <w:szCs w:val="24"/>
          <w14:textFill>
            <w14:solidFill>
              <w14:schemeClr w14:val="tx1"/>
            </w14:solidFill>
          </w14:textFill>
        </w:rPr>
        <w:t>　</w:t>
      </w:r>
    </w:p>
    <w:p>
      <w:pPr>
        <w:pStyle w:val="34"/>
        <w:adjustRightInd w:val="0"/>
        <w:snapToGrid w:val="0"/>
        <w:spacing w:beforeAutospacing="0" w:afterAutospacing="0" w:line="500" w:lineRule="exact"/>
        <w:ind w:firstLine="420"/>
        <w:jc w:val="both"/>
        <w:rPr>
          <w:rFonts w:ascii="宋体" w:hAnsi="宋体" w:cs="宋体"/>
          <w:szCs w:val="24"/>
        </w:rPr>
      </w:pPr>
      <w:r>
        <w:rPr>
          <w:rFonts w:hint="eastAsia" w:ascii="宋体" w:hAnsi="宋体" w:cs="宋体"/>
          <w:szCs w:val="24"/>
        </w:rPr>
        <w:t>无</w:t>
      </w:r>
    </w:p>
    <w:p>
      <w:pPr>
        <w:pStyle w:val="34"/>
        <w:adjustRightInd w:val="0"/>
        <w:snapToGrid w:val="0"/>
        <w:spacing w:beforeAutospacing="0" w:afterAutospacing="0" w:line="500" w:lineRule="exact"/>
        <w:jc w:val="both"/>
        <w:rPr>
          <w:rFonts w:asciiTheme="minorEastAsia" w:hAnsiTheme="minorEastAsia" w:eastAsiaTheme="minorEastAsia" w:cstheme="minorEastAsia"/>
          <w:color w:val="000000" w:themeColor="text1"/>
          <w:szCs w:val="24"/>
          <w14:textFill>
            <w14:solidFill>
              <w14:schemeClr w14:val="tx1"/>
            </w14:solidFill>
          </w14:textFill>
        </w:rPr>
      </w:pPr>
      <w:r>
        <w:rPr>
          <w:rStyle w:val="41"/>
          <w:rFonts w:hint="eastAsia" w:asciiTheme="minorEastAsia" w:hAnsiTheme="minorEastAsia" w:eastAsiaTheme="minorEastAsia" w:cstheme="minorEastAsia"/>
          <w:color w:val="000000" w:themeColor="text1"/>
          <w:szCs w:val="24"/>
          <w14:textFill>
            <w14:solidFill>
              <w14:schemeClr w14:val="tx1"/>
            </w14:solidFill>
          </w14:textFill>
        </w:rPr>
        <w:t>七、对本次招标提出询问，请按以下方式联系。</w:t>
      </w:r>
      <w:r>
        <w:rPr>
          <w:rFonts w:hint="eastAsia" w:asciiTheme="minorEastAsia" w:hAnsiTheme="minorEastAsia" w:eastAsiaTheme="minorEastAsia" w:cstheme="minorEastAsia"/>
          <w:color w:val="000000" w:themeColor="text1"/>
          <w:szCs w:val="24"/>
          <w14:textFill>
            <w14:solidFill>
              <w14:schemeClr w14:val="tx1"/>
            </w14:solidFill>
          </w14:textFill>
        </w:rPr>
        <w:t>　　　　　　　　　　　　</w:t>
      </w:r>
    </w:p>
    <w:p>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1.采购人信息</w:t>
      </w:r>
    </w:p>
    <w:p>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名 称：</w:t>
      </w:r>
      <w:r>
        <w:rPr>
          <w:rStyle w:val="150"/>
          <w:rFonts w:hint="eastAsia" w:ascii="宋体" w:hAnsi="宋体" w:cs="宋体"/>
          <w:sz w:val="24"/>
          <w:szCs w:val="24"/>
        </w:rPr>
        <w:t>新疆职业大学</w:t>
      </w:r>
    </w:p>
    <w:p>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地 址：新疆维吾尔自治区乌鲁木齐市北京北路1075号新疆职业大学</w:t>
      </w:r>
    </w:p>
    <w:p>
      <w:pPr>
        <w:widowControl/>
        <w:spacing w:line="360" w:lineRule="auto"/>
        <w:ind w:firstLine="480" w:firstLineChars="200"/>
        <w:jc w:val="left"/>
        <w:rPr>
          <w:rFonts w:hint="eastAsia" w:ascii="宋体" w:hAnsi="宋体" w:eastAsia="宋体" w:cs="宋体"/>
          <w:kern w:val="0"/>
          <w:sz w:val="24"/>
          <w:szCs w:val="24"/>
        </w:rPr>
      </w:pPr>
      <w:r>
        <w:rPr>
          <w:rFonts w:hint="eastAsia" w:ascii="宋体" w:hAnsi="宋体" w:cs="宋体"/>
          <w:kern w:val="0"/>
          <w:sz w:val="24"/>
          <w:szCs w:val="24"/>
        </w:rPr>
        <w:t>联系人：高老师、</w:t>
      </w:r>
      <w:r>
        <w:rPr>
          <w:rFonts w:hint="eastAsia" w:ascii="宋体" w:hAnsi="宋体" w:eastAsia="宋体" w:cs="宋体"/>
          <w:kern w:val="0"/>
          <w:sz w:val="24"/>
          <w:szCs w:val="24"/>
        </w:rPr>
        <w:t>张老师</w:t>
      </w:r>
    </w:p>
    <w:p>
      <w:pPr>
        <w:widowControl/>
        <w:spacing w:line="360" w:lineRule="auto"/>
        <w:ind w:firstLine="480" w:firstLineChars="200"/>
        <w:jc w:val="left"/>
        <w:rPr>
          <w:rFonts w:hint="eastAsia" w:ascii="宋体" w:hAnsi="宋体" w:eastAsia="宋体" w:cs="宋体"/>
          <w:kern w:val="0"/>
          <w:sz w:val="24"/>
          <w:szCs w:val="24"/>
          <w:lang w:eastAsia="zh-CN"/>
        </w:rPr>
      </w:pPr>
      <w:r>
        <w:rPr>
          <w:rFonts w:hint="eastAsia" w:ascii="宋体" w:hAnsi="宋体" w:eastAsia="宋体" w:cs="宋体"/>
          <w:kern w:val="0"/>
          <w:sz w:val="24"/>
          <w:szCs w:val="24"/>
        </w:rPr>
        <w:t>联系方式：0991-3785337、</w:t>
      </w:r>
      <w:r>
        <w:rPr>
          <w:rFonts w:hint="eastAsia" w:ascii="宋体" w:hAnsi="宋体" w:eastAsia="宋体" w:cs="宋体"/>
          <w:kern w:val="0"/>
          <w:sz w:val="24"/>
          <w:szCs w:val="24"/>
          <w:lang w:eastAsia="zh-CN"/>
        </w:rPr>
        <w:t>15099511675</w:t>
      </w:r>
    </w:p>
    <w:p>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采购代理机构信息</w:t>
      </w:r>
    </w:p>
    <w:p>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名 称：新疆君凯杰工程项目管理有限公司</w:t>
      </w:r>
    </w:p>
    <w:p>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地 址：乌鲁木齐市会展大道1119号大成尔雅A座901室</w:t>
      </w:r>
    </w:p>
    <w:p>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 xml:space="preserve">联系方式：13201097601  </w:t>
      </w:r>
    </w:p>
    <w:p>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3.项目联系方式</w:t>
      </w:r>
    </w:p>
    <w:p>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 xml:space="preserve">项目联系人：陈晨 </w:t>
      </w:r>
    </w:p>
    <w:p>
      <w:pPr>
        <w:spacing w:line="360" w:lineRule="auto"/>
        <w:ind w:firstLine="480" w:firstLineChars="200"/>
        <w:jc w:val="left"/>
        <w:rPr>
          <w:rFonts w:ascii="宋体" w:hAnsi="宋体" w:cs="宋体"/>
          <w:b/>
          <w:bCs/>
          <w:sz w:val="24"/>
          <w:szCs w:val="24"/>
        </w:rPr>
      </w:pPr>
      <w:bookmarkStart w:id="2" w:name="_Toc15085"/>
      <w:r>
        <w:rPr>
          <w:rFonts w:hint="eastAsia" w:ascii="宋体" w:hAnsi="宋体" w:cs="宋体"/>
          <w:kern w:val="0"/>
          <w:sz w:val="24"/>
          <w:szCs w:val="24"/>
        </w:rPr>
        <w:t>电 话：</w:t>
      </w:r>
      <w:bookmarkEnd w:id="2"/>
      <w:r>
        <w:rPr>
          <w:rFonts w:hint="eastAsia" w:ascii="宋体" w:hAnsi="宋体" w:cs="宋体"/>
          <w:kern w:val="0"/>
          <w:sz w:val="24"/>
          <w:szCs w:val="24"/>
        </w:rPr>
        <w:t xml:space="preserve">13201097601  </w:t>
      </w:r>
    </w:p>
    <w:p>
      <w:pPr>
        <w:spacing w:line="500" w:lineRule="exact"/>
        <w:ind w:firstLine="480" w:firstLineChars="200"/>
        <w:jc w:val="left"/>
        <w:rPr>
          <w:rFonts w:asciiTheme="minorEastAsia" w:hAnsiTheme="minorEastAsia" w:eastAsiaTheme="minorEastAsia" w:cstheme="minorEastAsia"/>
          <w:color w:val="000000" w:themeColor="text1"/>
          <w:sz w:val="24"/>
          <w:szCs w:val="24"/>
          <w14:textFill>
            <w14:solidFill>
              <w14:schemeClr w14:val="tx1"/>
            </w14:solidFill>
          </w14:textFill>
        </w:rPr>
      </w:pPr>
    </w:p>
    <w:p>
      <w:pPr>
        <w:pStyle w:val="34"/>
        <w:adjustRightInd w:val="0"/>
        <w:snapToGrid w:val="0"/>
        <w:spacing w:beforeAutospacing="0" w:afterAutospacing="0" w:line="360" w:lineRule="auto"/>
        <w:ind w:firstLine="720"/>
        <w:rPr>
          <w:rFonts w:asciiTheme="minorEastAsia" w:hAnsiTheme="minorEastAsia" w:eastAsiaTheme="minorEastAsia" w:cstheme="minorEastAsia"/>
          <w:color w:val="000000" w:themeColor="text1"/>
          <w14:textFill>
            <w14:solidFill>
              <w14:schemeClr w14:val="tx1"/>
            </w14:solidFill>
          </w14:textFill>
        </w:rPr>
      </w:pPr>
    </w:p>
    <w:p>
      <w:pPr>
        <w:pStyle w:val="19"/>
        <w:rPr>
          <w:rFonts w:asciiTheme="minorEastAsia" w:hAnsiTheme="minorEastAsia" w:eastAsiaTheme="minorEastAsia" w:cstheme="minorEastAsia"/>
          <w:color w:val="000000" w:themeColor="text1"/>
          <w14:textFill>
            <w14:solidFill>
              <w14:schemeClr w14:val="tx1"/>
            </w14:solidFill>
          </w14:textFill>
        </w:rPr>
      </w:pPr>
    </w:p>
    <w:p>
      <w:pPr>
        <w:rPr>
          <w:rFonts w:asciiTheme="minorEastAsia" w:hAnsiTheme="minorEastAsia" w:eastAsiaTheme="minorEastAsia" w:cstheme="minorEastAsia"/>
          <w:b/>
          <w:color w:val="000000" w:themeColor="text1"/>
          <w:sz w:val="28"/>
          <w:szCs w:val="28"/>
          <w14:textFill>
            <w14:solidFill>
              <w14:schemeClr w14:val="tx1"/>
            </w14:solidFill>
          </w14:textFill>
        </w:rPr>
      </w:pPr>
      <w:bookmarkStart w:id="3" w:name="_Toc22314"/>
      <w:r>
        <w:rPr>
          <w:rFonts w:hint="eastAsia" w:asciiTheme="minorEastAsia" w:hAnsiTheme="minorEastAsia" w:eastAsiaTheme="minorEastAsia" w:cstheme="minorEastAsia"/>
          <w:b/>
          <w:color w:val="000000" w:themeColor="text1"/>
          <w:sz w:val="28"/>
          <w:szCs w:val="28"/>
          <w14:textFill>
            <w14:solidFill>
              <w14:schemeClr w14:val="tx1"/>
            </w14:solidFill>
          </w14:textFill>
        </w:rPr>
        <w:br w:type="page"/>
      </w:r>
    </w:p>
    <w:p>
      <w:pPr>
        <w:pStyle w:val="21"/>
        <w:tabs>
          <w:tab w:val="left" w:pos="0"/>
        </w:tabs>
        <w:ind w:left="0" w:leftChars="0" w:firstLine="0" w:firstLineChars="0"/>
        <w:jc w:val="center"/>
        <w:outlineLvl w:val="0"/>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b/>
          <w:color w:val="000000" w:themeColor="text1"/>
          <w:sz w:val="28"/>
          <w:szCs w:val="28"/>
          <w14:textFill>
            <w14:solidFill>
              <w14:schemeClr w14:val="tx1"/>
            </w14:solidFill>
          </w14:textFill>
        </w:rPr>
        <w:t>第二部分  投标人须知</w:t>
      </w:r>
      <w:bookmarkEnd w:id="3"/>
    </w:p>
    <w:p>
      <w:pPr>
        <w:spacing w:line="500" w:lineRule="exact"/>
        <w:jc w:val="center"/>
        <w:outlineLvl w:val="1"/>
        <w:rPr>
          <w:rFonts w:asciiTheme="minorEastAsia" w:hAnsiTheme="minorEastAsia" w:eastAsiaTheme="minorEastAsia" w:cstheme="minorEastAsia"/>
          <w:b/>
          <w:color w:val="000000" w:themeColor="text1"/>
          <w:sz w:val="28"/>
          <w:szCs w:val="28"/>
          <w14:textFill>
            <w14:solidFill>
              <w14:schemeClr w14:val="tx1"/>
            </w14:solidFill>
          </w14:textFill>
        </w:rPr>
      </w:pPr>
      <w:bookmarkStart w:id="4" w:name="_Toc11613"/>
      <w:r>
        <w:rPr>
          <w:rFonts w:hint="eastAsia" w:asciiTheme="minorEastAsia" w:hAnsiTheme="minorEastAsia" w:eastAsiaTheme="minorEastAsia" w:cstheme="minorEastAsia"/>
          <w:b/>
          <w:color w:val="000000" w:themeColor="text1"/>
          <w:sz w:val="28"/>
          <w:szCs w:val="28"/>
          <w14:textFill>
            <w14:solidFill>
              <w14:schemeClr w14:val="tx1"/>
            </w14:solidFill>
          </w14:textFill>
        </w:rPr>
        <w:t>投标人须知前附表</w:t>
      </w:r>
      <w:bookmarkEnd w:id="4"/>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2344"/>
        <w:gridCol w:w="71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35" w:type="dxa"/>
            <w:vAlign w:val="center"/>
          </w:tcPr>
          <w:p>
            <w:pPr>
              <w:rPr>
                <w:rFonts w:asciiTheme="minorEastAsia" w:hAnsiTheme="minorEastAsia" w:eastAsiaTheme="minorEastAsia" w:cstheme="minorEastAsia"/>
                <w:b/>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
                <w:color w:val="000000" w:themeColor="text1"/>
                <w:kern w:val="0"/>
                <w:sz w:val="24"/>
                <w:szCs w:val="24"/>
                <w14:textFill>
                  <w14:solidFill>
                    <w14:schemeClr w14:val="tx1"/>
                  </w14:solidFill>
                </w14:textFill>
              </w:rPr>
              <w:t>序号</w:t>
            </w:r>
          </w:p>
        </w:tc>
        <w:tc>
          <w:tcPr>
            <w:tcW w:w="2344" w:type="dxa"/>
            <w:vAlign w:val="center"/>
          </w:tcPr>
          <w:p>
            <w:pPr>
              <w:jc w:val="center"/>
              <w:rPr>
                <w:rFonts w:asciiTheme="minorEastAsia" w:hAnsiTheme="minorEastAsia" w:eastAsiaTheme="minorEastAsia" w:cstheme="minorEastAsia"/>
                <w:b/>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
                <w:color w:val="000000" w:themeColor="text1"/>
                <w:kern w:val="0"/>
                <w:sz w:val="24"/>
                <w:szCs w:val="24"/>
                <w14:textFill>
                  <w14:solidFill>
                    <w14:schemeClr w14:val="tx1"/>
                  </w14:solidFill>
                </w14:textFill>
              </w:rPr>
              <w:t>内容</w:t>
            </w:r>
          </w:p>
        </w:tc>
        <w:tc>
          <w:tcPr>
            <w:tcW w:w="7145" w:type="dxa"/>
            <w:vAlign w:val="center"/>
          </w:tcPr>
          <w:p>
            <w:pPr>
              <w:pStyle w:val="124"/>
              <w:keepNext w:val="0"/>
              <w:keepLines w:val="0"/>
              <w:numPr>
                <w:ilvl w:val="0"/>
                <w:numId w:val="0"/>
              </w:numPr>
              <w:spacing w:before="0" w:after="0"/>
              <w:jc w:val="center"/>
              <w:rPr>
                <w:rFonts w:asciiTheme="minorEastAsia" w:hAnsiTheme="minorEastAsia" w:eastAsiaTheme="minorEastAsia" w:cstheme="minorEastAsia"/>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Cs w:val="0"/>
                <w:color w:val="000000" w:themeColor="text1"/>
                <w:sz w:val="24"/>
                <w:szCs w:val="24"/>
                <w14:textFill>
                  <w14:solidFill>
                    <w14:schemeClr w14:val="tx1"/>
                  </w14:solidFill>
                </w14:textFill>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vAlign w:val="center"/>
          </w:tcPr>
          <w:p>
            <w:pPr>
              <w:jc w:val="center"/>
              <w:rPr>
                <w:rFonts w:asciiTheme="minorEastAsia" w:hAnsiTheme="minorEastAsia" w:eastAsiaTheme="minorEastAsia" w:cstheme="minorEastAsia"/>
                <w:b/>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
                <w:color w:val="000000" w:themeColor="text1"/>
                <w:kern w:val="0"/>
                <w:sz w:val="24"/>
                <w:szCs w:val="24"/>
                <w14:textFill>
                  <w14:solidFill>
                    <w14:schemeClr w14:val="tx1"/>
                  </w14:solidFill>
                </w14:textFill>
              </w:rPr>
              <w:t>1</w:t>
            </w:r>
          </w:p>
        </w:tc>
        <w:tc>
          <w:tcPr>
            <w:tcW w:w="2344" w:type="dxa"/>
            <w:vAlign w:val="center"/>
          </w:tcPr>
          <w:p>
            <w:pPr>
              <w:pStyle w:val="124"/>
              <w:keepNext w:val="0"/>
              <w:keepLines w:val="0"/>
              <w:numPr>
                <w:ilvl w:val="0"/>
                <w:numId w:val="0"/>
              </w:numPr>
              <w:spacing w:before="0" w:after="0"/>
              <w:jc w:val="center"/>
              <w:rPr>
                <w:rFonts w:asciiTheme="minorEastAsia" w:hAnsiTheme="minorEastAsia" w:eastAsiaTheme="minorEastAsia" w:cstheme="minorEastAsia"/>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Cs w:val="0"/>
                <w:color w:val="000000" w:themeColor="text1"/>
                <w:sz w:val="24"/>
                <w:szCs w:val="24"/>
                <w14:textFill>
                  <w14:solidFill>
                    <w14:schemeClr w14:val="tx1"/>
                  </w14:solidFill>
                </w14:textFill>
              </w:rPr>
              <w:t>项目名称</w:t>
            </w:r>
          </w:p>
        </w:tc>
        <w:tc>
          <w:tcPr>
            <w:tcW w:w="7145" w:type="dxa"/>
            <w:vAlign w:val="center"/>
          </w:tcPr>
          <w:p>
            <w:pPr>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新疆职业大学先进装备制造与运维虚拟仿真示范基地设备采购项目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3" w:hRule="atLeast"/>
          <w:jc w:val="center"/>
        </w:trPr>
        <w:tc>
          <w:tcPr>
            <w:tcW w:w="735" w:type="dxa"/>
            <w:vAlign w:val="center"/>
          </w:tcPr>
          <w:p>
            <w:pPr>
              <w:jc w:val="center"/>
              <w:rPr>
                <w:rFonts w:asciiTheme="minorEastAsia" w:hAnsiTheme="minorEastAsia" w:eastAsiaTheme="minorEastAsia" w:cstheme="minorEastAsia"/>
                <w:b/>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
                <w:color w:val="000000" w:themeColor="text1"/>
                <w:kern w:val="0"/>
                <w:sz w:val="24"/>
                <w:szCs w:val="24"/>
                <w14:textFill>
                  <w14:solidFill>
                    <w14:schemeClr w14:val="tx1"/>
                  </w14:solidFill>
                </w14:textFill>
              </w:rPr>
              <w:t>2</w:t>
            </w:r>
          </w:p>
        </w:tc>
        <w:tc>
          <w:tcPr>
            <w:tcW w:w="2344" w:type="dxa"/>
            <w:vAlign w:val="center"/>
          </w:tcPr>
          <w:p>
            <w:pPr>
              <w:pStyle w:val="124"/>
              <w:keepNext w:val="0"/>
              <w:keepLines w:val="0"/>
              <w:numPr>
                <w:ilvl w:val="0"/>
                <w:numId w:val="0"/>
              </w:numPr>
              <w:spacing w:before="0" w:after="0"/>
              <w:jc w:val="center"/>
              <w:rPr>
                <w:rFonts w:asciiTheme="minorEastAsia" w:hAnsiTheme="minorEastAsia" w:eastAsiaTheme="minorEastAsia" w:cstheme="minorEastAsia"/>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Cs w:val="0"/>
                <w:color w:val="000000" w:themeColor="text1"/>
                <w:sz w:val="24"/>
                <w:szCs w:val="24"/>
                <w14:textFill>
                  <w14:solidFill>
                    <w14:schemeClr w14:val="tx1"/>
                  </w14:solidFill>
                </w14:textFill>
              </w:rPr>
              <w:t>采购人</w:t>
            </w:r>
          </w:p>
        </w:tc>
        <w:tc>
          <w:tcPr>
            <w:tcW w:w="7145" w:type="dxa"/>
            <w:vAlign w:val="center"/>
          </w:tcPr>
          <w:p>
            <w:pPr>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名称：新疆职业大学 </w:t>
            </w:r>
          </w:p>
          <w:p>
            <w:pPr>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地址：新疆维吾尔自治区乌鲁木齐市北京北路1075号新疆职业大学</w:t>
            </w:r>
          </w:p>
          <w:p>
            <w:pP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联系人：高老师、张老师</w:t>
            </w:r>
          </w:p>
          <w:p>
            <w:pPr>
              <w:rPr>
                <w:rFonts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联系方式：0991-3785337、</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15099511675</w:t>
            </w: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yellow"/>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vAlign w:val="center"/>
          </w:tcPr>
          <w:p>
            <w:pPr>
              <w:jc w:val="center"/>
              <w:rPr>
                <w:rFonts w:asciiTheme="minorEastAsia" w:hAnsiTheme="minorEastAsia" w:eastAsiaTheme="minorEastAsia" w:cstheme="minorEastAsia"/>
                <w:b/>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
                <w:color w:val="000000" w:themeColor="text1"/>
                <w:kern w:val="0"/>
                <w:sz w:val="24"/>
                <w:szCs w:val="24"/>
                <w14:textFill>
                  <w14:solidFill>
                    <w14:schemeClr w14:val="tx1"/>
                  </w14:solidFill>
                </w14:textFill>
              </w:rPr>
              <w:t>3</w:t>
            </w:r>
          </w:p>
        </w:tc>
        <w:tc>
          <w:tcPr>
            <w:tcW w:w="2344" w:type="dxa"/>
            <w:vAlign w:val="center"/>
          </w:tcPr>
          <w:p>
            <w:pPr>
              <w:jc w:val="center"/>
              <w:rPr>
                <w:rFonts w:asciiTheme="minorEastAsia" w:hAnsiTheme="minorEastAsia" w:eastAsiaTheme="minorEastAsia" w:cstheme="minorEastAsia"/>
                <w:b/>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
                <w:color w:val="000000" w:themeColor="text1"/>
                <w:kern w:val="0"/>
                <w:sz w:val="24"/>
                <w:szCs w:val="24"/>
                <w14:textFill>
                  <w14:solidFill>
                    <w14:schemeClr w14:val="tx1"/>
                  </w14:solidFill>
                </w14:textFill>
              </w:rPr>
              <w:t>采购代理机构</w:t>
            </w:r>
          </w:p>
        </w:tc>
        <w:tc>
          <w:tcPr>
            <w:tcW w:w="7145" w:type="dxa"/>
            <w:vAlign w:val="center"/>
          </w:tcPr>
          <w:p>
            <w:pPr>
              <w:widowControl/>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名 称：新疆君凯杰工程项目管理有限公司</w:t>
            </w:r>
          </w:p>
          <w:p>
            <w:pPr>
              <w:widowControl/>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地 址：乌鲁木齐市会展大道1119号大成尔雅A座901室</w:t>
            </w:r>
          </w:p>
          <w:p>
            <w:pPr>
              <w:widowControl/>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联系人：陈晨 </w:t>
            </w:r>
          </w:p>
          <w:p>
            <w:pPr>
              <w:widowControl/>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电 话：13201097601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vAlign w:val="center"/>
          </w:tcPr>
          <w:p>
            <w:pPr>
              <w:jc w:val="center"/>
              <w:rPr>
                <w:rFonts w:asciiTheme="minorEastAsia" w:hAnsiTheme="minorEastAsia" w:eastAsiaTheme="minorEastAsia" w:cstheme="minorEastAsia"/>
                <w:b/>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
                <w:color w:val="000000" w:themeColor="text1"/>
                <w:kern w:val="0"/>
                <w:sz w:val="24"/>
                <w:szCs w:val="24"/>
                <w14:textFill>
                  <w14:solidFill>
                    <w14:schemeClr w14:val="tx1"/>
                  </w14:solidFill>
                </w14:textFill>
              </w:rPr>
              <w:t>4</w:t>
            </w:r>
          </w:p>
        </w:tc>
        <w:tc>
          <w:tcPr>
            <w:tcW w:w="2344" w:type="dxa"/>
            <w:vAlign w:val="center"/>
          </w:tcPr>
          <w:p>
            <w:pPr>
              <w:jc w:val="center"/>
              <w:rPr>
                <w:rFonts w:asciiTheme="minorEastAsia" w:hAnsiTheme="minorEastAsia" w:eastAsiaTheme="minorEastAsia" w:cstheme="minorEastAsia"/>
                <w:b/>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
                <w:color w:val="000000" w:themeColor="text1"/>
                <w:kern w:val="0"/>
                <w:sz w:val="24"/>
                <w:szCs w:val="24"/>
                <w14:textFill>
                  <w14:solidFill>
                    <w14:schemeClr w14:val="tx1"/>
                  </w14:solidFill>
                </w14:textFill>
              </w:rPr>
              <w:t>采购内容</w:t>
            </w:r>
          </w:p>
        </w:tc>
        <w:tc>
          <w:tcPr>
            <w:tcW w:w="7145" w:type="dxa"/>
            <w:vAlign w:val="center"/>
          </w:tcPr>
          <w:p>
            <w:pPr>
              <w:widowControl/>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具体详见招标文件第三部分采购需求；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vAlign w:val="center"/>
          </w:tcPr>
          <w:p>
            <w:pPr>
              <w:jc w:val="center"/>
              <w:rPr>
                <w:rFonts w:asciiTheme="minorEastAsia" w:hAnsiTheme="minorEastAsia" w:eastAsiaTheme="minorEastAsia" w:cstheme="minorEastAsia"/>
                <w:b/>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
                <w:color w:val="000000" w:themeColor="text1"/>
                <w:kern w:val="0"/>
                <w:sz w:val="24"/>
                <w:szCs w:val="24"/>
                <w14:textFill>
                  <w14:solidFill>
                    <w14:schemeClr w14:val="tx1"/>
                  </w14:solidFill>
                </w14:textFill>
              </w:rPr>
              <w:t>5</w:t>
            </w:r>
          </w:p>
        </w:tc>
        <w:tc>
          <w:tcPr>
            <w:tcW w:w="2344" w:type="dxa"/>
            <w:vAlign w:val="center"/>
          </w:tcPr>
          <w:p>
            <w:pPr>
              <w:jc w:val="center"/>
              <w:rPr>
                <w:rFonts w:asciiTheme="minorEastAsia" w:hAnsiTheme="minorEastAsia" w:eastAsiaTheme="minorEastAsia" w:cstheme="minorEastAsia"/>
                <w:b/>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
                <w:color w:val="000000" w:themeColor="text1"/>
                <w:kern w:val="0"/>
                <w:sz w:val="24"/>
                <w:szCs w:val="24"/>
                <w14:textFill>
                  <w14:solidFill>
                    <w14:schemeClr w14:val="tx1"/>
                  </w14:solidFill>
                </w14:textFill>
              </w:rPr>
              <w:t>投标人资格要求</w:t>
            </w:r>
          </w:p>
        </w:tc>
        <w:tc>
          <w:tcPr>
            <w:tcW w:w="7145" w:type="dxa"/>
            <w:vAlign w:val="center"/>
          </w:tcPr>
          <w:p>
            <w:pPr>
              <w:widowControl/>
              <w:rPr>
                <w:rFonts w:asciiTheme="minorEastAsia" w:hAnsiTheme="minorEastAsia" w:eastAsiaTheme="minorEastAsia" w:cstheme="minorEastAsia"/>
                <w:color w:val="000000" w:themeColor="text1"/>
                <w:sz w:val="24"/>
                <w:szCs w:val="24"/>
                <w14:textFill>
                  <w14:solidFill>
                    <w14:schemeClr w14:val="tx1"/>
                  </w14:solidFill>
                </w14:textFill>
              </w:rPr>
            </w:pPr>
            <w:bookmarkStart w:id="5" w:name="EB7907836f74a6455bb75d2ff8b438afad"/>
            <w:bookmarkEnd w:id="5"/>
            <w:r>
              <w:rPr>
                <w:rFonts w:hint="eastAsia" w:asciiTheme="minorEastAsia" w:hAnsiTheme="minorEastAsia" w:eastAsiaTheme="minorEastAsia" w:cstheme="minorEastAsia"/>
                <w:color w:val="000000" w:themeColor="text1"/>
                <w:sz w:val="24"/>
                <w:szCs w:val="24"/>
                <w14:textFill>
                  <w14:solidFill>
                    <w14:schemeClr w14:val="tx1"/>
                  </w14:solidFill>
                </w14:textFill>
              </w:rPr>
              <w:t>1.满足《中华人民共和国政府采购法》第二十二条规定；</w:t>
            </w:r>
          </w:p>
          <w:p>
            <w:pPr>
              <w:widowControl/>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2.落实政府采购政策需满足的资格要求：《政府采购促进中小企业发展管理办法》（财库〔2020〕46号）、《财政部、司法部关于政府采购支持监狱企业发展有关问题的通知》（财库〔2014〕68号）、《财政部 民政部 中国残疾人联合会关于促进残疾人就业政府采购政策的通知》财库〔2017〕141号；（中小企业优惠、监狱企业、节能产品、环境标志产品等）</w:t>
            </w:r>
          </w:p>
          <w:p>
            <w:pPr>
              <w:widowControl/>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3.本项目的特定资格要求：</w:t>
            </w:r>
          </w:p>
          <w:p>
            <w:pPr>
              <w:widowControl/>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（1）符合《中华人民共和国政府采购法》第二十二条的相关规定； </w:t>
            </w:r>
          </w:p>
          <w:p>
            <w:pPr>
              <w:widowControl/>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（2）具有有效的“一证一码”或“三证合一”的营业执照；</w:t>
            </w:r>
          </w:p>
          <w:p>
            <w:pPr>
              <w:widowControl/>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（3）凡拟参加本次招标项目的投标人，如在“信用中国”网站（www.creditchina.gov.vn ）被列入失信被执行人、重大税收违法案件当事人名单；如在中国政府采购网（www.ccgp.gov.vn ）被列入政府采购严重违法失信行为记录名单的（尚在处罚期内的），将拒绝其参本次招标活动；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vAlign w:val="center"/>
          </w:tcPr>
          <w:p>
            <w:pPr>
              <w:jc w:val="center"/>
              <w:rPr>
                <w:rFonts w:asciiTheme="minorEastAsia" w:hAnsiTheme="minorEastAsia" w:eastAsiaTheme="minorEastAsia" w:cstheme="minorEastAsia"/>
                <w:b/>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
                <w:color w:val="000000" w:themeColor="text1"/>
                <w:kern w:val="0"/>
                <w:sz w:val="24"/>
                <w:szCs w:val="24"/>
                <w14:textFill>
                  <w14:solidFill>
                    <w14:schemeClr w14:val="tx1"/>
                  </w14:solidFill>
                </w14:textFill>
              </w:rPr>
              <w:t>6</w:t>
            </w:r>
          </w:p>
        </w:tc>
        <w:tc>
          <w:tcPr>
            <w:tcW w:w="2344" w:type="dxa"/>
            <w:vAlign w:val="center"/>
          </w:tcPr>
          <w:p>
            <w:pPr>
              <w:jc w:val="center"/>
              <w:rPr>
                <w:rFonts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z w:val="24"/>
                <w:szCs w:val="24"/>
                <w14:textFill>
                  <w14:solidFill>
                    <w14:schemeClr w14:val="tx1"/>
                  </w14:solidFill>
                </w14:textFill>
              </w:rPr>
              <w:t>是否允许联合体投标</w:t>
            </w:r>
          </w:p>
        </w:tc>
        <w:tc>
          <w:tcPr>
            <w:tcW w:w="7145" w:type="dxa"/>
            <w:vAlign w:val="center"/>
          </w:tcPr>
          <w:p>
            <w:pPr>
              <w:autoSpaceDE w:val="0"/>
              <w:autoSpaceDN w:val="0"/>
              <w:adjustRightInd w:val="0"/>
              <w:rPr>
                <w:rFonts w:asciiTheme="minorEastAsia" w:hAnsiTheme="minorEastAsia" w:eastAsiaTheme="minorEastAsia" w:cstheme="minorEastAsia"/>
                <w:color w:val="000000" w:themeColor="text1"/>
                <w:kern w:val="0"/>
                <w:sz w:val="24"/>
                <w:szCs w:val="24"/>
                <w14:textFill>
                  <w14:solidFill>
                    <w14:schemeClr w14:val="tx1"/>
                  </w14:solidFill>
                </w14:textFill>
              </w:rPr>
            </w:pPr>
            <w:bookmarkStart w:id="6" w:name="EBc6ac0877da194e1ead2e51743a97925a"/>
            <w:bookmarkEnd w:id="6"/>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 xml:space="preserve">□是。    </w:t>
            </w:r>
          </w:p>
          <w:p>
            <w:pPr>
              <w:autoSpaceDE w:val="0"/>
              <w:autoSpaceDN w:val="0"/>
              <w:adjustRightInd w:val="0"/>
              <w:rPr>
                <w:rFonts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应满足要求：</w:t>
            </w: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 xml:space="preserve">   </w:t>
            </w:r>
          </w:p>
          <w:p>
            <w:pPr>
              <w:autoSpaceDE w:val="0"/>
              <w:autoSpaceDN w:val="0"/>
              <w:adjustRightInd w:val="0"/>
              <w:rPr>
                <w:rFonts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sym w:font="Wingdings 2" w:char="0052"/>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 xml:space="preserve">否。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vAlign w:val="center"/>
          </w:tcPr>
          <w:p>
            <w:pPr>
              <w:jc w:val="center"/>
              <w:rPr>
                <w:rFonts w:asciiTheme="minorEastAsia" w:hAnsiTheme="minorEastAsia" w:eastAsiaTheme="minorEastAsia" w:cstheme="minorEastAsia"/>
                <w:b/>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
                <w:color w:val="000000" w:themeColor="text1"/>
                <w:kern w:val="0"/>
                <w:sz w:val="24"/>
                <w:szCs w:val="24"/>
                <w14:textFill>
                  <w14:solidFill>
                    <w14:schemeClr w14:val="tx1"/>
                  </w14:solidFill>
                </w14:textFill>
              </w:rPr>
              <w:t>7</w:t>
            </w:r>
          </w:p>
        </w:tc>
        <w:tc>
          <w:tcPr>
            <w:tcW w:w="2344" w:type="dxa"/>
            <w:vAlign w:val="center"/>
          </w:tcPr>
          <w:p>
            <w:pPr>
              <w:jc w:val="center"/>
              <w:rPr>
                <w:rFonts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z w:val="24"/>
                <w:szCs w:val="24"/>
                <w14:textFill>
                  <w14:solidFill>
                    <w14:schemeClr w14:val="tx1"/>
                  </w14:solidFill>
                </w14:textFill>
              </w:rPr>
              <w:t>是否允许投报进口产品</w:t>
            </w:r>
          </w:p>
        </w:tc>
        <w:tc>
          <w:tcPr>
            <w:tcW w:w="7145" w:type="dxa"/>
            <w:vAlign w:val="center"/>
          </w:tcPr>
          <w:p>
            <w:pPr>
              <w:autoSpaceDE w:val="0"/>
              <w:autoSpaceDN w:val="0"/>
              <w:adjustRightInd w:val="0"/>
              <w:rPr>
                <w:rFonts w:asciiTheme="minorEastAsia" w:hAnsiTheme="minorEastAsia" w:eastAsiaTheme="minorEastAsia" w:cstheme="minorEastAsia"/>
                <w:color w:val="000000" w:themeColor="text1"/>
                <w:kern w:val="0"/>
                <w:sz w:val="24"/>
                <w:szCs w:val="24"/>
                <w14:textFill>
                  <w14:solidFill>
                    <w14:schemeClr w14:val="tx1"/>
                  </w14:solidFill>
                </w14:textFill>
              </w:rPr>
            </w:pPr>
            <w:bookmarkStart w:id="7" w:name="EB7401d5a3a7c54a98b25d14a9dd4d0afa"/>
            <w:bookmarkEnd w:id="7"/>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 xml:space="preserve">□是。              </w:t>
            </w:r>
          </w:p>
          <w:p>
            <w:pPr>
              <w:autoSpaceDE w:val="0"/>
              <w:autoSpaceDN w:val="0"/>
              <w:adjustRightInd w:val="0"/>
              <w:rPr>
                <w:rFonts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sym w:font="Wingdings 2" w:char="0052"/>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vAlign w:val="center"/>
          </w:tcPr>
          <w:p>
            <w:pPr>
              <w:jc w:val="center"/>
              <w:rPr>
                <w:rFonts w:asciiTheme="minorEastAsia" w:hAnsiTheme="minorEastAsia" w:eastAsiaTheme="minorEastAsia" w:cstheme="minorEastAsia"/>
                <w:b/>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
                <w:color w:val="000000" w:themeColor="text1"/>
                <w:kern w:val="0"/>
                <w:sz w:val="24"/>
                <w:szCs w:val="24"/>
                <w14:textFill>
                  <w14:solidFill>
                    <w14:schemeClr w14:val="tx1"/>
                  </w14:solidFill>
                </w14:textFill>
              </w:rPr>
              <w:t>8</w:t>
            </w:r>
          </w:p>
        </w:tc>
        <w:tc>
          <w:tcPr>
            <w:tcW w:w="2344" w:type="dxa"/>
            <w:vAlign w:val="center"/>
          </w:tcPr>
          <w:p>
            <w:pPr>
              <w:jc w:val="center"/>
              <w:rPr>
                <w:rFonts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z w:val="24"/>
                <w:szCs w:val="24"/>
                <w14:textFill>
                  <w14:solidFill>
                    <w14:schemeClr w14:val="tx1"/>
                  </w14:solidFill>
                </w14:textFill>
              </w:rPr>
              <w:t>是否允许投标人将项目非主体、非关键性工作交由他人完成</w:t>
            </w:r>
          </w:p>
        </w:tc>
        <w:tc>
          <w:tcPr>
            <w:tcW w:w="7145" w:type="dxa"/>
            <w:vAlign w:val="center"/>
          </w:tcPr>
          <w:p>
            <w:pPr>
              <w:rPr>
                <w:rFonts w:asciiTheme="minorEastAsia" w:hAnsiTheme="minorEastAsia" w:eastAsiaTheme="minorEastAsia" w:cstheme="minorEastAsia"/>
                <w:color w:val="000000" w:themeColor="text1"/>
                <w:kern w:val="0"/>
                <w:sz w:val="24"/>
                <w:szCs w:val="24"/>
                <w14:textFill>
                  <w14:solidFill>
                    <w14:schemeClr w14:val="tx1"/>
                  </w14:solidFill>
                </w14:textFill>
              </w:rPr>
            </w:pPr>
            <w:bookmarkStart w:id="8" w:name="EB7f9a2183097e49ed95bd12c9f3aa7860"/>
            <w:bookmarkEnd w:id="8"/>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sym w:font="Wingdings 2" w:char="0052"/>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否。</w:t>
            </w:r>
          </w:p>
          <w:p>
            <w:pPr>
              <w:rPr>
                <w:rFonts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□是。</w:t>
            </w:r>
            <w:bookmarkStart w:id="9" w:name="EB6ec0273c4f0d479fbc03387394b9e6ec"/>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vAlign w:val="center"/>
          </w:tcPr>
          <w:p>
            <w:pPr>
              <w:jc w:val="center"/>
              <w:rPr>
                <w:rFonts w:asciiTheme="minorEastAsia" w:hAnsiTheme="minorEastAsia" w:eastAsiaTheme="minorEastAsia" w:cstheme="minorEastAsia"/>
                <w:b/>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
                <w:color w:val="000000" w:themeColor="text1"/>
                <w:kern w:val="0"/>
                <w:sz w:val="24"/>
                <w:szCs w:val="24"/>
                <w14:textFill>
                  <w14:solidFill>
                    <w14:schemeClr w14:val="tx1"/>
                  </w14:solidFill>
                </w14:textFill>
              </w:rPr>
              <w:t>9</w:t>
            </w:r>
          </w:p>
        </w:tc>
        <w:tc>
          <w:tcPr>
            <w:tcW w:w="2344" w:type="dxa"/>
            <w:vAlign w:val="center"/>
          </w:tcPr>
          <w:p>
            <w:pPr>
              <w:jc w:val="center"/>
              <w:rPr>
                <w:rFonts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z w:val="24"/>
                <w:szCs w:val="24"/>
                <w14:textFill>
                  <w14:solidFill>
                    <w14:schemeClr w14:val="tx1"/>
                  </w14:solidFill>
                </w14:textFill>
              </w:rPr>
              <w:t>踏勘现场</w:t>
            </w:r>
          </w:p>
        </w:tc>
        <w:tc>
          <w:tcPr>
            <w:tcW w:w="7145" w:type="dxa"/>
            <w:vAlign w:val="center"/>
          </w:tcPr>
          <w:p>
            <w:pPr>
              <w:autoSpaceDE w:val="0"/>
              <w:autoSpaceDN w:val="0"/>
              <w:adjustRightInd w:val="0"/>
              <w:rPr>
                <w:rFonts w:asciiTheme="minorEastAsia" w:hAnsiTheme="minorEastAsia" w:eastAsiaTheme="minorEastAsia" w:cstheme="minorEastAsia"/>
                <w:color w:val="000000" w:themeColor="text1"/>
                <w:kern w:val="0"/>
                <w:sz w:val="24"/>
                <w:szCs w:val="24"/>
                <w14:textFill>
                  <w14:solidFill>
                    <w14:schemeClr w14:val="tx1"/>
                  </w14:solidFill>
                </w14:textFill>
              </w:rPr>
            </w:pPr>
            <w:bookmarkStart w:id="10" w:name="EBbb43714198e3424880ac7b30e46e04ef"/>
            <w:bookmarkEnd w:id="10"/>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sym w:font="Wingdings 2" w:char="0052"/>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自行踏勘。</w:t>
            </w:r>
          </w:p>
          <w:p>
            <w:pPr>
              <w:autoSpaceDE w:val="0"/>
              <w:autoSpaceDN w:val="0"/>
              <w:adjustRightInd w:val="0"/>
              <w:rPr>
                <w:rFonts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□统一组织。</w:t>
            </w:r>
          </w:p>
          <w:p>
            <w:pPr>
              <w:autoSpaceDE w:val="0"/>
              <w:autoSpaceDN w:val="0"/>
              <w:adjustRightInd w:val="0"/>
              <w:rPr>
                <w:rFonts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联系人：</w:t>
            </w:r>
            <w:bookmarkStart w:id="11" w:name="EB33dad0166b464ee8823a1950c9666961"/>
            <w:bookmarkEnd w:id="11"/>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 xml:space="preserve">张老师                              </w:t>
            </w:r>
          </w:p>
          <w:p>
            <w:pPr>
              <w:autoSpaceDE w:val="0"/>
              <w:autoSpaceDN w:val="0"/>
              <w:adjustRightInd w:val="0"/>
              <w:rPr>
                <w:rFonts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联系电话：</w:t>
            </w:r>
            <w:bookmarkStart w:id="12" w:name="EB65e499a587da460c841a67f90f8055d0"/>
            <w:bookmarkEnd w:id="12"/>
            <w:r>
              <w:rPr>
                <w:rFonts w:hint="eastAsia" w:asciiTheme="minorEastAsia" w:hAnsiTheme="minorEastAsia" w:eastAsiaTheme="minorEastAsia" w:cstheme="minorEastAsia"/>
                <w:color w:val="000000" w:themeColor="text1"/>
                <w:kern w:val="0"/>
                <w:sz w:val="24"/>
                <w:szCs w:val="24"/>
                <w:highlight w:val="none"/>
                <w:lang w:eastAsia="zh-CN"/>
                <w14:textFill>
                  <w14:solidFill>
                    <w14:schemeClr w14:val="tx1"/>
                  </w14:solidFill>
                </w14:textFill>
              </w:rPr>
              <w:t>15099511675</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 xml:space="preserve">                                    </w:t>
            </w:r>
          </w:p>
          <w:p>
            <w:pPr>
              <w:autoSpaceDE w:val="0"/>
              <w:autoSpaceDN w:val="0"/>
              <w:adjustRightInd w:val="0"/>
              <w:rPr>
                <w:rFonts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踏勘时间：</w:t>
            </w:r>
            <w:bookmarkStart w:id="13" w:name="EB2c99bcd88c504ac287899c97ccd7f5ce"/>
            <w:bookmarkEnd w:id="13"/>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 xml:space="preserve">2021年6月20日                              </w:t>
            </w:r>
          </w:p>
          <w:p>
            <w:pPr>
              <w:autoSpaceDE w:val="0"/>
              <w:autoSpaceDN w:val="0"/>
              <w:adjustRightInd w:val="0"/>
              <w:rPr>
                <w:rFonts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踏勘地点：</w:t>
            </w:r>
            <w:bookmarkStart w:id="14" w:name="EB71dedbf36fe341cc8bc2b5c198b26335"/>
            <w:bookmarkEnd w:id="14"/>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 xml:space="preserve">新疆职业大学 </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vAlign w:val="center"/>
          </w:tcPr>
          <w:p>
            <w:pPr>
              <w:jc w:val="center"/>
              <w:rPr>
                <w:rFonts w:asciiTheme="minorEastAsia" w:hAnsiTheme="minorEastAsia" w:eastAsiaTheme="minorEastAsia" w:cstheme="minorEastAsia"/>
                <w:b/>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
                <w:color w:val="000000" w:themeColor="text1"/>
                <w:kern w:val="0"/>
                <w:sz w:val="24"/>
                <w:szCs w:val="24"/>
                <w14:textFill>
                  <w14:solidFill>
                    <w14:schemeClr w14:val="tx1"/>
                  </w14:solidFill>
                </w14:textFill>
              </w:rPr>
              <w:t>10</w:t>
            </w:r>
          </w:p>
        </w:tc>
        <w:tc>
          <w:tcPr>
            <w:tcW w:w="2344" w:type="dxa"/>
            <w:vAlign w:val="center"/>
          </w:tcPr>
          <w:p>
            <w:pPr>
              <w:jc w:val="center"/>
              <w:rPr>
                <w:rFonts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z w:val="24"/>
                <w:szCs w:val="24"/>
                <w14:textFill>
                  <w14:solidFill>
                    <w14:schemeClr w14:val="tx1"/>
                  </w14:solidFill>
                </w14:textFill>
              </w:rPr>
              <w:t>答疑接受时间</w:t>
            </w:r>
          </w:p>
        </w:tc>
        <w:tc>
          <w:tcPr>
            <w:tcW w:w="7145" w:type="dxa"/>
            <w:vAlign w:val="center"/>
          </w:tcPr>
          <w:p>
            <w:pPr>
              <w:rPr>
                <w:rFonts w:asciiTheme="minorEastAsia" w:hAnsiTheme="minorEastAsia" w:eastAsiaTheme="minorEastAsia" w:cstheme="minorEastAsia"/>
                <w:bCs/>
                <w:color w:val="000000" w:themeColor="text1"/>
                <w:sz w:val="24"/>
                <w:szCs w:val="24"/>
                <w14:textFill>
                  <w14:solidFill>
                    <w14:schemeClr w14:val="tx1"/>
                  </w14:solidFill>
                </w14:textFill>
              </w:rPr>
            </w:pPr>
            <w:bookmarkStart w:id="15" w:name="EBcc65ac7201d245c29c488553475d3e35"/>
            <w:bookmarkEnd w:id="15"/>
            <w:r>
              <w:rPr>
                <w:rFonts w:hint="eastAsia" w:asciiTheme="minorEastAsia" w:hAnsiTheme="minorEastAsia" w:eastAsiaTheme="minorEastAsia" w:cstheme="minorEastAsia"/>
                <w:color w:val="FF0000"/>
                <w:kern w:val="0"/>
                <w:sz w:val="24"/>
                <w:szCs w:val="24"/>
              </w:rPr>
              <w:t xml:space="preserve">2022年 </w:t>
            </w:r>
            <w:r>
              <w:rPr>
                <w:rFonts w:hint="eastAsia" w:asciiTheme="minorEastAsia" w:hAnsiTheme="minorEastAsia" w:eastAsiaTheme="minorEastAsia" w:cstheme="minorEastAsia"/>
                <w:color w:val="FF0000"/>
                <w:kern w:val="0"/>
                <w:sz w:val="24"/>
                <w:szCs w:val="24"/>
                <w:lang w:val="en-US" w:eastAsia="zh-CN"/>
              </w:rPr>
              <w:t>6</w:t>
            </w:r>
            <w:r>
              <w:rPr>
                <w:rFonts w:hint="eastAsia" w:asciiTheme="minorEastAsia" w:hAnsiTheme="minorEastAsia" w:eastAsiaTheme="minorEastAsia" w:cstheme="minorEastAsia"/>
                <w:color w:val="FF0000"/>
                <w:kern w:val="0"/>
                <w:sz w:val="24"/>
                <w:szCs w:val="24"/>
              </w:rPr>
              <w:t xml:space="preserve"> 月 </w:t>
            </w:r>
            <w:r>
              <w:rPr>
                <w:rFonts w:hint="eastAsia" w:asciiTheme="minorEastAsia" w:hAnsiTheme="minorEastAsia" w:eastAsiaTheme="minorEastAsia" w:cstheme="minorEastAsia"/>
                <w:color w:val="FF0000"/>
                <w:kern w:val="0"/>
                <w:sz w:val="24"/>
                <w:szCs w:val="24"/>
                <w:lang w:val="en-US" w:eastAsia="zh-CN"/>
              </w:rPr>
              <w:t>8</w:t>
            </w:r>
            <w:r>
              <w:rPr>
                <w:rFonts w:hint="eastAsia" w:asciiTheme="minorEastAsia" w:hAnsiTheme="minorEastAsia" w:eastAsiaTheme="minorEastAsia" w:cstheme="minorEastAsia"/>
                <w:color w:val="FF0000"/>
                <w:kern w:val="0"/>
                <w:sz w:val="24"/>
                <w:szCs w:val="24"/>
              </w:rPr>
              <w:t xml:space="preserve">  日19:00</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（北京时间）</w:t>
            </w:r>
            <w:r>
              <w:rPr>
                <w:rFonts w:hint="eastAsia" w:asciiTheme="minorEastAsia" w:hAnsiTheme="minorEastAsia" w:eastAsiaTheme="minorEastAsia" w:cstheme="minorEastAsia"/>
                <w:bCs/>
                <w:color w:val="000000" w:themeColor="text1"/>
                <w:sz w:val="24"/>
                <w:szCs w:val="24"/>
                <w14:textFill>
                  <w14:solidFill>
                    <w14:schemeClr w14:val="tx1"/>
                  </w14:solidFill>
                </w14:textFill>
              </w:rPr>
              <w:t>前接受投标人疑问或澄清要求（逾期不予受理）。</w:t>
            </w:r>
          </w:p>
          <w:p>
            <w:pPr>
              <w:autoSpaceDE w:val="0"/>
              <w:autoSpaceDN w:val="0"/>
              <w:adjustRightInd w:val="0"/>
              <w:rPr>
                <w:rFonts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 xml:space="preserve">联系人：陈晨 </w:t>
            </w:r>
          </w:p>
          <w:p>
            <w:pPr>
              <w:autoSpaceDE w:val="0"/>
              <w:autoSpaceDN w:val="0"/>
              <w:adjustRightInd w:val="0"/>
              <w:rPr>
                <w:rFonts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 xml:space="preserve">电 话：13201097601                                               </w:t>
            </w:r>
          </w:p>
          <w:p>
            <w:pPr>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提交方式：</w:t>
            </w:r>
            <w:bookmarkStart w:id="16" w:name="EBfc3fc95189614b51986a07d193b626c4"/>
            <w:bookmarkEnd w:id="16"/>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现场递交纸质版及Word格式电子版质疑文件至接受单位</w:t>
            </w:r>
          </w:p>
          <w:p>
            <w:pPr>
              <w:rPr>
                <w:rFonts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Cs/>
                <w:color w:val="000000" w:themeColor="text1"/>
                <w:sz w:val="24"/>
                <w:szCs w:val="24"/>
                <w14:textFill>
                  <w14:solidFill>
                    <w14:schemeClr w14:val="tx1"/>
                  </w14:solidFill>
                </w14:textFill>
              </w:rPr>
              <w:t>注：澄清、修改文件发出后，投标人必须使用最新的澄清文件制作投标文件，否则将无法完成上传。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vAlign w:val="center"/>
          </w:tcPr>
          <w:p>
            <w:pPr>
              <w:jc w:val="center"/>
              <w:rPr>
                <w:rFonts w:asciiTheme="minorEastAsia" w:hAnsiTheme="minorEastAsia" w:eastAsiaTheme="minorEastAsia" w:cstheme="minorEastAsia"/>
                <w:b/>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
                <w:color w:val="000000" w:themeColor="text1"/>
                <w:kern w:val="0"/>
                <w:sz w:val="24"/>
                <w:szCs w:val="24"/>
                <w14:textFill>
                  <w14:solidFill>
                    <w14:schemeClr w14:val="tx1"/>
                  </w14:solidFill>
                </w14:textFill>
              </w:rPr>
              <w:t>11</w:t>
            </w:r>
          </w:p>
        </w:tc>
        <w:tc>
          <w:tcPr>
            <w:tcW w:w="2344" w:type="dxa"/>
            <w:vAlign w:val="center"/>
          </w:tcPr>
          <w:p>
            <w:pPr>
              <w:jc w:val="center"/>
              <w:rPr>
                <w:rFonts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z w:val="24"/>
                <w:szCs w:val="24"/>
                <w14:textFill>
                  <w14:solidFill>
                    <w14:schemeClr w14:val="tx1"/>
                  </w14:solidFill>
                </w14:textFill>
              </w:rPr>
              <w:t>投标有效期</w:t>
            </w:r>
          </w:p>
        </w:tc>
        <w:tc>
          <w:tcPr>
            <w:tcW w:w="7145" w:type="dxa"/>
            <w:vAlign w:val="center"/>
          </w:tcPr>
          <w:p>
            <w:pPr>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zh-CN"/>
                <w14:textFill>
                  <w14:solidFill>
                    <w14:schemeClr w14:val="tx1"/>
                  </w14:solidFill>
                </w14:textFill>
              </w:rPr>
              <w:t>自投标截止之日起</w:t>
            </w:r>
            <w:bookmarkStart w:id="17" w:name="EB5a3362fe8fc1402b9d5cafc876bbbffd"/>
            <w:bookmarkEnd w:id="17"/>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90</w:t>
            </w:r>
            <w:r>
              <w:rPr>
                <w:rFonts w:hint="eastAsia" w:asciiTheme="minorEastAsia" w:hAnsiTheme="minorEastAsia" w:eastAsiaTheme="minorEastAsia" w:cstheme="minorEastAsia"/>
                <w:color w:val="000000" w:themeColor="text1"/>
                <w:sz w:val="24"/>
                <w:szCs w:val="24"/>
                <w:lang w:val="zh-CN"/>
                <w14:textFill>
                  <w14:solidFill>
                    <w14:schemeClr w14:val="tx1"/>
                  </w14:solidFill>
                </w14:textFill>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vAlign w:val="center"/>
          </w:tcPr>
          <w:p>
            <w:pPr>
              <w:jc w:val="center"/>
              <w:rPr>
                <w:rFonts w:asciiTheme="minorEastAsia" w:hAnsiTheme="minorEastAsia" w:eastAsiaTheme="minorEastAsia" w:cstheme="minorEastAsia"/>
                <w:b/>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
                <w:color w:val="000000" w:themeColor="text1"/>
                <w:kern w:val="0"/>
                <w:sz w:val="24"/>
                <w:szCs w:val="24"/>
                <w14:textFill>
                  <w14:solidFill>
                    <w14:schemeClr w14:val="tx1"/>
                  </w14:solidFill>
                </w14:textFill>
              </w:rPr>
              <w:t>12</w:t>
            </w:r>
          </w:p>
        </w:tc>
        <w:tc>
          <w:tcPr>
            <w:tcW w:w="2344" w:type="dxa"/>
            <w:vAlign w:val="center"/>
          </w:tcPr>
          <w:p>
            <w:pPr>
              <w:jc w:val="center"/>
              <w:rPr>
                <w:rFonts w:asciiTheme="minorEastAsia" w:hAnsiTheme="minorEastAsia" w:eastAsiaTheme="minorEastAsia" w:cstheme="minorEastAsia"/>
                <w:b/>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
                <w:color w:val="000000" w:themeColor="text1"/>
                <w:kern w:val="0"/>
                <w:sz w:val="24"/>
                <w:szCs w:val="24"/>
                <w14:textFill>
                  <w14:solidFill>
                    <w14:schemeClr w14:val="tx1"/>
                  </w14:solidFill>
                </w14:textFill>
              </w:rPr>
              <w:t>投标截止时间（开标时间）</w:t>
            </w:r>
          </w:p>
        </w:tc>
        <w:tc>
          <w:tcPr>
            <w:tcW w:w="7145" w:type="dxa"/>
            <w:vAlign w:val="center"/>
          </w:tcPr>
          <w:p>
            <w:pPr>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截止时间：</w:t>
            </w:r>
            <w:bookmarkStart w:id="18" w:name="EB7d3dd1e1f72448c6869af9e368eca561"/>
            <w:bookmarkEnd w:id="18"/>
            <w:r>
              <w:rPr>
                <w:rFonts w:hint="eastAsia" w:asciiTheme="minorEastAsia" w:hAnsiTheme="minorEastAsia" w:eastAsiaTheme="minorEastAsia" w:cstheme="minorEastAsia"/>
                <w:color w:val="FF0000"/>
                <w:sz w:val="24"/>
                <w:szCs w:val="24"/>
                <w:u w:val="single"/>
              </w:rPr>
              <w:t xml:space="preserve">2022年 </w:t>
            </w:r>
            <w:r>
              <w:rPr>
                <w:rFonts w:hint="eastAsia" w:asciiTheme="minorEastAsia" w:hAnsiTheme="minorEastAsia" w:eastAsiaTheme="minorEastAsia" w:cstheme="minorEastAsia"/>
                <w:color w:val="FF0000"/>
                <w:sz w:val="24"/>
                <w:szCs w:val="24"/>
                <w:u w:val="single"/>
                <w:lang w:val="en-US" w:eastAsia="zh-CN"/>
              </w:rPr>
              <w:t>6</w:t>
            </w:r>
            <w:r>
              <w:rPr>
                <w:rFonts w:hint="eastAsia" w:asciiTheme="minorEastAsia" w:hAnsiTheme="minorEastAsia" w:eastAsiaTheme="minorEastAsia" w:cstheme="minorEastAsia"/>
                <w:color w:val="FF0000"/>
                <w:sz w:val="24"/>
                <w:szCs w:val="24"/>
                <w:u w:val="single"/>
              </w:rPr>
              <w:t xml:space="preserve"> 月 </w:t>
            </w:r>
            <w:r>
              <w:rPr>
                <w:rFonts w:hint="eastAsia" w:asciiTheme="minorEastAsia" w:hAnsiTheme="minorEastAsia" w:eastAsiaTheme="minorEastAsia" w:cstheme="minorEastAsia"/>
                <w:color w:val="FF0000"/>
                <w:sz w:val="24"/>
                <w:szCs w:val="24"/>
                <w:u w:val="single"/>
                <w:lang w:val="en-US" w:eastAsia="zh-CN"/>
              </w:rPr>
              <w:t>23</w:t>
            </w:r>
            <w:r>
              <w:rPr>
                <w:rFonts w:hint="eastAsia" w:asciiTheme="minorEastAsia" w:hAnsiTheme="minorEastAsia" w:eastAsiaTheme="minorEastAsia" w:cstheme="minorEastAsia"/>
                <w:color w:val="FF0000"/>
                <w:sz w:val="24"/>
                <w:szCs w:val="24"/>
                <w:u w:val="single"/>
              </w:rPr>
              <w:t xml:space="preserve"> 日11:00</w:t>
            </w:r>
            <w:r>
              <w:rPr>
                <w:rFonts w:hint="eastAsia" w:asciiTheme="minorEastAsia" w:hAnsiTheme="minorEastAsia" w:eastAsiaTheme="minorEastAsia" w:cstheme="minorEastAsia"/>
                <w:color w:val="000000" w:themeColor="text1"/>
                <w:sz w:val="24"/>
                <w:szCs w:val="28"/>
                <w14:textFill>
                  <w14:solidFill>
                    <w14:schemeClr w14:val="tx1"/>
                  </w14:solidFill>
                </w14:textFill>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vAlign w:val="center"/>
          </w:tcPr>
          <w:p>
            <w:pPr>
              <w:jc w:val="center"/>
              <w:rPr>
                <w:rFonts w:asciiTheme="minorEastAsia" w:hAnsiTheme="minorEastAsia" w:eastAsiaTheme="minorEastAsia" w:cstheme="minorEastAsia"/>
                <w:b/>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
                <w:color w:val="000000" w:themeColor="text1"/>
                <w:kern w:val="0"/>
                <w:sz w:val="24"/>
                <w:szCs w:val="24"/>
                <w14:textFill>
                  <w14:solidFill>
                    <w14:schemeClr w14:val="tx1"/>
                  </w14:solidFill>
                </w14:textFill>
              </w:rPr>
              <w:t>13</w:t>
            </w:r>
          </w:p>
        </w:tc>
        <w:tc>
          <w:tcPr>
            <w:tcW w:w="2344" w:type="dxa"/>
            <w:vAlign w:val="center"/>
          </w:tcPr>
          <w:p>
            <w:pPr>
              <w:jc w:val="center"/>
              <w:rPr>
                <w:rFonts w:asciiTheme="minorEastAsia" w:hAnsiTheme="minorEastAsia" w:eastAsiaTheme="minorEastAsia" w:cstheme="minorEastAsia"/>
                <w:b/>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
                <w:color w:val="000000" w:themeColor="text1"/>
                <w:kern w:val="0"/>
                <w:sz w:val="24"/>
                <w:szCs w:val="24"/>
                <w14:textFill>
                  <w14:solidFill>
                    <w14:schemeClr w14:val="tx1"/>
                  </w14:solidFill>
                </w14:textFill>
              </w:rPr>
              <w:t>投标人在投标截止</w:t>
            </w:r>
          </w:p>
          <w:p>
            <w:pPr>
              <w:jc w:val="center"/>
              <w:rPr>
                <w:rFonts w:asciiTheme="minorEastAsia" w:hAnsiTheme="minorEastAsia" w:eastAsiaTheme="minorEastAsia" w:cstheme="minorEastAsia"/>
                <w:b/>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
                <w:color w:val="000000" w:themeColor="text1"/>
                <w:kern w:val="0"/>
                <w:sz w:val="24"/>
                <w:szCs w:val="24"/>
                <w14:textFill>
                  <w14:solidFill>
                    <w14:schemeClr w14:val="tx1"/>
                  </w14:solidFill>
                </w14:textFill>
              </w:rPr>
              <w:t>时间前提交的文件</w:t>
            </w:r>
          </w:p>
        </w:tc>
        <w:tc>
          <w:tcPr>
            <w:tcW w:w="7145" w:type="dxa"/>
            <w:vAlign w:val="center"/>
          </w:tcPr>
          <w:p>
            <w:pPr>
              <w:rPr>
                <w:rFonts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投标文件（具体要求见本表第15项）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vAlign w:val="center"/>
          </w:tcPr>
          <w:p>
            <w:pPr>
              <w:jc w:val="center"/>
              <w:rPr>
                <w:rFonts w:asciiTheme="minorEastAsia" w:hAnsiTheme="minorEastAsia" w:eastAsiaTheme="minorEastAsia" w:cstheme="minorEastAsia"/>
                <w:b/>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
                <w:color w:val="000000" w:themeColor="text1"/>
                <w:kern w:val="0"/>
                <w:sz w:val="24"/>
                <w:szCs w:val="24"/>
                <w14:textFill>
                  <w14:solidFill>
                    <w14:schemeClr w14:val="tx1"/>
                  </w14:solidFill>
                </w14:textFill>
              </w:rPr>
              <w:t>14</w:t>
            </w:r>
          </w:p>
        </w:tc>
        <w:tc>
          <w:tcPr>
            <w:tcW w:w="2344" w:type="dxa"/>
            <w:vAlign w:val="center"/>
          </w:tcPr>
          <w:p>
            <w:pPr>
              <w:jc w:val="center"/>
              <w:rPr>
                <w:rFonts w:asciiTheme="minorEastAsia" w:hAnsiTheme="minorEastAsia" w:eastAsiaTheme="minorEastAsia" w:cstheme="minorEastAsia"/>
                <w:b/>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
                <w:color w:val="000000" w:themeColor="text1"/>
                <w:kern w:val="0"/>
                <w:sz w:val="24"/>
                <w:szCs w:val="24"/>
                <w14:textFill>
                  <w14:solidFill>
                    <w14:schemeClr w14:val="tx1"/>
                  </w14:solidFill>
                </w14:textFill>
              </w:rPr>
              <w:t>投标文件份数</w:t>
            </w:r>
          </w:p>
        </w:tc>
        <w:tc>
          <w:tcPr>
            <w:tcW w:w="7145" w:type="dxa"/>
            <w:vAlign w:val="center"/>
          </w:tcPr>
          <w:p>
            <w:pPr>
              <w:overflowPunct w:val="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投标文件：正本一份、副本四份</w:t>
            </w:r>
          </w:p>
          <w:p>
            <w:pPr>
              <w:overflowPunct w:val="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开标一览表（单独密封）</w:t>
            </w:r>
          </w:p>
          <w:p>
            <w:pPr>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投标文件电子版</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1份（u盘）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vAlign w:val="center"/>
          </w:tcPr>
          <w:p>
            <w:pPr>
              <w:jc w:val="center"/>
              <w:rPr>
                <w:rFonts w:asciiTheme="minorEastAsia" w:hAnsiTheme="minorEastAsia" w:eastAsiaTheme="minorEastAsia" w:cstheme="minorEastAsia"/>
                <w:b/>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
                <w:color w:val="000000" w:themeColor="text1"/>
                <w:kern w:val="0"/>
                <w:sz w:val="24"/>
                <w:szCs w:val="24"/>
                <w14:textFill>
                  <w14:solidFill>
                    <w14:schemeClr w14:val="tx1"/>
                  </w14:solidFill>
                </w14:textFill>
              </w:rPr>
              <w:t>15</w:t>
            </w:r>
          </w:p>
        </w:tc>
        <w:tc>
          <w:tcPr>
            <w:tcW w:w="2344" w:type="dxa"/>
            <w:vAlign w:val="center"/>
          </w:tcPr>
          <w:p>
            <w:pPr>
              <w:jc w:val="center"/>
              <w:rPr>
                <w:rFonts w:asciiTheme="minorEastAsia" w:hAnsiTheme="minorEastAsia" w:eastAsiaTheme="minorEastAsia" w:cstheme="minorEastAsia"/>
                <w:b/>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
                <w:color w:val="000000" w:themeColor="text1"/>
                <w:kern w:val="0"/>
                <w:sz w:val="24"/>
                <w:szCs w:val="24"/>
                <w14:textFill>
                  <w14:solidFill>
                    <w14:schemeClr w14:val="tx1"/>
                  </w14:solidFill>
                </w14:textFill>
              </w:rPr>
              <w:t>投标文件编制、密封</w:t>
            </w:r>
          </w:p>
        </w:tc>
        <w:tc>
          <w:tcPr>
            <w:tcW w:w="7145" w:type="dxa"/>
            <w:vAlign w:val="center"/>
          </w:tcPr>
          <w:p>
            <w:pPr>
              <w:widowControl/>
              <w:rPr>
                <w:rFonts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1、投标文件分为开标一览表和投标文件档案袋和电子投标文件档案袋，应包括下列内容：</w:t>
            </w:r>
          </w:p>
          <w:p>
            <w:pPr>
              <w:widowControl/>
              <w:rPr>
                <w:rFonts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1.1开标一览表档案袋：开标一览表（投标人必须单独制作“开标一览表”，并单独密封提交）</w:t>
            </w:r>
          </w:p>
          <w:p>
            <w:pPr>
              <w:widowControl/>
              <w:rPr>
                <w:rFonts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1.2投标文件袋档案袋：投标文件正副本</w:t>
            </w:r>
          </w:p>
          <w:p>
            <w:pPr>
              <w:widowControl/>
              <w:rPr>
                <w:rFonts w:hint="eastAsia" w:eastAsia="仿宋" w:asciiTheme="minorEastAsia" w:hAnsiTheme="minorEastAsia" w:cstheme="minorEastAsia"/>
                <w:color w:val="000000" w:themeColor="text1"/>
                <w:kern w:val="0"/>
                <w:sz w:val="24"/>
                <w:szCs w:val="24"/>
                <w:highlight w:val="yellow"/>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1.3电子投标文件档案袋：</w:t>
            </w:r>
            <w:r>
              <w:rPr>
                <w:rFonts w:hint="eastAsia" w:asciiTheme="minorEastAsia" w:hAnsiTheme="minorEastAsia" w:eastAsiaTheme="minorEastAsia" w:cstheme="minorEastAsia"/>
                <w:color w:val="000000" w:themeColor="text1"/>
                <w:kern w:val="0"/>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kern w:val="0"/>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投标文件正本电子版（Word格式及PDF格式）</w:t>
            </w:r>
            <w:r>
              <w:rPr>
                <w:rFonts w:hint="eastAsia" w:asciiTheme="minorEastAsia" w:hAnsiTheme="minorEastAsia" w:eastAsiaTheme="minorEastAsia" w:cstheme="minorEastAsia"/>
                <w:color w:val="000000" w:themeColor="text1"/>
                <w:kern w:val="0"/>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kern w:val="0"/>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工业机器人拆装多人协同操作视频</w:t>
            </w:r>
            <w:r>
              <w:rPr>
                <w:rFonts w:hint="eastAsia" w:asciiTheme="minorEastAsia" w:hAnsiTheme="minorEastAsia" w:eastAsiaTheme="minorEastAsia" w:cstheme="minorEastAsia"/>
                <w:color w:val="000000" w:themeColor="text1"/>
                <w:kern w:val="0"/>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kern w:val="0"/>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车床三箱拆装软件操作视频</w:t>
            </w:r>
            <w:r>
              <w:rPr>
                <w:rFonts w:hint="eastAsia" w:asciiTheme="minorEastAsia" w:hAnsiTheme="minorEastAsia" w:eastAsiaTheme="minorEastAsia" w:cstheme="minorEastAsia"/>
                <w:color w:val="000000" w:themeColor="text1"/>
                <w:kern w:val="0"/>
                <w:sz w:val="24"/>
                <w:szCs w:val="24"/>
                <w:lang w:eastAsia="zh-CN"/>
                <w14:textFill>
                  <w14:solidFill>
                    <w14:schemeClr w14:val="tx1"/>
                  </w14:solidFill>
                </w14:textFill>
              </w:rPr>
              <w:t>；（视频格式为</w:t>
            </w: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MP4;时长：每个五分钟内</w:t>
            </w:r>
            <w:r>
              <w:rPr>
                <w:rFonts w:hint="eastAsia" w:asciiTheme="minorEastAsia" w:hAnsiTheme="minorEastAsia" w:eastAsiaTheme="minorEastAsia" w:cstheme="minorEastAsia"/>
                <w:color w:val="000000" w:themeColor="text1"/>
                <w:kern w:val="0"/>
                <w:sz w:val="24"/>
                <w:szCs w:val="24"/>
                <w:lang w:eastAsia="zh-CN"/>
                <w14:textFill>
                  <w14:solidFill>
                    <w14:schemeClr w14:val="tx1"/>
                  </w14:solidFill>
                </w14:textFill>
              </w:rPr>
              <w:t>）</w:t>
            </w:r>
          </w:p>
          <w:p>
            <w:pPr>
              <w:widowControl/>
              <w:rPr>
                <w:rFonts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2、档案袋封面上应写明：</w:t>
            </w:r>
          </w:p>
          <w:p>
            <w:pPr>
              <w:widowControl/>
              <w:rPr>
                <w:rFonts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采购人；项目名称；项目编号；投标单位名称；（投标</w:t>
            </w:r>
            <w:bookmarkStart w:id="190" w:name="_GoBack"/>
            <w:bookmarkEnd w:id="190"/>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文件、开标一览表、电子投标文件）；联系人和联系电话；并注明“开标时启封”字样。</w:t>
            </w:r>
          </w:p>
          <w:p>
            <w:pPr>
              <w:widowControl/>
              <w:rPr>
                <w:rFonts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3、档案袋封口处须加盖投标人公章及法人章，</w:t>
            </w:r>
          </w:p>
          <w:p>
            <w:pPr>
              <w:widowControl/>
              <w:rPr>
                <w:rFonts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kern w:val="0"/>
                <w:sz w:val="24"/>
                <w:szCs w:val="24"/>
                <w14:textFill>
                  <w14:solidFill>
                    <w14:schemeClr w14:val="tx1"/>
                  </w14:solidFill>
                </w14:textFill>
              </w:rPr>
              <w:t>4、未按招标文件要求制作及密封投标文件的，投标被拒绝，u盘与投标文件恕不退还。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vAlign w:val="center"/>
          </w:tcPr>
          <w:p>
            <w:pPr>
              <w:jc w:val="center"/>
              <w:rPr>
                <w:rFonts w:asciiTheme="minorEastAsia" w:hAnsiTheme="minorEastAsia" w:eastAsiaTheme="minorEastAsia" w:cstheme="minorEastAsia"/>
                <w:b/>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
                <w:color w:val="000000" w:themeColor="text1"/>
                <w:kern w:val="0"/>
                <w:sz w:val="24"/>
                <w:szCs w:val="24"/>
                <w14:textFill>
                  <w14:solidFill>
                    <w14:schemeClr w14:val="tx1"/>
                  </w14:solidFill>
                </w14:textFill>
              </w:rPr>
              <w:t>16</w:t>
            </w:r>
          </w:p>
        </w:tc>
        <w:tc>
          <w:tcPr>
            <w:tcW w:w="2344" w:type="dxa"/>
            <w:vAlign w:val="center"/>
          </w:tcPr>
          <w:p>
            <w:pPr>
              <w:jc w:val="center"/>
              <w:rPr>
                <w:rFonts w:asciiTheme="minorEastAsia" w:hAnsiTheme="minorEastAsia" w:eastAsiaTheme="minorEastAsia" w:cstheme="minorEastAsia"/>
                <w:b/>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
                <w:color w:val="000000" w:themeColor="text1"/>
                <w:kern w:val="0"/>
                <w:sz w:val="24"/>
                <w:szCs w:val="24"/>
                <w14:textFill>
                  <w14:solidFill>
                    <w14:schemeClr w14:val="tx1"/>
                  </w14:solidFill>
                </w14:textFill>
              </w:rPr>
              <w:t>开标时间及地点</w:t>
            </w:r>
          </w:p>
        </w:tc>
        <w:tc>
          <w:tcPr>
            <w:tcW w:w="7145" w:type="dxa"/>
            <w:vAlign w:val="center"/>
          </w:tcPr>
          <w:p>
            <w:pPr>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开标时间：同投标截止时间</w:t>
            </w:r>
          </w:p>
          <w:p>
            <w:pPr>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开标地点：</w:t>
            </w:r>
            <w:bookmarkStart w:id="19" w:name="EB34014fc957d649bb8986b84244ff4257"/>
            <w:bookmarkEnd w:id="19"/>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乌鲁木齐市会展大道1119号大成尔雅A座807室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vAlign w:val="center"/>
          </w:tcPr>
          <w:p>
            <w:pPr>
              <w:jc w:val="center"/>
              <w:rPr>
                <w:rFonts w:asciiTheme="minorEastAsia" w:hAnsiTheme="minorEastAsia" w:eastAsiaTheme="minorEastAsia" w:cstheme="minorEastAsia"/>
                <w:b/>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
                <w:color w:val="000000" w:themeColor="text1"/>
                <w:kern w:val="0"/>
                <w:sz w:val="24"/>
                <w:szCs w:val="24"/>
                <w14:textFill>
                  <w14:solidFill>
                    <w14:schemeClr w14:val="tx1"/>
                  </w14:solidFill>
                </w14:textFill>
              </w:rPr>
              <w:t>17</w:t>
            </w:r>
          </w:p>
        </w:tc>
        <w:tc>
          <w:tcPr>
            <w:tcW w:w="2344" w:type="dxa"/>
            <w:vAlign w:val="center"/>
          </w:tcPr>
          <w:p>
            <w:pPr>
              <w:jc w:val="center"/>
              <w:rPr>
                <w:rFonts w:asciiTheme="minorEastAsia" w:hAnsiTheme="minorEastAsia" w:eastAsiaTheme="minorEastAsia" w:cstheme="minorEastAsia"/>
                <w:b/>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
                <w:color w:val="000000" w:themeColor="text1"/>
                <w:kern w:val="0"/>
                <w:sz w:val="24"/>
                <w:szCs w:val="24"/>
                <w14:textFill>
                  <w14:solidFill>
                    <w14:schemeClr w14:val="tx1"/>
                  </w14:solidFill>
                </w14:textFill>
              </w:rPr>
              <w:t>评标委员会的组成</w:t>
            </w:r>
          </w:p>
        </w:tc>
        <w:tc>
          <w:tcPr>
            <w:tcW w:w="7145" w:type="dxa"/>
            <w:vAlign w:val="center"/>
          </w:tcPr>
          <w:p>
            <w:pPr>
              <w:adjustRightInd w:val="0"/>
              <w:snapToGrid w:val="0"/>
              <w:rPr>
                <w:rFonts w:asciiTheme="minorEastAsia" w:hAnsiTheme="minorEastAsia" w:eastAsiaTheme="minorEastAsia" w:cstheme="minorEastAsia"/>
                <w:color w:val="000000" w:themeColor="text1"/>
                <w:sz w:val="24"/>
                <w:szCs w:val="24"/>
                <w:highlight w:val="yellow"/>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采购人依法组建评标小组共</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5</w:t>
            </w:r>
            <w:r>
              <w:rPr>
                <w:rFonts w:hint="eastAsia" w:asciiTheme="minorEastAsia" w:hAnsiTheme="minorEastAsia" w:eastAsiaTheme="minorEastAsia" w:cstheme="minorEastAsia"/>
                <w:color w:val="000000" w:themeColor="text1"/>
                <w:sz w:val="24"/>
                <w:szCs w:val="24"/>
                <w14:textFill>
                  <w14:solidFill>
                    <w14:schemeClr w14:val="tx1"/>
                  </w14:solidFill>
                </w14:textFill>
              </w:rPr>
              <w:t>人组成；</w:t>
            </w:r>
          </w:p>
          <w:p>
            <w:pPr>
              <w:adjustRightInd w:val="0"/>
              <w:snapToGrid w:val="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评标专家确定方式：</w:t>
            </w:r>
          </w:p>
          <w:p>
            <w:pPr>
              <w:adjustRightInd w:val="0"/>
              <w:snapToGrid w:val="0"/>
              <w:rPr>
                <w:rFonts w:asciiTheme="minorEastAsia" w:hAnsiTheme="minorEastAsia" w:eastAsiaTheme="minorEastAsia" w:cstheme="minorEastAsia"/>
                <w:color w:val="000000" w:themeColor="text1"/>
                <w:sz w:val="24"/>
                <w:szCs w:val="24"/>
                <w14:textFill>
                  <w14:solidFill>
                    <w14:schemeClr w14:val="tx1"/>
                  </w14:solidFill>
                </w14:textFill>
              </w:rPr>
            </w:pPr>
            <w:bookmarkStart w:id="20" w:name="EB0ab009ccb1cd45e59a7c27065f70abfa"/>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□计算机随机抽取语音通知方式 </w:t>
            </w:r>
          </w:p>
          <w:p>
            <w:pPr>
              <w:rPr>
                <w:rFonts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sym w:font="Wingdings 2" w:char="0052"/>
            </w:r>
            <w:r>
              <w:rPr>
                <w:rFonts w:hint="eastAsia" w:asciiTheme="minorEastAsia" w:hAnsiTheme="minorEastAsia" w:eastAsiaTheme="minorEastAsia" w:cstheme="minorEastAsia"/>
                <w:color w:val="000000" w:themeColor="text1"/>
                <w:sz w:val="24"/>
                <w:szCs w:val="24"/>
                <w14:textFill>
                  <w14:solidFill>
                    <w14:schemeClr w14:val="tx1"/>
                  </w14:solidFill>
                </w14:textFill>
              </w:rPr>
              <w:t>其他方式：</w:t>
            </w:r>
            <w:bookmarkEnd w:id="20"/>
            <w:r>
              <w:rPr>
                <w:rFonts w:hint="eastAsia" w:asciiTheme="minorEastAsia" w:hAnsiTheme="minorEastAsia" w:eastAsiaTheme="minorEastAsia" w:cstheme="minorEastAsia"/>
                <w:color w:val="000000" w:themeColor="text1"/>
                <w:sz w:val="24"/>
                <w:szCs w:val="24"/>
                <w14:textFill>
                  <w14:solidFill>
                    <w14:schemeClr w14:val="tx1"/>
                  </w14:solidFill>
                </w14:textFill>
              </w:rPr>
              <w:t>政采云评标专家库，随机抽取。</w:t>
            </w:r>
            <w:bookmarkStart w:id="21" w:name="EB6479c32eb2ce45839a2e1507d7cdac93"/>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vAlign w:val="center"/>
          </w:tcPr>
          <w:p>
            <w:pPr>
              <w:jc w:val="center"/>
              <w:rPr>
                <w:rFonts w:asciiTheme="minorEastAsia" w:hAnsiTheme="minorEastAsia" w:eastAsiaTheme="minorEastAsia" w:cstheme="minorEastAsia"/>
                <w:b/>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
                <w:color w:val="000000" w:themeColor="text1"/>
                <w:kern w:val="0"/>
                <w:sz w:val="24"/>
                <w:szCs w:val="24"/>
                <w14:textFill>
                  <w14:solidFill>
                    <w14:schemeClr w14:val="tx1"/>
                  </w14:solidFill>
                </w14:textFill>
              </w:rPr>
              <w:t>18</w:t>
            </w:r>
          </w:p>
        </w:tc>
        <w:tc>
          <w:tcPr>
            <w:tcW w:w="2344" w:type="dxa"/>
            <w:vAlign w:val="center"/>
          </w:tcPr>
          <w:p>
            <w:pPr>
              <w:jc w:val="center"/>
              <w:rPr>
                <w:rFonts w:asciiTheme="minorEastAsia" w:hAnsiTheme="minorEastAsia" w:eastAsiaTheme="minorEastAsia" w:cstheme="minorEastAsia"/>
                <w:b/>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
                <w:color w:val="000000" w:themeColor="text1"/>
                <w:kern w:val="0"/>
                <w:sz w:val="24"/>
                <w:szCs w:val="24"/>
                <w14:textFill>
                  <w14:solidFill>
                    <w14:schemeClr w14:val="tx1"/>
                  </w14:solidFill>
                </w14:textFill>
              </w:rPr>
              <w:t>投标保证金</w:t>
            </w:r>
          </w:p>
        </w:tc>
        <w:tc>
          <w:tcPr>
            <w:tcW w:w="7145" w:type="dxa"/>
            <w:tcBorders>
              <w:bottom w:val="single" w:color="auto" w:sz="4" w:space="0"/>
            </w:tcBorders>
            <w:vAlign w:val="center"/>
          </w:tcPr>
          <w:p>
            <w:pPr>
              <w:keepNext/>
              <w:widowControl/>
              <w:jc w:val="left"/>
              <w:rPr>
                <w:sz w:val="24"/>
                <w:szCs w:val="24"/>
              </w:rPr>
            </w:pPr>
            <w:r>
              <w:rPr>
                <w:rFonts w:hint="eastAsia"/>
                <w:sz w:val="24"/>
                <w:szCs w:val="24"/>
              </w:rPr>
              <w:t>肆万元整</w:t>
            </w:r>
          </w:p>
          <w:p>
            <w:pPr>
              <w:keepNext/>
              <w:widowControl/>
              <w:jc w:val="left"/>
            </w:pPr>
            <w:r>
              <w:rPr>
                <w:rFonts w:hint="eastAsia"/>
                <w:sz w:val="24"/>
                <w:szCs w:val="24"/>
              </w:rPr>
              <w:t xml:space="preserve">保证金的形式：投标保证金于2022年 </w:t>
            </w:r>
            <w:r>
              <w:rPr>
                <w:rFonts w:hint="eastAsia"/>
                <w:sz w:val="24"/>
                <w:szCs w:val="24"/>
                <w:lang w:val="en-US" w:eastAsia="zh-CN"/>
              </w:rPr>
              <w:t>6</w:t>
            </w:r>
            <w:r>
              <w:rPr>
                <w:rFonts w:hint="eastAsia"/>
                <w:sz w:val="24"/>
                <w:szCs w:val="24"/>
              </w:rPr>
              <w:t xml:space="preserve"> 月 </w:t>
            </w:r>
            <w:r>
              <w:rPr>
                <w:rFonts w:hint="eastAsia"/>
                <w:sz w:val="24"/>
                <w:szCs w:val="24"/>
                <w:lang w:val="en-US" w:eastAsia="zh-CN"/>
              </w:rPr>
              <w:t>23</w:t>
            </w:r>
            <w:r>
              <w:rPr>
                <w:rFonts w:hint="eastAsia"/>
                <w:sz w:val="24"/>
                <w:szCs w:val="24"/>
              </w:rPr>
              <w:t xml:space="preserve"> 日11时00分（北京时间，以到帐时间为准）之前从投标人基本账户以银行电汇或银行转账等非现金式汇至新疆君凯杰工程项目管理有限公司，否则其投标文件将被拒绝评审，投标人提交投标保证金应充分考虑资金在途时间。</w:t>
            </w:r>
          </w:p>
          <w:p>
            <w:pPr>
              <w:keepNext/>
              <w:widowControl/>
              <w:jc w:val="left"/>
              <w:rPr>
                <w:sz w:val="24"/>
                <w:szCs w:val="24"/>
              </w:rPr>
            </w:pPr>
            <w:r>
              <w:rPr>
                <w:rFonts w:hint="eastAsia"/>
                <w:sz w:val="24"/>
                <w:szCs w:val="24"/>
              </w:rPr>
              <w:t>账 户 名：新疆君凯杰工程项目管理有限公司</w:t>
            </w:r>
          </w:p>
          <w:p>
            <w:pPr>
              <w:keepNext/>
              <w:widowControl/>
              <w:jc w:val="left"/>
              <w:rPr>
                <w:sz w:val="24"/>
                <w:szCs w:val="24"/>
              </w:rPr>
            </w:pPr>
            <w:r>
              <w:rPr>
                <w:rFonts w:hint="eastAsia"/>
                <w:sz w:val="24"/>
                <w:szCs w:val="24"/>
              </w:rPr>
              <w:t>社会信用代码：9165 0105 MA7807 EM58</w:t>
            </w:r>
          </w:p>
          <w:p>
            <w:pPr>
              <w:keepNext/>
              <w:widowControl/>
              <w:jc w:val="left"/>
              <w:rPr>
                <w:sz w:val="24"/>
                <w:szCs w:val="24"/>
              </w:rPr>
            </w:pPr>
            <w:r>
              <w:rPr>
                <w:rFonts w:hint="eastAsia"/>
                <w:sz w:val="24"/>
                <w:szCs w:val="24"/>
              </w:rPr>
              <w:t>地址：新疆乌鲁木齐市水磨沟区会展大道1119号</w:t>
            </w:r>
          </w:p>
          <w:p>
            <w:pPr>
              <w:keepNext/>
              <w:widowControl/>
              <w:jc w:val="left"/>
              <w:rPr>
                <w:sz w:val="24"/>
                <w:szCs w:val="24"/>
              </w:rPr>
            </w:pPr>
            <w:r>
              <w:rPr>
                <w:rFonts w:hint="eastAsia"/>
                <w:sz w:val="24"/>
                <w:szCs w:val="24"/>
              </w:rPr>
              <w:t>行号：103881000646</w:t>
            </w:r>
          </w:p>
          <w:p>
            <w:pPr>
              <w:keepNext/>
              <w:widowControl/>
              <w:jc w:val="left"/>
              <w:rPr>
                <w:sz w:val="24"/>
                <w:szCs w:val="24"/>
              </w:rPr>
            </w:pPr>
            <w:r>
              <w:rPr>
                <w:rFonts w:hint="eastAsia"/>
                <w:sz w:val="24"/>
                <w:szCs w:val="24"/>
              </w:rPr>
              <w:t>账号：30006 4010 400 10690</w:t>
            </w:r>
          </w:p>
          <w:p>
            <w:pPr>
              <w:keepNext/>
              <w:widowControl/>
              <w:jc w:val="left"/>
              <w:rPr>
                <w:sz w:val="24"/>
                <w:szCs w:val="24"/>
              </w:rPr>
            </w:pPr>
            <w:r>
              <w:rPr>
                <w:rFonts w:hint="eastAsia"/>
                <w:sz w:val="24"/>
                <w:szCs w:val="24"/>
              </w:rPr>
              <w:t>开户行：中国农业银行昆仑路支行</w:t>
            </w:r>
          </w:p>
          <w:p>
            <w:pPr>
              <w:keepNext/>
              <w:widowControl/>
              <w:jc w:val="left"/>
              <w:rPr>
                <w:sz w:val="24"/>
                <w:szCs w:val="24"/>
              </w:rPr>
            </w:pPr>
            <w:r>
              <w:rPr>
                <w:rFonts w:hint="eastAsia"/>
                <w:sz w:val="24"/>
                <w:szCs w:val="24"/>
              </w:rPr>
              <w:t>附注：（编号+项目名称）投标保证金</w:t>
            </w:r>
          </w:p>
          <w:p>
            <w:pPr>
              <w:keepNext/>
              <w:widowControl/>
              <w:jc w:val="left"/>
              <w:rPr>
                <w:sz w:val="24"/>
                <w:szCs w:val="24"/>
              </w:rPr>
            </w:pPr>
            <w:r>
              <w:rPr>
                <w:rFonts w:hint="eastAsia"/>
                <w:sz w:val="24"/>
                <w:szCs w:val="24"/>
              </w:rPr>
              <w:t>财务电话：0991-4639846</w:t>
            </w:r>
          </w:p>
          <w:p>
            <w:pPr>
              <w:widowControl/>
              <w:shd w:val="clear" w:color="auto" w:fill="FFFFFF"/>
              <w:snapToGrid w:val="0"/>
              <w:rPr>
                <w:rFonts w:ascii="宋体" w:hAnsi="宋体" w:cs="Arial"/>
                <w:kern w:val="0"/>
                <w:sz w:val="24"/>
                <w:szCs w:val="24"/>
              </w:rPr>
            </w:pPr>
            <w:r>
              <w:rPr>
                <w:rFonts w:hint="eastAsia" w:ascii="宋体" w:hAnsi="宋体" w:cs="Arial"/>
                <w:kern w:val="0"/>
                <w:sz w:val="24"/>
                <w:szCs w:val="24"/>
              </w:rPr>
              <w:t>退还保证金业务需投标人自行办理，提供以下资料:</w:t>
            </w:r>
          </w:p>
          <w:p>
            <w:pPr>
              <w:widowControl/>
              <w:numPr>
                <w:ilvl w:val="0"/>
                <w:numId w:val="4"/>
              </w:numPr>
              <w:shd w:val="clear" w:color="auto" w:fill="FFFFFF"/>
              <w:snapToGrid w:val="0"/>
              <w:ind w:firstLine="0"/>
              <w:rPr>
                <w:rFonts w:ascii="宋体" w:hAnsi="宋体" w:cs="Arial"/>
                <w:kern w:val="0"/>
                <w:sz w:val="24"/>
                <w:szCs w:val="24"/>
              </w:rPr>
            </w:pPr>
            <w:r>
              <w:rPr>
                <w:rFonts w:hint="eastAsia" w:ascii="宋体" w:hAnsi="宋体" w:cs="Arial"/>
                <w:kern w:val="0"/>
                <w:sz w:val="24"/>
                <w:szCs w:val="24"/>
              </w:rPr>
              <w:t>授权委托书</w:t>
            </w:r>
          </w:p>
          <w:p>
            <w:pPr>
              <w:widowControl/>
              <w:numPr>
                <w:ilvl w:val="0"/>
                <w:numId w:val="4"/>
              </w:numPr>
              <w:shd w:val="clear" w:color="auto" w:fill="FFFFFF"/>
              <w:snapToGrid w:val="0"/>
              <w:ind w:firstLine="0"/>
              <w:rPr>
                <w:rFonts w:ascii="宋体" w:hAnsi="宋体" w:cs="Arial"/>
                <w:kern w:val="0"/>
                <w:sz w:val="24"/>
                <w:szCs w:val="24"/>
              </w:rPr>
            </w:pPr>
            <w:r>
              <w:rPr>
                <w:rFonts w:hint="eastAsia" w:ascii="宋体" w:hAnsi="宋体" w:cs="Arial"/>
                <w:kern w:val="0"/>
                <w:sz w:val="24"/>
                <w:szCs w:val="24"/>
              </w:rPr>
              <w:t>招标代理机构财务部门开具的投标保证金《财务收据》原件（以便核查）。</w:t>
            </w:r>
          </w:p>
          <w:p>
            <w:pPr>
              <w:widowControl/>
              <w:numPr>
                <w:ilvl w:val="0"/>
                <w:numId w:val="4"/>
              </w:numPr>
              <w:shd w:val="clear" w:color="auto" w:fill="FFFFFF"/>
              <w:snapToGrid w:val="0"/>
              <w:ind w:firstLine="0"/>
              <w:rPr>
                <w:rFonts w:ascii="宋体" w:hAnsi="宋体" w:cs="Arial"/>
                <w:kern w:val="0"/>
                <w:sz w:val="24"/>
                <w:szCs w:val="24"/>
              </w:rPr>
            </w:pPr>
            <w:r>
              <w:rPr>
                <w:rFonts w:hint="eastAsia" w:ascii="宋体" w:hAnsi="宋体" w:cs="Arial"/>
                <w:kern w:val="0"/>
                <w:sz w:val="24"/>
                <w:szCs w:val="24"/>
              </w:rPr>
              <w:t>投标单位给代理机构开具的收款收据（收款单位开具并加盖收款单位财务章）。同时必须提供清晰的开户银行名称、账号及收款单位名称（加盖单位章）。</w:t>
            </w:r>
          </w:p>
          <w:p>
            <w:pPr>
              <w:rPr>
                <w:rFonts w:asciiTheme="minorEastAsia" w:hAnsiTheme="minorEastAsia" w:eastAsiaTheme="minorEastAsia" w:cstheme="minorEastAsia"/>
                <w:bCs/>
                <w:color w:val="000000" w:themeColor="text1"/>
                <w:kern w:val="0"/>
                <w:sz w:val="24"/>
                <w:szCs w:val="24"/>
                <w14:textFill>
                  <w14:solidFill>
                    <w14:schemeClr w14:val="tx1"/>
                  </w14:solidFill>
                </w14:textFill>
              </w:rPr>
            </w:pPr>
            <w:r>
              <w:rPr>
                <w:rFonts w:hint="eastAsia" w:ascii="宋体" w:hAnsi="宋体" w:cs="Arial"/>
                <w:kern w:val="0"/>
                <w:sz w:val="24"/>
                <w:szCs w:val="24"/>
              </w:rPr>
              <w:t>退还中标方保证金时，中标方须提供与采购人签订的合同原件一份（原件核查无误后退还）及已加盖中标方公章的合同全本复印件一份（由代理机构存档备查）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vAlign w:val="center"/>
          </w:tcPr>
          <w:p>
            <w:pPr>
              <w:jc w:val="center"/>
              <w:rPr>
                <w:rFonts w:asciiTheme="minorEastAsia" w:hAnsiTheme="minorEastAsia" w:eastAsiaTheme="minorEastAsia" w:cstheme="minorEastAsia"/>
                <w:b/>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
                <w:color w:val="000000" w:themeColor="text1"/>
                <w:kern w:val="0"/>
                <w:sz w:val="24"/>
                <w:szCs w:val="24"/>
                <w14:textFill>
                  <w14:solidFill>
                    <w14:schemeClr w14:val="tx1"/>
                  </w14:solidFill>
                </w14:textFill>
              </w:rPr>
              <w:t>19</w:t>
            </w:r>
          </w:p>
        </w:tc>
        <w:tc>
          <w:tcPr>
            <w:tcW w:w="2344" w:type="dxa"/>
            <w:vAlign w:val="center"/>
          </w:tcPr>
          <w:p>
            <w:pPr>
              <w:jc w:val="center"/>
              <w:rPr>
                <w:rFonts w:asciiTheme="minorEastAsia" w:hAnsiTheme="minorEastAsia" w:eastAsiaTheme="minorEastAsia" w:cstheme="minorEastAsia"/>
                <w:b/>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
                <w:color w:val="000000" w:themeColor="text1"/>
                <w:kern w:val="0"/>
                <w:sz w:val="24"/>
                <w:szCs w:val="24"/>
                <w14:textFill>
                  <w14:solidFill>
                    <w14:schemeClr w14:val="tx1"/>
                  </w14:solidFill>
                </w14:textFill>
              </w:rPr>
              <w:t>节能、环保要求</w:t>
            </w:r>
          </w:p>
        </w:tc>
        <w:tc>
          <w:tcPr>
            <w:tcW w:w="7145" w:type="dxa"/>
            <w:tcBorders>
              <w:top w:val="single" w:color="auto" w:sz="4" w:space="0"/>
            </w:tcBorders>
            <w:vAlign w:val="center"/>
          </w:tcPr>
          <w:p>
            <w:pPr>
              <w:rPr>
                <w:rFonts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按国家有关节能环保政策执行：</w:t>
            </w:r>
          </w:p>
          <w:p>
            <w:pPr>
              <w:rPr>
                <w:rFonts w:asciiTheme="minorEastAsia" w:hAnsiTheme="minorEastAsia" w:eastAsiaTheme="minorEastAsia" w:cstheme="minorEastAsia"/>
                <w:color w:val="000000" w:themeColor="text1"/>
                <w:kern w:val="0"/>
                <w:sz w:val="24"/>
                <w:szCs w:val="24"/>
                <w14:textFill>
                  <w14:solidFill>
                    <w14:schemeClr w14:val="tx1"/>
                  </w14:solidFill>
                </w14:textFill>
              </w:rPr>
            </w:pPr>
            <w:bookmarkStart w:id="22" w:name="EB014b7c5e8ad2493cb0d11473b927bad7"/>
            <w:bookmarkEnd w:id="22"/>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采用综合评分法，加分幅度</w:t>
            </w:r>
            <w:bookmarkStart w:id="23" w:name="EBd0de26cdb1574024a88e47e5896278b3"/>
            <w:bookmarkEnd w:id="23"/>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 xml:space="preserve">详见评标办法；                              </w:t>
            </w:r>
            <w:bookmarkStart w:id="24" w:name="EB644ae36679fa4df199a48b3e9c1e6df3"/>
            <w:bookmarkEnd w:id="24"/>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 xml:space="preserve">                                                    </w:t>
            </w:r>
            <w:bookmarkStart w:id="25" w:name="EB5eb2ef9949894c46a4ae078c6e67fc3e"/>
            <w:bookmarkEnd w:id="2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vAlign w:val="center"/>
          </w:tcPr>
          <w:p>
            <w:pPr>
              <w:jc w:val="center"/>
              <w:rPr>
                <w:rFonts w:asciiTheme="minorEastAsia" w:hAnsiTheme="minorEastAsia" w:eastAsiaTheme="minorEastAsia" w:cstheme="minorEastAsia"/>
                <w:b/>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
                <w:color w:val="000000" w:themeColor="text1"/>
                <w:kern w:val="0"/>
                <w:sz w:val="24"/>
                <w:szCs w:val="24"/>
                <w14:textFill>
                  <w14:solidFill>
                    <w14:schemeClr w14:val="tx1"/>
                  </w14:solidFill>
                </w14:textFill>
              </w:rPr>
              <w:t>20</w:t>
            </w:r>
          </w:p>
        </w:tc>
        <w:tc>
          <w:tcPr>
            <w:tcW w:w="2344" w:type="dxa"/>
            <w:vAlign w:val="center"/>
          </w:tcPr>
          <w:p>
            <w:pPr>
              <w:jc w:val="center"/>
              <w:rPr>
                <w:rFonts w:asciiTheme="minorEastAsia" w:hAnsiTheme="minorEastAsia" w:eastAsiaTheme="minorEastAsia" w:cstheme="minorEastAsia"/>
                <w:b/>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
                <w:color w:val="000000" w:themeColor="text1"/>
                <w:kern w:val="0"/>
                <w:sz w:val="24"/>
                <w:szCs w:val="24"/>
                <w14:textFill>
                  <w14:solidFill>
                    <w14:schemeClr w14:val="tx1"/>
                  </w14:solidFill>
                </w14:textFill>
              </w:rPr>
              <w:t>中小微型企业</w:t>
            </w:r>
          </w:p>
          <w:p>
            <w:pPr>
              <w:jc w:val="center"/>
              <w:rPr>
                <w:rFonts w:asciiTheme="minorEastAsia" w:hAnsiTheme="minorEastAsia" w:eastAsiaTheme="minorEastAsia" w:cstheme="minorEastAsia"/>
                <w:b/>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
                <w:color w:val="000000" w:themeColor="text1"/>
                <w:kern w:val="0"/>
                <w:sz w:val="24"/>
                <w:szCs w:val="24"/>
                <w14:textFill>
                  <w14:solidFill>
                    <w14:schemeClr w14:val="tx1"/>
                  </w14:solidFill>
                </w14:textFill>
              </w:rPr>
              <w:t>有关政策</w:t>
            </w:r>
          </w:p>
        </w:tc>
        <w:tc>
          <w:tcPr>
            <w:tcW w:w="7145" w:type="dxa"/>
            <w:tcBorders>
              <w:top w:val="single" w:color="auto" w:sz="4" w:space="0"/>
            </w:tcBorders>
            <w:vAlign w:val="center"/>
          </w:tcPr>
          <w:p>
            <w:pPr>
              <w:rPr>
                <w:rFonts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(1)根据工信部等部委发布的《关于印发中小企业划型标准规定的通知》（工信部联企业[2011]300号）规定执行；</w:t>
            </w:r>
          </w:p>
          <w:p>
            <w:pPr>
              <w:rPr>
                <w:rFonts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(2)价格扣除幅度：价格给予</w:t>
            </w:r>
            <w:bookmarkStart w:id="26" w:name="EB7c12aadff6454105884f1e07f5be9b11"/>
            <w:bookmarkEnd w:id="26"/>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6%的扣除。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vAlign w:val="center"/>
          </w:tcPr>
          <w:p>
            <w:pPr>
              <w:jc w:val="center"/>
              <w:rPr>
                <w:rFonts w:asciiTheme="minorEastAsia" w:hAnsiTheme="minorEastAsia" w:eastAsiaTheme="minorEastAsia" w:cstheme="minorEastAsia"/>
                <w:b/>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
                <w:color w:val="000000" w:themeColor="text1"/>
                <w:kern w:val="0"/>
                <w:sz w:val="24"/>
                <w:szCs w:val="24"/>
                <w14:textFill>
                  <w14:solidFill>
                    <w14:schemeClr w14:val="tx1"/>
                  </w14:solidFill>
                </w14:textFill>
              </w:rPr>
              <w:t>21</w:t>
            </w:r>
          </w:p>
        </w:tc>
        <w:tc>
          <w:tcPr>
            <w:tcW w:w="2344" w:type="dxa"/>
            <w:vAlign w:val="center"/>
          </w:tcPr>
          <w:p>
            <w:pPr>
              <w:jc w:val="center"/>
              <w:rPr>
                <w:rFonts w:asciiTheme="minorEastAsia" w:hAnsiTheme="minorEastAsia" w:eastAsiaTheme="minorEastAsia" w:cstheme="minorEastAsia"/>
                <w:b/>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
                <w:color w:val="000000" w:themeColor="text1"/>
                <w:kern w:val="0"/>
                <w:sz w:val="24"/>
                <w:szCs w:val="24"/>
                <w14:textFill>
                  <w14:solidFill>
                    <w14:schemeClr w14:val="tx1"/>
                  </w14:solidFill>
                </w14:textFill>
              </w:rPr>
              <w:t>技术部分是否采用</w:t>
            </w:r>
          </w:p>
          <w:p>
            <w:pPr>
              <w:jc w:val="center"/>
              <w:rPr>
                <w:rFonts w:asciiTheme="minorEastAsia" w:hAnsiTheme="minorEastAsia" w:eastAsiaTheme="minorEastAsia" w:cstheme="minorEastAsia"/>
                <w:b/>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
                <w:color w:val="000000" w:themeColor="text1"/>
                <w:kern w:val="0"/>
                <w:sz w:val="24"/>
                <w:szCs w:val="24"/>
                <w14:textFill>
                  <w14:solidFill>
                    <w14:schemeClr w14:val="tx1"/>
                  </w14:solidFill>
                </w14:textFill>
              </w:rPr>
              <w:t>“暗标”评审方式</w:t>
            </w:r>
          </w:p>
        </w:tc>
        <w:tc>
          <w:tcPr>
            <w:tcW w:w="7145" w:type="dxa"/>
            <w:vAlign w:val="center"/>
          </w:tcPr>
          <w:p>
            <w:pPr>
              <w:rPr>
                <w:rFonts w:asciiTheme="minorEastAsia" w:hAnsiTheme="minorEastAsia" w:eastAsiaTheme="minorEastAsia" w:cstheme="minorEastAsia"/>
                <w:color w:val="000000" w:themeColor="text1"/>
                <w:kern w:val="0"/>
                <w:sz w:val="24"/>
                <w:szCs w:val="24"/>
                <w14:textFill>
                  <w14:solidFill>
                    <w14:schemeClr w14:val="tx1"/>
                  </w14:solidFill>
                </w14:textFill>
              </w:rPr>
            </w:pPr>
            <w:bookmarkStart w:id="27" w:name="EB9ad3541a282b4a7283f6b2d3dd53e7a3"/>
            <w:bookmarkEnd w:id="27"/>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sym w:font="Wingdings 2" w:char="0052"/>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否。</w:t>
            </w:r>
          </w:p>
          <w:p>
            <w:pPr>
              <w:rPr>
                <w:rFonts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vAlign w:val="center"/>
          </w:tcPr>
          <w:p>
            <w:pPr>
              <w:jc w:val="center"/>
              <w:rPr>
                <w:rFonts w:asciiTheme="minorEastAsia" w:hAnsiTheme="minorEastAsia" w:eastAsiaTheme="minorEastAsia" w:cstheme="minorEastAsia"/>
                <w:b/>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
                <w:color w:val="000000" w:themeColor="text1"/>
                <w:kern w:val="0"/>
                <w:sz w:val="24"/>
                <w:szCs w:val="24"/>
                <w14:textFill>
                  <w14:solidFill>
                    <w14:schemeClr w14:val="tx1"/>
                  </w14:solidFill>
                </w14:textFill>
              </w:rPr>
              <w:t>22</w:t>
            </w:r>
          </w:p>
        </w:tc>
        <w:tc>
          <w:tcPr>
            <w:tcW w:w="2344" w:type="dxa"/>
            <w:vAlign w:val="center"/>
          </w:tcPr>
          <w:p>
            <w:pPr>
              <w:jc w:val="center"/>
              <w:rPr>
                <w:rFonts w:asciiTheme="minorEastAsia" w:hAnsiTheme="minorEastAsia" w:eastAsiaTheme="minorEastAsia" w:cstheme="minorEastAsia"/>
                <w:b/>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
                <w:color w:val="000000" w:themeColor="text1"/>
                <w:kern w:val="0"/>
                <w:sz w:val="24"/>
                <w:szCs w:val="24"/>
                <w14:textFill>
                  <w14:solidFill>
                    <w14:schemeClr w14:val="tx1"/>
                  </w14:solidFill>
                </w14:textFill>
              </w:rPr>
              <w:t>评审方法</w:t>
            </w:r>
          </w:p>
        </w:tc>
        <w:tc>
          <w:tcPr>
            <w:tcW w:w="7145" w:type="dxa"/>
            <w:vAlign w:val="center"/>
          </w:tcPr>
          <w:p>
            <w:pPr>
              <w:rPr>
                <w:rFonts w:asciiTheme="minorEastAsia" w:hAnsiTheme="minorEastAsia" w:eastAsiaTheme="minorEastAsia" w:cstheme="minorEastAsia"/>
                <w:color w:val="000000" w:themeColor="text1"/>
                <w:kern w:val="0"/>
                <w:sz w:val="24"/>
                <w:szCs w:val="24"/>
                <w14:textFill>
                  <w14:solidFill>
                    <w14:schemeClr w14:val="tx1"/>
                  </w14:solidFill>
                </w14:textFill>
              </w:rPr>
            </w:pPr>
            <w:bookmarkStart w:id="28" w:name="EBfac76cf65e4c418cba0e15c753f1359b"/>
            <w:bookmarkEnd w:id="28"/>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sym w:font="Wingdings 2" w:char="0052"/>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 xml:space="preserve">资格后审      </w:t>
            </w:r>
            <w:bookmarkStart w:id="29" w:name="EB0074e2ed01924d5f940b01ce03dab020"/>
            <w:bookmarkEnd w:id="29"/>
          </w:p>
          <w:p>
            <w:pPr>
              <w:rPr>
                <w:rFonts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sym w:font="Wingdings 2" w:char="0052"/>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 xml:space="preserve">综合评分法    </w:t>
            </w:r>
          </w:p>
          <w:p>
            <w:pPr>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注：</w:t>
            </w:r>
          </w:p>
          <w:p>
            <w:pPr>
              <w:rPr>
                <w:rFonts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综合评分法是指在最大限度地满足招标文件实质性要求前提下，按照招标文件中规定的评分细则评审后，以评标最终得分最高的投标人作为中标人的评标方法。每一投标人的最终得分为所有评委评分的算术平均值</w:t>
            </w:r>
            <w:r>
              <w:rPr>
                <w:rFonts w:hint="eastAsia" w:asciiTheme="minorEastAsia" w:hAnsiTheme="minorEastAsia" w:eastAsiaTheme="minorEastAsia" w:cstheme="minorEastAsia"/>
                <w:b/>
                <w:color w:val="000000" w:themeColor="text1"/>
                <w:kern w:val="0"/>
                <w:sz w:val="24"/>
                <w:szCs w:val="24"/>
                <w14:textFill>
                  <w14:solidFill>
                    <w14:schemeClr w14:val="tx1"/>
                  </w14:solidFill>
                </w14:textFill>
              </w:rPr>
              <w:t>。</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得分相同的，报价较低的一方为中标人。得分且投标报价相同的，技术指标较优的一方为中标人。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vAlign w:val="center"/>
          </w:tcPr>
          <w:p>
            <w:pPr>
              <w:jc w:val="center"/>
              <w:rPr>
                <w:rFonts w:asciiTheme="minorEastAsia" w:hAnsiTheme="minorEastAsia" w:eastAsiaTheme="minorEastAsia" w:cstheme="minorEastAsia"/>
                <w:b/>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
                <w:color w:val="000000" w:themeColor="text1"/>
                <w:kern w:val="0"/>
                <w:sz w:val="24"/>
                <w:szCs w:val="24"/>
                <w14:textFill>
                  <w14:solidFill>
                    <w14:schemeClr w14:val="tx1"/>
                  </w14:solidFill>
                </w14:textFill>
              </w:rPr>
              <w:t>23</w:t>
            </w:r>
          </w:p>
        </w:tc>
        <w:tc>
          <w:tcPr>
            <w:tcW w:w="2344" w:type="dxa"/>
            <w:vAlign w:val="center"/>
          </w:tcPr>
          <w:p>
            <w:pPr>
              <w:jc w:val="center"/>
              <w:rPr>
                <w:rFonts w:asciiTheme="minorEastAsia" w:hAnsiTheme="minorEastAsia" w:eastAsiaTheme="minorEastAsia" w:cstheme="minorEastAsia"/>
                <w:b/>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kern w:val="0"/>
                <w:sz w:val="24"/>
                <w:szCs w:val="24"/>
                <w:highlight w:val="none"/>
                <w14:textFill>
                  <w14:solidFill>
                    <w14:schemeClr w14:val="tx1"/>
                  </w14:solidFill>
                </w14:textFill>
              </w:rPr>
              <w:t>履约保证金</w:t>
            </w:r>
          </w:p>
        </w:tc>
        <w:tc>
          <w:tcPr>
            <w:tcW w:w="7145" w:type="dxa"/>
            <w:vAlign w:val="center"/>
          </w:tcPr>
          <w:p>
            <w:pPr>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具体以实际签订合同为准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vAlign w:val="center"/>
          </w:tcPr>
          <w:p>
            <w:pPr>
              <w:jc w:val="center"/>
              <w:rPr>
                <w:rFonts w:asciiTheme="minorEastAsia" w:hAnsiTheme="minorEastAsia" w:eastAsiaTheme="minorEastAsia" w:cstheme="minorEastAsia"/>
                <w:b/>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
                <w:color w:val="000000" w:themeColor="text1"/>
                <w:kern w:val="0"/>
                <w:sz w:val="24"/>
                <w:szCs w:val="24"/>
                <w14:textFill>
                  <w14:solidFill>
                    <w14:schemeClr w14:val="tx1"/>
                  </w14:solidFill>
                </w14:textFill>
              </w:rPr>
              <w:t>24</w:t>
            </w:r>
          </w:p>
        </w:tc>
        <w:tc>
          <w:tcPr>
            <w:tcW w:w="2344" w:type="dxa"/>
            <w:vAlign w:val="center"/>
          </w:tcPr>
          <w:p>
            <w:pPr>
              <w:jc w:val="center"/>
              <w:rPr>
                <w:rFonts w:asciiTheme="minorEastAsia" w:hAnsiTheme="minorEastAsia" w:eastAsiaTheme="minorEastAsia" w:cstheme="minorEastAsia"/>
                <w:b/>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
                <w:color w:val="000000" w:themeColor="text1"/>
                <w:kern w:val="0"/>
                <w:sz w:val="24"/>
                <w:szCs w:val="24"/>
                <w14:textFill>
                  <w14:solidFill>
                    <w14:schemeClr w14:val="tx1"/>
                  </w14:solidFill>
                </w14:textFill>
              </w:rPr>
              <w:t>代理服务费</w:t>
            </w:r>
          </w:p>
        </w:tc>
        <w:tc>
          <w:tcPr>
            <w:tcW w:w="7145" w:type="dxa"/>
            <w:vAlign w:val="center"/>
          </w:tcPr>
          <w:p>
            <w:pPr>
              <w:rPr>
                <w:rFonts w:asciiTheme="minorEastAsia" w:hAnsiTheme="minorEastAsia" w:eastAsiaTheme="minorEastAsia" w:cstheme="minorEastAsia"/>
                <w:color w:val="000000" w:themeColor="text1"/>
                <w:sz w:val="24"/>
                <w:szCs w:val="24"/>
                <w14:textFill>
                  <w14:solidFill>
                    <w14:schemeClr w14:val="tx1"/>
                  </w14:solidFill>
                </w14:textFill>
              </w:rPr>
            </w:pPr>
            <w:bookmarkStart w:id="30" w:name="EB61747f1953474773bc4afe96f1735977"/>
            <w:bookmarkEnd w:id="30"/>
            <w:r>
              <w:rPr>
                <w:rFonts w:hint="eastAsia" w:asciiTheme="minorEastAsia" w:hAnsiTheme="minorEastAsia" w:eastAsiaTheme="minorEastAsia" w:cstheme="minorEastAsia"/>
                <w:color w:val="000000" w:themeColor="text1"/>
                <w:sz w:val="24"/>
                <w:szCs w:val="24"/>
                <w14:textFill>
                  <w14:solidFill>
                    <w14:schemeClr w14:val="tx1"/>
                  </w14:solidFill>
                </w14:textFill>
              </w:rPr>
              <w:t>由中标企业向招标代理机构支付。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vAlign w:val="center"/>
          </w:tcPr>
          <w:p>
            <w:pPr>
              <w:jc w:val="center"/>
              <w:rPr>
                <w:rFonts w:asciiTheme="minorEastAsia" w:hAnsiTheme="minorEastAsia" w:eastAsiaTheme="minorEastAsia" w:cstheme="minorEastAsia"/>
                <w:b/>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
                <w:color w:val="000000" w:themeColor="text1"/>
                <w:kern w:val="0"/>
                <w:sz w:val="24"/>
                <w:szCs w:val="24"/>
                <w14:textFill>
                  <w14:solidFill>
                    <w14:schemeClr w14:val="tx1"/>
                  </w14:solidFill>
                </w14:textFill>
              </w:rPr>
              <w:t>25</w:t>
            </w:r>
          </w:p>
        </w:tc>
        <w:tc>
          <w:tcPr>
            <w:tcW w:w="2344" w:type="dxa"/>
            <w:vAlign w:val="center"/>
          </w:tcPr>
          <w:p>
            <w:pPr>
              <w:jc w:val="center"/>
              <w:rPr>
                <w:rFonts w:asciiTheme="minorEastAsia" w:hAnsiTheme="minorEastAsia" w:eastAsiaTheme="minorEastAsia" w:cstheme="minorEastAsia"/>
                <w:b/>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
                <w:color w:val="000000" w:themeColor="text1"/>
                <w:kern w:val="0"/>
                <w:sz w:val="24"/>
                <w:szCs w:val="24"/>
                <w14:textFill>
                  <w14:solidFill>
                    <w14:schemeClr w14:val="tx1"/>
                  </w14:solidFill>
                </w14:textFill>
              </w:rPr>
              <w:t>场地服务费</w:t>
            </w:r>
          </w:p>
        </w:tc>
        <w:tc>
          <w:tcPr>
            <w:tcW w:w="7145" w:type="dxa"/>
            <w:vAlign w:val="center"/>
          </w:tcPr>
          <w:p>
            <w:pPr>
              <w:autoSpaceDE w:val="0"/>
              <w:autoSpaceDN w:val="0"/>
              <w:adjustRightInd w:val="0"/>
              <w:rPr>
                <w:rFonts w:asciiTheme="minorEastAsia" w:hAnsiTheme="minorEastAsia" w:eastAsiaTheme="minorEastAsia" w:cstheme="minorEastAsia"/>
                <w:color w:val="000000" w:themeColor="text1"/>
                <w:kern w:val="0"/>
                <w:sz w:val="24"/>
                <w:szCs w:val="24"/>
                <w14:textFill>
                  <w14:solidFill>
                    <w14:schemeClr w14:val="tx1"/>
                  </w14:solidFill>
                </w14:textFill>
              </w:rPr>
            </w:pPr>
            <w:bookmarkStart w:id="31" w:name="EB2f5f405fa5e847b7b1e93aa13e02f53c"/>
            <w:bookmarkEnd w:id="31"/>
            <w:bookmarkStart w:id="32" w:name="EB032dd5bb9a2a45ea8238724fe0749933"/>
            <w:bookmarkEnd w:id="32"/>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sym w:font="Wingdings 2" w:char="0052"/>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不交纳。</w:t>
            </w:r>
          </w:p>
          <w:p>
            <w:pPr>
              <w:rPr>
                <w:rFonts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□交纳。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vAlign w:val="center"/>
          </w:tcPr>
          <w:p>
            <w:pPr>
              <w:jc w:val="center"/>
              <w:rPr>
                <w:rFonts w:asciiTheme="minorEastAsia" w:hAnsiTheme="minorEastAsia" w:eastAsiaTheme="minorEastAsia" w:cstheme="minorEastAsia"/>
                <w:b/>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
                <w:color w:val="000000" w:themeColor="text1"/>
                <w:kern w:val="0"/>
                <w:sz w:val="24"/>
                <w:szCs w:val="24"/>
                <w14:textFill>
                  <w14:solidFill>
                    <w14:schemeClr w14:val="tx1"/>
                  </w14:solidFill>
                </w14:textFill>
              </w:rPr>
              <w:t>26</w:t>
            </w:r>
          </w:p>
        </w:tc>
        <w:tc>
          <w:tcPr>
            <w:tcW w:w="2344" w:type="dxa"/>
            <w:vAlign w:val="center"/>
          </w:tcPr>
          <w:p>
            <w:pPr>
              <w:jc w:val="center"/>
              <w:rPr>
                <w:rFonts w:asciiTheme="minorEastAsia" w:hAnsiTheme="minorEastAsia" w:eastAsiaTheme="minorEastAsia" w:cstheme="minorEastAsia"/>
                <w:b/>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
                <w:color w:val="000000" w:themeColor="text1"/>
                <w:kern w:val="0"/>
                <w:sz w:val="24"/>
                <w:szCs w:val="24"/>
                <w14:textFill>
                  <w14:solidFill>
                    <w14:schemeClr w14:val="tx1"/>
                  </w14:solidFill>
                </w14:textFill>
              </w:rPr>
              <w:t>付款途径</w:t>
            </w:r>
          </w:p>
        </w:tc>
        <w:tc>
          <w:tcPr>
            <w:tcW w:w="7145" w:type="dxa"/>
            <w:vAlign w:val="center"/>
          </w:tcPr>
          <w:p>
            <w:pPr>
              <w:rPr>
                <w:rFonts w:asciiTheme="minorEastAsia" w:hAnsiTheme="minorEastAsia" w:eastAsiaTheme="minorEastAsia" w:cstheme="minorEastAsia"/>
                <w:color w:val="000000" w:themeColor="text1"/>
                <w:sz w:val="24"/>
                <w:szCs w:val="24"/>
                <w14:textFill>
                  <w14:solidFill>
                    <w14:schemeClr w14:val="tx1"/>
                  </w14:solidFill>
                </w14:textFill>
              </w:rPr>
            </w:pPr>
            <w:bookmarkStart w:id="33" w:name="EB2ce5b88eba94499ba45199c3c51dafe2"/>
            <w:bookmarkEnd w:id="33"/>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银行转账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vAlign w:val="center"/>
          </w:tcPr>
          <w:p>
            <w:pPr>
              <w:jc w:val="center"/>
              <w:rPr>
                <w:rFonts w:asciiTheme="minorEastAsia" w:hAnsiTheme="minorEastAsia" w:eastAsiaTheme="minorEastAsia" w:cstheme="minorEastAsia"/>
                <w:b/>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
                <w:color w:val="000000" w:themeColor="text1"/>
                <w:kern w:val="0"/>
                <w:sz w:val="24"/>
                <w:szCs w:val="24"/>
                <w14:textFill>
                  <w14:solidFill>
                    <w14:schemeClr w14:val="tx1"/>
                  </w14:solidFill>
                </w14:textFill>
              </w:rPr>
              <w:t>27</w:t>
            </w:r>
          </w:p>
        </w:tc>
        <w:tc>
          <w:tcPr>
            <w:tcW w:w="2344" w:type="dxa"/>
            <w:vAlign w:val="center"/>
          </w:tcPr>
          <w:p>
            <w:pPr>
              <w:jc w:val="center"/>
              <w:rPr>
                <w:rFonts w:asciiTheme="minorEastAsia" w:hAnsiTheme="minorEastAsia" w:eastAsiaTheme="minorEastAsia" w:cstheme="minorEastAsia"/>
                <w:b/>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kern w:val="0"/>
                <w:sz w:val="24"/>
                <w:szCs w:val="24"/>
                <w:highlight w:val="none"/>
                <w14:textFill>
                  <w14:solidFill>
                    <w14:schemeClr w14:val="tx1"/>
                  </w14:solidFill>
                </w14:textFill>
              </w:rPr>
              <w:t>付款方式</w:t>
            </w:r>
          </w:p>
        </w:tc>
        <w:tc>
          <w:tcPr>
            <w:tcW w:w="7145" w:type="dxa"/>
            <w:vAlign w:val="center"/>
          </w:tcPr>
          <w:p>
            <w:pPr>
              <w:rPr>
                <w:rFonts w:asciiTheme="minorEastAsia" w:hAnsiTheme="minorEastAsia" w:eastAsiaTheme="minorEastAsia" w:cstheme="minorEastAsia"/>
                <w:color w:val="000000" w:themeColor="text1"/>
                <w:sz w:val="24"/>
                <w:szCs w:val="24"/>
                <w:highlight w:val="none"/>
                <w14:textFill>
                  <w14:solidFill>
                    <w14:schemeClr w14:val="tx1"/>
                  </w14:solidFill>
                </w14:textFill>
              </w:rPr>
            </w:pPr>
            <w:bookmarkStart w:id="34" w:name="EBea6107e5580a4549be5b498765332fd3"/>
            <w:bookmarkEnd w:id="34"/>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预付总货款30%，货到验收合格后支付总货款30%，安装调试验收合格后支付总货款3</w:t>
            </w:r>
            <w:r>
              <w:rPr>
                <w:rFonts w:asciiTheme="minorEastAsia" w:hAnsiTheme="minorEastAsia" w:eastAsiaTheme="minorEastAsia" w:cstheme="minorEastAsia"/>
                <w:color w:val="000000" w:themeColor="text1"/>
                <w:sz w:val="24"/>
                <w:szCs w:val="24"/>
                <w:highlight w:val="none"/>
                <w14:textFill>
                  <w14:solidFill>
                    <w14:schemeClr w14:val="tx1"/>
                  </w14:solidFill>
                </w14:textFill>
              </w:rPr>
              <w:t>5</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%，剩余总货款</w:t>
            </w:r>
            <w:r>
              <w:rPr>
                <w:rFonts w:asciiTheme="minorEastAsia" w:hAnsiTheme="minorEastAsia" w:eastAsiaTheme="minorEastAsia" w:cstheme="minorEastAsia"/>
                <w:color w:val="000000" w:themeColor="text1"/>
                <w:sz w:val="24"/>
                <w:szCs w:val="24"/>
                <w:highlight w:val="none"/>
                <w14:textFill>
                  <w14:solidFill>
                    <w14:schemeClr w14:val="tx1"/>
                  </w14:solidFill>
                </w14:textFill>
              </w:rPr>
              <w:t>5</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%为质保金，质保期届满后无质量问题一次付清。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vAlign w:val="center"/>
          </w:tcPr>
          <w:p>
            <w:pPr>
              <w:jc w:val="center"/>
              <w:rPr>
                <w:rFonts w:asciiTheme="minorEastAsia" w:hAnsiTheme="minorEastAsia" w:eastAsiaTheme="minorEastAsia" w:cstheme="minorEastAsia"/>
                <w:b/>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
                <w:color w:val="000000" w:themeColor="text1"/>
                <w:kern w:val="0"/>
                <w:sz w:val="24"/>
                <w:szCs w:val="24"/>
                <w14:textFill>
                  <w14:solidFill>
                    <w14:schemeClr w14:val="tx1"/>
                  </w14:solidFill>
                </w14:textFill>
              </w:rPr>
              <w:t>28</w:t>
            </w:r>
          </w:p>
        </w:tc>
        <w:tc>
          <w:tcPr>
            <w:tcW w:w="2344" w:type="dxa"/>
            <w:vAlign w:val="center"/>
          </w:tcPr>
          <w:p>
            <w:pPr>
              <w:jc w:val="center"/>
              <w:rPr>
                <w:rFonts w:asciiTheme="minorEastAsia" w:hAnsiTheme="minorEastAsia" w:eastAsiaTheme="minorEastAsia" w:cstheme="minorEastAsia"/>
                <w:b/>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kern w:val="0"/>
                <w:sz w:val="24"/>
                <w:szCs w:val="24"/>
                <w:highlight w:val="none"/>
                <w14:textFill>
                  <w14:solidFill>
                    <w14:schemeClr w14:val="tx1"/>
                  </w14:solidFill>
                </w14:textFill>
              </w:rPr>
              <w:t>供货周期</w:t>
            </w:r>
          </w:p>
        </w:tc>
        <w:tc>
          <w:tcPr>
            <w:tcW w:w="7145" w:type="dxa"/>
            <w:vAlign w:val="center"/>
          </w:tcPr>
          <w:p>
            <w:pPr>
              <w:rPr>
                <w:rFonts w:asciiTheme="minorEastAsia" w:hAnsiTheme="minorEastAsia" w:eastAsiaTheme="minorEastAsia" w:cstheme="minorEastAsia"/>
                <w:color w:val="000000" w:themeColor="text1"/>
                <w:sz w:val="24"/>
                <w:szCs w:val="24"/>
                <w:highlight w:val="none"/>
                <w14:textFill>
                  <w14:solidFill>
                    <w14:schemeClr w14:val="tx1"/>
                  </w14:solidFill>
                </w14:textFill>
              </w:rPr>
            </w:pPr>
            <w:bookmarkStart w:id="35" w:name="EB2dc74b14846046859499e4929e78dd41"/>
            <w:bookmarkEnd w:id="35"/>
            <w:r>
              <w:rPr>
                <w:rFonts w:hint="eastAsia" w:cs="Arial" w:asciiTheme="minorEastAsia" w:hAnsiTheme="minorEastAsia" w:eastAsiaTheme="minorEastAsia"/>
                <w:kern w:val="0"/>
                <w:sz w:val="24"/>
                <w:szCs w:val="24"/>
                <w:highlight w:val="none"/>
              </w:rPr>
              <w:t>自合同签订之日起45日历日内送达采购人指定地点完成装修及设备安装调试并通过甲方验收合格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vAlign w:val="center"/>
          </w:tcPr>
          <w:p>
            <w:pPr>
              <w:jc w:val="center"/>
              <w:rPr>
                <w:rFonts w:asciiTheme="minorEastAsia" w:hAnsiTheme="minorEastAsia" w:eastAsiaTheme="minorEastAsia" w:cstheme="minorEastAsia"/>
                <w:b/>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
                <w:color w:val="000000" w:themeColor="text1"/>
                <w:kern w:val="0"/>
                <w:sz w:val="24"/>
                <w:szCs w:val="24"/>
                <w14:textFill>
                  <w14:solidFill>
                    <w14:schemeClr w14:val="tx1"/>
                  </w14:solidFill>
                </w14:textFill>
              </w:rPr>
              <w:t>29</w:t>
            </w:r>
          </w:p>
        </w:tc>
        <w:tc>
          <w:tcPr>
            <w:tcW w:w="2344" w:type="dxa"/>
            <w:vAlign w:val="center"/>
          </w:tcPr>
          <w:p>
            <w:pPr>
              <w:jc w:val="center"/>
              <w:rPr>
                <w:rFonts w:asciiTheme="minorEastAsia" w:hAnsiTheme="minorEastAsia" w:eastAsiaTheme="minorEastAsia" w:cstheme="minorEastAsia"/>
                <w:b/>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
                <w:color w:val="000000" w:themeColor="text1"/>
                <w:kern w:val="0"/>
                <w:sz w:val="24"/>
                <w:szCs w:val="24"/>
                <w14:textFill>
                  <w14:solidFill>
                    <w14:schemeClr w14:val="tx1"/>
                  </w14:solidFill>
                </w14:textFill>
              </w:rPr>
              <w:t>交付地点</w:t>
            </w:r>
          </w:p>
        </w:tc>
        <w:tc>
          <w:tcPr>
            <w:tcW w:w="7145" w:type="dxa"/>
            <w:vAlign w:val="center"/>
          </w:tcPr>
          <w:p>
            <w:pPr>
              <w:rPr>
                <w:rFonts w:asciiTheme="minorEastAsia" w:hAnsiTheme="minorEastAsia" w:eastAsiaTheme="minorEastAsia" w:cstheme="minorEastAsia"/>
                <w:color w:val="000000" w:themeColor="text1"/>
                <w:sz w:val="24"/>
                <w:szCs w:val="24"/>
                <w14:textFill>
                  <w14:solidFill>
                    <w14:schemeClr w14:val="tx1"/>
                  </w14:solidFill>
                </w14:textFill>
              </w:rPr>
            </w:pPr>
            <w:bookmarkStart w:id="36" w:name="EB18b15cc3091846bba088c32790cb7a66"/>
            <w:bookmarkEnd w:id="36"/>
            <w:r>
              <w:rPr>
                <w:rFonts w:hint="eastAsia" w:asciiTheme="minorEastAsia" w:hAnsiTheme="minorEastAsia" w:eastAsiaTheme="minorEastAsia" w:cstheme="minorEastAsia"/>
                <w:color w:val="000000" w:themeColor="text1"/>
                <w:sz w:val="24"/>
                <w:szCs w:val="24"/>
                <w14:textFill>
                  <w14:solidFill>
                    <w14:schemeClr w14:val="tx1"/>
                  </w14:solidFill>
                </w14:textFill>
              </w:rPr>
              <w:t>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vAlign w:val="center"/>
          </w:tcPr>
          <w:p>
            <w:pPr>
              <w:jc w:val="center"/>
              <w:rPr>
                <w:rFonts w:asciiTheme="minorEastAsia" w:hAnsiTheme="minorEastAsia" w:eastAsiaTheme="minorEastAsia" w:cstheme="minorEastAsia"/>
                <w:b/>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
                <w:color w:val="000000" w:themeColor="text1"/>
                <w:kern w:val="0"/>
                <w:sz w:val="24"/>
                <w:szCs w:val="24"/>
                <w14:textFill>
                  <w14:solidFill>
                    <w14:schemeClr w14:val="tx1"/>
                  </w14:solidFill>
                </w14:textFill>
              </w:rPr>
              <w:t>30</w:t>
            </w:r>
          </w:p>
        </w:tc>
        <w:tc>
          <w:tcPr>
            <w:tcW w:w="2344" w:type="dxa"/>
            <w:vAlign w:val="center"/>
          </w:tcPr>
          <w:p>
            <w:pPr>
              <w:jc w:val="center"/>
              <w:rPr>
                <w:rFonts w:asciiTheme="minorEastAsia" w:hAnsiTheme="minorEastAsia" w:eastAsiaTheme="minorEastAsia" w:cstheme="minorEastAsia"/>
                <w:b/>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kern w:val="0"/>
                <w:sz w:val="24"/>
                <w:szCs w:val="24"/>
                <w:highlight w:val="none"/>
                <w14:textFill>
                  <w14:solidFill>
                    <w14:schemeClr w14:val="tx1"/>
                  </w14:solidFill>
                </w14:textFill>
              </w:rPr>
              <w:t>质保期</w:t>
            </w:r>
          </w:p>
        </w:tc>
        <w:tc>
          <w:tcPr>
            <w:tcW w:w="7145" w:type="dxa"/>
            <w:vAlign w:val="center"/>
          </w:tcPr>
          <w:p>
            <w:pPr>
              <w:rPr>
                <w:rFonts w:asciiTheme="minorEastAsia" w:hAnsiTheme="minorEastAsia" w:eastAsiaTheme="minorEastAsia" w:cstheme="minorEastAsia"/>
                <w:color w:val="000000" w:themeColor="text1"/>
                <w:sz w:val="24"/>
                <w:szCs w:val="24"/>
                <w:highlight w:val="none"/>
                <w14:textFill>
                  <w14:solidFill>
                    <w14:schemeClr w14:val="tx1"/>
                  </w14:solidFill>
                </w14:textFill>
              </w:rPr>
            </w:pPr>
            <w:bookmarkStart w:id="37" w:name="EB164305855d7d4c53942a57bb4dac7000"/>
            <w:bookmarkEnd w:id="37"/>
            <w:r>
              <w:rPr>
                <w:rFonts w:hint="eastAsia" w:cs="Arial" w:asciiTheme="minorEastAsia" w:hAnsiTheme="minorEastAsia" w:eastAsiaTheme="minorEastAsia"/>
                <w:kern w:val="0"/>
                <w:sz w:val="24"/>
                <w:szCs w:val="24"/>
                <w:highlight w:val="none"/>
              </w:rPr>
              <w:t>一年</w:t>
            </w:r>
            <w:r>
              <w:rPr>
                <w:rFonts w:hint="eastAsia" w:cs="Arial" w:asciiTheme="minorEastAsia" w:hAnsiTheme="minorEastAsia"/>
                <w:kern w:val="0"/>
                <w:sz w:val="24"/>
                <w:szCs w:val="24"/>
                <w:highlight w:val="none"/>
              </w:rPr>
              <w:t>内</w:t>
            </w:r>
            <w:r>
              <w:rPr>
                <w:rFonts w:hint="eastAsia" w:cs="Arial" w:asciiTheme="minorEastAsia" w:hAnsiTheme="minorEastAsia" w:eastAsiaTheme="minorEastAsia"/>
                <w:kern w:val="0"/>
                <w:sz w:val="24"/>
                <w:szCs w:val="24"/>
                <w:highlight w:val="none"/>
              </w:rPr>
              <w:t>包换保修，三年内免费维修维护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vAlign w:val="center"/>
          </w:tcPr>
          <w:p>
            <w:pPr>
              <w:jc w:val="center"/>
              <w:rPr>
                <w:rFonts w:asciiTheme="minorEastAsia" w:hAnsiTheme="minorEastAsia" w:eastAsiaTheme="minorEastAsia" w:cstheme="minorEastAsia"/>
                <w:b/>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
                <w:color w:val="000000" w:themeColor="text1"/>
                <w:kern w:val="0"/>
                <w:sz w:val="24"/>
                <w:szCs w:val="24"/>
                <w14:textFill>
                  <w14:solidFill>
                    <w14:schemeClr w14:val="tx1"/>
                  </w14:solidFill>
                </w14:textFill>
              </w:rPr>
              <w:t>31</w:t>
            </w:r>
          </w:p>
        </w:tc>
        <w:tc>
          <w:tcPr>
            <w:tcW w:w="2344" w:type="dxa"/>
            <w:vAlign w:val="center"/>
          </w:tcPr>
          <w:p>
            <w:pPr>
              <w:jc w:val="center"/>
              <w:rPr>
                <w:rFonts w:asciiTheme="minorEastAsia" w:hAnsiTheme="minorEastAsia" w:eastAsiaTheme="minorEastAsia" w:cstheme="minorEastAsia"/>
                <w:b/>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
                <w:color w:val="000000" w:themeColor="text1"/>
                <w:kern w:val="0"/>
                <w:sz w:val="24"/>
                <w:szCs w:val="24"/>
                <w14:textFill>
                  <w14:solidFill>
                    <w14:schemeClr w14:val="tx1"/>
                  </w14:solidFill>
                </w14:textFill>
              </w:rPr>
              <w:t>是否需要</w:t>
            </w:r>
          </w:p>
          <w:p>
            <w:pPr>
              <w:jc w:val="center"/>
              <w:rPr>
                <w:rFonts w:asciiTheme="minorEastAsia" w:hAnsiTheme="minorEastAsia" w:eastAsiaTheme="minorEastAsia" w:cstheme="minorEastAsia"/>
                <w:b/>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
                <w:color w:val="000000" w:themeColor="text1"/>
                <w:kern w:val="0"/>
                <w:sz w:val="24"/>
                <w:szCs w:val="24"/>
                <w14:textFill>
                  <w14:solidFill>
                    <w14:schemeClr w14:val="tx1"/>
                  </w14:solidFill>
                </w14:textFill>
              </w:rPr>
              <w:t>提交样品</w:t>
            </w:r>
          </w:p>
        </w:tc>
        <w:tc>
          <w:tcPr>
            <w:tcW w:w="7145" w:type="dxa"/>
            <w:vAlign w:val="center"/>
          </w:tcPr>
          <w:p>
            <w:pPr>
              <w:autoSpaceDE w:val="0"/>
              <w:autoSpaceDN w:val="0"/>
              <w:adjustRightInd w:val="0"/>
              <w:rPr>
                <w:rFonts w:asciiTheme="minorEastAsia" w:hAnsiTheme="minorEastAsia" w:eastAsiaTheme="minorEastAsia" w:cstheme="minorEastAsia"/>
                <w:color w:val="000000" w:themeColor="text1"/>
                <w:sz w:val="24"/>
                <w:szCs w:val="24"/>
                <w14:textFill>
                  <w14:solidFill>
                    <w14:schemeClr w14:val="tx1"/>
                  </w14:solidFill>
                </w14:textFill>
              </w:rPr>
            </w:pPr>
            <w:bookmarkStart w:id="38" w:name="EBdca9b04348ec4d4e88722d261482d984"/>
            <w:bookmarkEnd w:id="38"/>
            <w:r>
              <w:rPr>
                <w:rFonts w:hint="eastAsia" w:asciiTheme="minorEastAsia" w:hAnsiTheme="minorEastAsia" w:eastAsiaTheme="minorEastAsia" w:cstheme="minorEastAsia"/>
                <w:color w:val="000000" w:themeColor="text1"/>
                <w:sz w:val="24"/>
                <w:szCs w:val="24"/>
                <w:lang w:val="zh-CN"/>
                <w14:textFill>
                  <w14:solidFill>
                    <w14:schemeClr w14:val="tx1"/>
                  </w14:solidFill>
                </w14:textFill>
              </w:rPr>
              <w:sym w:font="Wingdings 2" w:char="0052"/>
            </w:r>
            <w:r>
              <w:rPr>
                <w:rFonts w:hint="eastAsia" w:asciiTheme="minorEastAsia" w:hAnsiTheme="minorEastAsia" w:eastAsiaTheme="minorEastAsia" w:cstheme="minorEastAsia"/>
                <w:color w:val="000000" w:themeColor="text1"/>
                <w:sz w:val="24"/>
                <w:szCs w:val="24"/>
                <w:lang w:val="zh-CN"/>
                <w14:textFill>
                  <w14:solidFill>
                    <w14:schemeClr w14:val="tx1"/>
                  </w14:solidFill>
                </w14:textFill>
              </w:rPr>
              <w:t>不需要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vAlign w:val="center"/>
          </w:tcPr>
          <w:p>
            <w:pPr>
              <w:jc w:val="center"/>
              <w:rPr>
                <w:rFonts w:asciiTheme="minorEastAsia" w:hAnsiTheme="minorEastAsia" w:eastAsiaTheme="minorEastAsia" w:cstheme="minorEastAsia"/>
                <w:b/>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
                <w:color w:val="000000" w:themeColor="text1"/>
                <w:kern w:val="0"/>
                <w:sz w:val="24"/>
                <w:szCs w:val="24"/>
                <w14:textFill>
                  <w14:solidFill>
                    <w14:schemeClr w14:val="tx1"/>
                  </w14:solidFill>
                </w14:textFill>
              </w:rPr>
              <w:t>32</w:t>
            </w:r>
          </w:p>
        </w:tc>
        <w:tc>
          <w:tcPr>
            <w:tcW w:w="2344" w:type="dxa"/>
            <w:vAlign w:val="center"/>
          </w:tcPr>
          <w:p>
            <w:pPr>
              <w:autoSpaceDE w:val="0"/>
              <w:autoSpaceDN w:val="0"/>
              <w:adjustRightInd w:val="0"/>
              <w:jc w:val="center"/>
              <w:rPr>
                <w:rFonts w:asciiTheme="minorEastAsia" w:hAnsiTheme="minorEastAsia" w:eastAsiaTheme="minorEastAsia" w:cstheme="minorEastAsia"/>
                <w:b/>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
                <w:color w:val="000000" w:themeColor="text1"/>
                <w:kern w:val="0"/>
                <w:sz w:val="24"/>
                <w:szCs w:val="24"/>
                <w14:textFill>
                  <w14:solidFill>
                    <w14:schemeClr w14:val="tx1"/>
                  </w14:solidFill>
                </w14:textFill>
              </w:rPr>
              <w:t>现场陈述</w:t>
            </w:r>
          </w:p>
        </w:tc>
        <w:tc>
          <w:tcPr>
            <w:tcW w:w="7145" w:type="dxa"/>
            <w:vAlign w:val="center"/>
          </w:tcPr>
          <w:p>
            <w:pPr>
              <w:autoSpaceDE w:val="0"/>
              <w:autoSpaceDN w:val="0"/>
              <w:adjustRightInd w:val="0"/>
              <w:rPr>
                <w:rFonts w:asciiTheme="minorEastAsia" w:hAnsiTheme="minorEastAsia" w:eastAsiaTheme="minorEastAsia" w:cstheme="minorEastAsia"/>
                <w:color w:val="000000" w:themeColor="text1"/>
                <w:sz w:val="24"/>
                <w:szCs w:val="24"/>
                <w14:textFill>
                  <w14:solidFill>
                    <w14:schemeClr w14:val="tx1"/>
                  </w14:solidFill>
                </w14:textFill>
              </w:rPr>
            </w:pPr>
            <w:bookmarkStart w:id="39" w:name="EBfccade37b80d427c8050f6c32f24c7e6"/>
            <w:bookmarkEnd w:id="39"/>
            <w:r>
              <w:rPr>
                <w:rFonts w:hint="eastAsia" w:asciiTheme="minorEastAsia" w:hAnsiTheme="minorEastAsia" w:eastAsiaTheme="minorEastAsia" w:cstheme="minorEastAsia"/>
                <w:color w:val="000000" w:themeColor="text1"/>
                <w:sz w:val="24"/>
                <w:szCs w:val="24"/>
                <w:lang w:val="zh-CN"/>
                <w14:textFill>
                  <w14:solidFill>
                    <w14:schemeClr w14:val="tx1"/>
                  </w14:solidFill>
                </w14:textFill>
              </w:rPr>
              <w:sym w:font="Wingdings 2" w:char="0052"/>
            </w:r>
            <w:r>
              <w:rPr>
                <w:rFonts w:hint="eastAsia" w:asciiTheme="minorEastAsia" w:hAnsiTheme="minorEastAsia" w:eastAsiaTheme="minorEastAsia" w:cstheme="minorEastAsia"/>
                <w:color w:val="000000" w:themeColor="text1"/>
                <w:sz w:val="24"/>
                <w:szCs w:val="24"/>
                <w:lang w:val="zh-CN"/>
                <w14:textFill>
                  <w14:solidFill>
                    <w14:schemeClr w14:val="tx1"/>
                  </w14:solidFill>
                </w14:textFill>
              </w:rPr>
              <w:t>不需要。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vAlign w:val="center"/>
          </w:tcPr>
          <w:p>
            <w:pPr>
              <w:jc w:val="center"/>
              <w:rPr>
                <w:rFonts w:asciiTheme="minorEastAsia" w:hAnsiTheme="minorEastAsia" w:eastAsiaTheme="minorEastAsia" w:cstheme="minorEastAsia"/>
                <w:b/>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
                <w:color w:val="000000" w:themeColor="text1"/>
                <w:kern w:val="0"/>
                <w:sz w:val="24"/>
                <w:szCs w:val="24"/>
                <w14:textFill>
                  <w14:solidFill>
                    <w14:schemeClr w14:val="tx1"/>
                  </w14:solidFill>
                </w14:textFill>
              </w:rPr>
              <w:t>33</w:t>
            </w:r>
          </w:p>
        </w:tc>
        <w:tc>
          <w:tcPr>
            <w:tcW w:w="2344" w:type="dxa"/>
            <w:vAlign w:val="center"/>
          </w:tcPr>
          <w:p>
            <w:pPr>
              <w:autoSpaceDE w:val="0"/>
              <w:autoSpaceDN w:val="0"/>
              <w:adjustRightInd w:val="0"/>
              <w:jc w:val="center"/>
              <w:rPr>
                <w:rFonts w:asciiTheme="minorEastAsia" w:hAnsiTheme="minorEastAsia" w:eastAsiaTheme="minorEastAsia" w:cstheme="minorEastAsia"/>
                <w:b/>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
                <w:color w:val="000000" w:themeColor="text1"/>
                <w:kern w:val="0"/>
                <w:sz w:val="24"/>
                <w:szCs w:val="24"/>
                <w14:textFill>
                  <w14:solidFill>
                    <w14:schemeClr w14:val="tx1"/>
                  </w14:solidFill>
                </w14:textFill>
              </w:rPr>
              <w:t>项目预算</w:t>
            </w:r>
          </w:p>
        </w:tc>
        <w:tc>
          <w:tcPr>
            <w:tcW w:w="7145" w:type="dxa"/>
            <w:vAlign w:val="center"/>
          </w:tcPr>
          <w:p>
            <w:pPr>
              <w:autoSpaceDE w:val="0"/>
              <w:autoSpaceDN w:val="0"/>
              <w:adjustRightInd w:val="0"/>
              <w:rPr>
                <w:rFonts w:asciiTheme="minorEastAsia" w:hAnsiTheme="minorEastAsia" w:eastAsiaTheme="minorEastAsia" w:cstheme="minorEastAsia"/>
                <w:sz w:val="24"/>
                <w:szCs w:val="24"/>
              </w:rPr>
            </w:pPr>
            <w:bookmarkStart w:id="40" w:name="EB4545dfd19ee14bf990935163cccc2961"/>
            <w:bookmarkEnd w:id="40"/>
            <w:r>
              <w:rPr>
                <w:rFonts w:hint="eastAsia" w:asciiTheme="minorEastAsia" w:hAnsiTheme="minorEastAsia" w:eastAsiaTheme="minorEastAsia" w:cstheme="minorEastAsia"/>
                <w:sz w:val="24"/>
                <w:szCs w:val="24"/>
                <w:lang w:val="zh-CN"/>
              </w:rPr>
              <w:t>本</w:t>
            </w:r>
            <w:r>
              <w:rPr>
                <w:rFonts w:hint="eastAsia" w:asciiTheme="minorEastAsia" w:hAnsiTheme="minorEastAsia" w:eastAsiaTheme="minorEastAsia" w:cstheme="minorEastAsia"/>
                <w:b/>
                <w:bCs/>
                <w:sz w:val="24"/>
                <w:szCs w:val="24"/>
                <w:u w:val="single"/>
                <w:lang w:val="zh-CN"/>
              </w:rPr>
              <w:t>新疆职业大学先进装备制造与运维虚拟仿真示范基地设备采购项目</w:t>
            </w:r>
            <w:r>
              <w:rPr>
                <w:rFonts w:hint="eastAsia" w:asciiTheme="minorEastAsia" w:hAnsiTheme="minorEastAsia" w:eastAsiaTheme="minorEastAsia" w:cstheme="minorEastAsia"/>
                <w:sz w:val="24"/>
                <w:szCs w:val="24"/>
                <w:lang w:val="zh-CN"/>
              </w:rPr>
              <w:t>预算为</w:t>
            </w:r>
            <w:r>
              <w:rPr>
                <w:rFonts w:hint="eastAsia" w:cs="Arial" w:asciiTheme="minorEastAsia" w:hAnsiTheme="minorEastAsia"/>
                <w:kern w:val="0"/>
                <w:sz w:val="24"/>
                <w:szCs w:val="24"/>
              </w:rPr>
              <w:t>408.307万元</w:t>
            </w:r>
            <w:r>
              <w:rPr>
                <w:rFonts w:hint="eastAsia" w:asciiTheme="minorEastAsia" w:hAnsiTheme="minorEastAsia" w:eastAsiaTheme="minorEastAsia" w:cstheme="minorEastAsia"/>
                <w:sz w:val="24"/>
                <w:szCs w:val="24"/>
                <w:lang w:val="zh-CN"/>
              </w:rPr>
              <w:t>，投标人投标报价超过项目预算的按无效投标处理。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vAlign w:val="center"/>
          </w:tcPr>
          <w:p>
            <w:pPr>
              <w:jc w:val="center"/>
              <w:rPr>
                <w:rFonts w:asciiTheme="minorEastAsia" w:hAnsiTheme="minorEastAsia" w:eastAsiaTheme="minorEastAsia" w:cstheme="minorEastAsia"/>
                <w:b/>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
                <w:color w:val="000000" w:themeColor="text1"/>
                <w:kern w:val="0"/>
                <w:sz w:val="24"/>
                <w:szCs w:val="24"/>
                <w14:textFill>
                  <w14:solidFill>
                    <w14:schemeClr w14:val="tx1"/>
                  </w14:solidFill>
                </w14:textFill>
              </w:rPr>
              <w:t>34</w:t>
            </w:r>
          </w:p>
        </w:tc>
        <w:tc>
          <w:tcPr>
            <w:tcW w:w="2344" w:type="dxa"/>
            <w:vAlign w:val="center"/>
          </w:tcPr>
          <w:p>
            <w:pPr>
              <w:autoSpaceDE w:val="0"/>
              <w:autoSpaceDN w:val="0"/>
              <w:adjustRightInd w:val="0"/>
              <w:jc w:val="center"/>
              <w:rPr>
                <w:rFonts w:asciiTheme="minorEastAsia" w:hAnsiTheme="minorEastAsia" w:eastAsiaTheme="minorEastAsia" w:cstheme="minorEastAsia"/>
                <w:b/>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
                <w:color w:val="000000" w:themeColor="text1"/>
                <w:kern w:val="0"/>
                <w:sz w:val="24"/>
                <w:szCs w:val="24"/>
                <w14:textFill>
                  <w14:solidFill>
                    <w14:schemeClr w14:val="tx1"/>
                  </w14:solidFill>
                </w14:textFill>
              </w:rPr>
              <w:t>其他</w:t>
            </w:r>
          </w:p>
        </w:tc>
        <w:tc>
          <w:tcPr>
            <w:tcW w:w="7145" w:type="dxa"/>
            <w:vAlign w:val="center"/>
          </w:tcPr>
          <w:p>
            <w:pPr>
              <w:autoSpaceDE w:val="0"/>
              <w:autoSpaceDN w:val="0"/>
              <w:adjustRightInd w:val="0"/>
              <w:rPr>
                <w:rFonts w:asciiTheme="minorEastAsia" w:hAnsiTheme="minorEastAsia" w:eastAsiaTheme="minorEastAsia" w:cstheme="minorEastAsia"/>
                <w:sz w:val="24"/>
                <w:szCs w:val="24"/>
              </w:rPr>
            </w:pPr>
            <w:bookmarkStart w:id="41" w:name="EB2bf8f7172c8d4220b807b8bf667df51d"/>
            <w:bookmarkEnd w:id="41"/>
            <w:r>
              <w:rPr>
                <w:rFonts w:hint="eastAsia" w:asciiTheme="minorEastAsia" w:hAnsiTheme="minorEastAsia" w:eastAsiaTheme="minorEastAsia" w:cstheme="minorEastAsia"/>
                <w:sz w:val="24"/>
                <w:szCs w:val="24"/>
                <w:lang w:val="zh-CN"/>
              </w:rPr>
              <w:t>本项目的招标投标活动以及相关当事人须接受财政监督部门依法实施的监督。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vAlign w:val="center"/>
          </w:tcPr>
          <w:p>
            <w:pPr>
              <w:jc w:val="center"/>
              <w:rPr>
                <w:rFonts w:asciiTheme="minorEastAsia" w:hAnsiTheme="minorEastAsia" w:eastAsiaTheme="minorEastAsia" w:cstheme="minorEastAsia"/>
                <w:b/>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
                <w:color w:val="000000" w:themeColor="text1"/>
                <w:kern w:val="0"/>
                <w:sz w:val="24"/>
                <w:szCs w:val="24"/>
                <w14:textFill>
                  <w14:solidFill>
                    <w14:schemeClr w14:val="tx1"/>
                  </w14:solidFill>
                </w14:textFill>
              </w:rPr>
              <w:t>35</w:t>
            </w:r>
          </w:p>
        </w:tc>
        <w:tc>
          <w:tcPr>
            <w:tcW w:w="2344" w:type="dxa"/>
            <w:vAlign w:val="center"/>
          </w:tcPr>
          <w:p>
            <w:pPr>
              <w:autoSpaceDE w:val="0"/>
              <w:autoSpaceDN w:val="0"/>
              <w:adjustRightInd w:val="0"/>
              <w:jc w:val="center"/>
              <w:rPr>
                <w:rFonts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开标资格审查原件</w:t>
            </w:r>
          </w:p>
        </w:tc>
        <w:tc>
          <w:tcPr>
            <w:tcW w:w="7145" w:type="dxa"/>
            <w:vAlign w:val="center"/>
          </w:tcPr>
          <w:p>
            <w:pPr>
              <w:widowControl/>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投标人需单独携带一份证明材料由监督人进行审查，证明材料为：</w:t>
            </w:r>
          </w:p>
          <w:p>
            <w:pPr>
              <w:widowControl/>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（1）法定代表人身份证明原件或委托代理人的法人授权委托书原件；</w:t>
            </w:r>
          </w:p>
          <w:p>
            <w:pPr>
              <w:widowControl/>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（2）法定代表人的身份证原件或委托代理人本人身份证原件；</w:t>
            </w:r>
          </w:p>
          <w:p>
            <w:pPr>
              <w:widowControl/>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（3）营业执照原件；</w:t>
            </w:r>
          </w:p>
          <w:p>
            <w:pPr>
              <w:widowControl/>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（4）投标保证金汇款凭证；</w:t>
            </w:r>
          </w:p>
          <w:p>
            <w:pPr>
              <w:autoSpaceDE w:val="0"/>
              <w:autoSpaceDN w:val="0"/>
              <w:adjustRightInd w:val="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rPr>
              <w:t>备注：以上资质证件，未要求原件的均可提供加盖公章复印件。如果提供不全或密封在响应文件里，则视为对招标文件资格审查内容的不响应，投标将被拒绝（不接受现场以外的二次提供）。</w:t>
            </w:r>
            <w:r>
              <w:rPr>
                <w:rFonts w:hint="eastAsia" w:asciiTheme="minorEastAsia" w:hAnsiTheme="minorEastAsia" w:eastAsiaTheme="minorEastAsia" w:cstheme="minorEastAsia"/>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vAlign w:val="center"/>
          </w:tcPr>
          <w:p>
            <w:pPr>
              <w:rPr>
                <w:rFonts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注意事项</w:t>
            </w:r>
          </w:p>
        </w:tc>
        <w:tc>
          <w:tcPr>
            <w:tcW w:w="9489" w:type="dxa"/>
            <w:gridSpan w:val="2"/>
            <w:vAlign w:val="center"/>
          </w:tcPr>
          <w:p>
            <w:pPr>
              <w:snapToGrid w:val="0"/>
              <w:rPr>
                <w:rFonts w:asciiTheme="minorEastAsia" w:hAnsiTheme="minorEastAsia" w:eastAsiaTheme="minorEastAsia" w:cstheme="minorEastAsia"/>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Cs/>
                <w:color w:val="000000" w:themeColor="text1"/>
                <w:sz w:val="24"/>
                <w:szCs w:val="24"/>
                <w14:textFill>
                  <w14:solidFill>
                    <w14:schemeClr w14:val="tx1"/>
                  </w14:solidFill>
                </w14:textFill>
              </w:rPr>
              <w:t>1、招标文件中部分加“*”、加粗、加下划线、废标、无效标、投标被拒绝字样的条款，为招标的实质性要求和条件，着重提醒各投标人注意，并认真查看招标文件中的每一个条款及要求，因误读招标文件而造成的后果，招标人概不负责。</w:t>
            </w:r>
          </w:p>
          <w:p>
            <w:pPr>
              <w:pStyle w:val="21"/>
              <w:spacing w:line="240" w:lineRule="auto"/>
              <w:ind w:left="0" w:leftChars="0" w:firstLine="0" w:firstLineChars="0"/>
              <w:rPr>
                <w:rFonts w:asciiTheme="minorEastAsia" w:hAnsiTheme="minorEastAsia" w:eastAsiaTheme="minorEastAsia" w:cstheme="minorEastAsia"/>
                <w:bCs/>
                <w:color w:val="000000" w:themeColor="text1"/>
                <w14:textFill>
                  <w14:solidFill>
                    <w14:schemeClr w14:val="tx1"/>
                  </w14:solidFill>
                </w14:textFill>
              </w:rPr>
            </w:pPr>
            <w:r>
              <w:rPr>
                <w:rFonts w:hint="eastAsia" w:asciiTheme="minorEastAsia" w:hAnsiTheme="minorEastAsia" w:eastAsiaTheme="minorEastAsia" w:cstheme="minorEastAsia"/>
                <w:bCs/>
                <w:color w:val="000000" w:themeColor="text1"/>
                <w14:textFill>
                  <w14:solidFill>
                    <w14:schemeClr w14:val="tx1"/>
                  </w14:solidFill>
                </w14:textFill>
              </w:rPr>
              <w:t>2、投标文件中有弄虚作假的内容，其投标文件作废。（如假证书、假业绩、隐瞒不良行为记录、夸大荣誉、使用非本单位在职员工的相关证件及不符合招标文件规定的条款等）；在签订合同之前，投标人如发现投标人的投标文件有弄虚作假内容，招标人可拒绝与其签订合同。并将其列入政府采购黑名单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vAlign w:val="center"/>
          </w:tcPr>
          <w:p>
            <w:pPr>
              <w:rPr>
                <w:rFonts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备注</w:t>
            </w:r>
          </w:p>
        </w:tc>
        <w:tc>
          <w:tcPr>
            <w:tcW w:w="9489" w:type="dxa"/>
            <w:gridSpan w:val="2"/>
            <w:vAlign w:val="center"/>
          </w:tcPr>
          <w:p>
            <w:pPr>
              <w:widowControl/>
              <w:wordWrap w:val="0"/>
              <w:rPr>
                <w:rFonts w:asciiTheme="minorEastAsia" w:hAnsiTheme="minorEastAsia" w:eastAsiaTheme="minorEastAsia" w:cstheme="minorEastAsia"/>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Cs/>
                <w:color w:val="000000" w:themeColor="text1"/>
                <w:sz w:val="24"/>
                <w:szCs w:val="24"/>
                <w14:textFill>
                  <w14:solidFill>
                    <w14:schemeClr w14:val="tx1"/>
                  </w14:solidFill>
                </w14:textFill>
              </w:rPr>
              <w:t>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的同时不得耽误本项目供货。</w:t>
            </w:r>
          </w:p>
        </w:tc>
      </w:tr>
    </w:tbl>
    <w:p>
      <w:pPr>
        <w:spacing w:line="440" w:lineRule="exact"/>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注：1、本表中加☆项目若有缺失或无效，将导致投标无效且不允许在开标后补正；2、本表内容与招标文件其它内容不一致的，应当以本表内容为准。</w:t>
      </w:r>
    </w:p>
    <w:p>
      <w:pPr>
        <w:spacing w:line="440" w:lineRule="exact"/>
        <w:ind w:firstLine="480" w:firstLineChars="200"/>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3、本表中“</w:t>
      </w:r>
      <w:r>
        <w:rPr>
          <w:rFonts w:hint="eastAsia" w:asciiTheme="minorEastAsia" w:hAnsiTheme="minorEastAsia" w:eastAsiaTheme="minorEastAsia" w:cstheme="minorEastAsia"/>
          <w:color w:val="000000" w:themeColor="text1"/>
          <w:kern w:val="0"/>
          <w:sz w:val="24"/>
          <w14:textFill>
            <w14:solidFill>
              <w14:schemeClr w14:val="tx1"/>
            </w14:solidFill>
          </w14:textFill>
        </w:rPr>
        <w:fldChar w:fldCharType="begin"/>
      </w:r>
      <w:r>
        <w:rPr>
          <w:rFonts w:hint="eastAsia" w:asciiTheme="minorEastAsia" w:hAnsiTheme="minorEastAsia" w:eastAsiaTheme="minorEastAsia" w:cstheme="minorEastAsia"/>
          <w:color w:val="000000" w:themeColor="text1"/>
          <w:kern w:val="0"/>
          <w:sz w:val="24"/>
          <w14:textFill>
            <w14:solidFill>
              <w14:schemeClr w14:val="tx1"/>
            </w14:solidFill>
          </w14:textFill>
        </w:rPr>
        <w:instrText xml:space="preserve"> eq \o\ac(□,√)</w:instrText>
      </w:r>
      <w:r>
        <w:rPr>
          <w:rFonts w:hint="eastAsia" w:asciiTheme="minorEastAsia" w:hAnsiTheme="minorEastAsia" w:eastAsiaTheme="minorEastAsia" w:cstheme="minorEastAsia"/>
          <w:color w:val="000000" w:themeColor="text1"/>
          <w:kern w:val="0"/>
          <w:sz w:val="24"/>
          <w14:textFill>
            <w14:solidFill>
              <w14:schemeClr w14:val="tx1"/>
            </w14:solidFill>
          </w14:textFill>
        </w:rPr>
        <w:fldChar w:fldCharType="end"/>
      </w:r>
      <w:r>
        <w:rPr>
          <w:rFonts w:hint="eastAsia" w:asciiTheme="minorEastAsia" w:hAnsiTheme="minorEastAsia" w:eastAsiaTheme="minorEastAsia" w:cstheme="minorEastAsia"/>
          <w:color w:val="000000" w:themeColor="text1"/>
          <w:kern w:val="0"/>
          <w:sz w:val="24"/>
          <w14:textFill>
            <w14:solidFill>
              <w14:schemeClr w14:val="tx1"/>
            </w14:solidFill>
          </w14:textFill>
        </w:rPr>
        <w:t>”标示选择使用该项，“□”标示不选择使用该项。</w:t>
      </w:r>
    </w:p>
    <w:p>
      <w:pPr>
        <w:jc w:val="center"/>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b/>
          <w:color w:val="000000" w:themeColor="text1"/>
          <w:sz w:val="28"/>
          <w:szCs w:val="28"/>
          <w14:textFill>
            <w14:solidFill>
              <w14:schemeClr w14:val="tx1"/>
            </w14:solidFill>
          </w14:textFill>
        </w:rPr>
        <w:br w:type="page"/>
      </w:r>
      <w:bookmarkStart w:id="42" w:name="_Toc20770"/>
      <w:r>
        <w:rPr>
          <w:rFonts w:hint="eastAsia" w:asciiTheme="minorEastAsia" w:hAnsiTheme="minorEastAsia" w:eastAsiaTheme="minorEastAsia" w:cstheme="minorEastAsia"/>
          <w:b/>
          <w:color w:val="000000" w:themeColor="text1"/>
          <w:sz w:val="28"/>
          <w:szCs w:val="28"/>
          <w14:textFill>
            <w14:solidFill>
              <w14:schemeClr w14:val="tx1"/>
            </w14:solidFill>
          </w14:textFill>
        </w:rPr>
        <w:t>投标人须知正文部分</w:t>
      </w:r>
      <w:bookmarkEnd w:id="42"/>
      <w:bookmarkStart w:id="43" w:name="EB6161aeb75e73451e88b561c498c7790b"/>
      <w:bookmarkEnd w:id="43"/>
      <w:bookmarkStart w:id="44" w:name="EB45a2b082a6fc468db99fa2bedab5cec9"/>
      <w:bookmarkEnd w:id="44"/>
    </w:p>
    <w:p>
      <w:pPr>
        <w:pStyle w:val="5"/>
        <w:numPr>
          <w:ilvl w:val="0"/>
          <w:numId w:val="0"/>
        </w:numPr>
        <w:snapToGrid w:val="0"/>
        <w:spacing w:before="0" w:after="0" w:line="360" w:lineRule="auto"/>
        <w:rPr>
          <w:rFonts w:asciiTheme="minorEastAsia" w:hAnsiTheme="minorEastAsia" w:eastAsiaTheme="minorEastAsia" w:cstheme="minorEastAsia"/>
          <w:color w:val="000000" w:themeColor="text1"/>
          <w:sz w:val="24"/>
          <w:szCs w:val="24"/>
          <w14:textFill>
            <w14:solidFill>
              <w14:schemeClr w14:val="tx1"/>
            </w14:solidFill>
          </w14:textFill>
        </w:rPr>
      </w:pPr>
      <w:bookmarkStart w:id="45" w:name="_Toc4585"/>
      <w:r>
        <w:rPr>
          <w:rFonts w:hint="eastAsia" w:asciiTheme="minorEastAsia" w:hAnsiTheme="minorEastAsia" w:eastAsiaTheme="minorEastAsia" w:cstheme="minorEastAsia"/>
          <w:color w:val="000000" w:themeColor="text1"/>
          <w:sz w:val="24"/>
          <w:szCs w:val="24"/>
          <w14:textFill>
            <w14:solidFill>
              <w14:schemeClr w14:val="tx1"/>
            </w14:solidFill>
          </w14:textFill>
        </w:rPr>
        <w:t>一、总则</w:t>
      </w:r>
      <w:bookmarkEnd w:id="45"/>
    </w:p>
    <w:p>
      <w:pPr>
        <w:adjustRightInd w:val="0"/>
        <w:snapToGrid w:val="0"/>
        <w:spacing w:line="360" w:lineRule="auto"/>
        <w:rPr>
          <w:rFonts w:asciiTheme="minorEastAsia" w:hAnsiTheme="minorEastAsia" w:eastAsiaTheme="minorEastAsia" w:cstheme="minorEastAsia"/>
          <w:b/>
          <w:color w:val="000000" w:themeColor="text1"/>
          <w:sz w:val="24"/>
          <w14:textFill>
            <w14:solidFill>
              <w14:schemeClr w14:val="tx1"/>
            </w14:solidFill>
          </w14:textFill>
        </w:rPr>
      </w:pPr>
      <w:r>
        <w:rPr>
          <w:rFonts w:hint="eastAsia" w:asciiTheme="minorEastAsia" w:hAnsiTheme="minorEastAsia" w:eastAsiaTheme="minorEastAsia" w:cstheme="minorEastAsia"/>
          <w:b/>
          <w:color w:val="000000" w:themeColor="text1"/>
          <w:sz w:val="24"/>
          <w14:textFill>
            <w14:solidFill>
              <w14:schemeClr w14:val="tx1"/>
            </w14:solidFill>
          </w14:textFill>
        </w:rPr>
        <w:t>1.说明</w:t>
      </w:r>
    </w:p>
    <w:p>
      <w:pPr>
        <w:adjustRightInd w:val="0"/>
        <w:snapToGrid w:val="0"/>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1.1本招标文件适用于本次招标采购项目的招标投标。</w:t>
      </w:r>
    </w:p>
    <w:p>
      <w:pPr>
        <w:adjustRightInd w:val="0"/>
        <w:snapToGrid w:val="0"/>
        <w:spacing w:line="360" w:lineRule="auto"/>
        <w:rPr>
          <w:rFonts w:asciiTheme="minorEastAsia" w:hAnsiTheme="minorEastAsia" w:eastAsiaTheme="minorEastAsia" w:cstheme="minorEastAsia"/>
          <w:b/>
          <w:color w:val="000000" w:themeColor="text1"/>
          <w:sz w:val="24"/>
          <w14:textFill>
            <w14:solidFill>
              <w14:schemeClr w14:val="tx1"/>
            </w14:solidFill>
          </w14:textFill>
        </w:rPr>
      </w:pPr>
      <w:r>
        <w:rPr>
          <w:rFonts w:hint="eastAsia" w:asciiTheme="minorEastAsia" w:hAnsiTheme="minorEastAsia" w:eastAsiaTheme="minorEastAsia" w:cstheme="minorEastAsia"/>
          <w:b/>
          <w:color w:val="000000" w:themeColor="text1"/>
          <w:sz w:val="24"/>
          <w14:textFill>
            <w14:solidFill>
              <w14:schemeClr w14:val="tx1"/>
            </w14:solidFill>
          </w14:textFill>
        </w:rPr>
        <w:t>2.定义</w:t>
      </w:r>
    </w:p>
    <w:p>
      <w:pPr>
        <w:adjustRightInd w:val="0"/>
        <w:snapToGrid w:val="0"/>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2.1“采购人”名称见本招标文件第二部分“投标人须知前附表”中第</w:t>
      </w:r>
      <w:r>
        <w:rPr>
          <w:rFonts w:hint="eastAsia" w:asciiTheme="minorEastAsia" w:hAnsiTheme="minorEastAsia" w:eastAsiaTheme="minorEastAsia" w:cstheme="minorEastAsia"/>
          <w:color w:val="000000" w:themeColor="text1"/>
          <w:sz w:val="24"/>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 w:val="24"/>
          <w14:textFill>
            <w14:solidFill>
              <w14:schemeClr w14:val="tx1"/>
            </w14:solidFill>
          </w14:textFill>
        </w:rPr>
        <w:t>项。</w:t>
      </w:r>
    </w:p>
    <w:p>
      <w:pPr>
        <w:adjustRightInd w:val="0"/>
        <w:snapToGrid w:val="0"/>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2.2“采购代理机构”名称见本招标文件第二部分“投标人须知前附表”中第</w:t>
      </w:r>
      <w:r>
        <w:rPr>
          <w:rFonts w:hint="eastAsia" w:asciiTheme="minorEastAsia" w:hAnsiTheme="minorEastAsia" w:eastAsiaTheme="minorEastAsia" w:cstheme="minorEastAsia"/>
          <w:color w:val="000000" w:themeColor="text1"/>
          <w:sz w:val="24"/>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4"/>
          <w14:textFill>
            <w14:solidFill>
              <w14:schemeClr w14:val="tx1"/>
            </w14:solidFill>
          </w14:textFill>
        </w:rPr>
        <w:t>项。</w:t>
      </w:r>
    </w:p>
    <w:p>
      <w:pPr>
        <w:adjustRightInd w:val="0"/>
        <w:snapToGrid w:val="0"/>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2.3“招标货物”指招标文件第三部分所述所有货物；“服务”指招标文件第三部分所述投标人应该履行的承诺和义务。</w:t>
      </w:r>
    </w:p>
    <w:p>
      <w:pPr>
        <w:adjustRightInd w:val="0"/>
        <w:snapToGrid w:val="0"/>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2.4“潜在投标人”指符合招标文件各项规定的投标人。</w:t>
      </w:r>
    </w:p>
    <w:p>
      <w:pPr>
        <w:adjustRightInd w:val="0"/>
        <w:snapToGrid w:val="0"/>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2.5“投标人”指符合招标文件规定并参加投标的投标人。</w:t>
      </w:r>
    </w:p>
    <w:p>
      <w:pPr>
        <w:adjustRightInd w:val="0"/>
        <w:snapToGrid w:val="0"/>
        <w:spacing w:line="360" w:lineRule="auto"/>
        <w:rPr>
          <w:rFonts w:asciiTheme="minorEastAsia" w:hAnsiTheme="minorEastAsia" w:eastAsiaTheme="minorEastAsia" w:cstheme="minorEastAsia"/>
          <w:b/>
          <w:color w:val="000000" w:themeColor="text1"/>
          <w:sz w:val="24"/>
          <w14:textFill>
            <w14:solidFill>
              <w14:schemeClr w14:val="tx1"/>
            </w14:solidFill>
          </w14:textFill>
        </w:rPr>
      </w:pPr>
      <w:r>
        <w:rPr>
          <w:rFonts w:hint="eastAsia" w:asciiTheme="minorEastAsia" w:hAnsiTheme="minorEastAsia" w:eastAsiaTheme="minorEastAsia" w:cstheme="minorEastAsia"/>
          <w:b/>
          <w:color w:val="000000" w:themeColor="text1"/>
          <w:sz w:val="24"/>
          <w14:textFill>
            <w14:solidFill>
              <w14:schemeClr w14:val="tx1"/>
            </w14:solidFill>
          </w14:textFill>
        </w:rPr>
        <w:t>3.合格投标人的条件</w:t>
      </w:r>
    </w:p>
    <w:p>
      <w:pPr>
        <w:adjustRightInd w:val="0"/>
        <w:snapToGrid w:val="0"/>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3.1具有本项目生产、制造、供应或实施能力，符合、承认并承诺履行本文件各项规定的国内法人、其他组织或自然人均可参加投标。</w:t>
      </w:r>
    </w:p>
    <w:p>
      <w:pPr>
        <w:adjustRightInd w:val="0"/>
        <w:snapToGrid w:val="0"/>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3.2遵守有关的国家法律、法规和条例，具备《中华人民共和国政府采购法》和本文件中规定的条件：</w:t>
      </w:r>
    </w:p>
    <w:p>
      <w:pPr>
        <w:adjustRightInd w:val="0"/>
        <w:snapToGrid w:val="0"/>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 xml:space="preserve">1)具有独立承担民事责任的能力； </w:t>
      </w:r>
    </w:p>
    <w:p>
      <w:pPr>
        <w:adjustRightInd w:val="0"/>
        <w:snapToGrid w:val="0"/>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2)具有良好的商业信誉和健全的财务会计制度；</w:t>
      </w:r>
    </w:p>
    <w:p>
      <w:pPr>
        <w:adjustRightInd w:val="0"/>
        <w:snapToGrid w:val="0"/>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3)具有履行合同所必需的设备和专业技术能力；</w:t>
      </w:r>
    </w:p>
    <w:p>
      <w:pPr>
        <w:adjustRightInd w:val="0"/>
        <w:snapToGrid w:val="0"/>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4)具有依法缴纳税收和社会保障资金的良好记录；</w:t>
      </w:r>
    </w:p>
    <w:p>
      <w:pPr>
        <w:adjustRightInd w:val="0"/>
        <w:snapToGrid w:val="0"/>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5)参加政府采购活动前三年内，在经营活动中没有重大违法记录；</w:t>
      </w:r>
    </w:p>
    <w:p>
      <w:pPr>
        <w:adjustRightInd w:val="0"/>
        <w:snapToGrid w:val="0"/>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6)法律、行政法规规定的其他条件；</w:t>
      </w:r>
    </w:p>
    <w:p>
      <w:pPr>
        <w:adjustRightInd w:val="0"/>
        <w:snapToGrid w:val="0"/>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7)具有本招标文件第二部分“投标人须知前附表”中第5项规定的资格条件。</w:t>
      </w:r>
    </w:p>
    <w:p>
      <w:pPr>
        <w:adjustRightInd w:val="0"/>
        <w:snapToGrid w:val="0"/>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3.3投标人之间如果存在下列情形之一的，不得同时参加同一包（标段）或者不分包（标段）的同一项目投标：</w:t>
      </w:r>
    </w:p>
    <w:p>
      <w:pPr>
        <w:adjustRightInd w:val="0"/>
        <w:snapToGrid w:val="0"/>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3.3.1法定代表人为同一个人的两个及两个以上法人；</w:t>
      </w:r>
    </w:p>
    <w:p>
      <w:pPr>
        <w:adjustRightInd w:val="0"/>
        <w:snapToGrid w:val="0"/>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3.3.2母公司、全资子公司及其控股公司；</w:t>
      </w:r>
    </w:p>
    <w:p>
      <w:pPr>
        <w:adjustRightInd w:val="0"/>
        <w:snapToGrid w:val="0"/>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3.3.3参加投标的其他组织之间存在特殊的利害关系的；</w:t>
      </w:r>
    </w:p>
    <w:p>
      <w:pPr>
        <w:adjustRightInd w:val="0"/>
        <w:snapToGrid w:val="0"/>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3.3.4法律和行政法规规定的其他情形。</w:t>
      </w:r>
    </w:p>
    <w:p>
      <w:pPr>
        <w:adjustRightInd w:val="0"/>
        <w:snapToGrid w:val="0"/>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3.4投标人须持有《法定代表人授权委托书》。</w:t>
      </w:r>
    </w:p>
    <w:p>
      <w:pPr>
        <w:adjustRightInd w:val="0"/>
        <w:snapToGrid w:val="0"/>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3.5投标人按时足额交纳投标保证金。</w:t>
      </w:r>
    </w:p>
    <w:p>
      <w:pPr>
        <w:adjustRightInd w:val="0"/>
        <w:snapToGrid w:val="0"/>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3.6本次招标是否允许由两个以上投标人组成一个联合体以一个投标人身份共同投标，按照招标文件第二部分“投标人须知前附表”中</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第6项的</w:t>
      </w:r>
      <w:r>
        <w:rPr>
          <w:rFonts w:hint="eastAsia" w:asciiTheme="minorEastAsia" w:hAnsiTheme="minorEastAsia" w:eastAsiaTheme="minorEastAsia" w:cstheme="minorEastAsia"/>
          <w:color w:val="000000" w:themeColor="text1"/>
          <w:sz w:val="24"/>
          <w14:textFill>
            <w14:solidFill>
              <w14:schemeClr w14:val="tx1"/>
            </w14:solidFill>
          </w14:textFill>
        </w:rPr>
        <w:t>规定。如果允许，除均应符合上述规定外，还应符合下列要求：</w:t>
      </w:r>
    </w:p>
    <w:p>
      <w:pPr>
        <w:adjustRightInd w:val="0"/>
        <w:snapToGrid w:val="0"/>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1）联合投标体应提供“联合投标协议书”，该协议书对联合投标各方均具有法律约束力。联合投标体必须确定其中一方为投标的全权代表参加投标活动，并承担投标及履约活动中的全部责任与义务，且联合体各方无论是否实际参加、发生的情形怎样，一旦该联合体实际开始投标，联合体各方均应当就本次采购所引起或相关的任何或所有事项、义务、责任、损失等承担连带责任。申请参与本项目联合投标成员各自均应具备政府有权机构核发的有效营业执照；均应是自主经营、独立核算、处于持续正常经营状态的经济实体。</w:t>
      </w:r>
    </w:p>
    <w:p>
      <w:pPr>
        <w:adjustRightInd w:val="0"/>
        <w:snapToGrid w:val="0"/>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2）联合体各方中至少应当有一方对应满足本项目规定的相应资质条件，并且联合体投标人整体应当符合本项目的资质要求，否则，其提交的联合投标将被拒绝。</w:t>
      </w:r>
    </w:p>
    <w:p>
      <w:pPr>
        <w:adjustRightInd w:val="0"/>
        <w:snapToGrid w:val="0"/>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3）由不同专业的投标人组成的联合体, 首先以投标的全权代表方的应答材料作为认定资质以及商务评审的依据；涉及行业专属的资质,按照所属行业所对应的投标人的应答材料确定。</w:t>
      </w:r>
    </w:p>
    <w:p>
      <w:pPr>
        <w:adjustRightInd w:val="0"/>
        <w:snapToGrid w:val="0"/>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4）联合体中标后，合同应由各成员的合法授权代表签字并加盖各成员公章，以便对联合体成员作为整体和他们各自作为独立体均具有法律约束力，但若该等签字或公章不齐全或缺乏，该联合体的牵头人的签署或类似的意思表示人具有代表该联合体的签署或意思表示的法律效力，并且据此各成员为履行合同应向采购代理机构与采购人承担连带责任。</w:t>
      </w:r>
    </w:p>
    <w:p>
      <w:pPr>
        <w:adjustRightInd w:val="0"/>
        <w:snapToGrid w:val="0"/>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5）联合体或其成员不得将其在合同项下的权利或义务全部或部分转让给第三人，有关分包事项或服务委托等须事先取得采购代理机构书面同意并且须遵守相关法律、法规、本次招标的全部相关规定。</w:t>
      </w:r>
    </w:p>
    <w:p>
      <w:pPr>
        <w:adjustRightInd w:val="0"/>
        <w:snapToGrid w:val="0"/>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6）联合体各方均不得同时再以自己独立的名义单独投标，也不得再同时参加其他的联合体投标。若该等情形被发现，其单独的投标和与此有关的联合体的投标均将被一并拒绝。</w:t>
      </w:r>
    </w:p>
    <w:p>
      <w:pPr>
        <w:pStyle w:val="22"/>
        <w:tabs>
          <w:tab w:val="left" w:pos="1146"/>
        </w:tabs>
        <w:adjustRightInd w:val="0"/>
        <w:snapToGrid w:val="0"/>
        <w:spacing w:line="360" w:lineRule="auto"/>
        <w:ind w:left="0" w:leftChars="0"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3.7投标人不得与采购人、采购代理机构等有利害关系。</w:t>
      </w:r>
    </w:p>
    <w:p>
      <w:pPr>
        <w:adjustRightInd w:val="0"/>
        <w:snapToGrid w:val="0"/>
        <w:spacing w:line="360" w:lineRule="auto"/>
        <w:rPr>
          <w:rFonts w:asciiTheme="minorEastAsia" w:hAnsiTheme="minorEastAsia" w:eastAsiaTheme="minorEastAsia" w:cstheme="minorEastAsia"/>
          <w:b/>
          <w:color w:val="000000" w:themeColor="text1"/>
          <w:sz w:val="24"/>
          <w14:textFill>
            <w14:solidFill>
              <w14:schemeClr w14:val="tx1"/>
            </w14:solidFill>
          </w14:textFill>
        </w:rPr>
      </w:pPr>
      <w:r>
        <w:rPr>
          <w:rFonts w:hint="eastAsia" w:asciiTheme="minorEastAsia" w:hAnsiTheme="minorEastAsia" w:eastAsiaTheme="minorEastAsia" w:cstheme="minorEastAsia"/>
          <w:b/>
          <w:color w:val="000000" w:themeColor="text1"/>
          <w:sz w:val="24"/>
          <w14:textFill>
            <w14:solidFill>
              <w14:schemeClr w14:val="tx1"/>
            </w14:solidFill>
          </w14:textFill>
        </w:rPr>
        <w:t>4.投标费用</w:t>
      </w:r>
    </w:p>
    <w:p>
      <w:pPr>
        <w:adjustRightInd w:val="0"/>
        <w:snapToGrid w:val="0"/>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4.1投标人应承担所有与准备和参加投标有关的费用。</w:t>
      </w:r>
    </w:p>
    <w:p>
      <w:pPr>
        <w:adjustRightInd w:val="0"/>
        <w:snapToGrid w:val="0"/>
        <w:spacing w:line="360" w:lineRule="auto"/>
        <w:rPr>
          <w:rFonts w:asciiTheme="minorEastAsia" w:hAnsiTheme="minorEastAsia" w:eastAsiaTheme="minorEastAsia" w:cstheme="minorEastAsia"/>
          <w:b/>
          <w:color w:val="000000" w:themeColor="text1"/>
          <w:sz w:val="24"/>
          <w14:textFill>
            <w14:solidFill>
              <w14:schemeClr w14:val="tx1"/>
            </w14:solidFill>
          </w14:textFill>
        </w:rPr>
      </w:pPr>
      <w:r>
        <w:rPr>
          <w:rFonts w:hint="eastAsia" w:asciiTheme="minorEastAsia" w:hAnsiTheme="minorEastAsia" w:eastAsiaTheme="minorEastAsia" w:cstheme="minorEastAsia"/>
          <w:b/>
          <w:color w:val="000000" w:themeColor="text1"/>
          <w:sz w:val="24"/>
          <w14:textFill>
            <w14:solidFill>
              <w14:schemeClr w14:val="tx1"/>
            </w14:solidFill>
          </w14:textFill>
        </w:rPr>
        <w:t>5.纪律</w:t>
      </w:r>
    </w:p>
    <w:p>
      <w:pPr>
        <w:adjustRightInd w:val="0"/>
        <w:snapToGrid w:val="0"/>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5.1投标人的投标行为应遵守中国的有关法律、法规和规章。</w:t>
      </w:r>
    </w:p>
    <w:p>
      <w:pPr>
        <w:adjustRightInd w:val="0"/>
        <w:snapToGrid w:val="0"/>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5.2投标人不得相互串通投标报价，不得妨碍其他投标人的公平竞争，不得损害采购人或其他投标人的合法权益，投标人不得以向采购人、评标委员会成员行贿或者采取其他不正当手段谋取中标。</w:t>
      </w:r>
    </w:p>
    <w:p>
      <w:pPr>
        <w:adjustRightInd w:val="0"/>
        <w:snapToGrid w:val="0"/>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5.2.1有下列情形之一的，属于投标人相互串通投标：</w:t>
      </w:r>
    </w:p>
    <w:p>
      <w:pPr>
        <w:adjustRightInd w:val="0"/>
        <w:snapToGrid w:val="0"/>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5.2.1.1投标人之间协商投标报价等投标文件的实质性内容；</w:t>
      </w:r>
    </w:p>
    <w:p>
      <w:pPr>
        <w:adjustRightInd w:val="0"/>
        <w:snapToGrid w:val="0"/>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5.2.1.2投标人之间约定中标人；</w:t>
      </w:r>
    </w:p>
    <w:p>
      <w:pPr>
        <w:adjustRightInd w:val="0"/>
        <w:snapToGrid w:val="0"/>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5.2.1.3投标人之间约定部分投标人放弃投标或者中标；</w:t>
      </w:r>
    </w:p>
    <w:p>
      <w:pPr>
        <w:adjustRightInd w:val="0"/>
        <w:snapToGrid w:val="0"/>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5.2.1.4属于同一集团、协会、商会等组织成员的投标人按照该组织要求协同投标；</w:t>
      </w:r>
    </w:p>
    <w:p>
      <w:pPr>
        <w:adjustRightInd w:val="0"/>
        <w:snapToGrid w:val="0"/>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5.2.1.5投标人之间为谋取中标或者排斥特定投标人而采取的其他联合行动。</w:t>
      </w:r>
    </w:p>
    <w:p>
      <w:pPr>
        <w:adjustRightInd w:val="0"/>
        <w:snapToGrid w:val="0"/>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5.2.2有下列情形之一的，视为投标人相互串通投标：</w:t>
      </w:r>
    </w:p>
    <w:p>
      <w:pPr>
        <w:adjustRightInd w:val="0"/>
        <w:snapToGrid w:val="0"/>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5.2.2.1不同投标人的投标文件由同一单位或者个人编制；</w:t>
      </w:r>
    </w:p>
    <w:p>
      <w:pPr>
        <w:adjustRightInd w:val="0"/>
        <w:snapToGrid w:val="0"/>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5.2.2.2不同投标人委托同一单位或者个人办理投标事宜，或制作电子投标文件的文件制作机器码（mac地址）一致，或制作电子投标文件的文件创建标识码一致；</w:t>
      </w:r>
    </w:p>
    <w:p>
      <w:pPr>
        <w:adjustRightInd w:val="0"/>
        <w:snapToGrid w:val="0"/>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5.2.2.3不同投标人的投标文件载明的项目管理成员为同一人；</w:t>
      </w:r>
    </w:p>
    <w:p>
      <w:pPr>
        <w:adjustRightInd w:val="0"/>
        <w:snapToGrid w:val="0"/>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5.2.2.4不同投标人的投标文件异常一致或者投标报价呈规律性差异；</w:t>
      </w:r>
    </w:p>
    <w:p>
      <w:pPr>
        <w:adjustRightInd w:val="0"/>
        <w:snapToGrid w:val="0"/>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5.2.2.5不同投标人的投标文件相互混装；</w:t>
      </w:r>
    </w:p>
    <w:p>
      <w:pPr>
        <w:adjustRightInd w:val="0"/>
        <w:snapToGrid w:val="0"/>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5.2.2.6不同投标人的投标保证金从同一单位或者个人的账户转出。</w:t>
      </w:r>
    </w:p>
    <w:p>
      <w:pPr>
        <w:adjustRightInd w:val="0"/>
        <w:snapToGrid w:val="0"/>
        <w:spacing w:line="360" w:lineRule="auto"/>
        <w:rPr>
          <w:rFonts w:asciiTheme="minorEastAsia" w:hAnsiTheme="minorEastAsia" w:eastAsiaTheme="minorEastAsia" w:cstheme="minorEastAsia"/>
          <w:b/>
          <w:color w:val="000000" w:themeColor="text1"/>
          <w:sz w:val="24"/>
          <w14:textFill>
            <w14:solidFill>
              <w14:schemeClr w14:val="tx1"/>
            </w14:solidFill>
          </w14:textFill>
        </w:rPr>
      </w:pPr>
      <w:r>
        <w:rPr>
          <w:rFonts w:hint="eastAsia" w:asciiTheme="minorEastAsia" w:hAnsiTheme="minorEastAsia" w:eastAsiaTheme="minorEastAsia" w:cstheme="minorEastAsia"/>
          <w:b/>
          <w:color w:val="000000" w:themeColor="text1"/>
          <w:sz w:val="24"/>
          <w14:textFill>
            <w14:solidFill>
              <w14:schemeClr w14:val="tx1"/>
            </w14:solidFill>
          </w14:textFill>
        </w:rPr>
        <w:t>6.通知</w:t>
      </w:r>
    </w:p>
    <w:p>
      <w:pPr>
        <w:adjustRightInd w:val="0"/>
        <w:snapToGrid w:val="0"/>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6.1对与本项目有关的通知，采购代理机构将以书面（包括书面材料、信函、传真等，下同）或在本次招标公告刊登的媒体上发布公告并发送变更通知及/或答疑文件的形式，向潜在投标人发出，传真和电话号码以潜在投标人的登记为准。收到通知的投标人须立即予以回复确认，但投标人未回复或采购代理机构未收到回复时，并不应当被理解为采购代理机构知道或应当知道投标人是否收到通知。因登记有误、传真线路故障或其它任何意外情形，导致所发出的通知延迟送达或无法到达投标人，采购代理机构不因此承担任何责任，有关的招标活动可以继续有效地进行。</w:t>
      </w:r>
    </w:p>
    <w:p>
      <w:pPr>
        <w:pStyle w:val="5"/>
        <w:numPr>
          <w:ilvl w:val="0"/>
          <w:numId w:val="0"/>
        </w:numPr>
        <w:snapToGrid w:val="0"/>
        <w:spacing w:before="0" w:after="0" w:line="360" w:lineRule="auto"/>
        <w:rPr>
          <w:rFonts w:asciiTheme="minorEastAsia" w:hAnsiTheme="minorEastAsia" w:eastAsiaTheme="minorEastAsia" w:cstheme="minorEastAsia"/>
          <w:color w:val="000000" w:themeColor="text1"/>
          <w:sz w:val="24"/>
          <w:szCs w:val="24"/>
          <w14:textFill>
            <w14:solidFill>
              <w14:schemeClr w14:val="tx1"/>
            </w14:solidFill>
          </w14:textFill>
        </w:rPr>
      </w:pPr>
      <w:bookmarkStart w:id="46" w:name="_Toc11714"/>
      <w:r>
        <w:rPr>
          <w:rFonts w:hint="eastAsia" w:asciiTheme="minorEastAsia" w:hAnsiTheme="minorEastAsia" w:eastAsiaTheme="minorEastAsia" w:cstheme="minorEastAsia"/>
          <w:color w:val="000000" w:themeColor="text1"/>
          <w:sz w:val="24"/>
          <w:szCs w:val="24"/>
          <w14:textFill>
            <w14:solidFill>
              <w14:schemeClr w14:val="tx1"/>
            </w14:solidFill>
          </w14:textFill>
        </w:rPr>
        <w:t>二、招标文件</w:t>
      </w:r>
      <w:bookmarkEnd w:id="46"/>
    </w:p>
    <w:p>
      <w:pPr>
        <w:adjustRightInd w:val="0"/>
        <w:snapToGrid w:val="0"/>
        <w:spacing w:line="360" w:lineRule="auto"/>
        <w:rPr>
          <w:rFonts w:asciiTheme="minorEastAsia" w:hAnsiTheme="minorEastAsia" w:eastAsiaTheme="minorEastAsia" w:cstheme="minorEastAsia"/>
          <w:b/>
          <w:color w:val="000000" w:themeColor="text1"/>
          <w:sz w:val="24"/>
          <w14:textFill>
            <w14:solidFill>
              <w14:schemeClr w14:val="tx1"/>
            </w14:solidFill>
          </w14:textFill>
        </w:rPr>
      </w:pPr>
      <w:r>
        <w:rPr>
          <w:rFonts w:hint="eastAsia" w:asciiTheme="minorEastAsia" w:hAnsiTheme="minorEastAsia" w:eastAsiaTheme="minorEastAsia" w:cstheme="minorEastAsia"/>
          <w:b/>
          <w:color w:val="000000" w:themeColor="text1"/>
          <w:sz w:val="24"/>
          <w14:textFill>
            <w14:solidFill>
              <w14:schemeClr w14:val="tx1"/>
            </w14:solidFill>
          </w14:textFill>
        </w:rPr>
        <w:t>7.招标文件组成</w:t>
      </w:r>
    </w:p>
    <w:p>
      <w:pPr>
        <w:adjustRightInd w:val="0"/>
        <w:snapToGrid w:val="0"/>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7.1招标文件由招标文件目录所列内容组成。</w:t>
      </w:r>
    </w:p>
    <w:p>
      <w:pPr>
        <w:adjustRightInd w:val="0"/>
        <w:snapToGrid w:val="0"/>
        <w:spacing w:line="360" w:lineRule="auto"/>
        <w:rPr>
          <w:rFonts w:asciiTheme="minorEastAsia" w:hAnsiTheme="minorEastAsia" w:eastAsiaTheme="minorEastAsia" w:cstheme="minorEastAsia"/>
          <w:b/>
          <w:color w:val="000000" w:themeColor="text1"/>
          <w:sz w:val="24"/>
          <w14:textFill>
            <w14:solidFill>
              <w14:schemeClr w14:val="tx1"/>
            </w14:solidFill>
          </w14:textFill>
        </w:rPr>
      </w:pPr>
      <w:r>
        <w:rPr>
          <w:rFonts w:hint="eastAsia" w:asciiTheme="minorEastAsia" w:hAnsiTheme="minorEastAsia" w:eastAsiaTheme="minorEastAsia" w:cstheme="minorEastAsia"/>
          <w:b/>
          <w:color w:val="000000" w:themeColor="text1"/>
          <w:sz w:val="24"/>
          <w14:textFill>
            <w14:solidFill>
              <w14:schemeClr w14:val="tx1"/>
            </w14:solidFill>
          </w14:textFill>
        </w:rPr>
        <w:t>8.踏勘现场</w:t>
      </w:r>
    </w:p>
    <w:p>
      <w:pPr>
        <w:adjustRightInd w:val="0"/>
        <w:snapToGrid w:val="0"/>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8.1本项目是否统一组织投标人踏勘现场见招标文件第二部分“投标人须知前附表”</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中第9项的规定</w:t>
      </w:r>
      <w:r>
        <w:rPr>
          <w:rFonts w:hint="eastAsia" w:asciiTheme="minorEastAsia" w:hAnsiTheme="minorEastAsia" w:eastAsiaTheme="minorEastAsia" w:cstheme="minorEastAsia"/>
          <w:color w:val="000000" w:themeColor="text1"/>
          <w:sz w:val="24"/>
          <w14:textFill>
            <w14:solidFill>
              <w14:schemeClr w14:val="tx1"/>
            </w14:solidFill>
          </w14:textFill>
        </w:rPr>
        <w:t>。无论是否统一组织，投标人应对供货现场和周围环境进行勘察，以获取编制投标文件所需的资料。</w:t>
      </w:r>
    </w:p>
    <w:p>
      <w:pPr>
        <w:adjustRightInd w:val="0"/>
        <w:snapToGrid w:val="0"/>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8.2踏勘现场所发生的费用由投标人自行承担。采购人向投标人提供的有关供货现场的资料和数据，是采购人现有的能使投标人利用的资料。采购人对投标人由此而做出的推论、理解和结论概不负责。投标人未到供货现场实地踏勘的，中标后签订合同时和履约过程中，不得以不完全了解现场情况为由，提出任何形式的增加合同价款或索赔的要求。</w:t>
      </w:r>
    </w:p>
    <w:p>
      <w:pPr>
        <w:adjustRightInd w:val="0"/>
        <w:snapToGrid w:val="0"/>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8.3除非有特殊要求，招标文件不单独提供供货使用地的自然环境、气候条件、公用设施等情况，投标人被视为熟悉上述与履行合同有关的一切情况。</w:t>
      </w:r>
    </w:p>
    <w:p>
      <w:pPr>
        <w:adjustRightInd w:val="0"/>
        <w:snapToGrid w:val="0"/>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8.4除采购人原因外，投标人自行负责在踏勘现场中所发生的人员伤亡和财产损失。</w:t>
      </w:r>
    </w:p>
    <w:p>
      <w:pPr>
        <w:adjustRightInd w:val="0"/>
        <w:snapToGrid w:val="0"/>
        <w:spacing w:line="360" w:lineRule="auto"/>
        <w:rPr>
          <w:rFonts w:asciiTheme="minorEastAsia" w:hAnsiTheme="minorEastAsia" w:eastAsiaTheme="minorEastAsia" w:cstheme="minorEastAsia"/>
          <w:bCs/>
          <w:color w:val="000000" w:themeColor="text1"/>
          <w:sz w:val="24"/>
          <w14:textFill>
            <w14:solidFill>
              <w14:schemeClr w14:val="tx1"/>
            </w14:solidFill>
          </w14:textFill>
        </w:rPr>
      </w:pPr>
      <w:r>
        <w:rPr>
          <w:rFonts w:hint="eastAsia" w:asciiTheme="minorEastAsia" w:hAnsiTheme="minorEastAsia" w:eastAsiaTheme="minorEastAsia" w:cstheme="minorEastAsia"/>
          <w:b/>
          <w:color w:val="000000" w:themeColor="text1"/>
          <w:sz w:val="24"/>
          <w14:textFill>
            <w14:solidFill>
              <w14:schemeClr w14:val="tx1"/>
            </w14:solidFill>
          </w14:textFill>
        </w:rPr>
        <w:t>9.知识产权</w:t>
      </w:r>
    </w:p>
    <w:p>
      <w:pPr>
        <w:adjustRightInd w:val="0"/>
        <w:snapToGrid w:val="0"/>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9.1投标人须保证，采购人在中华人民共和国境内使用投标货物、资料、技术、服务或其任何一部分时，享有不受限制的无偿使用权，不会产生因第三方提出侵犯其专利权、商标权或其它知识产权而引起的法律或经济纠纷。如投标人不拥有相应的知识产权，则在投标报价中必须包括合法获取该知识产权的一切相关费用。如因此导致采购人损失的，投标人须承担全部赔偿责任。</w:t>
      </w:r>
    </w:p>
    <w:p>
      <w:pPr>
        <w:adjustRightInd w:val="0"/>
        <w:snapToGrid w:val="0"/>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9.2投标人如欲在项目实施过程中采用自有知识成果，须在投标文件中声明，并提供相关知识产权证明文件。使用该知识成果后，投标人须提供开发接口和开发手册等技术文档。</w:t>
      </w:r>
    </w:p>
    <w:p>
      <w:pPr>
        <w:adjustRightInd w:val="0"/>
        <w:snapToGrid w:val="0"/>
        <w:spacing w:line="360" w:lineRule="auto"/>
        <w:rPr>
          <w:rFonts w:asciiTheme="minorEastAsia" w:hAnsiTheme="minorEastAsia" w:eastAsiaTheme="minorEastAsia" w:cstheme="minorEastAsia"/>
          <w:b/>
          <w:color w:val="000000" w:themeColor="text1"/>
          <w:sz w:val="24"/>
          <w14:textFill>
            <w14:solidFill>
              <w14:schemeClr w14:val="tx1"/>
            </w14:solidFill>
          </w14:textFill>
        </w:rPr>
      </w:pPr>
      <w:r>
        <w:rPr>
          <w:rFonts w:hint="eastAsia" w:asciiTheme="minorEastAsia" w:hAnsiTheme="minorEastAsia" w:eastAsiaTheme="minorEastAsia" w:cstheme="minorEastAsia"/>
          <w:b/>
          <w:color w:val="000000" w:themeColor="text1"/>
          <w:sz w:val="24"/>
          <w14:textFill>
            <w14:solidFill>
              <w14:schemeClr w14:val="tx1"/>
            </w14:solidFill>
          </w14:textFill>
        </w:rPr>
        <w:t>10.答疑及招标文件的澄清和修改</w:t>
      </w:r>
    </w:p>
    <w:p>
      <w:pPr>
        <w:adjustRightInd w:val="0"/>
        <w:snapToGrid w:val="0"/>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10.1投标人如果对招标文件有疑问或要求进行澄清的，应按照招标文件第二部分“投标人须知前附表”</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第10项规定向采</w:t>
      </w:r>
      <w:r>
        <w:rPr>
          <w:rFonts w:hint="eastAsia" w:asciiTheme="minorEastAsia" w:hAnsiTheme="minorEastAsia" w:eastAsiaTheme="minorEastAsia" w:cstheme="minorEastAsia"/>
          <w:color w:val="000000" w:themeColor="text1"/>
          <w:sz w:val="24"/>
          <w14:textFill>
            <w14:solidFill>
              <w14:schemeClr w14:val="tx1"/>
            </w14:solidFill>
          </w14:textFill>
        </w:rPr>
        <w:t>购代理机构提出。必要时，采购代理机构将组织相关专家召开答疑会，如召开，答疑会安排另行通知。</w:t>
      </w:r>
    </w:p>
    <w:p>
      <w:pPr>
        <w:adjustRightInd w:val="0"/>
        <w:snapToGrid w:val="0"/>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投标人在规定的时间内未对招标文件提出疑问或要求澄清的，采购代理机构将视其为同意，对在“答疑接受时间”后就招标文件内容提出的疑问及澄清要求将不予受理。</w:t>
      </w:r>
    </w:p>
    <w:p>
      <w:pPr>
        <w:adjustRightInd w:val="0"/>
        <w:snapToGrid w:val="0"/>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10.2无论出于何种原因，采购代理机构主动或出于解答投标人疑问对已发出的招标文件进行必要澄清或修改的，应当在招标文件要求提交投标文件截止时间15日前，以当面交接、邮寄、传真或电子邮件、网站披露等其中至少一种方式，向潜在投标人发出澄清、修改的补充文件。需要为此调整投标文件提交截止时间的，应当重新确定，并就变更后的投标截止时间重新发出通知。</w:t>
      </w:r>
    </w:p>
    <w:p>
      <w:pPr>
        <w:adjustRightInd w:val="0"/>
        <w:snapToGrid w:val="0"/>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特殊情况下，采购代理机构发布澄清、修改文件后，征得投标人同意，可不改变投标截止时间和开标时间。</w:t>
      </w:r>
    </w:p>
    <w:p>
      <w:pPr>
        <w:adjustRightInd w:val="0"/>
        <w:snapToGrid w:val="0"/>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10.3采购代理机构一旦对招标文件作出了澄清、修改，即刻发生效力，采购代理机构有关的补充文件，将作为招标文件的组成部分，对所有现实的或潜在的投标人均具有约束力，而无论是否已经实际收到上述文件。同时，采购代理机构和投标人的权利及义务将受到新的截止期的约束。</w:t>
      </w:r>
    </w:p>
    <w:p>
      <w:pPr>
        <w:adjustRightInd w:val="0"/>
        <w:snapToGrid w:val="0"/>
        <w:spacing w:line="360" w:lineRule="auto"/>
        <w:ind w:firstLine="480" w:firstLineChars="200"/>
        <w:rPr>
          <w:rFonts w:asciiTheme="minorEastAsia" w:hAnsiTheme="minorEastAsia" w:eastAsiaTheme="minorEastAsia" w:cstheme="minorEastAsia"/>
          <w:b/>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10.4采购代理机构对招标文件作出的澄清、修改公布至各投标人。因登记有误、线路故障或其它任何意外情形，导致投标人未及时获取的，采购代理机构不因此承担任何责任，且有关的招标活动继续有效地进行。当招标文件的澄清、修改及进行其他答复等就同一内容的表述不一致时，以最后发布的内容为准。</w:t>
      </w:r>
    </w:p>
    <w:p>
      <w:pPr>
        <w:adjustRightInd w:val="0"/>
        <w:snapToGrid w:val="0"/>
        <w:spacing w:line="360" w:lineRule="auto"/>
        <w:ind w:firstLine="480" w:firstLineChars="200"/>
        <w:rPr>
          <w:rFonts w:asciiTheme="minorEastAsia" w:hAnsiTheme="minorEastAsia" w:eastAsiaTheme="minorEastAsia" w:cstheme="minorEastAsia"/>
          <w:bCs/>
          <w:color w:val="000000" w:themeColor="text1"/>
          <w:sz w:val="24"/>
          <w14:textFill>
            <w14:solidFill>
              <w14:schemeClr w14:val="tx1"/>
            </w14:solidFill>
          </w14:textFill>
        </w:rPr>
      </w:pPr>
      <w:r>
        <w:rPr>
          <w:rFonts w:hint="eastAsia" w:asciiTheme="minorEastAsia" w:hAnsiTheme="minorEastAsia" w:eastAsiaTheme="minorEastAsia" w:cstheme="minorEastAsia"/>
          <w:bCs/>
          <w:color w:val="000000" w:themeColor="text1"/>
          <w:sz w:val="24"/>
          <w14:textFill>
            <w14:solidFill>
              <w14:schemeClr w14:val="tx1"/>
            </w14:solidFill>
          </w14:textFill>
        </w:rPr>
        <w:t>10.5澄清、修改文件发出后，投标人必须使用最新的答疑、澄清文件制作投标文件。</w:t>
      </w:r>
    </w:p>
    <w:p>
      <w:pPr>
        <w:pStyle w:val="5"/>
        <w:numPr>
          <w:ilvl w:val="0"/>
          <w:numId w:val="0"/>
        </w:numPr>
        <w:snapToGrid w:val="0"/>
        <w:spacing w:before="0" w:after="0" w:line="360" w:lineRule="auto"/>
        <w:rPr>
          <w:rFonts w:asciiTheme="minorEastAsia" w:hAnsiTheme="minorEastAsia" w:eastAsiaTheme="minorEastAsia" w:cstheme="minorEastAsia"/>
          <w:color w:val="000000" w:themeColor="text1"/>
          <w:sz w:val="24"/>
          <w:szCs w:val="24"/>
          <w14:textFill>
            <w14:solidFill>
              <w14:schemeClr w14:val="tx1"/>
            </w14:solidFill>
          </w14:textFill>
        </w:rPr>
      </w:pPr>
      <w:bookmarkStart w:id="47" w:name="_Toc22619"/>
      <w:r>
        <w:rPr>
          <w:rFonts w:hint="eastAsia" w:asciiTheme="minorEastAsia" w:hAnsiTheme="minorEastAsia" w:eastAsiaTheme="minorEastAsia" w:cstheme="minorEastAsia"/>
          <w:color w:val="000000" w:themeColor="text1"/>
          <w:sz w:val="24"/>
          <w:szCs w:val="24"/>
          <w14:textFill>
            <w14:solidFill>
              <w14:schemeClr w14:val="tx1"/>
            </w14:solidFill>
          </w14:textFill>
        </w:rPr>
        <w:t>三、投标文件</w:t>
      </w:r>
      <w:bookmarkEnd w:id="47"/>
    </w:p>
    <w:p>
      <w:pPr>
        <w:adjustRightInd w:val="0"/>
        <w:snapToGrid w:val="0"/>
        <w:spacing w:line="360" w:lineRule="auto"/>
        <w:rPr>
          <w:rFonts w:asciiTheme="minorEastAsia" w:hAnsiTheme="minorEastAsia" w:eastAsiaTheme="minorEastAsia" w:cstheme="minorEastAsia"/>
          <w:b/>
          <w:color w:val="000000" w:themeColor="text1"/>
          <w:sz w:val="24"/>
          <w14:textFill>
            <w14:solidFill>
              <w14:schemeClr w14:val="tx1"/>
            </w14:solidFill>
          </w14:textFill>
        </w:rPr>
      </w:pPr>
      <w:r>
        <w:rPr>
          <w:rFonts w:hint="eastAsia" w:asciiTheme="minorEastAsia" w:hAnsiTheme="minorEastAsia" w:eastAsiaTheme="minorEastAsia" w:cstheme="minorEastAsia"/>
          <w:b/>
          <w:color w:val="000000" w:themeColor="text1"/>
          <w:sz w:val="24"/>
          <w14:textFill>
            <w14:solidFill>
              <w14:schemeClr w14:val="tx1"/>
            </w14:solidFill>
          </w14:textFill>
        </w:rPr>
        <w:t>11.投标文件的语言及计量单位</w:t>
      </w:r>
    </w:p>
    <w:p>
      <w:pPr>
        <w:adjustRightInd w:val="0"/>
        <w:snapToGrid w:val="0"/>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11.1投标人提交的投标文件（包括技术文件和资料、图纸中的说明）以及投标人与采购代理机构就有关投标的所有来往函电均应使用中文简体字。</w:t>
      </w:r>
    </w:p>
    <w:p>
      <w:pPr>
        <w:adjustRightInd w:val="0"/>
        <w:snapToGrid w:val="0"/>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11.2原版为外文的证书类文件，以及由外国人作出的本人签名、外国公司的名称或外国印章等可以是外文，但应当提供中文翻译文件并加盖投标人公章。必要时评标委员会可以要求投标人提供附有公证书的中文翻译文件或者与原版文件签章相一致的中文翻译文件。原版为外文的证书类、证明类文件，与投标人名称或其他实际情况不符的，投标人应当提供相关证明文件。</w:t>
      </w:r>
    </w:p>
    <w:p>
      <w:pPr>
        <w:adjustRightInd w:val="0"/>
        <w:snapToGrid w:val="0"/>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11.3除非招标文件另有规定，投标文件所使用的计量单位，应使用国家法定计量单位。</w:t>
      </w:r>
    </w:p>
    <w:p>
      <w:pPr>
        <w:adjustRightInd w:val="0"/>
        <w:snapToGrid w:val="0"/>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11.4对违反上述规定情形的，评标委员会有权要求投标人限期提供相应文件或决定对其投标予以拒绝。</w:t>
      </w:r>
    </w:p>
    <w:p>
      <w:pPr>
        <w:adjustRightInd w:val="0"/>
        <w:snapToGrid w:val="0"/>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11.5电报、电话、传真形式的投标概不接受。投标人的投标文件一律不予退还。</w:t>
      </w:r>
    </w:p>
    <w:p>
      <w:pPr>
        <w:adjustRightInd w:val="0"/>
        <w:snapToGrid w:val="0"/>
        <w:spacing w:line="360" w:lineRule="auto"/>
        <w:rPr>
          <w:rFonts w:asciiTheme="minorEastAsia" w:hAnsiTheme="minorEastAsia" w:eastAsiaTheme="minorEastAsia" w:cstheme="minorEastAsia"/>
          <w:b/>
          <w:color w:val="000000" w:themeColor="text1"/>
          <w:sz w:val="24"/>
          <w14:textFill>
            <w14:solidFill>
              <w14:schemeClr w14:val="tx1"/>
            </w14:solidFill>
          </w14:textFill>
        </w:rPr>
      </w:pPr>
      <w:r>
        <w:rPr>
          <w:rFonts w:hint="eastAsia" w:asciiTheme="minorEastAsia" w:hAnsiTheme="minorEastAsia" w:eastAsiaTheme="minorEastAsia" w:cstheme="minorEastAsia"/>
          <w:b/>
          <w:color w:val="000000" w:themeColor="text1"/>
          <w:sz w:val="24"/>
          <w14:textFill>
            <w14:solidFill>
              <w14:schemeClr w14:val="tx1"/>
            </w14:solidFill>
          </w14:textFill>
        </w:rPr>
        <w:t>12.投标文件组成及编制</w:t>
      </w:r>
    </w:p>
    <w:p>
      <w:pPr>
        <w:adjustRightInd w:val="0"/>
        <w:snapToGrid w:val="0"/>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12.1投标文件分为资格审查资料、商务文件、技术文件和服务文件。</w:t>
      </w:r>
    </w:p>
    <w:p>
      <w:pPr>
        <w:adjustRightInd w:val="0"/>
        <w:snapToGrid w:val="0"/>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商务文件指投标人提交的证明其有资格参加投标和中标后有能力履行合同的文件。技术和服务文件指投标人提交的能够证明其提供的货物及服务符合招标文件规定的文件。本次招标，投标人须按招标文件第六部分“投标文件格式”中规定提交资格审查资料、商务文件、技术文件和服务文件，其中加☆项目若有缺失或无效，将导致投标被拒绝且不允许在开标后补正。</w:t>
      </w:r>
    </w:p>
    <w:p>
      <w:pPr>
        <w:adjustRightInd w:val="0"/>
        <w:snapToGrid w:val="0"/>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12.2投标人递交的投标文件及相关要求按照招标文件第二部分“投标人须知前附表”中第14、15项的规定。</w:t>
      </w:r>
    </w:p>
    <w:p>
      <w:pPr>
        <w:adjustRightInd w:val="0"/>
        <w:snapToGrid w:val="0"/>
        <w:spacing w:line="360" w:lineRule="auto"/>
        <w:rPr>
          <w:rFonts w:asciiTheme="minorEastAsia" w:hAnsiTheme="minorEastAsia" w:eastAsiaTheme="minorEastAsia" w:cstheme="minorEastAsia"/>
          <w:b/>
          <w:color w:val="000000" w:themeColor="text1"/>
          <w:sz w:val="24"/>
          <w14:textFill>
            <w14:solidFill>
              <w14:schemeClr w14:val="tx1"/>
            </w14:solidFill>
          </w14:textFill>
        </w:rPr>
      </w:pPr>
      <w:r>
        <w:rPr>
          <w:rFonts w:hint="eastAsia" w:asciiTheme="minorEastAsia" w:hAnsiTheme="minorEastAsia" w:eastAsiaTheme="minorEastAsia" w:cstheme="minorEastAsia"/>
          <w:b/>
          <w:color w:val="000000" w:themeColor="text1"/>
          <w:sz w:val="24"/>
          <w14:textFill>
            <w14:solidFill>
              <w14:schemeClr w14:val="tx1"/>
            </w14:solidFill>
          </w14:textFill>
        </w:rPr>
        <w:t>13.投标报价</w:t>
      </w:r>
    </w:p>
    <w:p>
      <w:pPr>
        <w:adjustRightInd w:val="0"/>
        <w:snapToGrid w:val="0"/>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13.1所有投标报价均以人民币元为计算单位。只要投报了一个确定数额的总价，无论分项价格是否全部填报了相应的金额或免费字样，报价应被视为已经包含了但并不限于各项购买货物及其运送、安装、调试、验收、保险和相关服务等的费用和所需缴纳的所有价格、税、费。在其他情况下，由于分项报价填报不完整、不清楚或存在其他任何失误，所导致的任何不利后果均应当由投标人自行承担。</w:t>
      </w:r>
    </w:p>
    <w:p>
      <w:pPr>
        <w:adjustRightInd w:val="0"/>
        <w:snapToGrid w:val="0"/>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13.2投标人投报多包的，须对每包分别制作投标文件并报价</w:t>
      </w:r>
      <w:r>
        <w:rPr>
          <w:rFonts w:hint="eastAsia" w:asciiTheme="minorEastAsia" w:hAnsiTheme="minorEastAsia" w:eastAsiaTheme="minorEastAsia" w:cstheme="minorEastAsia"/>
          <w:b/>
          <w:color w:val="000000" w:themeColor="text1"/>
          <w:sz w:val="24"/>
          <w14:textFill>
            <w14:solidFill>
              <w14:schemeClr w14:val="tx1"/>
            </w14:solidFill>
          </w14:textFill>
        </w:rPr>
        <w:t>。</w:t>
      </w:r>
    </w:p>
    <w:p>
      <w:pPr>
        <w:adjustRightInd w:val="0"/>
        <w:snapToGrid w:val="0"/>
        <w:spacing w:line="360" w:lineRule="auto"/>
        <w:ind w:firstLine="480" w:firstLineChars="200"/>
        <w:rPr>
          <w:rFonts w:asciiTheme="minorEastAsia" w:hAnsiTheme="minorEastAsia" w:eastAsiaTheme="minorEastAsia" w:cstheme="minorEastAsia"/>
          <w:b/>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13.3除非招标文件另有规定，不接受可选择或可调整的投标方案和报价，任何有选择的或可调整的投标方案和报价将被视为非响应性投标而被拒绝。</w:t>
      </w:r>
    </w:p>
    <w:p>
      <w:pPr>
        <w:adjustRightInd w:val="0"/>
        <w:snapToGrid w:val="0"/>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13.4本项目是否接受进口产品按照招标文件第二部分“投标人须知前附表中”中第7项的规定。</w:t>
      </w:r>
    </w:p>
    <w:p>
      <w:pPr>
        <w:adjustRightInd w:val="0"/>
        <w:snapToGrid w:val="0"/>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13.5本项目是否允许投标人将项目的非主体、非关键性工作交由他人完成按照招标文件第二部分“投标人须知前附表”中第8项的规定。如允许，投标人根据采购项目的实际情况，拟在中标后将中标项目的非主体、非关键性工作交由他人完成，须在技术文件中载明。</w:t>
      </w:r>
    </w:p>
    <w:p>
      <w:pPr>
        <w:adjustRightInd w:val="0"/>
        <w:snapToGrid w:val="0"/>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13.6投标人须严格按照报价明细表规定的内容填写货物单价以及其他事项。</w:t>
      </w:r>
    </w:p>
    <w:p>
      <w:pPr>
        <w:adjustRightInd w:val="0"/>
        <w:snapToGrid w:val="0"/>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13.7投标人对投标报价若有说明应在投标文件中显著处注明。</w:t>
      </w:r>
    </w:p>
    <w:p>
      <w:pPr>
        <w:adjustRightInd w:val="0"/>
        <w:snapToGrid w:val="0"/>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除政策性文件规定以外，投标人所报价格在合同实施期间不因市场变化因素而变动。</w:t>
      </w:r>
    </w:p>
    <w:p>
      <w:pPr>
        <w:adjustRightInd w:val="0"/>
        <w:snapToGrid w:val="0"/>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13.8对于有配件、耗材、选件、备件和特殊工具的货物，还应填报投标货物配件、耗材、选件表和备件及特殊工具清单，注明品牌、型号、产地、功能、单价、批量折扣等内容，该表格格式由投标人自行设计。投标人按照上述要求分类报价，其目的是便于评标，但在任何情况下并不限制采购人以其他条款签订合同的权利。</w:t>
      </w:r>
    </w:p>
    <w:p>
      <w:pPr>
        <w:adjustRightInd w:val="0"/>
        <w:snapToGrid w:val="0"/>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13.9最低报价不能作为中标的保证。</w:t>
      </w:r>
    </w:p>
    <w:p>
      <w:pPr>
        <w:adjustRightInd w:val="0"/>
        <w:snapToGrid w:val="0"/>
        <w:spacing w:line="360" w:lineRule="auto"/>
        <w:rPr>
          <w:rFonts w:asciiTheme="minorEastAsia" w:hAnsiTheme="minorEastAsia" w:eastAsiaTheme="minorEastAsia" w:cstheme="minorEastAsia"/>
          <w:b/>
          <w:color w:val="000000" w:themeColor="text1"/>
          <w:sz w:val="24"/>
          <w14:textFill>
            <w14:solidFill>
              <w14:schemeClr w14:val="tx1"/>
            </w14:solidFill>
          </w14:textFill>
        </w:rPr>
      </w:pPr>
      <w:r>
        <w:rPr>
          <w:rFonts w:hint="eastAsia" w:asciiTheme="minorEastAsia" w:hAnsiTheme="minorEastAsia" w:eastAsiaTheme="minorEastAsia" w:cstheme="minorEastAsia"/>
          <w:b/>
          <w:color w:val="000000" w:themeColor="text1"/>
          <w:sz w:val="24"/>
          <w14:textFill>
            <w14:solidFill>
              <w14:schemeClr w14:val="tx1"/>
            </w14:solidFill>
          </w14:textFill>
        </w:rPr>
        <w:t>14.投标有效期</w:t>
      </w:r>
    </w:p>
    <w:p>
      <w:pPr>
        <w:adjustRightInd w:val="0"/>
        <w:snapToGrid w:val="0"/>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14.1本项目的投标有效期按照招标文件第二部分“投标人须知前附表中”中第11项的规定。投标有效期自开标之日起计算，短于规定期限的投标将按无效投标处理。</w:t>
      </w:r>
    </w:p>
    <w:p>
      <w:pPr>
        <w:adjustRightInd w:val="0"/>
        <w:snapToGrid w:val="0"/>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14.2在特殊情况下，采购代理机构可与投标人协商延长投标有效期。这种要求和答复都应以书面形式进行。此时，规定的投标保证金的有效期也相应延长。投标人可以拒绝接受延期要求而不会被没收保证金。同意延长有效期的投标人除按照采购代理机构要求修改投标有效期外，不能修改投标文件的其他内容。</w:t>
      </w:r>
    </w:p>
    <w:p>
      <w:pPr>
        <w:adjustRightInd w:val="0"/>
        <w:snapToGrid w:val="0"/>
        <w:spacing w:line="360" w:lineRule="auto"/>
        <w:rPr>
          <w:rFonts w:asciiTheme="minorEastAsia" w:hAnsiTheme="minorEastAsia" w:eastAsiaTheme="minorEastAsia" w:cstheme="minorEastAsia"/>
          <w:b/>
          <w:color w:val="000000" w:themeColor="text1"/>
          <w:sz w:val="24"/>
          <w14:textFill>
            <w14:solidFill>
              <w14:schemeClr w14:val="tx1"/>
            </w14:solidFill>
          </w14:textFill>
        </w:rPr>
      </w:pPr>
      <w:r>
        <w:rPr>
          <w:rFonts w:hint="eastAsia" w:asciiTheme="minorEastAsia" w:hAnsiTheme="minorEastAsia" w:eastAsiaTheme="minorEastAsia" w:cstheme="minorEastAsia"/>
          <w:b/>
          <w:color w:val="000000" w:themeColor="text1"/>
          <w:sz w:val="24"/>
          <w14:textFill>
            <w14:solidFill>
              <w14:schemeClr w14:val="tx1"/>
            </w14:solidFill>
          </w14:textFill>
        </w:rPr>
        <w:t>15.投标内容填写说明</w:t>
      </w:r>
    </w:p>
    <w:p>
      <w:pPr>
        <w:adjustRightInd w:val="0"/>
        <w:snapToGrid w:val="0"/>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15.1投标人应详细阅读招标文件的全部内容。投标文件须对招标文件中的内容作出实质性和完整的响应，如果投标文件填报的内容不详，或没有提供招标文件中所要求的全部资料及数据，将可能导致投标被拒绝。</w:t>
      </w:r>
    </w:p>
    <w:p>
      <w:pPr>
        <w:adjustRightInd w:val="0"/>
        <w:snapToGrid w:val="0"/>
        <w:spacing w:line="360" w:lineRule="auto"/>
        <w:ind w:firstLine="480" w:firstLineChars="200"/>
        <w:rPr>
          <w:rFonts w:asciiTheme="minorEastAsia" w:hAnsiTheme="minorEastAsia" w:eastAsiaTheme="minorEastAsia" w:cstheme="minorEastAsia"/>
          <w:b/>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15.2投标文件须严格按照招标文件第六部分规定的格式提交，并按规定的统一格式逐项填写，不准有空项；无相应内容可填的项，应填写“无”、“未测试”、“没有相应指标”等明确的回答文字。由于编排混乱导致投标文件被误读或查找不到，其责任由投标人承担。投标文件未按规定提交或留有空项，将被视为不完整响应的投标文件，其投标有可能被拒绝</w:t>
      </w:r>
      <w:r>
        <w:rPr>
          <w:rFonts w:hint="eastAsia" w:asciiTheme="minorEastAsia" w:hAnsiTheme="minorEastAsia" w:eastAsiaTheme="minorEastAsia" w:cstheme="minorEastAsia"/>
          <w:b/>
          <w:color w:val="000000" w:themeColor="text1"/>
          <w:sz w:val="24"/>
          <w14:textFill>
            <w14:solidFill>
              <w14:schemeClr w14:val="tx1"/>
            </w14:solidFill>
          </w14:textFill>
        </w:rPr>
        <w:t>。</w:t>
      </w:r>
    </w:p>
    <w:p>
      <w:pPr>
        <w:adjustRightInd w:val="0"/>
        <w:snapToGrid w:val="0"/>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15.3开标一览表为在开标仪式上唱标的内容，要求按格式统一填写，不得自行增减内容。</w:t>
      </w:r>
    </w:p>
    <w:p>
      <w:pPr>
        <w:adjustRightInd w:val="0"/>
        <w:snapToGrid w:val="0"/>
        <w:spacing w:line="360" w:lineRule="auto"/>
        <w:ind w:firstLine="482" w:firstLineChars="200"/>
        <w:rPr>
          <w:rFonts w:asciiTheme="minorEastAsia" w:hAnsiTheme="minorEastAsia" w:eastAsiaTheme="minorEastAsia" w:cstheme="minorEastAsia"/>
          <w:b/>
          <w:bCs/>
          <w:color w:val="000000" w:themeColor="text1"/>
          <w:sz w:val="24"/>
          <w14:textFill>
            <w14:solidFill>
              <w14:schemeClr w14:val="tx1"/>
            </w14:solidFill>
          </w14:textFill>
        </w:rPr>
      </w:pPr>
      <w:r>
        <w:rPr>
          <w:rFonts w:hint="eastAsia" w:asciiTheme="minorEastAsia" w:hAnsiTheme="minorEastAsia" w:eastAsiaTheme="minorEastAsia" w:cstheme="minorEastAsia"/>
          <w:b/>
          <w:bCs/>
          <w:color w:val="000000" w:themeColor="text1"/>
          <w:sz w:val="24"/>
          <w14:textFill>
            <w14:solidFill>
              <w14:schemeClr w14:val="tx1"/>
            </w14:solidFill>
          </w14:textFill>
        </w:rPr>
        <w:t>15.4投标人须注意：为合理节约政府采购评审成本，提倡诚实信用的投标行为，特别要求投标人应本着诚信精神，在本次投标文件的偏离表中，均以审慎的态度明确、清楚地披露各项偏离。若投标人对某一事项是否存在或是否属于偏离不能确定，亦必须在偏离表中清楚地表明该偏离事项，并可以注明不能确定的字样。任何情况下，对于投标人没有在偏离表中明确、清楚地披露的事项，包括可能属于被投标人在偏离表中遗漏披露的事项，一旦在评审中被发现存在偏离或被认定为属于偏离，则评标委员会有权视具体情形评审时予以处理，乃至对该投标予以拒绝。</w:t>
      </w:r>
    </w:p>
    <w:p>
      <w:pPr>
        <w:adjustRightInd w:val="0"/>
        <w:snapToGrid w:val="0"/>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15.5投标人必须保证投标文件所提供的全部资料真实可靠，并接受采购代理机构或评标委员会对其中任何资料进一步审查的要求。</w:t>
      </w:r>
    </w:p>
    <w:p>
      <w:pPr>
        <w:adjustRightInd w:val="0"/>
        <w:snapToGrid w:val="0"/>
        <w:spacing w:line="360" w:lineRule="auto"/>
        <w:ind w:firstLine="480" w:firstLineChars="200"/>
        <w:rPr>
          <w:rFonts w:asciiTheme="minorEastAsia" w:hAnsiTheme="minorEastAsia" w:eastAsiaTheme="minorEastAsia" w:cstheme="minorEastAsia"/>
          <w:b/>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15.6投标人在投标文件及相关文件的签订、履行、通知等事项的文件中的单位盖章、印章、公章等处均指与当事人全称相一致的电子签章或标准公章，不得使用其他形式（如带有“专用章”等字样的印章）。不符合本条规定的按无效投标处理。</w:t>
      </w:r>
    </w:p>
    <w:p>
      <w:pPr>
        <w:adjustRightInd w:val="0"/>
        <w:snapToGrid w:val="0"/>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15.7本项目</w:t>
      </w:r>
      <w:r>
        <w:rPr>
          <w:rFonts w:hint="eastAsia" w:asciiTheme="minorEastAsia" w:hAnsiTheme="minorEastAsia" w:eastAsiaTheme="minorEastAsia" w:cstheme="minorEastAsia"/>
          <w:color w:val="000000" w:themeColor="text1"/>
          <w:kern w:val="0"/>
          <w:sz w:val="24"/>
          <w14:textFill>
            <w14:solidFill>
              <w14:schemeClr w14:val="tx1"/>
            </w14:solidFill>
          </w14:textFill>
        </w:rPr>
        <w:t>技术部分是否采用“暗标”评审方式</w:t>
      </w:r>
      <w:r>
        <w:rPr>
          <w:rFonts w:hint="eastAsia" w:asciiTheme="minorEastAsia" w:hAnsiTheme="minorEastAsia" w:eastAsiaTheme="minorEastAsia" w:cstheme="minorEastAsia"/>
          <w:color w:val="000000" w:themeColor="text1"/>
          <w:sz w:val="24"/>
          <w14:textFill>
            <w14:solidFill>
              <w14:schemeClr w14:val="tx1"/>
            </w14:solidFill>
          </w14:textFill>
        </w:rPr>
        <w:t>按照招标文件第二部分“投标人须知前附表中”中第21项的规定。</w:t>
      </w:r>
    </w:p>
    <w:p>
      <w:pPr>
        <w:pStyle w:val="5"/>
        <w:numPr>
          <w:ilvl w:val="0"/>
          <w:numId w:val="0"/>
        </w:numPr>
        <w:snapToGrid w:val="0"/>
        <w:spacing w:before="0" w:after="0" w:line="360" w:lineRule="auto"/>
        <w:rPr>
          <w:rFonts w:asciiTheme="minorEastAsia" w:hAnsiTheme="minorEastAsia" w:eastAsiaTheme="minorEastAsia" w:cstheme="minorEastAsia"/>
          <w:color w:val="000000" w:themeColor="text1"/>
          <w:sz w:val="24"/>
          <w:szCs w:val="24"/>
          <w14:textFill>
            <w14:solidFill>
              <w14:schemeClr w14:val="tx1"/>
            </w14:solidFill>
          </w14:textFill>
        </w:rPr>
      </w:pPr>
      <w:bookmarkStart w:id="48" w:name="_Toc21523"/>
      <w:r>
        <w:rPr>
          <w:rFonts w:hint="eastAsia" w:asciiTheme="minorEastAsia" w:hAnsiTheme="minorEastAsia" w:eastAsiaTheme="minorEastAsia" w:cstheme="minorEastAsia"/>
          <w:color w:val="000000" w:themeColor="text1"/>
          <w:sz w:val="24"/>
          <w:szCs w:val="24"/>
          <w14:textFill>
            <w14:solidFill>
              <w14:schemeClr w14:val="tx1"/>
            </w14:solidFill>
          </w14:textFill>
        </w:rPr>
        <w:t>四、投标保证金</w:t>
      </w:r>
      <w:bookmarkEnd w:id="48"/>
    </w:p>
    <w:p>
      <w:pPr>
        <w:adjustRightInd w:val="0"/>
        <w:snapToGrid w:val="0"/>
        <w:spacing w:line="360" w:lineRule="auto"/>
        <w:rPr>
          <w:rFonts w:asciiTheme="minorEastAsia" w:hAnsiTheme="minorEastAsia" w:eastAsiaTheme="minorEastAsia" w:cstheme="minorEastAsia"/>
          <w:b/>
          <w:color w:val="000000" w:themeColor="text1"/>
          <w:sz w:val="24"/>
          <w14:textFill>
            <w14:solidFill>
              <w14:schemeClr w14:val="tx1"/>
            </w14:solidFill>
          </w14:textFill>
        </w:rPr>
      </w:pPr>
      <w:r>
        <w:rPr>
          <w:rFonts w:hint="eastAsia" w:asciiTheme="minorEastAsia" w:hAnsiTheme="minorEastAsia" w:eastAsiaTheme="minorEastAsia" w:cstheme="minorEastAsia"/>
          <w:b/>
          <w:color w:val="000000" w:themeColor="text1"/>
          <w:sz w:val="24"/>
          <w14:textFill>
            <w14:solidFill>
              <w14:schemeClr w14:val="tx1"/>
            </w14:solidFill>
          </w14:textFill>
        </w:rPr>
        <w:t xml:space="preserve">16.投标保证金 </w:t>
      </w:r>
    </w:p>
    <w:p>
      <w:pPr>
        <w:adjustRightInd w:val="0"/>
        <w:snapToGrid w:val="0"/>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16.1投标人应按照招标文件第二部分“投标人须知前附表”中第18项的规定交纳。投标保证金须于到账截止时间前到帐，并经采购代理机构确认。</w:t>
      </w:r>
    </w:p>
    <w:p>
      <w:pPr>
        <w:adjustRightInd w:val="0"/>
        <w:snapToGrid w:val="0"/>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16.2采购代理机构不接收以现金或汇票等其他形式递交的投标保证金。未按要求提交投标保证金的，将被视为无效投标。</w:t>
      </w:r>
    </w:p>
    <w:p>
      <w:pPr>
        <w:adjustRightInd w:val="0"/>
        <w:snapToGrid w:val="0"/>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16.3未中标的投标人的投标保证金在中标通知书发出之日起5个工作日内退还；中标人的投标保证金将在交纳履约保证金并于合同生效后5个工作日内退还。</w:t>
      </w:r>
    </w:p>
    <w:p>
      <w:pPr>
        <w:adjustRightInd w:val="0"/>
        <w:snapToGrid w:val="0"/>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16.4投标保证金退还一律采用网上银行转帐方式退还至投标人的汇款帐户，资金原路返回。</w:t>
      </w:r>
    </w:p>
    <w:p>
      <w:pPr>
        <w:pStyle w:val="5"/>
        <w:numPr>
          <w:ilvl w:val="0"/>
          <w:numId w:val="0"/>
        </w:numPr>
        <w:snapToGrid w:val="0"/>
        <w:spacing w:before="0" w:after="0" w:line="360" w:lineRule="auto"/>
        <w:rPr>
          <w:rFonts w:asciiTheme="minorEastAsia" w:hAnsiTheme="minorEastAsia" w:eastAsiaTheme="minorEastAsia" w:cstheme="minorEastAsia"/>
          <w:color w:val="000000" w:themeColor="text1"/>
          <w:sz w:val="24"/>
          <w:szCs w:val="24"/>
          <w14:textFill>
            <w14:solidFill>
              <w14:schemeClr w14:val="tx1"/>
            </w14:solidFill>
          </w14:textFill>
        </w:rPr>
      </w:pPr>
      <w:bookmarkStart w:id="49" w:name="_Toc19605"/>
      <w:r>
        <w:rPr>
          <w:rFonts w:hint="eastAsia" w:asciiTheme="minorEastAsia" w:hAnsiTheme="minorEastAsia" w:eastAsiaTheme="minorEastAsia" w:cstheme="minorEastAsia"/>
          <w:color w:val="000000" w:themeColor="text1"/>
          <w:sz w:val="24"/>
          <w:szCs w:val="24"/>
          <w14:textFill>
            <w14:solidFill>
              <w14:schemeClr w14:val="tx1"/>
            </w14:solidFill>
          </w14:textFill>
        </w:rPr>
        <w:t>五、投标文件的递交</w:t>
      </w:r>
      <w:bookmarkEnd w:id="49"/>
    </w:p>
    <w:p>
      <w:pPr>
        <w:adjustRightInd w:val="0"/>
        <w:snapToGrid w:val="0"/>
        <w:spacing w:line="360" w:lineRule="auto"/>
        <w:rPr>
          <w:rFonts w:asciiTheme="minorEastAsia" w:hAnsiTheme="minorEastAsia" w:eastAsiaTheme="minorEastAsia" w:cstheme="minorEastAsia"/>
          <w:b/>
          <w:color w:val="000000" w:themeColor="text1"/>
          <w:sz w:val="24"/>
          <w14:textFill>
            <w14:solidFill>
              <w14:schemeClr w14:val="tx1"/>
            </w14:solidFill>
          </w14:textFill>
        </w:rPr>
      </w:pPr>
      <w:r>
        <w:rPr>
          <w:rFonts w:hint="eastAsia" w:asciiTheme="minorEastAsia" w:hAnsiTheme="minorEastAsia" w:eastAsiaTheme="minorEastAsia" w:cstheme="minorEastAsia"/>
          <w:b/>
          <w:color w:val="000000" w:themeColor="text1"/>
          <w:sz w:val="24"/>
          <w14:textFill>
            <w14:solidFill>
              <w14:schemeClr w14:val="tx1"/>
            </w14:solidFill>
          </w14:textFill>
        </w:rPr>
        <w:t>17.投标文件的密封和标记</w:t>
      </w:r>
    </w:p>
    <w:p>
      <w:pPr>
        <w:adjustRightInd w:val="0"/>
        <w:snapToGrid w:val="0"/>
        <w:spacing w:line="360" w:lineRule="auto"/>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17.1　本项目投标文件的密封与标记已在投标人须知前附表第15条规定。</w:t>
      </w:r>
    </w:p>
    <w:p>
      <w:pPr>
        <w:adjustRightInd w:val="0"/>
        <w:snapToGrid w:val="0"/>
        <w:spacing w:line="360" w:lineRule="auto"/>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17.2任何不完整或不满足招标文件要求的投标文件将被拒绝。</w:t>
      </w:r>
    </w:p>
    <w:p>
      <w:pPr>
        <w:adjustRightInd w:val="0"/>
        <w:snapToGrid w:val="0"/>
        <w:spacing w:line="360" w:lineRule="auto"/>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17.2　由于不可抗拒原因或无法控制的事件而导致的丢失或损坏投标包装体内的投标文件时，招标方将不负责任。</w:t>
      </w:r>
    </w:p>
    <w:p>
      <w:pPr>
        <w:adjustRightInd w:val="0"/>
        <w:snapToGrid w:val="0"/>
        <w:spacing w:line="360" w:lineRule="auto"/>
        <w:rPr>
          <w:rFonts w:asciiTheme="minorEastAsia" w:hAnsiTheme="minorEastAsia" w:eastAsiaTheme="minorEastAsia" w:cstheme="minorEastAsia"/>
          <w:b/>
          <w:color w:val="000000" w:themeColor="text1"/>
          <w:sz w:val="24"/>
          <w14:textFill>
            <w14:solidFill>
              <w14:schemeClr w14:val="tx1"/>
            </w14:solidFill>
          </w14:textFill>
        </w:rPr>
      </w:pPr>
      <w:r>
        <w:rPr>
          <w:rFonts w:hint="eastAsia" w:asciiTheme="minorEastAsia" w:hAnsiTheme="minorEastAsia" w:eastAsiaTheme="minorEastAsia" w:cstheme="minorEastAsia"/>
          <w:b/>
          <w:color w:val="000000" w:themeColor="text1"/>
          <w:sz w:val="24"/>
          <w14:textFill>
            <w14:solidFill>
              <w14:schemeClr w14:val="tx1"/>
            </w14:solidFill>
          </w14:textFill>
        </w:rPr>
        <w:t>18.投标文件的递交</w:t>
      </w:r>
    </w:p>
    <w:p>
      <w:pPr>
        <w:adjustRightInd w:val="0"/>
        <w:snapToGrid w:val="0"/>
        <w:spacing w:line="360" w:lineRule="auto"/>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18.1  投标文件的递交不得迟于招标文件规定的截止时间，按投标人须知前附表要求递交投标文件。</w:t>
      </w:r>
    </w:p>
    <w:p>
      <w:pPr>
        <w:adjustRightInd w:val="0"/>
        <w:snapToGrid w:val="0"/>
        <w:spacing w:line="360" w:lineRule="auto"/>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18.2　所有投标文件不论派人送交还是通过邮寄的方式递交，都必须在招标方规定的投标截止时间之前送达招标文件指定地点，在此之后送达的投标文件，为无效投标，投标文件将一律被拒绝。</w:t>
      </w:r>
    </w:p>
    <w:p>
      <w:pPr>
        <w:adjustRightInd w:val="0"/>
        <w:snapToGrid w:val="0"/>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18.3  出现因招标文件的修改而推迟投标截止时间的情况时，投标人则需按招标方的书面修改通知重新规定的投标时间递交。</w:t>
      </w:r>
    </w:p>
    <w:p>
      <w:pPr>
        <w:adjustRightInd w:val="0"/>
        <w:snapToGrid w:val="0"/>
        <w:spacing w:line="360" w:lineRule="auto"/>
        <w:rPr>
          <w:rFonts w:asciiTheme="minorEastAsia" w:hAnsiTheme="minorEastAsia" w:eastAsiaTheme="minorEastAsia" w:cstheme="minorEastAsia"/>
          <w:b/>
          <w:color w:val="000000" w:themeColor="text1"/>
          <w:sz w:val="24"/>
          <w14:textFill>
            <w14:solidFill>
              <w14:schemeClr w14:val="tx1"/>
            </w14:solidFill>
          </w14:textFill>
        </w:rPr>
      </w:pPr>
      <w:r>
        <w:rPr>
          <w:rFonts w:hint="eastAsia" w:asciiTheme="minorEastAsia" w:hAnsiTheme="minorEastAsia" w:eastAsiaTheme="minorEastAsia" w:cstheme="minorEastAsia"/>
          <w:b/>
          <w:color w:val="000000" w:themeColor="text1"/>
          <w:sz w:val="24"/>
          <w14:textFill>
            <w14:solidFill>
              <w14:schemeClr w14:val="tx1"/>
            </w14:solidFill>
          </w14:textFill>
        </w:rPr>
        <w:t>19.投标文件的修改和撤回</w:t>
      </w:r>
    </w:p>
    <w:p>
      <w:pPr>
        <w:adjustRightInd w:val="0"/>
        <w:snapToGrid w:val="0"/>
        <w:spacing w:line="360" w:lineRule="auto"/>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19.1　投标人在递交投标文件后，可在规定的投标截止时间之前，对其投标文件以书面通知的形式进行修改或撤消。该通知须有投标人的法人代表或其委托代理人的签字，并得到招标方的确认。</w:t>
      </w:r>
    </w:p>
    <w:p>
      <w:pPr>
        <w:adjustRightInd w:val="0"/>
        <w:snapToGrid w:val="0"/>
        <w:spacing w:line="360" w:lineRule="auto"/>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19.2  投标人对投标文件修改的书面材料或撤消通知应按招标文件要求进行密封、标注和递交，并注明“修改投标文件”或“撤消投标”字样，修改或撤销的内容须按招标文件的要求签署、盖章，并作为投标文件的组成部分。</w:t>
      </w:r>
    </w:p>
    <w:p>
      <w:pPr>
        <w:adjustRightInd w:val="0"/>
        <w:snapToGrid w:val="0"/>
        <w:spacing w:line="360" w:lineRule="auto"/>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19.3　对投标文件修改的书面材料应于投标截止日前送达招标方，投标截止时间以后不得修改投标文件。</w:t>
      </w:r>
    </w:p>
    <w:p>
      <w:pPr>
        <w:adjustRightInd w:val="0"/>
        <w:snapToGrid w:val="0"/>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19.4  投标人不得在开标后至投标有效期期满前撤销投标文件，否则招标方将不予退还其投标保证金</w:t>
      </w:r>
    </w:p>
    <w:p>
      <w:pPr>
        <w:pStyle w:val="5"/>
        <w:numPr>
          <w:ilvl w:val="0"/>
          <w:numId w:val="0"/>
        </w:numPr>
        <w:snapToGrid w:val="0"/>
        <w:spacing w:before="0" w:after="0" w:line="360" w:lineRule="auto"/>
        <w:rPr>
          <w:rFonts w:asciiTheme="minorEastAsia" w:hAnsiTheme="minorEastAsia" w:eastAsiaTheme="minorEastAsia" w:cstheme="minorEastAsia"/>
          <w:color w:val="000000" w:themeColor="text1"/>
          <w:sz w:val="24"/>
          <w:szCs w:val="24"/>
          <w14:textFill>
            <w14:solidFill>
              <w14:schemeClr w14:val="tx1"/>
            </w14:solidFill>
          </w14:textFill>
        </w:rPr>
      </w:pPr>
      <w:bookmarkStart w:id="50" w:name="_Toc17792"/>
      <w:r>
        <w:rPr>
          <w:rFonts w:hint="eastAsia" w:asciiTheme="minorEastAsia" w:hAnsiTheme="minorEastAsia" w:eastAsiaTheme="minorEastAsia" w:cstheme="minorEastAsia"/>
          <w:color w:val="000000" w:themeColor="text1"/>
          <w:sz w:val="24"/>
          <w:szCs w:val="24"/>
          <w14:textFill>
            <w14:solidFill>
              <w14:schemeClr w14:val="tx1"/>
            </w14:solidFill>
          </w14:textFill>
        </w:rPr>
        <w:t>六、开标</w:t>
      </w:r>
      <w:bookmarkEnd w:id="50"/>
    </w:p>
    <w:p>
      <w:pPr>
        <w:adjustRightInd w:val="0"/>
        <w:snapToGrid w:val="0"/>
        <w:spacing w:line="360" w:lineRule="auto"/>
        <w:rPr>
          <w:rFonts w:asciiTheme="minorEastAsia" w:hAnsiTheme="minorEastAsia" w:eastAsiaTheme="minorEastAsia" w:cstheme="minorEastAsia"/>
          <w:b/>
          <w:color w:val="000000" w:themeColor="text1"/>
          <w:sz w:val="24"/>
          <w14:textFill>
            <w14:solidFill>
              <w14:schemeClr w14:val="tx1"/>
            </w14:solidFill>
          </w14:textFill>
        </w:rPr>
      </w:pPr>
      <w:r>
        <w:rPr>
          <w:rFonts w:hint="eastAsia" w:asciiTheme="minorEastAsia" w:hAnsiTheme="minorEastAsia" w:eastAsiaTheme="minorEastAsia" w:cstheme="minorEastAsia"/>
          <w:b/>
          <w:color w:val="000000" w:themeColor="text1"/>
          <w:sz w:val="24"/>
          <w14:textFill>
            <w14:solidFill>
              <w14:schemeClr w14:val="tx1"/>
            </w14:solidFill>
          </w14:textFill>
        </w:rPr>
        <w:t>20.开标</w:t>
      </w:r>
    </w:p>
    <w:p>
      <w:pPr>
        <w:adjustRightInd w:val="0"/>
        <w:snapToGrid w:val="0"/>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20.1　本次招标按招标文件的投标须知中规定的时间和地点进行公开开标，允许投标人的法人代表或其授权人参加开标会。</w:t>
      </w:r>
    </w:p>
    <w:p>
      <w:pPr>
        <w:adjustRightInd w:val="0"/>
        <w:snapToGrid w:val="0"/>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20.2　开标时将检查所有投标文件的递交时间，并在确认无误后打开投标文件进行唱标。唱标以投标人提交的“开标一览表”的内容为准，并对唱标内容作以记录。</w:t>
      </w:r>
    </w:p>
    <w:p>
      <w:pPr>
        <w:adjustRightInd w:val="0"/>
        <w:snapToGrid w:val="0"/>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20.3　开标和唱标的顺序，按照递交投标文件的先后顺序依次进行。</w:t>
      </w:r>
    </w:p>
    <w:p>
      <w:pPr>
        <w:adjustRightInd w:val="0"/>
        <w:snapToGrid w:val="0"/>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20.4　评标原则以招标文件的规定为准，并在开标会议上予以宣布。</w:t>
      </w:r>
    </w:p>
    <w:p>
      <w:pPr>
        <w:pStyle w:val="5"/>
        <w:numPr>
          <w:ilvl w:val="0"/>
          <w:numId w:val="0"/>
        </w:numPr>
        <w:snapToGrid w:val="0"/>
        <w:spacing w:before="0" w:after="0" w:line="360" w:lineRule="auto"/>
        <w:rPr>
          <w:rFonts w:asciiTheme="minorEastAsia" w:hAnsiTheme="minorEastAsia" w:eastAsiaTheme="minorEastAsia" w:cstheme="minorEastAsia"/>
          <w:color w:val="000000" w:themeColor="text1"/>
          <w:sz w:val="24"/>
          <w:szCs w:val="24"/>
          <w14:textFill>
            <w14:solidFill>
              <w14:schemeClr w14:val="tx1"/>
            </w14:solidFill>
          </w14:textFill>
        </w:rPr>
      </w:pPr>
      <w:bookmarkStart w:id="51" w:name="_Toc798"/>
      <w:r>
        <w:rPr>
          <w:rFonts w:hint="eastAsia" w:asciiTheme="minorEastAsia" w:hAnsiTheme="minorEastAsia" w:eastAsiaTheme="minorEastAsia" w:cstheme="minorEastAsia"/>
          <w:color w:val="000000" w:themeColor="text1"/>
          <w:sz w:val="24"/>
          <w:szCs w:val="24"/>
          <w14:textFill>
            <w14:solidFill>
              <w14:schemeClr w14:val="tx1"/>
            </w14:solidFill>
          </w14:textFill>
        </w:rPr>
        <w:t>七、评标步骤和要求</w:t>
      </w:r>
      <w:bookmarkEnd w:id="51"/>
    </w:p>
    <w:p>
      <w:pPr>
        <w:adjustRightInd w:val="0"/>
        <w:snapToGrid w:val="0"/>
        <w:spacing w:line="360" w:lineRule="auto"/>
        <w:rPr>
          <w:rFonts w:asciiTheme="minorEastAsia" w:hAnsiTheme="minorEastAsia" w:eastAsiaTheme="minorEastAsia" w:cstheme="minorEastAsia"/>
          <w:b/>
          <w:color w:val="000000" w:themeColor="text1"/>
          <w:sz w:val="24"/>
          <w14:textFill>
            <w14:solidFill>
              <w14:schemeClr w14:val="tx1"/>
            </w14:solidFill>
          </w14:textFill>
        </w:rPr>
      </w:pPr>
      <w:r>
        <w:rPr>
          <w:rFonts w:hint="eastAsia" w:asciiTheme="minorEastAsia" w:hAnsiTheme="minorEastAsia" w:eastAsiaTheme="minorEastAsia" w:cstheme="minorEastAsia"/>
          <w:b/>
          <w:color w:val="000000" w:themeColor="text1"/>
          <w:sz w:val="24"/>
          <w14:textFill>
            <w14:solidFill>
              <w14:schemeClr w14:val="tx1"/>
            </w14:solidFill>
          </w14:textFill>
        </w:rPr>
        <w:t>21.组建评标委员会</w:t>
      </w:r>
    </w:p>
    <w:p>
      <w:pPr>
        <w:adjustRightInd w:val="0"/>
        <w:snapToGrid w:val="0"/>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21.1采购代理机构根据有关法律法规和本招标文件的规定，结合招标项目的特点组建评标委员会，对投标文件进行评估和比较。评标委员会由五人以上单数组成，其中经济、技术等方面的专家不少于三分之二。</w:t>
      </w:r>
    </w:p>
    <w:p>
      <w:pPr>
        <w:adjustRightInd w:val="0"/>
        <w:snapToGrid w:val="0"/>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21.2参与过本项目的论证专家不得作为评标专家参加评标，采购人不得以专家身份参与评标。</w:t>
      </w:r>
    </w:p>
    <w:p>
      <w:pPr>
        <w:adjustRightInd w:val="0"/>
        <w:snapToGrid w:val="0"/>
        <w:spacing w:line="360" w:lineRule="auto"/>
        <w:rPr>
          <w:rFonts w:asciiTheme="minorEastAsia" w:hAnsiTheme="minorEastAsia" w:eastAsiaTheme="minorEastAsia" w:cstheme="minorEastAsia"/>
          <w:b/>
          <w:color w:val="000000" w:themeColor="text1"/>
          <w:sz w:val="24"/>
          <w14:textFill>
            <w14:solidFill>
              <w14:schemeClr w14:val="tx1"/>
            </w14:solidFill>
          </w14:textFill>
        </w:rPr>
      </w:pPr>
      <w:r>
        <w:rPr>
          <w:rFonts w:hint="eastAsia" w:asciiTheme="minorEastAsia" w:hAnsiTheme="minorEastAsia" w:eastAsiaTheme="minorEastAsia" w:cstheme="minorEastAsia"/>
          <w:b/>
          <w:color w:val="000000" w:themeColor="text1"/>
          <w:sz w:val="24"/>
          <w14:textFill>
            <w14:solidFill>
              <w14:schemeClr w14:val="tx1"/>
            </w14:solidFill>
          </w14:textFill>
        </w:rPr>
        <w:t>22、资格审查</w:t>
      </w:r>
    </w:p>
    <w:p>
      <w:pPr>
        <w:adjustRightInd w:val="0"/>
        <w:snapToGrid w:val="0"/>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22.1评标委员会审查各投标人的资格是否符合招标文件要求，合格投标人不足3家的，不得进行下一阶段评标。</w:t>
      </w:r>
    </w:p>
    <w:p>
      <w:pPr>
        <w:adjustRightInd w:val="0"/>
        <w:snapToGrid w:val="0"/>
        <w:spacing w:line="360" w:lineRule="auto"/>
        <w:rPr>
          <w:rFonts w:asciiTheme="minorEastAsia" w:hAnsiTheme="minorEastAsia" w:eastAsiaTheme="minorEastAsia" w:cstheme="minorEastAsia"/>
          <w:b/>
          <w:color w:val="000000" w:themeColor="text1"/>
          <w:sz w:val="24"/>
          <w14:textFill>
            <w14:solidFill>
              <w14:schemeClr w14:val="tx1"/>
            </w14:solidFill>
          </w14:textFill>
        </w:rPr>
      </w:pPr>
      <w:r>
        <w:rPr>
          <w:rFonts w:hint="eastAsia" w:asciiTheme="minorEastAsia" w:hAnsiTheme="minorEastAsia" w:eastAsiaTheme="minorEastAsia" w:cstheme="minorEastAsia"/>
          <w:b/>
          <w:color w:val="000000" w:themeColor="text1"/>
          <w:sz w:val="24"/>
          <w14:textFill>
            <w14:solidFill>
              <w14:schemeClr w14:val="tx1"/>
            </w14:solidFill>
          </w14:textFill>
        </w:rPr>
        <w:t>23.初步评审</w:t>
      </w:r>
    </w:p>
    <w:p>
      <w:pPr>
        <w:adjustRightInd w:val="0"/>
        <w:snapToGrid w:val="0"/>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 xml:space="preserve">23.1评标委员会审查投标文件是否符合招标文件的基本要求：内容是否完整、资格证明文件是否合格、文件签署是否齐全、有无计算错误等。 </w:t>
      </w:r>
    </w:p>
    <w:p>
      <w:pPr>
        <w:adjustRightInd w:val="0"/>
        <w:snapToGrid w:val="0"/>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23.2评标委员会审查投标文件是否实质上响应招标文件的要求。</w:t>
      </w:r>
    </w:p>
    <w:p>
      <w:pPr>
        <w:adjustRightInd w:val="0"/>
        <w:snapToGrid w:val="0"/>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1）实质上响应的投标是指与招标文件上的条款、条件和规格相符，没有重大偏离或保留，否则将视为无效投标。</w:t>
      </w:r>
    </w:p>
    <w:p>
      <w:pPr>
        <w:adjustRightInd w:val="0"/>
        <w:snapToGrid w:val="0"/>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2）重大偏离或保留系指投标货物的质量、数量和供货周期等明显不能满足招标文件的要求，或者实质上与招标文件不一致，纠正这些偏离或保留将对其他实质上响应要求的投标人的竞争地位产生不公正的影响。包括但不限于：</w:t>
      </w:r>
    </w:p>
    <w:p>
      <w:pPr>
        <w:adjustRightInd w:val="0"/>
        <w:snapToGrid w:val="0"/>
        <w:spacing w:line="360" w:lineRule="auto"/>
        <w:ind w:firstLine="470" w:firstLineChars="196"/>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A、招标文件第六部分“投标文件格式”中，带“</w:t>
      </w:r>
      <w:r>
        <w:rPr>
          <w:rFonts w:hint="eastAsia" w:asciiTheme="minorEastAsia" w:hAnsiTheme="minorEastAsia" w:eastAsiaTheme="minorEastAsia" w:cstheme="minorEastAsia"/>
          <w:color w:val="000000" w:themeColor="text1"/>
          <w:sz w:val="20"/>
          <w:szCs w:val="20"/>
          <w14:textFill>
            <w14:solidFill>
              <w14:schemeClr w14:val="tx1"/>
            </w14:solidFill>
          </w14:textFill>
        </w:rPr>
        <w:t>☆</w:t>
      </w:r>
      <w:r>
        <w:rPr>
          <w:rFonts w:hint="eastAsia" w:asciiTheme="minorEastAsia" w:hAnsiTheme="minorEastAsia" w:eastAsiaTheme="minorEastAsia" w:cstheme="minorEastAsia"/>
          <w:color w:val="000000" w:themeColor="text1"/>
          <w:sz w:val="24"/>
          <w14:textFill>
            <w14:solidFill>
              <w14:schemeClr w14:val="tx1"/>
            </w14:solidFill>
          </w14:textFill>
        </w:rPr>
        <w:t>”号部分的证明文件不全或无效的；</w:t>
      </w:r>
    </w:p>
    <w:p>
      <w:pPr>
        <w:adjustRightInd w:val="0"/>
        <w:snapToGrid w:val="0"/>
        <w:spacing w:line="360" w:lineRule="auto"/>
        <w:ind w:firstLine="470" w:firstLineChars="196"/>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B、投标文件未按招标文件的规定签章的；</w:t>
      </w:r>
    </w:p>
    <w:p>
      <w:pPr>
        <w:adjustRightInd w:val="0"/>
        <w:snapToGrid w:val="0"/>
        <w:spacing w:line="360" w:lineRule="auto"/>
        <w:ind w:firstLine="470" w:firstLineChars="196"/>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C、未按投标文件份数要求提交投标文件的；</w:t>
      </w:r>
    </w:p>
    <w:p>
      <w:pPr>
        <w:adjustRightInd w:val="0"/>
        <w:snapToGrid w:val="0"/>
        <w:spacing w:line="360" w:lineRule="auto"/>
        <w:ind w:firstLine="470" w:firstLineChars="196"/>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D、招标文件带“</w:t>
      </w:r>
      <w:r>
        <w:rPr>
          <w:rFonts w:hint="eastAsia" w:asciiTheme="minorEastAsia" w:hAnsiTheme="minorEastAsia" w:eastAsiaTheme="minorEastAsia" w:cstheme="minorEastAsia"/>
          <w:color w:val="000000" w:themeColor="text1"/>
          <w:sz w:val="20"/>
          <w:szCs w:val="20"/>
          <w14:textFill>
            <w14:solidFill>
              <w14:schemeClr w14:val="tx1"/>
            </w14:solidFill>
          </w14:textFill>
        </w:rPr>
        <w:t>☆</w:t>
      </w:r>
      <w:r>
        <w:rPr>
          <w:rFonts w:hint="eastAsia" w:asciiTheme="minorEastAsia" w:hAnsiTheme="minorEastAsia" w:eastAsiaTheme="minorEastAsia" w:cstheme="minorEastAsia"/>
          <w:color w:val="000000" w:themeColor="text1"/>
          <w:sz w:val="24"/>
          <w14:textFill>
            <w14:solidFill>
              <w14:schemeClr w14:val="tx1"/>
            </w14:solidFill>
          </w14:textFill>
        </w:rPr>
        <w:t>”号部分任意一款不满足要求的；</w:t>
      </w:r>
    </w:p>
    <w:p>
      <w:pPr>
        <w:adjustRightInd w:val="0"/>
        <w:snapToGrid w:val="0"/>
        <w:spacing w:line="360" w:lineRule="auto"/>
        <w:ind w:firstLine="470" w:firstLineChars="196"/>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E、报价超过项目预算或经评标委员会认定低于成本的；</w:t>
      </w:r>
    </w:p>
    <w:p>
      <w:pPr>
        <w:adjustRightInd w:val="0"/>
        <w:snapToGrid w:val="0"/>
        <w:spacing w:line="360" w:lineRule="auto"/>
        <w:ind w:firstLine="470" w:firstLineChars="196"/>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F、投标有效期不足的；</w:t>
      </w:r>
    </w:p>
    <w:p>
      <w:pPr>
        <w:adjustRightInd w:val="0"/>
        <w:snapToGrid w:val="0"/>
        <w:spacing w:line="360" w:lineRule="auto"/>
        <w:ind w:firstLine="470" w:firstLineChars="196"/>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G、联合体投标文件未附联合体投标协议书的；</w:t>
      </w:r>
    </w:p>
    <w:p>
      <w:pPr>
        <w:adjustRightInd w:val="0"/>
        <w:snapToGrid w:val="0"/>
        <w:spacing w:line="360" w:lineRule="auto"/>
        <w:ind w:firstLine="470" w:firstLineChars="196"/>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H、不符合招标文件中有关分包规定的；</w:t>
      </w:r>
    </w:p>
    <w:p>
      <w:pPr>
        <w:adjustRightInd w:val="0"/>
        <w:snapToGrid w:val="0"/>
        <w:spacing w:line="360" w:lineRule="auto"/>
        <w:ind w:firstLine="470" w:firstLineChars="196"/>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I、有串通投标或弄虚作假或有其他违法行为的；</w:t>
      </w:r>
    </w:p>
    <w:p>
      <w:pPr>
        <w:adjustRightInd w:val="0"/>
        <w:snapToGrid w:val="0"/>
        <w:spacing w:line="360" w:lineRule="auto"/>
        <w:ind w:firstLine="470" w:firstLineChars="196"/>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J、投标人名称或组织结构与报名时不一致且无有效变更证明的；</w:t>
      </w:r>
    </w:p>
    <w:p>
      <w:pPr>
        <w:adjustRightInd w:val="0"/>
        <w:snapToGrid w:val="0"/>
        <w:spacing w:line="360" w:lineRule="auto"/>
        <w:ind w:firstLine="470" w:firstLineChars="196"/>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K、不符合招标文件中规定的其他实质性要求。</w:t>
      </w:r>
    </w:p>
    <w:p>
      <w:pPr>
        <w:adjustRightInd w:val="0"/>
        <w:snapToGrid w:val="0"/>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23.3投标文件的细微偏差是指在实质上响应招标文件要求，但在个别地方存在漏项或者提供了不完整的技术信息和数据等情况，并且补正这些遗漏或者不完整，不会对其他投标人造成不公正的结果。细微偏差不影响投标文件的有效性。</w:t>
      </w:r>
    </w:p>
    <w:p>
      <w:pPr>
        <w:adjustRightInd w:val="0"/>
        <w:snapToGrid w:val="0"/>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 xml:space="preserve">23.4初步评审中，对明显的文字和计算错误按下述原则处理，若出现相互矛盾之处，应以排列在先的原则为准优先处理：        </w:t>
      </w:r>
    </w:p>
    <w:p>
      <w:pPr>
        <w:adjustRightInd w:val="0"/>
        <w:snapToGrid w:val="0"/>
        <w:spacing w:line="360" w:lineRule="auto"/>
        <w:ind w:firstLine="470" w:firstLineChars="196"/>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1）投标文件中的开标一览表与明细表内容不一致的，以开标一览表为准。</w:t>
      </w:r>
    </w:p>
    <w:p>
      <w:pPr>
        <w:adjustRightInd w:val="0"/>
        <w:snapToGrid w:val="0"/>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2）如果以文字表示的数据与数字表示的有差别，以文字为准修正数字。如果大写金额和小写金额不一致的，以大写金额为准；</w:t>
      </w:r>
    </w:p>
    <w:p>
      <w:pPr>
        <w:adjustRightInd w:val="0"/>
        <w:snapToGrid w:val="0"/>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3）如果单价乘以数量不等于总价，以单价为准修正总价，但单价金额小数点有明显错位的，应以总价为准，并修改单价。如果明细价格相加不等于汇总价格，以明细价格为准。</w:t>
      </w:r>
    </w:p>
    <w:p>
      <w:pPr>
        <w:adjustRightInd w:val="0"/>
        <w:snapToGrid w:val="0"/>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4）调整后的数据对投标人具有约束力，投标人不同意以上修正，其投标将被拒绝。</w:t>
      </w:r>
    </w:p>
    <w:p>
      <w:pPr>
        <w:adjustRightInd w:val="0"/>
        <w:snapToGrid w:val="0"/>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23.5评标委员会对投标文件的判定，只依据投标文件内容本身，不依据其他外来证明。</w:t>
      </w:r>
    </w:p>
    <w:p>
      <w:pPr>
        <w:adjustRightInd w:val="0"/>
        <w:snapToGrid w:val="0"/>
        <w:spacing w:line="360" w:lineRule="auto"/>
        <w:rPr>
          <w:rFonts w:asciiTheme="minorEastAsia" w:hAnsiTheme="minorEastAsia" w:eastAsiaTheme="minorEastAsia" w:cstheme="minorEastAsia"/>
          <w:b/>
          <w:color w:val="000000" w:themeColor="text1"/>
          <w:sz w:val="24"/>
          <w14:textFill>
            <w14:solidFill>
              <w14:schemeClr w14:val="tx1"/>
            </w14:solidFill>
          </w14:textFill>
        </w:rPr>
      </w:pPr>
      <w:r>
        <w:rPr>
          <w:rFonts w:hint="eastAsia" w:asciiTheme="minorEastAsia" w:hAnsiTheme="minorEastAsia" w:eastAsiaTheme="minorEastAsia" w:cstheme="minorEastAsia"/>
          <w:b/>
          <w:color w:val="000000" w:themeColor="text1"/>
          <w:sz w:val="24"/>
          <w14:textFill>
            <w14:solidFill>
              <w14:schemeClr w14:val="tx1"/>
            </w14:solidFill>
          </w14:textFill>
        </w:rPr>
        <w:t>24.投标的澄清</w:t>
      </w:r>
    </w:p>
    <w:p>
      <w:pPr>
        <w:adjustRightInd w:val="0"/>
        <w:snapToGrid w:val="0"/>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24.1评标委员会有权要求投标人对投标文件中含义不明确、对同类问题表述不一致或者有明显文字和计算错误等内容作必要的澄清、说明或者补正。该要求应当采用书面形式，并由评标委员会成员签字。评标委员会不接受投标人主动提出的澄清、说明或者补正。</w:t>
      </w:r>
    </w:p>
    <w:p>
      <w:pPr>
        <w:adjustRightInd w:val="0"/>
        <w:snapToGrid w:val="0"/>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24.2投标人必须按照评标委员会通知的内容和时间做出书面答复，该答复经法定代表人或授权代理人的签字认可，将作为投标文件内容的一部分。澄清、说明或者补正不得超出投标文件的范围或者改变投标文件的实质性内容。投标人拒不按照要求对投标文件进行澄清、说明或者补正的，评标委员会可拒绝该投标。</w:t>
      </w:r>
    </w:p>
    <w:p>
      <w:pPr>
        <w:adjustRightInd w:val="0"/>
        <w:snapToGrid w:val="0"/>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24.3如评标委员会一致认为某个投标人的报价明显不合理，有降低质量、不能诚信履行的可能时，评标委员会有权决定是否通知投标人限期进行书面解释或提供相关证明材料。若已要求，而该投标人在规定期限内未做出解释、作出的解释不合理或不能提供证明材料的，经评标委员会取得一致意见后，可拒绝该投标。</w:t>
      </w:r>
    </w:p>
    <w:p>
      <w:pPr>
        <w:adjustRightInd w:val="0"/>
        <w:snapToGrid w:val="0"/>
        <w:spacing w:line="360" w:lineRule="auto"/>
        <w:rPr>
          <w:rFonts w:asciiTheme="minorEastAsia" w:hAnsiTheme="minorEastAsia" w:eastAsiaTheme="minorEastAsia" w:cstheme="minorEastAsia"/>
          <w:b/>
          <w:color w:val="000000" w:themeColor="text1"/>
          <w:sz w:val="24"/>
          <w14:textFill>
            <w14:solidFill>
              <w14:schemeClr w14:val="tx1"/>
            </w14:solidFill>
          </w14:textFill>
        </w:rPr>
      </w:pPr>
      <w:r>
        <w:rPr>
          <w:rFonts w:hint="eastAsia" w:asciiTheme="minorEastAsia" w:hAnsiTheme="minorEastAsia" w:eastAsiaTheme="minorEastAsia" w:cstheme="minorEastAsia"/>
          <w:b/>
          <w:color w:val="000000" w:themeColor="text1"/>
          <w:sz w:val="24"/>
          <w14:textFill>
            <w14:solidFill>
              <w14:schemeClr w14:val="tx1"/>
            </w14:solidFill>
          </w14:textFill>
        </w:rPr>
        <w:t>25.详细评审</w:t>
      </w:r>
    </w:p>
    <w:p>
      <w:pPr>
        <w:adjustRightInd w:val="0"/>
        <w:snapToGrid w:val="0"/>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25.1评标委员会只对实质上响应招标文件的投标进行评价和比较；评审应严格按照招标文件第二部分“投标人须知前附表”中第22项规定以及招标文件的要求进行。具体要求等详见招标文件第五部分“评审方法”。</w:t>
      </w:r>
    </w:p>
    <w:p>
      <w:pPr>
        <w:adjustRightInd w:val="0"/>
        <w:snapToGrid w:val="0"/>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25.2评标委员会依法独立评审，严格遵守评审工作纪律。对需要共同认定的事项存在争议的，按照少数服从多数的原则作出评审结论。持不同意见的评标委员会成员应当在评标报告上签署不同意见并说明理由，不签署不同意见的视为同意。</w:t>
      </w:r>
    </w:p>
    <w:p>
      <w:pPr>
        <w:adjustRightInd w:val="0"/>
        <w:snapToGrid w:val="0"/>
        <w:spacing w:line="360" w:lineRule="auto"/>
        <w:rPr>
          <w:rFonts w:asciiTheme="minorEastAsia" w:hAnsiTheme="minorEastAsia" w:eastAsiaTheme="minorEastAsia" w:cstheme="minorEastAsia"/>
          <w:b/>
          <w:color w:val="000000" w:themeColor="text1"/>
          <w:sz w:val="24"/>
          <w14:textFill>
            <w14:solidFill>
              <w14:schemeClr w14:val="tx1"/>
            </w14:solidFill>
          </w14:textFill>
        </w:rPr>
      </w:pPr>
      <w:r>
        <w:rPr>
          <w:rFonts w:hint="eastAsia" w:asciiTheme="minorEastAsia" w:hAnsiTheme="minorEastAsia" w:eastAsiaTheme="minorEastAsia" w:cstheme="minorEastAsia"/>
          <w:b/>
          <w:color w:val="000000" w:themeColor="text1"/>
          <w:sz w:val="24"/>
          <w14:textFill>
            <w14:solidFill>
              <w14:schemeClr w14:val="tx1"/>
            </w14:solidFill>
          </w14:textFill>
        </w:rPr>
        <w:t>26.确定中标人</w:t>
      </w:r>
    </w:p>
    <w:p>
      <w:pPr>
        <w:adjustRightInd w:val="0"/>
        <w:snapToGrid w:val="0"/>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26.1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adjustRightInd w:val="0"/>
        <w:snapToGrid w:val="0"/>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26.2 评标委员会根据评审结果及招标文件的规定确定中标人。</w:t>
      </w:r>
    </w:p>
    <w:p>
      <w:pPr>
        <w:adjustRightInd w:val="0"/>
        <w:snapToGrid w:val="0"/>
        <w:spacing w:line="360" w:lineRule="auto"/>
        <w:rPr>
          <w:rFonts w:asciiTheme="minorEastAsia" w:hAnsiTheme="minorEastAsia" w:eastAsiaTheme="minorEastAsia" w:cstheme="minorEastAsia"/>
          <w:b/>
          <w:color w:val="000000" w:themeColor="text1"/>
          <w:sz w:val="24"/>
          <w14:textFill>
            <w14:solidFill>
              <w14:schemeClr w14:val="tx1"/>
            </w14:solidFill>
          </w14:textFill>
        </w:rPr>
      </w:pPr>
      <w:r>
        <w:rPr>
          <w:rFonts w:hint="eastAsia" w:asciiTheme="minorEastAsia" w:hAnsiTheme="minorEastAsia" w:eastAsiaTheme="minorEastAsia" w:cstheme="minorEastAsia"/>
          <w:b/>
          <w:color w:val="000000" w:themeColor="text1"/>
          <w:sz w:val="24"/>
          <w14:textFill>
            <w14:solidFill>
              <w14:schemeClr w14:val="tx1"/>
            </w14:solidFill>
          </w14:textFill>
        </w:rPr>
        <w:t>27.评标过程要求</w:t>
      </w:r>
    </w:p>
    <w:p>
      <w:pPr>
        <w:adjustRightInd w:val="0"/>
        <w:snapToGrid w:val="0"/>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27.1开标之后，直到签订合同止，凡是属于审查、澄清、评价和比较投标的有关资料以及定标意向等，均不向投标人或者其他与评标无关的人员透露。</w:t>
      </w:r>
    </w:p>
    <w:p>
      <w:pPr>
        <w:adjustRightInd w:val="0"/>
        <w:snapToGrid w:val="0"/>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27.2在确定中标人之前，投标人试图在投标文件审查、澄清、比较和评标时对评标委员会、采购人和采购代理机构施加任何影响都可能导致其投标无效。</w:t>
      </w:r>
    </w:p>
    <w:p>
      <w:pPr>
        <w:adjustRightInd w:val="0"/>
        <w:snapToGrid w:val="0"/>
        <w:spacing w:line="360" w:lineRule="auto"/>
        <w:rPr>
          <w:rFonts w:asciiTheme="minorEastAsia" w:hAnsiTheme="minorEastAsia" w:eastAsiaTheme="minorEastAsia" w:cstheme="minorEastAsia"/>
          <w:b/>
          <w:color w:val="000000" w:themeColor="text1"/>
          <w:sz w:val="24"/>
          <w14:textFill>
            <w14:solidFill>
              <w14:schemeClr w14:val="tx1"/>
            </w14:solidFill>
          </w14:textFill>
        </w:rPr>
      </w:pPr>
      <w:r>
        <w:rPr>
          <w:rFonts w:hint="eastAsia" w:asciiTheme="minorEastAsia" w:hAnsiTheme="minorEastAsia" w:eastAsiaTheme="minorEastAsia" w:cstheme="minorEastAsia"/>
          <w:b/>
          <w:color w:val="000000" w:themeColor="text1"/>
          <w:sz w:val="24"/>
          <w14:textFill>
            <w14:solidFill>
              <w14:schemeClr w14:val="tx1"/>
            </w14:solidFill>
          </w14:textFill>
        </w:rPr>
        <w:t>28.投标人瑕疵滞后发现的处理规则</w:t>
      </w:r>
    </w:p>
    <w:p>
      <w:pPr>
        <w:adjustRightInd w:val="0"/>
        <w:snapToGrid w:val="0"/>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28.1无论基于何种原因，各项本应作拒绝处理的情形即便未被及时发现而使该投标人进入初审、综合评审或其他后续程序，包括已经签订合同的情形，一旦投标人被拒绝或该投标人的此前评议结果被取消，其现有的位置将被其他投标人依序替代，相关的一切损失均由该投标人承担。</w:t>
      </w:r>
    </w:p>
    <w:p>
      <w:pPr>
        <w:adjustRightInd w:val="0"/>
        <w:snapToGrid w:val="0"/>
        <w:spacing w:line="360" w:lineRule="auto"/>
        <w:rPr>
          <w:rFonts w:asciiTheme="minorEastAsia" w:hAnsiTheme="minorEastAsia" w:eastAsiaTheme="minorEastAsia" w:cstheme="minorEastAsia"/>
          <w:b/>
          <w:color w:val="000000" w:themeColor="text1"/>
          <w:sz w:val="24"/>
          <w14:textFill>
            <w14:solidFill>
              <w14:schemeClr w14:val="tx1"/>
            </w14:solidFill>
          </w14:textFill>
        </w:rPr>
      </w:pPr>
      <w:r>
        <w:rPr>
          <w:rFonts w:hint="eastAsia" w:asciiTheme="minorEastAsia" w:hAnsiTheme="minorEastAsia" w:eastAsiaTheme="minorEastAsia" w:cstheme="minorEastAsia"/>
          <w:b/>
          <w:color w:val="000000" w:themeColor="text1"/>
          <w:sz w:val="24"/>
          <w14:textFill>
            <w14:solidFill>
              <w14:schemeClr w14:val="tx1"/>
            </w14:solidFill>
          </w14:textFill>
        </w:rPr>
        <w:t>29.采购项目废标</w:t>
      </w:r>
    </w:p>
    <w:p>
      <w:pPr>
        <w:adjustRightInd w:val="0"/>
        <w:snapToGrid w:val="0"/>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29.1在评标过程中，评标委员会发现有下列情形之一的，应对采购项目予以废标：</w:t>
      </w:r>
    </w:p>
    <w:p>
      <w:pPr>
        <w:adjustRightInd w:val="0"/>
        <w:snapToGrid w:val="0"/>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 xml:space="preserve">1）符合专业条件的投标人或者对招标文件作实质响应的投标人数量不足，导致进入详细评审、打分阶段的投标人不足3家的； </w:t>
      </w:r>
    </w:p>
    <w:p>
      <w:pPr>
        <w:adjustRightInd w:val="0"/>
        <w:snapToGrid w:val="0"/>
        <w:spacing w:line="360" w:lineRule="auto"/>
        <w:ind w:left="479" w:leftChars="228"/>
        <w:rPr>
          <w:rFonts w:hint="eastAsia" w:asciiTheme="minorEastAsia" w:hAnsiTheme="minorEastAsia" w:eastAsiaTheme="minorEastAsia" w:cstheme="minorEastAsia"/>
          <w:color w:val="000000" w:themeColor="text1"/>
          <w:sz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2）投标人的报价均超过了采购预算；</w:t>
      </w:r>
    </w:p>
    <w:p>
      <w:pPr>
        <w:adjustRightInd w:val="0"/>
        <w:snapToGrid w:val="0"/>
        <w:spacing w:line="360" w:lineRule="auto"/>
        <w:ind w:left="479" w:leftChars="228"/>
        <w:rPr>
          <w:rFonts w:hint="eastAsia" w:asciiTheme="minorEastAsia" w:hAnsiTheme="minorEastAsia" w:eastAsiaTheme="minorEastAsia" w:cstheme="minorEastAsia"/>
          <w:color w:val="000000" w:themeColor="text1"/>
          <w:sz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3）出现影响采购公正的违法、违规行为的；</w:t>
      </w:r>
    </w:p>
    <w:p>
      <w:pPr>
        <w:adjustRightInd w:val="0"/>
        <w:snapToGrid w:val="0"/>
        <w:spacing w:line="360" w:lineRule="auto"/>
        <w:ind w:left="479" w:leftChars="228"/>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4）因重大变故，采购任务取消的。</w:t>
      </w:r>
    </w:p>
    <w:p>
      <w:pPr>
        <w:adjustRightInd w:val="0"/>
        <w:snapToGrid w:val="0"/>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除前款第四项规定的情形外，项目废标后，如未变更采购方式，采购代理机构将依法重新组织招标。</w:t>
      </w:r>
    </w:p>
    <w:p>
      <w:pPr>
        <w:pStyle w:val="5"/>
        <w:numPr>
          <w:ilvl w:val="0"/>
          <w:numId w:val="0"/>
        </w:numPr>
        <w:snapToGrid w:val="0"/>
        <w:spacing w:before="0" w:after="0" w:line="360" w:lineRule="auto"/>
        <w:rPr>
          <w:rFonts w:asciiTheme="minorEastAsia" w:hAnsiTheme="minorEastAsia" w:eastAsiaTheme="minorEastAsia" w:cstheme="minorEastAsia"/>
          <w:color w:val="000000" w:themeColor="text1"/>
          <w:sz w:val="24"/>
          <w:szCs w:val="24"/>
          <w14:textFill>
            <w14:solidFill>
              <w14:schemeClr w14:val="tx1"/>
            </w14:solidFill>
          </w14:textFill>
        </w:rPr>
      </w:pPr>
      <w:bookmarkStart w:id="52" w:name="_Toc8726"/>
      <w:r>
        <w:rPr>
          <w:rFonts w:hint="eastAsia" w:asciiTheme="minorEastAsia" w:hAnsiTheme="minorEastAsia" w:eastAsiaTheme="minorEastAsia" w:cstheme="minorEastAsia"/>
          <w:color w:val="000000" w:themeColor="text1"/>
          <w:sz w:val="24"/>
          <w:szCs w:val="24"/>
          <w14:textFill>
            <w14:solidFill>
              <w14:schemeClr w14:val="tx1"/>
            </w14:solidFill>
          </w14:textFill>
        </w:rPr>
        <w:t>八、履约保证金</w:t>
      </w:r>
      <w:bookmarkEnd w:id="52"/>
    </w:p>
    <w:p>
      <w:pPr>
        <w:adjustRightInd w:val="0"/>
        <w:snapToGrid w:val="0"/>
        <w:spacing w:line="360" w:lineRule="auto"/>
        <w:rPr>
          <w:rFonts w:asciiTheme="minorEastAsia" w:hAnsiTheme="minorEastAsia" w:eastAsiaTheme="minorEastAsia" w:cstheme="minorEastAsia"/>
          <w:b/>
          <w:color w:val="000000" w:themeColor="text1"/>
          <w:sz w:val="24"/>
          <w14:textFill>
            <w14:solidFill>
              <w14:schemeClr w14:val="tx1"/>
            </w14:solidFill>
          </w14:textFill>
        </w:rPr>
      </w:pPr>
      <w:r>
        <w:rPr>
          <w:rFonts w:hint="eastAsia" w:asciiTheme="minorEastAsia" w:hAnsiTheme="minorEastAsia" w:eastAsiaTheme="minorEastAsia" w:cstheme="minorEastAsia"/>
          <w:b/>
          <w:color w:val="000000" w:themeColor="text1"/>
          <w:sz w:val="24"/>
          <w14:textFill>
            <w14:solidFill>
              <w14:schemeClr w14:val="tx1"/>
            </w14:solidFill>
          </w14:textFill>
        </w:rPr>
        <w:t>30.履约保证金</w:t>
      </w:r>
    </w:p>
    <w:p>
      <w:pPr>
        <w:adjustRightInd w:val="0"/>
        <w:snapToGrid w:val="0"/>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30.1履约保证金按照招标文件第二部分“投标人须知前附表”中第23项规定，在签订合同前交纳。</w:t>
      </w:r>
    </w:p>
    <w:p>
      <w:pPr>
        <w:adjustRightInd w:val="0"/>
        <w:snapToGrid w:val="0"/>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30.2中标人在中标公告发布后及时足额交纳履约保证金。</w:t>
      </w:r>
    </w:p>
    <w:p>
      <w:pPr>
        <w:pStyle w:val="5"/>
        <w:numPr>
          <w:ilvl w:val="0"/>
          <w:numId w:val="0"/>
        </w:numPr>
        <w:snapToGrid w:val="0"/>
        <w:spacing w:before="0" w:after="0" w:line="360" w:lineRule="auto"/>
        <w:rPr>
          <w:rFonts w:asciiTheme="minorEastAsia" w:hAnsiTheme="minorEastAsia" w:eastAsiaTheme="minorEastAsia" w:cstheme="minorEastAsia"/>
          <w:color w:val="000000" w:themeColor="text1"/>
          <w:sz w:val="24"/>
          <w:szCs w:val="24"/>
          <w14:textFill>
            <w14:solidFill>
              <w14:schemeClr w14:val="tx1"/>
            </w14:solidFill>
          </w14:textFill>
        </w:rPr>
      </w:pPr>
      <w:bookmarkStart w:id="53" w:name="_Toc2793"/>
      <w:r>
        <w:rPr>
          <w:rFonts w:hint="eastAsia" w:asciiTheme="minorEastAsia" w:hAnsiTheme="minorEastAsia" w:eastAsiaTheme="minorEastAsia" w:cstheme="minorEastAsia"/>
          <w:color w:val="000000" w:themeColor="text1"/>
          <w:sz w:val="24"/>
          <w:szCs w:val="24"/>
          <w14:textFill>
            <w14:solidFill>
              <w14:schemeClr w14:val="tx1"/>
            </w14:solidFill>
          </w14:textFill>
        </w:rPr>
        <w:t>九、代理服务费</w:t>
      </w:r>
      <w:bookmarkEnd w:id="53"/>
    </w:p>
    <w:p>
      <w:pPr>
        <w:adjustRightInd w:val="0"/>
        <w:snapToGrid w:val="0"/>
        <w:spacing w:line="360" w:lineRule="auto"/>
        <w:rPr>
          <w:rFonts w:asciiTheme="minorEastAsia" w:hAnsiTheme="minorEastAsia" w:eastAsiaTheme="minorEastAsia" w:cstheme="minorEastAsia"/>
          <w:b/>
          <w:color w:val="000000" w:themeColor="text1"/>
          <w:sz w:val="24"/>
          <w14:textFill>
            <w14:solidFill>
              <w14:schemeClr w14:val="tx1"/>
            </w14:solidFill>
          </w14:textFill>
        </w:rPr>
      </w:pPr>
      <w:r>
        <w:rPr>
          <w:rFonts w:hint="eastAsia" w:asciiTheme="minorEastAsia" w:hAnsiTheme="minorEastAsia" w:eastAsiaTheme="minorEastAsia" w:cstheme="minorEastAsia"/>
          <w:b/>
          <w:color w:val="000000" w:themeColor="text1"/>
          <w:sz w:val="24"/>
          <w14:textFill>
            <w14:solidFill>
              <w14:schemeClr w14:val="tx1"/>
            </w14:solidFill>
          </w14:textFill>
        </w:rPr>
        <w:t>31.代理服务费</w:t>
      </w:r>
    </w:p>
    <w:p>
      <w:pPr>
        <w:adjustRightInd w:val="0"/>
        <w:snapToGrid w:val="0"/>
        <w:spacing w:line="360" w:lineRule="auto"/>
        <w:ind w:firstLine="470" w:firstLineChars="196"/>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31.1代理服务费按照招标文件第二部分“投标人须知前附表”中第24项和第26项的规定由中标人交纳，请投标人在测算投标报价时充分考虑这一因素。</w:t>
      </w:r>
    </w:p>
    <w:p>
      <w:pPr>
        <w:pStyle w:val="5"/>
        <w:numPr>
          <w:ilvl w:val="0"/>
          <w:numId w:val="0"/>
        </w:numPr>
        <w:snapToGrid w:val="0"/>
        <w:spacing w:before="0" w:after="0" w:line="360" w:lineRule="auto"/>
        <w:rPr>
          <w:rFonts w:asciiTheme="minorEastAsia" w:hAnsiTheme="minorEastAsia" w:eastAsiaTheme="minorEastAsia" w:cstheme="minorEastAsia"/>
          <w:color w:val="000000" w:themeColor="text1"/>
          <w:sz w:val="24"/>
          <w:szCs w:val="24"/>
          <w14:textFill>
            <w14:solidFill>
              <w14:schemeClr w14:val="tx1"/>
            </w14:solidFill>
          </w14:textFill>
        </w:rPr>
      </w:pPr>
      <w:bookmarkStart w:id="54" w:name="_Toc22446"/>
      <w:r>
        <w:rPr>
          <w:rFonts w:hint="eastAsia" w:asciiTheme="minorEastAsia" w:hAnsiTheme="minorEastAsia" w:eastAsiaTheme="minorEastAsia" w:cstheme="minorEastAsia"/>
          <w:color w:val="000000" w:themeColor="text1"/>
          <w:sz w:val="24"/>
          <w:szCs w:val="24"/>
          <w14:textFill>
            <w14:solidFill>
              <w14:schemeClr w14:val="tx1"/>
            </w14:solidFill>
          </w14:textFill>
        </w:rPr>
        <w:t>十、签订、审核合同</w:t>
      </w:r>
      <w:bookmarkEnd w:id="54"/>
    </w:p>
    <w:p>
      <w:pPr>
        <w:adjustRightInd w:val="0"/>
        <w:snapToGrid w:val="0"/>
        <w:spacing w:line="360" w:lineRule="auto"/>
        <w:rPr>
          <w:rFonts w:asciiTheme="minorEastAsia" w:hAnsiTheme="minorEastAsia" w:eastAsiaTheme="minorEastAsia" w:cstheme="minorEastAsia"/>
          <w:b/>
          <w:color w:val="000000" w:themeColor="text1"/>
          <w:sz w:val="24"/>
          <w14:textFill>
            <w14:solidFill>
              <w14:schemeClr w14:val="tx1"/>
            </w14:solidFill>
          </w14:textFill>
        </w:rPr>
      </w:pPr>
      <w:r>
        <w:rPr>
          <w:rFonts w:hint="eastAsia" w:asciiTheme="minorEastAsia" w:hAnsiTheme="minorEastAsia" w:eastAsiaTheme="minorEastAsia" w:cstheme="minorEastAsia"/>
          <w:b/>
          <w:color w:val="000000" w:themeColor="text1"/>
          <w:sz w:val="24"/>
          <w14:textFill>
            <w14:solidFill>
              <w14:schemeClr w14:val="tx1"/>
            </w14:solidFill>
          </w14:textFill>
        </w:rPr>
        <w:t>32.中标通知</w:t>
      </w:r>
    </w:p>
    <w:p>
      <w:pPr>
        <w:adjustRightInd w:val="0"/>
        <w:snapToGrid w:val="0"/>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32.1中标人确定后,采购代理机构将在相关政府采购信息发布媒体上发布中标公告，并以书面形式向中标人发出中标通知书，但该中标结果的有效性不依赖于未中标的投标人是否已经收到该通知。中标人应按照上述第</w:t>
      </w:r>
      <w:r>
        <w:rPr>
          <w:rFonts w:hint="eastAsia" w:asciiTheme="minorEastAsia" w:hAnsiTheme="minorEastAsia" w:eastAsiaTheme="minorEastAsia" w:cstheme="minorEastAsia"/>
          <w:color w:val="000000" w:themeColor="text1"/>
          <w:sz w:val="24"/>
          <w:lang w:val="en-US" w:eastAsia="zh-CN"/>
          <w14:textFill>
            <w14:solidFill>
              <w14:schemeClr w14:val="tx1"/>
            </w14:solidFill>
          </w14:textFill>
        </w:rPr>
        <w:t>26</w:t>
      </w:r>
      <w:r>
        <w:rPr>
          <w:rFonts w:hint="eastAsia" w:asciiTheme="minorEastAsia" w:hAnsiTheme="minorEastAsia" w:eastAsiaTheme="minorEastAsia" w:cstheme="minorEastAsia"/>
          <w:color w:val="000000" w:themeColor="text1"/>
          <w:sz w:val="24"/>
          <w14:textFill>
            <w14:solidFill>
              <w14:schemeClr w14:val="tx1"/>
            </w14:solidFill>
          </w14:textFill>
        </w:rPr>
        <w:t>条的规定交纳履约保证金、代理服务费并经采购代理机构确认后，委派专人持介绍信或授权书和身份证件前往采购代理机构领取中标通知书。中标通知书对采购人和中标人具有同等法律效力。中标通知书发出以后，采购人改变中标结果或者中标人放弃中标，应当承担相应的法律责任。</w:t>
      </w:r>
    </w:p>
    <w:p>
      <w:pPr>
        <w:adjustRightInd w:val="0"/>
        <w:snapToGrid w:val="0"/>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32.2采购代理机构对未中标的投标人不作未中标原因的解释，但中标结果的有效性不以未中标的投标人是否收到相应的通知为前提。</w:t>
      </w:r>
    </w:p>
    <w:p>
      <w:pPr>
        <w:adjustRightInd w:val="0"/>
        <w:snapToGrid w:val="0"/>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32.3中标通知书是合同的组成部分。</w:t>
      </w:r>
    </w:p>
    <w:p>
      <w:pPr>
        <w:adjustRightInd w:val="0"/>
        <w:snapToGrid w:val="0"/>
        <w:spacing w:line="360" w:lineRule="auto"/>
        <w:rPr>
          <w:rFonts w:asciiTheme="minorEastAsia" w:hAnsiTheme="minorEastAsia" w:eastAsiaTheme="minorEastAsia" w:cstheme="minorEastAsia"/>
          <w:b/>
          <w:color w:val="000000" w:themeColor="text1"/>
          <w:sz w:val="24"/>
          <w14:textFill>
            <w14:solidFill>
              <w14:schemeClr w14:val="tx1"/>
            </w14:solidFill>
          </w14:textFill>
        </w:rPr>
      </w:pPr>
      <w:r>
        <w:rPr>
          <w:rFonts w:hint="eastAsia" w:asciiTheme="minorEastAsia" w:hAnsiTheme="minorEastAsia" w:eastAsiaTheme="minorEastAsia" w:cstheme="minorEastAsia"/>
          <w:b/>
          <w:color w:val="000000" w:themeColor="text1"/>
          <w:sz w:val="24"/>
          <w14:textFill>
            <w14:solidFill>
              <w14:schemeClr w14:val="tx1"/>
            </w14:solidFill>
          </w14:textFill>
        </w:rPr>
        <w:t>33.签订合同</w:t>
      </w:r>
    </w:p>
    <w:p>
      <w:pPr>
        <w:adjustRightInd w:val="0"/>
        <w:snapToGrid w:val="0"/>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33.1中标人须在中标通知书发出之日起30日内与采购人签订采购合同。</w:t>
      </w:r>
    </w:p>
    <w:p>
      <w:pPr>
        <w:adjustRightInd w:val="0"/>
        <w:snapToGrid w:val="0"/>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33.2中标人须按照招标文件、投标文件及评标过程中的有关澄清、说明或者补正文件的内容与采购人签订合同。中标人不得再与采购人签订背离合同实质性内容的其他协议或声明。</w:t>
      </w:r>
    </w:p>
    <w:p>
      <w:pPr>
        <w:adjustRightInd w:val="0"/>
        <w:snapToGrid w:val="0"/>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33.3采购人如需追加与合同标的相同的货物，在不改变合同其他条款的前提下，提交追加合同的申请报经同级财政部门审核后，可与中标人签订补充合同，但所有补充合同的采购金额不得超过原合同金额的百分之十。</w:t>
      </w:r>
    </w:p>
    <w:p>
      <w:pPr>
        <w:adjustRightInd w:val="0"/>
        <w:snapToGrid w:val="0"/>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33.4中标人一旦中标及签订合同后，不得转包，亦不得将合同全部及任何权利、义务向第三方转让。</w:t>
      </w:r>
    </w:p>
    <w:p>
      <w:pPr>
        <w:adjustRightInd w:val="0"/>
        <w:snapToGrid w:val="0"/>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33.5中标人不履行合同的，采购人可在报经同级人民政府财政部门核准后，与排位在中标人之后的第一位中标候选投标人签订合同，以此类推；或在报经同级人民政府财政部门核准后重新组织采购。</w:t>
      </w:r>
    </w:p>
    <w:p>
      <w:pPr>
        <w:adjustRightInd w:val="0"/>
        <w:snapToGrid w:val="0"/>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33.6违反32.1条、32.2条的规定，给对方造成损失的，应承担赔偿责任。</w:t>
      </w:r>
    </w:p>
    <w:p>
      <w:pPr>
        <w:adjustRightInd w:val="0"/>
        <w:snapToGrid w:val="0"/>
        <w:spacing w:line="360" w:lineRule="auto"/>
        <w:rPr>
          <w:rFonts w:asciiTheme="minorEastAsia" w:hAnsiTheme="minorEastAsia" w:eastAsiaTheme="minorEastAsia" w:cstheme="minorEastAsia"/>
          <w:b/>
          <w:color w:val="000000" w:themeColor="text1"/>
          <w:sz w:val="24"/>
          <w14:textFill>
            <w14:solidFill>
              <w14:schemeClr w14:val="tx1"/>
            </w14:solidFill>
          </w14:textFill>
        </w:rPr>
      </w:pPr>
      <w:r>
        <w:rPr>
          <w:rFonts w:hint="eastAsia" w:asciiTheme="minorEastAsia" w:hAnsiTheme="minorEastAsia" w:eastAsiaTheme="minorEastAsia" w:cstheme="minorEastAsia"/>
          <w:b/>
          <w:color w:val="000000" w:themeColor="text1"/>
          <w:sz w:val="24"/>
          <w14:textFill>
            <w14:solidFill>
              <w14:schemeClr w14:val="tx1"/>
            </w14:solidFill>
          </w14:textFill>
        </w:rPr>
        <w:t>34.审核合同</w:t>
      </w:r>
    </w:p>
    <w:p>
      <w:pPr>
        <w:adjustRightInd w:val="0"/>
        <w:snapToGrid w:val="0"/>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34.1中标人持政府采购合同于签订合同之日起3个工作日内到采购代理机构进行备案留存。</w:t>
      </w:r>
    </w:p>
    <w:p>
      <w:pPr>
        <w:pStyle w:val="5"/>
        <w:numPr>
          <w:ilvl w:val="0"/>
          <w:numId w:val="0"/>
        </w:numPr>
        <w:snapToGrid w:val="0"/>
        <w:spacing w:before="0" w:after="0" w:line="360" w:lineRule="auto"/>
        <w:rPr>
          <w:rFonts w:asciiTheme="minorEastAsia" w:hAnsiTheme="minorEastAsia" w:eastAsiaTheme="minorEastAsia" w:cstheme="minorEastAsia"/>
          <w:color w:val="000000" w:themeColor="text1"/>
          <w:sz w:val="24"/>
          <w:szCs w:val="24"/>
          <w14:textFill>
            <w14:solidFill>
              <w14:schemeClr w14:val="tx1"/>
            </w14:solidFill>
          </w14:textFill>
        </w:rPr>
      </w:pPr>
      <w:bookmarkStart w:id="55" w:name="_Toc4693"/>
      <w:r>
        <w:rPr>
          <w:rFonts w:hint="eastAsia" w:asciiTheme="minorEastAsia" w:hAnsiTheme="minorEastAsia" w:eastAsiaTheme="minorEastAsia" w:cstheme="minorEastAsia"/>
          <w:color w:val="000000" w:themeColor="text1"/>
          <w:sz w:val="24"/>
          <w:szCs w:val="24"/>
          <w14:textFill>
            <w14:solidFill>
              <w14:schemeClr w14:val="tx1"/>
            </w14:solidFill>
          </w14:textFill>
        </w:rPr>
        <w:t>十一、处罚、询问和质疑</w:t>
      </w:r>
      <w:bookmarkEnd w:id="55"/>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 </w:t>
      </w:r>
    </w:p>
    <w:p>
      <w:pPr>
        <w:adjustRightInd w:val="0"/>
        <w:snapToGrid w:val="0"/>
        <w:spacing w:line="360" w:lineRule="auto"/>
        <w:rPr>
          <w:rFonts w:asciiTheme="minorEastAsia" w:hAnsiTheme="minorEastAsia" w:eastAsiaTheme="minorEastAsia" w:cstheme="minorEastAsia"/>
          <w:b/>
          <w:color w:val="000000" w:themeColor="text1"/>
          <w:sz w:val="24"/>
          <w14:textFill>
            <w14:solidFill>
              <w14:schemeClr w14:val="tx1"/>
            </w14:solidFill>
          </w14:textFill>
        </w:rPr>
      </w:pPr>
      <w:r>
        <w:rPr>
          <w:rFonts w:hint="eastAsia" w:asciiTheme="minorEastAsia" w:hAnsiTheme="minorEastAsia" w:eastAsiaTheme="minorEastAsia" w:cstheme="minorEastAsia"/>
          <w:b/>
          <w:color w:val="000000" w:themeColor="text1"/>
          <w:sz w:val="24"/>
          <w14:textFill>
            <w14:solidFill>
              <w14:schemeClr w14:val="tx1"/>
            </w14:solidFill>
          </w14:textFill>
        </w:rPr>
        <w:t>35.处罚</w:t>
      </w:r>
    </w:p>
    <w:p>
      <w:pPr>
        <w:adjustRightInd w:val="0"/>
        <w:snapToGrid w:val="0"/>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35.1发生下列情况之一，投标人的保证金不予退还；情节严重的将其列入不良记录名单。</w:t>
      </w:r>
    </w:p>
    <w:p>
      <w:pPr>
        <w:adjustRightInd w:val="0"/>
        <w:snapToGrid w:val="0"/>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1）开标后在投标有效期内，投标人撤回其投标；</w:t>
      </w:r>
    </w:p>
    <w:p>
      <w:pPr>
        <w:adjustRightInd w:val="0"/>
        <w:snapToGrid w:val="0"/>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2）中标后无正当理由不与采购人签订合同的；</w:t>
      </w:r>
    </w:p>
    <w:p>
      <w:pPr>
        <w:adjustRightInd w:val="0"/>
        <w:snapToGrid w:val="0"/>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3）中标人与采购人订立背离合同实质性内容的其他协议；</w:t>
      </w:r>
    </w:p>
    <w:p>
      <w:pPr>
        <w:adjustRightInd w:val="0"/>
        <w:snapToGrid w:val="0"/>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4）将中标项目转让给他人，或者在投标文件中未说明，且未经采购代理机构同意，将中标项目分包给他人的；</w:t>
      </w:r>
    </w:p>
    <w:p>
      <w:pPr>
        <w:adjustRightInd w:val="0"/>
        <w:snapToGrid w:val="0"/>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5）存在串通投标行为的；</w:t>
      </w:r>
    </w:p>
    <w:p>
      <w:pPr>
        <w:adjustRightInd w:val="0"/>
        <w:snapToGrid w:val="0"/>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6）存在弄虚作假或提供虚假材料谋取中标的；</w:t>
      </w:r>
    </w:p>
    <w:p>
      <w:pPr>
        <w:adjustRightInd w:val="0"/>
        <w:snapToGrid w:val="0"/>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7）投标人其他未按招标文件规定和合同约定履行义务的行为。</w:t>
      </w:r>
    </w:p>
    <w:p>
      <w:pPr>
        <w:adjustRightInd w:val="0"/>
        <w:snapToGrid w:val="0"/>
        <w:spacing w:line="360" w:lineRule="auto"/>
        <w:rPr>
          <w:rFonts w:asciiTheme="minorEastAsia" w:hAnsiTheme="minorEastAsia" w:eastAsiaTheme="minorEastAsia" w:cstheme="minorEastAsia"/>
          <w:b/>
          <w:color w:val="000000" w:themeColor="text1"/>
          <w:sz w:val="24"/>
          <w14:textFill>
            <w14:solidFill>
              <w14:schemeClr w14:val="tx1"/>
            </w14:solidFill>
          </w14:textFill>
        </w:rPr>
      </w:pPr>
      <w:r>
        <w:rPr>
          <w:rFonts w:hint="eastAsia" w:asciiTheme="minorEastAsia" w:hAnsiTheme="minorEastAsia" w:eastAsiaTheme="minorEastAsia" w:cstheme="minorEastAsia"/>
          <w:b/>
          <w:color w:val="000000" w:themeColor="text1"/>
          <w:sz w:val="24"/>
          <w14:textFill>
            <w14:solidFill>
              <w14:schemeClr w14:val="tx1"/>
            </w14:solidFill>
          </w14:textFill>
        </w:rPr>
        <w:t>36．询问</w:t>
      </w:r>
    </w:p>
    <w:p>
      <w:pPr>
        <w:adjustRightInd w:val="0"/>
        <w:snapToGrid w:val="0"/>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36.1投标人对采购事项有疑问的，可以向采购人或采购代理机构提出询问。</w:t>
      </w:r>
    </w:p>
    <w:p>
      <w:pPr>
        <w:adjustRightInd w:val="0"/>
        <w:snapToGrid w:val="0"/>
        <w:spacing w:line="360" w:lineRule="auto"/>
        <w:rPr>
          <w:rFonts w:asciiTheme="minorEastAsia" w:hAnsiTheme="minorEastAsia" w:eastAsiaTheme="minorEastAsia" w:cstheme="minorEastAsia"/>
          <w:b/>
          <w:color w:val="000000" w:themeColor="text1"/>
          <w:sz w:val="24"/>
          <w14:textFill>
            <w14:solidFill>
              <w14:schemeClr w14:val="tx1"/>
            </w14:solidFill>
          </w14:textFill>
        </w:rPr>
      </w:pPr>
      <w:r>
        <w:rPr>
          <w:rFonts w:hint="eastAsia" w:asciiTheme="minorEastAsia" w:hAnsiTheme="minorEastAsia" w:eastAsiaTheme="minorEastAsia" w:cstheme="minorEastAsia"/>
          <w:b/>
          <w:color w:val="000000" w:themeColor="text1"/>
          <w:sz w:val="24"/>
          <w14:textFill>
            <w14:solidFill>
              <w14:schemeClr w14:val="tx1"/>
            </w14:solidFill>
          </w14:textFill>
        </w:rPr>
        <w:t>37.投标人有权就招标事宜提出质疑</w:t>
      </w:r>
    </w:p>
    <w:p>
      <w:pPr>
        <w:adjustRightInd w:val="0"/>
        <w:snapToGrid w:val="0"/>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37.1投标人认为招标文件、采购过程和中标结果使自已的权益受到损害的，可以在知道或者应知其权益受到损害之日起7个工作日内，以书面形式提出质疑。</w:t>
      </w:r>
    </w:p>
    <w:p>
      <w:pPr>
        <w:adjustRightInd w:val="0"/>
        <w:snapToGrid w:val="0"/>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37.2质疑应当按照《中华人民共和国政府采购法》、《中华人民共和国政府采购法实施条例》、《政府采购投标人投诉处理办法》等法律法规的相关规定，以书面形式向采购代理机构提出。</w:t>
      </w:r>
    </w:p>
    <w:p>
      <w:pPr>
        <w:adjustRightInd w:val="0"/>
        <w:snapToGrid w:val="0"/>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37.3质疑书应当附上相关证明材料，否则质疑将视为无有效证据支持，将被予以驳回，并不得以上述理由要求延长质疑有效期。未递交投标文件的投标人，其未参加后续采购活动，不得对递交投标文件截止后的采购过程、采购结果提出质疑。</w:t>
      </w:r>
    </w:p>
    <w:p>
      <w:pPr>
        <w:adjustRightInd w:val="0"/>
        <w:snapToGrid w:val="0"/>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37.4质疑人可以采取直接送达或者邮寄方式提交质疑书。采购代理机构收到质疑书后，对质疑书进行审查，对符合质疑条件的将办理签收手续，自签收质疑书之日起即为受理。</w:t>
      </w:r>
    </w:p>
    <w:p>
      <w:pPr>
        <w:adjustRightInd w:val="0"/>
        <w:snapToGrid w:val="0"/>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37.5采购代理机构将在受理书面质疑后7个工作日内审查质疑事项，作出答复或相关处理决定，并以书面形式通知质疑人和其他相关投标人，但答复的内容不涉及商业秘密。</w:t>
      </w:r>
    </w:p>
    <w:p>
      <w:pPr>
        <w:adjustRightInd w:val="0"/>
        <w:snapToGrid w:val="0"/>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37.6投标人进行虚假和恶意质疑的，采购代理机构将提请有关部门将其列入不良记录名单，在一至三年内禁止参加政府采购活动，并将处理决定在相关政府采购媒体上公布。</w:t>
      </w:r>
    </w:p>
    <w:p>
      <w:pPr>
        <w:adjustRightInd w:val="0"/>
        <w:snapToGrid w:val="0"/>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37.7质疑人对答复不满意以及采购代理机构未在规定的时间内作出答复的，可以在答复期满后15个工作日内向财政部门投拆。</w:t>
      </w:r>
    </w:p>
    <w:p>
      <w:pPr>
        <w:pStyle w:val="5"/>
        <w:numPr>
          <w:ilvl w:val="0"/>
          <w:numId w:val="0"/>
        </w:numPr>
        <w:snapToGrid w:val="0"/>
        <w:spacing w:before="0" w:after="0" w:line="360" w:lineRule="auto"/>
        <w:rPr>
          <w:rFonts w:asciiTheme="minorEastAsia" w:hAnsiTheme="minorEastAsia" w:eastAsiaTheme="minorEastAsia" w:cstheme="minorEastAsia"/>
          <w:color w:val="000000" w:themeColor="text1"/>
          <w:sz w:val="24"/>
          <w:szCs w:val="24"/>
          <w14:textFill>
            <w14:solidFill>
              <w14:schemeClr w14:val="tx1"/>
            </w14:solidFill>
          </w14:textFill>
        </w:rPr>
      </w:pPr>
      <w:bookmarkStart w:id="56" w:name="_Toc7020"/>
      <w:r>
        <w:rPr>
          <w:rFonts w:hint="eastAsia" w:asciiTheme="minorEastAsia" w:hAnsiTheme="minorEastAsia" w:eastAsiaTheme="minorEastAsia" w:cstheme="minorEastAsia"/>
          <w:color w:val="000000" w:themeColor="text1"/>
          <w:sz w:val="24"/>
          <w:szCs w:val="24"/>
          <w14:textFill>
            <w14:solidFill>
              <w14:schemeClr w14:val="tx1"/>
            </w14:solidFill>
          </w14:textFill>
        </w:rPr>
        <w:t>十二、保密和披露</w:t>
      </w:r>
      <w:bookmarkEnd w:id="56"/>
    </w:p>
    <w:p>
      <w:pPr>
        <w:adjustRightInd w:val="0"/>
        <w:snapToGrid w:val="0"/>
        <w:spacing w:line="360" w:lineRule="auto"/>
        <w:rPr>
          <w:rFonts w:asciiTheme="minorEastAsia" w:hAnsiTheme="minorEastAsia" w:eastAsiaTheme="minorEastAsia" w:cstheme="minorEastAsia"/>
          <w:b/>
          <w:color w:val="000000" w:themeColor="text1"/>
          <w:sz w:val="24"/>
          <w14:textFill>
            <w14:solidFill>
              <w14:schemeClr w14:val="tx1"/>
            </w14:solidFill>
          </w14:textFill>
        </w:rPr>
      </w:pPr>
      <w:r>
        <w:rPr>
          <w:rFonts w:hint="eastAsia" w:asciiTheme="minorEastAsia" w:hAnsiTheme="minorEastAsia" w:eastAsiaTheme="minorEastAsia" w:cstheme="minorEastAsia"/>
          <w:b/>
          <w:color w:val="000000" w:themeColor="text1"/>
          <w:sz w:val="24"/>
          <w14:textFill>
            <w14:solidFill>
              <w14:schemeClr w14:val="tx1"/>
            </w14:solidFill>
          </w14:textFill>
        </w:rPr>
        <w:t>38.保密和披露</w:t>
      </w:r>
    </w:p>
    <w:p>
      <w:pPr>
        <w:adjustRightInd w:val="0"/>
        <w:snapToGrid w:val="0"/>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38.1投标人自领取招标文件之日起，须承担本招标项目保密义务，不得将因本次招标获得的信息向第三人外传。由采购人向投标人提供的图纸、详细资料、样品、模型、模件和所有其它资料，被视为保密资料，仅被用于它所规定的用途。除非得到采购人的同意，不能向任何第三方透露。开标结束后，应采购人要求，投标人应归还所有从采购人处获得的保密资料。</w:t>
      </w:r>
    </w:p>
    <w:p>
      <w:pPr>
        <w:adjustRightInd w:val="0"/>
        <w:snapToGrid w:val="0"/>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38.2采购代理机构有权将投标人提供的所有资料向有关政府部门或评审标书的有关人员披露。</w:t>
      </w:r>
    </w:p>
    <w:p>
      <w:pPr>
        <w:adjustRightInd w:val="0"/>
        <w:snapToGrid w:val="0"/>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38.3在采购代理机构认为适当时、国家机关调查、审查、审计时以及其他符合法律规定的情形下，采购代理机构无须事先征求投标人同意而可以披露关于采购过程、合同文本、签署情况的资料、投标人的名称及地址、投标文件的有关信息以及补充条款等，但应当在合理的必要范围内。对任何已经公布过的内容或与之内容相同的资料，以及投标人已经泄露或公开的，无须再承担保密责任。</w:t>
      </w:r>
    </w:p>
    <w:p>
      <w:pPr>
        <w:rPr>
          <w:rFonts w:asciiTheme="minorEastAsia" w:hAnsiTheme="minorEastAsia" w:eastAsiaTheme="minorEastAsia" w:cstheme="minorEastAsia"/>
          <w:color w:val="000000" w:themeColor="text1"/>
          <w14:textFill>
            <w14:solidFill>
              <w14:schemeClr w14:val="tx1"/>
            </w14:solidFill>
          </w14:textFill>
        </w:rPr>
      </w:pPr>
      <w:bookmarkStart w:id="57" w:name="EB0daf250e925e43f5a6d3d576f31932f5"/>
      <w:r>
        <w:rPr>
          <w:rFonts w:hint="eastAsia" w:asciiTheme="minorEastAsia" w:hAnsiTheme="minorEastAsia" w:eastAsiaTheme="minorEastAsia" w:cstheme="minorEastAsia"/>
          <w:color w:val="000000" w:themeColor="text1"/>
          <w:sz w:val="20"/>
          <w14:textFill>
            <w14:solidFill>
              <w14:schemeClr w14:val="tx1"/>
            </w14:solidFill>
          </w14:textFill>
        </w:rPr>
        <w:t xml:space="preserve"> </w:t>
      </w:r>
      <w:bookmarkEnd w:id="57"/>
    </w:p>
    <w:p>
      <w:pPr>
        <w:pStyle w:val="21"/>
        <w:tabs>
          <w:tab w:val="left" w:pos="0"/>
        </w:tabs>
        <w:spacing w:line="240" w:lineRule="auto"/>
        <w:ind w:left="0" w:leftChars="0" w:firstLine="0" w:firstLineChars="0"/>
        <w:jc w:val="center"/>
        <w:outlineLvl w:val="0"/>
        <w:rPr>
          <w:rFonts w:ascii="仿宋" w:hAnsi="仿宋" w:eastAsia="仿宋" w:cs="仿宋"/>
          <w:b/>
          <w:color w:val="000000" w:themeColor="text1"/>
          <w:sz w:val="36"/>
          <w:szCs w:val="36"/>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br w:type="page"/>
      </w:r>
      <w:bookmarkStart w:id="58" w:name="_Toc16687"/>
      <w:r>
        <w:rPr>
          <w:rFonts w:hint="eastAsia" w:asciiTheme="minorEastAsia" w:hAnsiTheme="minorEastAsia" w:eastAsiaTheme="minorEastAsia" w:cstheme="minorEastAsia"/>
          <w:b/>
          <w:color w:val="000000" w:themeColor="text1"/>
          <w:sz w:val="36"/>
          <w14:textFill>
            <w14:solidFill>
              <w14:schemeClr w14:val="tx1"/>
            </w14:solidFill>
          </w14:textFill>
        </w:rPr>
        <w:t>第三部分   采购需求</w:t>
      </w:r>
      <w:bookmarkEnd w:id="58"/>
    </w:p>
    <w:p>
      <w:pPr>
        <w:pStyle w:val="20"/>
        <w:ind w:firstLine="964" w:firstLineChars="400"/>
        <w:rPr>
          <w:rFonts w:ascii="仿宋" w:hAnsi="仿宋" w:eastAsia="仿宋" w:cs="仿宋"/>
        </w:rPr>
      </w:pPr>
      <w:r>
        <w:rPr>
          <w:rFonts w:hint="eastAsia" w:ascii="仿宋" w:hAnsi="仿宋" w:eastAsia="仿宋" w:cs="仿宋"/>
          <w:b/>
          <w:bCs/>
        </w:rPr>
        <w:t xml:space="preserve"> </w:t>
      </w:r>
      <w:r>
        <w:rPr>
          <w:rFonts w:hint="eastAsia" w:ascii="仿宋" w:hAnsi="仿宋" w:eastAsia="仿宋" w:cs="仿宋"/>
          <w:b/>
          <w:bCs/>
          <w:sz w:val="28"/>
          <w:szCs w:val="28"/>
        </w:rPr>
        <w:t>先进装备制造与运维虚拟仿真示范基地报价清单和参数</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2"/>
        <w:gridCol w:w="3207"/>
        <w:gridCol w:w="670"/>
        <w:gridCol w:w="796"/>
        <w:gridCol w:w="2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8100" w:type="dxa"/>
            <w:gridSpan w:val="5"/>
            <w:vAlign w:val="center"/>
          </w:tcPr>
          <w:p>
            <w:pPr>
              <w:pStyle w:val="20"/>
              <w:jc w:val="center"/>
              <w:rPr>
                <w:rFonts w:ascii="仿宋" w:hAnsi="仿宋" w:eastAsia="仿宋" w:cs="仿宋"/>
              </w:rPr>
            </w:pPr>
            <w:r>
              <w:rPr>
                <w:rFonts w:hint="eastAsia" w:ascii="仿宋" w:hAnsi="仿宋" w:eastAsia="仿宋" w:cs="仿宋"/>
                <w:b/>
                <w:bCs/>
              </w:rPr>
              <w:t>体验教学研创综合实训室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62" w:type="dxa"/>
            <w:vAlign w:val="center"/>
          </w:tcPr>
          <w:p>
            <w:pPr>
              <w:pStyle w:val="20"/>
              <w:jc w:val="center"/>
              <w:rPr>
                <w:rFonts w:ascii="仿宋" w:hAnsi="仿宋" w:eastAsia="仿宋" w:cs="仿宋"/>
              </w:rPr>
            </w:pPr>
            <w:r>
              <w:rPr>
                <w:rFonts w:hint="eastAsia" w:ascii="仿宋" w:hAnsi="仿宋" w:eastAsia="仿宋" w:cs="仿宋"/>
              </w:rPr>
              <w:t>序号</w:t>
            </w:r>
          </w:p>
        </w:tc>
        <w:tc>
          <w:tcPr>
            <w:tcW w:w="3207" w:type="dxa"/>
            <w:vAlign w:val="center"/>
          </w:tcPr>
          <w:p>
            <w:pPr>
              <w:pStyle w:val="20"/>
              <w:jc w:val="center"/>
              <w:rPr>
                <w:rFonts w:ascii="仿宋" w:hAnsi="仿宋" w:eastAsia="仿宋" w:cs="仿宋"/>
              </w:rPr>
            </w:pPr>
            <w:r>
              <w:rPr>
                <w:rFonts w:hint="eastAsia" w:ascii="仿宋" w:hAnsi="仿宋" w:eastAsia="仿宋" w:cs="仿宋"/>
              </w:rPr>
              <w:t>设备名称</w:t>
            </w:r>
          </w:p>
        </w:tc>
        <w:tc>
          <w:tcPr>
            <w:tcW w:w="670" w:type="dxa"/>
            <w:vAlign w:val="center"/>
          </w:tcPr>
          <w:p>
            <w:pPr>
              <w:pStyle w:val="20"/>
              <w:jc w:val="center"/>
              <w:rPr>
                <w:rFonts w:ascii="仿宋" w:hAnsi="仿宋" w:eastAsia="仿宋" w:cs="仿宋"/>
              </w:rPr>
            </w:pPr>
            <w:r>
              <w:rPr>
                <w:rFonts w:hint="eastAsia" w:ascii="仿宋" w:hAnsi="仿宋" w:eastAsia="仿宋" w:cs="仿宋"/>
              </w:rPr>
              <w:t>数量</w:t>
            </w:r>
          </w:p>
        </w:tc>
        <w:tc>
          <w:tcPr>
            <w:tcW w:w="796" w:type="dxa"/>
            <w:vAlign w:val="center"/>
          </w:tcPr>
          <w:p>
            <w:pPr>
              <w:pStyle w:val="20"/>
              <w:jc w:val="center"/>
              <w:rPr>
                <w:rFonts w:ascii="仿宋" w:hAnsi="仿宋" w:eastAsia="仿宋" w:cs="仿宋"/>
              </w:rPr>
            </w:pPr>
            <w:r>
              <w:rPr>
                <w:rFonts w:hint="eastAsia" w:ascii="仿宋" w:hAnsi="仿宋" w:eastAsia="仿宋" w:cs="仿宋"/>
              </w:rPr>
              <w:t>单位</w:t>
            </w:r>
          </w:p>
        </w:tc>
        <w:tc>
          <w:tcPr>
            <w:tcW w:w="2665" w:type="dxa"/>
            <w:vAlign w:val="center"/>
          </w:tcPr>
          <w:p>
            <w:pPr>
              <w:pStyle w:val="20"/>
              <w:jc w:val="center"/>
              <w:rPr>
                <w:rFonts w:ascii="仿宋" w:hAnsi="仿宋" w:eastAsia="仿宋" w:cs="仿宋"/>
              </w:rPr>
            </w:pPr>
            <w:r>
              <w:rPr>
                <w:rFonts w:hint="eastAsia" w:ascii="仿宋" w:hAnsi="仿宋" w:eastAsia="仿宋" w:cs="仿宋"/>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62" w:type="dxa"/>
            <w:vAlign w:val="center"/>
          </w:tcPr>
          <w:p>
            <w:pPr>
              <w:pStyle w:val="20"/>
              <w:jc w:val="center"/>
              <w:rPr>
                <w:rFonts w:ascii="仿宋" w:hAnsi="仿宋" w:eastAsia="仿宋" w:cs="仿宋"/>
              </w:rPr>
            </w:pPr>
            <w:r>
              <w:rPr>
                <w:rFonts w:hint="eastAsia" w:ascii="仿宋" w:hAnsi="仿宋" w:eastAsia="仿宋" w:cs="仿宋"/>
              </w:rPr>
              <w:t>1</w:t>
            </w:r>
          </w:p>
        </w:tc>
        <w:tc>
          <w:tcPr>
            <w:tcW w:w="3207" w:type="dxa"/>
            <w:vAlign w:val="center"/>
          </w:tcPr>
          <w:p>
            <w:pPr>
              <w:pStyle w:val="20"/>
              <w:jc w:val="center"/>
              <w:rPr>
                <w:rFonts w:ascii="仿宋" w:hAnsi="仿宋" w:eastAsia="仿宋" w:cs="仿宋"/>
              </w:rPr>
            </w:pPr>
            <w:r>
              <w:rPr>
                <w:rFonts w:hint="eastAsia" w:ascii="仿宋" w:hAnsi="仿宋" w:eastAsia="仿宋" w:cs="仿宋"/>
              </w:rPr>
              <w:t>3DLED大屏</w:t>
            </w:r>
          </w:p>
        </w:tc>
        <w:tc>
          <w:tcPr>
            <w:tcW w:w="670" w:type="dxa"/>
            <w:vAlign w:val="center"/>
          </w:tcPr>
          <w:p>
            <w:pPr>
              <w:pStyle w:val="20"/>
              <w:jc w:val="center"/>
              <w:rPr>
                <w:rFonts w:ascii="仿宋" w:hAnsi="仿宋" w:eastAsia="仿宋" w:cs="仿宋"/>
              </w:rPr>
            </w:pPr>
            <w:r>
              <w:rPr>
                <w:rFonts w:hint="eastAsia" w:ascii="仿宋" w:hAnsi="仿宋" w:eastAsia="仿宋" w:cs="仿宋"/>
              </w:rPr>
              <w:t>14</w:t>
            </w:r>
          </w:p>
        </w:tc>
        <w:tc>
          <w:tcPr>
            <w:tcW w:w="796" w:type="dxa"/>
            <w:vAlign w:val="center"/>
          </w:tcPr>
          <w:p>
            <w:pPr>
              <w:pStyle w:val="20"/>
              <w:jc w:val="center"/>
              <w:rPr>
                <w:rFonts w:ascii="仿宋" w:hAnsi="仿宋" w:eastAsia="仿宋" w:cs="仿宋"/>
              </w:rPr>
            </w:pPr>
            <w:r>
              <w:rPr>
                <w:rFonts w:hint="eastAsia" w:ascii="仿宋" w:hAnsi="仿宋" w:eastAsia="仿宋" w:cs="仿宋"/>
              </w:rPr>
              <w:t>平米</w:t>
            </w:r>
          </w:p>
        </w:tc>
        <w:tc>
          <w:tcPr>
            <w:tcW w:w="2665" w:type="dxa"/>
            <w:vAlign w:val="center"/>
          </w:tcPr>
          <w:p>
            <w:pPr>
              <w:pStyle w:val="20"/>
              <w:jc w:val="center"/>
              <w:rPr>
                <w:rFonts w:ascii="仿宋" w:hAnsi="仿宋" w:eastAsia="仿宋" w:cs="仿宋"/>
              </w:rPr>
            </w:pPr>
            <w:r>
              <w:rPr>
                <w:rFonts w:hint="eastAsia" w:ascii="仿宋" w:hAnsi="仿宋" w:eastAsia="仿宋" w:cs="仿宋"/>
              </w:rPr>
              <w:t>4.8*2.88米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62" w:type="dxa"/>
            <w:vAlign w:val="center"/>
          </w:tcPr>
          <w:p>
            <w:pPr>
              <w:pStyle w:val="20"/>
              <w:jc w:val="center"/>
              <w:rPr>
                <w:rFonts w:ascii="仿宋" w:hAnsi="仿宋" w:eastAsia="仿宋" w:cs="仿宋"/>
              </w:rPr>
            </w:pPr>
            <w:r>
              <w:rPr>
                <w:rFonts w:hint="eastAsia" w:ascii="仿宋" w:hAnsi="仿宋" w:eastAsia="仿宋" w:cs="仿宋"/>
              </w:rPr>
              <w:t>2</w:t>
            </w:r>
          </w:p>
        </w:tc>
        <w:tc>
          <w:tcPr>
            <w:tcW w:w="3207" w:type="dxa"/>
            <w:vAlign w:val="center"/>
          </w:tcPr>
          <w:p>
            <w:pPr>
              <w:pStyle w:val="20"/>
              <w:jc w:val="center"/>
              <w:rPr>
                <w:rFonts w:ascii="仿宋" w:hAnsi="仿宋" w:eastAsia="仿宋" w:cs="仿宋"/>
              </w:rPr>
            </w:pPr>
            <w:r>
              <w:rPr>
                <w:rFonts w:hint="eastAsia" w:ascii="仿宋" w:hAnsi="仿宋" w:eastAsia="仿宋" w:cs="仿宋"/>
              </w:rPr>
              <w:t>智能讲桌</w:t>
            </w:r>
          </w:p>
        </w:tc>
        <w:tc>
          <w:tcPr>
            <w:tcW w:w="670" w:type="dxa"/>
            <w:vAlign w:val="center"/>
          </w:tcPr>
          <w:p>
            <w:pPr>
              <w:pStyle w:val="20"/>
              <w:jc w:val="center"/>
              <w:rPr>
                <w:rFonts w:ascii="仿宋" w:hAnsi="仿宋" w:eastAsia="仿宋" w:cs="仿宋"/>
              </w:rPr>
            </w:pPr>
            <w:r>
              <w:rPr>
                <w:rFonts w:hint="eastAsia" w:ascii="仿宋" w:hAnsi="仿宋" w:eastAsia="仿宋" w:cs="仿宋"/>
              </w:rPr>
              <w:t>1</w:t>
            </w:r>
          </w:p>
        </w:tc>
        <w:tc>
          <w:tcPr>
            <w:tcW w:w="796" w:type="dxa"/>
            <w:vAlign w:val="center"/>
          </w:tcPr>
          <w:p>
            <w:pPr>
              <w:pStyle w:val="20"/>
              <w:jc w:val="center"/>
              <w:rPr>
                <w:rFonts w:ascii="仿宋" w:hAnsi="仿宋" w:eastAsia="仿宋" w:cs="仿宋"/>
              </w:rPr>
            </w:pPr>
            <w:r>
              <w:rPr>
                <w:rFonts w:hint="eastAsia" w:ascii="仿宋" w:hAnsi="仿宋" w:eastAsia="仿宋" w:cs="仿宋"/>
              </w:rPr>
              <w:t>台</w:t>
            </w:r>
          </w:p>
        </w:tc>
        <w:tc>
          <w:tcPr>
            <w:tcW w:w="2665" w:type="dxa"/>
            <w:vAlign w:val="center"/>
          </w:tcPr>
          <w:p>
            <w:pPr>
              <w:pStyle w:val="20"/>
              <w:jc w:val="center"/>
              <w:rPr>
                <w:rFonts w:ascii="仿宋" w:hAnsi="仿宋" w:eastAsia="仿宋" w:cs="仿宋"/>
              </w:rPr>
            </w:pPr>
            <w:r>
              <w:rPr>
                <w:rFonts w:hint="eastAsia" w:ascii="仿宋" w:hAnsi="仿宋" w:eastAsia="仿宋" w:cs="仿宋"/>
              </w:rPr>
              <w:t>19寸触摸屏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62" w:type="dxa"/>
            <w:vAlign w:val="center"/>
          </w:tcPr>
          <w:p>
            <w:pPr>
              <w:pStyle w:val="20"/>
              <w:jc w:val="center"/>
              <w:rPr>
                <w:rFonts w:ascii="仿宋" w:hAnsi="仿宋" w:eastAsia="仿宋" w:cs="仿宋"/>
              </w:rPr>
            </w:pPr>
            <w:r>
              <w:rPr>
                <w:rFonts w:hint="eastAsia" w:ascii="仿宋" w:hAnsi="仿宋" w:eastAsia="仿宋" w:cs="仿宋"/>
              </w:rPr>
              <w:t>3</w:t>
            </w:r>
          </w:p>
        </w:tc>
        <w:tc>
          <w:tcPr>
            <w:tcW w:w="3207" w:type="dxa"/>
            <w:vAlign w:val="center"/>
          </w:tcPr>
          <w:p>
            <w:pPr>
              <w:pStyle w:val="20"/>
              <w:jc w:val="center"/>
              <w:rPr>
                <w:rFonts w:ascii="仿宋" w:hAnsi="仿宋" w:eastAsia="仿宋" w:cs="仿宋"/>
              </w:rPr>
            </w:pPr>
            <w:r>
              <w:rPr>
                <w:rFonts w:hint="eastAsia" w:ascii="仿宋" w:hAnsi="仿宋" w:eastAsia="仿宋" w:cs="仿宋"/>
              </w:rPr>
              <w:t>音响系统</w:t>
            </w:r>
          </w:p>
        </w:tc>
        <w:tc>
          <w:tcPr>
            <w:tcW w:w="670" w:type="dxa"/>
            <w:vAlign w:val="center"/>
          </w:tcPr>
          <w:p>
            <w:pPr>
              <w:pStyle w:val="20"/>
              <w:jc w:val="center"/>
              <w:rPr>
                <w:rFonts w:ascii="仿宋" w:hAnsi="仿宋" w:eastAsia="仿宋" w:cs="仿宋"/>
              </w:rPr>
            </w:pPr>
            <w:r>
              <w:rPr>
                <w:rFonts w:hint="eastAsia" w:ascii="仿宋" w:hAnsi="仿宋" w:eastAsia="仿宋" w:cs="仿宋"/>
              </w:rPr>
              <w:t>1</w:t>
            </w:r>
          </w:p>
        </w:tc>
        <w:tc>
          <w:tcPr>
            <w:tcW w:w="796" w:type="dxa"/>
            <w:vAlign w:val="center"/>
          </w:tcPr>
          <w:p>
            <w:pPr>
              <w:pStyle w:val="20"/>
              <w:jc w:val="center"/>
              <w:rPr>
                <w:rFonts w:ascii="仿宋" w:hAnsi="仿宋" w:eastAsia="仿宋" w:cs="仿宋"/>
              </w:rPr>
            </w:pPr>
            <w:r>
              <w:rPr>
                <w:rFonts w:hint="eastAsia" w:ascii="仿宋" w:hAnsi="仿宋" w:eastAsia="仿宋" w:cs="仿宋"/>
              </w:rPr>
              <w:t>套</w:t>
            </w:r>
          </w:p>
        </w:tc>
        <w:tc>
          <w:tcPr>
            <w:tcW w:w="2665" w:type="dxa"/>
            <w:vAlign w:val="center"/>
          </w:tcPr>
          <w:p>
            <w:pPr>
              <w:pStyle w:val="20"/>
              <w:jc w:val="cente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62" w:type="dxa"/>
            <w:vAlign w:val="center"/>
          </w:tcPr>
          <w:p>
            <w:pPr>
              <w:pStyle w:val="20"/>
              <w:jc w:val="center"/>
              <w:rPr>
                <w:rFonts w:ascii="仿宋" w:hAnsi="仿宋" w:eastAsia="仿宋" w:cs="仿宋"/>
              </w:rPr>
            </w:pPr>
            <w:r>
              <w:rPr>
                <w:rFonts w:hint="eastAsia" w:ascii="仿宋" w:hAnsi="仿宋" w:eastAsia="仿宋" w:cs="仿宋"/>
              </w:rPr>
              <w:t>4</w:t>
            </w:r>
          </w:p>
        </w:tc>
        <w:tc>
          <w:tcPr>
            <w:tcW w:w="3207" w:type="dxa"/>
            <w:vAlign w:val="center"/>
          </w:tcPr>
          <w:p>
            <w:pPr>
              <w:pStyle w:val="20"/>
              <w:jc w:val="center"/>
              <w:rPr>
                <w:rFonts w:ascii="仿宋" w:hAnsi="仿宋" w:eastAsia="仿宋" w:cs="仿宋"/>
              </w:rPr>
            </w:pPr>
            <w:r>
              <w:rPr>
                <w:rFonts w:hint="eastAsia" w:ascii="仿宋" w:hAnsi="仿宋" w:eastAsia="仿宋" w:cs="仿宋"/>
              </w:rPr>
              <w:t>网络机柜</w:t>
            </w:r>
          </w:p>
        </w:tc>
        <w:tc>
          <w:tcPr>
            <w:tcW w:w="670" w:type="dxa"/>
            <w:vAlign w:val="center"/>
          </w:tcPr>
          <w:p>
            <w:pPr>
              <w:pStyle w:val="20"/>
              <w:jc w:val="center"/>
              <w:rPr>
                <w:rFonts w:ascii="仿宋" w:hAnsi="仿宋" w:eastAsia="仿宋" w:cs="仿宋"/>
              </w:rPr>
            </w:pPr>
            <w:r>
              <w:rPr>
                <w:rFonts w:hint="eastAsia" w:ascii="仿宋" w:hAnsi="仿宋" w:eastAsia="仿宋" w:cs="仿宋"/>
              </w:rPr>
              <w:t>1</w:t>
            </w:r>
          </w:p>
        </w:tc>
        <w:tc>
          <w:tcPr>
            <w:tcW w:w="796" w:type="dxa"/>
            <w:vAlign w:val="center"/>
          </w:tcPr>
          <w:p>
            <w:pPr>
              <w:pStyle w:val="20"/>
              <w:jc w:val="center"/>
              <w:rPr>
                <w:rFonts w:ascii="仿宋" w:hAnsi="仿宋" w:eastAsia="仿宋" w:cs="仿宋"/>
              </w:rPr>
            </w:pPr>
            <w:r>
              <w:rPr>
                <w:rFonts w:hint="eastAsia" w:ascii="仿宋" w:hAnsi="仿宋" w:eastAsia="仿宋" w:cs="仿宋"/>
              </w:rPr>
              <w:t>台</w:t>
            </w:r>
          </w:p>
        </w:tc>
        <w:tc>
          <w:tcPr>
            <w:tcW w:w="2665" w:type="dxa"/>
            <w:vAlign w:val="center"/>
          </w:tcPr>
          <w:p>
            <w:pPr>
              <w:pStyle w:val="20"/>
              <w:jc w:val="center"/>
              <w:rPr>
                <w:rFonts w:ascii="仿宋" w:hAnsi="仿宋" w:eastAsia="仿宋" w:cs="仿宋"/>
              </w:rPr>
            </w:pPr>
            <w:r>
              <w:rPr>
                <w:rFonts w:hint="eastAsia" w:ascii="仿宋" w:hAnsi="仿宋" w:eastAsia="仿宋" w:cs="仿宋"/>
              </w:rPr>
              <w:t>12U 壁挂网络机柜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62" w:type="dxa"/>
            <w:vAlign w:val="center"/>
          </w:tcPr>
          <w:p>
            <w:pPr>
              <w:pStyle w:val="20"/>
              <w:jc w:val="center"/>
              <w:rPr>
                <w:rFonts w:ascii="仿宋" w:hAnsi="仿宋" w:eastAsia="仿宋" w:cs="仿宋"/>
              </w:rPr>
            </w:pPr>
            <w:r>
              <w:rPr>
                <w:rFonts w:hint="eastAsia" w:ascii="仿宋" w:hAnsi="仿宋" w:eastAsia="仿宋" w:cs="仿宋"/>
              </w:rPr>
              <w:t>5</w:t>
            </w:r>
          </w:p>
        </w:tc>
        <w:tc>
          <w:tcPr>
            <w:tcW w:w="3207" w:type="dxa"/>
            <w:vAlign w:val="center"/>
          </w:tcPr>
          <w:p>
            <w:pPr>
              <w:pStyle w:val="20"/>
              <w:jc w:val="center"/>
              <w:rPr>
                <w:rFonts w:ascii="仿宋" w:hAnsi="仿宋" w:eastAsia="仿宋" w:cs="仿宋"/>
              </w:rPr>
            </w:pPr>
            <w:r>
              <w:rPr>
                <w:rFonts w:hint="eastAsia" w:ascii="仿宋" w:hAnsi="仿宋" w:eastAsia="仿宋" w:cs="仿宋"/>
              </w:rPr>
              <w:t>学生六角桌</w:t>
            </w:r>
          </w:p>
        </w:tc>
        <w:tc>
          <w:tcPr>
            <w:tcW w:w="670" w:type="dxa"/>
            <w:vAlign w:val="center"/>
          </w:tcPr>
          <w:p>
            <w:pPr>
              <w:pStyle w:val="20"/>
              <w:jc w:val="center"/>
              <w:rPr>
                <w:rFonts w:ascii="仿宋" w:hAnsi="仿宋" w:eastAsia="仿宋" w:cs="仿宋"/>
              </w:rPr>
            </w:pPr>
            <w:r>
              <w:rPr>
                <w:rFonts w:hint="eastAsia" w:ascii="仿宋" w:hAnsi="仿宋" w:eastAsia="仿宋" w:cs="仿宋"/>
              </w:rPr>
              <w:t>4</w:t>
            </w:r>
          </w:p>
        </w:tc>
        <w:tc>
          <w:tcPr>
            <w:tcW w:w="796" w:type="dxa"/>
            <w:vAlign w:val="center"/>
          </w:tcPr>
          <w:p>
            <w:pPr>
              <w:pStyle w:val="20"/>
              <w:jc w:val="center"/>
              <w:rPr>
                <w:rFonts w:ascii="仿宋" w:hAnsi="仿宋" w:eastAsia="仿宋" w:cs="仿宋"/>
              </w:rPr>
            </w:pPr>
            <w:r>
              <w:rPr>
                <w:rFonts w:hint="eastAsia" w:ascii="仿宋" w:hAnsi="仿宋" w:eastAsia="仿宋" w:cs="仿宋"/>
              </w:rPr>
              <w:t>套</w:t>
            </w:r>
          </w:p>
        </w:tc>
        <w:tc>
          <w:tcPr>
            <w:tcW w:w="2665" w:type="dxa"/>
            <w:vAlign w:val="center"/>
          </w:tcPr>
          <w:p>
            <w:pPr>
              <w:pStyle w:val="20"/>
              <w:jc w:val="center"/>
              <w:rPr>
                <w:rFonts w:ascii="仿宋" w:hAnsi="仿宋" w:eastAsia="仿宋" w:cs="仿宋"/>
              </w:rPr>
            </w:pPr>
            <w:r>
              <w:rPr>
                <w:rFonts w:hint="eastAsia" w:ascii="仿宋" w:hAnsi="仿宋" w:eastAsia="仿宋" w:cs="仿宋"/>
              </w:rPr>
              <w:t>含24把升降圆凳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62" w:type="dxa"/>
            <w:vAlign w:val="center"/>
          </w:tcPr>
          <w:p>
            <w:pPr>
              <w:pStyle w:val="20"/>
              <w:jc w:val="center"/>
              <w:rPr>
                <w:rFonts w:ascii="仿宋" w:hAnsi="仿宋" w:eastAsia="仿宋" w:cs="仿宋"/>
              </w:rPr>
            </w:pPr>
            <w:r>
              <w:rPr>
                <w:rFonts w:hint="eastAsia" w:ascii="仿宋" w:hAnsi="仿宋" w:eastAsia="仿宋" w:cs="仿宋"/>
              </w:rPr>
              <w:t>6</w:t>
            </w:r>
          </w:p>
        </w:tc>
        <w:tc>
          <w:tcPr>
            <w:tcW w:w="3207" w:type="dxa"/>
            <w:vAlign w:val="center"/>
          </w:tcPr>
          <w:p>
            <w:pPr>
              <w:pStyle w:val="20"/>
              <w:jc w:val="center"/>
              <w:rPr>
                <w:rFonts w:ascii="仿宋" w:hAnsi="仿宋" w:eastAsia="仿宋" w:cs="仿宋"/>
              </w:rPr>
            </w:pPr>
            <w:r>
              <w:rPr>
                <w:rFonts w:hint="eastAsia" w:ascii="仿宋" w:hAnsi="仿宋" w:eastAsia="仿宋" w:cs="仿宋"/>
              </w:rPr>
              <w:t>28寸裸眼3D系统</w:t>
            </w:r>
          </w:p>
        </w:tc>
        <w:tc>
          <w:tcPr>
            <w:tcW w:w="670" w:type="dxa"/>
            <w:vAlign w:val="center"/>
          </w:tcPr>
          <w:p>
            <w:pPr>
              <w:pStyle w:val="20"/>
              <w:jc w:val="center"/>
              <w:rPr>
                <w:rFonts w:ascii="仿宋" w:hAnsi="仿宋" w:eastAsia="仿宋" w:cs="仿宋"/>
              </w:rPr>
            </w:pPr>
            <w:r>
              <w:rPr>
                <w:rFonts w:hint="eastAsia" w:ascii="仿宋" w:hAnsi="仿宋" w:eastAsia="仿宋" w:cs="仿宋"/>
              </w:rPr>
              <w:t>5</w:t>
            </w:r>
          </w:p>
        </w:tc>
        <w:tc>
          <w:tcPr>
            <w:tcW w:w="796" w:type="dxa"/>
            <w:vAlign w:val="center"/>
          </w:tcPr>
          <w:p>
            <w:pPr>
              <w:pStyle w:val="20"/>
              <w:jc w:val="center"/>
              <w:rPr>
                <w:rFonts w:ascii="仿宋" w:hAnsi="仿宋" w:eastAsia="仿宋" w:cs="仿宋"/>
              </w:rPr>
            </w:pPr>
            <w:r>
              <w:rPr>
                <w:rFonts w:hint="eastAsia" w:ascii="仿宋" w:hAnsi="仿宋" w:eastAsia="仿宋" w:cs="仿宋"/>
              </w:rPr>
              <w:t>套</w:t>
            </w:r>
          </w:p>
        </w:tc>
        <w:tc>
          <w:tcPr>
            <w:tcW w:w="2665" w:type="dxa"/>
            <w:vAlign w:val="center"/>
          </w:tcPr>
          <w:p>
            <w:pPr>
              <w:pStyle w:val="20"/>
              <w:jc w:val="cente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62" w:type="dxa"/>
            <w:vAlign w:val="center"/>
          </w:tcPr>
          <w:p>
            <w:pPr>
              <w:pStyle w:val="20"/>
              <w:jc w:val="center"/>
              <w:rPr>
                <w:rFonts w:ascii="仿宋" w:hAnsi="仿宋" w:eastAsia="仿宋" w:cs="仿宋"/>
              </w:rPr>
            </w:pPr>
            <w:r>
              <w:rPr>
                <w:rFonts w:hint="eastAsia" w:ascii="仿宋" w:hAnsi="仿宋" w:eastAsia="仿宋" w:cs="仿宋"/>
              </w:rPr>
              <w:t>7</w:t>
            </w:r>
          </w:p>
        </w:tc>
        <w:tc>
          <w:tcPr>
            <w:tcW w:w="3207" w:type="dxa"/>
            <w:vAlign w:val="center"/>
          </w:tcPr>
          <w:p>
            <w:pPr>
              <w:pStyle w:val="20"/>
              <w:jc w:val="center"/>
              <w:rPr>
                <w:rFonts w:ascii="仿宋" w:hAnsi="仿宋" w:eastAsia="仿宋" w:cs="仿宋"/>
              </w:rPr>
            </w:pPr>
            <w:r>
              <w:rPr>
                <w:rFonts w:hint="eastAsia" w:ascii="仿宋" w:hAnsi="仿宋" w:eastAsia="仿宋" w:cs="仿宋"/>
              </w:rPr>
              <w:t>学生云终端</w:t>
            </w:r>
          </w:p>
        </w:tc>
        <w:tc>
          <w:tcPr>
            <w:tcW w:w="670" w:type="dxa"/>
            <w:vAlign w:val="center"/>
          </w:tcPr>
          <w:p>
            <w:pPr>
              <w:pStyle w:val="20"/>
              <w:jc w:val="center"/>
              <w:rPr>
                <w:rFonts w:ascii="仿宋" w:hAnsi="仿宋" w:eastAsia="仿宋" w:cs="仿宋"/>
              </w:rPr>
            </w:pPr>
            <w:r>
              <w:rPr>
                <w:rFonts w:hint="eastAsia" w:ascii="仿宋" w:hAnsi="仿宋" w:eastAsia="仿宋" w:cs="仿宋"/>
              </w:rPr>
              <w:t>5</w:t>
            </w:r>
          </w:p>
        </w:tc>
        <w:tc>
          <w:tcPr>
            <w:tcW w:w="796" w:type="dxa"/>
            <w:vAlign w:val="center"/>
          </w:tcPr>
          <w:p>
            <w:pPr>
              <w:pStyle w:val="20"/>
              <w:jc w:val="center"/>
              <w:rPr>
                <w:rFonts w:ascii="仿宋" w:hAnsi="仿宋" w:eastAsia="仿宋" w:cs="仿宋"/>
              </w:rPr>
            </w:pPr>
            <w:r>
              <w:rPr>
                <w:rFonts w:hint="eastAsia" w:ascii="仿宋" w:hAnsi="仿宋" w:eastAsia="仿宋" w:cs="仿宋"/>
              </w:rPr>
              <w:t>点</w:t>
            </w:r>
          </w:p>
        </w:tc>
        <w:tc>
          <w:tcPr>
            <w:tcW w:w="2665" w:type="dxa"/>
            <w:vAlign w:val="center"/>
          </w:tcPr>
          <w:p>
            <w:pPr>
              <w:pStyle w:val="20"/>
              <w:jc w:val="cente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62" w:type="dxa"/>
            <w:vAlign w:val="center"/>
          </w:tcPr>
          <w:p>
            <w:pPr>
              <w:pStyle w:val="20"/>
              <w:jc w:val="center"/>
              <w:rPr>
                <w:rFonts w:ascii="仿宋" w:hAnsi="仿宋" w:eastAsia="仿宋" w:cs="仿宋"/>
              </w:rPr>
            </w:pPr>
            <w:r>
              <w:rPr>
                <w:rFonts w:hint="eastAsia" w:ascii="仿宋" w:hAnsi="仿宋" w:eastAsia="仿宋" w:cs="仿宋"/>
              </w:rPr>
              <w:t>8</w:t>
            </w:r>
          </w:p>
        </w:tc>
        <w:tc>
          <w:tcPr>
            <w:tcW w:w="3207" w:type="dxa"/>
            <w:vAlign w:val="center"/>
          </w:tcPr>
          <w:p>
            <w:pPr>
              <w:pStyle w:val="20"/>
              <w:jc w:val="center"/>
              <w:rPr>
                <w:rFonts w:ascii="仿宋" w:hAnsi="仿宋" w:eastAsia="仿宋" w:cs="仿宋"/>
              </w:rPr>
            </w:pPr>
            <w:r>
              <w:rPr>
                <w:rFonts w:hint="eastAsia" w:ascii="仿宋" w:hAnsi="仿宋" w:eastAsia="仿宋" w:cs="仿宋"/>
              </w:rPr>
              <w:t>教师工作站</w:t>
            </w:r>
          </w:p>
        </w:tc>
        <w:tc>
          <w:tcPr>
            <w:tcW w:w="670" w:type="dxa"/>
            <w:vAlign w:val="center"/>
          </w:tcPr>
          <w:p>
            <w:pPr>
              <w:pStyle w:val="20"/>
              <w:jc w:val="center"/>
              <w:rPr>
                <w:rFonts w:ascii="仿宋" w:hAnsi="仿宋" w:eastAsia="仿宋" w:cs="仿宋"/>
              </w:rPr>
            </w:pPr>
            <w:r>
              <w:rPr>
                <w:rFonts w:hint="eastAsia" w:ascii="仿宋" w:hAnsi="仿宋" w:eastAsia="仿宋" w:cs="仿宋"/>
              </w:rPr>
              <w:t>1</w:t>
            </w:r>
          </w:p>
        </w:tc>
        <w:tc>
          <w:tcPr>
            <w:tcW w:w="796" w:type="dxa"/>
            <w:vAlign w:val="center"/>
          </w:tcPr>
          <w:p>
            <w:pPr>
              <w:pStyle w:val="20"/>
              <w:jc w:val="center"/>
              <w:rPr>
                <w:rFonts w:ascii="仿宋" w:hAnsi="仿宋" w:eastAsia="仿宋" w:cs="仿宋"/>
              </w:rPr>
            </w:pPr>
            <w:r>
              <w:rPr>
                <w:rFonts w:hint="eastAsia" w:ascii="仿宋" w:hAnsi="仿宋" w:eastAsia="仿宋" w:cs="仿宋"/>
              </w:rPr>
              <w:t>台</w:t>
            </w:r>
          </w:p>
        </w:tc>
        <w:tc>
          <w:tcPr>
            <w:tcW w:w="2665" w:type="dxa"/>
            <w:vAlign w:val="center"/>
          </w:tcPr>
          <w:p>
            <w:pPr>
              <w:pStyle w:val="20"/>
              <w:jc w:val="cente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62" w:type="dxa"/>
            <w:vAlign w:val="center"/>
          </w:tcPr>
          <w:p>
            <w:pPr>
              <w:pStyle w:val="20"/>
              <w:jc w:val="center"/>
              <w:rPr>
                <w:rFonts w:ascii="仿宋" w:hAnsi="仿宋" w:eastAsia="仿宋" w:cs="仿宋"/>
              </w:rPr>
            </w:pPr>
            <w:r>
              <w:rPr>
                <w:rFonts w:hint="eastAsia" w:ascii="仿宋" w:hAnsi="仿宋" w:eastAsia="仿宋" w:cs="仿宋"/>
              </w:rPr>
              <w:t>9</w:t>
            </w:r>
          </w:p>
        </w:tc>
        <w:tc>
          <w:tcPr>
            <w:tcW w:w="3207" w:type="dxa"/>
            <w:vAlign w:val="center"/>
          </w:tcPr>
          <w:p>
            <w:pPr>
              <w:pStyle w:val="20"/>
              <w:jc w:val="center"/>
              <w:rPr>
                <w:rFonts w:ascii="仿宋" w:hAnsi="仿宋" w:eastAsia="仿宋" w:cs="仿宋"/>
              </w:rPr>
            </w:pPr>
            <w:r>
              <w:rPr>
                <w:rFonts w:hint="eastAsia" w:ascii="仿宋" w:hAnsi="仿宋" w:eastAsia="仿宋" w:cs="仿宋"/>
              </w:rPr>
              <w:t>28寸显示器</w:t>
            </w:r>
          </w:p>
        </w:tc>
        <w:tc>
          <w:tcPr>
            <w:tcW w:w="670" w:type="dxa"/>
            <w:vAlign w:val="center"/>
          </w:tcPr>
          <w:p>
            <w:pPr>
              <w:pStyle w:val="20"/>
              <w:jc w:val="center"/>
              <w:rPr>
                <w:rFonts w:ascii="仿宋" w:hAnsi="仿宋" w:eastAsia="仿宋" w:cs="仿宋"/>
              </w:rPr>
            </w:pPr>
            <w:r>
              <w:rPr>
                <w:rFonts w:hint="eastAsia" w:ascii="仿宋" w:hAnsi="仿宋" w:eastAsia="仿宋" w:cs="仿宋"/>
              </w:rPr>
              <w:t>5</w:t>
            </w:r>
          </w:p>
        </w:tc>
        <w:tc>
          <w:tcPr>
            <w:tcW w:w="796" w:type="dxa"/>
            <w:vAlign w:val="center"/>
          </w:tcPr>
          <w:p>
            <w:pPr>
              <w:pStyle w:val="20"/>
              <w:jc w:val="center"/>
              <w:rPr>
                <w:rFonts w:ascii="仿宋" w:hAnsi="仿宋" w:eastAsia="仿宋" w:cs="仿宋"/>
              </w:rPr>
            </w:pPr>
            <w:r>
              <w:rPr>
                <w:rFonts w:hint="eastAsia" w:ascii="仿宋" w:hAnsi="仿宋" w:eastAsia="仿宋" w:cs="仿宋"/>
              </w:rPr>
              <w:t>台</w:t>
            </w:r>
          </w:p>
        </w:tc>
        <w:tc>
          <w:tcPr>
            <w:tcW w:w="2665" w:type="dxa"/>
            <w:vAlign w:val="center"/>
          </w:tcPr>
          <w:p>
            <w:pPr>
              <w:pStyle w:val="20"/>
              <w:jc w:val="cente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62" w:type="dxa"/>
            <w:vAlign w:val="center"/>
          </w:tcPr>
          <w:p>
            <w:pPr>
              <w:pStyle w:val="20"/>
              <w:jc w:val="center"/>
              <w:rPr>
                <w:rFonts w:ascii="仿宋" w:hAnsi="仿宋" w:eastAsia="仿宋" w:cs="仿宋"/>
              </w:rPr>
            </w:pPr>
            <w:r>
              <w:rPr>
                <w:rFonts w:hint="eastAsia" w:ascii="仿宋" w:hAnsi="仿宋" w:eastAsia="仿宋" w:cs="仿宋"/>
              </w:rPr>
              <w:t>10</w:t>
            </w:r>
          </w:p>
        </w:tc>
        <w:tc>
          <w:tcPr>
            <w:tcW w:w="3207" w:type="dxa"/>
            <w:vAlign w:val="center"/>
          </w:tcPr>
          <w:p>
            <w:pPr>
              <w:pStyle w:val="20"/>
              <w:jc w:val="center"/>
              <w:rPr>
                <w:rFonts w:ascii="仿宋" w:hAnsi="仿宋" w:eastAsia="仿宋" w:cs="仿宋"/>
              </w:rPr>
            </w:pPr>
            <w:r>
              <w:rPr>
                <w:rFonts w:hint="eastAsia" w:ascii="仿宋" w:hAnsi="仿宋" w:eastAsia="仿宋" w:cs="仿宋"/>
              </w:rPr>
              <w:t>键鼠套装</w:t>
            </w:r>
          </w:p>
        </w:tc>
        <w:tc>
          <w:tcPr>
            <w:tcW w:w="670" w:type="dxa"/>
            <w:vAlign w:val="center"/>
          </w:tcPr>
          <w:p>
            <w:pPr>
              <w:pStyle w:val="20"/>
              <w:jc w:val="center"/>
              <w:rPr>
                <w:rFonts w:ascii="仿宋" w:hAnsi="仿宋" w:eastAsia="仿宋" w:cs="仿宋"/>
              </w:rPr>
            </w:pPr>
            <w:r>
              <w:rPr>
                <w:rFonts w:hint="eastAsia" w:ascii="仿宋" w:hAnsi="仿宋" w:eastAsia="仿宋" w:cs="仿宋"/>
              </w:rPr>
              <w:t>5</w:t>
            </w:r>
          </w:p>
        </w:tc>
        <w:tc>
          <w:tcPr>
            <w:tcW w:w="796" w:type="dxa"/>
            <w:vAlign w:val="center"/>
          </w:tcPr>
          <w:p>
            <w:pPr>
              <w:pStyle w:val="20"/>
              <w:jc w:val="center"/>
              <w:rPr>
                <w:rFonts w:ascii="仿宋" w:hAnsi="仿宋" w:eastAsia="仿宋" w:cs="仿宋"/>
              </w:rPr>
            </w:pPr>
            <w:r>
              <w:rPr>
                <w:rFonts w:hint="eastAsia" w:ascii="仿宋" w:hAnsi="仿宋" w:eastAsia="仿宋" w:cs="仿宋"/>
              </w:rPr>
              <w:t>套</w:t>
            </w:r>
          </w:p>
        </w:tc>
        <w:tc>
          <w:tcPr>
            <w:tcW w:w="2665" w:type="dxa"/>
            <w:vAlign w:val="center"/>
          </w:tcPr>
          <w:p>
            <w:pPr>
              <w:pStyle w:val="20"/>
              <w:jc w:val="cente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62" w:type="dxa"/>
            <w:vAlign w:val="center"/>
          </w:tcPr>
          <w:p>
            <w:pPr>
              <w:pStyle w:val="20"/>
              <w:jc w:val="center"/>
              <w:rPr>
                <w:rFonts w:ascii="仿宋" w:hAnsi="仿宋" w:eastAsia="仿宋" w:cs="仿宋"/>
              </w:rPr>
            </w:pPr>
            <w:r>
              <w:rPr>
                <w:rFonts w:hint="eastAsia" w:ascii="仿宋" w:hAnsi="仿宋" w:eastAsia="仿宋" w:cs="仿宋"/>
              </w:rPr>
              <w:t>11</w:t>
            </w:r>
          </w:p>
        </w:tc>
        <w:tc>
          <w:tcPr>
            <w:tcW w:w="3207" w:type="dxa"/>
            <w:vAlign w:val="center"/>
          </w:tcPr>
          <w:p>
            <w:pPr>
              <w:pStyle w:val="20"/>
              <w:jc w:val="center"/>
              <w:rPr>
                <w:rFonts w:ascii="仿宋" w:hAnsi="仿宋" w:eastAsia="仿宋" w:cs="仿宋"/>
              </w:rPr>
            </w:pPr>
            <w:r>
              <w:rPr>
                <w:rFonts w:hint="eastAsia" w:ascii="仿宋" w:hAnsi="仿宋" w:eastAsia="仿宋" w:cs="仿宋"/>
              </w:rPr>
              <w:t>Mr头显设备</w:t>
            </w:r>
          </w:p>
        </w:tc>
        <w:tc>
          <w:tcPr>
            <w:tcW w:w="670" w:type="dxa"/>
            <w:vAlign w:val="center"/>
          </w:tcPr>
          <w:p>
            <w:pPr>
              <w:pStyle w:val="20"/>
              <w:jc w:val="center"/>
              <w:rPr>
                <w:rFonts w:ascii="仿宋" w:hAnsi="仿宋" w:eastAsia="仿宋" w:cs="仿宋"/>
              </w:rPr>
            </w:pPr>
            <w:r>
              <w:rPr>
                <w:rFonts w:hint="eastAsia" w:ascii="仿宋" w:hAnsi="仿宋" w:eastAsia="仿宋" w:cs="仿宋"/>
              </w:rPr>
              <w:t>9</w:t>
            </w:r>
          </w:p>
        </w:tc>
        <w:tc>
          <w:tcPr>
            <w:tcW w:w="796" w:type="dxa"/>
            <w:vAlign w:val="center"/>
          </w:tcPr>
          <w:p>
            <w:pPr>
              <w:pStyle w:val="20"/>
              <w:jc w:val="center"/>
              <w:rPr>
                <w:rFonts w:ascii="仿宋" w:hAnsi="仿宋" w:eastAsia="仿宋" w:cs="仿宋"/>
              </w:rPr>
            </w:pPr>
            <w:r>
              <w:rPr>
                <w:rFonts w:hint="eastAsia" w:ascii="仿宋" w:hAnsi="仿宋" w:eastAsia="仿宋" w:cs="仿宋"/>
              </w:rPr>
              <w:t>台</w:t>
            </w:r>
          </w:p>
        </w:tc>
        <w:tc>
          <w:tcPr>
            <w:tcW w:w="2665" w:type="dxa"/>
            <w:vAlign w:val="center"/>
          </w:tcPr>
          <w:p>
            <w:pPr>
              <w:pStyle w:val="20"/>
              <w:jc w:val="cente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62" w:type="dxa"/>
            <w:vAlign w:val="center"/>
          </w:tcPr>
          <w:p>
            <w:pPr>
              <w:pStyle w:val="20"/>
              <w:jc w:val="center"/>
              <w:rPr>
                <w:rFonts w:ascii="仿宋" w:hAnsi="仿宋" w:eastAsia="仿宋" w:cs="仿宋"/>
              </w:rPr>
            </w:pPr>
            <w:r>
              <w:rPr>
                <w:rFonts w:hint="eastAsia" w:ascii="仿宋" w:hAnsi="仿宋" w:eastAsia="仿宋" w:cs="仿宋"/>
              </w:rPr>
              <w:t>12</w:t>
            </w:r>
          </w:p>
        </w:tc>
        <w:tc>
          <w:tcPr>
            <w:tcW w:w="3207" w:type="dxa"/>
            <w:vAlign w:val="center"/>
          </w:tcPr>
          <w:p>
            <w:pPr>
              <w:pStyle w:val="20"/>
              <w:jc w:val="center"/>
              <w:rPr>
                <w:rFonts w:ascii="仿宋" w:hAnsi="仿宋" w:eastAsia="仿宋" w:cs="仿宋"/>
              </w:rPr>
            </w:pPr>
            <w:r>
              <w:rPr>
                <w:rFonts w:hint="eastAsia" w:ascii="仿宋" w:hAnsi="仿宋" w:eastAsia="仿宋" w:cs="仿宋"/>
              </w:rPr>
              <w:t>VR头盔</w:t>
            </w:r>
          </w:p>
        </w:tc>
        <w:tc>
          <w:tcPr>
            <w:tcW w:w="670" w:type="dxa"/>
            <w:vAlign w:val="center"/>
          </w:tcPr>
          <w:p>
            <w:pPr>
              <w:pStyle w:val="20"/>
              <w:jc w:val="center"/>
              <w:rPr>
                <w:rFonts w:ascii="仿宋" w:hAnsi="仿宋" w:eastAsia="仿宋" w:cs="仿宋"/>
              </w:rPr>
            </w:pPr>
            <w:r>
              <w:rPr>
                <w:rFonts w:hint="eastAsia" w:ascii="仿宋" w:hAnsi="仿宋" w:eastAsia="仿宋" w:cs="仿宋"/>
              </w:rPr>
              <w:t>4</w:t>
            </w:r>
          </w:p>
        </w:tc>
        <w:tc>
          <w:tcPr>
            <w:tcW w:w="796" w:type="dxa"/>
            <w:vAlign w:val="center"/>
          </w:tcPr>
          <w:p>
            <w:pPr>
              <w:pStyle w:val="20"/>
              <w:jc w:val="center"/>
              <w:rPr>
                <w:rFonts w:ascii="仿宋" w:hAnsi="仿宋" w:eastAsia="仿宋" w:cs="仿宋"/>
              </w:rPr>
            </w:pPr>
            <w:r>
              <w:rPr>
                <w:rFonts w:hint="eastAsia" w:ascii="仿宋" w:hAnsi="仿宋" w:eastAsia="仿宋" w:cs="仿宋"/>
              </w:rPr>
              <w:t>台</w:t>
            </w:r>
          </w:p>
        </w:tc>
        <w:tc>
          <w:tcPr>
            <w:tcW w:w="2665" w:type="dxa"/>
            <w:vAlign w:val="center"/>
          </w:tcPr>
          <w:p>
            <w:pPr>
              <w:pStyle w:val="20"/>
              <w:jc w:val="cente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62" w:type="dxa"/>
            <w:vAlign w:val="center"/>
          </w:tcPr>
          <w:p>
            <w:pPr>
              <w:pStyle w:val="20"/>
              <w:jc w:val="center"/>
              <w:rPr>
                <w:rFonts w:ascii="仿宋" w:hAnsi="仿宋" w:eastAsia="仿宋" w:cs="仿宋"/>
              </w:rPr>
            </w:pPr>
            <w:r>
              <w:rPr>
                <w:rFonts w:hint="eastAsia" w:ascii="仿宋" w:hAnsi="仿宋" w:eastAsia="仿宋" w:cs="仿宋"/>
              </w:rPr>
              <w:t>13</w:t>
            </w:r>
          </w:p>
        </w:tc>
        <w:tc>
          <w:tcPr>
            <w:tcW w:w="3207" w:type="dxa"/>
            <w:vAlign w:val="center"/>
          </w:tcPr>
          <w:p>
            <w:pPr>
              <w:pStyle w:val="20"/>
              <w:jc w:val="center"/>
              <w:rPr>
                <w:rFonts w:ascii="仿宋" w:hAnsi="仿宋" w:eastAsia="仿宋" w:cs="仿宋"/>
              </w:rPr>
            </w:pPr>
            <w:r>
              <w:rPr>
                <w:rFonts w:hint="eastAsia" w:ascii="仿宋" w:hAnsi="仿宋" w:eastAsia="仿宋" w:cs="仿宋"/>
                <w:highlight w:val="none"/>
              </w:rPr>
              <w:t>86寸教学一体</w:t>
            </w:r>
            <w:r>
              <w:rPr>
                <w:rFonts w:hint="eastAsia" w:ascii="仿宋" w:hAnsi="仿宋" w:eastAsia="仿宋" w:cs="仿宋"/>
              </w:rPr>
              <w:t>机</w:t>
            </w:r>
          </w:p>
        </w:tc>
        <w:tc>
          <w:tcPr>
            <w:tcW w:w="670" w:type="dxa"/>
            <w:vAlign w:val="center"/>
          </w:tcPr>
          <w:p>
            <w:pPr>
              <w:pStyle w:val="20"/>
              <w:jc w:val="center"/>
              <w:rPr>
                <w:rFonts w:ascii="仿宋" w:hAnsi="仿宋" w:eastAsia="仿宋" w:cs="仿宋"/>
              </w:rPr>
            </w:pPr>
            <w:r>
              <w:rPr>
                <w:rFonts w:hint="eastAsia" w:ascii="仿宋" w:hAnsi="仿宋" w:eastAsia="仿宋" w:cs="仿宋"/>
              </w:rPr>
              <w:t>2</w:t>
            </w:r>
          </w:p>
        </w:tc>
        <w:tc>
          <w:tcPr>
            <w:tcW w:w="796" w:type="dxa"/>
            <w:vAlign w:val="center"/>
          </w:tcPr>
          <w:p>
            <w:pPr>
              <w:pStyle w:val="20"/>
              <w:jc w:val="center"/>
              <w:rPr>
                <w:rFonts w:ascii="仿宋" w:hAnsi="仿宋" w:eastAsia="仿宋" w:cs="仿宋"/>
              </w:rPr>
            </w:pPr>
            <w:r>
              <w:rPr>
                <w:rFonts w:hint="eastAsia" w:ascii="仿宋" w:hAnsi="仿宋" w:eastAsia="仿宋" w:cs="仿宋"/>
              </w:rPr>
              <w:t>台</w:t>
            </w:r>
          </w:p>
        </w:tc>
        <w:tc>
          <w:tcPr>
            <w:tcW w:w="2665" w:type="dxa"/>
            <w:vAlign w:val="center"/>
          </w:tcPr>
          <w:p>
            <w:pPr>
              <w:pStyle w:val="20"/>
              <w:jc w:val="cente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62" w:type="dxa"/>
            <w:vAlign w:val="center"/>
          </w:tcPr>
          <w:p>
            <w:pPr>
              <w:pStyle w:val="20"/>
              <w:jc w:val="center"/>
              <w:rPr>
                <w:rFonts w:ascii="仿宋" w:hAnsi="仿宋" w:eastAsia="仿宋" w:cs="仿宋"/>
              </w:rPr>
            </w:pPr>
            <w:r>
              <w:rPr>
                <w:rFonts w:hint="eastAsia" w:ascii="仿宋" w:hAnsi="仿宋" w:eastAsia="仿宋" w:cs="仿宋"/>
              </w:rPr>
              <w:t>14</w:t>
            </w:r>
          </w:p>
        </w:tc>
        <w:tc>
          <w:tcPr>
            <w:tcW w:w="3207" w:type="dxa"/>
            <w:vAlign w:val="center"/>
          </w:tcPr>
          <w:p>
            <w:pPr>
              <w:pStyle w:val="20"/>
              <w:jc w:val="center"/>
              <w:rPr>
                <w:rFonts w:ascii="仿宋" w:hAnsi="仿宋" w:eastAsia="仿宋" w:cs="仿宋"/>
              </w:rPr>
            </w:pPr>
            <w:r>
              <w:rPr>
                <w:rFonts w:hint="eastAsia" w:ascii="仿宋" w:hAnsi="仿宋" w:eastAsia="仿宋" w:cs="仿宋"/>
              </w:rPr>
              <w:t>5P立式空调</w:t>
            </w:r>
          </w:p>
        </w:tc>
        <w:tc>
          <w:tcPr>
            <w:tcW w:w="670" w:type="dxa"/>
            <w:vAlign w:val="center"/>
          </w:tcPr>
          <w:p>
            <w:pPr>
              <w:pStyle w:val="20"/>
              <w:jc w:val="center"/>
              <w:rPr>
                <w:rFonts w:ascii="仿宋" w:hAnsi="仿宋" w:eastAsia="仿宋" w:cs="仿宋"/>
              </w:rPr>
            </w:pPr>
            <w:r>
              <w:rPr>
                <w:rFonts w:hint="eastAsia" w:ascii="仿宋" w:hAnsi="仿宋" w:eastAsia="仿宋" w:cs="仿宋"/>
              </w:rPr>
              <w:t>2</w:t>
            </w:r>
          </w:p>
        </w:tc>
        <w:tc>
          <w:tcPr>
            <w:tcW w:w="796" w:type="dxa"/>
            <w:vAlign w:val="center"/>
          </w:tcPr>
          <w:p>
            <w:pPr>
              <w:pStyle w:val="20"/>
              <w:jc w:val="center"/>
              <w:rPr>
                <w:rFonts w:ascii="仿宋" w:hAnsi="仿宋" w:eastAsia="仿宋" w:cs="仿宋"/>
              </w:rPr>
            </w:pPr>
            <w:r>
              <w:rPr>
                <w:rFonts w:hint="eastAsia" w:ascii="仿宋" w:hAnsi="仿宋" w:eastAsia="仿宋" w:cs="仿宋"/>
              </w:rPr>
              <w:t>台</w:t>
            </w:r>
          </w:p>
        </w:tc>
        <w:tc>
          <w:tcPr>
            <w:tcW w:w="2665" w:type="dxa"/>
            <w:vAlign w:val="center"/>
          </w:tcPr>
          <w:p>
            <w:pPr>
              <w:pStyle w:val="20"/>
              <w:jc w:val="center"/>
              <w:rPr>
                <w:rFonts w:ascii="仿宋" w:hAnsi="仿宋" w:eastAsia="仿宋" w:cs="仿宋"/>
              </w:rPr>
            </w:pPr>
            <w:r>
              <w:rPr>
                <w:rFonts w:hint="eastAsia" w:ascii="仿宋" w:hAnsi="仿宋" w:eastAsia="仿宋" w:cs="仿宋"/>
              </w:rPr>
              <w:t>含安装费、材料费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62" w:type="dxa"/>
            <w:vAlign w:val="center"/>
          </w:tcPr>
          <w:p>
            <w:pPr>
              <w:pStyle w:val="20"/>
              <w:jc w:val="center"/>
              <w:rPr>
                <w:rFonts w:ascii="仿宋" w:hAnsi="仿宋" w:eastAsia="仿宋" w:cs="仿宋"/>
              </w:rPr>
            </w:pPr>
            <w:r>
              <w:rPr>
                <w:rFonts w:hint="eastAsia" w:ascii="仿宋" w:hAnsi="仿宋" w:eastAsia="仿宋" w:cs="仿宋"/>
              </w:rPr>
              <w:t>15</w:t>
            </w:r>
          </w:p>
        </w:tc>
        <w:tc>
          <w:tcPr>
            <w:tcW w:w="3207" w:type="dxa"/>
            <w:vAlign w:val="center"/>
          </w:tcPr>
          <w:p>
            <w:pPr>
              <w:pStyle w:val="20"/>
              <w:jc w:val="center"/>
              <w:rPr>
                <w:rFonts w:ascii="仿宋" w:hAnsi="仿宋" w:eastAsia="仿宋" w:cs="仿宋"/>
              </w:rPr>
            </w:pPr>
            <w:r>
              <w:rPr>
                <w:rFonts w:hint="eastAsia" w:ascii="仿宋" w:hAnsi="仿宋" w:eastAsia="仿宋" w:cs="仿宋"/>
              </w:rPr>
              <w:t>双人办公桌椅</w:t>
            </w:r>
          </w:p>
        </w:tc>
        <w:tc>
          <w:tcPr>
            <w:tcW w:w="670" w:type="dxa"/>
            <w:vAlign w:val="center"/>
          </w:tcPr>
          <w:p>
            <w:pPr>
              <w:pStyle w:val="20"/>
              <w:jc w:val="center"/>
              <w:rPr>
                <w:rFonts w:ascii="仿宋" w:hAnsi="仿宋" w:eastAsia="仿宋" w:cs="仿宋"/>
              </w:rPr>
            </w:pPr>
            <w:r>
              <w:rPr>
                <w:rFonts w:hint="eastAsia" w:ascii="仿宋" w:hAnsi="仿宋" w:eastAsia="仿宋" w:cs="仿宋"/>
              </w:rPr>
              <w:t>2</w:t>
            </w:r>
          </w:p>
        </w:tc>
        <w:tc>
          <w:tcPr>
            <w:tcW w:w="796" w:type="dxa"/>
            <w:vAlign w:val="center"/>
          </w:tcPr>
          <w:p>
            <w:pPr>
              <w:pStyle w:val="20"/>
              <w:jc w:val="center"/>
              <w:rPr>
                <w:rFonts w:ascii="仿宋" w:hAnsi="仿宋" w:eastAsia="仿宋" w:cs="仿宋"/>
              </w:rPr>
            </w:pPr>
            <w:r>
              <w:rPr>
                <w:rFonts w:hint="eastAsia" w:ascii="仿宋" w:hAnsi="仿宋" w:eastAsia="仿宋" w:cs="仿宋"/>
              </w:rPr>
              <w:t>套</w:t>
            </w:r>
          </w:p>
        </w:tc>
        <w:tc>
          <w:tcPr>
            <w:tcW w:w="2665" w:type="dxa"/>
            <w:vAlign w:val="center"/>
          </w:tcPr>
          <w:p>
            <w:pPr>
              <w:pStyle w:val="20"/>
              <w:jc w:val="cente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62" w:type="dxa"/>
            <w:vAlign w:val="center"/>
          </w:tcPr>
          <w:p>
            <w:pPr>
              <w:pStyle w:val="20"/>
              <w:jc w:val="center"/>
              <w:rPr>
                <w:rFonts w:ascii="仿宋" w:hAnsi="仿宋" w:eastAsia="仿宋" w:cs="仿宋"/>
              </w:rPr>
            </w:pPr>
            <w:r>
              <w:rPr>
                <w:rFonts w:hint="eastAsia" w:ascii="仿宋" w:hAnsi="仿宋" w:eastAsia="仿宋" w:cs="仿宋"/>
              </w:rPr>
              <w:t>16</w:t>
            </w:r>
          </w:p>
        </w:tc>
        <w:tc>
          <w:tcPr>
            <w:tcW w:w="3207" w:type="dxa"/>
            <w:vAlign w:val="center"/>
          </w:tcPr>
          <w:p>
            <w:pPr>
              <w:pStyle w:val="20"/>
              <w:jc w:val="center"/>
              <w:rPr>
                <w:rFonts w:ascii="仿宋" w:hAnsi="仿宋" w:eastAsia="仿宋" w:cs="仿宋"/>
              </w:rPr>
            </w:pPr>
            <w:r>
              <w:rPr>
                <w:rFonts w:hint="eastAsia" w:ascii="仿宋" w:hAnsi="仿宋" w:eastAsia="仿宋" w:cs="仿宋"/>
              </w:rPr>
              <w:t>虚拟仿真实训中心模型编辑工具</w:t>
            </w:r>
          </w:p>
        </w:tc>
        <w:tc>
          <w:tcPr>
            <w:tcW w:w="670" w:type="dxa"/>
            <w:vAlign w:val="center"/>
          </w:tcPr>
          <w:p>
            <w:pPr>
              <w:pStyle w:val="20"/>
              <w:jc w:val="center"/>
              <w:rPr>
                <w:rFonts w:ascii="仿宋" w:hAnsi="仿宋" w:eastAsia="仿宋" w:cs="仿宋"/>
              </w:rPr>
            </w:pPr>
            <w:r>
              <w:rPr>
                <w:rFonts w:hint="eastAsia" w:ascii="仿宋" w:hAnsi="仿宋" w:eastAsia="仿宋" w:cs="仿宋"/>
              </w:rPr>
              <w:t>1</w:t>
            </w:r>
          </w:p>
        </w:tc>
        <w:tc>
          <w:tcPr>
            <w:tcW w:w="796" w:type="dxa"/>
            <w:vAlign w:val="center"/>
          </w:tcPr>
          <w:p>
            <w:pPr>
              <w:pStyle w:val="20"/>
              <w:jc w:val="center"/>
              <w:rPr>
                <w:rFonts w:ascii="仿宋" w:hAnsi="仿宋" w:eastAsia="仿宋" w:cs="仿宋"/>
              </w:rPr>
            </w:pPr>
            <w:r>
              <w:rPr>
                <w:rFonts w:hint="eastAsia" w:ascii="仿宋" w:hAnsi="仿宋" w:eastAsia="仿宋" w:cs="仿宋"/>
              </w:rPr>
              <w:t>套</w:t>
            </w:r>
          </w:p>
        </w:tc>
        <w:tc>
          <w:tcPr>
            <w:tcW w:w="2665" w:type="dxa"/>
            <w:vAlign w:val="center"/>
          </w:tcPr>
          <w:p>
            <w:pPr>
              <w:pStyle w:val="20"/>
              <w:jc w:val="cente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62" w:type="dxa"/>
            <w:vAlign w:val="center"/>
          </w:tcPr>
          <w:p>
            <w:pPr>
              <w:pStyle w:val="20"/>
              <w:jc w:val="center"/>
              <w:rPr>
                <w:rFonts w:ascii="仿宋" w:hAnsi="仿宋" w:eastAsia="仿宋" w:cs="仿宋"/>
              </w:rPr>
            </w:pPr>
            <w:r>
              <w:rPr>
                <w:rFonts w:hint="eastAsia" w:ascii="仿宋" w:hAnsi="仿宋" w:eastAsia="仿宋" w:cs="仿宋"/>
              </w:rPr>
              <w:t>17</w:t>
            </w:r>
          </w:p>
        </w:tc>
        <w:tc>
          <w:tcPr>
            <w:tcW w:w="3207" w:type="dxa"/>
            <w:vAlign w:val="center"/>
          </w:tcPr>
          <w:p>
            <w:pPr>
              <w:pStyle w:val="20"/>
              <w:jc w:val="center"/>
              <w:rPr>
                <w:rFonts w:ascii="仿宋" w:hAnsi="仿宋" w:eastAsia="仿宋" w:cs="仿宋"/>
              </w:rPr>
            </w:pPr>
            <w:r>
              <w:rPr>
                <w:rFonts w:hint="eastAsia" w:ascii="仿宋" w:hAnsi="仿宋" w:eastAsia="仿宋" w:cs="仿宋"/>
              </w:rPr>
              <w:t>86寸裸眼3D一体机</w:t>
            </w:r>
          </w:p>
        </w:tc>
        <w:tc>
          <w:tcPr>
            <w:tcW w:w="670" w:type="dxa"/>
            <w:vAlign w:val="center"/>
          </w:tcPr>
          <w:p>
            <w:pPr>
              <w:pStyle w:val="20"/>
              <w:jc w:val="center"/>
              <w:rPr>
                <w:rFonts w:ascii="仿宋" w:hAnsi="仿宋" w:eastAsia="仿宋" w:cs="仿宋"/>
              </w:rPr>
            </w:pPr>
            <w:r>
              <w:rPr>
                <w:rFonts w:hint="eastAsia" w:ascii="仿宋" w:hAnsi="仿宋" w:eastAsia="仿宋" w:cs="仿宋"/>
              </w:rPr>
              <w:t>1</w:t>
            </w:r>
          </w:p>
        </w:tc>
        <w:tc>
          <w:tcPr>
            <w:tcW w:w="796" w:type="dxa"/>
            <w:vAlign w:val="center"/>
          </w:tcPr>
          <w:p>
            <w:pPr>
              <w:pStyle w:val="20"/>
              <w:jc w:val="center"/>
              <w:rPr>
                <w:rFonts w:ascii="仿宋" w:hAnsi="仿宋" w:eastAsia="仿宋" w:cs="仿宋"/>
              </w:rPr>
            </w:pPr>
            <w:r>
              <w:rPr>
                <w:rFonts w:hint="eastAsia" w:ascii="仿宋" w:hAnsi="仿宋" w:eastAsia="仿宋" w:cs="仿宋"/>
              </w:rPr>
              <w:t>台</w:t>
            </w:r>
          </w:p>
        </w:tc>
        <w:tc>
          <w:tcPr>
            <w:tcW w:w="2665" w:type="dxa"/>
            <w:vAlign w:val="center"/>
          </w:tcPr>
          <w:p>
            <w:pPr>
              <w:pStyle w:val="20"/>
              <w:jc w:val="cente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62" w:type="dxa"/>
            <w:vAlign w:val="center"/>
          </w:tcPr>
          <w:p>
            <w:pPr>
              <w:pStyle w:val="20"/>
              <w:jc w:val="center"/>
              <w:rPr>
                <w:rFonts w:ascii="仿宋" w:hAnsi="仿宋" w:eastAsia="仿宋" w:cs="仿宋"/>
              </w:rPr>
            </w:pPr>
            <w:r>
              <w:rPr>
                <w:rFonts w:hint="eastAsia" w:ascii="仿宋" w:hAnsi="仿宋" w:eastAsia="仿宋" w:cs="仿宋"/>
              </w:rPr>
              <w:t>18</w:t>
            </w:r>
          </w:p>
        </w:tc>
        <w:tc>
          <w:tcPr>
            <w:tcW w:w="3207" w:type="dxa"/>
            <w:vAlign w:val="center"/>
          </w:tcPr>
          <w:p>
            <w:pPr>
              <w:pStyle w:val="20"/>
              <w:jc w:val="center"/>
              <w:rPr>
                <w:rFonts w:ascii="仿宋" w:hAnsi="仿宋" w:eastAsia="仿宋" w:cs="仿宋"/>
              </w:rPr>
            </w:pPr>
            <w:r>
              <w:rPr>
                <w:rFonts w:hint="eastAsia" w:ascii="仿宋" w:hAnsi="仿宋" w:eastAsia="仿宋" w:cs="仿宋"/>
              </w:rPr>
              <w:t>A3激光打印机</w:t>
            </w:r>
          </w:p>
        </w:tc>
        <w:tc>
          <w:tcPr>
            <w:tcW w:w="670" w:type="dxa"/>
            <w:vAlign w:val="center"/>
          </w:tcPr>
          <w:p>
            <w:pPr>
              <w:pStyle w:val="20"/>
              <w:jc w:val="center"/>
              <w:rPr>
                <w:rFonts w:ascii="仿宋" w:hAnsi="仿宋" w:eastAsia="仿宋" w:cs="仿宋"/>
              </w:rPr>
            </w:pPr>
            <w:r>
              <w:rPr>
                <w:rFonts w:hint="eastAsia" w:ascii="仿宋" w:hAnsi="仿宋" w:eastAsia="仿宋" w:cs="仿宋"/>
              </w:rPr>
              <w:t>2</w:t>
            </w:r>
          </w:p>
        </w:tc>
        <w:tc>
          <w:tcPr>
            <w:tcW w:w="796" w:type="dxa"/>
            <w:vAlign w:val="center"/>
          </w:tcPr>
          <w:p>
            <w:pPr>
              <w:pStyle w:val="20"/>
              <w:jc w:val="center"/>
              <w:rPr>
                <w:rFonts w:ascii="仿宋" w:hAnsi="仿宋" w:eastAsia="仿宋" w:cs="仿宋"/>
              </w:rPr>
            </w:pPr>
            <w:r>
              <w:rPr>
                <w:rFonts w:hint="eastAsia" w:ascii="仿宋" w:hAnsi="仿宋" w:eastAsia="仿宋" w:cs="仿宋"/>
              </w:rPr>
              <w:t>台</w:t>
            </w:r>
          </w:p>
        </w:tc>
        <w:tc>
          <w:tcPr>
            <w:tcW w:w="2665" w:type="dxa"/>
            <w:vAlign w:val="center"/>
          </w:tcPr>
          <w:p>
            <w:pPr>
              <w:pStyle w:val="20"/>
              <w:jc w:val="cente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62" w:type="dxa"/>
            <w:vAlign w:val="center"/>
          </w:tcPr>
          <w:p>
            <w:pPr>
              <w:pStyle w:val="20"/>
              <w:jc w:val="center"/>
              <w:rPr>
                <w:rFonts w:ascii="仿宋" w:hAnsi="仿宋" w:eastAsia="仿宋" w:cs="仿宋"/>
              </w:rPr>
            </w:pPr>
            <w:r>
              <w:rPr>
                <w:rFonts w:hint="eastAsia" w:ascii="仿宋" w:hAnsi="仿宋" w:eastAsia="仿宋" w:cs="仿宋"/>
              </w:rPr>
              <w:t>19</w:t>
            </w:r>
          </w:p>
        </w:tc>
        <w:tc>
          <w:tcPr>
            <w:tcW w:w="3207" w:type="dxa"/>
            <w:vAlign w:val="center"/>
          </w:tcPr>
          <w:p>
            <w:pPr>
              <w:pStyle w:val="20"/>
              <w:jc w:val="center"/>
              <w:rPr>
                <w:rFonts w:ascii="仿宋" w:hAnsi="仿宋" w:eastAsia="仿宋" w:cs="仿宋"/>
              </w:rPr>
            </w:pPr>
            <w:r>
              <w:rPr>
                <w:rFonts w:hint="eastAsia" w:ascii="仿宋" w:hAnsi="仿宋" w:eastAsia="仿宋" w:cs="仿宋"/>
              </w:rPr>
              <w:t>A4激光打印机</w:t>
            </w:r>
          </w:p>
        </w:tc>
        <w:tc>
          <w:tcPr>
            <w:tcW w:w="670" w:type="dxa"/>
            <w:vAlign w:val="center"/>
          </w:tcPr>
          <w:p>
            <w:pPr>
              <w:pStyle w:val="20"/>
              <w:jc w:val="center"/>
              <w:rPr>
                <w:rFonts w:ascii="仿宋" w:hAnsi="仿宋" w:eastAsia="仿宋" w:cs="仿宋"/>
              </w:rPr>
            </w:pPr>
            <w:r>
              <w:rPr>
                <w:rFonts w:hint="eastAsia" w:ascii="仿宋" w:hAnsi="仿宋" w:eastAsia="仿宋" w:cs="仿宋"/>
              </w:rPr>
              <w:t>2</w:t>
            </w:r>
          </w:p>
        </w:tc>
        <w:tc>
          <w:tcPr>
            <w:tcW w:w="796" w:type="dxa"/>
            <w:vAlign w:val="center"/>
          </w:tcPr>
          <w:p>
            <w:pPr>
              <w:pStyle w:val="20"/>
              <w:jc w:val="center"/>
              <w:rPr>
                <w:rFonts w:ascii="仿宋" w:hAnsi="仿宋" w:eastAsia="仿宋" w:cs="仿宋"/>
              </w:rPr>
            </w:pPr>
            <w:r>
              <w:rPr>
                <w:rFonts w:hint="eastAsia" w:ascii="仿宋" w:hAnsi="仿宋" w:eastAsia="仿宋" w:cs="仿宋"/>
              </w:rPr>
              <w:t>台</w:t>
            </w:r>
          </w:p>
        </w:tc>
        <w:tc>
          <w:tcPr>
            <w:tcW w:w="2665" w:type="dxa"/>
            <w:vAlign w:val="center"/>
          </w:tcPr>
          <w:p>
            <w:pPr>
              <w:pStyle w:val="20"/>
              <w:jc w:val="cente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62" w:type="dxa"/>
            <w:vAlign w:val="center"/>
          </w:tcPr>
          <w:p>
            <w:pPr>
              <w:pStyle w:val="20"/>
              <w:jc w:val="center"/>
              <w:rPr>
                <w:rFonts w:ascii="仿宋" w:hAnsi="仿宋" w:eastAsia="仿宋" w:cs="仿宋"/>
              </w:rPr>
            </w:pPr>
            <w:r>
              <w:rPr>
                <w:rFonts w:hint="eastAsia" w:ascii="仿宋" w:hAnsi="仿宋" w:eastAsia="仿宋" w:cs="仿宋"/>
              </w:rPr>
              <w:t>20</w:t>
            </w:r>
          </w:p>
        </w:tc>
        <w:tc>
          <w:tcPr>
            <w:tcW w:w="3207" w:type="dxa"/>
            <w:vAlign w:val="center"/>
          </w:tcPr>
          <w:p>
            <w:pPr>
              <w:pStyle w:val="20"/>
              <w:jc w:val="center"/>
              <w:rPr>
                <w:rFonts w:ascii="仿宋" w:hAnsi="仿宋" w:eastAsia="仿宋" w:cs="仿宋"/>
              </w:rPr>
            </w:pPr>
            <w:r>
              <w:rPr>
                <w:rFonts w:hint="eastAsia" w:ascii="仿宋" w:hAnsi="仿宋" w:eastAsia="仿宋" w:cs="仿宋"/>
              </w:rPr>
              <w:t>3D打印机</w:t>
            </w:r>
          </w:p>
        </w:tc>
        <w:tc>
          <w:tcPr>
            <w:tcW w:w="670" w:type="dxa"/>
            <w:vAlign w:val="center"/>
          </w:tcPr>
          <w:p>
            <w:pPr>
              <w:pStyle w:val="20"/>
              <w:jc w:val="center"/>
              <w:rPr>
                <w:rFonts w:ascii="仿宋" w:hAnsi="仿宋" w:eastAsia="仿宋" w:cs="仿宋"/>
              </w:rPr>
            </w:pPr>
            <w:r>
              <w:rPr>
                <w:rFonts w:hint="eastAsia" w:ascii="仿宋" w:hAnsi="仿宋" w:eastAsia="仿宋" w:cs="仿宋"/>
              </w:rPr>
              <w:t>1</w:t>
            </w:r>
          </w:p>
        </w:tc>
        <w:tc>
          <w:tcPr>
            <w:tcW w:w="796" w:type="dxa"/>
            <w:vAlign w:val="center"/>
          </w:tcPr>
          <w:p>
            <w:pPr>
              <w:pStyle w:val="20"/>
              <w:jc w:val="center"/>
              <w:rPr>
                <w:rFonts w:ascii="仿宋" w:hAnsi="仿宋" w:eastAsia="仿宋" w:cs="仿宋"/>
              </w:rPr>
            </w:pPr>
            <w:r>
              <w:rPr>
                <w:rFonts w:hint="eastAsia" w:ascii="仿宋" w:hAnsi="仿宋" w:eastAsia="仿宋" w:cs="仿宋"/>
              </w:rPr>
              <w:t>台</w:t>
            </w:r>
          </w:p>
        </w:tc>
        <w:tc>
          <w:tcPr>
            <w:tcW w:w="2665" w:type="dxa"/>
            <w:vAlign w:val="center"/>
          </w:tcPr>
          <w:p>
            <w:pPr>
              <w:pStyle w:val="20"/>
              <w:jc w:val="cente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62" w:type="dxa"/>
            <w:vAlign w:val="center"/>
          </w:tcPr>
          <w:p>
            <w:pPr>
              <w:pStyle w:val="20"/>
              <w:jc w:val="center"/>
              <w:rPr>
                <w:rFonts w:ascii="仿宋" w:hAnsi="仿宋" w:eastAsia="仿宋" w:cs="仿宋"/>
              </w:rPr>
            </w:pPr>
            <w:r>
              <w:rPr>
                <w:rFonts w:hint="eastAsia" w:ascii="仿宋" w:hAnsi="仿宋" w:eastAsia="仿宋" w:cs="仿宋"/>
              </w:rPr>
              <w:t>21</w:t>
            </w:r>
          </w:p>
        </w:tc>
        <w:tc>
          <w:tcPr>
            <w:tcW w:w="3207" w:type="dxa"/>
            <w:vAlign w:val="center"/>
          </w:tcPr>
          <w:p>
            <w:pPr>
              <w:pStyle w:val="20"/>
              <w:jc w:val="center"/>
              <w:rPr>
                <w:rFonts w:ascii="仿宋" w:hAnsi="仿宋" w:eastAsia="仿宋" w:cs="仿宋"/>
              </w:rPr>
            </w:pPr>
            <w:r>
              <w:rPr>
                <w:rFonts w:hint="eastAsia" w:ascii="仿宋" w:hAnsi="仿宋" w:eastAsia="仿宋" w:cs="仿宋"/>
              </w:rPr>
              <w:t>14人会议桌椅</w:t>
            </w:r>
          </w:p>
        </w:tc>
        <w:tc>
          <w:tcPr>
            <w:tcW w:w="670" w:type="dxa"/>
            <w:vAlign w:val="center"/>
          </w:tcPr>
          <w:p>
            <w:pPr>
              <w:pStyle w:val="20"/>
              <w:jc w:val="center"/>
              <w:rPr>
                <w:rFonts w:ascii="仿宋" w:hAnsi="仿宋" w:eastAsia="仿宋" w:cs="仿宋"/>
              </w:rPr>
            </w:pPr>
            <w:r>
              <w:rPr>
                <w:rFonts w:hint="eastAsia" w:ascii="仿宋" w:hAnsi="仿宋" w:eastAsia="仿宋" w:cs="仿宋"/>
              </w:rPr>
              <w:t>1</w:t>
            </w:r>
          </w:p>
        </w:tc>
        <w:tc>
          <w:tcPr>
            <w:tcW w:w="796" w:type="dxa"/>
            <w:vAlign w:val="center"/>
          </w:tcPr>
          <w:p>
            <w:pPr>
              <w:pStyle w:val="20"/>
              <w:jc w:val="center"/>
              <w:rPr>
                <w:rFonts w:ascii="仿宋" w:hAnsi="仿宋" w:eastAsia="仿宋" w:cs="仿宋"/>
              </w:rPr>
            </w:pPr>
            <w:r>
              <w:rPr>
                <w:rFonts w:hint="eastAsia" w:ascii="仿宋" w:hAnsi="仿宋" w:eastAsia="仿宋" w:cs="仿宋"/>
              </w:rPr>
              <w:t>套</w:t>
            </w:r>
          </w:p>
        </w:tc>
        <w:tc>
          <w:tcPr>
            <w:tcW w:w="2665" w:type="dxa"/>
            <w:vAlign w:val="center"/>
          </w:tcPr>
          <w:p>
            <w:pPr>
              <w:pStyle w:val="20"/>
              <w:jc w:val="cente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62" w:type="dxa"/>
            <w:vAlign w:val="center"/>
          </w:tcPr>
          <w:p>
            <w:pPr>
              <w:pStyle w:val="20"/>
              <w:jc w:val="center"/>
              <w:rPr>
                <w:rFonts w:ascii="仿宋" w:hAnsi="仿宋" w:eastAsia="仿宋" w:cs="仿宋"/>
              </w:rPr>
            </w:pPr>
            <w:r>
              <w:rPr>
                <w:rFonts w:hint="eastAsia" w:ascii="仿宋" w:hAnsi="仿宋" w:eastAsia="仿宋" w:cs="仿宋"/>
              </w:rPr>
              <w:t>22</w:t>
            </w:r>
          </w:p>
        </w:tc>
        <w:tc>
          <w:tcPr>
            <w:tcW w:w="3207" w:type="dxa"/>
            <w:vAlign w:val="center"/>
          </w:tcPr>
          <w:p>
            <w:pPr>
              <w:pStyle w:val="20"/>
              <w:jc w:val="center"/>
              <w:rPr>
                <w:rFonts w:ascii="仿宋" w:hAnsi="仿宋" w:eastAsia="仿宋" w:cs="仿宋"/>
              </w:rPr>
            </w:pPr>
            <w:r>
              <w:rPr>
                <w:rFonts w:hint="eastAsia" w:ascii="仿宋" w:hAnsi="仿宋" w:eastAsia="仿宋" w:cs="仿宋"/>
              </w:rPr>
              <w:t>接入交换机</w:t>
            </w:r>
          </w:p>
        </w:tc>
        <w:tc>
          <w:tcPr>
            <w:tcW w:w="670" w:type="dxa"/>
            <w:vAlign w:val="center"/>
          </w:tcPr>
          <w:p>
            <w:pPr>
              <w:pStyle w:val="20"/>
              <w:jc w:val="center"/>
              <w:rPr>
                <w:rFonts w:ascii="仿宋" w:hAnsi="仿宋" w:eastAsia="仿宋" w:cs="仿宋"/>
              </w:rPr>
            </w:pPr>
            <w:r>
              <w:rPr>
                <w:rFonts w:hint="eastAsia" w:ascii="仿宋" w:hAnsi="仿宋" w:eastAsia="仿宋" w:cs="仿宋"/>
              </w:rPr>
              <w:t>1</w:t>
            </w:r>
          </w:p>
        </w:tc>
        <w:tc>
          <w:tcPr>
            <w:tcW w:w="796" w:type="dxa"/>
            <w:vAlign w:val="center"/>
          </w:tcPr>
          <w:p>
            <w:pPr>
              <w:pStyle w:val="20"/>
              <w:jc w:val="center"/>
              <w:rPr>
                <w:rFonts w:ascii="仿宋" w:hAnsi="仿宋" w:eastAsia="仿宋" w:cs="仿宋"/>
              </w:rPr>
            </w:pPr>
            <w:r>
              <w:rPr>
                <w:rFonts w:hint="eastAsia" w:ascii="仿宋" w:hAnsi="仿宋" w:eastAsia="仿宋" w:cs="仿宋"/>
              </w:rPr>
              <w:t>台</w:t>
            </w:r>
          </w:p>
        </w:tc>
        <w:tc>
          <w:tcPr>
            <w:tcW w:w="2665" w:type="dxa"/>
            <w:vAlign w:val="center"/>
          </w:tcPr>
          <w:p>
            <w:pPr>
              <w:pStyle w:val="20"/>
              <w:jc w:val="cente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62" w:type="dxa"/>
            <w:vAlign w:val="center"/>
          </w:tcPr>
          <w:p>
            <w:pPr>
              <w:pStyle w:val="20"/>
              <w:jc w:val="center"/>
              <w:rPr>
                <w:rFonts w:ascii="仿宋" w:hAnsi="仿宋" w:eastAsia="仿宋" w:cs="仿宋"/>
              </w:rPr>
            </w:pPr>
            <w:r>
              <w:rPr>
                <w:rFonts w:hint="eastAsia" w:ascii="仿宋" w:hAnsi="仿宋" w:eastAsia="仿宋" w:cs="仿宋"/>
              </w:rPr>
              <w:t>23</w:t>
            </w:r>
          </w:p>
        </w:tc>
        <w:tc>
          <w:tcPr>
            <w:tcW w:w="3207" w:type="dxa"/>
            <w:vAlign w:val="center"/>
          </w:tcPr>
          <w:p>
            <w:pPr>
              <w:pStyle w:val="20"/>
              <w:jc w:val="center"/>
              <w:rPr>
                <w:rFonts w:ascii="仿宋" w:hAnsi="仿宋" w:eastAsia="仿宋" w:cs="仿宋"/>
              </w:rPr>
            </w:pPr>
            <w:r>
              <w:rPr>
                <w:rFonts w:hint="eastAsia" w:ascii="仿宋" w:hAnsi="仿宋" w:eastAsia="仿宋" w:cs="仿宋"/>
              </w:rPr>
              <w:t>无线路由</w:t>
            </w:r>
          </w:p>
        </w:tc>
        <w:tc>
          <w:tcPr>
            <w:tcW w:w="670" w:type="dxa"/>
            <w:vAlign w:val="center"/>
          </w:tcPr>
          <w:p>
            <w:pPr>
              <w:pStyle w:val="20"/>
              <w:jc w:val="center"/>
              <w:rPr>
                <w:rFonts w:ascii="仿宋" w:hAnsi="仿宋" w:eastAsia="仿宋" w:cs="仿宋"/>
              </w:rPr>
            </w:pPr>
            <w:r>
              <w:rPr>
                <w:rFonts w:hint="eastAsia" w:ascii="仿宋" w:hAnsi="仿宋" w:eastAsia="仿宋" w:cs="仿宋"/>
              </w:rPr>
              <w:t>3</w:t>
            </w:r>
          </w:p>
        </w:tc>
        <w:tc>
          <w:tcPr>
            <w:tcW w:w="796" w:type="dxa"/>
            <w:vAlign w:val="center"/>
          </w:tcPr>
          <w:p>
            <w:pPr>
              <w:pStyle w:val="20"/>
              <w:jc w:val="center"/>
              <w:rPr>
                <w:rFonts w:ascii="仿宋" w:hAnsi="仿宋" w:eastAsia="仿宋" w:cs="仿宋"/>
              </w:rPr>
            </w:pPr>
            <w:r>
              <w:rPr>
                <w:rFonts w:hint="eastAsia" w:ascii="仿宋" w:hAnsi="仿宋" w:eastAsia="仿宋" w:cs="仿宋"/>
              </w:rPr>
              <w:t>台</w:t>
            </w:r>
          </w:p>
        </w:tc>
        <w:tc>
          <w:tcPr>
            <w:tcW w:w="2665" w:type="dxa"/>
            <w:vAlign w:val="center"/>
          </w:tcPr>
          <w:p>
            <w:pPr>
              <w:pStyle w:val="20"/>
              <w:jc w:val="cente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62" w:type="dxa"/>
            <w:vAlign w:val="center"/>
          </w:tcPr>
          <w:p>
            <w:pPr>
              <w:pStyle w:val="20"/>
              <w:jc w:val="center"/>
              <w:rPr>
                <w:rFonts w:ascii="仿宋" w:hAnsi="仿宋" w:eastAsia="仿宋" w:cs="仿宋"/>
              </w:rPr>
            </w:pPr>
            <w:r>
              <w:rPr>
                <w:rFonts w:hint="eastAsia" w:ascii="仿宋" w:hAnsi="仿宋" w:eastAsia="仿宋" w:cs="仿宋"/>
              </w:rPr>
              <w:t>24</w:t>
            </w:r>
          </w:p>
        </w:tc>
        <w:tc>
          <w:tcPr>
            <w:tcW w:w="3207" w:type="dxa"/>
            <w:vAlign w:val="center"/>
          </w:tcPr>
          <w:p>
            <w:pPr>
              <w:pStyle w:val="20"/>
              <w:jc w:val="center"/>
              <w:rPr>
                <w:rFonts w:ascii="仿宋" w:hAnsi="仿宋" w:eastAsia="仿宋" w:cs="仿宋"/>
              </w:rPr>
            </w:pPr>
            <w:r>
              <w:rPr>
                <w:rFonts w:hint="eastAsia" w:ascii="仿宋" w:hAnsi="仿宋" w:eastAsia="仿宋" w:cs="仿宋"/>
              </w:rPr>
              <w:t>文化墙建设</w:t>
            </w:r>
          </w:p>
        </w:tc>
        <w:tc>
          <w:tcPr>
            <w:tcW w:w="670" w:type="dxa"/>
            <w:vAlign w:val="center"/>
          </w:tcPr>
          <w:p>
            <w:pPr>
              <w:pStyle w:val="20"/>
              <w:jc w:val="center"/>
              <w:rPr>
                <w:rFonts w:ascii="仿宋" w:hAnsi="仿宋" w:eastAsia="仿宋" w:cs="仿宋"/>
              </w:rPr>
            </w:pPr>
            <w:r>
              <w:rPr>
                <w:rFonts w:hint="eastAsia" w:ascii="仿宋" w:hAnsi="仿宋" w:eastAsia="仿宋" w:cs="仿宋"/>
              </w:rPr>
              <w:t>1</w:t>
            </w:r>
          </w:p>
        </w:tc>
        <w:tc>
          <w:tcPr>
            <w:tcW w:w="796" w:type="dxa"/>
            <w:vAlign w:val="center"/>
          </w:tcPr>
          <w:p>
            <w:pPr>
              <w:pStyle w:val="20"/>
              <w:jc w:val="center"/>
              <w:rPr>
                <w:rFonts w:ascii="仿宋" w:hAnsi="仿宋" w:eastAsia="仿宋" w:cs="仿宋"/>
              </w:rPr>
            </w:pPr>
            <w:r>
              <w:rPr>
                <w:rFonts w:hint="eastAsia" w:ascii="仿宋" w:hAnsi="仿宋" w:eastAsia="仿宋" w:cs="仿宋"/>
              </w:rPr>
              <w:t>批</w:t>
            </w:r>
          </w:p>
        </w:tc>
        <w:tc>
          <w:tcPr>
            <w:tcW w:w="2665" w:type="dxa"/>
            <w:vAlign w:val="center"/>
          </w:tcPr>
          <w:p>
            <w:pPr>
              <w:pStyle w:val="20"/>
              <w:jc w:val="cente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62" w:type="dxa"/>
            <w:vAlign w:val="center"/>
          </w:tcPr>
          <w:p>
            <w:pPr>
              <w:pStyle w:val="20"/>
              <w:jc w:val="center"/>
              <w:rPr>
                <w:rFonts w:ascii="仿宋" w:hAnsi="仿宋" w:eastAsia="仿宋" w:cs="仿宋"/>
              </w:rPr>
            </w:pPr>
            <w:r>
              <w:rPr>
                <w:rFonts w:hint="eastAsia" w:ascii="仿宋" w:hAnsi="仿宋" w:eastAsia="仿宋" w:cs="仿宋"/>
              </w:rPr>
              <w:t>25</w:t>
            </w:r>
          </w:p>
        </w:tc>
        <w:tc>
          <w:tcPr>
            <w:tcW w:w="3207" w:type="dxa"/>
            <w:vAlign w:val="center"/>
          </w:tcPr>
          <w:p>
            <w:pPr>
              <w:pStyle w:val="20"/>
              <w:jc w:val="center"/>
              <w:rPr>
                <w:rFonts w:ascii="仿宋" w:hAnsi="仿宋" w:eastAsia="仿宋" w:cs="仿宋"/>
              </w:rPr>
            </w:pPr>
            <w:r>
              <w:rPr>
                <w:rFonts w:hint="eastAsia" w:ascii="仿宋" w:hAnsi="仿宋" w:eastAsia="仿宋" w:cs="仿宋"/>
              </w:rPr>
              <w:t>系统集成</w:t>
            </w:r>
          </w:p>
        </w:tc>
        <w:tc>
          <w:tcPr>
            <w:tcW w:w="670" w:type="dxa"/>
            <w:vAlign w:val="center"/>
          </w:tcPr>
          <w:p>
            <w:pPr>
              <w:pStyle w:val="20"/>
              <w:jc w:val="center"/>
              <w:rPr>
                <w:rFonts w:ascii="仿宋" w:hAnsi="仿宋" w:eastAsia="仿宋" w:cs="仿宋"/>
              </w:rPr>
            </w:pPr>
            <w:r>
              <w:rPr>
                <w:rFonts w:hint="eastAsia" w:ascii="仿宋" w:hAnsi="仿宋" w:eastAsia="仿宋" w:cs="仿宋"/>
              </w:rPr>
              <w:t>1</w:t>
            </w:r>
          </w:p>
        </w:tc>
        <w:tc>
          <w:tcPr>
            <w:tcW w:w="796" w:type="dxa"/>
            <w:vAlign w:val="center"/>
          </w:tcPr>
          <w:p>
            <w:pPr>
              <w:pStyle w:val="20"/>
              <w:jc w:val="center"/>
              <w:rPr>
                <w:rFonts w:ascii="仿宋" w:hAnsi="仿宋" w:eastAsia="仿宋" w:cs="仿宋"/>
              </w:rPr>
            </w:pPr>
            <w:r>
              <w:rPr>
                <w:rFonts w:hint="eastAsia" w:ascii="仿宋" w:hAnsi="仿宋" w:eastAsia="仿宋" w:cs="仿宋"/>
              </w:rPr>
              <w:t>间</w:t>
            </w:r>
          </w:p>
        </w:tc>
        <w:tc>
          <w:tcPr>
            <w:tcW w:w="2665" w:type="dxa"/>
            <w:vAlign w:val="center"/>
          </w:tcPr>
          <w:p>
            <w:pPr>
              <w:pStyle w:val="20"/>
              <w:jc w:val="cente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62" w:type="dxa"/>
            <w:vAlign w:val="center"/>
          </w:tcPr>
          <w:p>
            <w:pPr>
              <w:pStyle w:val="20"/>
              <w:jc w:val="center"/>
              <w:rPr>
                <w:rFonts w:ascii="仿宋" w:hAnsi="仿宋" w:eastAsia="仿宋" w:cs="仿宋"/>
              </w:rPr>
            </w:pPr>
            <w:r>
              <w:rPr>
                <w:rFonts w:hint="eastAsia" w:ascii="仿宋" w:hAnsi="仿宋" w:eastAsia="仿宋" w:cs="仿宋"/>
              </w:rPr>
              <w:t>26</w:t>
            </w:r>
          </w:p>
        </w:tc>
        <w:tc>
          <w:tcPr>
            <w:tcW w:w="3207" w:type="dxa"/>
            <w:vAlign w:val="center"/>
          </w:tcPr>
          <w:p>
            <w:pPr>
              <w:pStyle w:val="20"/>
              <w:jc w:val="center"/>
              <w:rPr>
                <w:rFonts w:ascii="仿宋" w:hAnsi="仿宋" w:eastAsia="仿宋" w:cs="仿宋"/>
              </w:rPr>
            </w:pPr>
            <w:r>
              <w:rPr>
                <w:rFonts w:hint="eastAsia" w:ascii="仿宋" w:hAnsi="仿宋" w:eastAsia="仿宋" w:cs="仿宋"/>
              </w:rPr>
              <w:t>标准装修</w:t>
            </w:r>
          </w:p>
        </w:tc>
        <w:tc>
          <w:tcPr>
            <w:tcW w:w="670" w:type="dxa"/>
            <w:vAlign w:val="center"/>
          </w:tcPr>
          <w:p>
            <w:pPr>
              <w:pStyle w:val="20"/>
              <w:jc w:val="center"/>
              <w:rPr>
                <w:rFonts w:ascii="仿宋" w:hAnsi="仿宋" w:eastAsia="仿宋" w:cs="仿宋"/>
              </w:rPr>
            </w:pPr>
            <w:r>
              <w:rPr>
                <w:rFonts w:hint="eastAsia" w:ascii="仿宋" w:hAnsi="仿宋" w:eastAsia="仿宋" w:cs="仿宋"/>
              </w:rPr>
              <w:t>1</w:t>
            </w:r>
          </w:p>
        </w:tc>
        <w:tc>
          <w:tcPr>
            <w:tcW w:w="796" w:type="dxa"/>
            <w:vAlign w:val="center"/>
          </w:tcPr>
          <w:p>
            <w:pPr>
              <w:pStyle w:val="20"/>
              <w:jc w:val="center"/>
              <w:rPr>
                <w:rFonts w:ascii="仿宋" w:hAnsi="仿宋" w:eastAsia="仿宋" w:cs="仿宋"/>
              </w:rPr>
            </w:pPr>
            <w:r>
              <w:rPr>
                <w:rFonts w:hint="eastAsia" w:ascii="仿宋" w:hAnsi="仿宋" w:eastAsia="仿宋" w:cs="仿宋"/>
              </w:rPr>
              <w:t>套</w:t>
            </w:r>
          </w:p>
        </w:tc>
        <w:tc>
          <w:tcPr>
            <w:tcW w:w="2665" w:type="dxa"/>
            <w:vAlign w:val="center"/>
          </w:tcPr>
          <w:p>
            <w:pPr>
              <w:pStyle w:val="20"/>
              <w:jc w:val="cente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8100" w:type="dxa"/>
            <w:gridSpan w:val="5"/>
            <w:vAlign w:val="center"/>
          </w:tcPr>
          <w:p>
            <w:pPr>
              <w:pStyle w:val="20"/>
              <w:jc w:val="center"/>
              <w:rPr>
                <w:rFonts w:ascii="仿宋" w:hAnsi="仿宋" w:eastAsia="仿宋" w:cs="仿宋"/>
              </w:rPr>
            </w:pPr>
            <w:r>
              <w:rPr>
                <w:rFonts w:hint="eastAsia" w:ascii="仿宋" w:hAnsi="仿宋" w:eastAsia="仿宋" w:cs="仿宋"/>
                <w:b/>
                <w:bCs/>
              </w:rPr>
              <w:t>专业实训室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62" w:type="dxa"/>
            <w:vAlign w:val="center"/>
          </w:tcPr>
          <w:p>
            <w:pPr>
              <w:pStyle w:val="20"/>
              <w:jc w:val="center"/>
              <w:rPr>
                <w:rFonts w:ascii="仿宋" w:hAnsi="仿宋" w:eastAsia="仿宋" w:cs="仿宋"/>
              </w:rPr>
            </w:pPr>
            <w:r>
              <w:rPr>
                <w:rFonts w:hint="eastAsia" w:ascii="仿宋" w:hAnsi="仿宋" w:eastAsia="仿宋" w:cs="仿宋"/>
              </w:rPr>
              <w:t>序号</w:t>
            </w:r>
          </w:p>
        </w:tc>
        <w:tc>
          <w:tcPr>
            <w:tcW w:w="3207" w:type="dxa"/>
            <w:vAlign w:val="center"/>
          </w:tcPr>
          <w:p>
            <w:pPr>
              <w:pStyle w:val="20"/>
              <w:jc w:val="center"/>
              <w:rPr>
                <w:rFonts w:ascii="仿宋" w:hAnsi="仿宋" w:eastAsia="仿宋" w:cs="仿宋"/>
              </w:rPr>
            </w:pPr>
            <w:r>
              <w:rPr>
                <w:rFonts w:hint="eastAsia" w:ascii="仿宋" w:hAnsi="仿宋" w:eastAsia="仿宋" w:cs="仿宋"/>
              </w:rPr>
              <w:t>系统名称</w:t>
            </w:r>
          </w:p>
        </w:tc>
        <w:tc>
          <w:tcPr>
            <w:tcW w:w="670" w:type="dxa"/>
            <w:vAlign w:val="center"/>
          </w:tcPr>
          <w:p>
            <w:pPr>
              <w:pStyle w:val="20"/>
              <w:jc w:val="center"/>
              <w:rPr>
                <w:rFonts w:ascii="仿宋" w:hAnsi="仿宋" w:eastAsia="仿宋" w:cs="仿宋"/>
              </w:rPr>
            </w:pPr>
            <w:r>
              <w:rPr>
                <w:rFonts w:hint="eastAsia" w:ascii="仿宋" w:hAnsi="仿宋" w:eastAsia="仿宋" w:cs="仿宋"/>
              </w:rPr>
              <w:t>数量</w:t>
            </w:r>
          </w:p>
        </w:tc>
        <w:tc>
          <w:tcPr>
            <w:tcW w:w="796" w:type="dxa"/>
            <w:vAlign w:val="center"/>
          </w:tcPr>
          <w:p>
            <w:pPr>
              <w:pStyle w:val="20"/>
              <w:jc w:val="center"/>
              <w:rPr>
                <w:rFonts w:ascii="仿宋" w:hAnsi="仿宋" w:eastAsia="仿宋" w:cs="仿宋"/>
              </w:rPr>
            </w:pPr>
            <w:r>
              <w:rPr>
                <w:rFonts w:hint="eastAsia" w:ascii="仿宋" w:hAnsi="仿宋" w:eastAsia="仿宋" w:cs="仿宋"/>
              </w:rPr>
              <w:t>单位</w:t>
            </w:r>
          </w:p>
        </w:tc>
        <w:tc>
          <w:tcPr>
            <w:tcW w:w="2665" w:type="dxa"/>
            <w:vAlign w:val="center"/>
          </w:tcPr>
          <w:p>
            <w:pPr>
              <w:pStyle w:val="20"/>
              <w:jc w:val="center"/>
              <w:rPr>
                <w:rFonts w:ascii="仿宋" w:hAnsi="仿宋" w:eastAsia="仿宋" w:cs="仿宋"/>
              </w:rPr>
            </w:pPr>
            <w:r>
              <w:rPr>
                <w:rFonts w:hint="eastAsia" w:ascii="仿宋" w:hAnsi="仿宋" w:eastAsia="仿宋" w:cs="仿宋"/>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6" w:hRule="atLeast"/>
          <w:jc w:val="center"/>
        </w:trPr>
        <w:tc>
          <w:tcPr>
            <w:tcW w:w="762" w:type="dxa"/>
            <w:vAlign w:val="center"/>
          </w:tcPr>
          <w:p>
            <w:pPr>
              <w:pStyle w:val="20"/>
              <w:jc w:val="center"/>
              <w:rPr>
                <w:rFonts w:ascii="仿宋" w:hAnsi="仿宋" w:eastAsia="仿宋" w:cs="仿宋"/>
              </w:rPr>
            </w:pPr>
            <w:r>
              <w:rPr>
                <w:rFonts w:hint="eastAsia" w:ascii="仿宋" w:hAnsi="仿宋" w:eastAsia="仿宋" w:cs="仿宋"/>
              </w:rPr>
              <w:t>1</w:t>
            </w:r>
          </w:p>
        </w:tc>
        <w:tc>
          <w:tcPr>
            <w:tcW w:w="3207" w:type="dxa"/>
            <w:vAlign w:val="center"/>
          </w:tcPr>
          <w:p>
            <w:pPr>
              <w:pStyle w:val="20"/>
              <w:jc w:val="center"/>
              <w:rPr>
                <w:rFonts w:ascii="仿宋" w:hAnsi="仿宋" w:eastAsia="仿宋" w:cs="仿宋"/>
              </w:rPr>
            </w:pPr>
            <w:r>
              <w:rPr>
                <w:rFonts w:hint="eastAsia" w:ascii="仿宋" w:hAnsi="仿宋" w:eastAsia="仿宋" w:cs="仿宋"/>
                <w:highlight w:val="none"/>
              </w:rPr>
              <w:t>86寸教学一体机</w:t>
            </w:r>
          </w:p>
        </w:tc>
        <w:tc>
          <w:tcPr>
            <w:tcW w:w="670" w:type="dxa"/>
            <w:vAlign w:val="center"/>
          </w:tcPr>
          <w:p>
            <w:pPr>
              <w:pStyle w:val="20"/>
              <w:jc w:val="center"/>
              <w:rPr>
                <w:rFonts w:ascii="仿宋" w:hAnsi="仿宋" w:eastAsia="仿宋" w:cs="仿宋"/>
              </w:rPr>
            </w:pPr>
            <w:r>
              <w:rPr>
                <w:rFonts w:hint="eastAsia" w:ascii="仿宋" w:hAnsi="仿宋" w:eastAsia="仿宋" w:cs="仿宋"/>
              </w:rPr>
              <w:t>1</w:t>
            </w:r>
          </w:p>
        </w:tc>
        <w:tc>
          <w:tcPr>
            <w:tcW w:w="796" w:type="dxa"/>
            <w:vAlign w:val="center"/>
          </w:tcPr>
          <w:p>
            <w:pPr>
              <w:pStyle w:val="20"/>
              <w:jc w:val="center"/>
              <w:rPr>
                <w:rFonts w:ascii="仿宋" w:hAnsi="仿宋" w:eastAsia="仿宋" w:cs="仿宋"/>
              </w:rPr>
            </w:pPr>
            <w:r>
              <w:rPr>
                <w:rFonts w:hint="eastAsia" w:ascii="仿宋" w:hAnsi="仿宋" w:eastAsia="仿宋" w:cs="仿宋"/>
              </w:rPr>
              <w:t>台</w:t>
            </w:r>
          </w:p>
        </w:tc>
        <w:tc>
          <w:tcPr>
            <w:tcW w:w="2665" w:type="dxa"/>
            <w:vAlign w:val="center"/>
          </w:tcPr>
          <w:p>
            <w:pPr>
              <w:pStyle w:val="20"/>
              <w:jc w:val="cente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6" w:hRule="atLeast"/>
          <w:jc w:val="center"/>
        </w:trPr>
        <w:tc>
          <w:tcPr>
            <w:tcW w:w="762" w:type="dxa"/>
            <w:vAlign w:val="center"/>
          </w:tcPr>
          <w:p>
            <w:pPr>
              <w:pStyle w:val="20"/>
              <w:jc w:val="center"/>
              <w:rPr>
                <w:rFonts w:ascii="仿宋" w:hAnsi="仿宋" w:eastAsia="仿宋" w:cs="仿宋"/>
              </w:rPr>
            </w:pPr>
            <w:r>
              <w:rPr>
                <w:rFonts w:hint="eastAsia" w:ascii="仿宋" w:hAnsi="仿宋" w:eastAsia="仿宋" w:cs="仿宋"/>
              </w:rPr>
              <w:t>2</w:t>
            </w:r>
          </w:p>
        </w:tc>
        <w:tc>
          <w:tcPr>
            <w:tcW w:w="3207" w:type="dxa"/>
            <w:vAlign w:val="center"/>
          </w:tcPr>
          <w:p>
            <w:pPr>
              <w:pStyle w:val="20"/>
              <w:jc w:val="center"/>
              <w:rPr>
                <w:rFonts w:ascii="仿宋" w:hAnsi="仿宋" w:eastAsia="仿宋" w:cs="仿宋"/>
              </w:rPr>
            </w:pPr>
            <w:r>
              <w:rPr>
                <w:rFonts w:hint="eastAsia" w:ascii="仿宋" w:hAnsi="仿宋" w:eastAsia="仿宋" w:cs="仿宋"/>
              </w:rPr>
              <w:t>学生云终端</w:t>
            </w:r>
          </w:p>
        </w:tc>
        <w:tc>
          <w:tcPr>
            <w:tcW w:w="670" w:type="dxa"/>
            <w:vAlign w:val="center"/>
          </w:tcPr>
          <w:p>
            <w:pPr>
              <w:pStyle w:val="20"/>
              <w:jc w:val="center"/>
              <w:rPr>
                <w:rFonts w:ascii="仿宋" w:hAnsi="仿宋" w:eastAsia="仿宋" w:cs="仿宋"/>
              </w:rPr>
            </w:pPr>
            <w:r>
              <w:rPr>
                <w:rFonts w:hint="eastAsia" w:ascii="仿宋" w:hAnsi="仿宋" w:eastAsia="仿宋" w:cs="仿宋"/>
              </w:rPr>
              <w:t>36</w:t>
            </w:r>
          </w:p>
        </w:tc>
        <w:tc>
          <w:tcPr>
            <w:tcW w:w="796" w:type="dxa"/>
            <w:vAlign w:val="center"/>
          </w:tcPr>
          <w:p>
            <w:pPr>
              <w:pStyle w:val="20"/>
              <w:jc w:val="center"/>
              <w:rPr>
                <w:rFonts w:ascii="仿宋" w:hAnsi="仿宋" w:eastAsia="仿宋" w:cs="仿宋"/>
              </w:rPr>
            </w:pPr>
            <w:r>
              <w:rPr>
                <w:rFonts w:hint="eastAsia" w:ascii="仿宋" w:hAnsi="仿宋" w:eastAsia="仿宋" w:cs="仿宋"/>
              </w:rPr>
              <w:t>点</w:t>
            </w:r>
          </w:p>
        </w:tc>
        <w:tc>
          <w:tcPr>
            <w:tcW w:w="2665" w:type="dxa"/>
            <w:vAlign w:val="center"/>
          </w:tcPr>
          <w:p>
            <w:pPr>
              <w:pStyle w:val="20"/>
              <w:jc w:val="cente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6" w:hRule="atLeast"/>
          <w:jc w:val="center"/>
        </w:trPr>
        <w:tc>
          <w:tcPr>
            <w:tcW w:w="762" w:type="dxa"/>
            <w:vAlign w:val="center"/>
          </w:tcPr>
          <w:p>
            <w:pPr>
              <w:pStyle w:val="20"/>
              <w:jc w:val="center"/>
              <w:rPr>
                <w:rFonts w:ascii="仿宋" w:hAnsi="仿宋" w:eastAsia="仿宋" w:cs="仿宋"/>
              </w:rPr>
            </w:pPr>
            <w:r>
              <w:rPr>
                <w:rFonts w:hint="eastAsia" w:ascii="仿宋" w:hAnsi="仿宋" w:eastAsia="仿宋" w:cs="仿宋"/>
              </w:rPr>
              <w:t>3</w:t>
            </w:r>
          </w:p>
        </w:tc>
        <w:tc>
          <w:tcPr>
            <w:tcW w:w="3207" w:type="dxa"/>
            <w:vAlign w:val="center"/>
          </w:tcPr>
          <w:p>
            <w:pPr>
              <w:pStyle w:val="20"/>
              <w:jc w:val="center"/>
              <w:rPr>
                <w:rFonts w:ascii="仿宋" w:hAnsi="仿宋" w:eastAsia="仿宋" w:cs="仿宋"/>
              </w:rPr>
            </w:pPr>
            <w:r>
              <w:rPr>
                <w:rFonts w:hint="eastAsia" w:ascii="仿宋" w:hAnsi="仿宋" w:eastAsia="仿宋" w:cs="仿宋"/>
              </w:rPr>
              <w:t>教师云终端</w:t>
            </w:r>
          </w:p>
        </w:tc>
        <w:tc>
          <w:tcPr>
            <w:tcW w:w="670" w:type="dxa"/>
            <w:vAlign w:val="center"/>
          </w:tcPr>
          <w:p>
            <w:pPr>
              <w:pStyle w:val="20"/>
              <w:jc w:val="center"/>
              <w:rPr>
                <w:rFonts w:ascii="仿宋" w:hAnsi="仿宋" w:eastAsia="仿宋" w:cs="仿宋"/>
              </w:rPr>
            </w:pPr>
            <w:r>
              <w:rPr>
                <w:rFonts w:hint="eastAsia" w:ascii="仿宋" w:hAnsi="仿宋" w:eastAsia="仿宋" w:cs="仿宋"/>
              </w:rPr>
              <w:t>1</w:t>
            </w:r>
          </w:p>
        </w:tc>
        <w:tc>
          <w:tcPr>
            <w:tcW w:w="796" w:type="dxa"/>
            <w:vAlign w:val="center"/>
          </w:tcPr>
          <w:p>
            <w:pPr>
              <w:pStyle w:val="20"/>
              <w:jc w:val="center"/>
              <w:rPr>
                <w:rFonts w:ascii="仿宋" w:hAnsi="仿宋" w:eastAsia="仿宋" w:cs="仿宋"/>
              </w:rPr>
            </w:pPr>
            <w:r>
              <w:rPr>
                <w:rFonts w:hint="eastAsia" w:ascii="仿宋" w:hAnsi="仿宋" w:eastAsia="仿宋" w:cs="仿宋"/>
              </w:rPr>
              <w:t>点</w:t>
            </w:r>
          </w:p>
        </w:tc>
        <w:tc>
          <w:tcPr>
            <w:tcW w:w="2665" w:type="dxa"/>
            <w:vAlign w:val="center"/>
          </w:tcPr>
          <w:p>
            <w:pPr>
              <w:pStyle w:val="20"/>
              <w:jc w:val="cente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62" w:type="dxa"/>
            <w:vAlign w:val="center"/>
          </w:tcPr>
          <w:p>
            <w:pPr>
              <w:pStyle w:val="20"/>
              <w:jc w:val="center"/>
              <w:rPr>
                <w:rFonts w:ascii="仿宋" w:hAnsi="仿宋" w:eastAsia="仿宋" w:cs="仿宋"/>
              </w:rPr>
            </w:pPr>
            <w:r>
              <w:rPr>
                <w:rFonts w:hint="eastAsia" w:ascii="仿宋" w:hAnsi="仿宋" w:eastAsia="仿宋" w:cs="仿宋"/>
              </w:rPr>
              <w:t>4</w:t>
            </w:r>
          </w:p>
        </w:tc>
        <w:tc>
          <w:tcPr>
            <w:tcW w:w="3207" w:type="dxa"/>
            <w:vAlign w:val="center"/>
          </w:tcPr>
          <w:p>
            <w:pPr>
              <w:pStyle w:val="20"/>
              <w:jc w:val="center"/>
              <w:rPr>
                <w:rFonts w:ascii="仿宋" w:hAnsi="仿宋" w:eastAsia="仿宋" w:cs="仿宋"/>
              </w:rPr>
            </w:pPr>
            <w:r>
              <w:rPr>
                <w:rFonts w:hint="eastAsia" w:ascii="仿宋" w:hAnsi="仿宋" w:eastAsia="仿宋" w:cs="仿宋"/>
              </w:rPr>
              <w:t>28寸显示器</w:t>
            </w:r>
          </w:p>
        </w:tc>
        <w:tc>
          <w:tcPr>
            <w:tcW w:w="670" w:type="dxa"/>
            <w:vAlign w:val="center"/>
          </w:tcPr>
          <w:p>
            <w:pPr>
              <w:pStyle w:val="20"/>
              <w:jc w:val="center"/>
              <w:rPr>
                <w:rFonts w:ascii="仿宋" w:hAnsi="仿宋" w:eastAsia="仿宋" w:cs="仿宋"/>
              </w:rPr>
            </w:pPr>
            <w:r>
              <w:rPr>
                <w:rFonts w:hint="eastAsia" w:ascii="仿宋" w:hAnsi="仿宋" w:eastAsia="仿宋" w:cs="仿宋"/>
              </w:rPr>
              <w:t>36</w:t>
            </w:r>
          </w:p>
        </w:tc>
        <w:tc>
          <w:tcPr>
            <w:tcW w:w="796" w:type="dxa"/>
            <w:vAlign w:val="center"/>
          </w:tcPr>
          <w:p>
            <w:pPr>
              <w:pStyle w:val="20"/>
              <w:jc w:val="center"/>
              <w:rPr>
                <w:rFonts w:ascii="仿宋" w:hAnsi="仿宋" w:eastAsia="仿宋" w:cs="仿宋"/>
              </w:rPr>
            </w:pPr>
            <w:r>
              <w:rPr>
                <w:rFonts w:hint="eastAsia" w:ascii="仿宋" w:hAnsi="仿宋" w:eastAsia="仿宋" w:cs="仿宋"/>
              </w:rPr>
              <w:t>台</w:t>
            </w:r>
          </w:p>
        </w:tc>
        <w:tc>
          <w:tcPr>
            <w:tcW w:w="2665" w:type="dxa"/>
            <w:vAlign w:val="center"/>
          </w:tcPr>
          <w:p>
            <w:pPr>
              <w:pStyle w:val="20"/>
              <w:jc w:val="cente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62" w:type="dxa"/>
            <w:vAlign w:val="center"/>
          </w:tcPr>
          <w:p>
            <w:pPr>
              <w:pStyle w:val="20"/>
              <w:jc w:val="center"/>
              <w:rPr>
                <w:rFonts w:ascii="仿宋" w:hAnsi="仿宋" w:eastAsia="仿宋" w:cs="仿宋"/>
              </w:rPr>
            </w:pPr>
            <w:r>
              <w:rPr>
                <w:rFonts w:hint="eastAsia" w:ascii="仿宋" w:hAnsi="仿宋" w:eastAsia="仿宋" w:cs="仿宋"/>
              </w:rPr>
              <w:t>5</w:t>
            </w:r>
          </w:p>
        </w:tc>
        <w:tc>
          <w:tcPr>
            <w:tcW w:w="3207" w:type="dxa"/>
            <w:vAlign w:val="center"/>
          </w:tcPr>
          <w:p>
            <w:pPr>
              <w:pStyle w:val="20"/>
              <w:jc w:val="center"/>
              <w:rPr>
                <w:rFonts w:ascii="仿宋" w:hAnsi="仿宋" w:eastAsia="仿宋" w:cs="仿宋"/>
              </w:rPr>
            </w:pPr>
            <w:r>
              <w:rPr>
                <w:rFonts w:hint="eastAsia" w:ascii="仿宋" w:hAnsi="仿宋" w:eastAsia="仿宋" w:cs="仿宋"/>
              </w:rPr>
              <w:t>21.5寸显示器</w:t>
            </w:r>
          </w:p>
        </w:tc>
        <w:tc>
          <w:tcPr>
            <w:tcW w:w="670" w:type="dxa"/>
            <w:vAlign w:val="center"/>
          </w:tcPr>
          <w:p>
            <w:pPr>
              <w:pStyle w:val="20"/>
              <w:jc w:val="center"/>
              <w:rPr>
                <w:rFonts w:ascii="仿宋" w:hAnsi="仿宋" w:eastAsia="仿宋" w:cs="仿宋"/>
              </w:rPr>
            </w:pPr>
            <w:r>
              <w:rPr>
                <w:rFonts w:hint="eastAsia" w:ascii="仿宋" w:hAnsi="仿宋" w:eastAsia="仿宋" w:cs="仿宋"/>
              </w:rPr>
              <w:t>1</w:t>
            </w:r>
          </w:p>
        </w:tc>
        <w:tc>
          <w:tcPr>
            <w:tcW w:w="796" w:type="dxa"/>
            <w:vAlign w:val="center"/>
          </w:tcPr>
          <w:p>
            <w:pPr>
              <w:pStyle w:val="20"/>
              <w:jc w:val="center"/>
              <w:rPr>
                <w:rFonts w:ascii="仿宋" w:hAnsi="仿宋" w:eastAsia="仿宋" w:cs="仿宋"/>
              </w:rPr>
            </w:pPr>
            <w:r>
              <w:rPr>
                <w:rFonts w:hint="eastAsia" w:ascii="仿宋" w:hAnsi="仿宋" w:eastAsia="仿宋" w:cs="仿宋"/>
              </w:rPr>
              <w:t>台</w:t>
            </w:r>
          </w:p>
        </w:tc>
        <w:tc>
          <w:tcPr>
            <w:tcW w:w="2665" w:type="dxa"/>
            <w:vAlign w:val="center"/>
          </w:tcPr>
          <w:p>
            <w:pPr>
              <w:pStyle w:val="20"/>
              <w:jc w:val="cente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62" w:type="dxa"/>
            <w:vAlign w:val="center"/>
          </w:tcPr>
          <w:p>
            <w:pPr>
              <w:pStyle w:val="20"/>
              <w:jc w:val="center"/>
              <w:rPr>
                <w:rFonts w:ascii="仿宋" w:hAnsi="仿宋" w:eastAsia="仿宋" w:cs="仿宋"/>
              </w:rPr>
            </w:pPr>
            <w:r>
              <w:rPr>
                <w:rFonts w:hint="eastAsia" w:ascii="仿宋" w:hAnsi="仿宋" w:eastAsia="仿宋" w:cs="仿宋"/>
              </w:rPr>
              <w:t>6</w:t>
            </w:r>
          </w:p>
        </w:tc>
        <w:tc>
          <w:tcPr>
            <w:tcW w:w="3207" w:type="dxa"/>
            <w:vAlign w:val="center"/>
          </w:tcPr>
          <w:p>
            <w:pPr>
              <w:pStyle w:val="20"/>
              <w:jc w:val="center"/>
              <w:rPr>
                <w:rFonts w:ascii="仿宋" w:hAnsi="仿宋" w:eastAsia="仿宋" w:cs="仿宋"/>
              </w:rPr>
            </w:pPr>
            <w:r>
              <w:rPr>
                <w:rFonts w:hint="eastAsia" w:ascii="仿宋" w:hAnsi="仿宋" w:eastAsia="仿宋" w:cs="仿宋"/>
              </w:rPr>
              <w:t>键鼠套装</w:t>
            </w:r>
          </w:p>
        </w:tc>
        <w:tc>
          <w:tcPr>
            <w:tcW w:w="670" w:type="dxa"/>
            <w:vAlign w:val="center"/>
          </w:tcPr>
          <w:p>
            <w:pPr>
              <w:pStyle w:val="20"/>
              <w:jc w:val="center"/>
              <w:rPr>
                <w:rFonts w:ascii="仿宋" w:hAnsi="仿宋" w:eastAsia="仿宋" w:cs="仿宋"/>
              </w:rPr>
            </w:pPr>
            <w:r>
              <w:rPr>
                <w:rFonts w:hint="eastAsia" w:ascii="仿宋" w:hAnsi="仿宋" w:eastAsia="仿宋" w:cs="仿宋"/>
              </w:rPr>
              <w:t>37</w:t>
            </w:r>
          </w:p>
        </w:tc>
        <w:tc>
          <w:tcPr>
            <w:tcW w:w="796" w:type="dxa"/>
            <w:vAlign w:val="center"/>
          </w:tcPr>
          <w:p>
            <w:pPr>
              <w:pStyle w:val="20"/>
              <w:jc w:val="center"/>
              <w:rPr>
                <w:rFonts w:ascii="仿宋" w:hAnsi="仿宋" w:eastAsia="仿宋" w:cs="仿宋"/>
              </w:rPr>
            </w:pPr>
            <w:r>
              <w:rPr>
                <w:rFonts w:hint="eastAsia" w:ascii="仿宋" w:hAnsi="仿宋" w:eastAsia="仿宋" w:cs="仿宋"/>
              </w:rPr>
              <w:t>套</w:t>
            </w:r>
          </w:p>
        </w:tc>
        <w:tc>
          <w:tcPr>
            <w:tcW w:w="2665" w:type="dxa"/>
            <w:vAlign w:val="center"/>
          </w:tcPr>
          <w:p>
            <w:pPr>
              <w:pStyle w:val="20"/>
              <w:jc w:val="cente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62" w:type="dxa"/>
            <w:vAlign w:val="center"/>
          </w:tcPr>
          <w:p>
            <w:pPr>
              <w:pStyle w:val="20"/>
              <w:jc w:val="center"/>
              <w:rPr>
                <w:rFonts w:ascii="仿宋" w:hAnsi="仿宋" w:eastAsia="仿宋" w:cs="仿宋"/>
              </w:rPr>
            </w:pPr>
            <w:r>
              <w:rPr>
                <w:rFonts w:hint="eastAsia" w:ascii="仿宋" w:hAnsi="仿宋" w:eastAsia="仿宋" w:cs="仿宋"/>
              </w:rPr>
              <w:t>7</w:t>
            </w:r>
          </w:p>
        </w:tc>
        <w:tc>
          <w:tcPr>
            <w:tcW w:w="3207" w:type="dxa"/>
            <w:vAlign w:val="center"/>
          </w:tcPr>
          <w:p>
            <w:pPr>
              <w:pStyle w:val="20"/>
              <w:jc w:val="center"/>
              <w:rPr>
                <w:rFonts w:ascii="仿宋" w:hAnsi="仿宋" w:eastAsia="仿宋" w:cs="仿宋"/>
              </w:rPr>
            </w:pPr>
            <w:r>
              <w:rPr>
                <w:rFonts w:hint="eastAsia" w:ascii="仿宋" w:hAnsi="仿宋" w:eastAsia="仿宋" w:cs="仿宋"/>
              </w:rPr>
              <w:t>5P立式空调</w:t>
            </w:r>
          </w:p>
        </w:tc>
        <w:tc>
          <w:tcPr>
            <w:tcW w:w="670" w:type="dxa"/>
            <w:vAlign w:val="center"/>
          </w:tcPr>
          <w:p>
            <w:pPr>
              <w:pStyle w:val="20"/>
              <w:jc w:val="center"/>
              <w:rPr>
                <w:rFonts w:ascii="仿宋" w:hAnsi="仿宋" w:eastAsia="仿宋" w:cs="仿宋"/>
              </w:rPr>
            </w:pPr>
            <w:r>
              <w:rPr>
                <w:rFonts w:hint="eastAsia" w:ascii="仿宋" w:hAnsi="仿宋" w:eastAsia="仿宋" w:cs="仿宋"/>
              </w:rPr>
              <w:t>2</w:t>
            </w:r>
          </w:p>
        </w:tc>
        <w:tc>
          <w:tcPr>
            <w:tcW w:w="796" w:type="dxa"/>
            <w:vAlign w:val="center"/>
          </w:tcPr>
          <w:p>
            <w:pPr>
              <w:pStyle w:val="20"/>
              <w:jc w:val="center"/>
              <w:rPr>
                <w:rFonts w:ascii="仿宋" w:hAnsi="仿宋" w:eastAsia="仿宋" w:cs="仿宋"/>
              </w:rPr>
            </w:pPr>
            <w:r>
              <w:rPr>
                <w:rFonts w:hint="eastAsia" w:ascii="仿宋" w:hAnsi="仿宋" w:eastAsia="仿宋" w:cs="仿宋"/>
              </w:rPr>
              <w:t>台</w:t>
            </w:r>
          </w:p>
        </w:tc>
        <w:tc>
          <w:tcPr>
            <w:tcW w:w="2665" w:type="dxa"/>
            <w:vAlign w:val="center"/>
          </w:tcPr>
          <w:p>
            <w:pPr>
              <w:pStyle w:val="20"/>
              <w:jc w:val="center"/>
              <w:rPr>
                <w:rFonts w:ascii="仿宋" w:hAnsi="仿宋" w:eastAsia="仿宋" w:cs="仿宋"/>
              </w:rPr>
            </w:pPr>
            <w:r>
              <w:rPr>
                <w:rFonts w:hint="eastAsia" w:ascii="仿宋" w:hAnsi="仿宋" w:eastAsia="仿宋" w:cs="仿宋"/>
              </w:rPr>
              <w:t>含安装费、材料费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62" w:type="dxa"/>
            <w:vAlign w:val="center"/>
          </w:tcPr>
          <w:p>
            <w:pPr>
              <w:pStyle w:val="20"/>
              <w:jc w:val="center"/>
              <w:rPr>
                <w:rFonts w:ascii="仿宋" w:hAnsi="仿宋" w:eastAsia="仿宋" w:cs="仿宋"/>
              </w:rPr>
            </w:pPr>
            <w:r>
              <w:rPr>
                <w:rFonts w:hint="eastAsia" w:ascii="仿宋" w:hAnsi="仿宋" w:eastAsia="仿宋" w:cs="仿宋"/>
              </w:rPr>
              <w:t>8</w:t>
            </w:r>
          </w:p>
        </w:tc>
        <w:tc>
          <w:tcPr>
            <w:tcW w:w="3207" w:type="dxa"/>
            <w:vAlign w:val="center"/>
          </w:tcPr>
          <w:p>
            <w:pPr>
              <w:pStyle w:val="20"/>
              <w:jc w:val="center"/>
              <w:rPr>
                <w:rFonts w:ascii="仿宋" w:hAnsi="仿宋" w:eastAsia="仿宋" w:cs="仿宋"/>
              </w:rPr>
            </w:pPr>
            <w:r>
              <w:rPr>
                <w:rFonts w:hint="eastAsia" w:ascii="仿宋" w:hAnsi="仿宋" w:eastAsia="仿宋" w:cs="仿宋"/>
              </w:rPr>
              <w:t>机器视觉系统应用综合平台</w:t>
            </w:r>
          </w:p>
        </w:tc>
        <w:tc>
          <w:tcPr>
            <w:tcW w:w="670" w:type="dxa"/>
            <w:vAlign w:val="center"/>
          </w:tcPr>
          <w:p>
            <w:pPr>
              <w:pStyle w:val="20"/>
              <w:jc w:val="center"/>
              <w:rPr>
                <w:rFonts w:ascii="仿宋" w:hAnsi="仿宋" w:eastAsia="仿宋" w:cs="仿宋"/>
              </w:rPr>
            </w:pPr>
            <w:r>
              <w:rPr>
                <w:rFonts w:hint="eastAsia" w:ascii="仿宋" w:hAnsi="仿宋" w:eastAsia="仿宋" w:cs="仿宋"/>
              </w:rPr>
              <w:t>1</w:t>
            </w:r>
          </w:p>
        </w:tc>
        <w:tc>
          <w:tcPr>
            <w:tcW w:w="796" w:type="dxa"/>
            <w:vAlign w:val="center"/>
          </w:tcPr>
          <w:p>
            <w:pPr>
              <w:pStyle w:val="20"/>
              <w:jc w:val="center"/>
              <w:rPr>
                <w:rFonts w:ascii="仿宋" w:hAnsi="仿宋" w:eastAsia="仿宋" w:cs="仿宋"/>
              </w:rPr>
            </w:pPr>
            <w:r>
              <w:rPr>
                <w:rFonts w:hint="eastAsia" w:ascii="仿宋" w:hAnsi="仿宋" w:eastAsia="仿宋" w:cs="仿宋"/>
              </w:rPr>
              <w:t>台</w:t>
            </w:r>
          </w:p>
        </w:tc>
        <w:tc>
          <w:tcPr>
            <w:tcW w:w="2665" w:type="dxa"/>
            <w:vAlign w:val="center"/>
          </w:tcPr>
          <w:p>
            <w:pPr>
              <w:pStyle w:val="20"/>
              <w:jc w:val="cente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62" w:type="dxa"/>
            <w:vAlign w:val="center"/>
          </w:tcPr>
          <w:p>
            <w:pPr>
              <w:pStyle w:val="20"/>
              <w:jc w:val="center"/>
              <w:rPr>
                <w:rFonts w:ascii="仿宋" w:hAnsi="仿宋" w:eastAsia="仿宋" w:cs="仿宋"/>
              </w:rPr>
            </w:pPr>
            <w:r>
              <w:rPr>
                <w:rFonts w:hint="eastAsia" w:ascii="仿宋" w:hAnsi="仿宋" w:eastAsia="仿宋" w:cs="仿宋"/>
              </w:rPr>
              <w:t>9</w:t>
            </w:r>
          </w:p>
        </w:tc>
        <w:tc>
          <w:tcPr>
            <w:tcW w:w="3207" w:type="dxa"/>
            <w:vAlign w:val="center"/>
          </w:tcPr>
          <w:p>
            <w:pPr>
              <w:pStyle w:val="20"/>
              <w:jc w:val="center"/>
              <w:rPr>
                <w:rFonts w:ascii="仿宋" w:hAnsi="仿宋" w:eastAsia="仿宋" w:cs="仿宋"/>
              </w:rPr>
            </w:pPr>
            <w:r>
              <w:rPr>
                <w:rFonts w:hint="eastAsia" w:ascii="仿宋" w:hAnsi="仿宋" w:eastAsia="仿宋" w:cs="仿宋"/>
              </w:rPr>
              <w:t>文化墙建设</w:t>
            </w:r>
          </w:p>
        </w:tc>
        <w:tc>
          <w:tcPr>
            <w:tcW w:w="670" w:type="dxa"/>
            <w:vAlign w:val="center"/>
          </w:tcPr>
          <w:p>
            <w:pPr>
              <w:pStyle w:val="20"/>
              <w:jc w:val="center"/>
              <w:rPr>
                <w:rFonts w:ascii="仿宋" w:hAnsi="仿宋" w:eastAsia="仿宋" w:cs="仿宋"/>
              </w:rPr>
            </w:pPr>
            <w:r>
              <w:rPr>
                <w:rFonts w:hint="eastAsia" w:ascii="仿宋" w:hAnsi="仿宋" w:eastAsia="仿宋" w:cs="仿宋"/>
              </w:rPr>
              <w:t>1</w:t>
            </w:r>
          </w:p>
        </w:tc>
        <w:tc>
          <w:tcPr>
            <w:tcW w:w="796" w:type="dxa"/>
            <w:vAlign w:val="center"/>
          </w:tcPr>
          <w:p>
            <w:pPr>
              <w:pStyle w:val="20"/>
              <w:jc w:val="center"/>
              <w:rPr>
                <w:rFonts w:ascii="仿宋" w:hAnsi="仿宋" w:eastAsia="仿宋" w:cs="仿宋"/>
              </w:rPr>
            </w:pPr>
            <w:r>
              <w:rPr>
                <w:rFonts w:hint="eastAsia" w:ascii="仿宋" w:hAnsi="仿宋" w:eastAsia="仿宋" w:cs="仿宋"/>
              </w:rPr>
              <w:t>批</w:t>
            </w:r>
          </w:p>
        </w:tc>
        <w:tc>
          <w:tcPr>
            <w:tcW w:w="2665" w:type="dxa"/>
            <w:vAlign w:val="center"/>
          </w:tcPr>
          <w:p>
            <w:pPr>
              <w:pStyle w:val="20"/>
              <w:jc w:val="cente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62" w:type="dxa"/>
            <w:vAlign w:val="center"/>
          </w:tcPr>
          <w:p>
            <w:pPr>
              <w:pStyle w:val="20"/>
              <w:jc w:val="center"/>
              <w:rPr>
                <w:rFonts w:ascii="仿宋" w:hAnsi="仿宋" w:eastAsia="仿宋" w:cs="仿宋"/>
              </w:rPr>
            </w:pPr>
            <w:r>
              <w:rPr>
                <w:rFonts w:hint="eastAsia" w:ascii="仿宋" w:hAnsi="仿宋" w:eastAsia="仿宋" w:cs="仿宋"/>
              </w:rPr>
              <w:t>10</w:t>
            </w:r>
          </w:p>
        </w:tc>
        <w:tc>
          <w:tcPr>
            <w:tcW w:w="3207" w:type="dxa"/>
            <w:vAlign w:val="center"/>
          </w:tcPr>
          <w:p>
            <w:pPr>
              <w:pStyle w:val="20"/>
              <w:jc w:val="center"/>
              <w:rPr>
                <w:rFonts w:ascii="仿宋" w:hAnsi="仿宋" w:eastAsia="仿宋" w:cs="仿宋"/>
              </w:rPr>
            </w:pPr>
            <w:r>
              <w:rPr>
                <w:rFonts w:hint="eastAsia" w:ascii="仿宋" w:hAnsi="仿宋" w:eastAsia="仿宋" w:cs="仿宋"/>
              </w:rPr>
              <w:t>综合布线</w:t>
            </w:r>
          </w:p>
        </w:tc>
        <w:tc>
          <w:tcPr>
            <w:tcW w:w="670" w:type="dxa"/>
            <w:vAlign w:val="center"/>
          </w:tcPr>
          <w:p>
            <w:pPr>
              <w:pStyle w:val="20"/>
              <w:jc w:val="center"/>
              <w:rPr>
                <w:rFonts w:ascii="仿宋" w:hAnsi="仿宋" w:eastAsia="仿宋" w:cs="仿宋"/>
              </w:rPr>
            </w:pPr>
            <w:r>
              <w:rPr>
                <w:rFonts w:hint="eastAsia" w:ascii="仿宋" w:hAnsi="仿宋" w:eastAsia="仿宋" w:cs="仿宋"/>
              </w:rPr>
              <w:t>1</w:t>
            </w:r>
          </w:p>
        </w:tc>
        <w:tc>
          <w:tcPr>
            <w:tcW w:w="796" w:type="dxa"/>
            <w:vAlign w:val="center"/>
          </w:tcPr>
          <w:p>
            <w:pPr>
              <w:pStyle w:val="20"/>
              <w:jc w:val="center"/>
              <w:rPr>
                <w:rFonts w:ascii="仿宋" w:hAnsi="仿宋" w:eastAsia="仿宋" w:cs="仿宋"/>
              </w:rPr>
            </w:pPr>
            <w:r>
              <w:rPr>
                <w:rFonts w:hint="eastAsia" w:ascii="仿宋" w:hAnsi="仿宋" w:eastAsia="仿宋" w:cs="仿宋"/>
              </w:rPr>
              <w:t>批</w:t>
            </w:r>
          </w:p>
        </w:tc>
        <w:tc>
          <w:tcPr>
            <w:tcW w:w="2665" w:type="dxa"/>
            <w:vAlign w:val="center"/>
          </w:tcPr>
          <w:p>
            <w:pPr>
              <w:pStyle w:val="20"/>
              <w:jc w:val="cente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3" w:hRule="atLeast"/>
          <w:jc w:val="center"/>
        </w:trPr>
        <w:tc>
          <w:tcPr>
            <w:tcW w:w="8100" w:type="dxa"/>
            <w:gridSpan w:val="5"/>
            <w:vAlign w:val="center"/>
          </w:tcPr>
          <w:p>
            <w:pPr>
              <w:pStyle w:val="20"/>
              <w:jc w:val="center"/>
              <w:rPr>
                <w:rFonts w:ascii="仿宋" w:hAnsi="仿宋" w:eastAsia="仿宋" w:cs="仿宋"/>
              </w:rPr>
            </w:pPr>
            <w:r>
              <w:rPr>
                <w:rFonts w:hint="eastAsia" w:ascii="仿宋" w:hAnsi="仿宋" w:eastAsia="仿宋" w:cs="仿宋"/>
                <w:b/>
                <w:bCs/>
              </w:rPr>
              <w:t>移动云平台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1" w:hRule="atLeast"/>
          <w:jc w:val="center"/>
        </w:trPr>
        <w:tc>
          <w:tcPr>
            <w:tcW w:w="762" w:type="dxa"/>
            <w:vAlign w:val="center"/>
          </w:tcPr>
          <w:p>
            <w:pPr>
              <w:pStyle w:val="20"/>
              <w:jc w:val="center"/>
              <w:rPr>
                <w:rFonts w:ascii="仿宋" w:hAnsi="仿宋" w:eastAsia="仿宋" w:cs="仿宋"/>
              </w:rPr>
            </w:pPr>
            <w:r>
              <w:rPr>
                <w:rFonts w:hint="eastAsia" w:ascii="仿宋" w:hAnsi="仿宋" w:eastAsia="仿宋" w:cs="仿宋"/>
              </w:rPr>
              <w:t>序号</w:t>
            </w:r>
          </w:p>
        </w:tc>
        <w:tc>
          <w:tcPr>
            <w:tcW w:w="3207" w:type="dxa"/>
            <w:vAlign w:val="center"/>
          </w:tcPr>
          <w:p>
            <w:pPr>
              <w:pStyle w:val="20"/>
              <w:jc w:val="center"/>
              <w:rPr>
                <w:rFonts w:ascii="仿宋" w:hAnsi="仿宋" w:eastAsia="仿宋" w:cs="仿宋"/>
              </w:rPr>
            </w:pPr>
            <w:r>
              <w:rPr>
                <w:rFonts w:hint="eastAsia" w:ascii="仿宋" w:hAnsi="仿宋" w:eastAsia="仿宋" w:cs="仿宋"/>
              </w:rPr>
              <w:t>系统名称</w:t>
            </w:r>
          </w:p>
        </w:tc>
        <w:tc>
          <w:tcPr>
            <w:tcW w:w="670" w:type="dxa"/>
            <w:vAlign w:val="center"/>
          </w:tcPr>
          <w:p>
            <w:pPr>
              <w:pStyle w:val="20"/>
              <w:jc w:val="center"/>
              <w:rPr>
                <w:rFonts w:ascii="仿宋" w:hAnsi="仿宋" w:eastAsia="仿宋" w:cs="仿宋"/>
              </w:rPr>
            </w:pPr>
            <w:r>
              <w:rPr>
                <w:rFonts w:hint="eastAsia" w:ascii="仿宋" w:hAnsi="仿宋" w:eastAsia="仿宋" w:cs="仿宋"/>
              </w:rPr>
              <w:t>数量</w:t>
            </w:r>
          </w:p>
        </w:tc>
        <w:tc>
          <w:tcPr>
            <w:tcW w:w="796" w:type="dxa"/>
            <w:vAlign w:val="center"/>
          </w:tcPr>
          <w:p>
            <w:pPr>
              <w:pStyle w:val="20"/>
              <w:jc w:val="center"/>
              <w:rPr>
                <w:rFonts w:ascii="仿宋" w:hAnsi="仿宋" w:eastAsia="仿宋" w:cs="仿宋"/>
              </w:rPr>
            </w:pPr>
            <w:r>
              <w:rPr>
                <w:rFonts w:hint="eastAsia" w:ascii="仿宋" w:hAnsi="仿宋" w:eastAsia="仿宋" w:cs="仿宋"/>
              </w:rPr>
              <w:t>单位</w:t>
            </w:r>
          </w:p>
        </w:tc>
        <w:tc>
          <w:tcPr>
            <w:tcW w:w="2665" w:type="dxa"/>
            <w:vAlign w:val="center"/>
          </w:tcPr>
          <w:p>
            <w:pPr>
              <w:pStyle w:val="20"/>
              <w:jc w:val="center"/>
              <w:rPr>
                <w:rFonts w:ascii="仿宋" w:hAnsi="仿宋" w:eastAsia="仿宋" w:cs="仿宋"/>
              </w:rPr>
            </w:pPr>
            <w:r>
              <w:rPr>
                <w:rFonts w:hint="eastAsia" w:ascii="仿宋" w:hAnsi="仿宋" w:eastAsia="仿宋" w:cs="仿宋"/>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4" w:hRule="atLeast"/>
          <w:jc w:val="center"/>
        </w:trPr>
        <w:tc>
          <w:tcPr>
            <w:tcW w:w="762" w:type="dxa"/>
            <w:vAlign w:val="center"/>
          </w:tcPr>
          <w:p>
            <w:pPr>
              <w:pStyle w:val="20"/>
              <w:jc w:val="center"/>
              <w:rPr>
                <w:rFonts w:ascii="仿宋" w:hAnsi="仿宋" w:eastAsia="仿宋" w:cs="仿宋"/>
              </w:rPr>
            </w:pPr>
            <w:r>
              <w:rPr>
                <w:rFonts w:hint="eastAsia" w:ascii="仿宋" w:hAnsi="仿宋" w:eastAsia="仿宋" w:cs="仿宋"/>
              </w:rPr>
              <w:t>1</w:t>
            </w:r>
          </w:p>
        </w:tc>
        <w:tc>
          <w:tcPr>
            <w:tcW w:w="3207" w:type="dxa"/>
            <w:vAlign w:val="center"/>
          </w:tcPr>
          <w:p>
            <w:pPr>
              <w:pStyle w:val="20"/>
              <w:jc w:val="center"/>
              <w:rPr>
                <w:rFonts w:ascii="仿宋" w:hAnsi="仿宋" w:eastAsia="仿宋" w:cs="仿宋"/>
              </w:rPr>
            </w:pPr>
            <w:r>
              <w:rPr>
                <w:rFonts w:hint="eastAsia" w:ascii="仿宋" w:hAnsi="仿宋" w:eastAsia="仿宋" w:cs="仿宋"/>
              </w:rPr>
              <w:t>云计算节点</w:t>
            </w:r>
          </w:p>
        </w:tc>
        <w:tc>
          <w:tcPr>
            <w:tcW w:w="670" w:type="dxa"/>
            <w:vAlign w:val="center"/>
          </w:tcPr>
          <w:p>
            <w:pPr>
              <w:pStyle w:val="20"/>
              <w:jc w:val="center"/>
              <w:rPr>
                <w:rFonts w:ascii="仿宋" w:hAnsi="仿宋" w:eastAsia="仿宋" w:cs="仿宋"/>
              </w:rPr>
            </w:pPr>
            <w:r>
              <w:rPr>
                <w:rFonts w:hint="eastAsia" w:ascii="仿宋" w:hAnsi="仿宋" w:eastAsia="仿宋" w:cs="仿宋"/>
              </w:rPr>
              <w:t>4</w:t>
            </w:r>
          </w:p>
        </w:tc>
        <w:tc>
          <w:tcPr>
            <w:tcW w:w="796" w:type="dxa"/>
            <w:vAlign w:val="center"/>
          </w:tcPr>
          <w:p>
            <w:pPr>
              <w:pStyle w:val="20"/>
              <w:jc w:val="center"/>
              <w:rPr>
                <w:rFonts w:ascii="仿宋" w:hAnsi="仿宋" w:eastAsia="仿宋" w:cs="仿宋"/>
              </w:rPr>
            </w:pPr>
            <w:r>
              <w:rPr>
                <w:rFonts w:hint="eastAsia" w:ascii="仿宋" w:hAnsi="仿宋" w:eastAsia="仿宋" w:cs="仿宋"/>
              </w:rPr>
              <w:t>台</w:t>
            </w:r>
          </w:p>
        </w:tc>
        <w:tc>
          <w:tcPr>
            <w:tcW w:w="2665" w:type="dxa"/>
            <w:vAlign w:val="center"/>
          </w:tcPr>
          <w:p>
            <w:pPr>
              <w:pStyle w:val="20"/>
              <w:jc w:val="center"/>
              <w:rPr>
                <w:rFonts w:ascii="仿宋" w:hAnsi="仿宋" w:eastAsia="仿宋" w:cs="仿宋"/>
              </w:rPr>
            </w:pPr>
            <w:r>
              <w:rPr>
                <w:rFonts w:hint="eastAsia" w:ascii="仿宋" w:hAnsi="仿宋" w:eastAsia="仿宋" w:cs="仿宋"/>
                <w:sz w:val="21"/>
                <w:szCs w:val="21"/>
              </w:rPr>
              <w:t>云桌面性能达到台式机I9/16G内存/2G独显标准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62" w:type="dxa"/>
            <w:vAlign w:val="center"/>
          </w:tcPr>
          <w:p>
            <w:pPr>
              <w:pStyle w:val="20"/>
              <w:jc w:val="center"/>
              <w:rPr>
                <w:rFonts w:ascii="仿宋" w:hAnsi="仿宋" w:eastAsia="仿宋" w:cs="仿宋"/>
              </w:rPr>
            </w:pPr>
            <w:r>
              <w:rPr>
                <w:rFonts w:hint="eastAsia" w:ascii="仿宋" w:hAnsi="仿宋" w:eastAsia="仿宋" w:cs="仿宋"/>
              </w:rPr>
              <w:t>2</w:t>
            </w:r>
          </w:p>
        </w:tc>
        <w:tc>
          <w:tcPr>
            <w:tcW w:w="3207" w:type="dxa"/>
            <w:vAlign w:val="center"/>
          </w:tcPr>
          <w:p>
            <w:pPr>
              <w:pStyle w:val="20"/>
              <w:jc w:val="center"/>
              <w:rPr>
                <w:rFonts w:ascii="仿宋" w:hAnsi="仿宋" w:eastAsia="仿宋" w:cs="仿宋"/>
              </w:rPr>
            </w:pPr>
            <w:r>
              <w:rPr>
                <w:rFonts w:hint="eastAsia" w:ascii="仿宋" w:hAnsi="仿宋" w:eastAsia="仿宋" w:cs="仿宋"/>
              </w:rPr>
              <w:t>云渲染中心</w:t>
            </w:r>
          </w:p>
        </w:tc>
        <w:tc>
          <w:tcPr>
            <w:tcW w:w="670" w:type="dxa"/>
            <w:vAlign w:val="center"/>
          </w:tcPr>
          <w:p>
            <w:pPr>
              <w:pStyle w:val="20"/>
              <w:jc w:val="center"/>
              <w:rPr>
                <w:rFonts w:ascii="仿宋" w:hAnsi="仿宋" w:eastAsia="仿宋" w:cs="仿宋"/>
              </w:rPr>
            </w:pPr>
            <w:r>
              <w:rPr>
                <w:rFonts w:hint="eastAsia" w:ascii="仿宋" w:hAnsi="仿宋" w:eastAsia="仿宋" w:cs="仿宋"/>
              </w:rPr>
              <w:t>1</w:t>
            </w:r>
          </w:p>
        </w:tc>
        <w:tc>
          <w:tcPr>
            <w:tcW w:w="796" w:type="dxa"/>
            <w:vAlign w:val="center"/>
          </w:tcPr>
          <w:p>
            <w:pPr>
              <w:pStyle w:val="20"/>
              <w:jc w:val="center"/>
              <w:rPr>
                <w:rFonts w:ascii="仿宋" w:hAnsi="仿宋" w:eastAsia="仿宋" w:cs="仿宋"/>
              </w:rPr>
            </w:pPr>
            <w:r>
              <w:rPr>
                <w:rFonts w:hint="eastAsia" w:ascii="仿宋" w:hAnsi="仿宋" w:eastAsia="仿宋" w:cs="仿宋"/>
              </w:rPr>
              <w:t>套</w:t>
            </w:r>
          </w:p>
        </w:tc>
        <w:tc>
          <w:tcPr>
            <w:tcW w:w="2665" w:type="dxa"/>
            <w:vAlign w:val="center"/>
          </w:tcPr>
          <w:p>
            <w:pPr>
              <w:pStyle w:val="20"/>
              <w:jc w:val="cente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62" w:type="dxa"/>
            <w:vAlign w:val="center"/>
          </w:tcPr>
          <w:p>
            <w:pPr>
              <w:pStyle w:val="20"/>
              <w:jc w:val="center"/>
              <w:rPr>
                <w:rFonts w:ascii="仿宋" w:hAnsi="仿宋" w:eastAsia="仿宋" w:cs="仿宋"/>
              </w:rPr>
            </w:pPr>
            <w:r>
              <w:rPr>
                <w:rFonts w:hint="eastAsia" w:ascii="仿宋" w:hAnsi="仿宋" w:eastAsia="仿宋" w:cs="仿宋"/>
              </w:rPr>
              <w:t>3</w:t>
            </w:r>
          </w:p>
        </w:tc>
        <w:tc>
          <w:tcPr>
            <w:tcW w:w="3207" w:type="dxa"/>
            <w:vAlign w:val="center"/>
          </w:tcPr>
          <w:p>
            <w:pPr>
              <w:pStyle w:val="20"/>
              <w:jc w:val="center"/>
              <w:rPr>
                <w:rFonts w:ascii="仿宋" w:hAnsi="仿宋" w:eastAsia="仿宋" w:cs="仿宋"/>
              </w:rPr>
            </w:pPr>
            <w:r>
              <w:rPr>
                <w:rFonts w:hint="eastAsia" w:ascii="仿宋" w:hAnsi="仿宋" w:eastAsia="仿宋" w:cs="仿宋"/>
              </w:rPr>
              <w:t>超融合软件</w:t>
            </w:r>
          </w:p>
        </w:tc>
        <w:tc>
          <w:tcPr>
            <w:tcW w:w="670" w:type="dxa"/>
            <w:vAlign w:val="center"/>
          </w:tcPr>
          <w:p>
            <w:pPr>
              <w:pStyle w:val="20"/>
              <w:jc w:val="center"/>
              <w:rPr>
                <w:rFonts w:ascii="仿宋" w:hAnsi="仿宋" w:eastAsia="仿宋" w:cs="仿宋"/>
              </w:rPr>
            </w:pPr>
            <w:r>
              <w:rPr>
                <w:rFonts w:hint="eastAsia" w:ascii="仿宋" w:hAnsi="仿宋" w:eastAsia="仿宋" w:cs="仿宋"/>
              </w:rPr>
              <w:t>4</w:t>
            </w:r>
          </w:p>
        </w:tc>
        <w:tc>
          <w:tcPr>
            <w:tcW w:w="796" w:type="dxa"/>
            <w:vAlign w:val="center"/>
          </w:tcPr>
          <w:p>
            <w:pPr>
              <w:pStyle w:val="20"/>
              <w:jc w:val="center"/>
              <w:rPr>
                <w:rFonts w:ascii="仿宋" w:hAnsi="仿宋" w:eastAsia="仿宋" w:cs="仿宋"/>
              </w:rPr>
            </w:pPr>
            <w:r>
              <w:rPr>
                <w:rFonts w:hint="eastAsia" w:ascii="仿宋" w:hAnsi="仿宋" w:eastAsia="仿宋" w:cs="仿宋"/>
              </w:rPr>
              <w:t>点</w:t>
            </w:r>
          </w:p>
        </w:tc>
        <w:tc>
          <w:tcPr>
            <w:tcW w:w="2665" w:type="dxa"/>
            <w:vAlign w:val="center"/>
          </w:tcPr>
          <w:p>
            <w:pPr>
              <w:pStyle w:val="20"/>
              <w:jc w:val="cente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62" w:type="dxa"/>
            <w:vAlign w:val="center"/>
          </w:tcPr>
          <w:p>
            <w:pPr>
              <w:pStyle w:val="20"/>
              <w:jc w:val="center"/>
              <w:rPr>
                <w:rFonts w:ascii="仿宋" w:hAnsi="仿宋" w:eastAsia="仿宋" w:cs="仿宋"/>
              </w:rPr>
            </w:pPr>
            <w:r>
              <w:rPr>
                <w:rFonts w:hint="eastAsia" w:ascii="仿宋" w:hAnsi="仿宋" w:eastAsia="仿宋" w:cs="仿宋"/>
              </w:rPr>
              <w:t>4</w:t>
            </w:r>
          </w:p>
        </w:tc>
        <w:tc>
          <w:tcPr>
            <w:tcW w:w="3207" w:type="dxa"/>
            <w:vAlign w:val="center"/>
          </w:tcPr>
          <w:p>
            <w:pPr>
              <w:pStyle w:val="20"/>
              <w:jc w:val="center"/>
              <w:rPr>
                <w:rFonts w:ascii="仿宋" w:hAnsi="仿宋" w:eastAsia="仿宋" w:cs="仿宋"/>
              </w:rPr>
            </w:pPr>
            <w:r>
              <w:rPr>
                <w:rFonts w:hint="eastAsia" w:ascii="仿宋" w:hAnsi="仿宋" w:eastAsia="仿宋" w:cs="仿宋"/>
              </w:rPr>
              <w:t>在线运维软件</w:t>
            </w:r>
          </w:p>
        </w:tc>
        <w:tc>
          <w:tcPr>
            <w:tcW w:w="670" w:type="dxa"/>
            <w:vAlign w:val="center"/>
          </w:tcPr>
          <w:p>
            <w:pPr>
              <w:pStyle w:val="20"/>
              <w:jc w:val="center"/>
              <w:rPr>
                <w:rFonts w:ascii="仿宋" w:hAnsi="仿宋" w:eastAsia="仿宋" w:cs="仿宋"/>
              </w:rPr>
            </w:pPr>
            <w:r>
              <w:rPr>
                <w:rFonts w:hint="eastAsia" w:ascii="仿宋" w:hAnsi="仿宋" w:eastAsia="仿宋" w:cs="仿宋"/>
              </w:rPr>
              <w:t>1</w:t>
            </w:r>
          </w:p>
        </w:tc>
        <w:tc>
          <w:tcPr>
            <w:tcW w:w="796" w:type="dxa"/>
            <w:vAlign w:val="center"/>
          </w:tcPr>
          <w:p>
            <w:pPr>
              <w:pStyle w:val="20"/>
              <w:jc w:val="center"/>
              <w:rPr>
                <w:rFonts w:ascii="仿宋" w:hAnsi="仿宋" w:eastAsia="仿宋" w:cs="仿宋"/>
              </w:rPr>
            </w:pPr>
            <w:r>
              <w:rPr>
                <w:rFonts w:hint="eastAsia" w:ascii="仿宋" w:hAnsi="仿宋" w:eastAsia="仿宋" w:cs="仿宋"/>
              </w:rPr>
              <w:t>套</w:t>
            </w:r>
          </w:p>
        </w:tc>
        <w:tc>
          <w:tcPr>
            <w:tcW w:w="2665" w:type="dxa"/>
            <w:vAlign w:val="center"/>
          </w:tcPr>
          <w:p>
            <w:pPr>
              <w:pStyle w:val="20"/>
              <w:jc w:val="cente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62" w:type="dxa"/>
            <w:vAlign w:val="center"/>
          </w:tcPr>
          <w:p>
            <w:pPr>
              <w:pStyle w:val="20"/>
              <w:jc w:val="center"/>
              <w:rPr>
                <w:rFonts w:ascii="仿宋" w:hAnsi="仿宋" w:eastAsia="仿宋" w:cs="仿宋"/>
              </w:rPr>
            </w:pPr>
            <w:r>
              <w:rPr>
                <w:rFonts w:hint="eastAsia" w:ascii="仿宋" w:hAnsi="仿宋" w:eastAsia="仿宋" w:cs="仿宋"/>
              </w:rPr>
              <w:t>5</w:t>
            </w:r>
          </w:p>
        </w:tc>
        <w:tc>
          <w:tcPr>
            <w:tcW w:w="3207" w:type="dxa"/>
            <w:vAlign w:val="center"/>
          </w:tcPr>
          <w:p>
            <w:pPr>
              <w:pStyle w:val="20"/>
              <w:jc w:val="center"/>
              <w:rPr>
                <w:rFonts w:ascii="仿宋" w:hAnsi="仿宋" w:eastAsia="仿宋" w:cs="仿宋"/>
              </w:rPr>
            </w:pPr>
            <w:r>
              <w:rPr>
                <w:rFonts w:hint="eastAsia" w:ascii="仿宋" w:hAnsi="仿宋" w:eastAsia="仿宋" w:cs="仿宋"/>
              </w:rPr>
              <w:t>桌面虚拟化软件</w:t>
            </w:r>
          </w:p>
        </w:tc>
        <w:tc>
          <w:tcPr>
            <w:tcW w:w="670" w:type="dxa"/>
            <w:vAlign w:val="center"/>
          </w:tcPr>
          <w:p>
            <w:pPr>
              <w:pStyle w:val="20"/>
              <w:jc w:val="center"/>
              <w:rPr>
                <w:rFonts w:ascii="仿宋" w:hAnsi="仿宋" w:eastAsia="仿宋" w:cs="仿宋"/>
              </w:rPr>
            </w:pPr>
            <w:r>
              <w:rPr>
                <w:rFonts w:hint="eastAsia" w:ascii="仿宋" w:hAnsi="仿宋" w:eastAsia="仿宋" w:cs="仿宋"/>
              </w:rPr>
              <w:t>50</w:t>
            </w:r>
          </w:p>
        </w:tc>
        <w:tc>
          <w:tcPr>
            <w:tcW w:w="796" w:type="dxa"/>
            <w:vAlign w:val="center"/>
          </w:tcPr>
          <w:p>
            <w:pPr>
              <w:pStyle w:val="20"/>
              <w:jc w:val="center"/>
              <w:rPr>
                <w:rFonts w:ascii="仿宋" w:hAnsi="仿宋" w:eastAsia="仿宋" w:cs="仿宋"/>
              </w:rPr>
            </w:pPr>
            <w:r>
              <w:rPr>
                <w:rFonts w:hint="eastAsia" w:ascii="仿宋" w:hAnsi="仿宋" w:eastAsia="仿宋" w:cs="仿宋"/>
              </w:rPr>
              <w:t>点</w:t>
            </w:r>
          </w:p>
        </w:tc>
        <w:tc>
          <w:tcPr>
            <w:tcW w:w="2665" w:type="dxa"/>
            <w:vAlign w:val="center"/>
          </w:tcPr>
          <w:p>
            <w:pPr>
              <w:pStyle w:val="20"/>
              <w:jc w:val="cente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62" w:type="dxa"/>
            <w:vAlign w:val="center"/>
          </w:tcPr>
          <w:p>
            <w:pPr>
              <w:pStyle w:val="20"/>
              <w:jc w:val="center"/>
              <w:rPr>
                <w:rFonts w:ascii="仿宋" w:hAnsi="仿宋" w:eastAsia="仿宋" w:cs="仿宋"/>
              </w:rPr>
            </w:pPr>
            <w:r>
              <w:rPr>
                <w:rFonts w:hint="eastAsia" w:ascii="仿宋" w:hAnsi="仿宋" w:eastAsia="仿宋" w:cs="仿宋"/>
              </w:rPr>
              <w:t>6</w:t>
            </w:r>
          </w:p>
        </w:tc>
        <w:tc>
          <w:tcPr>
            <w:tcW w:w="3207" w:type="dxa"/>
            <w:vAlign w:val="center"/>
          </w:tcPr>
          <w:p>
            <w:pPr>
              <w:pStyle w:val="20"/>
              <w:jc w:val="center"/>
              <w:rPr>
                <w:rFonts w:ascii="仿宋" w:hAnsi="仿宋" w:eastAsia="仿宋" w:cs="仿宋"/>
              </w:rPr>
            </w:pPr>
            <w:r>
              <w:rPr>
                <w:rFonts w:hint="eastAsia" w:ascii="仿宋" w:hAnsi="仿宋" w:eastAsia="仿宋" w:cs="仿宋"/>
              </w:rPr>
              <w:t>电子教学软件</w:t>
            </w:r>
          </w:p>
        </w:tc>
        <w:tc>
          <w:tcPr>
            <w:tcW w:w="670" w:type="dxa"/>
            <w:vAlign w:val="center"/>
          </w:tcPr>
          <w:p>
            <w:pPr>
              <w:pStyle w:val="20"/>
              <w:jc w:val="center"/>
              <w:rPr>
                <w:rFonts w:ascii="仿宋" w:hAnsi="仿宋" w:eastAsia="仿宋" w:cs="仿宋"/>
              </w:rPr>
            </w:pPr>
            <w:r>
              <w:rPr>
                <w:rFonts w:hint="eastAsia" w:ascii="仿宋" w:hAnsi="仿宋" w:eastAsia="仿宋" w:cs="仿宋"/>
              </w:rPr>
              <w:t>1</w:t>
            </w:r>
          </w:p>
        </w:tc>
        <w:tc>
          <w:tcPr>
            <w:tcW w:w="796" w:type="dxa"/>
            <w:vAlign w:val="center"/>
          </w:tcPr>
          <w:p>
            <w:pPr>
              <w:pStyle w:val="20"/>
              <w:jc w:val="center"/>
              <w:rPr>
                <w:rFonts w:ascii="仿宋" w:hAnsi="仿宋" w:eastAsia="仿宋" w:cs="仿宋"/>
              </w:rPr>
            </w:pPr>
            <w:r>
              <w:rPr>
                <w:rFonts w:hint="eastAsia" w:ascii="仿宋" w:hAnsi="仿宋" w:eastAsia="仿宋" w:cs="仿宋"/>
              </w:rPr>
              <w:t>套</w:t>
            </w:r>
          </w:p>
        </w:tc>
        <w:tc>
          <w:tcPr>
            <w:tcW w:w="2665" w:type="dxa"/>
            <w:vAlign w:val="center"/>
          </w:tcPr>
          <w:p>
            <w:pPr>
              <w:pStyle w:val="20"/>
              <w:jc w:val="cente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62" w:type="dxa"/>
            <w:vAlign w:val="center"/>
          </w:tcPr>
          <w:p>
            <w:pPr>
              <w:pStyle w:val="20"/>
              <w:jc w:val="center"/>
              <w:rPr>
                <w:rFonts w:ascii="仿宋" w:hAnsi="仿宋" w:eastAsia="仿宋" w:cs="仿宋"/>
              </w:rPr>
            </w:pPr>
            <w:r>
              <w:rPr>
                <w:rFonts w:hint="eastAsia" w:ascii="仿宋" w:hAnsi="仿宋" w:eastAsia="仿宋" w:cs="仿宋"/>
              </w:rPr>
              <w:t>7</w:t>
            </w:r>
          </w:p>
        </w:tc>
        <w:tc>
          <w:tcPr>
            <w:tcW w:w="3207" w:type="dxa"/>
            <w:vAlign w:val="center"/>
          </w:tcPr>
          <w:p>
            <w:pPr>
              <w:pStyle w:val="20"/>
              <w:jc w:val="center"/>
              <w:rPr>
                <w:rFonts w:ascii="仿宋" w:hAnsi="仿宋" w:eastAsia="仿宋" w:cs="仿宋"/>
              </w:rPr>
            </w:pPr>
            <w:r>
              <w:rPr>
                <w:rFonts w:hint="eastAsia" w:ascii="仿宋" w:hAnsi="仿宋" w:eastAsia="仿宋" w:cs="仿宋"/>
              </w:rPr>
              <w:t>服务器机柜</w:t>
            </w:r>
          </w:p>
        </w:tc>
        <w:tc>
          <w:tcPr>
            <w:tcW w:w="670" w:type="dxa"/>
            <w:vAlign w:val="center"/>
          </w:tcPr>
          <w:p>
            <w:pPr>
              <w:pStyle w:val="20"/>
              <w:jc w:val="center"/>
              <w:rPr>
                <w:rFonts w:ascii="仿宋" w:hAnsi="仿宋" w:eastAsia="仿宋" w:cs="仿宋"/>
              </w:rPr>
            </w:pPr>
            <w:r>
              <w:rPr>
                <w:rFonts w:hint="eastAsia" w:ascii="仿宋" w:hAnsi="仿宋" w:eastAsia="仿宋" w:cs="仿宋"/>
              </w:rPr>
              <w:t>1</w:t>
            </w:r>
          </w:p>
        </w:tc>
        <w:tc>
          <w:tcPr>
            <w:tcW w:w="796" w:type="dxa"/>
            <w:vAlign w:val="center"/>
          </w:tcPr>
          <w:p>
            <w:pPr>
              <w:pStyle w:val="20"/>
              <w:jc w:val="center"/>
              <w:rPr>
                <w:rFonts w:ascii="仿宋" w:hAnsi="仿宋" w:eastAsia="仿宋" w:cs="仿宋"/>
              </w:rPr>
            </w:pPr>
            <w:r>
              <w:rPr>
                <w:rFonts w:hint="eastAsia" w:ascii="仿宋" w:hAnsi="仿宋" w:eastAsia="仿宋" w:cs="仿宋"/>
              </w:rPr>
              <w:t>个</w:t>
            </w:r>
          </w:p>
        </w:tc>
        <w:tc>
          <w:tcPr>
            <w:tcW w:w="2665" w:type="dxa"/>
            <w:vAlign w:val="center"/>
          </w:tcPr>
          <w:p>
            <w:pPr>
              <w:pStyle w:val="20"/>
              <w:jc w:val="center"/>
              <w:rPr>
                <w:rFonts w:ascii="仿宋" w:hAnsi="仿宋" w:eastAsia="仿宋" w:cs="仿宋"/>
              </w:rPr>
            </w:pPr>
            <w:r>
              <w:rPr>
                <w:rFonts w:hint="eastAsia" w:ascii="仿宋" w:hAnsi="仿宋" w:eastAsia="仿宋" w:cs="仿宋"/>
              </w:rPr>
              <w:t>42U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62" w:type="dxa"/>
            <w:vAlign w:val="center"/>
          </w:tcPr>
          <w:p>
            <w:pPr>
              <w:pStyle w:val="20"/>
              <w:jc w:val="center"/>
              <w:rPr>
                <w:rFonts w:ascii="仿宋" w:hAnsi="仿宋" w:eastAsia="仿宋" w:cs="仿宋"/>
              </w:rPr>
            </w:pPr>
            <w:r>
              <w:rPr>
                <w:rFonts w:hint="eastAsia" w:ascii="仿宋" w:hAnsi="仿宋" w:eastAsia="仿宋" w:cs="仿宋"/>
              </w:rPr>
              <w:t>8</w:t>
            </w:r>
          </w:p>
        </w:tc>
        <w:tc>
          <w:tcPr>
            <w:tcW w:w="3207" w:type="dxa"/>
            <w:vAlign w:val="center"/>
          </w:tcPr>
          <w:p>
            <w:pPr>
              <w:pStyle w:val="20"/>
              <w:jc w:val="center"/>
              <w:rPr>
                <w:rFonts w:ascii="仿宋" w:hAnsi="仿宋" w:eastAsia="仿宋" w:cs="仿宋"/>
              </w:rPr>
            </w:pPr>
            <w:r>
              <w:rPr>
                <w:rFonts w:hint="eastAsia" w:ascii="仿宋" w:hAnsi="仿宋" w:eastAsia="仿宋" w:cs="仿宋"/>
              </w:rPr>
              <w:t>汇聚交换机</w:t>
            </w:r>
          </w:p>
        </w:tc>
        <w:tc>
          <w:tcPr>
            <w:tcW w:w="670" w:type="dxa"/>
            <w:vAlign w:val="center"/>
          </w:tcPr>
          <w:p>
            <w:pPr>
              <w:pStyle w:val="20"/>
              <w:jc w:val="center"/>
              <w:rPr>
                <w:rFonts w:ascii="仿宋" w:hAnsi="仿宋" w:eastAsia="仿宋" w:cs="仿宋"/>
              </w:rPr>
            </w:pPr>
            <w:r>
              <w:rPr>
                <w:rFonts w:hint="eastAsia" w:ascii="仿宋" w:hAnsi="仿宋" w:eastAsia="仿宋" w:cs="仿宋"/>
              </w:rPr>
              <w:t>1</w:t>
            </w:r>
          </w:p>
        </w:tc>
        <w:tc>
          <w:tcPr>
            <w:tcW w:w="796" w:type="dxa"/>
            <w:vAlign w:val="center"/>
          </w:tcPr>
          <w:p>
            <w:pPr>
              <w:pStyle w:val="20"/>
              <w:jc w:val="center"/>
              <w:rPr>
                <w:rFonts w:ascii="仿宋" w:hAnsi="仿宋" w:eastAsia="仿宋" w:cs="仿宋"/>
              </w:rPr>
            </w:pPr>
            <w:r>
              <w:rPr>
                <w:rFonts w:hint="eastAsia" w:ascii="仿宋" w:hAnsi="仿宋" w:eastAsia="仿宋" w:cs="仿宋"/>
              </w:rPr>
              <w:t>台</w:t>
            </w:r>
          </w:p>
        </w:tc>
        <w:tc>
          <w:tcPr>
            <w:tcW w:w="2665" w:type="dxa"/>
            <w:vAlign w:val="center"/>
          </w:tcPr>
          <w:p>
            <w:pPr>
              <w:pStyle w:val="20"/>
              <w:jc w:val="cente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62" w:type="dxa"/>
            <w:vAlign w:val="center"/>
          </w:tcPr>
          <w:p>
            <w:pPr>
              <w:pStyle w:val="20"/>
              <w:jc w:val="center"/>
              <w:rPr>
                <w:rFonts w:ascii="仿宋" w:hAnsi="仿宋" w:eastAsia="仿宋" w:cs="仿宋"/>
              </w:rPr>
            </w:pPr>
            <w:r>
              <w:rPr>
                <w:rFonts w:hint="eastAsia" w:ascii="仿宋" w:hAnsi="仿宋" w:eastAsia="仿宋" w:cs="仿宋"/>
              </w:rPr>
              <w:t>9</w:t>
            </w:r>
          </w:p>
        </w:tc>
        <w:tc>
          <w:tcPr>
            <w:tcW w:w="3207" w:type="dxa"/>
            <w:vAlign w:val="center"/>
          </w:tcPr>
          <w:p>
            <w:pPr>
              <w:pStyle w:val="20"/>
              <w:jc w:val="center"/>
              <w:rPr>
                <w:rFonts w:ascii="仿宋" w:hAnsi="仿宋" w:eastAsia="仿宋" w:cs="仿宋"/>
              </w:rPr>
            </w:pPr>
            <w:r>
              <w:rPr>
                <w:rFonts w:hint="eastAsia" w:ascii="仿宋" w:hAnsi="仿宋" w:eastAsia="仿宋" w:cs="仿宋"/>
              </w:rPr>
              <w:t>接入交换机</w:t>
            </w:r>
          </w:p>
        </w:tc>
        <w:tc>
          <w:tcPr>
            <w:tcW w:w="670" w:type="dxa"/>
            <w:vAlign w:val="center"/>
          </w:tcPr>
          <w:p>
            <w:pPr>
              <w:pStyle w:val="20"/>
              <w:jc w:val="center"/>
              <w:rPr>
                <w:rFonts w:ascii="仿宋" w:hAnsi="仿宋" w:eastAsia="仿宋" w:cs="仿宋"/>
              </w:rPr>
            </w:pPr>
            <w:r>
              <w:rPr>
                <w:rFonts w:hint="eastAsia" w:ascii="仿宋" w:hAnsi="仿宋" w:eastAsia="仿宋" w:cs="仿宋"/>
              </w:rPr>
              <w:t>2</w:t>
            </w:r>
          </w:p>
        </w:tc>
        <w:tc>
          <w:tcPr>
            <w:tcW w:w="796" w:type="dxa"/>
            <w:vAlign w:val="center"/>
          </w:tcPr>
          <w:p>
            <w:pPr>
              <w:pStyle w:val="20"/>
              <w:jc w:val="center"/>
              <w:rPr>
                <w:rFonts w:ascii="仿宋" w:hAnsi="仿宋" w:eastAsia="仿宋" w:cs="仿宋"/>
              </w:rPr>
            </w:pPr>
            <w:r>
              <w:rPr>
                <w:rFonts w:hint="eastAsia" w:ascii="仿宋" w:hAnsi="仿宋" w:eastAsia="仿宋" w:cs="仿宋"/>
              </w:rPr>
              <w:t>台</w:t>
            </w:r>
          </w:p>
        </w:tc>
        <w:tc>
          <w:tcPr>
            <w:tcW w:w="2665" w:type="dxa"/>
            <w:vAlign w:val="center"/>
          </w:tcPr>
          <w:p>
            <w:pPr>
              <w:pStyle w:val="20"/>
              <w:jc w:val="cente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62" w:type="dxa"/>
            <w:vAlign w:val="center"/>
          </w:tcPr>
          <w:p>
            <w:pPr>
              <w:pStyle w:val="20"/>
              <w:jc w:val="center"/>
              <w:rPr>
                <w:rFonts w:ascii="仿宋" w:hAnsi="仿宋" w:eastAsia="仿宋" w:cs="仿宋"/>
              </w:rPr>
            </w:pPr>
            <w:r>
              <w:rPr>
                <w:rFonts w:hint="eastAsia" w:ascii="仿宋" w:hAnsi="仿宋" w:eastAsia="仿宋" w:cs="仿宋"/>
              </w:rPr>
              <w:t>10</w:t>
            </w:r>
          </w:p>
        </w:tc>
        <w:tc>
          <w:tcPr>
            <w:tcW w:w="3207" w:type="dxa"/>
            <w:vAlign w:val="center"/>
          </w:tcPr>
          <w:p>
            <w:pPr>
              <w:pStyle w:val="20"/>
              <w:jc w:val="center"/>
              <w:rPr>
                <w:rFonts w:ascii="仿宋" w:hAnsi="仿宋" w:eastAsia="仿宋" w:cs="仿宋"/>
              </w:rPr>
            </w:pPr>
            <w:r>
              <w:rPr>
                <w:rFonts w:hint="eastAsia" w:ascii="仿宋" w:hAnsi="仿宋" w:eastAsia="仿宋" w:cs="仿宋"/>
              </w:rPr>
              <w:t>系统集成</w:t>
            </w:r>
          </w:p>
        </w:tc>
        <w:tc>
          <w:tcPr>
            <w:tcW w:w="670" w:type="dxa"/>
            <w:vAlign w:val="center"/>
          </w:tcPr>
          <w:p>
            <w:pPr>
              <w:pStyle w:val="20"/>
              <w:jc w:val="center"/>
              <w:rPr>
                <w:rFonts w:ascii="仿宋" w:hAnsi="仿宋" w:eastAsia="仿宋" w:cs="仿宋"/>
              </w:rPr>
            </w:pPr>
            <w:r>
              <w:rPr>
                <w:rFonts w:hint="eastAsia" w:ascii="仿宋" w:hAnsi="仿宋" w:eastAsia="仿宋" w:cs="仿宋"/>
              </w:rPr>
              <w:t>1</w:t>
            </w:r>
          </w:p>
        </w:tc>
        <w:tc>
          <w:tcPr>
            <w:tcW w:w="796" w:type="dxa"/>
            <w:vAlign w:val="center"/>
          </w:tcPr>
          <w:p>
            <w:pPr>
              <w:pStyle w:val="20"/>
              <w:jc w:val="center"/>
              <w:rPr>
                <w:rFonts w:ascii="仿宋" w:hAnsi="仿宋" w:eastAsia="仿宋" w:cs="仿宋"/>
              </w:rPr>
            </w:pPr>
            <w:r>
              <w:rPr>
                <w:rFonts w:hint="eastAsia" w:ascii="仿宋" w:hAnsi="仿宋" w:eastAsia="仿宋" w:cs="仿宋"/>
              </w:rPr>
              <w:t>批</w:t>
            </w:r>
          </w:p>
        </w:tc>
        <w:tc>
          <w:tcPr>
            <w:tcW w:w="2665" w:type="dxa"/>
            <w:vAlign w:val="center"/>
          </w:tcPr>
          <w:p>
            <w:pPr>
              <w:pStyle w:val="20"/>
              <w:jc w:val="cente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8100" w:type="dxa"/>
            <w:gridSpan w:val="5"/>
            <w:vAlign w:val="center"/>
          </w:tcPr>
          <w:p>
            <w:pPr>
              <w:pStyle w:val="20"/>
              <w:jc w:val="center"/>
              <w:rPr>
                <w:rFonts w:ascii="仿宋" w:hAnsi="仿宋" w:eastAsia="仿宋" w:cs="仿宋"/>
              </w:rPr>
            </w:pPr>
            <w:r>
              <w:rPr>
                <w:rFonts w:hint="eastAsia" w:ascii="仿宋" w:hAnsi="仿宋" w:eastAsia="仿宋" w:cs="仿宋"/>
                <w:b/>
                <w:bCs/>
              </w:rPr>
              <w:t>管理平台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62" w:type="dxa"/>
            <w:vAlign w:val="center"/>
          </w:tcPr>
          <w:p>
            <w:pPr>
              <w:pStyle w:val="20"/>
              <w:jc w:val="center"/>
              <w:rPr>
                <w:rFonts w:ascii="仿宋" w:hAnsi="仿宋" w:eastAsia="仿宋" w:cs="仿宋"/>
              </w:rPr>
            </w:pPr>
            <w:r>
              <w:rPr>
                <w:rFonts w:hint="eastAsia" w:ascii="仿宋" w:hAnsi="仿宋" w:eastAsia="仿宋" w:cs="仿宋"/>
              </w:rPr>
              <w:t>序号</w:t>
            </w:r>
          </w:p>
        </w:tc>
        <w:tc>
          <w:tcPr>
            <w:tcW w:w="3207" w:type="dxa"/>
            <w:vAlign w:val="center"/>
          </w:tcPr>
          <w:p>
            <w:pPr>
              <w:pStyle w:val="20"/>
              <w:jc w:val="center"/>
              <w:rPr>
                <w:rFonts w:ascii="仿宋" w:hAnsi="仿宋" w:eastAsia="仿宋" w:cs="仿宋"/>
              </w:rPr>
            </w:pPr>
            <w:r>
              <w:rPr>
                <w:rFonts w:hint="eastAsia" w:ascii="仿宋" w:hAnsi="仿宋" w:eastAsia="仿宋" w:cs="仿宋"/>
              </w:rPr>
              <w:t>系统名称</w:t>
            </w:r>
          </w:p>
        </w:tc>
        <w:tc>
          <w:tcPr>
            <w:tcW w:w="670" w:type="dxa"/>
            <w:vAlign w:val="center"/>
          </w:tcPr>
          <w:p>
            <w:pPr>
              <w:pStyle w:val="20"/>
              <w:jc w:val="center"/>
              <w:rPr>
                <w:rFonts w:ascii="仿宋" w:hAnsi="仿宋" w:eastAsia="仿宋" w:cs="仿宋"/>
              </w:rPr>
            </w:pPr>
            <w:r>
              <w:rPr>
                <w:rFonts w:hint="eastAsia" w:ascii="仿宋" w:hAnsi="仿宋" w:eastAsia="仿宋" w:cs="仿宋"/>
              </w:rPr>
              <w:t>数量</w:t>
            </w:r>
          </w:p>
        </w:tc>
        <w:tc>
          <w:tcPr>
            <w:tcW w:w="796" w:type="dxa"/>
            <w:vAlign w:val="center"/>
          </w:tcPr>
          <w:p>
            <w:pPr>
              <w:pStyle w:val="20"/>
              <w:jc w:val="center"/>
              <w:rPr>
                <w:rFonts w:ascii="仿宋" w:hAnsi="仿宋" w:eastAsia="仿宋" w:cs="仿宋"/>
              </w:rPr>
            </w:pPr>
            <w:r>
              <w:rPr>
                <w:rFonts w:hint="eastAsia" w:ascii="仿宋" w:hAnsi="仿宋" w:eastAsia="仿宋" w:cs="仿宋"/>
              </w:rPr>
              <w:t>单位</w:t>
            </w:r>
          </w:p>
        </w:tc>
        <w:tc>
          <w:tcPr>
            <w:tcW w:w="2665" w:type="dxa"/>
            <w:vAlign w:val="center"/>
          </w:tcPr>
          <w:p>
            <w:pPr>
              <w:pStyle w:val="20"/>
              <w:jc w:val="center"/>
              <w:rPr>
                <w:rFonts w:ascii="仿宋" w:hAnsi="仿宋" w:eastAsia="仿宋" w:cs="仿宋"/>
              </w:rPr>
            </w:pPr>
            <w:r>
              <w:rPr>
                <w:rFonts w:hint="eastAsia" w:ascii="仿宋" w:hAnsi="仿宋" w:eastAsia="仿宋" w:cs="仿宋"/>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62" w:type="dxa"/>
            <w:vAlign w:val="center"/>
          </w:tcPr>
          <w:p>
            <w:pPr>
              <w:pStyle w:val="20"/>
              <w:jc w:val="center"/>
              <w:rPr>
                <w:rFonts w:ascii="仿宋" w:hAnsi="仿宋" w:eastAsia="仿宋" w:cs="仿宋"/>
              </w:rPr>
            </w:pPr>
            <w:r>
              <w:rPr>
                <w:rFonts w:hint="eastAsia" w:ascii="仿宋" w:hAnsi="仿宋" w:eastAsia="仿宋" w:cs="仿宋"/>
              </w:rPr>
              <w:t>1</w:t>
            </w:r>
          </w:p>
        </w:tc>
        <w:tc>
          <w:tcPr>
            <w:tcW w:w="3207" w:type="dxa"/>
            <w:vAlign w:val="center"/>
          </w:tcPr>
          <w:p>
            <w:pPr>
              <w:pStyle w:val="20"/>
              <w:jc w:val="center"/>
              <w:rPr>
                <w:rFonts w:ascii="仿宋" w:hAnsi="仿宋" w:eastAsia="仿宋" w:cs="仿宋"/>
              </w:rPr>
            </w:pPr>
            <w:r>
              <w:rPr>
                <w:rFonts w:hint="eastAsia" w:ascii="仿宋" w:hAnsi="仿宋" w:eastAsia="仿宋" w:cs="仿宋"/>
              </w:rPr>
              <w:t>虚拟仿真实验教学项目管理与共享平台</w:t>
            </w:r>
          </w:p>
        </w:tc>
        <w:tc>
          <w:tcPr>
            <w:tcW w:w="670" w:type="dxa"/>
            <w:vAlign w:val="center"/>
          </w:tcPr>
          <w:p>
            <w:pPr>
              <w:pStyle w:val="20"/>
              <w:jc w:val="center"/>
              <w:rPr>
                <w:rFonts w:ascii="仿宋" w:hAnsi="仿宋" w:eastAsia="仿宋" w:cs="仿宋"/>
              </w:rPr>
            </w:pPr>
            <w:r>
              <w:rPr>
                <w:rFonts w:hint="eastAsia" w:ascii="仿宋" w:hAnsi="仿宋" w:eastAsia="仿宋" w:cs="仿宋"/>
              </w:rPr>
              <w:t>1</w:t>
            </w:r>
          </w:p>
        </w:tc>
        <w:tc>
          <w:tcPr>
            <w:tcW w:w="796" w:type="dxa"/>
            <w:vAlign w:val="center"/>
          </w:tcPr>
          <w:p>
            <w:pPr>
              <w:pStyle w:val="20"/>
              <w:jc w:val="center"/>
              <w:rPr>
                <w:rFonts w:ascii="仿宋" w:hAnsi="仿宋" w:eastAsia="仿宋" w:cs="仿宋"/>
              </w:rPr>
            </w:pPr>
            <w:r>
              <w:rPr>
                <w:rFonts w:hint="eastAsia" w:ascii="仿宋" w:hAnsi="仿宋" w:eastAsia="仿宋" w:cs="仿宋"/>
              </w:rPr>
              <w:t>套</w:t>
            </w:r>
          </w:p>
        </w:tc>
        <w:tc>
          <w:tcPr>
            <w:tcW w:w="2665" w:type="dxa"/>
            <w:vAlign w:val="center"/>
          </w:tcPr>
          <w:p>
            <w:pPr>
              <w:pStyle w:val="20"/>
              <w:jc w:val="cente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8100" w:type="dxa"/>
            <w:gridSpan w:val="5"/>
            <w:vAlign w:val="center"/>
          </w:tcPr>
          <w:p>
            <w:pPr>
              <w:pStyle w:val="20"/>
              <w:jc w:val="center"/>
              <w:rPr>
                <w:rFonts w:ascii="仿宋" w:hAnsi="仿宋" w:eastAsia="仿宋" w:cs="仿宋"/>
              </w:rPr>
            </w:pPr>
            <w:r>
              <w:rPr>
                <w:rFonts w:hint="eastAsia" w:ascii="仿宋" w:hAnsi="仿宋" w:eastAsia="仿宋" w:cs="仿宋"/>
                <w:b/>
                <w:bCs/>
              </w:rPr>
              <w:t>软件资源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62" w:type="dxa"/>
            <w:vAlign w:val="center"/>
          </w:tcPr>
          <w:p>
            <w:pPr>
              <w:pStyle w:val="20"/>
              <w:jc w:val="center"/>
              <w:rPr>
                <w:rFonts w:ascii="仿宋" w:hAnsi="仿宋" w:eastAsia="仿宋" w:cs="仿宋"/>
              </w:rPr>
            </w:pPr>
            <w:r>
              <w:rPr>
                <w:rFonts w:hint="eastAsia" w:ascii="仿宋" w:hAnsi="仿宋" w:eastAsia="仿宋" w:cs="仿宋"/>
              </w:rPr>
              <w:t>序号</w:t>
            </w:r>
          </w:p>
        </w:tc>
        <w:tc>
          <w:tcPr>
            <w:tcW w:w="3207" w:type="dxa"/>
            <w:vAlign w:val="center"/>
          </w:tcPr>
          <w:p>
            <w:pPr>
              <w:pStyle w:val="20"/>
              <w:jc w:val="center"/>
              <w:rPr>
                <w:rFonts w:ascii="仿宋" w:hAnsi="仿宋" w:eastAsia="仿宋" w:cs="仿宋"/>
              </w:rPr>
            </w:pPr>
            <w:r>
              <w:rPr>
                <w:rFonts w:hint="eastAsia" w:ascii="仿宋" w:hAnsi="仿宋" w:eastAsia="仿宋" w:cs="仿宋"/>
              </w:rPr>
              <w:t>系统名称</w:t>
            </w:r>
          </w:p>
        </w:tc>
        <w:tc>
          <w:tcPr>
            <w:tcW w:w="670" w:type="dxa"/>
            <w:vAlign w:val="center"/>
          </w:tcPr>
          <w:p>
            <w:pPr>
              <w:pStyle w:val="20"/>
              <w:jc w:val="center"/>
              <w:rPr>
                <w:rFonts w:ascii="仿宋" w:hAnsi="仿宋" w:eastAsia="仿宋" w:cs="仿宋"/>
              </w:rPr>
            </w:pPr>
            <w:r>
              <w:rPr>
                <w:rFonts w:hint="eastAsia" w:ascii="仿宋" w:hAnsi="仿宋" w:eastAsia="仿宋" w:cs="仿宋"/>
              </w:rPr>
              <w:t>数量</w:t>
            </w:r>
          </w:p>
        </w:tc>
        <w:tc>
          <w:tcPr>
            <w:tcW w:w="796" w:type="dxa"/>
            <w:vAlign w:val="center"/>
          </w:tcPr>
          <w:p>
            <w:pPr>
              <w:pStyle w:val="20"/>
              <w:jc w:val="center"/>
              <w:rPr>
                <w:rFonts w:ascii="仿宋" w:hAnsi="仿宋" w:eastAsia="仿宋" w:cs="仿宋"/>
              </w:rPr>
            </w:pPr>
            <w:r>
              <w:rPr>
                <w:rFonts w:hint="eastAsia" w:ascii="仿宋" w:hAnsi="仿宋" w:eastAsia="仿宋" w:cs="仿宋"/>
              </w:rPr>
              <w:t>单位</w:t>
            </w:r>
          </w:p>
        </w:tc>
        <w:tc>
          <w:tcPr>
            <w:tcW w:w="2665" w:type="dxa"/>
            <w:vAlign w:val="center"/>
          </w:tcPr>
          <w:p>
            <w:pPr>
              <w:pStyle w:val="20"/>
              <w:jc w:val="center"/>
              <w:rPr>
                <w:rFonts w:ascii="仿宋" w:hAnsi="仿宋" w:eastAsia="仿宋" w:cs="仿宋"/>
              </w:rPr>
            </w:pPr>
            <w:r>
              <w:rPr>
                <w:rFonts w:hint="eastAsia" w:ascii="仿宋" w:hAnsi="仿宋" w:eastAsia="仿宋" w:cs="仿宋"/>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62" w:type="dxa"/>
            <w:vAlign w:val="center"/>
          </w:tcPr>
          <w:p>
            <w:pPr>
              <w:pStyle w:val="20"/>
              <w:jc w:val="center"/>
              <w:rPr>
                <w:rFonts w:ascii="仿宋" w:hAnsi="仿宋" w:eastAsia="仿宋" w:cs="仿宋"/>
              </w:rPr>
            </w:pPr>
            <w:r>
              <w:rPr>
                <w:rFonts w:hint="eastAsia" w:ascii="仿宋" w:hAnsi="仿宋" w:eastAsia="仿宋" w:cs="仿宋"/>
              </w:rPr>
              <w:t>1</w:t>
            </w:r>
          </w:p>
        </w:tc>
        <w:tc>
          <w:tcPr>
            <w:tcW w:w="3207" w:type="dxa"/>
            <w:vAlign w:val="center"/>
          </w:tcPr>
          <w:p>
            <w:pPr>
              <w:pStyle w:val="20"/>
              <w:jc w:val="center"/>
              <w:rPr>
                <w:rFonts w:ascii="仿宋" w:hAnsi="仿宋" w:eastAsia="仿宋" w:cs="仿宋"/>
              </w:rPr>
            </w:pPr>
            <w:r>
              <w:rPr>
                <w:rFonts w:hint="eastAsia" w:ascii="仿宋" w:hAnsi="仿宋" w:eastAsia="仿宋" w:cs="仿宋"/>
              </w:rPr>
              <w:t>电力电子及运动控制虚实结合一体化实训装置</w:t>
            </w:r>
          </w:p>
        </w:tc>
        <w:tc>
          <w:tcPr>
            <w:tcW w:w="670" w:type="dxa"/>
            <w:vAlign w:val="center"/>
          </w:tcPr>
          <w:p>
            <w:pPr>
              <w:pStyle w:val="20"/>
              <w:jc w:val="center"/>
              <w:rPr>
                <w:rFonts w:ascii="仿宋" w:hAnsi="仿宋" w:eastAsia="仿宋" w:cs="仿宋"/>
              </w:rPr>
            </w:pPr>
            <w:r>
              <w:rPr>
                <w:rFonts w:hint="eastAsia" w:ascii="仿宋" w:hAnsi="仿宋" w:eastAsia="仿宋" w:cs="仿宋"/>
              </w:rPr>
              <w:t>1</w:t>
            </w:r>
          </w:p>
        </w:tc>
        <w:tc>
          <w:tcPr>
            <w:tcW w:w="796" w:type="dxa"/>
            <w:vAlign w:val="center"/>
          </w:tcPr>
          <w:p>
            <w:pPr>
              <w:pStyle w:val="20"/>
              <w:jc w:val="center"/>
              <w:rPr>
                <w:rFonts w:ascii="仿宋" w:hAnsi="仿宋" w:eastAsia="仿宋" w:cs="仿宋"/>
              </w:rPr>
            </w:pPr>
            <w:r>
              <w:rPr>
                <w:rFonts w:hint="eastAsia" w:ascii="仿宋" w:hAnsi="仿宋" w:eastAsia="仿宋" w:cs="仿宋"/>
              </w:rPr>
              <w:t>套</w:t>
            </w:r>
          </w:p>
        </w:tc>
        <w:tc>
          <w:tcPr>
            <w:tcW w:w="2665" w:type="dxa"/>
            <w:vAlign w:val="center"/>
          </w:tcPr>
          <w:p>
            <w:pPr>
              <w:pStyle w:val="20"/>
              <w:jc w:val="center"/>
              <w:rPr>
                <w:rFonts w:ascii="仿宋" w:hAnsi="仿宋" w:eastAsia="仿宋" w:cs="仿宋"/>
              </w:rPr>
            </w:pPr>
            <w:r>
              <w:rPr>
                <w:rFonts w:hint="eastAsia" w:ascii="仿宋" w:hAnsi="仿宋" w:eastAsia="仿宋" w:cs="仿宋"/>
              </w:rPr>
              <w:t>数字孪生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62" w:type="dxa"/>
            <w:vAlign w:val="center"/>
          </w:tcPr>
          <w:p>
            <w:pPr>
              <w:pStyle w:val="20"/>
              <w:jc w:val="center"/>
              <w:rPr>
                <w:rFonts w:ascii="仿宋" w:hAnsi="仿宋" w:eastAsia="仿宋" w:cs="仿宋"/>
              </w:rPr>
            </w:pPr>
            <w:r>
              <w:rPr>
                <w:rFonts w:hint="eastAsia" w:ascii="仿宋" w:hAnsi="仿宋" w:eastAsia="仿宋" w:cs="仿宋"/>
              </w:rPr>
              <w:t>2</w:t>
            </w:r>
          </w:p>
        </w:tc>
        <w:tc>
          <w:tcPr>
            <w:tcW w:w="3207" w:type="dxa"/>
            <w:vAlign w:val="center"/>
          </w:tcPr>
          <w:p>
            <w:pPr>
              <w:pStyle w:val="20"/>
              <w:jc w:val="center"/>
              <w:rPr>
                <w:rFonts w:ascii="仿宋" w:hAnsi="仿宋" w:eastAsia="仿宋" w:cs="仿宋"/>
              </w:rPr>
            </w:pPr>
            <w:r>
              <w:rPr>
                <w:rFonts w:hint="eastAsia" w:ascii="仿宋" w:hAnsi="仿宋" w:eastAsia="仿宋" w:cs="仿宋"/>
              </w:rPr>
              <w:t>工业机器人拆装（MR标准版）</w:t>
            </w:r>
          </w:p>
        </w:tc>
        <w:tc>
          <w:tcPr>
            <w:tcW w:w="670" w:type="dxa"/>
            <w:vAlign w:val="center"/>
          </w:tcPr>
          <w:p>
            <w:pPr>
              <w:jc w:val="center"/>
              <w:rPr>
                <w:rFonts w:ascii="仿宋" w:hAnsi="仿宋" w:eastAsia="仿宋" w:cs="仿宋"/>
                <w:sz w:val="24"/>
                <w:szCs w:val="24"/>
              </w:rPr>
            </w:pPr>
            <w:r>
              <w:rPr>
                <w:rFonts w:hint="eastAsia" w:ascii="仿宋" w:hAnsi="仿宋" w:eastAsia="仿宋" w:cs="仿宋"/>
                <w:kern w:val="0"/>
                <w:sz w:val="24"/>
                <w:szCs w:val="24"/>
              </w:rPr>
              <w:t>1</w:t>
            </w:r>
          </w:p>
        </w:tc>
        <w:tc>
          <w:tcPr>
            <w:tcW w:w="796" w:type="dxa"/>
            <w:vAlign w:val="center"/>
          </w:tcPr>
          <w:p>
            <w:pPr>
              <w:jc w:val="center"/>
              <w:rPr>
                <w:rFonts w:ascii="仿宋" w:hAnsi="仿宋" w:eastAsia="仿宋" w:cs="仿宋"/>
                <w:sz w:val="24"/>
                <w:szCs w:val="24"/>
              </w:rPr>
            </w:pPr>
            <w:r>
              <w:rPr>
                <w:rFonts w:hint="eastAsia" w:ascii="仿宋" w:hAnsi="仿宋" w:eastAsia="仿宋" w:cs="仿宋"/>
                <w:kern w:val="0"/>
                <w:sz w:val="24"/>
                <w:szCs w:val="24"/>
              </w:rPr>
              <w:t>套</w:t>
            </w:r>
          </w:p>
        </w:tc>
        <w:tc>
          <w:tcPr>
            <w:tcW w:w="2665" w:type="dxa"/>
            <w:vAlign w:val="center"/>
          </w:tcPr>
          <w:p>
            <w:pPr>
              <w:jc w:val="center"/>
              <w:rPr>
                <w:rFonts w:ascii="仿宋" w:hAnsi="仿宋" w:eastAsia="仿宋" w:cs="仿宋"/>
                <w:sz w:val="24"/>
                <w:szCs w:val="24"/>
              </w:rPr>
            </w:pPr>
            <w:r>
              <w:rPr>
                <w:rFonts w:hint="eastAsia" w:ascii="仿宋" w:hAnsi="仿宋" w:eastAsia="仿宋" w:cs="仿宋"/>
                <w:sz w:val="24"/>
                <w:szCs w:val="24"/>
              </w:rPr>
              <w:t>软件资源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3" w:hRule="atLeast"/>
          <w:jc w:val="center"/>
        </w:trPr>
        <w:tc>
          <w:tcPr>
            <w:tcW w:w="762" w:type="dxa"/>
            <w:vAlign w:val="center"/>
          </w:tcPr>
          <w:p>
            <w:pPr>
              <w:pStyle w:val="20"/>
              <w:jc w:val="center"/>
              <w:rPr>
                <w:rFonts w:ascii="仿宋" w:hAnsi="仿宋" w:eastAsia="仿宋" w:cs="仿宋"/>
              </w:rPr>
            </w:pPr>
            <w:r>
              <w:rPr>
                <w:rFonts w:hint="eastAsia" w:ascii="仿宋" w:hAnsi="仿宋" w:eastAsia="仿宋" w:cs="仿宋"/>
              </w:rPr>
              <w:t>3</w:t>
            </w:r>
          </w:p>
        </w:tc>
        <w:tc>
          <w:tcPr>
            <w:tcW w:w="3207" w:type="dxa"/>
            <w:vAlign w:val="center"/>
          </w:tcPr>
          <w:p>
            <w:pPr>
              <w:adjustRightInd w:val="0"/>
              <w:jc w:val="center"/>
              <w:rPr>
                <w:rFonts w:ascii="仿宋" w:hAnsi="仿宋" w:eastAsia="仿宋" w:cs="仿宋"/>
                <w:sz w:val="24"/>
                <w:szCs w:val="24"/>
              </w:rPr>
            </w:pPr>
            <w:r>
              <w:rPr>
                <w:rFonts w:hint="eastAsia" w:ascii="仿宋" w:hAnsi="仿宋" w:eastAsia="仿宋" w:cs="仿宋"/>
                <w:bCs/>
                <w:kern w:val="0"/>
                <w:sz w:val="24"/>
                <w:szCs w:val="24"/>
              </w:rPr>
              <w:t>车床三箱拆装虚拟仿真实训教学系统（全息标准版）</w:t>
            </w:r>
          </w:p>
        </w:tc>
        <w:tc>
          <w:tcPr>
            <w:tcW w:w="670" w:type="dxa"/>
            <w:vAlign w:val="center"/>
          </w:tcPr>
          <w:p>
            <w:pPr>
              <w:adjustRightInd w:val="0"/>
              <w:jc w:val="center"/>
              <w:rPr>
                <w:rFonts w:ascii="仿宋" w:hAnsi="仿宋" w:eastAsia="仿宋" w:cs="仿宋"/>
                <w:sz w:val="24"/>
                <w:szCs w:val="24"/>
              </w:rPr>
            </w:pPr>
            <w:r>
              <w:rPr>
                <w:rFonts w:hint="eastAsia" w:ascii="仿宋" w:hAnsi="仿宋" w:eastAsia="仿宋" w:cs="仿宋"/>
                <w:sz w:val="24"/>
                <w:szCs w:val="24"/>
              </w:rPr>
              <w:t>1</w:t>
            </w:r>
          </w:p>
        </w:tc>
        <w:tc>
          <w:tcPr>
            <w:tcW w:w="796" w:type="dxa"/>
            <w:vAlign w:val="center"/>
          </w:tcPr>
          <w:p>
            <w:pPr>
              <w:adjustRightInd w:val="0"/>
              <w:jc w:val="center"/>
              <w:rPr>
                <w:rFonts w:ascii="仿宋" w:hAnsi="仿宋" w:eastAsia="仿宋" w:cs="仿宋"/>
                <w:sz w:val="24"/>
                <w:szCs w:val="24"/>
              </w:rPr>
            </w:pPr>
            <w:r>
              <w:rPr>
                <w:rFonts w:hint="eastAsia" w:ascii="仿宋" w:hAnsi="仿宋" w:eastAsia="仿宋" w:cs="仿宋"/>
                <w:kern w:val="0"/>
                <w:sz w:val="24"/>
                <w:szCs w:val="24"/>
              </w:rPr>
              <w:t>套</w:t>
            </w:r>
          </w:p>
        </w:tc>
        <w:tc>
          <w:tcPr>
            <w:tcW w:w="2665" w:type="dxa"/>
            <w:vAlign w:val="center"/>
          </w:tcPr>
          <w:p>
            <w:pPr>
              <w:pStyle w:val="20"/>
              <w:jc w:val="center"/>
              <w:rPr>
                <w:rFonts w:ascii="仿宋" w:hAnsi="仿宋" w:eastAsia="仿宋" w:cs="仿宋"/>
              </w:rPr>
            </w:pPr>
            <w:r>
              <w:rPr>
                <w:rFonts w:hint="eastAsia" w:ascii="仿宋" w:hAnsi="仿宋" w:eastAsia="仿宋" w:cs="仿宋"/>
              </w:rPr>
              <w:t>软件资源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 w:hRule="atLeast"/>
          <w:jc w:val="center"/>
        </w:trPr>
        <w:tc>
          <w:tcPr>
            <w:tcW w:w="762" w:type="dxa"/>
            <w:vAlign w:val="center"/>
          </w:tcPr>
          <w:p>
            <w:pPr>
              <w:pStyle w:val="20"/>
              <w:jc w:val="center"/>
              <w:rPr>
                <w:rFonts w:ascii="仿宋" w:hAnsi="仿宋" w:eastAsia="仿宋" w:cs="仿宋"/>
              </w:rPr>
            </w:pPr>
            <w:r>
              <w:rPr>
                <w:rFonts w:hint="eastAsia" w:ascii="仿宋" w:hAnsi="仿宋" w:eastAsia="仿宋" w:cs="仿宋"/>
              </w:rPr>
              <w:t>4</w:t>
            </w:r>
          </w:p>
        </w:tc>
        <w:tc>
          <w:tcPr>
            <w:tcW w:w="3207" w:type="dxa"/>
            <w:vAlign w:val="center"/>
          </w:tcPr>
          <w:p>
            <w:pPr>
              <w:adjustRightInd w:val="0"/>
              <w:jc w:val="center"/>
              <w:rPr>
                <w:rFonts w:ascii="仿宋" w:hAnsi="仿宋" w:eastAsia="仿宋" w:cs="仿宋"/>
                <w:sz w:val="24"/>
                <w:szCs w:val="24"/>
              </w:rPr>
            </w:pPr>
            <w:r>
              <w:rPr>
                <w:rFonts w:hint="eastAsia" w:ascii="仿宋" w:hAnsi="仿宋" w:eastAsia="仿宋" w:cs="仿宋"/>
                <w:sz w:val="24"/>
                <w:szCs w:val="24"/>
              </w:rPr>
              <w:t>汽修</w:t>
            </w:r>
          </w:p>
        </w:tc>
        <w:tc>
          <w:tcPr>
            <w:tcW w:w="670" w:type="dxa"/>
            <w:vAlign w:val="center"/>
          </w:tcPr>
          <w:p>
            <w:pPr>
              <w:adjustRightInd w:val="0"/>
              <w:jc w:val="center"/>
              <w:rPr>
                <w:rFonts w:ascii="仿宋" w:hAnsi="仿宋" w:eastAsia="仿宋" w:cs="仿宋"/>
                <w:sz w:val="24"/>
                <w:szCs w:val="24"/>
              </w:rPr>
            </w:pPr>
            <w:r>
              <w:rPr>
                <w:rFonts w:hint="eastAsia" w:ascii="仿宋" w:hAnsi="仿宋" w:eastAsia="仿宋" w:cs="仿宋"/>
                <w:kern w:val="0"/>
                <w:sz w:val="24"/>
                <w:szCs w:val="24"/>
              </w:rPr>
              <w:t>1</w:t>
            </w:r>
          </w:p>
        </w:tc>
        <w:tc>
          <w:tcPr>
            <w:tcW w:w="796" w:type="dxa"/>
            <w:vAlign w:val="center"/>
          </w:tcPr>
          <w:p>
            <w:pPr>
              <w:adjustRightInd w:val="0"/>
              <w:jc w:val="center"/>
              <w:rPr>
                <w:rFonts w:ascii="仿宋" w:hAnsi="仿宋" w:eastAsia="仿宋" w:cs="仿宋"/>
                <w:sz w:val="24"/>
                <w:szCs w:val="24"/>
              </w:rPr>
            </w:pPr>
            <w:r>
              <w:rPr>
                <w:rFonts w:hint="eastAsia" w:ascii="仿宋" w:hAnsi="仿宋" w:eastAsia="仿宋" w:cs="仿宋"/>
                <w:kern w:val="0"/>
                <w:sz w:val="24"/>
                <w:szCs w:val="24"/>
              </w:rPr>
              <w:t>套</w:t>
            </w:r>
          </w:p>
        </w:tc>
        <w:tc>
          <w:tcPr>
            <w:tcW w:w="2665" w:type="dxa"/>
            <w:vAlign w:val="center"/>
          </w:tcPr>
          <w:p>
            <w:pPr>
              <w:pStyle w:val="20"/>
              <w:jc w:val="cente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0" w:hRule="atLeast"/>
          <w:jc w:val="center"/>
        </w:trPr>
        <w:tc>
          <w:tcPr>
            <w:tcW w:w="762" w:type="dxa"/>
            <w:vAlign w:val="center"/>
          </w:tcPr>
          <w:p>
            <w:pPr>
              <w:pStyle w:val="20"/>
              <w:jc w:val="center"/>
              <w:rPr>
                <w:rFonts w:ascii="仿宋" w:hAnsi="仿宋" w:eastAsia="仿宋" w:cs="仿宋"/>
              </w:rPr>
            </w:pPr>
            <w:r>
              <w:rPr>
                <w:rFonts w:hint="eastAsia" w:ascii="仿宋" w:hAnsi="仿宋" w:eastAsia="仿宋" w:cs="仿宋"/>
              </w:rPr>
              <w:t>5</w:t>
            </w:r>
          </w:p>
        </w:tc>
        <w:tc>
          <w:tcPr>
            <w:tcW w:w="3207" w:type="dxa"/>
            <w:vAlign w:val="center"/>
          </w:tcPr>
          <w:p>
            <w:pPr>
              <w:adjustRightInd w:val="0"/>
              <w:jc w:val="center"/>
              <w:rPr>
                <w:rFonts w:ascii="仿宋" w:hAnsi="仿宋" w:eastAsia="仿宋" w:cs="仿宋"/>
                <w:sz w:val="24"/>
                <w:szCs w:val="24"/>
              </w:rPr>
            </w:pPr>
            <w:r>
              <w:rPr>
                <w:rFonts w:hint="eastAsia" w:ascii="仿宋" w:hAnsi="仿宋" w:eastAsia="仿宋" w:cs="仿宋"/>
                <w:sz w:val="24"/>
                <w:szCs w:val="24"/>
              </w:rPr>
              <w:t>汽车大发现</w:t>
            </w:r>
          </w:p>
        </w:tc>
        <w:tc>
          <w:tcPr>
            <w:tcW w:w="670" w:type="dxa"/>
            <w:vAlign w:val="center"/>
          </w:tcPr>
          <w:p>
            <w:pPr>
              <w:adjustRightInd w:val="0"/>
              <w:jc w:val="center"/>
              <w:rPr>
                <w:rFonts w:ascii="仿宋" w:hAnsi="仿宋" w:eastAsia="仿宋" w:cs="仿宋"/>
                <w:sz w:val="24"/>
                <w:szCs w:val="24"/>
              </w:rPr>
            </w:pPr>
            <w:r>
              <w:rPr>
                <w:rFonts w:hint="eastAsia" w:ascii="仿宋" w:hAnsi="仿宋" w:eastAsia="仿宋" w:cs="仿宋"/>
                <w:kern w:val="0"/>
                <w:sz w:val="24"/>
                <w:szCs w:val="24"/>
              </w:rPr>
              <w:t>1</w:t>
            </w:r>
          </w:p>
        </w:tc>
        <w:tc>
          <w:tcPr>
            <w:tcW w:w="796" w:type="dxa"/>
            <w:vAlign w:val="center"/>
          </w:tcPr>
          <w:p>
            <w:pPr>
              <w:adjustRightInd w:val="0"/>
              <w:jc w:val="center"/>
              <w:rPr>
                <w:rFonts w:ascii="仿宋" w:hAnsi="仿宋" w:eastAsia="仿宋" w:cs="仿宋"/>
                <w:sz w:val="24"/>
                <w:szCs w:val="24"/>
              </w:rPr>
            </w:pPr>
            <w:r>
              <w:rPr>
                <w:rFonts w:hint="eastAsia" w:ascii="仿宋" w:hAnsi="仿宋" w:eastAsia="仿宋" w:cs="仿宋"/>
                <w:kern w:val="0"/>
                <w:sz w:val="24"/>
                <w:szCs w:val="24"/>
              </w:rPr>
              <w:t>套</w:t>
            </w:r>
          </w:p>
        </w:tc>
        <w:tc>
          <w:tcPr>
            <w:tcW w:w="2665" w:type="dxa"/>
            <w:vAlign w:val="center"/>
          </w:tcPr>
          <w:p>
            <w:pPr>
              <w:adjustRightInd w:val="0"/>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jc w:val="center"/>
        </w:trPr>
        <w:tc>
          <w:tcPr>
            <w:tcW w:w="762" w:type="dxa"/>
            <w:vAlign w:val="center"/>
          </w:tcPr>
          <w:p>
            <w:pPr>
              <w:pStyle w:val="20"/>
              <w:jc w:val="center"/>
              <w:rPr>
                <w:rFonts w:ascii="仿宋" w:hAnsi="仿宋" w:eastAsia="仿宋" w:cs="仿宋"/>
              </w:rPr>
            </w:pPr>
            <w:r>
              <w:rPr>
                <w:rFonts w:hint="eastAsia" w:ascii="仿宋" w:hAnsi="仿宋" w:eastAsia="仿宋" w:cs="仿宋"/>
              </w:rPr>
              <w:t>6</w:t>
            </w:r>
          </w:p>
        </w:tc>
        <w:tc>
          <w:tcPr>
            <w:tcW w:w="3207" w:type="dxa"/>
            <w:vAlign w:val="center"/>
          </w:tcPr>
          <w:p>
            <w:pPr>
              <w:adjustRightInd w:val="0"/>
              <w:jc w:val="center"/>
              <w:rPr>
                <w:rFonts w:ascii="仿宋" w:hAnsi="仿宋" w:eastAsia="仿宋" w:cs="仿宋"/>
                <w:sz w:val="24"/>
                <w:szCs w:val="24"/>
              </w:rPr>
            </w:pPr>
            <w:r>
              <w:rPr>
                <w:rFonts w:hint="eastAsia" w:ascii="仿宋" w:hAnsi="仿宋" w:eastAsia="仿宋" w:cs="仿宋"/>
                <w:sz w:val="24"/>
                <w:szCs w:val="24"/>
              </w:rPr>
              <w:t>引擎大发现</w:t>
            </w:r>
          </w:p>
        </w:tc>
        <w:tc>
          <w:tcPr>
            <w:tcW w:w="670" w:type="dxa"/>
            <w:vAlign w:val="center"/>
          </w:tcPr>
          <w:p>
            <w:pPr>
              <w:adjustRightInd w:val="0"/>
              <w:jc w:val="center"/>
              <w:rPr>
                <w:rFonts w:ascii="仿宋" w:hAnsi="仿宋" w:eastAsia="仿宋" w:cs="仿宋"/>
                <w:sz w:val="24"/>
                <w:szCs w:val="24"/>
              </w:rPr>
            </w:pPr>
            <w:r>
              <w:rPr>
                <w:rFonts w:hint="eastAsia" w:ascii="仿宋" w:hAnsi="仿宋" w:eastAsia="仿宋" w:cs="仿宋"/>
                <w:kern w:val="0"/>
                <w:sz w:val="24"/>
                <w:szCs w:val="24"/>
              </w:rPr>
              <w:t>1</w:t>
            </w:r>
          </w:p>
        </w:tc>
        <w:tc>
          <w:tcPr>
            <w:tcW w:w="796" w:type="dxa"/>
            <w:vAlign w:val="center"/>
          </w:tcPr>
          <w:p>
            <w:pPr>
              <w:adjustRightInd w:val="0"/>
              <w:jc w:val="center"/>
              <w:rPr>
                <w:rFonts w:ascii="仿宋" w:hAnsi="仿宋" w:eastAsia="仿宋" w:cs="仿宋"/>
                <w:sz w:val="24"/>
                <w:szCs w:val="24"/>
              </w:rPr>
            </w:pPr>
            <w:r>
              <w:rPr>
                <w:rFonts w:hint="eastAsia" w:ascii="仿宋" w:hAnsi="仿宋" w:eastAsia="仿宋" w:cs="仿宋"/>
                <w:kern w:val="0"/>
                <w:sz w:val="24"/>
                <w:szCs w:val="24"/>
              </w:rPr>
              <w:t>套</w:t>
            </w:r>
          </w:p>
        </w:tc>
        <w:tc>
          <w:tcPr>
            <w:tcW w:w="2665" w:type="dxa"/>
            <w:vAlign w:val="center"/>
          </w:tcPr>
          <w:p>
            <w:pPr>
              <w:adjustRightInd w:val="0"/>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62" w:type="dxa"/>
            <w:vAlign w:val="center"/>
          </w:tcPr>
          <w:p>
            <w:pPr>
              <w:pStyle w:val="20"/>
              <w:jc w:val="center"/>
              <w:rPr>
                <w:rFonts w:ascii="仿宋" w:hAnsi="仿宋" w:eastAsia="仿宋" w:cs="仿宋"/>
              </w:rPr>
            </w:pPr>
            <w:r>
              <w:rPr>
                <w:rFonts w:hint="eastAsia" w:ascii="仿宋" w:hAnsi="仿宋" w:eastAsia="仿宋" w:cs="仿宋"/>
              </w:rPr>
              <w:t>7</w:t>
            </w:r>
          </w:p>
        </w:tc>
        <w:tc>
          <w:tcPr>
            <w:tcW w:w="3207" w:type="dxa"/>
            <w:vAlign w:val="center"/>
          </w:tcPr>
          <w:p>
            <w:pPr>
              <w:adjustRightInd w:val="0"/>
              <w:jc w:val="center"/>
              <w:rPr>
                <w:rFonts w:ascii="仿宋" w:hAnsi="仿宋" w:eastAsia="仿宋" w:cs="仿宋"/>
                <w:sz w:val="24"/>
                <w:szCs w:val="24"/>
              </w:rPr>
            </w:pPr>
            <w:r>
              <w:rPr>
                <w:rFonts w:hint="eastAsia" w:ascii="仿宋" w:hAnsi="仿宋" w:eastAsia="仿宋" w:cs="仿宋"/>
                <w:sz w:val="24"/>
                <w:szCs w:val="24"/>
              </w:rPr>
              <w:t>安格拉火箭</w:t>
            </w:r>
          </w:p>
        </w:tc>
        <w:tc>
          <w:tcPr>
            <w:tcW w:w="670" w:type="dxa"/>
            <w:vAlign w:val="center"/>
          </w:tcPr>
          <w:p>
            <w:pPr>
              <w:adjustRightInd w:val="0"/>
              <w:jc w:val="center"/>
              <w:rPr>
                <w:rFonts w:ascii="仿宋" w:hAnsi="仿宋" w:eastAsia="仿宋" w:cs="仿宋"/>
                <w:sz w:val="24"/>
                <w:szCs w:val="24"/>
              </w:rPr>
            </w:pPr>
            <w:r>
              <w:rPr>
                <w:rFonts w:hint="eastAsia" w:ascii="仿宋" w:hAnsi="仿宋" w:eastAsia="仿宋" w:cs="仿宋"/>
                <w:kern w:val="0"/>
                <w:sz w:val="24"/>
                <w:szCs w:val="24"/>
              </w:rPr>
              <w:t>1</w:t>
            </w:r>
          </w:p>
        </w:tc>
        <w:tc>
          <w:tcPr>
            <w:tcW w:w="796" w:type="dxa"/>
            <w:vAlign w:val="center"/>
          </w:tcPr>
          <w:p>
            <w:pPr>
              <w:adjustRightInd w:val="0"/>
              <w:jc w:val="center"/>
              <w:rPr>
                <w:rFonts w:ascii="仿宋" w:hAnsi="仿宋" w:eastAsia="仿宋" w:cs="仿宋"/>
                <w:sz w:val="24"/>
                <w:szCs w:val="24"/>
              </w:rPr>
            </w:pPr>
            <w:r>
              <w:rPr>
                <w:rFonts w:hint="eastAsia" w:ascii="仿宋" w:hAnsi="仿宋" w:eastAsia="仿宋" w:cs="仿宋"/>
                <w:kern w:val="0"/>
                <w:sz w:val="24"/>
                <w:szCs w:val="24"/>
              </w:rPr>
              <w:t>套</w:t>
            </w:r>
          </w:p>
        </w:tc>
        <w:tc>
          <w:tcPr>
            <w:tcW w:w="2665" w:type="dxa"/>
            <w:vAlign w:val="center"/>
          </w:tcPr>
          <w:p>
            <w:pPr>
              <w:adjustRightInd w:val="0"/>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8100" w:type="dxa"/>
            <w:gridSpan w:val="5"/>
            <w:vAlign w:val="center"/>
          </w:tcPr>
          <w:p>
            <w:pPr>
              <w:jc w:val="left"/>
              <w:rPr>
                <w:rStyle w:val="150"/>
                <w:rFonts w:ascii="宋体"/>
                <w:highlight w:val="none"/>
              </w:rPr>
            </w:pPr>
            <w:r>
              <w:rPr>
                <w:rStyle w:val="150"/>
                <w:rFonts w:ascii="宋体" w:hAnsi="宋体"/>
                <w:highlight w:val="none"/>
              </w:rPr>
              <w:t>注：</w:t>
            </w:r>
            <w:r>
              <w:rPr>
                <w:rStyle w:val="150"/>
                <w:rFonts w:hint="eastAsia" w:ascii="宋体" w:hAnsi="宋体"/>
                <w:highlight w:val="none"/>
              </w:rPr>
              <w:t>1、</w:t>
            </w:r>
            <w:r>
              <w:rPr>
                <w:rStyle w:val="150"/>
                <w:rFonts w:ascii="宋体" w:hAnsi="宋体"/>
                <w:highlight w:val="none"/>
              </w:rPr>
              <w:t>本次投标</w:t>
            </w:r>
            <w:r>
              <w:rPr>
                <w:rFonts w:hint="eastAsia" w:hAnsi="宋体" w:cs="宋体"/>
                <w:highlight w:val="none"/>
              </w:rPr>
              <w:t>为交钥匙工程，中标人应按有关标准提供货物的包装，将货物运抵采购人指定交货地点，并完成设备的装卸、安装、调试，设备运行所需的水、电、气、尾排等均应接入，报价中含设备安装费、运行调试费、运输费、搬运费、装卸费、保险费、施工费、安装的材料费、税金、</w:t>
            </w:r>
            <w:r>
              <w:rPr>
                <w:rStyle w:val="150"/>
                <w:rFonts w:ascii="宋体" w:hAnsi="宋体"/>
                <w:highlight w:val="none"/>
              </w:rPr>
              <w:t>培训费和其它配套设施设备的安装调试培训费用以及成立</w:t>
            </w:r>
            <w:r>
              <w:rPr>
                <w:rStyle w:val="150"/>
                <w:rFonts w:hint="eastAsia" w:ascii="宋体" w:hAnsi="宋体"/>
                <w:highlight w:val="none"/>
              </w:rPr>
              <w:t>虚拟仿真基地</w:t>
            </w:r>
            <w:r>
              <w:rPr>
                <w:rStyle w:val="150"/>
                <w:rFonts w:ascii="宋体" w:hAnsi="宋体"/>
                <w:highlight w:val="none"/>
              </w:rPr>
              <w:t>的授权费等。</w:t>
            </w:r>
            <w:r>
              <w:rPr>
                <w:rStyle w:val="150"/>
                <w:rFonts w:hint="eastAsia" w:ascii="宋体"/>
                <w:highlight w:val="none"/>
              </w:rPr>
              <w:t>交钥匙工程，货物交给客户（提供货物清单），客户即刻能够使用。</w:t>
            </w:r>
          </w:p>
          <w:p>
            <w:pPr>
              <w:adjustRightInd w:val="0"/>
              <w:jc w:val="center"/>
              <w:rPr>
                <w:rFonts w:ascii="仿宋" w:hAnsi="仿宋" w:eastAsia="仿宋" w:cs="仿宋"/>
                <w:sz w:val="24"/>
                <w:szCs w:val="24"/>
              </w:rPr>
            </w:pPr>
            <w:r>
              <w:rPr>
                <w:rStyle w:val="150"/>
                <w:rFonts w:hint="eastAsia" w:ascii="宋体" w:hAnsi="宋体"/>
                <w:highlight w:val="none"/>
              </w:rPr>
              <w:t>2、报价中包含设备配套的软件或电子课程，保证软件或电子课程能终身免费升级、激活和使用。网上学习平台，没有账号数量的限制、没有平台使用年限的限制。</w:t>
            </w:r>
          </w:p>
        </w:tc>
      </w:tr>
    </w:tbl>
    <w:p>
      <w:pPr>
        <w:pStyle w:val="20"/>
        <w:rPr>
          <w:rFonts w:ascii="仿宋" w:hAnsi="仿宋" w:eastAsia="仿宋" w:cs="仿宋"/>
        </w:rPr>
      </w:pPr>
    </w:p>
    <w:p>
      <w:pPr>
        <w:pStyle w:val="20"/>
        <w:rPr>
          <w:rFonts w:ascii="仿宋" w:hAnsi="仿宋" w:eastAsia="仿宋" w:cs="仿宋"/>
        </w:rPr>
      </w:pPr>
    </w:p>
    <w:p>
      <w:pPr>
        <w:pStyle w:val="20"/>
        <w:rPr>
          <w:rFonts w:ascii="仿宋" w:hAnsi="仿宋" w:eastAsia="仿宋" w:cs="仿宋"/>
        </w:rPr>
      </w:pPr>
      <w:r>
        <w:rPr>
          <w:rFonts w:hint="eastAsia" w:ascii="仿宋" w:hAnsi="仿宋" w:eastAsia="仿宋" w:cs="仿宋"/>
        </w:rPr>
        <w:t xml:space="preserve">                             </w:t>
      </w:r>
    </w:p>
    <w:p>
      <w:pPr>
        <w:rPr>
          <w:rFonts w:hint="eastAsia" w:ascii="仿宋" w:hAnsi="仿宋" w:eastAsia="仿宋" w:cs="仿宋"/>
        </w:rPr>
        <w:sectPr>
          <w:footerReference r:id="rId3" w:type="default"/>
          <w:pgSz w:w="11906" w:h="16838"/>
          <w:pgMar w:top="1440" w:right="1800" w:bottom="1440" w:left="1800" w:header="851" w:footer="992" w:gutter="0"/>
          <w:pgNumType w:start="1"/>
          <w:cols w:space="425" w:num="1"/>
          <w:docGrid w:type="lines" w:linePitch="312" w:charSpace="0"/>
        </w:sectPr>
      </w:pPr>
      <w:r>
        <w:rPr>
          <w:rFonts w:hint="eastAsia" w:ascii="仿宋" w:hAnsi="仿宋" w:eastAsia="仿宋" w:cs="仿宋"/>
        </w:rPr>
        <w:br w:type="page"/>
      </w:r>
    </w:p>
    <w:p>
      <w:pPr>
        <w:pStyle w:val="45"/>
      </w:pPr>
    </w:p>
    <w:tbl>
      <w:tblPr>
        <w:tblStyle w:val="38"/>
        <w:tblW w:w="139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1274"/>
        <w:gridCol w:w="11454"/>
        <w:gridCol w:w="5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647" w:type="dxa"/>
            <w:vAlign w:val="center"/>
          </w:tcPr>
          <w:p>
            <w:pPr>
              <w:rPr>
                <w:rFonts w:ascii="仿宋" w:hAnsi="仿宋" w:eastAsia="仿宋" w:cs="仿宋"/>
              </w:rPr>
            </w:pPr>
            <w:r>
              <w:rPr>
                <w:rFonts w:hint="eastAsia" w:ascii="仿宋" w:hAnsi="仿宋" w:eastAsia="仿宋" w:cs="仿宋"/>
              </w:rPr>
              <w:t>序号</w:t>
            </w:r>
          </w:p>
        </w:tc>
        <w:tc>
          <w:tcPr>
            <w:tcW w:w="1274" w:type="dxa"/>
            <w:vAlign w:val="center"/>
          </w:tcPr>
          <w:p>
            <w:pPr>
              <w:rPr>
                <w:rFonts w:ascii="仿宋" w:hAnsi="仿宋" w:eastAsia="仿宋" w:cs="仿宋"/>
              </w:rPr>
            </w:pPr>
            <w:r>
              <w:rPr>
                <w:rFonts w:hint="eastAsia" w:ascii="仿宋" w:hAnsi="仿宋" w:eastAsia="仿宋" w:cs="仿宋"/>
              </w:rPr>
              <w:t>系统名称</w:t>
            </w:r>
          </w:p>
        </w:tc>
        <w:tc>
          <w:tcPr>
            <w:tcW w:w="11454" w:type="dxa"/>
            <w:vAlign w:val="center"/>
          </w:tcPr>
          <w:p>
            <w:pPr>
              <w:rPr>
                <w:rFonts w:ascii="仿宋" w:hAnsi="仿宋" w:eastAsia="仿宋" w:cs="仿宋"/>
              </w:rPr>
            </w:pPr>
            <w:r>
              <w:rPr>
                <w:rFonts w:hint="eastAsia" w:ascii="仿宋" w:hAnsi="仿宋" w:eastAsia="仿宋" w:cs="仿宋"/>
              </w:rPr>
              <w:t>技术参数</w:t>
            </w:r>
          </w:p>
        </w:tc>
        <w:tc>
          <w:tcPr>
            <w:tcW w:w="566" w:type="dxa"/>
            <w:vAlign w:val="center"/>
          </w:tcPr>
          <w:p>
            <w:pPr>
              <w:rPr>
                <w:rFonts w:ascii="仿宋" w:hAnsi="仿宋" w:eastAsia="仿宋" w:cs="仿宋"/>
              </w:rPr>
            </w:pPr>
            <w:r>
              <w:rPr>
                <w:rFonts w:hint="eastAsia" w:ascii="仿宋" w:hAnsi="仿宋" w:eastAsia="仿宋" w:cs="仿宋"/>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jc w:val="center"/>
        </w:trPr>
        <w:tc>
          <w:tcPr>
            <w:tcW w:w="647" w:type="dxa"/>
            <w:vAlign w:val="center"/>
          </w:tcPr>
          <w:p>
            <w:pPr>
              <w:pStyle w:val="20"/>
              <w:rPr>
                <w:rFonts w:ascii="仿宋" w:hAnsi="仿宋" w:eastAsia="仿宋" w:cs="仿宋"/>
              </w:rPr>
            </w:pPr>
            <w:r>
              <w:rPr>
                <w:rFonts w:hint="eastAsia" w:ascii="仿宋" w:hAnsi="仿宋" w:eastAsia="仿宋" w:cs="仿宋"/>
              </w:rPr>
              <w:t>1</w:t>
            </w:r>
          </w:p>
        </w:tc>
        <w:tc>
          <w:tcPr>
            <w:tcW w:w="1274" w:type="dxa"/>
            <w:vAlign w:val="center"/>
          </w:tcPr>
          <w:p>
            <w:pPr>
              <w:pStyle w:val="20"/>
              <w:rPr>
                <w:rFonts w:ascii="仿宋" w:hAnsi="仿宋" w:eastAsia="仿宋" w:cs="仿宋"/>
              </w:rPr>
            </w:pPr>
            <w:r>
              <w:rPr>
                <w:rFonts w:hint="eastAsia" w:ascii="仿宋" w:hAnsi="仿宋" w:eastAsia="仿宋" w:cs="仿宋"/>
              </w:rPr>
              <w:t>3DLED大屏</w:t>
            </w:r>
          </w:p>
        </w:tc>
        <w:tc>
          <w:tcPr>
            <w:tcW w:w="11454" w:type="dxa"/>
            <w:vAlign w:val="center"/>
          </w:tcPr>
          <w:tbl>
            <w:tblPr>
              <w:tblStyle w:val="38"/>
              <w:tblW w:w="7618" w:type="dxa"/>
              <w:tblInd w:w="0" w:type="dxa"/>
              <w:tblLayout w:type="fixed"/>
              <w:tblCellMar>
                <w:top w:w="0" w:type="dxa"/>
                <w:left w:w="108" w:type="dxa"/>
                <w:bottom w:w="0" w:type="dxa"/>
                <w:right w:w="108" w:type="dxa"/>
              </w:tblCellMar>
            </w:tblPr>
            <w:tblGrid>
              <w:gridCol w:w="3022"/>
              <w:gridCol w:w="4596"/>
            </w:tblGrid>
            <w:tr>
              <w:tblPrEx>
                <w:tblCellMar>
                  <w:top w:w="0" w:type="dxa"/>
                  <w:left w:w="108" w:type="dxa"/>
                  <w:bottom w:w="0" w:type="dxa"/>
                  <w:right w:w="108" w:type="dxa"/>
                </w:tblCellMar>
              </w:tblPrEx>
              <w:trPr>
                <w:trHeight w:val="534" w:hRule="atLeast"/>
              </w:trPr>
              <w:tc>
                <w:tcPr>
                  <w:tcW w:w="3022" w:type="dxa"/>
                  <w:tcBorders>
                    <w:top w:val="single" w:color="000000" w:sz="4" w:space="0"/>
                    <w:left w:val="single" w:color="000000" w:sz="4" w:space="0"/>
                    <w:bottom w:val="nil"/>
                    <w:right w:val="nil"/>
                  </w:tcBorders>
                  <w:shd w:val="clear" w:color="auto" w:fill="auto"/>
                  <w:noWrap/>
                  <w:vAlign w:val="center"/>
                </w:tcPr>
                <w:p>
                  <w:pPr>
                    <w:widowControl/>
                    <w:jc w:val="righ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像素间距：</w:t>
                  </w:r>
                </w:p>
              </w:tc>
              <w:tc>
                <w:tcPr>
                  <w:tcW w:w="4596" w:type="dxa"/>
                  <w:tcBorders>
                    <w:top w:val="single" w:color="000000" w:sz="4" w:space="0"/>
                    <w:left w:val="nil"/>
                    <w:bottom w:val="nil"/>
                    <w:right w:val="single" w:color="000000" w:sz="4" w:space="0"/>
                  </w:tcBorders>
                  <w:shd w:val="clear" w:color="auto" w:fill="auto"/>
                  <w:noWrap/>
                  <w:vAlign w:val="center"/>
                </w:tcPr>
                <w:p>
                  <w:pPr>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1.86mm</w:t>
                  </w:r>
                </w:p>
              </w:tc>
            </w:tr>
            <w:tr>
              <w:tblPrEx>
                <w:tblCellMar>
                  <w:top w:w="0" w:type="dxa"/>
                  <w:left w:w="108" w:type="dxa"/>
                  <w:bottom w:w="0" w:type="dxa"/>
                  <w:right w:w="108" w:type="dxa"/>
                </w:tblCellMar>
              </w:tblPrEx>
              <w:trPr>
                <w:trHeight w:val="348" w:hRule="atLeast"/>
              </w:trPr>
              <w:tc>
                <w:tcPr>
                  <w:tcW w:w="3022" w:type="dxa"/>
                  <w:tcBorders>
                    <w:top w:val="nil"/>
                    <w:left w:val="single" w:color="000000" w:sz="4" w:space="0"/>
                    <w:bottom w:val="nil"/>
                    <w:right w:val="nil"/>
                  </w:tcBorders>
                  <w:shd w:val="clear" w:color="auto" w:fill="auto"/>
                  <w:noWrap/>
                  <w:vAlign w:val="center"/>
                </w:tcPr>
                <w:p>
                  <w:pPr>
                    <w:widowControl/>
                    <w:jc w:val="righ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表面雾度：</w:t>
                  </w:r>
                </w:p>
              </w:tc>
              <w:tc>
                <w:tcPr>
                  <w:tcW w:w="4596" w:type="dxa"/>
                  <w:tcBorders>
                    <w:top w:val="nil"/>
                    <w:left w:val="nil"/>
                    <w:bottom w:val="nil"/>
                    <w:right w:val="single" w:color="000000" w:sz="4" w:space="0"/>
                  </w:tcBorders>
                  <w:shd w:val="clear" w:color="auto" w:fill="auto"/>
                  <w:noWrap/>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50% 抗眩光</w:t>
                  </w:r>
                </w:p>
              </w:tc>
            </w:tr>
            <w:tr>
              <w:tblPrEx>
                <w:tblCellMar>
                  <w:top w:w="0" w:type="dxa"/>
                  <w:left w:w="108" w:type="dxa"/>
                  <w:bottom w:w="0" w:type="dxa"/>
                  <w:right w:w="108" w:type="dxa"/>
                </w:tblCellMar>
              </w:tblPrEx>
              <w:trPr>
                <w:trHeight w:val="348" w:hRule="atLeast"/>
              </w:trPr>
              <w:tc>
                <w:tcPr>
                  <w:tcW w:w="3022" w:type="dxa"/>
                  <w:tcBorders>
                    <w:top w:val="nil"/>
                    <w:left w:val="single" w:color="000000" w:sz="4" w:space="0"/>
                    <w:bottom w:val="nil"/>
                    <w:right w:val="nil"/>
                  </w:tcBorders>
                  <w:shd w:val="clear" w:color="auto" w:fill="auto"/>
                  <w:noWrap/>
                  <w:vAlign w:val="center"/>
                </w:tcPr>
                <w:p>
                  <w:pPr>
                    <w:widowControl/>
                    <w:jc w:val="righ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3D技术：</w:t>
                  </w:r>
                </w:p>
              </w:tc>
              <w:tc>
                <w:tcPr>
                  <w:tcW w:w="4596" w:type="dxa"/>
                  <w:tcBorders>
                    <w:top w:val="nil"/>
                    <w:left w:val="nil"/>
                    <w:bottom w:val="nil"/>
                    <w:right w:val="single" w:color="000000" w:sz="4" w:space="0"/>
                  </w:tcBorders>
                  <w:shd w:val="clear" w:color="auto" w:fill="auto"/>
                  <w:noWrap/>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列阵圆偏光3D/被动式</w:t>
                  </w:r>
                </w:p>
              </w:tc>
            </w:tr>
            <w:tr>
              <w:tblPrEx>
                <w:tblCellMar>
                  <w:top w:w="0" w:type="dxa"/>
                  <w:left w:w="108" w:type="dxa"/>
                  <w:bottom w:w="0" w:type="dxa"/>
                  <w:right w:w="108" w:type="dxa"/>
                </w:tblCellMar>
              </w:tblPrEx>
              <w:trPr>
                <w:trHeight w:val="348" w:hRule="atLeast"/>
              </w:trPr>
              <w:tc>
                <w:tcPr>
                  <w:tcW w:w="3022" w:type="dxa"/>
                  <w:tcBorders>
                    <w:top w:val="nil"/>
                    <w:left w:val="single" w:color="000000" w:sz="4" w:space="0"/>
                    <w:bottom w:val="nil"/>
                    <w:right w:val="nil"/>
                  </w:tcBorders>
                  <w:shd w:val="clear" w:color="auto" w:fill="auto"/>
                  <w:noWrap/>
                  <w:vAlign w:val="center"/>
                </w:tcPr>
                <w:p>
                  <w:pPr>
                    <w:widowControl/>
                    <w:jc w:val="righ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LED典型寿命：</w:t>
                  </w:r>
                </w:p>
              </w:tc>
              <w:tc>
                <w:tcPr>
                  <w:tcW w:w="4596" w:type="dxa"/>
                  <w:tcBorders>
                    <w:top w:val="nil"/>
                    <w:left w:val="nil"/>
                    <w:bottom w:val="nil"/>
                    <w:right w:val="single" w:color="000000" w:sz="4" w:space="0"/>
                  </w:tcBorders>
                  <w:shd w:val="clear" w:color="auto" w:fill="auto"/>
                  <w:noWrap/>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≥6万小时</w:t>
                  </w:r>
                </w:p>
              </w:tc>
            </w:tr>
          </w:tbl>
          <w:p>
            <w:pPr>
              <w:adjustRightInd w:val="0"/>
              <w:snapToGrid w:val="0"/>
              <w:rPr>
                <w:rFonts w:ascii="仿宋" w:hAnsi="仿宋" w:eastAsia="仿宋" w:cs="仿宋"/>
                <w:sz w:val="28"/>
                <w:szCs w:val="28"/>
              </w:rPr>
            </w:pPr>
          </w:p>
          <w:p>
            <w:pPr>
              <w:adjustRightInd w:val="0"/>
              <w:snapToGrid w:val="0"/>
              <w:rPr>
                <w:rFonts w:ascii="仿宋" w:hAnsi="仿宋" w:eastAsia="仿宋" w:cs="仿宋"/>
                <w:szCs w:val="21"/>
              </w:rPr>
            </w:pPr>
            <w:r>
              <w:rPr>
                <w:rFonts w:hint="eastAsia" w:ascii="仿宋" w:hAnsi="仿宋" w:eastAsia="仿宋" w:cs="仿宋"/>
                <w:sz w:val="28"/>
                <w:szCs w:val="28"/>
              </w:rPr>
              <w:t>技术要求：</w:t>
            </w:r>
          </w:p>
          <w:p>
            <w:pPr>
              <w:pStyle w:val="135"/>
              <w:numPr>
                <w:ilvl w:val="0"/>
                <w:numId w:val="5"/>
              </w:numPr>
              <w:adjustRightInd w:val="0"/>
              <w:snapToGrid w:val="0"/>
              <w:ind w:left="0" w:firstLine="0" w:firstLineChars="0"/>
              <w:rPr>
                <w:rFonts w:ascii="仿宋" w:hAnsi="仿宋" w:eastAsia="仿宋" w:cs="仿宋"/>
                <w:szCs w:val="21"/>
              </w:rPr>
            </w:pPr>
            <w:r>
              <w:rPr>
                <w:rFonts w:hint="eastAsia" w:ascii="仿宋" w:hAnsi="仿宋" w:eastAsia="仿宋" w:cs="仿宋"/>
                <w:szCs w:val="21"/>
              </w:rPr>
              <w:t xml:space="preserve">★3D显示模式： </w:t>
            </w:r>
            <w:r>
              <w:rPr>
                <w:rFonts w:hint="eastAsia" w:ascii="仿宋" w:hAnsi="仿宋" w:eastAsia="仿宋" w:cs="仿宋"/>
                <w:color w:val="000000" w:themeColor="text1"/>
                <w:szCs w:val="21"/>
                <w14:textFill>
                  <w14:solidFill>
                    <w14:schemeClr w14:val="tx1"/>
                  </w14:solidFill>
                </w14:textFill>
              </w:rPr>
              <w:t>列交错</w:t>
            </w:r>
            <w:r>
              <w:rPr>
                <w:rFonts w:hint="eastAsia" w:ascii="仿宋" w:hAnsi="仿宋" w:eastAsia="仿宋" w:cs="仿宋"/>
                <w:szCs w:val="21"/>
              </w:rPr>
              <w:t>圆偏振\被动式\不闪式</w:t>
            </w:r>
          </w:p>
          <w:p>
            <w:pPr>
              <w:pStyle w:val="135"/>
              <w:numPr>
                <w:ilvl w:val="0"/>
                <w:numId w:val="5"/>
              </w:numPr>
              <w:adjustRightInd w:val="0"/>
              <w:snapToGrid w:val="0"/>
              <w:ind w:left="0" w:firstLine="0" w:firstLineChars="0"/>
              <w:rPr>
                <w:rFonts w:ascii="仿宋" w:hAnsi="仿宋" w:eastAsia="仿宋" w:cs="仿宋"/>
                <w:szCs w:val="21"/>
              </w:rPr>
            </w:pPr>
            <w:r>
              <w:rPr>
                <w:rFonts w:hint="eastAsia" w:ascii="仿宋" w:hAnsi="仿宋" w:eastAsia="仿宋" w:cs="仿宋"/>
                <w:szCs w:val="21"/>
              </w:rPr>
              <w:t>3D眼镜：圆形偏振立体，不使用电源系统避免由于电池供电原因造成立体显示丢失的情况，没有有源立体眼镜系统的快门翻转对观看者的眼睛闪动问题；</w:t>
            </w:r>
          </w:p>
          <w:p>
            <w:pPr>
              <w:pStyle w:val="135"/>
              <w:numPr>
                <w:ilvl w:val="0"/>
                <w:numId w:val="5"/>
              </w:numPr>
              <w:adjustRightInd w:val="0"/>
              <w:snapToGrid w:val="0"/>
              <w:ind w:left="0" w:firstLine="0" w:firstLineChars="0"/>
              <w:rPr>
                <w:rFonts w:ascii="仿宋" w:hAnsi="仿宋" w:eastAsia="仿宋" w:cs="仿宋"/>
                <w:szCs w:val="21"/>
              </w:rPr>
            </w:pPr>
            <w:r>
              <w:rPr>
                <w:rFonts w:hint="eastAsia" w:ascii="仿宋" w:hAnsi="仿宋" w:eastAsia="仿宋" w:cs="仿宋"/>
                <w:szCs w:val="21"/>
              </w:rPr>
              <w:t>★3D技术：3D显示，显示屏无需额外的增加LED显示屏的接收卡、发送卡、无需120Hz及更高的刷新率，普通60Hz即可行成画面稳定、无频闪问题的3D图像。</w:t>
            </w:r>
          </w:p>
          <w:p>
            <w:pPr>
              <w:pStyle w:val="135"/>
              <w:numPr>
                <w:ilvl w:val="0"/>
                <w:numId w:val="5"/>
              </w:numPr>
              <w:adjustRightInd w:val="0"/>
              <w:snapToGrid w:val="0"/>
              <w:ind w:left="0" w:firstLine="0" w:firstLineChars="0"/>
              <w:rPr>
                <w:rFonts w:ascii="仿宋" w:hAnsi="仿宋" w:eastAsia="仿宋" w:cs="仿宋"/>
                <w:szCs w:val="21"/>
              </w:rPr>
            </w:pPr>
            <w:r>
              <w:rPr>
                <w:rFonts w:hint="eastAsia" w:ascii="仿宋" w:hAnsi="仿宋" w:eastAsia="仿宋" w:cs="仿宋"/>
                <w:szCs w:val="21"/>
              </w:rPr>
              <w:t>★3D内容播放格式 ：左右格式</w:t>
            </w:r>
          </w:p>
          <w:p>
            <w:pPr>
              <w:pStyle w:val="135"/>
              <w:numPr>
                <w:ilvl w:val="0"/>
                <w:numId w:val="5"/>
              </w:numPr>
              <w:adjustRightInd w:val="0"/>
              <w:snapToGrid w:val="0"/>
              <w:ind w:left="0" w:firstLine="0" w:firstLineChars="0"/>
              <w:rPr>
                <w:rFonts w:ascii="仿宋" w:hAnsi="仿宋" w:eastAsia="仿宋" w:cs="仿宋"/>
                <w:szCs w:val="21"/>
              </w:rPr>
            </w:pPr>
            <w:r>
              <w:rPr>
                <w:rFonts w:hint="eastAsia" w:ascii="仿宋" w:hAnsi="仿宋" w:eastAsia="仿宋" w:cs="仿宋"/>
                <w:szCs w:val="21"/>
              </w:rPr>
              <w:t>视频处理器支持3D格式内容一键切换3D；</w:t>
            </w:r>
          </w:p>
          <w:p>
            <w:pPr>
              <w:pStyle w:val="135"/>
              <w:numPr>
                <w:ilvl w:val="0"/>
                <w:numId w:val="5"/>
              </w:numPr>
              <w:adjustRightInd w:val="0"/>
              <w:snapToGrid w:val="0"/>
              <w:ind w:left="0" w:firstLine="0" w:firstLineChars="0"/>
              <w:rPr>
                <w:rFonts w:ascii="仿宋" w:hAnsi="仿宋" w:eastAsia="仿宋" w:cs="仿宋"/>
                <w:szCs w:val="21"/>
              </w:rPr>
            </w:pPr>
            <w:r>
              <w:rPr>
                <w:rFonts w:hint="eastAsia" w:ascii="仿宋" w:hAnsi="仿宋" w:eastAsia="仿宋" w:cs="仿宋"/>
                <w:szCs w:val="21"/>
              </w:rPr>
              <w:t>该终端显示设备需具有有效消除摩尔纹的技术特性</w:t>
            </w:r>
          </w:p>
          <w:p>
            <w:pPr>
              <w:pStyle w:val="135"/>
              <w:numPr>
                <w:ilvl w:val="0"/>
                <w:numId w:val="5"/>
              </w:numPr>
              <w:adjustRightInd w:val="0"/>
              <w:snapToGrid w:val="0"/>
              <w:ind w:left="0" w:firstLine="0" w:firstLineChars="0"/>
              <w:rPr>
                <w:rFonts w:ascii="仿宋" w:hAnsi="仿宋" w:eastAsia="仿宋" w:cs="仿宋"/>
                <w:szCs w:val="21"/>
              </w:rPr>
            </w:pPr>
            <w:r>
              <w:rPr>
                <w:rFonts w:hint="eastAsia" w:ascii="仿宋" w:hAnsi="仿宋" w:eastAsia="仿宋" w:cs="仿宋"/>
                <w:szCs w:val="21"/>
              </w:rPr>
              <w:t>表面防眩光FOB封装处理，表面平整。单一模组表面无肉眼可见线条或缝隙，平整度&lt;0.05mm。</w:t>
            </w:r>
          </w:p>
          <w:p>
            <w:pPr>
              <w:pStyle w:val="135"/>
              <w:numPr>
                <w:ilvl w:val="0"/>
                <w:numId w:val="5"/>
              </w:numPr>
              <w:adjustRightInd w:val="0"/>
              <w:snapToGrid w:val="0"/>
              <w:ind w:left="0" w:firstLine="0" w:firstLineChars="0"/>
              <w:rPr>
                <w:rFonts w:ascii="仿宋" w:hAnsi="仿宋" w:eastAsia="仿宋" w:cs="仿宋"/>
                <w:szCs w:val="21"/>
              </w:rPr>
            </w:pPr>
            <w:r>
              <w:rPr>
                <w:rFonts w:hint="eastAsia" w:ascii="仿宋" w:hAnsi="仿宋" w:eastAsia="仿宋" w:cs="仿宋"/>
                <w:szCs w:val="21"/>
              </w:rPr>
              <w:t>LED表面为特殊处理，紫外光透过率&lt;1%，防蓝光等有害光，健康护眼。</w:t>
            </w:r>
          </w:p>
          <w:p>
            <w:pPr>
              <w:pStyle w:val="135"/>
              <w:numPr>
                <w:ilvl w:val="0"/>
                <w:numId w:val="5"/>
              </w:numPr>
              <w:adjustRightInd w:val="0"/>
              <w:snapToGrid w:val="0"/>
              <w:ind w:left="0" w:firstLine="0" w:firstLineChars="0"/>
              <w:rPr>
                <w:rFonts w:ascii="仿宋" w:hAnsi="仿宋" w:eastAsia="仿宋" w:cs="仿宋"/>
                <w:szCs w:val="21"/>
              </w:rPr>
            </w:pPr>
            <w:r>
              <w:rPr>
                <w:rFonts w:hint="eastAsia" w:ascii="仿宋" w:hAnsi="仿宋" w:eastAsia="仿宋" w:cs="仿宋"/>
                <w:szCs w:val="21"/>
              </w:rPr>
              <w:t>表面雾度：50%±2%</w:t>
            </w:r>
          </w:p>
          <w:p>
            <w:pPr>
              <w:pStyle w:val="135"/>
              <w:numPr>
                <w:ilvl w:val="0"/>
                <w:numId w:val="5"/>
              </w:numPr>
              <w:adjustRightInd w:val="0"/>
              <w:snapToGrid w:val="0"/>
              <w:ind w:left="0" w:firstLine="0" w:firstLineChars="0"/>
              <w:rPr>
                <w:rFonts w:ascii="仿宋" w:hAnsi="仿宋" w:eastAsia="仿宋" w:cs="仿宋"/>
                <w:szCs w:val="21"/>
              </w:rPr>
            </w:pPr>
            <w:r>
              <w:rPr>
                <w:rFonts w:hint="eastAsia" w:ascii="仿宋" w:hAnsi="仿宋" w:eastAsia="仿宋" w:cs="仿宋"/>
                <w:szCs w:val="21"/>
              </w:rPr>
              <w:t>3D串扰度：≤1.5%，采用近屏测试方案。（国际标准≤2%） 左右眼串扰度比值=1±0.05</w:t>
            </w:r>
          </w:p>
          <w:p>
            <w:pPr>
              <w:pStyle w:val="135"/>
              <w:numPr>
                <w:ilvl w:val="0"/>
                <w:numId w:val="5"/>
              </w:numPr>
              <w:adjustRightInd w:val="0"/>
              <w:snapToGrid w:val="0"/>
              <w:ind w:left="0" w:firstLine="0" w:firstLineChars="0"/>
              <w:rPr>
                <w:rFonts w:ascii="仿宋" w:hAnsi="仿宋" w:eastAsia="仿宋" w:cs="仿宋"/>
                <w:szCs w:val="21"/>
              </w:rPr>
            </w:pPr>
            <w:r>
              <w:rPr>
                <w:rFonts w:hint="eastAsia" w:ascii="仿宋" w:hAnsi="仿宋" w:eastAsia="仿宋" w:cs="仿宋"/>
                <w:szCs w:val="21"/>
              </w:rPr>
              <w:t>水平视角/垂直视角（无色变，无形变）；90°/120 （串扰度≤2%）</w:t>
            </w:r>
          </w:p>
          <w:p>
            <w:pPr>
              <w:pStyle w:val="135"/>
              <w:numPr>
                <w:ilvl w:val="0"/>
                <w:numId w:val="5"/>
              </w:numPr>
              <w:adjustRightInd w:val="0"/>
              <w:snapToGrid w:val="0"/>
              <w:ind w:left="0" w:firstLine="0" w:firstLineChars="0"/>
              <w:rPr>
                <w:rFonts w:ascii="仿宋" w:hAnsi="仿宋" w:eastAsia="仿宋" w:cs="仿宋"/>
                <w:szCs w:val="21"/>
              </w:rPr>
            </w:pPr>
            <w:r>
              <w:rPr>
                <w:rFonts w:hint="eastAsia" w:ascii="仿宋" w:hAnsi="仿宋" w:eastAsia="仿宋" w:cs="仿宋"/>
                <w:szCs w:val="21"/>
              </w:rPr>
              <w:t xml:space="preserve">刷新频率：≥2880Hz </w:t>
            </w:r>
          </w:p>
          <w:p>
            <w:pPr>
              <w:pStyle w:val="135"/>
              <w:numPr>
                <w:ilvl w:val="0"/>
                <w:numId w:val="5"/>
              </w:numPr>
              <w:adjustRightInd w:val="0"/>
              <w:snapToGrid w:val="0"/>
              <w:ind w:left="0" w:firstLine="0" w:firstLineChars="0"/>
              <w:rPr>
                <w:rFonts w:ascii="仿宋" w:hAnsi="仿宋" w:eastAsia="仿宋" w:cs="仿宋"/>
                <w:szCs w:val="21"/>
              </w:rPr>
            </w:pPr>
            <w:r>
              <w:rPr>
                <w:rFonts w:hint="eastAsia" w:ascii="仿宋" w:hAnsi="仿宋" w:eastAsia="仿宋" w:cs="仿宋"/>
                <w:szCs w:val="21"/>
              </w:rPr>
              <w:t>★蓝光安全，蓝光对皮肤和眼睛紫外线危害、宽波段的光源对视网膜危害、蓝光对皮肤表面及角膜和视网膜的曝辐射值检测结果为无危害；</w:t>
            </w:r>
          </w:p>
          <w:p>
            <w:pPr>
              <w:pStyle w:val="135"/>
              <w:numPr>
                <w:ilvl w:val="0"/>
                <w:numId w:val="5"/>
              </w:numPr>
              <w:adjustRightInd w:val="0"/>
              <w:snapToGrid w:val="0"/>
              <w:ind w:left="0" w:firstLine="0" w:firstLineChars="0"/>
              <w:rPr>
                <w:rFonts w:ascii="仿宋" w:hAnsi="仿宋" w:eastAsia="仿宋" w:cs="仿宋"/>
                <w:szCs w:val="21"/>
              </w:rPr>
            </w:pPr>
            <w:r>
              <w:rPr>
                <w:rFonts w:hint="eastAsia" w:ascii="仿宋" w:hAnsi="仿宋" w:eastAsia="仿宋" w:cs="仿宋"/>
                <w:szCs w:val="21"/>
              </w:rPr>
              <w:t>亮度均匀性：≥97%。</w:t>
            </w:r>
          </w:p>
          <w:p>
            <w:pPr>
              <w:rPr>
                <w:rFonts w:ascii="仿宋" w:hAnsi="仿宋" w:eastAsia="仿宋" w:cs="仿宋"/>
                <w:szCs w:val="21"/>
              </w:rPr>
            </w:pPr>
            <w:r>
              <w:rPr>
                <w:rFonts w:hint="eastAsia" w:ascii="仿宋" w:hAnsi="仿宋" w:eastAsia="仿宋" w:cs="仿宋"/>
                <w:szCs w:val="21"/>
              </w:rPr>
              <w:t>表面外观，表面光滑：无凹凸、划伤、裂缝；表面涂覆层均匀、不起泡、无龟裂、无脱落磨损和其他机械损伤；防潮、防尘，正面可水洗清洁。</w:t>
            </w:r>
          </w:p>
        </w:tc>
        <w:tc>
          <w:tcPr>
            <w:tcW w:w="566" w:type="dxa"/>
            <w:vAlign w:val="center"/>
          </w:tcPr>
          <w:p>
            <w:pP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7" w:type="dxa"/>
            <w:vAlign w:val="center"/>
          </w:tcPr>
          <w:p>
            <w:pPr>
              <w:pStyle w:val="20"/>
              <w:rPr>
                <w:rFonts w:ascii="仿宋" w:hAnsi="仿宋" w:eastAsia="仿宋" w:cs="仿宋"/>
              </w:rPr>
            </w:pPr>
            <w:r>
              <w:rPr>
                <w:rFonts w:hint="eastAsia" w:ascii="仿宋" w:hAnsi="仿宋" w:eastAsia="仿宋" w:cs="仿宋"/>
              </w:rPr>
              <w:t>2</w:t>
            </w:r>
          </w:p>
        </w:tc>
        <w:tc>
          <w:tcPr>
            <w:tcW w:w="1274" w:type="dxa"/>
            <w:vAlign w:val="center"/>
          </w:tcPr>
          <w:p>
            <w:pPr>
              <w:pStyle w:val="20"/>
              <w:jc w:val="center"/>
              <w:rPr>
                <w:rFonts w:ascii="仿宋" w:hAnsi="仿宋" w:eastAsia="仿宋" w:cs="仿宋"/>
              </w:rPr>
            </w:pPr>
            <w:r>
              <w:rPr>
                <w:rFonts w:hint="eastAsia" w:ascii="仿宋" w:hAnsi="仿宋" w:eastAsia="仿宋" w:cs="仿宋"/>
              </w:rPr>
              <w:t>智能讲桌</w:t>
            </w:r>
          </w:p>
        </w:tc>
        <w:tc>
          <w:tcPr>
            <w:tcW w:w="11454" w:type="dxa"/>
            <w:vAlign w:val="center"/>
          </w:tcPr>
          <w:p>
            <w:pPr>
              <w:autoSpaceDN w:val="0"/>
              <w:rPr>
                <w:rFonts w:ascii="仿宋" w:hAnsi="仿宋" w:eastAsia="仿宋" w:cs="仿宋"/>
                <w:color w:val="000000" w:themeColor="text1"/>
                <w:szCs w:val="21"/>
                <w:shd w:val="clear" w:color="auto" w:fill="FFFFFF"/>
                <w14:textFill>
                  <w14:solidFill>
                    <w14:schemeClr w14:val="tx1"/>
                  </w14:solidFill>
                </w14:textFill>
              </w:rPr>
            </w:pPr>
            <w:r>
              <w:rPr>
                <w:rFonts w:hint="eastAsia" w:ascii="仿宋" w:hAnsi="仿宋" w:eastAsia="仿宋" w:cs="仿宋"/>
                <w:color w:val="000000" w:themeColor="text1"/>
                <w:szCs w:val="21"/>
                <w:shd w:val="clear" w:color="auto" w:fill="FFFFFF"/>
                <w14:textFill>
                  <w14:solidFill>
                    <w14:schemeClr w14:val="tx1"/>
                  </w14:solidFill>
                </w14:textFill>
              </w:rPr>
              <w:t>外型尺寸:120*85*85cm ，配备</w:t>
            </w:r>
            <w:r>
              <w:rPr>
                <w:rFonts w:hint="eastAsia" w:ascii="仿宋" w:hAnsi="仿宋" w:eastAsia="仿宋" w:cs="仿宋"/>
                <w:color w:val="333333"/>
                <w:szCs w:val="21"/>
                <w:shd w:val="clear" w:color="auto" w:fill="FFFFFF"/>
              </w:rPr>
              <w:t>19寸1920X1080 ，16:9,宽屏触摸屏一个</w:t>
            </w:r>
          </w:p>
          <w:p>
            <w:pPr>
              <w:shd w:val="solid" w:color="FFFFFF" w:fill="auto"/>
              <w:autoSpaceDN w:val="0"/>
              <w:rPr>
                <w:rFonts w:ascii="仿宋" w:hAnsi="仿宋" w:eastAsia="仿宋" w:cs="仿宋"/>
                <w:color w:val="000000" w:themeColor="text1"/>
                <w:szCs w:val="21"/>
                <w:shd w:val="clear" w:color="auto" w:fill="FFFFFF"/>
                <w14:textFill>
                  <w14:solidFill>
                    <w14:schemeClr w14:val="tx1"/>
                  </w14:solidFill>
                </w14:textFill>
              </w:rPr>
            </w:pPr>
            <w:r>
              <w:rPr>
                <w:rFonts w:hint="eastAsia" w:ascii="仿宋" w:hAnsi="仿宋" w:eastAsia="仿宋" w:cs="仿宋"/>
                <w:color w:val="000000" w:themeColor="text1"/>
                <w:szCs w:val="21"/>
                <w:shd w:val="clear" w:color="auto" w:fill="FFFFFF"/>
                <w14:textFill>
                  <w14:solidFill>
                    <w14:schemeClr w14:val="tx1"/>
                  </w14:solidFill>
                </w14:textFill>
              </w:rPr>
              <w:t>具体参数：</w:t>
            </w:r>
          </w:p>
          <w:p>
            <w:pPr>
              <w:shd w:val="solid" w:color="FFFFFF" w:fill="auto"/>
              <w:autoSpaceDN w:val="0"/>
              <w:rPr>
                <w:rFonts w:ascii="仿宋" w:hAnsi="仿宋" w:eastAsia="仿宋" w:cs="仿宋"/>
                <w:color w:val="000000" w:themeColor="text1"/>
                <w:szCs w:val="21"/>
                <w:shd w:val="clear" w:color="auto" w:fill="FFFFFF"/>
                <w14:textFill>
                  <w14:solidFill>
                    <w14:schemeClr w14:val="tx1"/>
                  </w14:solidFill>
                </w14:textFill>
              </w:rPr>
            </w:pPr>
            <w:r>
              <w:rPr>
                <w:rFonts w:hint="eastAsia" w:ascii="仿宋" w:hAnsi="仿宋" w:eastAsia="仿宋" w:cs="仿宋"/>
                <w:color w:val="000000" w:themeColor="text1"/>
                <w:szCs w:val="21"/>
                <w:shd w:val="clear" w:color="auto" w:fill="FFFFFF"/>
                <w14:textFill>
                  <w14:solidFill>
                    <w14:schemeClr w14:val="tx1"/>
                  </w14:solidFill>
                </w14:textFill>
              </w:rPr>
              <w:t xml:space="preserve">1、钢木结合，人性化设计，桌面板采用左右推拉式。 </w:t>
            </w:r>
          </w:p>
          <w:p>
            <w:pPr>
              <w:shd w:val="solid" w:color="FFFFFF" w:fill="auto"/>
              <w:autoSpaceDN w:val="0"/>
              <w:rPr>
                <w:rFonts w:ascii="仿宋" w:hAnsi="仿宋" w:eastAsia="仿宋" w:cs="仿宋"/>
                <w:color w:val="000000" w:themeColor="text1"/>
                <w:szCs w:val="21"/>
                <w:shd w:val="clear" w:color="auto" w:fill="FFFFFF"/>
                <w14:textFill>
                  <w14:solidFill>
                    <w14:schemeClr w14:val="tx1"/>
                  </w14:solidFill>
                </w14:textFill>
              </w:rPr>
            </w:pPr>
            <w:r>
              <w:rPr>
                <w:rFonts w:hint="eastAsia" w:ascii="仿宋" w:hAnsi="仿宋" w:eastAsia="仿宋" w:cs="仿宋"/>
                <w:color w:val="000000" w:themeColor="text1"/>
                <w:szCs w:val="21"/>
                <w:shd w:val="clear" w:color="auto" w:fill="FFFFFF"/>
                <w14:textFill>
                  <w14:solidFill>
                    <w14:schemeClr w14:val="tx1"/>
                  </w14:solidFill>
                </w14:textFill>
              </w:rPr>
              <w:t xml:space="preserve">2、鼠标、话筒、中控面板、液晶显示器内置于推拉板下面。 </w:t>
            </w:r>
          </w:p>
          <w:p>
            <w:pPr>
              <w:shd w:val="solid" w:color="FFFFFF" w:fill="auto"/>
              <w:autoSpaceDN w:val="0"/>
              <w:rPr>
                <w:rFonts w:ascii="仿宋" w:hAnsi="仿宋" w:eastAsia="仿宋" w:cs="仿宋"/>
                <w:color w:val="000000" w:themeColor="text1"/>
                <w:szCs w:val="21"/>
                <w:shd w:val="clear" w:color="auto" w:fill="FFFFFF"/>
                <w14:textFill>
                  <w14:solidFill>
                    <w14:schemeClr w14:val="tx1"/>
                  </w14:solidFill>
                </w14:textFill>
              </w:rPr>
            </w:pPr>
            <w:r>
              <w:rPr>
                <w:rFonts w:hint="eastAsia" w:ascii="仿宋" w:hAnsi="仿宋" w:eastAsia="仿宋" w:cs="仿宋"/>
                <w:color w:val="000000" w:themeColor="text1"/>
                <w:szCs w:val="21"/>
                <w:shd w:val="clear" w:color="auto" w:fill="FFFFFF"/>
                <w14:textFill>
                  <w14:solidFill>
                    <w14:schemeClr w14:val="tx1"/>
                  </w14:solidFill>
                </w14:textFill>
              </w:rPr>
              <w:t xml:space="preserve">3、按人体力学设计，桌面采用倾斜式设计，方便放置演讲稿。 </w:t>
            </w:r>
          </w:p>
          <w:p>
            <w:pPr>
              <w:shd w:val="solid" w:color="FFFFFF" w:fill="auto"/>
              <w:autoSpaceDN w:val="0"/>
              <w:rPr>
                <w:rFonts w:ascii="仿宋" w:hAnsi="仿宋" w:eastAsia="仿宋" w:cs="仿宋"/>
                <w:color w:val="000000" w:themeColor="text1"/>
                <w:szCs w:val="21"/>
                <w:shd w:val="clear" w:color="auto" w:fill="FFFFFF"/>
                <w14:textFill>
                  <w14:solidFill>
                    <w14:schemeClr w14:val="tx1"/>
                  </w14:solidFill>
                </w14:textFill>
              </w:rPr>
            </w:pPr>
            <w:r>
              <w:rPr>
                <w:rFonts w:hint="eastAsia" w:ascii="仿宋" w:hAnsi="仿宋" w:eastAsia="仿宋" w:cs="仿宋"/>
                <w:color w:val="000000" w:themeColor="text1"/>
                <w:szCs w:val="21"/>
                <w:shd w:val="clear" w:color="auto" w:fill="FFFFFF"/>
                <w14:textFill>
                  <w14:solidFill>
                    <w14:schemeClr w14:val="tx1"/>
                  </w14:solidFill>
                </w14:textFill>
              </w:rPr>
              <w:t xml:space="preserve">4、配电动升降装置和先进的防卡系统。 </w:t>
            </w:r>
          </w:p>
          <w:p>
            <w:pPr>
              <w:shd w:val="solid" w:color="FFFFFF" w:fill="auto"/>
              <w:autoSpaceDN w:val="0"/>
              <w:rPr>
                <w:rFonts w:ascii="仿宋" w:hAnsi="仿宋" w:eastAsia="仿宋" w:cs="仿宋"/>
                <w:color w:val="000000" w:themeColor="text1"/>
                <w:szCs w:val="21"/>
                <w:shd w:val="clear" w:color="auto" w:fill="FFFFFF"/>
                <w14:textFill>
                  <w14:solidFill>
                    <w14:schemeClr w14:val="tx1"/>
                  </w14:solidFill>
                </w14:textFill>
              </w:rPr>
            </w:pPr>
            <w:r>
              <w:rPr>
                <w:rFonts w:hint="eastAsia" w:ascii="仿宋" w:hAnsi="仿宋" w:eastAsia="仿宋" w:cs="仿宋"/>
                <w:color w:val="000000" w:themeColor="text1"/>
                <w:szCs w:val="21"/>
                <w:shd w:val="clear" w:color="auto" w:fill="FFFFFF"/>
                <w14:textFill>
                  <w14:solidFill>
                    <w14:schemeClr w14:val="tx1"/>
                  </w14:solidFill>
                </w14:textFill>
              </w:rPr>
              <w:t xml:space="preserve">5、桌体采用标准机柜尺寸设计，所有设备整齐排列。 </w:t>
            </w:r>
          </w:p>
          <w:p>
            <w:pPr>
              <w:shd w:val="solid" w:color="FFFFFF" w:fill="auto"/>
              <w:autoSpaceDN w:val="0"/>
              <w:rPr>
                <w:rFonts w:ascii="仿宋" w:hAnsi="仿宋" w:eastAsia="仿宋" w:cs="仿宋"/>
                <w:color w:val="000000" w:themeColor="text1"/>
                <w:szCs w:val="21"/>
                <w:shd w:val="clear" w:color="auto" w:fill="FFFFFF"/>
                <w14:textFill>
                  <w14:solidFill>
                    <w14:schemeClr w14:val="tx1"/>
                  </w14:solidFill>
                </w14:textFill>
              </w:rPr>
            </w:pPr>
            <w:r>
              <w:rPr>
                <w:rFonts w:hint="eastAsia" w:ascii="仿宋" w:hAnsi="仿宋" w:eastAsia="仿宋" w:cs="仿宋"/>
                <w:color w:val="000000" w:themeColor="text1"/>
                <w:szCs w:val="21"/>
                <w:shd w:val="clear" w:color="auto" w:fill="FFFFFF"/>
                <w14:textFill>
                  <w14:solidFill>
                    <w14:schemeClr w14:val="tx1"/>
                  </w14:solidFill>
                </w14:textFill>
              </w:rPr>
              <w:t xml:space="preserve">6、人性化设计，桌体右边配有侧拉抽屉，方便放置物品。 </w:t>
            </w:r>
          </w:p>
          <w:p>
            <w:pPr>
              <w:shd w:val="solid" w:color="FFFFFF" w:fill="auto"/>
              <w:autoSpaceDN w:val="0"/>
              <w:rPr>
                <w:rFonts w:ascii="仿宋" w:hAnsi="仿宋" w:eastAsia="仿宋" w:cs="仿宋"/>
                <w:szCs w:val="21"/>
              </w:rPr>
            </w:pPr>
            <w:r>
              <w:rPr>
                <w:rFonts w:hint="eastAsia" w:ascii="仿宋" w:hAnsi="仿宋" w:eastAsia="仿宋" w:cs="仿宋"/>
                <w:color w:val="000000" w:themeColor="text1"/>
                <w:szCs w:val="21"/>
                <w:shd w:val="clear" w:color="auto" w:fill="FFFFFF"/>
                <w14:textFill>
                  <w14:solidFill>
                    <w14:schemeClr w14:val="tx1"/>
                  </w14:solidFill>
                </w14:textFill>
              </w:rPr>
              <w:t>7、桌体内置笔记本接口模块及电源模块，方便老师教学使用。</w:t>
            </w:r>
          </w:p>
        </w:tc>
        <w:tc>
          <w:tcPr>
            <w:tcW w:w="566" w:type="dxa"/>
            <w:vAlign w:val="center"/>
          </w:tcPr>
          <w:p>
            <w:pP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647" w:type="dxa"/>
            <w:vAlign w:val="center"/>
          </w:tcPr>
          <w:p>
            <w:pPr>
              <w:pStyle w:val="20"/>
              <w:rPr>
                <w:rFonts w:ascii="仿宋" w:hAnsi="仿宋" w:eastAsia="仿宋" w:cs="仿宋"/>
              </w:rPr>
            </w:pPr>
            <w:r>
              <w:rPr>
                <w:rFonts w:hint="eastAsia" w:ascii="仿宋" w:hAnsi="仿宋" w:eastAsia="仿宋" w:cs="仿宋"/>
              </w:rPr>
              <w:t>3</w:t>
            </w:r>
          </w:p>
        </w:tc>
        <w:tc>
          <w:tcPr>
            <w:tcW w:w="1274" w:type="dxa"/>
            <w:vAlign w:val="center"/>
          </w:tcPr>
          <w:p>
            <w:pPr>
              <w:pStyle w:val="20"/>
              <w:jc w:val="both"/>
              <w:rPr>
                <w:rFonts w:ascii="仿宋" w:hAnsi="仿宋" w:eastAsia="仿宋" w:cs="仿宋"/>
              </w:rPr>
            </w:pPr>
            <w:r>
              <w:rPr>
                <w:rFonts w:hint="eastAsia" w:ascii="仿宋" w:hAnsi="仿宋" w:eastAsia="仿宋" w:cs="仿宋"/>
              </w:rPr>
              <w:t>音响系统</w:t>
            </w:r>
          </w:p>
        </w:tc>
        <w:tc>
          <w:tcPr>
            <w:tcW w:w="11454" w:type="dxa"/>
            <w:vAlign w:val="center"/>
          </w:tcPr>
          <w:tbl>
            <w:tblPr>
              <w:tblStyle w:val="38"/>
              <w:tblW w:w="11130" w:type="dxa"/>
              <w:tblInd w:w="96" w:type="dxa"/>
              <w:tblLayout w:type="fixed"/>
              <w:tblCellMar>
                <w:top w:w="0" w:type="dxa"/>
                <w:left w:w="108" w:type="dxa"/>
                <w:bottom w:w="0" w:type="dxa"/>
                <w:right w:w="108" w:type="dxa"/>
              </w:tblCellMar>
            </w:tblPr>
            <w:tblGrid>
              <w:gridCol w:w="956"/>
              <w:gridCol w:w="10174"/>
            </w:tblGrid>
            <w:tr>
              <w:tblPrEx>
                <w:tblCellMar>
                  <w:top w:w="0" w:type="dxa"/>
                  <w:left w:w="108" w:type="dxa"/>
                  <w:bottom w:w="0" w:type="dxa"/>
                  <w:right w:w="108" w:type="dxa"/>
                </w:tblCellMar>
              </w:tblPrEx>
              <w:trPr>
                <w:trHeight w:val="500" w:hRule="atLeast"/>
              </w:trPr>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天花扬声器4个</w:t>
                  </w:r>
                </w:p>
              </w:tc>
              <w:tc>
                <w:tcPr>
                  <w:tcW w:w="101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 w:hAnsi="仿宋" w:eastAsia="仿宋" w:cs="仿宋"/>
                      <w:color w:val="000000"/>
                      <w:kern w:val="0"/>
                      <w:szCs w:val="21"/>
                      <w:lang w:eastAsia="zh-CN" w:bidi="ar"/>
                    </w:rPr>
                  </w:pPr>
                  <w:r>
                    <w:rPr>
                      <w:rFonts w:hint="eastAsia" w:ascii="仿宋" w:hAnsi="仿宋" w:eastAsia="仿宋" w:cs="仿宋"/>
                      <w:color w:val="000000"/>
                      <w:kern w:val="0"/>
                      <w:szCs w:val="21"/>
                      <w:lang w:bidi="ar"/>
                    </w:rPr>
                    <w:t>工作电压70/100V或4-16Ω端，额定功率40W；</w:t>
                  </w:r>
                </w:p>
                <w:p>
                  <w:pPr>
                    <w:widowControl/>
                    <w:jc w:val="left"/>
                    <w:textAlignment w:val="center"/>
                    <w:rPr>
                      <w:rFonts w:hint="eastAsia" w:ascii="仿宋" w:hAnsi="仿宋" w:eastAsia="仿宋" w:cs="仿宋"/>
                      <w:color w:val="000000"/>
                      <w:kern w:val="0"/>
                      <w:szCs w:val="21"/>
                      <w:lang w:eastAsia="zh-CN" w:bidi="ar"/>
                    </w:rPr>
                  </w:pPr>
                  <w:r>
                    <w:rPr>
                      <w:rFonts w:hint="eastAsia" w:ascii="仿宋" w:hAnsi="仿宋" w:eastAsia="仿宋" w:cs="仿宋"/>
                      <w:color w:val="000000"/>
                      <w:kern w:val="0"/>
                      <w:szCs w:val="21"/>
                      <w:lang w:bidi="ar"/>
                    </w:rPr>
                    <w:t>定压定阻可自由转换；</w:t>
                  </w:r>
                </w:p>
                <w:p>
                  <w:pPr>
                    <w:widowControl/>
                    <w:jc w:val="left"/>
                    <w:textAlignment w:val="center"/>
                    <w:rPr>
                      <w:rFonts w:hint="eastAsia" w:ascii="仿宋" w:hAnsi="仿宋" w:eastAsia="仿宋" w:cs="仿宋"/>
                      <w:color w:val="000000"/>
                      <w:kern w:val="0"/>
                      <w:szCs w:val="21"/>
                      <w:lang w:eastAsia="zh-CN" w:bidi="ar"/>
                    </w:rPr>
                  </w:pPr>
                  <w:r>
                    <w:rPr>
                      <w:rFonts w:hint="eastAsia" w:ascii="仿宋" w:hAnsi="仿宋" w:eastAsia="仿宋" w:cs="仿宋"/>
                      <w:color w:val="000000"/>
                      <w:kern w:val="0"/>
                      <w:szCs w:val="21"/>
                      <w:lang w:bidi="ar"/>
                    </w:rPr>
                    <w:t>最大声压级107±2dB，</w:t>
                  </w:r>
                </w:p>
                <w:p>
                  <w:pPr>
                    <w:widowControl/>
                    <w:jc w:val="left"/>
                    <w:textAlignment w:val="center"/>
                    <w:rPr>
                      <w:rFonts w:hint="eastAsia" w:ascii="仿宋" w:hAnsi="仿宋" w:eastAsia="仿宋" w:cs="仿宋"/>
                      <w:color w:val="000000"/>
                      <w:kern w:val="0"/>
                      <w:szCs w:val="21"/>
                      <w:lang w:eastAsia="zh-CN" w:bidi="ar"/>
                    </w:rPr>
                  </w:pPr>
                  <w:r>
                    <w:rPr>
                      <w:rFonts w:hint="eastAsia" w:ascii="仿宋" w:hAnsi="仿宋" w:eastAsia="仿宋" w:cs="仿宋"/>
                      <w:color w:val="000000"/>
                      <w:kern w:val="0"/>
                      <w:szCs w:val="21"/>
                      <w:lang w:bidi="ar"/>
                    </w:rPr>
                    <w:t>有效频率范围50Hz-20kHz；</w:t>
                  </w:r>
                </w:p>
                <w:p>
                  <w:pPr>
                    <w:widowControl/>
                    <w:jc w:val="left"/>
                    <w:textAlignment w:val="center"/>
                    <w:rPr>
                      <w:rFonts w:hint="eastAsia" w:ascii="仿宋" w:hAnsi="仿宋" w:eastAsia="仿宋" w:cs="仿宋"/>
                      <w:color w:val="000000"/>
                      <w:kern w:val="0"/>
                      <w:szCs w:val="21"/>
                      <w:lang w:eastAsia="zh-CN" w:bidi="ar"/>
                    </w:rPr>
                  </w:pPr>
                  <w:r>
                    <w:rPr>
                      <w:rFonts w:hint="eastAsia" w:ascii="仿宋" w:hAnsi="仿宋" w:eastAsia="仿宋" w:cs="仿宋"/>
                      <w:color w:val="000000"/>
                      <w:kern w:val="0"/>
                      <w:szCs w:val="21"/>
                      <w:lang w:bidi="ar"/>
                    </w:rPr>
                    <w:t>两单元同轴结构，音质清晰、甜美，</w:t>
                  </w:r>
                </w:p>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灵敏度高（91±2dB）；</w:t>
                  </w:r>
                </w:p>
              </w:tc>
            </w:tr>
            <w:tr>
              <w:tblPrEx>
                <w:tblCellMar>
                  <w:top w:w="0" w:type="dxa"/>
                  <w:left w:w="108" w:type="dxa"/>
                  <w:bottom w:w="0" w:type="dxa"/>
                  <w:right w:w="108" w:type="dxa"/>
                </w:tblCellMar>
              </w:tblPrEx>
              <w:trPr>
                <w:trHeight w:val="500" w:hRule="atLeast"/>
              </w:trPr>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合并式数字广播功放1台</w:t>
                  </w:r>
                </w:p>
              </w:tc>
              <w:tc>
                <w:tcPr>
                  <w:tcW w:w="101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 w:hAnsi="仿宋" w:eastAsia="仿宋" w:cs="仿宋"/>
                      <w:color w:val="000000"/>
                      <w:kern w:val="0"/>
                      <w:szCs w:val="21"/>
                      <w:lang w:eastAsia="zh-CN" w:bidi="ar"/>
                    </w:rPr>
                  </w:pPr>
                  <w:r>
                    <w:rPr>
                      <w:rFonts w:hint="eastAsia" w:ascii="仿宋" w:hAnsi="仿宋" w:eastAsia="仿宋" w:cs="仿宋"/>
                      <w:color w:val="000000"/>
                      <w:kern w:val="0"/>
                      <w:szCs w:val="21"/>
                      <w:lang w:bidi="ar"/>
                    </w:rPr>
                    <w:t>三个话筒输入口，两个辅助输入口，一个辅助输出口,最宜于公共广播。</w:t>
                  </w:r>
                </w:p>
                <w:p>
                  <w:pPr>
                    <w:widowControl/>
                    <w:jc w:val="left"/>
                    <w:textAlignment w:val="center"/>
                    <w:rPr>
                      <w:rFonts w:hint="eastAsia" w:ascii="仿宋" w:hAnsi="仿宋" w:eastAsia="仿宋" w:cs="仿宋"/>
                      <w:color w:val="000000"/>
                      <w:kern w:val="0"/>
                      <w:szCs w:val="21"/>
                      <w:lang w:eastAsia="zh-CN" w:bidi="ar"/>
                    </w:rPr>
                  </w:pPr>
                  <w:r>
                    <w:rPr>
                      <w:rFonts w:hint="eastAsia" w:ascii="仿宋" w:hAnsi="仿宋" w:eastAsia="仿宋" w:cs="仿宋"/>
                      <w:color w:val="000000"/>
                      <w:kern w:val="0"/>
                      <w:szCs w:val="21"/>
                      <w:lang w:bidi="ar"/>
                    </w:rPr>
                    <w:t>100V, 70V定压输出和P1输出。</w:t>
                  </w:r>
                </w:p>
                <w:p>
                  <w:pPr>
                    <w:widowControl/>
                    <w:jc w:val="left"/>
                    <w:textAlignment w:val="center"/>
                    <w:rPr>
                      <w:rFonts w:hint="eastAsia" w:ascii="仿宋" w:hAnsi="仿宋" w:eastAsia="仿宋" w:cs="仿宋"/>
                      <w:color w:val="000000"/>
                      <w:kern w:val="0"/>
                      <w:szCs w:val="21"/>
                      <w:lang w:eastAsia="zh-CN" w:bidi="ar"/>
                    </w:rPr>
                  </w:pPr>
                  <w:r>
                    <w:rPr>
                      <w:rFonts w:hint="eastAsia" w:ascii="仿宋" w:hAnsi="仿宋" w:eastAsia="仿宋" w:cs="仿宋"/>
                      <w:color w:val="000000"/>
                      <w:kern w:val="0"/>
                      <w:szCs w:val="21"/>
                      <w:lang w:bidi="ar"/>
                    </w:rPr>
                    <w:t>有默音功能,便于插入优先广播。</w:t>
                  </w:r>
                </w:p>
                <w:p>
                  <w:pPr>
                    <w:widowControl/>
                    <w:jc w:val="left"/>
                    <w:textAlignment w:val="center"/>
                    <w:rPr>
                      <w:rFonts w:hint="eastAsia" w:ascii="仿宋" w:hAnsi="仿宋" w:eastAsia="仿宋" w:cs="仿宋"/>
                      <w:color w:val="000000"/>
                      <w:kern w:val="0"/>
                      <w:szCs w:val="21"/>
                      <w:lang w:eastAsia="zh-CN" w:bidi="ar"/>
                    </w:rPr>
                  </w:pPr>
                  <w:r>
                    <w:rPr>
                      <w:rFonts w:hint="eastAsia" w:ascii="仿宋" w:hAnsi="仿宋" w:eastAsia="仿宋" w:cs="仿宋"/>
                      <w:color w:val="000000"/>
                      <w:kern w:val="0"/>
                      <w:szCs w:val="21"/>
                      <w:lang w:bidi="ar"/>
                    </w:rPr>
                    <w:t>各通道独立音量控制。</w:t>
                  </w:r>
                </w:p>
                <w:p>
                  <w:pPr>
                    <w:widowControl/>
                    <w:jc w:val="left"/>
                    <w:textAlignment w:val="center"/>
                    <w:rPr>
                      <w:rFonts w:hint="eastAsia" w:ascii="仿宋" w:hAnsi="仿宋" w:eastAsia="仿宋" w:cs="仿宋"/>
                      <w:color w:val="000000"/>
                      <w:kern w:val="0"/>
                      <w:szCs w:val="21"/>
                      <w:lang w:eastAsia="zh-CN" w:bidi="ar"/>
                    </w:rPr>
                  </w:pPr>
                  <w:r>
                    <w:rPr>
                      <w:rFonts w:hint="eastAsia" w:ascii="仿宋" w:hAnsi="仿宋" w:eastAsia="仿宋" w:cs="仿宋"/>
                      <w:color w:val="000000"/>
                      <w:kern w:val="0"/>
                      <w:szCs w:val="21"/>
                      <w:lang w:bidi="ar"/>
                    </w:rPr>
                    <w:t>高音和低音音调控制。</w:t>
                  </w:r>
                </w:p>
                <w:p>
                  <w:pPr>
                    <w:widowControl/>
                    <w:jc w:val="left"/>
                    <w:textAlignment w:val="center"/>
                    <w:rPr>
                      <w:rFonts w:hint="eastAsia" w:ascii="仿宋" w:hAnsi="仿宋" w:eastAsia="仿宋" w:cs="仿宋"/>
                      <w:color w:val="000000"/>
                      <w:kern w:val="0"/>
                      <w:szCs w:val="21"/>
                      <w:lang w:eastAsia="zh-CN" w:bidi="ar"/>
                    </w:rPr>
                  </w:pPr>
                  <w:r>
                    <w:rPr>
                      <w:rFonts w:hint="eastAsia" w:ascii="仿宋" w:hAnsi="仿宋" w:eastAsia="仿宋" w:cs="仿宋"/>
                      <w:color w:val="000000"/>
                      <w:kern w:val="0"/>
                      <w:szCs w:val="21"/>
                      <w:lang w:bidi="ar"/>
                    </w:rPr>
                    <w:t>5单位LED 电平表,容易监察工作状态。</w:t>
                  </w:r>
                </w:p>
                <w:p>
                  <w:pPr>
                    <w:widowControl/>
                    <w:jc w:val="left"/>
                    <w:textAlignment w:val="center"/>
                    <w:rPr>
                      <w:rFonts w:hint="eastAsia" w:ascii="仿宋" w:hAnsi="仿宋" w:eastAsia="仿宋" w:cs="仿宋"/>
                      <w:color w:val="000000"/>
                      <w:kern w:val="0"/>
                      <w:szCs w:val="21"/>
                      <w:lang w:eastAsia="zh-CN" w:bidi="ar"/>
                    </w:rPr>
                  </w:pPr>
                  <w:r>
                    <w:rPr>
                      <w:rFonts w:hint="eastAsia" w:ascii="仿宋" w:hAnsi="仿宋" w:eastAsia="仿宋" w:cs="仿宋"/>
                      <w:color w:val="000000"/>
                      <w:kern w:val="0"/>
                      <w:szCs w:val="21"/>
                      <w:lang w:bidi="ar"/>
                    </w:rPr>
                    <w:t xml:space="preserve">额定输出功率: 250W </w:t>
                  </w:r>
                </w:p>
                <w:p>
                  <w:pPr>
                    <w:widowControl/>
                    <w:jc w:val="left"/>
                    <w:textAlignment w:val="center"/>
                    <w:rPr>
                      <w:rFonts w:hint="eastAsia" w:ascii="仿宋" w:hAnsi="仿宋" w:eastAsia="仿宋" w:cs="仿宋"/>
                      <w:color w:val="000000"/>
                      <w:kern w:val="0"/>
                      <w:szCs w:val="21"/>
                      <w:lang w:eastAsia="zh-CN" w:bidi="ar"/>
                    </w:rPr>
                  </w:pPr>
                  <w:r>
                    <w:rPr>
                      <w:rFonts w:hint="eastAsia" w:ascii="仿宋" w:hAnsi="仿宋" w:eastAsia="仿宋" w:cs="仿宋"/>
                      <w:color w:val="000000"/>
                      <w:kern w:val="0"/>
                      <w:szCs w:val="21"/>
                      <w:lang w:bidi="ar"/>
                    </w:rPr>
                    <w:t>输出方式: 4~16欧，70V、100V定压输出</w:t>
                  </w:r>
                </w:p>
                <w:p>
                  <w:pPr>
                    <w:widowControl/>
                    <w:jc w:val="left"/>
                    <w:textAlignment w:val="center"/>
                    <w:rPr>
                      <w:rFonts w:hint="eastAsia" w:ascii="仿宋" w:hAnsi="仿宋" w:eastAsia="仿宋" w:cs="仿宋"/>
                      <w:color w:val="000000"/>
                      <w:kern w:val="0"/>
                      <w:szCs w:val="21"/>
                      <w:lang w:eastAsia="zh-CN" w:bidi="ar"/>
                    </w:rPr>
                  </w:pPr>
                  <w:r>
                    <w:rPr>
                      <w:rFonts w:hint="eastAsia" w:ascii="仿宋" w:hAnsi="仿宋" w:eastAsia="仿宋" w:cs="仿宋"/>
                      <w:color w:val="000000"/>
                      <w:kern w:val="0"/>
                      <w:szCs w:val="21"/>
                      <w:lang w:bidi="ar"/>
                    </w:rPr>
                    <w:t>辅助输出电平: 1000 mV±100mV</w:t>
                  </w:r>
                </w:p>
                <w:p>
                  <w:pPr>
                    <w:widowControl/>
                    <w:jc w:val="left"/>
                    <w:textAlignment w:val="center"/>
                    <w:rPr>
                      <w:rFonts w:hint="eastAsia" w:ascii="仿宋" w:hAnsi="仿宋" w:eastAsia="仿宋" w:cs="仿宋"/>
                      <w:color w:val="000000"/>
                      <w:kern w:val="0"/>
                      <w:szCs w:val="21"/>
                      <w:lang w:eastAsia="zh-CN" w:bidi="ar"/>
                    </w:rPr>
                  </w:pPr>
                  <w:r>
                    <w:rPr>
                      <w:rFonts w:hint="eastAsia" w:ascii="仿宋" w:hAnsi="仿宋" w:eastAsia="仿宋" w:cs="仿宋"/>
                      <w:color w:val="000000"/>
                      <w:kern w:val="0"/>
                      <w:szCs w:val="21"/>
                      <w:lang w:bidi="ar"/>
                    </w:rPr>
                    <w:t>话筒：≤5.5mV（不平衡）,线路：≤300mV（不平衡）</w:t>
                  </w:r>
                </w:p>
                <w:p>
                  <w:pPr>
                    <w:widowControl/>
                    <w:jc w:val="left"/>
                    <w:textAlignment w:val="center"/>
                    <w:rPr>
                      <w:rFonts w:hint="eastAsia" w:ascii="仿宋" w:hAnsi="仿宋" w:eastAsia="仿宋" w:cs="仿宋"/>
                      <w:color w:val="000000"/>
                      <w:kern w:val="0"/>
                      <w:szCs w:val="21"/>
                      <w:lang w:eastAsia="zh-CN" w:bidi="ar"/>
                    </w:rPr>
                  </w:pPr>
                  <w:r>
                    <w:rPr>
                      <w:rFonts w:hint="eastAsia" w:ascii="仿宋" w:hAnsi="仿宋" w:eastAsia="仿宋" w:cs="仿宋"/>
                      <w:color w:val="000000"/>
                      <w:kern w:val="0"/>
                      <w:szCs w:val="21"/>
                      <w:lang w:bidi="ar"/>
                    </w:rPr>
                    <w:t>频率响应: 80Hz-15KHz（±3dB）</w:t>
                  </w:r>
                </w:p>
                <w:p>
                  <w:pPr>
                    <w:widowControl/>
                    <w:jc w:val="left"/>
                    <w:textAlignment w:val="center"/>
                    <w:rPr>
                      <w:rFonts w:hint="eastAsia" w:ascii="仿宋" w:hAnsi="仿宋" w:eastAsia="仿宋" w:cs="仿宋"/>
                      <w:color w:val="000000"/>
                      <w:kern w:val="0"/>
                      <w:szCs w:val="21"/>
                      <w:lang w:eastAsia="zh-CN" w:bidi="ar"/>
                    </w:rPr>
                  </w:pPr>
                  <w:r>
                    <w:rPr>
                      <w:rFonts w:hint="eastAsia" w:ascii="仿宋" w:hAnsi="仿宋" w:eastAsia="仿宋" w:cs="仿宋"/>
                      <w:color w:val="000000"/>
                      <w:kern w:val="0"/>
                      <w:szCs w:val="21"/>
                      <w:lang w:bidi="ar"/>
                    </w:rPr>
                    <w:t>总谐波失真 ≤1% （1KHz，正常工作条件）</w:t>
                  </w:r>
                </w:p>
                <w:p>
                  <w:pPr>
                    <w:widowControl/>
                    <w:jc w:val="left"/>
                    <w:textAlignment w:val="center"/>
                    <w:rPr>
                      <w:rFonts w:hint="eastAsia" w:ascii="仿宋" w:hAnsi="仿宋" w:eastAsia="仿宋" w:cs="仿宋"/>
                      <w:color w:val="000000"/>
                      <w:kern w:val="0"/>
                      <w:szCs w:val="21"/>
                      <w:lang w:eastAsia="zh-CN" w:bidi="ar"/>
                    </w:rPr>
                  </w:pPr>
                  <w:r>
                    <w:rPr>
                      <w:rFonts w:hint="eastAsia" w:ascii="仿宋" w:hAnsi="仿宋" w:eastAsia="仿宋" w:cs="仿宋"/>
                      <w:color w:val="000000"/>
                      <w:kern w:val="0"/>
                      <w:szCs w:val="21"/>
                      <w:lang w:bidi="ar"/>
                    </w:rPr>
                    <w:t>信噪比 线路输入：≥74dB（宽带）</w:t>
                  </w:r>
                </w:p>
                <w:p>
                  <w:pPr>
                    <w:widowControl/>
                    <w:jc w:val="left"/>
                    <w:textAlignment w:val="center"/>
                    <w:rPr>
                      <w:rFonts w:hint="eastAsia" w:ascii="仿宋" w:hAnsi="仿宋" w:eastAsia="仿宋" w:cs="仿宋"/>
                      <w:color w:val="000000"/>
                      <w:kern w:val="0"/>
                      <w:szCs w:val="21"/>
                      <w:lang w:eastAsia="zh-CN" w:bidi="ar"/>
                    </w:rPr>
                  </w:pPr>
                  <w:r>
                    <w:rPr>
                      <w:rFonts w:hint="eastAsia" w:ascii="仿宋" w:hAnsi="仿宋" w:eastAsia="仿宋" w:cs="仿宋"/>
                      <w:color w:val="000000"/>
                      <w:kern w:val="0"/>
                      <w:szCs w:val="21"/>
                      <w:lang w:bidi="ar"/>
                    </w:rPr>
                    <w:t>音调调节范围:低音：±10dB（100Hz）,高音：±10dB（10kHz)</w:t>
                  </w:r>
                </w:p>
                <w:p>
                  <w:pPr>
                    <w:widowControl/>
                    <w:jc w:val="left"/>
                    <w:textAlignment w:val="center"/>
                    <w:rPr>
                      <w:rFonts w:hint="eastAsia" w:ascii="仿宋" w:hAnsi="仿宋" w:eastAsia="仿宋" w:cs="仿宋"/>
                      <w:color w:val="000000"/>
                      <w:kern w:val="0"/>
                      <w:szCs w:val="21"/>
                      <w:lang w:eastAsia="zh-CN" w:bidi="ar"/>
                    </w:rPr>
                  </w:pPr>
                  <w:r>
                    <w:rPr>
                      <w:rFonts w:hint="eastAsia" w:ascii="仿宋" w:hAnsi="仿宋" w:eastAsia="仿宋" w:cs="仿宋"/>
                      <w:color w:val="000000"/>
                      <w:kern w:val="0"/>
                      <w:szCs w:val="21"/>
                      <w:lang w:bidi="ar"/>
                    </w:rPr>
                    <w:t>保护:交流保险丝, 直流输出，过载, 输出短路保护并告警。</w:t>
                  </w:r>
                </w:p>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默音功能 Mic1 输入覆盖其它输入（衰减0 到 -30dB）</w:t>
                  </w:r>
                </w:p>
              </w:tc>
            </w:tr>
            <w:tr>
              <w:tblPrEx>
                <w:tblCellMar>
                  <w:top w:w="0" w:type="dxa"/>
                  <w:left w:w="108" w:type="dxa"/>
                  <w:bottom w:w="0" w:type="dxa"/>
                  <w:right w:w="108" w:type="dxa"/>
                </w:tblCellMar>
              </w:tblPrEx>
              <w:trPr>
                <w:trHeight w:val="500" w:hRule="atLeast"/>
              </w:trPr>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模拟调音台1台</w:t>
                  </w:r>
                </w:p>
              </w:tc>
              <w:tc>
                <w:tcPr>
                  <w:tcW w:w="101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 w:hAnsi="仿宋" w:eastAsia="仿宋" w:cs="仿宋"/>
                      <w:color w:val="000000"/>
                      <w:kern w:val="0"/>
                      <w:szCs w:val="21"/>
                      <w:lang w:eastAsia="zh-CN" w:bidi="ar"/>
                    </w:rPr>
                  </w:pPr>
                  <w:r>
                    <w:rPr>
                      <w:rFonts w:hint="eastAsia" w:ascii="仿宋" w:hAnsi="仿宋" w:eastAsia="仿宋" w:cs="仿宋"/>
                      <w:color w:val="000000"/>
                      <w:kern w:val="0"/>
                      <w:szCs w:val="21"/>
                      <w:lang w:bidi="ar"/>
                    </w:rPr>
                    <w:t>1、10路XLR平衡单声道输入+2路立体声输入</w:t>
                  </w:r>
                </w:p>
                <w:p>
                  <w:pPr>
                    <w:widowControl/>
                    <w:jc w:val="left"/>
                    <w:textAlignment w:val="center"/>
                    <w:rPr>
                      <w:rFonts w:hint="eastAsia" w:ascii="仿宋" w:hAnsi="仿宋" w:eastAsia="仿宋" w:cs="仿宋"/>
                      <w:color w:val="000000"/>
                      <w:kern w:val="0"/>
                      <w:szCs w:val="21"/>
                      <w:lang w:eastAsia="zh-CN" w:bidi="ar"/>
                    </w:rPr>
                  </w:pPr>
                  <w:r>
                    <w:rPr>
                      <w:rFonts w:hint="eastAsia" w:ascii="仿宋" w:hAnsi="仿宋" w:eastAsia="仿宋" w:cs="仿宋"/>
                      <w:color w:val="000000"/>
                      <w:kern w:val="0"/>
                      <w:szCs w:val="21"/>
                      <w:lang w:bidi="ar"/>
                    </w:rPr>
                    <w:t>2、每通道3段均衡调节，MUTE静音开关，PFL耳机开关，平滑60MM行程推子器，</w:t>
                  </w:r>
                </w:p>
                <w:p>
                  <w:pPr>
                    <w:widowControl/>
                    <w:jc w:val="left"/>
                    <w:textAlignment w:val="center"/>
                    <w:rPr>
                      <w:rFonts w:hint="eastAsia" w:ascii="仿宋" w:hAnsi="仿宋" w:eastAsia="仿宋" w:cs="仿宋"/>
                      <w:color w:val="000000"/>
                      <w:kern w:val="0"/>
                      <w:szCs w:val="21"/>
                      <w:lang w:eastAsia="zh-CN" w:bidi="ar"/>
                    </w:rPr>
                  </w:pPr>
                  <w:r>
                    <w:rPr>
                      <w:rFonts w:hint="eastAsia" w:ascii="仿宋" w:hAnsi="仿宋" w:eastAsia="仿宋" w:cs="仿宋"/>
                      <w:color w:val="000000"/>
                      <w:kern w:val="0"/>
                      <w:szCs w:val="21"/>
                      <w:lang w:bidi="ar"/>
                    </w:rPr>
                    <w:t>3、2编组输出 +2组AUX输出（包括FX),</w:t>
                  </w:r>
                </w:p>
                <w:p>
                  <w:pPr>
                    <w:widowControl/>
                    <w:jc w:val="left"/>
                    <w:textAlignment w:val="center"/>
                    <w:rPr>
                      <w:rFonts w:hint="eastAsia" w:ascii="仿宋" w:hAnsi="仿宋" w:eastAsia="仿宋" w:cs="仿宋"/>
                      <w:color w:val="000000"/>
                      <w:kern w:val="0"/>
                      <w:szCs w:val="21"/>
                      <w:lang w:eastAsia="zh-CN" w:bidi="ar"/>
                    </w:rPr>
                  </w:pPr>
                  <w:r>
                    <w:rPr>
                      <w:rFonts w:hint="eastAsia" w:ascii="仿宋" w:hAnsi="仿宋" w:eastAsia="仿宋" w:cs="仿宋"/>
                      <w:color w:val="000000"/>
                      <w:kern w:val="0"/>
                      <w:szCs w:val="21"/>
                      <w:lang w:bidi="ar"/>
                    </w:rPr>
                    <w:t>4、1组返回，1组监听耳机输出</w:t>
                  </w:r>
                </w:p>
                <w:p>
                  <w:pPr>
                    <w:widowControl/>
                    <w:jc w:val="left"/>
                    <w:textAlignment w:val="center"/>
                    <w:rPr>
                      <w:rFonts w:hint="eastAsia" w:ascii="仿宋" w:hAnsi="仿宋" w:eastAsia="仿宋" w:cs="仿宋"/>
                      <w:color w:val="000000"/>
                      <w:kern w:val="0"/>
                      <w:szCs w:val="21"/>
                      <w:lang w:eastAsia="zh-CN" w:bidi="ar"/>
                    </w:rPr>
                  </w:pPr>
                  <w:r>
                    <w:rPr>
                      <w:rFonts w:hint="eastAsia" w:ascii="仿宋" w:hAnsi="仿宋" w:eastAsia="仿宋" w:cs="仿宋"/>
                      <w:color w:val="000000"/>
                      <w:kern w:val="0"/>
                      <w:szCs w:val="21"/>
                      <w:lang w:bidi="ar"/>
                    </w:rPr>
                    <w:t>5、内置48V幻象电源供电；</w:t>
                  </w:r>
                </w:p>
                <w:p>
                  <w:pPr>
                    <w:widowControl/>
                    <w:jc w:val="left"/>
                    <w:textAlignment w:val="center"/>
                    <w:rPr>
                      <w:rFonts w:hint="eastAsia" w:ascii="仿宋" w:hAnsi="仿宋" w:eastAsia="仿宋" w:cs="仿宋"/>
                      <w:color w:val="000000"/>
                      <w:kern w:val="0"/>
                      <w:szCs w:val="21"/>
                      <w:lang w:eastAsia="zh-CN" w:bidi="ar"/>
                    </w:rPr>
                  </w:pPr>
                  <w:r>
                    <w:rPr>
                      <w:rFonts w:hint="eastAsia" w:ascii="仿宋" w:hAnsi="仿宋" w:eastAsia="仿宋" w:cs="仿宋"/>
                      <w:color w:val="000000"/>
                      <w:kern w:val="0"/>
                      <w:szCs w:val="21"/>
                      <w:lang w:bidi="ar"/>
                    </w:rPr>
                    <w:t>6、24种DSP数字效果器,</w:t>
                  </w:r>
                </w:p>
                <w:p>
                  <w:pPr>
                    <w:widowControl/>
                    <w:jc w:val="left"/>
                    <w:textAlignment w:val="center"/>
                    <w:rPr>
                      <w:rFonts w:hint="eastAsia" w:ascii="仿宋" w:hAnsi="仿宋" w:eastAsia="仿宋" w:cs="仿宋"/>
                      <w:color w:val="000000"/>
                      <w:kern w:val="0"/>
                      <w:szCs w:val="21"/>
                      <w:lang w:eastAsia="zh-CN" w:bidi="ar"/>
                    </w:rPr>
                  </w:pPr>
                  <w:r>
                    <w:rPr>
                      <w:rFonts w:hint="eastAsia" w:ascii="仿宋" w:hAnsi="仿宋" w:eastAsia="仿宋" w:cs="仿宋"/>
                      <w:color w:val="000000"/>
                      <w:kern w:val="0"/>
                      <w:szCs w:val="21"/>
                      <w:lang w:bidi="ar"/>
                    </w:rPr>
                    <w:t>7、内置USB音频播放MP3；</w:t>
                  </w:r>
                </w:p>
                <w:p>
                  <w:pPr>
                    <w:widowControl/>
                    <w:jc w:val="left"/>
                    <w:textAlignment w:val="center"/>
                    <w:rPr>
                      <w:rFonts w:hint="eastAsia" w:ascii="仿宋" w:hAnsi="仿宋" w:eastAsia="仿宋" w:cs="仿宋"/>
                      <w:color w:val="000000"/>
                      <w:kern w:val="0"/>
                      <w:szCs w:val="21"/>
                      <w:lang w:eastAsia="zh-CN" w:bidi="ar"/>
                    </w:rPr>
                  </w:pPr>
                  <w:r>
                    <w:rPr>
                      <w:rFonts w:hint="eastAsia" w:ascii="仿宋" w:hAnsi="仿宋" w:eastAsia="仿宋" w:cs="仿宋"/>
                      <w:color w:val="000000"/>
                      <w:kern w:val="0"/>
                      <w:szCs w:val="21"/>
                      <w:lang w:bidi="ar"/>
                    </w:rPr>
                    <w:t>8、USB录音、也可连电脑播放音乐</w:t>
                  </w:r>
                </w:p>
                <w:p>
                  <w:pPr>
                    <w:widowControl/>
                    <w:jc w:val="left"/>
                    <w:textAlignment w:val="center"/>
                    <w:rPr>
                      <w:rFonts w:hint="eastAsia" w:ascii="仿宋" w:hAnsi="仿宋" w:eastAsia="仿宋" w:cs="仿宋"/>
                      <w:color w:val="000000"/>
                      <w:kern w:val="0"/>
                      <w:szCs w:val="21"/>
                      <w:lang w:eastAsia="zh-CN" w:bidi="ar"/>
                    </w:rPr>
                  </w:pPr>
                  <w:r>
                    <w:rPr>
                      <w:rFonts w:hint="eastAsia" w:ascii="仿宋" w:hAnsi="仿宋" w:eastAsia="仿宋" w:cs="仿宋"/>
                      <w:color w:val="000000"/>
                      <w:kern w:val="0"/>
                      <w:szCs w:val="21"/>
                      <w:lang w:bidi="ar"/>
                    </w:rPr>
                    <w:t>9、内置蓝牙接收模块</w:t>
                  </w:r>
                </w:p>
                <w:p>
                  <w:pPr>
                    <w:widowControl/>
                    <w:jc w:val="left"/>
                    <w:textAlignment w:val="center"/>
                    <w:rPr>
                      <w:rFonts w:hint="eastAsia" w:ascii="仿宋" w:hAnsi="仿宋" w:eastAsia="仿宋" w:cs="仿宋"/>
                      <w:color w:val="000000"/>
                      <w:kern w:val="0"/>
                      <w:szCs w:val="21"/>
                      <w:lang w:eastAsia="zh-CN" w:bidi="ar"/>
                    </w:rPr>
                  </w:pPr>
                  <w:r>
                    <w:rPr>
                      <w:rFonts w:hint="eastAsia" w:ascii="仿宋" w:hAnsi="仿宋" w:eastAsia="仿宋" w:cs="仿宋"/>
                      <w:color w:val="000000"/>
                      <w:kern w:val="0"/>
                      <w:szCs w:val="21"/>
                      <w:lang w:bidi="ar"/>
                    </w:rPr>
                    <w:t>10、LED大显示屏清淅显示播放状态;</w:t>
                  </w:r>
                </w:p>
                <w:p>
                  <w:pPr>
                    <w:widowControl/>
                    <w:jc w:val="left"/>
                    <w:textAlignment w:val="center"/>
                    <w:rPr>
                      <w:rFonts w:hint="eastAsia" w:ascii="仿宋" w:hAnsi="仿宋" w:eastAsia="仿宋" w:cs="仿宋"/>
                      <w:color w:val="000000"/>
                      <w:kern w:val="0"/>
                      <w:szCs w:val="21"/>
                      <w:lang w:eastAsia="zh-CN" w:bidi="ar"/>
                    </w:rPr>
                  </w:pPr>
                  <w:r>
                    <w:rPr>
                      <w:rFonts w:hint="eastAsia" w:ascii="仿宋" w:hAnsi="仿宋" w:eastAsia="仿宋" w:cs="仿宋"/>
                      <w:color w:val="000000"/>
                      <w:kern w:val="0"/>
                      <w:szCs w:val="21"/>
                      <w:lang w:bidi="ar"/>
                    </w:rPr>
                    <w:t>11、十段三色电平灯显示信号状态</w:t>
                  </w:r>
                </w:p>
                <w:p>
                  <w:pPr>
                    <w:widowControl/>
                    <w:jc w:val="left"/>
                    <w:textAlignment w:val="center"/>
                    <w:rPr>
                      <w:rFonts w:hint="eastAsia" w:ascii="仿宋" w:hAnsi="仿宋" w:eastAsia="仿宋" w:cs="仿宋"/>
                      <w:color w:val="000000"/>
                      <w:kern w:val="0"/>
                      <w:szCs w:val="21"/>
                      <w:lang w:eastAsia="zh-CN" w:bidi="ar"/>
                    </w:rPr>
                  </w:pPr>
                  <w:r>
                    <w:rPr>
                      <w:rFonts w:hint="eastAsia" w:ascii="仿宋" w:hAnsi="仿宋" w:eastAsia="仿宋" w:cs="仿宋"/>
                      <w:color w:val="000000"/>
                      <w:kern w:val="0"/>
                      <w:szCs w:val="21"/>
                      <w:lang w:bidi="ar"/>
                    </w:rPr>
                    <w:t>12、XLR平衡输入话放噪声极低，超低噪音线路设计，动态余量大</w:t>
                  </w:r>
                </w:p>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13、适用全球供电电压功率30瓦；使用灵活。具有无噪声、瞬间反应好、电耗低的特性</w:t>
                  </w:r>
                </w:p>
              </w:tc>
            </w:tr>
            <w:tr>
              <w:tblPrEx>
                <w:tblCellMar>
                  <w:top w:w="0" w:type="dxa"/>
                  <w:left w:w="108" w:type="dxa"/>
                  <w:bottom w:w="0" w:type="dxa"/>
                  <w:right w:w="108" w:type="dxa"/>
                </w:tblCellMar>
              </w:tblPrEx>
              <w:trPr>
                <w:trHeight w:val="500" w:hRule="atLeast"/>
              </w:trPr>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无线麦克风套装1套</w:t>
                  </w:r>
                </w:p>
              </w:tc>
              <w:tc>
                <w:tcPr>
                  <w:tcW w:w="101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 w:hAnsi="仿宋" w:eastAsia="仿宋" w:cs="仿宋"/>
                      <w:color w:val="000000"/>
                      <w:kern w:val="0"/>
                      <w:szCs w:val="21"/>
                      <w:lang w:eastAsia="zh-CN" w:bidi="ar"/>
                    </w:rPr>
                  </w:pPr>
                  <w:r>
                    <w:rPr>
                      <w:rFonts w:hint="eastAsia" w:ascii="仿宋" w:hAnsi="仿宋" w:eastAsia="仿宋" w:cs="仿宋"/>
                      <w:color w:val="000000"/>
                      <w:kern w:val="0"/>
                      <w:szCs w:val="21"/>
                      <w:lang w:bidi="ar"/>
                    </w:rPr>
                    <w:t>时尚简约的外观设计，美观大方。</w:t>
                  </w:r>
                </w:p>
                <w:p>
                  <w:pPr>
                    <w:widowControl/>
                    <w:jc w:val="left"/>
                    <w:textAlignment w:val="center"/>
                    <w:rPr>
                      <w:rFonts w:hint="eastAsia" w:ascii="仿宋" w:hAnsi="仿宋" w:eastAsia="仿宋" w:cs="仿宋"/>
                      <w:color w:val="000000"/>
                      <w:kern w:val="0"/>
                      <w:szCs w:val="21"/>
                      <w:lang w:eastAsia="zh-CN" w:bidi="ar"/>
                    </w:rPr>
                  </w:pPr>
                  <w:r>
                    <w:rPr>
                      <w:rFonts w:hint="eastAsia" w:ascii="仿宋" w:hAnsi="仿宋" w:eastAsia="仿宋" w:cs="仿宋"/>
                      <w:color w:val="000000"/>
                      <w:kern w:val="0"/>
                      <w:szCs w:val="21"/>
                      <w:lang w:bidi="ar"/>
                    </w:rPr>
                    <w:t>采用PLL锁相环回路设计，拥有红外对频和无线对频功能。</w:t>
                  </w:r>
                </w:p>
                <w:p>
                  <w:pPr>
                    <w:widowControl/>
                    <w:jc w:val="left"/>
                    <w:textAlignment w:val="center"/>
                    <w:rPr>
                      <w:rFonts w:hint="eastAsia" w:ascii="仿宋" w:hAnsi="仿宋" w:eastAsia="仿宋" w:cs="仿宋"/>
                      <w:color w:val="000000"/>
                      <w:kern w:val="0"/>
                      <w:szCs w:val="21"/>
                      <w:lang w:eastAsia="zh-CN" w:bidi="ar"/>
                    </w:rPr>
                  </w:pPr>
                  <w:r>
                    <w:rPr>
                      <w:rFonts w:hint="eastAsia" w:ascii="仿宋" w:hAnsi="仿宋" w:eastAsia="仿宋" w:cs="仿宋"/>
                      <w:color w:val="000000"/>
                      <w:kern w:val="0"/>
                      <w:szCs w:val="21"/>
                      <w:lang w:bidi="ar"/>
                    </w:rPr>
                    <w:t>能自动搜索当前环境中的干扰信号，并在对频时主动避开干扰频率，选择理想通道。</w:t>
                  </w:r>
                </w:p>
                <w:p>
                  <w:pPr>
                    <w:widowControl/>
                    <w:jc w:val="left"/>
                    <w:textAlignment w:val="center"/>
                    <w:rPr>
                      <w:rFonts w:hint="eastAsia" w:ascii="仿宋" w:hAnsi="仿宋" w:eastAsia="仿宋" w:cs="仿宋"/>
                      <w:color w:val="000000"/>
                      <w:kern w:val="0"/>
                      <w:szCs w:val="21"/>
                      <w:lang w:eastAsia="zh-CN" w:bidi="ar"/>
                    </w:rPr>
                  </w:pPr>
                  <w:r>
                    <w:rPr>
                      <w:rFonts w:hint="eastAsia" w:ascii="仿宋" w:hAnsi="仿宋" w:eastAsia="仿宋" w:cs="仿宋"/>
                      <w:color w:val="000000"/>
                      <w:kern w:val="0"/>
                      <w:szCs w:val="21"/>
                      <w:lang w:bidi="ar"/>
                    </w:rPr>
                    <w:t>采用国际顶级高性能的音频处理芯片，超低失真声音处理电路设计。</w:t>
                  </w:r>
                </w:p>
                <w:p>
                  <w:pPr>
                    <w:widowControl/>
                    <w:jc w:val="left"/>
                    <w:textAlignment w:val="center"/>
                    <w:rPr>
                      <w:rFonts w:hint="eastAsia" w:ascii="仿宋" w:hAnsi="仿宋" w:eastAsia="仿宋" w:cs="仿宋"/>
                      <w:color w:val="000000"/>
                      <w:kern w:val="0"/>
                      <w:szCs w:val="21"/>
                      <w:lang w:eastAsia="zh-CN" w:bidi="ar"/>
                    </w:rPr>
                  </w:pPr>
                  <w:r>
                    <w:rPr>
                      <w:rFonts w:hint="eastAsia" w:ascii="仿宋" w:hAnsi="仿宋" w:eastAsia="仿宋" w:cs="仿宋"/>
                      <w:color w:val="000000"/>
                      <w:kern w:val="0"/>
                      <w:szCs w:val="21"/>
                      <w:lang w:bidi="ar"/>
                    </w:rPr>
                    <w:t>超高频动态压缩分流技术，将高低频自动分流加载，展现最佳性能。</w:t>
                  </w:r>
                </w:p>
                <w:p>
                  <w:pPr>
                    <w:widowControl/>
                    <w:jc w:val="left"/>
                    <w:textAlignment w:val="center"/>
                    <w:rPr>
                      <w:rFonts w:hint="eastAsia" w:ascii="仿宋" w:hAnsi="仿宋" w:eastAsia="仿宋" w:cs="仿宋"/>
                      <w:color w:val="000000"/>
                      <w:kern w:val="0"/>
                      <w:szCs w:val="21"/>
                      <w:lang w:eastAsia="zh-CN" w:bidi="ar"/>
                    </w:rPr>
                  </w:pPr>
                  <w:r>
                    <w:rPr>
                      <w:rFonts w:hint="eastAsia" w:ascii="仿宋" w:hAnsi="仿宋" w:eastAsia="仿宋" w:cs="仿宋"/>
                      <w:color w:val="000000"/>
                      <w:kern w:val="0"/>
                      <w:szCs w:val="21"/>
                      <w:lang w:bidi="ar"/>
                    </w:rPr>
                    <w:t>采用国际先进的数字导频技术，独立ID码设计，防止串频。</w:t>
                  </w:r>
                </w:p>
                <w:p>
                  <w:pPr>
                    <w:widowControl/>
                    <w:jc w:val="left"/>
                    <w:textAlignment w:val="center"/>
                    <w:rPr>
                      <w:rFonts w:hint="eastAsia" w:ascii="仿宋" w:hAnsi="仿宋" w:eastAsia="仿宋" w:cs="仿宋"/>
                      <w:color w:val="000000"/>
                      <w:kern w:val="0"/>
                      <w:szCs w:val="21"/>
                      <w:lang w:eastAsia="zh-CN" w:bidi="ar"/>
                    </w:rPr>
                  </w:pPr>
                  <w:r>
                    <w:rPr>
                      <w:rFonts w:hint="eastAsia" w:ascii="仿宋" w:hAnsi="仿宋" w:eastAsia="仿宋" w:cs="仿宋"/>
                      <w:color w:val="000000"/>
                      <w:kern w:val="0"/>
                      <w:szCs w:val="21"/>
                      <w:lang w:bidi="ar"/>
                    </w:rPr>
                    <w:t>简易安装操作。</w:t>
                  </w:r>
                </w:p>
                <w:p>
                  <w:pPr>
                    <w:widowControl/>
                    <w:jc w:val="left"/>
                    <w:textAlignment w:val="center"/>
                    <w:rPr>
                      <w:rFonts w:hint="eastAsia" w:ascii="仿宋" w:hAnsi="仿宋" w:eastAsia="仿宋" w:cs="仿宋"/>
                      <w:color w:val="000000"/>
                      <w:kern w:val="0"/>
                      <w:szCs w:val="21"/>
                      <w:lang w:eastAsia="zh-CN" w:bidi="ar"/>
                    </w:rPr>
                  </w:pPr>
                  <w:r>
                    <w:rPr>
                      <w:rFonts w:hint="eastAsia" w:ascii="仿宋" w:hAnsi="仿宋" w:eastAsia="仿宋" w:cs="仿宋"/>
                      <w:color w:val="000000"/>
                      <w:kern w:val="0"/>
                      <w:szCs w:val="21"/>
                      <w:lang w:bidi="ar"/>
                    </w:rPr>
                    <w:t>性能规格：</w:t>
                  </w:r>
                </w:p>
                <w:p>
                  <w:pPr>
                    <w:widowControl/>
                    <w:jc w:val="left"/>
                    <w:textAlignment w:val="center"/>
                    <w:rPr>
                      <w:rFonts w:hint="eastAsia" w:ascii="仿宋" w:hAnsi="仿宋" w:eastAsia="仿宋" w:cs="仿宋"/>
                      <w:color w:val="000000"/>
                      <w:kern w:val="0"/>
                      <w:szCs w:val="21"/>
                      <w:lang w:eastAsia="zh-CN" w:bidi="ar"/>
                    </w:rPr>
                  </w:pPr>
                  <w:r>
                    <w:rPr>
                      <w:rFonts w:hint="eastAsia" w:ascii="仿宋" w:hAnsi="仿宋" w:eastAsia="仿宋" w:cs="仿宋"/>
                      <w:color w:val="000000"/>
                      <w:kern w:val="0"/>
                      <w:szCs w:val="21"/>
                      <w:lang w:bidi="ar"/>
                    </w:rPr>
                    <w:t>有效接收距离 室内＞30m</w:t>
                  </w:r>
                </w:p>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接收灵敏度 -90dBm@2Mbps/Ber=1/1000dBm</w:t>
                  </w:r>
                </w:p>
              </w:tc>
            </w:tr>
            <w:tr>
              <w:tblPrEx>
                <w:tblCellMar>
                  <w:top w:w="0" w:type="dxa"/>
                  <w:left w:w="108" w:type="dxa"/>
                  <w:bottom w:w="0" w:type="dxa"/>
                  <w:right w:w="108" w:type="dxa"/>
                </w:tblCellMar>
              </w:tblPrEx>
              <w:trPr>
                <w:trHeight w:val="500" w:hRule="atLeast"/>
              </w:trPr>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全向麦克风（隐藏式）1台</w:t>
                  </w:r>
                </w:p>
              </w:tc>
              <w:tc>
                <w:tcPr>
                  <w:tcW w:w="101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 w:hAnsi="仿宋" w:eastAsia="仿宋" w:cs="仿宋"/>
                      <w:color w:val="000000"/>
                      <w:kern w:val="0"/>
                      <w:szCs w:val="21"/>
                      <w:lang w:eastAsia="zh-CN" w:bidi="ar"/>
                    </w:rPr>
                  </w:pPr>
                  <w:r>
                    <w:rPr>
                      <w:rFonts w:hint="eastAsia" w:ascii="仿宋" w:hAnsi="仿宋" w:eastAsia="仿宋" w:cs="仿宋"/>
                      <w:color w:val="000000"/>
                      <w:kern w:val="0"/>
                      <w:szCs w:val="21"/>
                      <w:lang w:bidi="ar"/>
                    </w:rPr>
                    <w:t>1. 单体:背极式驻极体；</w:t>
                  </w:r>
                </w:p>
                <w:p>
                  <w:pPr>
                    <w:widowControl/>
                    <w:jc w:val="left"/>
                    <w:textAlignment w:val="center"/>
                    <w:rPr>
                      <w:rFonts w:hint="eastAsia" w:ascii="仿宋" w:hAnsi="仿宋" w:eastAsia="仿宋" w:cs="仿宋"/>
                      <w:color w:val="000000"/>
                      <w:kern w:val="0"/>
                      <w:szCs w:val="21"/>
                      <w:lang w:eastAsia="zh-CN" w:bidi="ar"/>
                    </w:rPr>
                  </w:pPr>
                  <w:r>
                    <w:rPr>
                      <w:rFonts w:hint="eastAsia" w:ascii="仿宋" w:hAnsi="仿宋" w:eastAsia="仿宋" w:cs="仿宋"/>
                      <w:color w:val="000000"/>
                      <w:kern w:val="0"/>
                      <w:szCs w:val="21"/>
                      <w:lang w:bidi="ar"/>
                    </w:rPr>
                    <w:t>2. 指向性:全指向；</w:t>
                  </w:r>
                </w:p>
                <w:p>
                  <w:pPr>
                    <w:widowControl/>
                    <w:jc w:val="left"/>
                    <w:textAlignment w:val="center"/>
                    <w:rPr>
                      <w:rFonts w:hint="eastAsia" w:ascii="仿宋" w:hAnsi="仿宋" w:eastAsia="仿宋" w:cs="仿宋"/>
                      <w:color w:val="000000"/>
                      <w:kern w:val="0"/>
                      <w:szCs w:val="21"/>
                      <w:lang w:eastAsia="zh-CN" w:bidi="ar"/>
                    </w:rPr>
                  </w:pPr>
                  <w:r>
                    <w:rPr>
                      <w:rFonts w:hint="eastAsia" w:ascii="仿宋" w:hAnsi="仿宋" w:eastAsia="仿宋" w:cs="仿宋"/>
                      <w:color w:val="000000"/>
                      <w:kern w:val="0"/>
                      <w:szCs w:val="21"/>
                      <w:lang w:bidi="ar"/>
                    </w:rPr>
                    <w:t>3. 频率响应:50Hz-16kHz；</w:t>
                  </w:r>
                </w:p>
                <w:p>
                  <w:pPr>
                    <w:widowControl/>
                    <w:jc w:val="left"/>
                    <w:textAlignment w:val="center"/>
                    <w:rPr>
                      <w:rFonts w:hint="eastAsia" w:ascii="仿宋" w:hAnsi="仿宋" w:eastAsia="仿宋" w:cs="仿宋"/>
                      <w:color w:val="000000"/>
                      <w:kern w:val="0"/>
                      <w:szCs w:val="21"/>
                      <w:lang w:eastAsia="zh-CN" w:bidi="ar"/>
                    </w:rPr>
                  </w:pPr>
                  <w:r>
                    <w:rPr>
                      <w:rFonts w:hint="eastAsia" w:ascii="仿宋" w:hAnsi="仿宋" w:eastAsia="仿宋" w:cs="仿宋"/>
                      <w:color w:val="000000"/>
                      <w:kern w:val="0"/>
                      <w:szCs w:val="21"/>
                      <w:lang w:bidi="ar"/>
                    </w:rPr>
                    <w:t>4. 灵敏度:-38dB±3dB(0dB=1V/Pa at 1kHz)；</w:t>
                  </w:r>
                </w:p>
                <w:p>
                  <w:pPr>
                    <w:widowControl/>
                    <w:jc w:val="left"/>
                    <w:textAlignment w:val="center"/>
                    <w:rPr>
                      <w:rFonts w:hint="eastAsia" w:ascii="仿宋" w:hAnsi="仿宋" w:eastAsia="仿宋" w:cs="仿宋"/>
                      <w:color w:val="000000"/>
                      <w:kern w:val="0"/>
                      <w:szCs w:val="21"/>
                      <w:lang w:eastAsia="zh-CN" w:bidi="ar"/>
                    </w:rPr>
                  </w:pPr>
                  <w:r>
                    <w:rPr>
                      <w:rFonts w:hint="eastAsia" w:ascii="仿宋" w:hAnsi="仿宋" w:eastAsia="仿宋" w:cs="仿宋"/>
                      <w:color w:val="000000"/>
                      <w:kern w:val="0"/>
                      <w:szCs w:val="21"/>
                      <w:lang w:bidi="ar"/>
                    </w:rPr>
                    <w:t>5. 输出阻抗:200Ω±30% (at 1kHz)；</w:t>
                  </w:r>
                </w:p>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6. 使用电压：9-52V</w:t>
                  </w:r>
                </w:p>
              </w:tc>
            </w:tr>
            <w:tr>
              <w:tblPrEx>
                <w:tblCellMar>
                  <w:top w:w="0" w:type="dxa"/>
                  <w:left w:w="108" w:type="dxa"/>
                  <w:bottom w:w="0" w:type="dxa"/>
                  <w:right w:w="108" w:type="dxa"/>
                </w:tblCellMar>
              </w:tblPrEx>
              <w:trPr>
                <w:trHeight w:val="500" w:hRule="atLeast"/>
              </w:trPr>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吊装麦克风（含支架）1台</w:t>
                  </w:r>
                </w:p>
              </w:tc>
              <w:tc>
                <w:tcPr>
                  <w:tcW w:w="101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 w:hAnsi="仿宋" w:eastAsia="仿宋" w:cs="仿宋"/>
                      <w:color w:val="000000"/>
                      <w:kern w:val="0"/>
                      <w:szCs w:val="21"/>
                      <w:lang w:eastAsia="zh-CN" w:bidi="ar"/>
                    </w:rPr>
                  </w:pPr>
                  <w:r>
                    <w:rPr>
                      <w:rFonts w:hint="eastAsia" w:ascii="仿宋" w:hAnsi="仿宋" w:eastAsia="仿宋" w:cs="仿宋"/>
                      <w:color w:val="000000"/>
                      <w:kern w:val="0"/>
                      <w:szCs w:val="21"/>
                      <w:lang w:bidi="ar"/>
                    </w:rPr>
                    <w:t>1. 单体:  静电型电容音头；</w:t>
                  </w:r>
                </w:p>
                <w:p>
                  <w:pPr>
                    <w:widowControl/>
                    <w:jc w:val="left"/>
                    <w:textAlignment w:val="center"/>
                    <w:rPr>
                      <w:rFonts w:hint="eastAsia" w:ascii="仿宋" w:hAnsi="仿宋" w:eastAsia="仿宋" w:cs="仿宋"/>
                      <w:color w:val="000000"/>
                      <w:kern w:val="0"/>
                      <w:szCs w:val="21"/>
                      <w:lang w:eastAsia="zh-CN" w:bidi="ar"/>
                    </w:rPr>
                  </w:pPr>
                  <w:r>
                    <w:rPr>
                      <w:rFonts w:hint="eastAsia" w:ascii="仿宋" w:hAnsi="仿宋" w:eastAsia="仿宋" w:cs="仿宋"/>
                      <w:color w:val="000000"/>
                      <w:kern w:val="0"/>
                      <w:szCs w:val="21"/>
                      <w:lang w:bidi="ar"/>
                    </w:rPr>
                    <w:t>2. 指向性:  心型/超心型；</w:t>
                  </w:r>
                </w:p>
                <w:p>
                  <w:pPr>
                    <w:widowControl/>
                    <w:jc w:val="left"/>
                    <w:textAlignment w:val="center"/>
                    <w:rPr>
                      <w:rFonts w:hint="eastAsia" w:ascii="仿宋" w:hAnsi="仿宋" w:eastAsia="仿宋" w:cs="仿宋"/>
                      <w:color w:val="000000"/>
                      <w:kern w:val="0"/>
                      <w:szCs w:val="21"/>
                      <w:lang w:eastAsia="zh-CN" w:bidi="ar"/>
                    </w:rPr>
                  </w:pPr>
                  <w:r>
                    <w:rPr>
                      <w:rFonts w:hint="eastAsia" w:ascii="仿宋" w:hAnsi="仿宋" w:eastAsia="仿宋" w:cs="仿宋"/>
                      <w:color w:val="000000"/>
                      <w:kern w:val="0"/>
                      <w:szCs w:val="21"/>
                      <w:lang w:bidi="ar"/>
                    </w:rPr>
                    <w:t>3. 频率响应:  50Hz-16kHz/80Hz-14kHz；</w:t>
                  </w:r>
                </w:p>
                <w:p>
                  <w:pPr>
                    <w:widowControl/>
                    <w:jc w:val="left"/>
                    <w:textAlignment w:val="center"/>
                    <w:rPr>
                      <w:rFonts w:hint="eastAsia" w:ascii="仿宋" w:hAnsi="仿宋" w:eastAsia="仿宋" w:cs="仿宋"/>
                      <w:color w:val="000000"/>
                      <w:kern w:val="0"/>
                      <w:szCs w:val="21"/>
                      <w:lang w:eastAsia="zh-CN" w:bidi="ar"/>
                    </w:rPr>
                  </w:pPr>
                  <w:r>
                    <w:rPr>
                      <w:rFonts w:hint="eastAsia" w:ascii="仿宋" w:hAnsi="仿宋" w:eastAsia="仿宋" w:cs="仿宋"/>
                      <w:color w:val="000000"/>
                      <w:kern w:val="0"/>
                      <w:szCs w:val="21"/>
                      <w:lang w:bidi="ar"/>
                    </w:rPr>
                    <w:t>4. 灵敏度:  -45dB±2dB/-30dB±2dB ；</w:t>
                  </w:r>
                </w:p>
                <w:p>
                  <w:pPr>
                    <w:widowControl/>
                    <w:jc w:val="left"/>
                    <w:textAlignment w:val="center"/>
                    <w:rPr>
                      <w:rFonts w:hint="eastAsia" w:ascii="仿宋" w:hAnsi="仿宋" w:eastAsia="仿宋" w:cs="仿宋"/>
                      <w:color w:val="000000"/>
                      <w:kern w:val="0"/>
                      <w:szCs w:val="21"/>
                      <w:lang w:eastAsia="zh-CN" w:bidi="ar"/>
                    </w:rPr>
                  </w:pPr>
                  <w:r>
                    <w:rPr>
                      <w:rFonts w:hint="eastAsia" w:ascii="仿宋" w:hAnsi="仿宋" w:eastAsia="仿宋" w:cs="仿宋"/>
                      <w:color w:val="000000"/>
                      <w:kern w:val="0"/>
                      <w:szCs w:val="21"/>
                      <w:lang w:bidi="ar"/>
                    </w:rPr>
                    <w:t>5. 输出阻抗:  500Ω/1600Ω±30% (at 1kHz)；</w:t>
                  </w:r>
                </w:p>
                <w:p>
                  <w:pPr>
                    <w:widowControl/>
                    <w:jc w:val="left"/>
                    <w:textAlignment w:val="center"/>
                    <w:rPr>
                      <w:rFonts w:hint="eastAsia" w:ascii="仿宋" w:hAnsi="仿宋" w:eastAsia="仿宋" w:cs="仿宋"/>
                      <w:color w:val="000000"/>
                      <w:kern w:val="0"/>
                      <w:szCs w:val="21"/>
                      <w:lang w:eastAsia="zh-CN" w:bidi="ar"/>
                    </w:rPr>
                  </w:pPr>
                  <w:r>
                    <w:rPr>
                      <w:rFonts w:hint="eastAsia" w:ascii="仿宋" w:hAnsi="仿宋" w:eastAsia="仿宋" w:cs="仿宋"/>
                      <w:color w:val="000000"/>
                      <w:kern w:val="0"/>
                      <w:szCs w:val="21"/>
                      <w:lang w:bidi="ar"/>
                    </w:rPr>
                    <w:t>6. 负载阻抗：≥1000Ω；</w:t>
                  </w:r>
                </w:p>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 xml:space="preserve">6. 使用电压： 1.5V AA电池或9-52V </w:t>
                  </w:r>
                </w:p>
              </w:tc>
            </w:tr>
          </w:tbl>
          <w:p>
            <w:pPr>
              <w:rPr>
                <w:rFonts w:ascii="仿宋" w:hAnsi="仿宋" w:eastAsia="仿宋" w:cs="仿宋"/>
                <w:szCs w:val="21"/>
              </w:rPr>
            </w:pPr>
          </w:p>
        </w:tc>
        <w:tc>
          <w:tcPr>
            <w:tcW w:w="566" w:type="dxa"/>
            <w:vAlign w:val="center"/>
          </w:tcPr>
          <w:p>
            <w:pP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7" w:type="dxa"/>
            <w:vAlign w:val="center"/>
          </w:tcPr>
          <w:p>
            <w:pPr>
              <w:pStyle w:val="20"/>
              <w:rPr>
                <w:rFonts w:ascii="仿宋" w:hAnsi="仿宋" w:eastAsia="仿宋" w:cs="仿宋"/>
              </w:rPr>
            </w:pPr>
            <w:r>
              <w:rPr>
                <w:rFonts w:hint="eastAsia" w:ascii="仿宋" w:hAnsi="仿宋" w:eastAsia="仿宋" w:cs="仿宋"/>
              </w:rPr>
              <w:t>4</w:t>
            </w:r>
          </w:p>
        </w:tc>
        <w:tc>
          <w:tcPr>
            <w:tcW w:w="1274" w:type="dxa"/>
            <w:vAlign w:val="center"/>
          </w:tcPr>
          <w:p>
            <w:pPr>
              <w:pStyle w:val="20"/>
              <w:rPr>
                <w:rFonts w:ascii="仿宋" w:hAnsi="仿宋" w:eastAsia="仿宋" w:cs="仿宋"/>
              </w:rPr>
            </w:pPr>
            <w:r>
              <w:rPr>
                <w:rFonts w:hint="eastAsia" w:ascii="仿宋" w:hAnsi="仿宋" w:eastAsia="仿宋" w:cs="仿宋"/>
              </w:rPr>
              <w:t>网络机柜</w:t>
            </w:r>
          </w:p>
        </w:tc>
        <w:tc>
          <w:tcPr>
            <w:tcW w:w="11454" w:type="dxa"/>
            <w:vAlign w:val="center"/>
          </w:tcPr>
          <w:p>
            <w:pPr>
              <w:rPr>
                <w:rFonts w:ascii="仿宋" w:hAnsi="仿宋" w:eastAsia="仿宋" w:cs="仿宋"/>
                <w:szCs w:val="21"/>
              </w:rPr>
            </w:pPr>
            <w:r>
              <w:rPr>
                <w:rFonts w:hint="eastAsia" w:ascii="仿宋" w:hAnsi="仿宋" w:eastAsia="仿宋" w:cs="仿宋"/>
                <w:szCs w:val="21"/>
              </w:rPr>
              <w:t>12U 壁挂网络机柜，额定容量，600 瓦数 / 1000 VA</w:t>
            </w:r>
          </w:p>
        </w:tc>
        <w:tc>
          <w:tcPr>
            <w:tcW w:w="566" w:type="dxa"/>
            <w:vAlign w:val="center"/>
          </w:tcPr>
          <w:p>
            <w:pP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647" w:type="dxa"/>
            <w:vAlign w:val="center"/>
          </w:tcPr>
          <w:p>
            <w:pPr>
              <w:pStyle w:val="20"/>
              <w:rPr>
                <w:rFonts w:ascii="仿宋" w:hAnsi="仿宋" w:eastAsia="仿宋" w:cs="仿宋"/>
              </w:rPr>
            </w:pPr>
            <w:r>
              <w:rPr>
                <w:rFonts w:hint="eastAsia" w:ascii="仿宋" w:hAnsi="仿宋" w:eastAsia="仿宋" w:cs="仿宋"/>
              </w:rPr>
              <w:t>5</w:t>
            </w:r>
          </w:p>
        </w:tc>
        <w:tc>
          <w:tcPr>
            <w:tcW w:w="1274" w:type="dxa"/>
            <w:vAlign w:val="center"/>
          </w:tcPr>
          <w:p>
            <w:pPr>
              <w:pStyle w:val="20"/>
              <w:rPr>
                <w:rFonts w:ascii="仿宋" w:hAnsi="仿宋" w:eastAsia="仿宋" w:cs="仿宋"/>
              </w:rPr>
            </w:pPr>
            <w:r>
              <w:rPr>
                <w:rFonts w:hint="eastAsia" w:ascii="仿宋" w:hAnsi="仿宋" w:eastAsia="仿宋" w:cs="仿宋"/>
              </w:rPr>
              <w:t>学生六角桌</w:t>
            </w:r>
          </w:p>
        </w:tc>
        <w:tc>
          <w:tcPr>
            <w:tcW w:w="11454" w:type="dxa"/>
            <w:vAlign w:val="center"/>
          </w:tcPr>
          <w:p>
            <w:pPr>
              <w:rPr>
                <w:rFonts w:ascii="仿宋" w:hAnsi="仿宋" w:eastAsia="仿宋" w:cs="仿宋"/>
                <w:szCs w:val="21"/>
              </w:rPr>
            </w:pPr>
            <w:r>
              <w:rPr>
                <w:rFonts w:hint="eastAsia" w:ascii="仿宋" w:hAnsi="仿宋" w:eastAsia="仿宋" w:cs="仿宋"/>
                <w:szCs w:val="21"/>
              </w:rPr>
              <w:t>尺寸：直径1400mm*边长700mm*高度750mm台面：采用大于12mm厚度教学专用实心理化板桌面，板材防水防火防腐蚀耐酸碱，防静电为教学最好材质，边缘加厚</w:t>
            </w:r>
            <w:r>
              <w:rPr>
                <w:rFonts w:hint="eastAsia" w:ascii="仿宋" w:hAnsi="仿宋" w:eastAsia="仿宋" w:cs="仿宋"/>
                <w:color w:val="000000"/>
                <w:kern w:val="0"/>
                <w:szCs w:val="21"/>
                <w:lang w:bidi="ar"/>
              </w:rPr>
              <w:t>≥</w:t>
            </w:r>
            <w:r>
              <w:rPr>
                <w:rFonts w:hint="eastAsia" w:ascii="仿宋" w:hAnsi="仿宋" w:eastAsia="仿宋" w:cs="仿宋"/>
                <w:szCs w:val="21"/>
              </w:rPr>
              <w:t>25mm；桌身板：镀锌优质铁皮折弯工艺而成，框架：优质全钢框架厚度方管，经过酸洗磷化、静电喷塑、高温处理等工序而成。配件：1、脚垫连接件采用新原料颗粒注塑一次性射出而成，2、桌面带岛台电源盒，满足科学实验通电需求，链接螺丝链接，符合院校教室招标采购参数要求  圆凳:24把，皮革，高密度海绵，三级液压升降杆，不锈钢脚架</w:t>
            </w:r>
          </w:p>
        </w:tc>
        <w:tc>
          <w:tcPr>
            <w:tcW w:w="566" w:type="dxa"/>
            <w:vAlign w:val="center"/>
          </w:tcPr>
          <w:p>
            <w:pP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647" w:type="dxa"/>
            <w:vAlign w:val="center"/>
          </w:tcPr>
          <w:p>
            <w:pPr>
              <w:pStyle w:val="20"/>
              <w:rPr>
                <w:rFonts w:ascii="仿宋" w:hAnsi="仿宋" w:eastAsia="仿宋" w:cs="仿宋"/>
              </w:rPr>
            </w:pPr>
            <w:r>
              <w:rPr>
                <w:rFonts w:hint="eastAsia" w:ascii="仿宋" w:hAnsi="仿宋" w:eastAsia="仿宋" w:cs="仿宋"/>
              </w:rPr>
              <w:t>6</w:t>
            </w:r>
          </w:p>
        </w:tc>
        <w:tc>
          <w:tcPr>
            <w:tcW w:w="1274" w:type="dxa"/>
            <w:vAlign w:val="center"/>
          </w:tcPr>
          <w:p>
            <w:pPr>
              <w:pStyle w:val="20"/>
              <w:rPr>
                <w:rFonts w:ascii="仿宋" w:hAnsi="仿宋" w:eastAsia="仿宋" w:cs="仿宋"/>
              </w:rPr>
            </w:pPr>
            <w:r>
              <w:rPr>
                <w:rFonts w:hint="eastAsia" w:ascii="仿宋" w:hAnsi="仿宋" w:eastAsia="仿宋" w:cs="仿宋"/>
              </w:rPr>
              <w:t>28寸裸眼3D系统</w:t>
            </w:r>
          </w:p>
        </w:tc>
        <w:tc>
          <w:tcPr>
            <w:tcW w:w="11454" w:type="dxa"/>
            <w:vAlign w:val="center"/>
          </w:tcPr>
          <w:p>
            <w:pPr>
              <w:rPr>
                <w:rFonts w:ascii="仿宋" w:hAnsi="仿宋" w:eastAsia="仿宋" w:cs="仿宋"/>
                <w:szCs w:val="21"/>
              </w:rPr>
            </w:pPr>
            <w:r>
              <w:rPr>
                <w:rFonts w:hint="eastAsia" w:ascii="仿宋" w:hAnsi="仿宋" w:eastAsia="仿宋" w:cs="仿宋"/>
                <w:szCs w:val="21"/>
              </w:rPr>
              <w:t>显示屏参数</w:t>
            </w:r>
          </w:p>
          <w:p>
            <w:pPr>
              <w:rPr>
                <w:rFonts w:ascii="仿宋" w:hAnsi="仿宋" w:eastAsia="仿宋" w:cs="仿宋"/>
                <w:szCs w:val="21"/>
              </w:rPr>
            </w:pPr>
            <w:r>
              <w:rPr>
                <w:rFonts w:hint="eastAsia" w:ascii="仿宋" w:hAnsi="仿宋" w:eastAsia="仿宋" w:cs="仿宋"/>
                <w:szCs w:val="21"/>
              </w:rPr>
              <w:t>1、有效画面尺寸（mm）:648.9（H）*369.3（V）</w:t>
            </w:r>
          </w:p>
          <w:p>
            <w:pPr>
              <w:rPr>
                <w:rFonts w:ascii="仿宋" w:hAnsi="仿宋" w:eastAsia="仿宋" w:cs="仿宋"/>
                <w:szCs w:val="21"/>
              </w:rPr>
            </w:pPr>
            <w:r>
              <w:rPr>
                <w:rFonts w:hint="eastAsia" w:ascii="仿宋" w:hAnsi="仿宋" w:eastAsia="仿宋" w:cs="仿宋"/>
                <w:szCs w:val="21"/>
              </w:rPr>
              <w:t>2、屏幕分辨率:3840 * 2160</w:t>
            </w:r>
          </w:p>
          <w:p>
            <w:pPr>
              <w:rPr>
                <w:rFonts w:ascii="仿宋" w:hAnsi="仿宋" w:eastAsia="仿宋" w:cs="仿宋"/>
                <w:szCs w:val="21"/>
              </w:rPr>
            </w:pPr>
            <w:r>
              <w:rPr>
                <w:rFonts w:hint="eastAsia" w:ascii="仿宋" w:hAnsi="仿宋" w:eastAsia="仿宋" w:cs="仿宋"/>
                <w:szCs w:val="21"/>
              </w:rPr>
              <w:t>裸眼3D参数</w:t>
            </w:r>
          </w:p>
          <w:p>
            <w:pPr>
              <w:rPr>
                <w:rFonts w:ascii="仿宋" w:hAnsi="仿宋" w:eastAsia="仿宋" w:cs="仿宋"/>
                <w:szCs w:val="21"/>
              </w:rPr>
            </w:pPr>
            <w:r>
              <w:rPr>
                <w:rFonts w:hint="eastAsia" w:ascii="仿宋" w:hAnsi="仿宋" w:eastAsia="仿宋" w:cs="仿宋"/>
                <w:szCs w:val="21"/>
              </w:rPr>
              <w:t>1、3D观看范围：支持观看距离0.6米～1.3米，支持水平角度</w:t>
            </w:r>
            <w:r>
              <w:rPr>
                <w:rFonts w:hint="eastAsia" w:ascii="仿宋" w:hAnsi="仿宋" w:eastAsia="仿宋" w:cs="仿宋"/>
                <w:color w:val="000000"/>
                <w:kern w:val="0"/>
                <w:szCs w:val="21"/>
                <w:lang w:bidi="ar"/>
              </w:rPr>
              <w:t>≥</w:t>
            </w:r>
            <w:r>
              <w:rPr>
                <w:rFonts w:hint="eastAsia" w:ascii="仿宋" w:hAnsi="仿宋" w:eastAsia="仿宋" w:cs="仿宋"/>
                <w:szCs w:val="21"/>
              </w:rPr>
              <w:t>42°；</w:t>
            </w:r>
          </w:p>
          <w:p>
            <w:pPr>
              <w:rPr>
                <w:rFonts w:ascii="仿宋" w:hAnsi="仿宋" w:eastAsia="仿宋" w:cs="仿宋"/>
                <w:szCs w:val="21"/>
              </w:rPr>
            </w:pPr>
            <w:r>
              <w:rPr>
                <w:rFonts w:hint="eastAsia" w:ascii="仿宋" w:hAnsi="仿宋" w:eastAsia="仿宋" w:cs="仿宋"/>
                <w:szCs w:val="21"/>
              </w:rPr>
              <w:t>2、智能2D/3D切换：支持智能2D/3D切换，偏离观看距离切换2D，有人观看自动切换3D，无人观看切换2D；</w:t>
            </w:r>
          </w:p>
          <w:p>
            <w:pPr>
              <w:rPr>
                <w:rFonts w:ascii="仿宋" w:hAnsi="仿宋" w:eastAsia="仿宋" w:cs="仿宋"/>
                <w:szCs w:val="21"/>
              </w:rPr>
            </w:pPr>
            <w:r>
              <w:rPr>
                <w:rFonts w:hint="eastAsia" w:ascii="仿宋" w:hAnsi="仿宋" w:eastAsia="仿宋" w:cs="仿宋"/>
                <w:szCs w:val="21"/>
              </w:rPr>
              <w:t>3、立体效果：采用AI人眼跟踪裸眼3D显示技术，跟踪范围内3D效果强烈逼真，无延时、无串扰、重影、抖动等问题；</w:t>
            </w:r>
          </w:p>
          <w:p>
            <w:pPr>
              <w:rPr>
                <w:rFonts w:ascii="仿宋" w:hAnsi="仿宋" w:eastAsia="仿宋" w:cs="仿宋"/>
                <w:szCs w:val="21"/>
              </w:rPr>
            </w:pPr>
            <w:r>
              <w:rPr>
                <w:rFonts w:hint="eastAsia" w:ascii="仿宋" w:hAnsi="仿宋" w:eastAsia="仿宋" w:cs="仿宋"/>
                <w:szCs w:val="21"/>
              </w:rPr>
              <w:t>4、跟踪方式：RGB图像结合深度图精准双目跟踪，内嵌英特尔实感摄像头，跟踪稳定性高，实时性好，跟踪识别反应时间短，领先的图像滤波算法，移动时跟踪快速准确，速度不超过5cm/s时图像抖动不可见。</w:t>
            </w:r>
          </w:p>
          <w:p>
            <w:pPr>
              <w:rPr>
                <w:rFonts w:ascii="仿宋" w:hAnsi="仿宋" w:eastAsia="仿宋" w:cs="仿宋"/>
                <w:szCs w:val="21"/>
              </w:rPr>
            </w:pPr>
            <w:r>
              <w:rPr>
                <w:rFonts w:hint="eastAsia" w:ascii="仿宋" w:hAnsi="仿宋" w:eastAsia="仿宋" w:cs="仿宋"/>
                <w:szCs w:val="21"/>
              </w:rPr>
              <w:t>5、3D处理：采用内置可编程逻辑阵列立体视像处理器，真实4K@60Hz处理，延时小于1/60秒</w:t>
            </w:r>
          </w:p>
          <w:p>
            <w:pPr>
              <w:rPr>
                <w:rFonts w:ascii="仿宋" w:hAnsi="仿宋" w:eastAsia="仿宋" w:cs="仿宋"/>
                <w:szCs w:val="21"/>
              </w:rPr>
            </w:pPr>
            <w:r>
              <w:rPr>
                <w:rFonts w:hint="eastAsia" w:ascii="仿宋" w:hAnsi="仿宋" w:eastAsia="仿宋" w:cs="仿宋"/>
                <w:szCs w:val="21"/>
              </w:rPr>
              <w:t>6、光栅技术：柱镜精密</w:t>
            </w:r>
          </w:p>
          <w:p>
            <w:pPr>
              <w:rPr>
                <w:rFonts w:ascii="仿宋" w:hAnsi="仿宋" w:eastAsia="仿宋" w:cs="仿宋"/>
                <w:szCs w:val="21"/>
              </w:rPr>
            </w:pPr>
            <w:r>
              <w:rPr>
                <w:rFonts w:hint="eastAsia" w:ascii="仿宋" w:hAnsi="仿宋" w:eastAsia="仿宋" w:cs="仿宋"/>
                <w:szCs w:val="21"/>
              </w:rPr>
              <w:t>光栅；</w:t>
            </w:r>
          </w:p>
          <w:p>
            <w:pPr>
              <w:rPr>
                <w:rFonts w:ascii="仿宋" w:hAnsi="仿宋" w:eastAsia="仿宋" w:cs="仿宋"/>
                <w:szCs w:val="21"/>
              </w:rPr>
            </w:pPr>
            <w:r>
              <w:rPr>
                <w:rFonts w:hint="eastAsia" w:ascii="仿宋" w:hAnsi="仿宋" w:eastAsia="仿宋" w:cs="仿宋"/>
                <w:szCs w:val="21"/>
              </w:rPr>
              <w:t>7、3D视频格式：支持左右3D</w:t>
            </w:r>
          </w:p>
          <w:p>
            <w:pPr>
              <w:rPr>
                <w:rFonts w:ascii="仿宋" w:hAnsi="仿宋" w:eastAsia="仿宋" w:cs="仿宋"/>
                <w:szCs w:val="21"/>
              </w:rPr>
            </w:pPr>
            <w:r>
              <w:rPr>
                <w:rFonts w:hint="eastAsia" w:ascii="仿宋" w:hAnsi="仿宋" w:eastAsia="仿宋" w:cs="仿宋"/>
                <w:szCs w:val="21"/>
              </w:rPr>
              <w:t>8、2D视频格式：支持通用2D视频格式</w:t>
            </w:r>
          </w:p>
          <w:p>
            <w:pPr>
              <w:rPr>
                <w:rFonts w:ascii="仿宋" w:hAnsi="仿宋" w:eastAsia="仿宋" w:cs="仿宋"/>
                <w:szCs w:val="21"/>
              </w:rPr>
            </w:pPr>
            <w:r>
              <w:rPr>
                <w:rFonts w:hint="eastAsia" w:ascii="仿宋" w:hAnsi="仿宋" w:eastAsia="仿宋" w:cs="仿宋"/>
                <w:szCs w:val="21"/>
              </w:rPr>
              <w:t>9、支持鼠标键盘、手柄、红外光笔等多种交互方式</w:t>
            </w:r>
          </w:p>
          <w:p>
            <w:pPr>
              <w:rPr>
                <w:rFonts w:ascii="仿宋" w:hAnsi="仿宋" w:eastAsia="仿宋" w:cs="仿宋"/>
                <w:szCs w:val="21"/>
              </w:rPr>
            </w:pPr>
            <w:r>
              <w:rPr>
                <w:rFonts w:hint="eastAsia" w:ascii="仿宋" w:hAnsi="仿宋" w:eastAsia="仿宋" w:cs="仿宋"/>
                <w:szCs w:val="21"/>
              </w:rPr>
              <w:t>10、支持4K@60Hz视频输入，4K@60Hz显示</w:t>
            </w:r>
          </w:p>
          <w:p>
            <w:pPr>
              <w:rPr>
                <w:rFonts w:ascii="仿宋" w:hAnsi="仿宋" w:eastAsia="仿宋" w:cs="仿宋"/>
                <w:szCs w:val="21"/>
              </w:rPr>
            </w:pPr>
            <w:r>
              <w:rPr>
                <w:rFonts w:hint="eastAsia" w:ascii="仿宋" w:hAnsi="仿宋" w:eastAsia="仿宋" w:cs="仿宋"/>
                <w:szCs w:val="21"/>
              </w:rPr>
              <w:t>11、支持与超多视点裸眼3D电视机大屏实现同步裸眼3D联动</w:t>
            </w:r>
          </w:p>
          <w:p>
            <w:pPr>
              <w:rPr>
                <w:rFonts w:ascii="仿宋" w:hAnsi="仿宋" w:eastAsia="仿宋" w:cs="仿宋"/>
                <w:szCs w:val="21"/>
              </w:rPr>
            </w:pPr>
            <w:r>
              <w:rPr>
                <w:rFonts w:hint="eastAsia" w:ascii="仿宋" w:hAnsi="仿宋" w:eastAsia="仿宋" w:cs="仿宋"/>
                <w:szCs w:val="21"/>
              </w:rPr>
              <w:t>12、采用Intel Realsense 3D摄像头</w:t>
            </w:r>
          </w:p>
          <w:p>
            <w:pPr>
              <w:rPr>
                <w:rFonts w:ascii="仿宋" w:hAnsi="仿宋" w:eastAsia="仿宋" w:cs="仿宋"/>
                <w:szCs w:val="21"/>
              </w:rPr>
            </w:pPr>
            <w:r>
              <w:rPr>
                <w:rFonts w:hint="eastAsia" w:ascii="仿宋" w:hAnsi="仿宋" w:eastAsia="仿宋" w:cs="仿宋"/>
                <w:szCs w:val="21"/>
              </w:rPr>
              <w:t>立体交互笔参数</w:t>
            </w:r>
          </w:p>
          <w:p>
            <w:pPr>
              <w:rPr>
                <w:rFonts w:ascii="仿宋" w:hAnsi="仿宋" w:eastAsia="仿宋" w:cs="仿宋"/>
                <w:szCs w:val="21"/>
              </w:rPr>
            </w:pPr>
            <w:r>
              <w:rPr>
                <w:rFonts w:hint="eastAsia" w:ascii="仿宋" w:hAnsi="仿宋" w:eastAsia="仿宋" w:cs="仿宋"/>
                <w:szCs w:val="21"/>
              </w:rPr>
              <w:t>1、空间自由度：6自由度。</w:t>
            </w:r>
          </w:p>
          <w:p>
            <w:pPr>
              <w:rPr>
                <w:rFonts w:ascii="仿宋" w:hAnsi="仿宋" w:eastAsia="仿宋" w:cs="仿宋"/>
                <w:szCs w:val="21"/>
              </w:rPr>
            </w:pPr>
            <w:r>
              <w:rPr>
                <w:rFonts w:hint="eastAsia" w:ascii="仿宋" w:hAnsi="仿宋" w:eastAsia="仿宋" w:cs="仿宋"/>
                <w:szCs w:val="21"/>
              </w:rPr>
              <w:t>2、空间精度：≤+/- 2mm</w:t>
            </w:r>
          </w:p>
          <w:p>
            <w:pPr>
              <w:rPr>
                <w:rFonts w:ascii="仿宋" w:hAnsi="仿宋" w:eastAsia="仿宋" w:cs="仿宋"/>
                <w:szCs w:val="21"/>
              </w:rPr>
            </w:pPr>
            <w:r>
              <w:rPr>
                <w:rFonts w:hint="eastAsia" w:ascii="仿宋" w:hAnsi="仿宋" w:eastAsia="仿宋" w:cs="仿宋"/>
                <w:szCs w:val="21"/>
              </w:rPr>
              <w:t>3、使用范围：宽度1000-2500mm，高度630-1800mm，深度250-1350mm</w:t>
            </w:r>
          </w:p>
          <w:p>
            <w:pPr>
              <w:rPr>
                <w:rFonts w:ascii="仿宋" w:hAnsi="仿宋" w:eastAsia="仿宋" w:cs="仿宋"/>
                <w:szCs w:val="21"/>
              </w:rPr>
            </w:pPr>
            <w:r>
              <w:rPr>
                <w:rFonts w:hint="eastAsia" w:ascii="仿宋" w:hAnsi="仿宋" w:eastAsia="仿宋" w:cs="仿宋"/>
                <w:szCs w:val="21"/>
              </w:rPr>
              <w:t>4、按键个数：</w:t>
            </w:r>
            <w:r>
              <w:rPr>
                <w:rFonts w:hint="eastAsia" w:ascii="仿宋" w:hAnsi="仿宋" w:eastAsia="仿宋" w:cs="仿宋"/>
                <w:color w:val="000000"/>
                <w:kern w:val="0"/>
                <w:szCs w:val="21"/>
                <w:lang w:bidi="ar"/>
              </w:rPr>
              <w:t>≥</w:t>
            </w:r>
            <w:r>
              <w:rPr>
                <w:rFonts w:hint="eastAsia" w:ascii="仿宋" w:hAnsi="仿宋" w:eastAsia="仿宋" w:cs="仿宋"/>
                <w:szCs w:val="21"/>
              </w:rPr>
              <w:t>3个</w:t>
            </w:r>
          </w:p>
          <w:p>
            <w:pPr>
              <w:rPr>
                <w:rFonts w:ascii="仿宋" w:hAnsi="仿宋" w:eastAsia="仿宋" w:cs="仿宋"/>
                <w:szCs w:val="21"/>
              </w:rPr>
            </w:pPr>
            <w:r>
              <w:rPr>
                <w:rFonts w:hint="eastAsia" w:ascii="仿宋" w:hAnsi="仿宋" w:eastAsia="仿宋" w:cs="仿宋"/>
                <w:szCs w:val="21"/>
              </w:rPr>
              <w:t>5、接口：USB2.0</w:t>
            </w:r>
          </w:p>
          <w:p>
            <w:pPr>
              <w:rPr>
                <w:rFonts w:ascii="仿宋" w:hAnsi="仿宋" w:eastAsia="仿宋" w:cs="仿宋"/>
                <w:szCs w:val="21"/>
              </w:rPr>
            </w:pPr>
            <w:r>
              <w:rPr>
                <w:rFonts w:hint="eastAsia" w:ascii="仿宋" w:hAnsi="仿宋" w:eastAsia="仿宋" w:cs="仿宋"/>
                <w:szCs w:val="21"/>
              </w:rPr>
              <w:t>6、红外摄像头：分辨率 1080P@30Hz</w:t>
            </w:r>
          </w:p>
        </w:tc>
        <w:tc>
          <w:tcPr>
            <w:tcW w:w="566" w:type="dxa"/>
            <w:vAlign w:val="center"/>
          </w:tcPr>
          <w:p>
            <w:pP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647" w:type="dxa"/>
            <w:vAlign w:val="center"/>
          </w:tcPr>
          <w:p>
            <w:pPr>
              <w:pStyle w:val="20"/>
              <w:rPr>
                <w:rFonts w:ascii="仿宋" w:hAnsi="仿宋" w:eastAsia="仿宋" w:cs="仿宋"/>
              </w:rPr>
            </w:pPr>
            <w:r>
              <w:rPr>
                <w:rFonts w:hint="eastAsia" w:ascii="仿宋" w:hAnsi="仿宋" w:eastAsia="仿宋" w:cs="仿宋"/>
              </w:rPr>
              <w:t>7</w:t>
            </w:r>
          </w:p>
        </w:tc>
        <w:tc>
          <w:tcPr>
            <w:tcW w:w="1274" w:type="dxa"/>
            <w:vAlign w:val="center"/>
          </w:tcPr>
          <w:p>
            <w:pPr>
              <w:pStyle w:val="20"/>
              <w:rPr>
                <w:rFonts w:ascii="仿宋" w:hAnsi="仿宋" w:eastAsia="仿宋" w:cs="仿宋"/>
              </w:rPr>
            </w:pPr>
            <w:r>
              <w:rPr>
                <w:rFonts w:hint="eastAsia" w:ascii="仿宋" w:hAnsi="仿宋" w:eastAsia="仿宋" w:cs="仿宋"/>
              </w:rPr>
              <w:t>学生云终端</w:t>
            </w:r>
          </w:p>
        </w:tc>
        <w:tc>
          <w:tcPr>
            <w:tcW w:w="11454" w:type="dxa"/>
            <w:vAlign w:val="center"/>
          </w:tcPr>
          <w:p>
            <w:pPr>
              <w:widowControl/>
              <w:jc w:val="left"/>
              <w:rPr>
                <w:rFonts w:ascii="仿宋" w:hAnsi="仿宋" w:eastAsia="仿宋" w:cs="仿宋"/>
                <w:color w:val="000000"/>
                <w:kern w:val="0"/>
                <w:szCs w:val="21"/>
              </w:rPr>
            </w:pPr>
            <w:r>
              <w:rPr>
                <w:rFonts w:hint="eastAsia" w:ascii="仿宋" w:hAnsi="仿宋" w:eastAsia="仿宋" w:cs="仿宋"/>
                <w:color w:val="000000"/>
                <w:kern w:val="0"/>
                <w:szCs w:val="21"/>
              </w:rPr>
              <w:t>英特尔® 赛扬® 处理器J1900，四核主频1.99GHz</w:t>
            </w:r>
          </w:p>
          <w:p>
            <w:pPr>
              <w:widowControl/>
              <w:jc w:val="left"/>
              <w:rPr>
                <w:rFonts w:ascii="仿宋" w:hAnsi="仿宋" w:eastAsia="仿宋" w:cs="仿宋"/>
                <w:color w:val="000000"/>
                <w:kern w:val="0"/>
                <w:szCs w:val="21"/>
              </w:rPr>
            </w:pPr>
            <w:r>
              <w:rPr>
                <w:rFonts w:hint="eastAsia" w:ascii="仿宋" w:hAnsi="仿宋" w:eastAsia="仿宋" w:cs="仿宋"/>
                <w:color w:val="000000"/>
                <w:kern w:val="0"/>
                <w:szCs w:val="21"/>
              </w:rPr>
              <w:t xml:space="preserve">显卡：Intel® HD Graphics </w:t>
            </w:r>
          </w:p>
          <w:p>
            <w:pPr>
              <w:widowControl/>
              <w:jc w:val="left"/>
              <w:rPr>
                <w:rFonts w:ascii="仿宋" w:hAnsi="仿宋" w:eastAsia="仿宋" w:cs="仿宋"/>
                <w:color w:val="000000"/>
                <w:kern w:val="0"/>
                <w:szCs w:val="21"/>
              </w:rPr>
            </w:pPr>
            <w:r>
              <w:rPr>
                <w:rFonts w:hint="eastAsia" w:ascii="仿宋" w:hAnsi="仿宋" w:eastAsia="仿宋" w:cs="仿宋"/>
                <w:color w:val="000000"/>
                <w:kern w:val="0"/>
                <w:szCs w:val="21"/>
              </w:rPr>
              <w:t xml:space="preserve">系统：linux/WIN7/WIN8，内存≥4GB,硬盘：≥64GB SSD               </w:t>
            </w:r>
          </w:p>
          <w:p>
            <w:pPr>
              <w:rPr>
                <w:rFonts w:ascii="仿宋" w:hAnsi="仿宋" w:eastAsia="仿宋" w:cs="仿宋"/>
                <w:szCs w:val="21"/>
              </w:rPr>
            </w:pPr>
            <w:r>
              <w:rPr>
                <w:rFonts w:hint="eastAsia" w:ascii="仿宋" w:hAnsi="仿宋" w:eastAsia="仿宋" w:cs="仿宋"/>
                <w:color w:val="000000"/>
                <w:kern w:val="0"/>
                <w:szCs w:val="21"/>
              </w:rPr>
              <w:t>含终端客户端软件*1</w:t>
            </w:r>
            <w:r>
              <w:rPr>
                <w:rFonts w:hint="eastAsia" w:ascii="仿宋" w:hAnsi="仿宋" w:eastAsia="仿宋" w:cs="仿宋"/>
                <w:szCs w:val="21"/>
              </w:rPr>
              <w:t xml:space="preserve">         </w:t>
            </w:r>
          </w:p>
          <w:p>
            <w:pPr>
              <w:widowControl/>
              <w:jc w:val="left"/>
              <w:rPr>
                <w:rFonts w:ascii="仿宋" w:hAnsi="仿宋" w:eastAsia="仿宋" w:cs="仿宋"/>
                <w:color w:val="000000"/>
                <w:kern w:val="0"/>
                <w:szCs w:val="21"/>
              </w:rPr>
            </w:pPr>
            <w:r>
              <w:rPr>
                <w:rFonts w:hint="eastAsia" w:ascii="仿宋" w:hAnsi="仿宋" w:eastAsia="仿宋" w:cs="仿宋"/>
                <w:color w:val="000000"/>
                <w:kern w:val="0"/>
                <w:szCs w:val="21"/>
              </w:rPr>
              <w:t xml:space="preserve">含终端客户端软件：                                                          </w:t>
            </w:r>
          </w:p>
          <w:p>
            <w:pPr>
              <w:widowControl/>
              <w:jc w:val="left"/>
              <w:rPr>
                <w:rFonts w:ascii="仿宋" w:hAnsi="仿宋" w:eastAsia="仿宋" w:cs="仿宋"/>
                <w:color w:val="000000"/>
                <w:kern w:val="0"/>
                <w:szCs w:val="21"/>
              </w:rPr>
            </w:pPr>
            <w:r>
              <w:rPr>
                <w:rFonts w:hint="eastAsia" w:ascii="仿宋" w:hAnsi="仿宋" w:eastAsia="仿宋" w:cs="仿宋"/>
                <w:color w:val="000000"/>
                <w:kern w:val="0"/>
                <w:szCs w:val="21"/>
              </w:rPr>
              <w:t>1.支持通过本地设置或管理平台统一开启、关闭系统联动策略，包括关闭云桌面同时关闭终端和关闭终端同时关闭云桌面。</w:t>
            </w:r>
          </w:p>
          <w:p>
            <w:pPr>
              <w:widowControl/>
              <w:jc w:val="left"/>
              <w:rPr>
                <w:rFonts w:ascii="仿宋" w:hAnsi="仿宋" w:eastAsia="仿宋" w:cs="仿宋"/>
                <w:color w:val="000000"/>
                <w:kern w:val="0"/>
                <w:szCs w:val="21"/>
              </w:rPr>
            </w:pPr>
            <w:r>
              <w:rPr>
                <w:rFonts w:hint="eastAsia" w:ascii="仿宋" w:hAnsi="仿宋" w:eastAsia="仿宋" w:cs="仿宋"/>
                <w:color w:val="000000"/>
                <w:kern w:val="0"/>
                <w:szCs w:val="21"/>
              </w:rPr>
              <w:t>2.▲支持终端日志提取功能，可从终端本地或管理平台进行提取，方便本地或远程运维，提供功能页面截图；并附CNAS（中国合格评定国家认可委员会）认可的第三方检测报告加盖原厂公章。</w:t>
            </w:r>
          </w:p>
          <w:p>
            <w:pPr>
              <w:widowControl/>
              <w:jc w:val="left"/>
              <w:rPr>
                <w:rFonts w:ascii="仿宋" w:hAnsi="仿宋" w:eastAsia="仿宋" w:cs="仿宋"/>
                <w:color w:val="000000"/>
                <w:kern w:val="0"/>
                <w:szCs w:val="21"/>
              </w:rPr>
            </w:pPr>
            <w:r>
              <w:rPr>
                <w:rFonts w:hint="eastAsia" w:ascii="仿宋" w:hAnsi="仿宋" w:eastAsia="仿宋" w:cs="仿宋"/>
                <w:color w:val="000000"/>
                <w:kern w:val="0"/>
                <w:szCs w:val="21"/>
              </w:rPr>
              <w:t>3.当云桌面断开连接或终端意外重启，云桌面恢复连接后，原有操作不变及数据不丢失。</w:t>
            </w:r>
          </w:p>
          <w:p>
            <w:pPr>
              <w:widowControl/>
              <w:jc w:val="left"/>
              <w:rPr>
                <w:rFonts w:ascii="仿宋" w:hAnsi="仿宋" w:eastAsia="仿宋" w:cs="仿宋"/>
                <w:color w:val="000000"/>
                <w:kern w:val="0"/>
                <w:szCs w:val="21"/>
              </w:rPr>
            </w:pPr>
            <w:r>
              <w:rPr>
                <w:rFonts w:hint="eastAsia" w:ascii="仿宋" w:hAnsi="仿宋" w:eastAsia="仿宋" w:cs="仿宋"/>
                <w:color w:val="000000"/>
                <w:kern w:val="0"/>
                <w:szCs w:val="21"/>
              </w:rPr>
              <w:t>4.支持在登录界面中显示使用者信息，方便用户对个人信息进行管理。</w:t>
            </w:r>
          </w:p>
          <w:p>
            <w:pPr>
              <w:widowControl/>
              <w:jc w:val="left"/>
              <w:rPr>
                <w:rFonts w:ascii="仿宋" w:hAnsi="仿宋" w:eastAsia="仿宋" w:cs="仿宋"/>
                <w:color w:val="000000"/>
                <w:kern w:val="0"/>
                <w:szCs w:val="21"/>
              </w:rPr>
            </w:pPr>
            <w:r>
              <w:rPr>
                <w:rFonts w:hint="eastAsia" w:ascii="仿宋" w:hAnsi="仿宋" w:eastAsia="仿宋" w:cs="仿宋"/>
                <w:color w:val="000000"/>
                <w:kern w:val="0"/>
                <w:szCs w:val="21"/>
              </w:rPr>
              <w:t xml:space="preserve">5.▲可通过终端客户端程序的配置项，对教学配置参数进行设置，其中包括教室服务IP、教室编号、是否为教师机、是否启用切课及组播参数功能等配置，提供终端配置中教学配置截图，并附CNAS（中国合格评定国家认可委员会）认可的第三方检测报告加盖原厂公章。 </w:t>
            </w:r>
          </w:p>
          <w:p>
            <w:pPr>
              <w:widowControl/>
              <w:jc w:val="left"/>
              <w:rPr>
                <w:rFonts w:ascii="仿宋" w:hAnsi="仿宋" w:eastAsia="仿宋" w:cs="仿宋"/>
                <w:szCs w:val="21"/>
              </w:rPr>
            </w:pPr>
            <w:r>
              <w:rPr>
                <w:rFonts w:hint="eastAsia" w:ascii="仿宋" w:hAnsi="仿宋" w:eastAsia="仿宋" w:cs="仿宋"/>
                <w:color w:val="000000"/>
                <w:kern w:val="0"/>
                <w:szCs w:val="21"/>
              </w:rPr>
              <w:t>6.为保证产品兼容性，终端客户端程序和云终端为同一品牌。</w:t>
            </w:r>
          </w:p>
        </w:tc>
        <w:tc>
          <w:tcPr>
            <w:tcW w:w="566" w:type="dxa"/>
            <w:vAlign w:val="center"/>
          </w:tcPr>
          <w:p>
            <w:pP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647" w:type="dxa"/>
            <w:vAlign w:val="center"/>
          </w:tcPr>
          <w:p>
            <w:pPr>
              <w:pStyle w:val="20"/>
              <w:rPr>
                <w:rFonts w:ascii="仿宋" w:hAnsi="仿宋" w:eastAsia="仿宋" w:cs="仿宋"/>
              </w:rPr>
            </w:pPr>
            <w:r>
              <w:rPr>
                <w:rFonts w:hint="eastAsia" w:ascii="仿宋" w:hAnsi="仿宋" w:eastAsia="仿宋" w:cs="仿宋"/>
              </w:rPr>
              <w:t>8</w:t>
            </w:r>
          </w:p>
        </w:tc>
        <w:tc>
          <w:tcPr>
            <w:tcW w:w="1274" w:type="dxa"/>
            <w:vAlign w:val="center"/>
          </w:tcPr>
          <w:p>
            <w:pPr>
              <w:pStyle w:val="20"/>
              <w:rPr>
                <w:rFonts w:ascii="仿宋" w:hAnsi="仿宋" w:eastAsia="仿宋" w:cs="仿宋"/>
              </w:rPr>
            </w:pPr>
            <w:r>
              <w:rPr>
                <w:rFonts w:hint="eastAsia" w:ascii="仿宋" w:hAnsi="仿宋" w:eastAsia="仿宋" w:cs="仿宋"/>
              </w:rPr>
              <w:t>教师工作站</w:t>
            </w:r>
          </w:p>
        </w:tc>
        <w:tc>
          <w:tcPr>
            <w:tcW w:w="11454" w:type="dxa"/>
            <w:vAlign w:val="center"/>
          </w:tcPr>
          <w:p>
            <w:pPr>
              <w:widowControl/>
              <w:rPr>
                <w:rFonts w:ascii="仿宋" w:hAnsi="仿宋" w:eastAsia="仿宋" w:cs="仿宋"/>
                <w:szCs w:val="21"/>
              </w:rPr>
            </w:pPr>
            <w:r>
              <w:rPr>
                <w:rFonts w:hint="eastAsia" w:ascii="仿宋" w:hAnsi="仿宋" w:eastAsia="仿宋" w:cs="仿宋"/>
                <w:color w:val="000000" w:themeColor="text1"/>
                <w:szCs w:val="21"/>
                <w:shd w:val="clear" w:color="auto" w:fill="FFFFFF"/>
                <w14:textFill>
                  <w14:solidFill>
                    <w14:schemeClr w14:val="tx1"/>
                  </w14:solidFill>
                </w14:textFill>
              </w:rPr>
              <w:t>内存容量：</w:t>
            </w:r>
            <w:r>
              <w:rPr>
                <w:rFonts w:hint="eastAsia" w:ascii="仿宋" w:hAnsi="仿宋" w:eastAsia="仿宋" w:cs="仿宋"/>
                <w:color w:val="000000"/>
                <w:kern w:val="0"/>
                <w:szCs w:val="21"/>
                <w:lang w:bidi="ar"/>
              </w:rPr>
              <w:t>≥</w:t>
            </w:r>
            <w:r>
              <w:rPr>
                <w:rFonts w:hint="eastAsia" w:ascii="仿宋" w:hAnsi="仿宋" w:eastAsia="仿宋" w:cs="仿宋"/>
                <w:color w:val="000000" w:themeColor="text1"/>
                <w:szCs w:val="21"/>
                <w:shd w:val="clear" w:color="auto" w:fill="FFFFFF"/>
                <w14:textFill>
                  <w14:solidFill>
                    <w14:schemeClr w14:val="tx1"/>
                  </w14:solidFill>
                </w14:textFill>
              </w:rPr>
              <w:t>16GB，类型：单主机，系统：Windows 11，机箱大小：10-20L，处理器：intel i7，硬盘容量：</w:t>
            </w:r>
            <w:r>
              <w:rPr>
                <w:rFonts w:hint="eastAsia" w:ascii="仿宋" w:hAnsi="仿宋" w:eastAsia="仿宋" w:cs="仿宋"/>
                <w:color w:val="000000"/>
                <w:kern w:val="0"/>
                <w:szCs w:val="21"/>
                <w:lang w:bidi="ar"/>
              </w:rPr>
              <w:t>≥</w:t>
            </w:r>
            <w:r>
              <w:rPr>
                <w:rFonts w:hint="eastAsia" w:ascii="仿宋" w:hAnsi="仿宋" w:eastAsia="仿宋" w:cs="仿宋"/>
                <w:color w:val="000000" w:themeColor="text1"/>
                <w:szCs w:val="21"/>
                <w:shd w:val="clear" w:color="auto" w:fill="FFFFFF"/>
                <w14:textFill>
                  <w14:solidFill>
                    <w14:schemeClr w14:val="tx1"/>
                  </w14:solidFill>
                </w14:textFill>
              </w:rPr>
              <w:t>512GB SSD，屏幕尺寸：无显示器，显存：</w:t>
            </w:r>
            <w:r>
              <w:rPr>
                <w:rFonts w:hint="eastAsia" w:ascii="仿宋" w:hAnsi="仿宋" w:eastAsia="仿宋" w:cs="仿宋"/>
                <w:color w:val="000000"/>
                <w:kern w:val="0"/>
                <w:szCs w:val="21"/>
                <w:lang w:bidi="ar"/>
              </w:rPr>
              <w:t>≥</w:t>
            </w:r>
            <w:r>
              <w:rPr>
                <w:rFonts w:hint="eastAsia" w:ascii="仿宋" w:hAnsi="仿宋" w:eastAsia="仿宋" w:cs="仿宋"/>
                <w:color w:val="000000" w:themeColor="text1"/>
                <w:szCs w:val="21"/>
                <w:shd w:val="clear" w:color="auto" w:fill="FFFFFF"/>
                <w14:textFill>
                  <w14:solidFill>
                    <w14:schemeClr w14:val="tx1"/>
                  </w14:solidFill>
                </w14:textFill>
              </w:rPr>
              <w:t>8G，能效等级：一级能效，支持IPv6：支持IPv6，适用场景：设计制图</w:t>
            </w:r>
          </w:p>
        </w:tc>
        <w:tc>
          <w:tcPr>
            <w:tcW w:w="566" w:type="dxa"/>
            <w:vAlign w:val="center"/>
          </w:tcPr>
          <w:p>
            <w:pP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647" w:type="dxa"/>
            <w:vAlign w:val="center"/>
          </w:tcPr>
          <w:p>
            <w:pPr>
              <w:pStyle w:val="20"/>
              <w:rPr>
                <w:rFonts w:ascii="仿宋" w:hAnsi="仿宋" w:eastAsia="仿宋" w:cs="仿宋"/>
              </w:rPr>
            </w:pPr>
            <w:r>
              <w:rPr>
                <w:rFonts w:hint="eastAsia" w:ascii="仿宋" w:hAnsi="仿宋" w:eastAsia="仿宋" w:cs="仿宋"/>
              </w:rPr>
              <w:t>9</w:t>
            </w:r>
          </w:p>
        </w:tc>
        <w:tc>
          <w:tcPr>
            <w:tcW w:w="1274" w:type="dxa"/>
            <w:vAlign w:val="center"/>
          </w:tcPr>
          <w:p>
            <w:pPr>
              <w:pStyle w:val="20"/>
              <w:rPr>
                <w:rFonts w:ascii="仿宋" w:hAnsi="仿宋" w:eastAsia="仿宋" w:cs="仿宋"/>
              </w:rPr>
            </w:pPr>
            <w:r>
              <w:rPr>
                <w:rFonts w:hint="eastAsia" w:ascii="仿宋" w:hAnsi="仿宋" w:eastAsia="仿宋" w:cs="仿宋"/>
              </w:rPr>
              <w:t>28寸显示器</w:t>
            </w:r>
          </w:p>
        </w:tc>
        <w:tc>
          <w:tcPr>
            <w:tcW w:w="11454" w:type="dxa"/>
            <w:vAlign w:val="center"/>
          </w:tcPr>
          <w:p>
            <w:pPr>
              <w:widowControl/>
              <w:jc w:val="left"/>
              <w:textAlignment w:val="center"/>
              <w:rPr>
                <w:rFonts w:ascii="仿宋" w:hAnsi="仿宋" w:eastAsia="仿宋" w:cs="仿宋"/>
                <w:color w:val="000000"/>
                <w:kern w:val="0"/>
                <w:szCs w:val="21"/>
                <w:lang w:bidi="ar"/>
              </w:rPr>
            </w:pPr>
            <w:r>
              <w:rPr>
                <w:rStyle w:val="168"/>
                <w:rFonts w:ascii="仿宋" w:hAnsi="仿宋" w:eastAsia="仿宋" w:cs="仿宋"/>
                <w:b w:val="0"/>
                <w:bCs w:val="0"/>
                <w:sz w:val="21"/>
                <w:szCs w:val="21"/>
                <w:lang w:bidi="ar"/>
              </w:rPr>
              <w:t>屏幕尺寸</w:t>
            </w:r>
            <w:r>
              <w:rPr>
                <w:rStyle w:val="167"/>
                <w:rFonts w:hint="eastAsia" w:ascii="仿宋" w:hAnsi="仿宋" w:eastAsia="仿宋" w:cs="仿宋"/>
                <w:b w:val="0"/>
                <w:bCs w:val="0"/>
                <w:lang w:bidi="ar"/>
              </w:rPr>
              <w:t>(</w:t>
            </w:r>
            <w:r>
              <w:rPr>
                <w:rStyle w:val="168"/>
                <w:rFonts w:ascii="仿宋" w:hAnsi="仿宋" w:eastAsia="仿宋" w:cs="仿宋"/>
                <w:b w:val="0"/>
                <w:bCs w:val="0"/>
                <w:sz w:val="21"/>
                <w:szCs w:val="21"/>
                <w:lang w:bidi="ar"/>
              </w:rPr>
              <w:t>对角</w:t>
            </w:r>
            <w:r>
              <w:rPr>
                <w:rStyle w:val="167"/>
                <w:rFonts w:hint="eastAsia" w:ascii="仿宋" w:hAnsi="仿宋" w:eastAsia="仿宋" w:cs="仿宋"/>
                <w:b w:val="0"/>
                <w:bCs w:val="0"/>
                <w:lang w:bidi="ar"/>
              </w:rPr>
              <w:t>)：</w:t>
            </w:r>
            <w:r>
              <w:rPr>
                <w:rFonts w:hint="eastAsia" w:ascii="仿宋" w:hAnsi="仿宋" w:eastAsia="仿宋" w:cs="仿宋"/>
                <w:color w:val="000000"/>
                <w:kern w:val="0"/>
                <w:szCs w:val="21"/>
                <w:lang w:bidi="ar"/>
              </w:rPr>
              <w:t>28"W</w:t>
            </w:r>
          </w:p>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屏幕宽高比：16:9</w:t>
            </w:r>
          </w:p>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面板类型：</w:t>
            </w:r>
            <w:r>
              <w:rPr>
                <w:rStyle w:val="177"/>
                <w:rFonts w:hint="eastAsia" w:ascii="仿宋" w:hAnsi="仿宋" w:eastAsia="仿宋" w:cs="仿宋"/>
                <w:sz w:val="21"/>
                <w:szCs w:val="21"/>
                <w:lang w:bidi="ar"/>
              </w:rPr>
              <w:t>IPS</w:t>
            </w:r>
            <w:r>
              <w:rPr>
                <w:rStyle w:val="178"/>
                <w:rFonts w:ascii="仿宋" w:hAnsi="仿宋" w:eastAsia="仿宋" w:cs="仿宋"/>
                <w:sz w:val="21"/>
                <w:szCs w:val="21"/>
                <w:lang w:bidi="ar"/>
              </w:rPr>
              <w:t>技术</w:t>
            </w:r>
          </w:p>
          <w:p>
            <w:pPr>
              <w:widowControl/>
              <w:jc w:val="left"/>
              <w:textAlignment w:val="center"/>
              <w:rPr>
                <w:rFonts w:ascii="仿宋" w:hAnsi="仿宋" w:eastAsia="仿宋" w:cs="仿宋"/>
                <w:color w:val="000000"/>
                <w:szCs w:val="21"/>
              </w:rPr>
            </w:pPr>
            <w:r>
              <w:rPr>
                <w:rStyle w:val="168"/>
                <w:rFonts w:ascii="仿宋" w:hAnsi="仿宋" w:eastAsia="仿宋" w:cs="仿宋"/>
                <w:b w:val="0"/>
                <w:bCs w:val="0"/>
                <w:sz w:val="21"/>
                <w:szCs w:val="21"/>
                <w:lang w:bidi="ar"/>
              </w:rPr>
              <w:t>扫描频率：</w:t>
            </w:r>
            <w:r>
              <w:rPr>
                <w:rStyle w:val="169"/>
                <w:rFonts w:ascii="仿宋" w:hAnsi="仿宋" w:eastAsia="仿宋" w:cs="仿宋"/>
                <w:sz w:val="21"/>
                <w:szCs w:val="21"/>
                <w:lang w:bidi="ar"/>
              </w:rPr>
              <w:t>水平</w:t>
            </w:r>
            <w:r>
              <w:rPr>
                <w:rStyle w:val="170"/>
                <w:rFonts w:hint="eastAsia" w:ascii="仿宋" w:hAnsi="仿宋" w:eastAsia="仿宋" w:cs="仿宋"/>
                <w:b w:val="0"/>
                <w:bCs w:val="0"/>
                <w:lang w:bidi="ar"/>
              </w:rPr>
              <w:t xml:space="preserve">: 30k - 140kHz    </w:t>
            </w:r>
            <w:r>
              <w:rPr>
                <w:rStyle w:val="169"/>
                <w:rFonts w:ascii="仿宋" w:hAnsi="仿宋" w:eastAsia="仿宋" w:cs="仿宋"/>
                <w:sz w:val="21"/>
                <w:szCs w:val="21"/>
                <w:lang w:bidi="ar"/>
              </w:rPr>
              <w:t>垂直</w:t>
            </w:r>
            <w:r>
              <w:rPr>
                <w:rStyle w:val="170"/>
                <w:rFonts w:hint="eastAsia" w:ascii="仿宋" w:hAnsi="仿宋" w:eastAsia="仿宋" w:cs="仿宋"/>
                <w:b w:val="0"/>
                <w:bCs w:val="0"/>
                <w:lang w:bidi="ar"/>
              </w:rPr>
              <w:t>: 23 - 75Hz</w:t>
            </w:r>
          </w:p>
          <w:p>
            <w:pPr>
              <w:widowControl/>
              <w:jc w:val="left"/>
              <w:textAlignment w:val="center"/>
              <w:rPr>
                <w:rFonts w:ascii="仿宋" w:hAnsi="仿宋" w:eastAsia="仿宋" w:cs="仿宋"/>
                <w:szCs w:val="21"/>
              </w:rPr>
            </w:pPr>
            <w:r>
              <w:rPr>
                <w:rStyle w:val="168"/>
                <w:rFonts w:ascii="仿宋" w:hAnsi="仿宋" w:eastAsia="仿宋" w:cs="仿宋"/>
                <w:b w:val="0"/>
                <w:bCs w:val="0"/>
                <w:sz w:val="21"/>
                <w:szCs w:val="21"/>
                <w:lang w:bidi="ar"/>
              </w:rPr>
              <w:t>最大分辨率：</w:t>
            </w:r>
            <w:r>
              <w:rPr>
                <w:rFonts w:hint="eastAsia" w:ascii="仿宋" w:hAnsi="仿宋" w:eastAsia="仿宋" w:cs="仿宋"/>
                <w:color w:val="000000"/>
                <w:kern w:val="0"/>
                <w:szCs w:val="21"/>
                <w:lang w:bidi="ar"/>
              </w:rPr>
              <w:t>3840x2160@60Hz</w:t>
            </w:r>
          </w:p>
        </w:tc>
        <w:tc>
          <w:tcPr>
            <w:tcW w:w="566" w:type="dxa"/>
            <w:vAlign w:val="center"/>
          </w:tcPr>
          <w:p>
            <w:pP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647" w:type="dxa"/>
            <w:vAlign w:val="center"/>
          </w:tcPr>
          <w:p>
            <w:pPr>
              <w:pStyle w:val="20"/>
              <w:rPr>
                <w:rFonts w:ascii="仿宋" w:hAnsi="仿宋" w:eastAsia="仿宋" w:cs="仿宋"/>
              </w:rPr>
            </w:pPr>
            <w:r>
              <w:rPr>
                <w:rFonts w:hint="eastAsia" w:ascii="仿宋" w:hAnsi="仿宋" w:eastAsia="仿宋" w:cs="仿宋"/>
              </w:rPr>
              <w:t>10</w:t>
            </w:r>
          </w:p>
        </w:tc>
        <w:tc>
          <w:tcPr>
            <w:tcW w:w="1274" w:type="dxa"/>
            <w:vAlign w:val="center"/>
          </w:tcPr>
          <w:p>
            <w:pPr>
              <w:pStyle w:val="20"/>
              <w:rPr>
                <w:rFonts w:ascii="仿宋" w:hAnsi="仿宋" w:eastAsia="仿宋" w:cs="仿宋"/>
              </w:rPr>
            </w:pPr>
            <w:r>
              <w:rPr>
                <w:rFonts w:hint="eastAsia" w:ascii="仿宋" w:hAnsi="仿宋" w:eastAsia="仿宋" w:cs="仿宋"/>
              </w:rPr>
              <w:t>键鼠套装</w:t>
            </w:r>
          </w:p>
        </w:tc>
        <w:tc>
          <w:tcPr>
            <w:tcW w:w="11454" w:type="dxa"/>
            <w:vAlign w:val="center"/>
          </w:tcPr>
          <w:p>
            <w:pPr>
              <w:rPr>
                <w:rFonts w:ascii="仿宋" w:hAnsi="仿宋" w:eastAsia="仿宋" w:cs="仿宋"/>
                <w:szCs w:val="21"/>
              </w:rPr>
            </w:pPr>
            <w:r>
              <w:rPr>
                <w:rFonts w:hint="eastAsia" w:ascii="仿宋" w:hAnsi="仿宋" w:eastAsia="仿宋" w:cs="仿宋"/>
                <w:szCs w:val="21"/>
              </w:rPr>
              <w:t>国内一线品牌有线防水防尘USB键鼠套装</w:t>
            </w:r>
          </w:p>
        </w:tc>
        <w:tc>
          <w:tcPr>
            <w:tcW w:w="566" w:type="dxa"/>
            <w:vAlign w:val="center"/>
          </w:tcPr>
          <w:p>
            <w:pP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647" w:type="dxa"/>
            <w:vAlign w:val="center"/>
          </w:tcPr>
          <w:p>
            <w:pPr>
              <w:pStyle w:val="20"/>
              <w:rPr>
                <w:rFonts w:ascii="仿宋" w:hAnsi="仿宋" w:eastAsia="仿宋" w:cs="仿宋"/>
              </w:rPr>
            </w:pPr>
            <w:r>
              <w:rPr>
                <w:rFonts w:hint="eastAsia" w:ascii="仿宋" w:hAnsi="仿宋" w:eastAsia="仿宋" w:cs="仿宋"/>
              </w:rPr>
              <w:t>11</w:t>
            </w:r>
          </w:p>
        </w:tc>
        <w:tc>
          <w:tcPr>
            <w:tcW w:w="1274" w:type="dxa"/>
            <w:vAlign w:val="center"/>
          </w:tcPr>
          <w:p>
            <w:pPr>
              <w:pStyle w:val="20"/>
              <w:rPr>
                <w:rFonts w:ascii="仿宋" w:hAnsi="仿宋" w:eastAsia="仿宋" w:cs="仿宋"/>
              </w:rPr>
            </w:pPr>
            <w:r>
              <w:rPr>
                <w:rFonts w:hint="eastAsia" w:ascii="仿宋" w:hAnsi="仿宋" w:eastAsia="仿宋" w:cs="仿宋"/>
              </w:rPr>
              <w:t>Mr头显设备</w:t>
            </w:r>
          </w:p>
        </w:tc>
        <w:tc>
          <w:tcPr>
            <w:tcW w:w="11454" w:type="dxa"/>
            <w:vAlign w:val="center"/>
          </w:tcPr>
          <w:p>
            <w:pPr>
              <w:rPr>
                <w:rFonts w:ascii="仿宋" w:hAnsi="仿宋" w:eastAsia="仿宋" w:cs="仿宋"/>
                <w:szCs w:val="21"/>
              </w:rPr>
            </w:pPr>
            <w:r>
              <w:rPr>
                <w:rFonts w:hint="eastAsia" w:ascii="仿宋" w:hAnsi="仿宋" w:eastAsia="仿宋" w:cs="仿宋"/>
                <w:szCs w:val="21"/>
              </w:rPr>
              <w:t>一、系统参数</w:t>
            </w:r>
          </w:p>
          <w:p>
            <w:pPr>
              <w:rPr>
                <w:rFonts w:ascii="仿宋" w:hAnsi="仿宋" w:eastAsia="仿宋" w:cs="仿宋"/>
                <w:szCs w:val="21"/>
              </w:rPr>
            </w:pPr>
            <w:r>
              <w:rPr>
                <w:rFonts w:hint="eastAsia" w:ascii="仿宋" w:hAnsi="仿宋" w:eastAsia="仿宋" w:cs="仿宋"/>
                <w:szCs w:val="21"/>
              </w:rPr>
              <w:t>1. 主控平台：高通骁龙835，GPU：Qualcomm® Adreno™ 540 GPU。</w:t>
            </w:r>
          </w:p>
          <w:p>
            <w:pPr>
              <w:rPr>
                <w:rFonts w:ascii="仿宋" w:hAnsi="仿宋" w:eastAsia="仿宋" w:cs="仿宋"/>
                <w:szCs w:val="21"/>
              </w:rPr>
            </w:pPr>
            <w:r>
              <w:rPr>
                <w:rFonts w:hint="eastAsia" w:ascii="仿宋" w:hAnsi="仿宋" w:eastAsia="仿宋" w:cs="仿宋"/>
                <w:szCs w:val="21"/>
              </w:rPr>
              <w:t>2. 存储：≥6+64GB，支持128G扩展。</w:t>
            </w:r>
          </w:p>
          <w:p>
            <w:pPr>
              <w:rPr>
                <w:rFonts w:ascii="仿宋" w:hAnsi="仿宋" w:eastAsia="仿宋" w:cs="仿宋"/>
                <w:szCs w:val="21"/>
              </w:rPr>
            </w:pPr>
            <w:r>
              <w:rPr>
                <w:rFonts w:hint="eastAsia" w:ascii="仿宋" w:hAnsi="仿宋" w:eastAsia="仿宋" w:cs="仿宋"/>
                <w:szCs w:val="21"/>
              </w:rPr>
              <w:t>3. 支持距离（佩戴）感应，摘下头显后支持进入休眠和关机以节省功耗。</w:t>
            </w:r>
          </w:p>
          <w:p>
            <w:pPr>
              <w:rPr>
                <w:rFonts w:ascii="仿宋" w:hAnsi="仿宋" w:eastAsia="仿宋" w:cs="仿宋"/>
                <w:szCs w:val="21"/>
              </w:rPr>
            </w:pPr>
            <w:r>
              <w:rPr>
                <w:rFonts w:hint="eastAsia" w:ascii="仿宋" w:hAnsi="仿宋" w:eastAsia="仿宋" w:cs="仿宋"/>
                <w:szCs w:val="21"/>
              </w:rPr>
              <w:t>4. 摄像头：前置1300万高清摄像头，支持自动对焦。预留实景拍摄、人脸识别、QR码扫描功能扩展。</w:t>
            </w:r>
          </w:p>
          <w:p>
            <w:pPr>
              <w:rPr>
                <w:rFonts w:ascii="仿宋" w:hAnsi="仿宋" w:eastAsia="仿宋" w:cs="仿宋"/>
                <w:szCs w:val="21"/>
              </w:rPr>
            </w:pPr>
            <w:r>
              <w:rPr>
                <w:rFonts w:hint="eastAsia" w:ascii="仿宋" w:hAnsi="仿宋" w:eastAsia="仿宋" w:cs="仿宋"/>
                <w:szCs w:val="21"/>
              </w:rPr>
              <w:t>5. 续航≥1.5小时，充电时间小于2小时；</w:t>
            </w:r>
          </w:p>
          <w:p>
            <w:pPr>
              <w:rPr>
                <w:rFonts w:ascii="仿宋" w:hAnsi="仿宋" w:eastAsia="仿宋" w:cs="仿宋"/>
                <w:szCs w:val="21"/>
              </w:rPr>
            </w:pPr>
            <w:r>
              <w:rPr>
                <w:rFonts w:hint="eastAsia" w:ascii="仿宋" w:hAnsi="仿宋" w:eastAsia="仿宋" w:cs="仿宋"/>
                <w:szCs w:val="21"/>
              </w:rPr>
              <w:t>6. 无线连接：WiFi 2.4G/5G, 支持802.11b/g/n/ad/ac协议；BT5.0</w:t>
            </w:r>
          </w:p>
          <w:p>
            <w:pPr>
              <w:rPr>
                <w:rFonts w:ascii="仿宋" w:hAnsi="仿宋" w:eastAsia="仿宋" w:cs="仿宋"/>
                <w:szCs w:val="21"/>
              </w:rPr>
            </w:pPr>
            <w:r>
              <w:rPr>
                <w:rFonts w:hint="eastAsia" w:ascii="仿宋" w:hAnsi="仿宋" w:eastAsia="仿宋" w:cs="仿宋"/>
                <w:szCs w:val="21"/>
              </w:rPr>
              <w:t>7. 音频：双喇叭定制音腔，3.5mm耳机接口，双数字硅麦，降噪拾音，接第三方软件可支持语音识别；</w:t>
            </w:r>
          </w:p>
          <w:p>
            <w:pPr>
              <w:rPr>
                <w:rFonts w:ascii="仿宋" w:hAnsi="仿宋" w:eastAsia="仿宋" w:cs="仿宋"/>
                <w:szCs w:val="21"/>
              </w:rPr>
            </w:pPr>
            <w:r>
              <w:rPr>
                <w:rFonts w:hint="eastAsia" w:ascii="仿宋" w:hAnsi="仿宋" w:eastAsia="仿宋" w:cs="仿宋"/>
                <w:szCs w:val="21"/>
              </w:rPr>
              <w:t>8. 接口：USB-C充电及数据传输，Micro-USB 2.0预留扩展其他外接设备（如手势识别），T-Flash卡座；</w:t>
            </w:r>
          </w:p>
          <w:p>
            <w:pPr>
              <w:rPr>
                <w:rFonts w:ascii="仿宋" w:hAnsi="仿宋" w:eastAsia="仿宋" w:cs="仿宋"/>
                <w:szCs w:val="21"/>
              </w:rPr>
            </w:pPr>
            <w:r>
              <w:rPr>
                <w:rFonts w:hint="eastAsia" w:ascii="仿宋" w:hAnsi="仿宋" w:eastAsia="仿宋" w:cs="仿宋"/>
                <w:szCs w:val="21"/>
              </w:rPr>
              <w:t>9. 穿戴：全无线连接，穿戴重心要平衡，头显前后重量要均匀；与头接触需要泡棉软接触，要防汗、可清洁、可拆卸</w:t>
            </w:r>
          </w:p>
          <w:p>
            <w:pPr>
              <w:rPr>
                <w:rFonts w:ascii="仿宋" w:hAnsi="仿宋" w:eastAsia="仿宋" w:cs="仿宋"/>
                <w:szCs w:val="21"/>
              </w:rPr>
            </w:pPr>
            <w:r>
              <w:rPr>
                <w:rFonts w:hint="eastAsia" w:ascii="仿宋" w:hAnsi="仿宋" w:eastAsia="仿宋" w:cs="仿宋"/>
                <w:szCs w:val="21"/>
              </w:rPr>
              <w:t>10.实物交互：可在实物上添加信标，对现实物体进行识别和跟踪，实现实物的空间交互；</w:t>
            </w:r>
          </w:p>
          <w:p>
            <w:pPr>
              <w:rPr>
                <w:rFonts w:ascii="仿宋" w:hAnsi="仿宋" w:eastAsia="仿宋" w:cs="仿宋"/>
                <w:szCs w:val="21"/>
              </w:rPr>
            </w:pPr>
            <w:r>
              <w:rPr>
                <w:rFonts w:hint="eastAsia" w:ascii="仿宋" w:hAnsi="仿宋" w:eastAsia="仿宋" w:cs="仿宋"/>
                <w:szCs w:val="21"/>
              </w:rPr>
              <w:t>11.功能描述：空间计算：头部6DOF空间计算定位，可识别用户在场景中的空间位置及头部朝向，可支持自动校正防漂移，可实现超大场景空间定位；手部6DOF空间计算定位，可识别用户手部的在空间位置与姿态信息，与虚拟物体进行空间交互;</w:t>
            </w:r>
          </w:p>
          <w:p>
            <w:pPr>
              <w:rPr>
                <w:rFonts w:ascii="仿宋" w:hAnsi="仿宋" w:eastAsia="仿宋" w:cs="仿宋"/>
                <w:szCs w:val="21"/>
              </w:rPr>
            </w:pPr>
            <w:r>
              <w:rPr>
                <w:rFonts w:hint="eastAsia" w:ascii="仿宋" w:hAnsi="仿宋" w:eastAsia="仿宋" w:cs="仿宋"/>
                <w:szCs w:val="21"/>
              </w:rPr>
              <w:t>二、软件参数</w:t>
            </w:r>
          </w:p>
          <w:p>
            <w:pPr>
              <w:rPr>
                <w:rFonts w:ascii="仿宋" w:hAnsi="仿宋" w:eastAsia="仿宋" w:cs="仿宋"/>
                <w:szCs w:val="21"/>
              </w:rPr>
            </w:pPr>
            <w:r>
              <w:rPr>
                <w:rFonts w:hint="eastAsia" w:ascii="仿宋" w:hAnsi="仿宋" w:eastAsia="仿宋" w:cs="仿宋"/>
                <w:szCs w:val="21"/>
              </w:rPr>
              <w:t>12.需包含6DOF手柄控制系统：</w:t>
            </w:r>
          </w:p>
          <w:p>
            <w:pPr>
              <w:rPr>
                <w:rFonts w:ascii="仿宋" w:hAnsi="仿宋" w:eastAsia="仿宋" w:cs="仿宋"/>
                <w:szCs w:val="21"/>
              </w:rPr>
            </w:pPr>
            <w:r>
              <w:rPr>
                <w:rFonts w:hint="eastAsia" w:ascii="仿宋" w:hAnsi="仿宋" w:eastAsia="仿宋" w:cs="仿宋"/>
                <w:szCs w:val="21"/>
              </w:rPr>
              <w:t>13.需包含多人交互MR系统</w:t>
            </w:r>
          </w:p>
          <w:p>
            <w:pPr>
              <w:rPr>
                <w:rFonts w:ascii="仿宋" w:hAnsi="仿宋" w:eastAsia="仿宋" w:cs="仿宋"/>
                <w:szCs w:val="21"/>
              </w:rPr>
            </w:pPr>
            <w:r>
              <w:rPr>
                <w:rFonts w:hint="eastAsia" w:ascii="仿宋" w:hAnsi="仿宋" w:eastAsia="仿宋" w:cs="仿宋"/>
                <w:szCs w:val="21"/>
              </w:rPr>
              <w:t>★需提供MR头显产品3C证书，并加盖投标人公章</w:t>
            </w:r>
          </w:p>
          <w:p>
            <w:pPr>
              <w:rPr>
                <w:rFonts w:ascii="仿宋" w:hAnsi="仿宋" w:eastAsia="仿宋" w:cs="仿宋"/>
                <w:szCs w:val="21"/>
              </w:rPr>
            </w:pPr>
            <w:r>
              <w:rPr>
                <w:rFonts w:hint="eastAsia" w:ascii="仿宋" w:hAnsi="仿宋" w:eastAsia="仿宋" w:cs="仿宋"/>
                <w:szCs w:val="21"/>
              </w:rPr>
              <w:t>★需提供MR头显产品无线电发射设备核准证，并加盖投标人公章</w:t>
            </w:r>
          </w:p>
        </w:tc>
        <w:tc>
          <w:tcPr>
            <w:tcW w:w="566" w:type="dxa"/>
            <w:vAlign w:val="center"/>
          </w:tcPr>
          <w:p>
            <w:pP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647" w:type="dxa"/>
            <w:vAlign w:val="center"/>
          </w:tcPr>
          <w:p>
            <w:pPr>
              <w:pStyle w:val="20"/>
              <w:rPr>
                <w:rFonts w:ascii="仿宋" w:hAnsi="仿宋" w:eastAsia="仿宋" w:cs="仿宋"/>
              </w:rPr>
            </w:pPr>
            <w:r>
              <w:rPr>
                <w:rFonts w:hint="eastAsia" w:ascii="仿宋" w:hAnsi="仿宋" w:eastAsia="仿宋" w:cs="仿宋"/>
              </w:rPr>
              <w:t>12</w:t>
            </w:r>
          </w:p>
        </w:tc>
        <w:tc>
          <w:tcPr>
            <w:tcW w:w="1274" w:type="dxa"/>
            <w:vAlign w:val="center"/>
          </w:tcPr>
          <w:p>
            <w:pPr>
              <w:pStyle w:val="20"/>
              <w:rPr>
                <w:rFonts w:ascii="仿宋" w:hAnsi="仿宋" w:eastAsia="仿宋" w:cs="仿宋"/>
              </w:rPr>
            </w:pPr>
            <w:r>
              <w:rPr>
                <w:rFonts w:hint="eastAsia" w:ascii="仿宋" w:hAnsi="仿宋" w:eastAsia="仿宋" w:cs="仿宋"/>
              </w:rPr>
              <w:t>VR头盔</w:t>
            </w:r>
          </w:p>
        </w:tc>
        <w:tc>
          <w:tcPr>
            <w:tcW w:w="11454" w:type="dxa"/>
            <w:vAlign w:val="center"/>
          </w:tcPr>
          <w:p>
            <w:pPr>
              <w:rPr>
                <w:rFonts w:ascii="仿宋" w:hAnsi="仿宋" w:eastAsia="仿宋" w:cs="仿宋"/>
                <w:szCs w:val="21"/>
              </w:rPr>
            </w:pPr>
            <w:r>
              <w:rPr>
                <w:rFonts w:hint="eastAsia" w:ascii="仿宋" w:hAnsi="仿宋" w:eastAsia="仿宋" w:cs="仿宋"/>
                <w:szCs w:val="21"/>
              </w:rPr>
              <w:t>分辨率: 2880 x 1600 (单眼 1440 x 1600) 视角范围 :</w:t>
            </w:r>
            <w:r>
              <w:rPr>
                <w:rFonts w:hint="eastAsia" w:ascii="仿宋" w:hAnsi="仿宋" w:eastAsia="仿宋" w:cs="仿宋"/>
                <w:color w:val="000000"/>
                <w:kern w:val="0"/>
                <w:szCs w:val="21"/>
                <w:lang w:bidi="ar"/>
              </w:rPr>
              <w:t>≥</w:t>
            </w:r>
            <w:r>
              <w:rPr>
                <w:rFonts w:hint="eastAsia" w:ascii="仿宋" w:hAnsi="仿宋" w:eastAsia="仿宋" w:cs="仿宋"/>
                <w:szCs w:val="21"/>
              </w:rPr>
              <w:t xml:space="preserve"> 110° (diagonal) 追踪距离：追踪距离</w:t>
            </w:r>
            <w:r>
              <w:rPr>
                <w:rFonts w:hint="eastAsia" w:ascii="仿宋" w:hAnsi="仿宋" w:eastAsia="仿宋" w:cs="仿宋"/>
                <w:color w:val="000000"/>
                <w:kern w:val="0"/>
                <w:szCs w:val="21"/>
                <w:lang w:bidi="ar"/>
              </w:rPr>
              <w:t>≥</w:t>
            </w:r>
            <w:r>
              <w:rPr>
                <w:rFonts w:hint="eastAsia" w:ascii="仿宋" w:hAnsi="仿宋" w:eastAsia="仿宋" w:cs="仿宋"/>
                <w:szCs w:val="21"/>
              </w:rPr>
              <w:t>4.5*4.5米。（3）VR 定位器： 数量：2个定位基站组成LightHouse，提供360空间移动追踪功能 视场角：水平方向</w:t>
            </w:r>
            <w:r>
              <w:rPr>
                <w:rFonts w:hint="eastAsia" w:ascii="仿宋" w:hAnsi="仿宋" w:eastAsia="仿宋" w:cs="仿宋"/>
                <w:color w:val="000000"/>
                <w:kern w:val="0"/>
                <w:szCs w:val="21"/>
                <w:lang w:bidi="ar"/>
              </w:rPr>
              <w:t>≥</w:t>
            </w:r>
            <w:r>
              <w:rPr>
                <w:rFonts w:hint="eastAsia" w:ascii="仿宋" w:hAnsi="仿宋" w:eastAsia="仿宋" w:cs="仿宋"/>
                <w:szCs w:val="21"/>
              </w:rPr>
              <w:t>120度（3）操控手柄 1.符合自然手势的握持方式。 2.可配合LightHouse定位基站实现定位追踪，在VR体验中自由活动。 3.内置陀螺仪、加速度计和光敏传感器</w:t>
            </w:r>
          </w:p>
        </w:tc>
        <w:tc>
          <w:tcPr>
            <w:tcW w:w="566" w:type="dxa"/>
            <w:vAlign w:val="center"/>
          </w:tcPr>
          <w:p>
            <w:pP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647" w:type="dxa"/>
            <w:vAlign w:val="center"/>
          </w:tcPr>
          <w:p>
            <w:pPr>
              <w:pStyle w:val="20"/>
              <w:rPr>
                <w:rFonts w:ascii="仿宋" w:hAnsi="仿宋" w:eastAsia="仿宋" w:cs="仿宋"/>
              </w:rPr>
            </w:pPr>
            <w:r>
              <w:rPr>
                <w:rFonts w:hint="eastAsia" w:ascii="仿宋" w:hAnsi="仿宋" w:eastAsia="仿宋" w:cs="仿宋"/>
              </w:rPr>
              <w:t>13</w:t>
            </w:r>
          </w:p>
        </w:tc>
        <w:tc>
          <w:tcPr>
            <w:tcW w:w="1274" w:type="dxa"/>
            <w:vAlign w:val="center"/>
          </w:tcPr>
          <w:p>
            <w:pPr>
              <w:pStyle w:val="20"/>
              <w:rPr>
                <w:rFonts w:ascii="仿宋" w:hAnsi="仿宋" w:eastAsia="仿宋" w:cs="仿宋"/>
                <w:highlight w:val="none"/>
              </w:rPr>
            </w:pPr>
            <w:r>
              <w:rPr>
                <w:rFonts w:hint="eastAsia" w:ascii="仿宋" w:hAnsi="仿宋" w:eastAsia="仿宋" w:cs="仿宋"/>
                <w:highlight w:val="none"/>
              </w:rPr>
              <w:t>86寸教学一体机</w:t>
            </w:r>
          </w:p>
        </w:tc>
        <w:tc>
          <w:tcPr>
            <w:tcW w:w="11454" w:type="dxa"/>
            <w:vAlign w:val="center"/>
          </w:tcPr>
          <w:tbl>
            <w:tblPr>
              <w:tblStyle w:val="38"/>
              <w:tblW w:w="8585" w:type="dxa"/>
              <w:jc w:val="center"/>
              <w:tblBorders>
                <w:top w:val="single" w:color="073D95" w:sz="4" w:space="0"/>
                <w:left w:val="single" w:color="073D95" w:sz="4" w:space="0"/>
                <w:bottom w:val="single" w:color="073D95" w:sz="4" w:space="0"/>
                <w:right w:val="single" w:color="073D95" w:sz="4" w:space="0"/>
                <w:insideH w:val="single" w:color="073D95" w:sz="4" w:space="0"/>
                <w:insideV w:val="single" w:color="073D95" w:sz="4" w:space="0"/>
              </w:tblBorders>
              <w:tblLayout w:type="fixed"/>
              <w:tblCellMar>
                <w:top w:w="0" w:type="dxa"/>
                <w:left w:w="108" w:type="dxa"/>
                <w:bottom w:w="0" w:type="dxa"/>
                <w:right w:w="108" w:type="dxa"/>
              </w:tblCellMar>
            </w:tblPr>
            <w:tblGrid>
              <w:gridCol w:w="1116"/>
              <w:gridCol w:w="4063"/>
              <w:gridCol w:w="3406"/>
            </w:tblGrid>
            <w:tr>
              <w:tblPrEx>
                <w:tblBorders>
                  <w:top w:val="single" w:color="073D95" w:sz="4" w:space="0"/>
                  <w:left w:val="single" w:color="073D95" w:sz="4" w:space="0"/>
                  <w:bottom w:val="single" w:color="073D95" w:sz="4" w:space="0"/>
                  <w:right w:val="single" w:color="073D95" w:sz="4" w:space="0"/>
                  <w:insideH w:val="single" w:color="073D95" w:sz="4" w:space="0"/>
                  <w:insideV w:val="single" w:color="073D95" w:sz="4" w:space="0"/>
                </w:tblBorders>
                <w:tblCellMar>
                  <w:top w:w="0" w:type="dxa"/>
                  <w:left w:w="108" w:type="dxa"/>
                  <w:bottom w:w="0" w:type="dxa"/>
                  <w:right w:w="108" w:type="dxa"/>
                </w:tblCellMar>
              </w:tblPrEx>
              <w:trPr>
                <w:trHeight w:val="278" w:hRule="atLeast"/>
                <w:jc w:val="center"/>
              </w:trPr>
              <w:tc>
                <w:tcPr>
                  <w:tcW w:w="1116" w:type="dxa"/>
                  <w:tcBorders>
                    <w:top w:val="single" w:color="FFFFFF" w:sz="4" w:space="0"/>
                  </w:tcBorders>
                  <w:vAlign w:val="center"/>
                </w:tcPr>
                <w:p>
                  <w:pPr>
                    <w:jc w:val="center"/>
                    <w:rPr>
                      <w:rFonts w:ascii="仿宋" w:hAnsi="仿宋" w:eastAsia="仿宋" w:cs="仿宋"/>
                      <w:kern w:val="0"/>
                      <w:szCs w:val="21"/>
                      <w:highlight w:val="none"/>
                    </w:rPr>
                  </w:pPr>
                  <w:r>
                    <w:rPr>
                      <w:rFonts w:hint="eastAsia" w:ascii="仿宋" w:hAnsi="仿宋" w:eastAsia="仿宋" w:cs="仿宋"/>
                      <w:kern w:val="0"/>
                      <w:szCs w:val="21"/>
                      <w:highlight w:val="none"/>
                    </w:rPr>
                    <w:t>面板</w:t>
                  </w:r>
                </w:p>
              </w:tc>
              <w:tc>
                <w:tcPr>
                  <w:tcW w:w="4063" w:type="dxa"/>
                  <w:tcBorders>
                    <w:top w:val="single" w:color="FFFFFF" w:sz="4" w:space="0"/>
                  </w:tcBorders>
                  <w:vAlign w:val="center"/>
                </w:tcPr>
                <w:p>
                  <w:pPr>
                    <w:widowControl/>
                    <w:jc w:val="center"/>
                    <w:rPr>
                      <w:rFonts w:ascii="仿宋" w:hAnsi="仿宋" w:eastAsia="仿宋" w:cs="仿宋"/>
                      <w:kern w:val="0"/>
                      <w:szCs w:val="21"/>
                      <w:highlight w:val="none"/>
                    </w:rPr>
                  </w:pPr>
                  <w:r>
                    <w:rPr>
                      <w:rFonts w:hint="eastAsia" w:ascii="仿宋" w:hAnsi="仿宋" w:eastAsia="仿宋" w:cs="仿宋"/>
                      <w:kern w:val="0"/>
                      <w:szCs w:val="21"/>
                      <w:highlight w:val="none"/>
                    </w:rPr>
                    <w:t>LCD 尺寸</w:t>
                  </w:r>
                </w:p>
              </w:tc>
              <w:tc>
                <w:tcPr>
                  <w:tcW w:w="3401" w:type="dxa"/>
                  <w:tcBorders>
                    <w:top w:val="single" w:color="FFFFFF" w:sz="4" w:space="0"/>
                  </w:tcBorders>
                  <w:vAlign w:val="center"/>
                </w:tcPr>
                <w:p>
                  <w:pPr>
                    <w:widowControl/>
                    <w:jc w:val="center"/>
                    <w:rPr>
                      <w:rFonts w:ascii="仿宋" w:hAnsi="仿宋" w:eastAsia="仿宋" w:cs="仿宋"/>
                      <w:kern w:val="0"/>
                      <w:szCs w:val="21"/>
                      <w:highlight w:val="none"/>
                    </w:rPr>
                  </w:pPr>
                  <w:r>
                    <w:rPr>
                      <w:rFonts w:ascii="等线" w:hAnsi="等线" w:eastAsia="等线"/>
                      <w:kern w:val="0"/>
                      <w:szCs w:val="21"/>
                      <w:highlight w:val="none"/>
                    </w:rPr>
                    <w:t>86</w:t>
                  </w:r>
                  <w:r>
                    <w:rPr>
                      <w:rFonts w:hint="eastAsia" w:ascii="等线" w:hAnsi="等线" w:eastAsia="等线"/>
                      <w:kern w:val="0"/>
                      <w:szCs w:val="21"/>
                      <w:highlight w:val="none"/>
                    </w:rPr>
                    <w:t>"</w:t>
                  </w:r>
                </w:p>
              </w:tc>
            </w:tr>
            <w:tr>
              <w:tblPrEx>
                <w:tblBorders>
                  <w:top w:val="single" w:color="073D95" w:sz="4" w:space="0"/>
                  <w:left w:val="single" w:color="073D95" w:sz="4" w:space="0"/>
                  <w:bottom w:val="single" w:color="073D95" w:sz="4" w:space="0"/>
                  <w:right w:val="single" w:color="073D95" w:sz="4" w:space="0"/>
                  <w:insideH w:val="single" w:color="073D95" w:sz="4" w:space="0"/>
                  <w:insideV w:val="single" w:color="073D95" w:sz="4" w:space="0"/>
                </w:tblBorders>
                <w:tblCellMar>
                  <w:top w:w="0" w:type="dxa"/>
                  <w:left w:w="108" w:type="dxa"/>
                  <w:bottom w:w="0" w:type="dxa"/>
                  <w:right w:w="108" w:type="dxa"/>
                </w:tblCellMar>
              </w:tblPrEx>
              <w:trPr>
                <w:trHeight w:val="278" w:hRule="atLeast"/>
                <w:jc w:val="center"/>
              </w:trPr>
              <w:tc>
                <w:tcPr>
                  <w:tcW w:w="1116" w:type="dxa"/>
                  <w:vMerge w:val="restart"/>
                  <w:vAlign w:val="center"/>
                </w:tcPr>
                <w:p>
                  <w:pPr>
                    <w:widowControl/>
                    <w:jc w:val="center"/>
                    <w:rPr>
                      <w:rFonts w:ascii="仿宋" w:hAnsi="仿宋" w:eastAsia="仿宋" w:cs="仿宋"/>
                      <w:kern w:val="0"/>
                      <w:szCs w:val="21"/>
                      <w:highlight w:val="none"/>
                    </w:rPr>
                  </w:pPr>
                  <w:r>
                    <w:rPr>
                      <w:rFonts w:hint="eastAsia" w:ascii="仿宋" w:hAnsi="仿宋" w:eastAsia="仿宋" w:cs="仿宋"/>
                      <w:kern w:val="0"/>
                      <w:szCs w:val="21"/>
                      <w:highlight w:val="none"/>
                    </w:rPr>
                    <w:t>系统属性</w:t>
                  </w:r>
                </w:p>
              </w:tc>
              <w:tc>
                <w:tcPr>
                  <w:tcW w:w="4063" w:type="dxa"/>
                  <w:vAlign w:val="center"/>
                </w:tcPr>
                <w:p>
                  <w:pPr>
                    <w:widowControl/>
                    <w:jc w:val="center"/>
                    <w:rPr>
                      <w:rFonts w:ascii="仿宋" w:hAnsi="仿宋" w:eastAsia="仿宋" w:cs="仿宋"/>
                      <w:kern w:val="0"/>
                      <w:szCs w:val="21"/>
                      <w:highlight w:val="none"/>
                    </w:rPr>
                  </w:pPr>
                  <w:r>
                    <w:rPr>
                      <w:rFonts w:hint="eastAsia" w:ascii="仿宋" w:hAnsi="仿宋" w:eastAsia="仿宋" w:cs="仿宋"/>
                      <w:kern w:val="0"/>
                      <w:szCs w:val="21"/>
                      <w:highlight w:val="none"/>
                    </w:rPr>
                    <w:t>CPU架构</w:t>
                  </w:r>
                </w:p>
              </w:tc>
              <w:tc>
                <w:tcPr>
                  <w:tcW w:w="3406" w:type="dxa"/>
                  <w:tcBorders>
                    <w:bottom w:val="single" w:color="073D95" w:sz="4" w:space="0"/>
                    <w:right w:val="single" w:color="auto" w:sz="4" w:space="0"/>
                  </w:tcBorders>
                  <w:vAlign w:val="center"/>
                </w:tcPr>
                <w:p>
                  <w:pPr>
                    <w:widowControl/>
                    <w:jc w:val="center"/>
                    <w:rPr>
                      <w:rFonts w:ascii="仿宋" w:hAnsi="仿宋" w:eastAsia="仿宋" w:cs="仿宋"/>
                      <w:kern w:val="0"/>
                      <w:szCs w:val="21"/>
                      <w:highlight w:val="none"/>
                    </w:rPr>
                  </w:pPr>
                  <w:r>
                    <w:rPr>
                      <w:rFonts w:hint="eastAsia" w:ascii="仿宋" w:hAnsi="仿宋" w:eastAsia="仿宋" w:cs="仿宋"/>
                      <w:kern w:val="0"/>
                      <w:szCs w:val="21"/>
                      <w:highlight w:val="none"/>
                    </w:rPr>
                    <w:t>ARM Cortex A53×4</w:t>
                  </w:r>
                </w:p>
              </w:tc>
            </w:tr>
            <w:tr>
              <w:tblPrEx>
                <w:tblBorders>
                  <w:top w:val="single" w:color="073D95" w:sz="4" w:space="0"/>
                  <w:left w:val="single" w:color="073D95" w:sz="4" w:space="0"/>
                  <w:bottom w:val="single" w:color="073D95" w:sz="4" w:space="0"/>
                  <w:right w:val="single" w:color="073D95" w:sz="4" w:space="0"/>
                  <w:insideH w:val="single" w:color="073D95" w:sz="4" w:space="0"/>
                  <w:insideV w:val="single" w:color="073D95" w:sz="4" w:space="0"/>
                </w:tblBorders>
                <w:tblCellMar>
                  <w:top w:w="0" w:type="dxa"/>
                  <w:left w:w="108" w:type="dxa"/>
                  <w:bottom w:w="0" w:type="dxa"/>
                  <w:right w:w="108" w:type="dxa"/>
                </w:tblCellMar>
              </w:tblPrEx>
              <w:trPr>
                <w:trHeight w:val="278" w:hRule="atLeast"/>
                <w:jc w:val="center"/>
              </w:trPr>
              <w:tc>
                <w:tcPr>
                  <w:tcW w:w="1116" w:type="dxa"/>
                  <w:vMerge w:val="continue"/>
                  <w:vAlign w:val="center"/>
                </w:tcPr>
                <w:p>
                  <w:pPr>
                    <w:widowControl/>
                    <w:jc w:val="center"/>
                    <w:rPr>
                      <w:rFonts w:ascii="仿宋" w:hAnsi="仿宋" w:eastAsia="仿宋" w:cs="仿宋"/>
                      <w:kern w:val="0"/>
                      <w:szCs w:val="21"/>
                      <w:highlight w:val="none"/>
                    </w:rPr>
                  </w:pPr>
                </w:p>
              </w:tc>
              <w:tc>
                <w:tcPr>
                  <w:tcW w:w="4063" w:type="dxa"/>
                  <w:vAlign w:val="center"/>
                </w:tcPr>
                <w:p>
                  <w:pPr>
                    <w:widowControl/>
                    <w:jc w:val="center"/>
                    <w:rPr>
                      <w:rFonts w:ascii="仿宋" w:hAnsi="仿宋" w:eastAsia="仿宋" w:cs="仿宋"/>
                      <w:kern w:val="0"/>
                      <w:szCs w:val="21"/>
                      <w:highlight w:val="none"/>
                    </w:rPr>
                  </w:pPr>
                  <w:r>
                    <w:rPr>
                      <w:rFonts w:hint="eastAsia" w:ascii="仿宋" w:hAnsi="仿宋" w:eastAsia="仿宋" w:cs="仿宋"/>
                      <w:kern w:val="0"/>
                      <w:szCs w:val="21"/>
                      <w:highlight w:val="none"/>
                    </w:rPr>
                    <w:t>CPU工作主频</w:t>
                  </w:r>
                </w:p>
              </w:tc>
              <w:tc>
                <w:tcPr>
                  <w:tcW w:w="3406" w:type="dxa"/>
                  <w:tcBorders>
                    <w:bottom w:val="single" w:color="073D95" w:sz="4" w:space="0"/>
                    <w:right w:val="single" w:color="auto" w:sz="4" w:space="0"/>
                  </w:tcBorders>
                  <w:vAlign w:val="center"/>
                </w:tcPr>
                <w:p>
                  <w:pPr>
                    <w:widowControl/>
                    <w:jc w:val="center"/>
                    <w:rPr>
                      <w:rFonts w:ascii="仿宋" w:hAnsi="仿宋" w:eastAsia="仿宋" w:cs="仿宋"/>
                      <w:kern w:val="0"/>
                      <w:szCs w:val="21"/>
                      <w:highlight w:val="none"/>
                    </w:rPr>
                  </w:pPr>
                  <w:r>
                    <w:rPr>
                      <w:rFonts w:hint="eastAsia" w:ascii="仿宋" w:hAnsi="仿宋" w:eastAsia="仿宋" w:cs="仿宋"/>
                      <w:color w:val="000000"/>
                      <w:kern w:val="0"/>
                      <w:szCs w:val="21"/>
                      <w:highlight w:val="none"/>
                      <w:lang w:bidi="ar"/>
                    </w:rPr>
                    <w:t>≥</w:t>
                  </w:r>
                  <w:r>
                    <w:rPr>
                      <w:rFonts w:hint="eastAsia" w:ascii="仿宋" w:hAnsi="仿宋" w:eastAsia="仿宋" w:cs="仿宋"/>
                      <w:kern w:val="0"/>
                      <w:szCs w:val="21"/>
                      <w:highlight w:val="none"/>
                    </w:rPr>
                    <w:t>1.5GHz</w:t>
                  </w:r>
                </w:p>
              </w:tc>
            </w:tr>
            <w:tr>
              <w:tblPrEx>
                <w:tblBorders>
                  <w:top w:val="single" w:color="073D95" w:sz="4" w:space="0"/>
                  <w:left w:val="single" w:color="073D95" w:sz="4" w:space="0"/>
                  <w:bottom w:val="single" w:color="073D95" w:sz="4" w:space="0"/>
                  <w:right w:val="single" w:color="073D95" w:sz="4" w:space="0"/>
                  <w:insideH w:val="single" w:color="073D95" w:sz="4" w:space="0"/>
                  <w:insideV w:val="single" w:color="073D95" w:sz="4" w:space="0"/>
                </w:tblBorders>
                <w:tblCellMar>
                  <w:top w:w="0" w:type="dxa"/>
                  <w:left w:w="108" w:type="dxa"/>
                  <w:bottom w:w="0" w:type="dxa"/>
                  <w:right w:w="108" w:type="dxa"/>
                </w:tblCellMar>
              </w:tblPrEx>
              <w:trPr>
                <w:trHeight w:val="278" w:hRule="atLeast"/>
                <w:jc w:val="center"/>
              </w:trPr>
              <w:tc>
                <w:tcPr>
                  <w:tcW w:w="1116" w:type="dxa"/>
                  <w:vMerge w:val="continue"/>
                  <w:vAlign w:val="center"/>
                </w:tcPr>
                <w:p>
                  <w:pPr>
                    <w:widowControl/>
                    <w:jc w:val="center"/>
                    <w:rPr>
                      <w:rFonts w:ascii="仿宋" w:hAnsi="仿宋" w:eastAsia="仿宋" w:cs="仿宋"/>
                      <w:kern w:val="0"/>
                      <w:szCs w:val="21"/>
                      <w:highlight w:val="none"/>
                    </w:rPr>
                  </w:pPr>
                </w:p>
              </w:tc>
              <w:tc>
                <w:tcPr>
                  <w:tcW w:w="4063" w:type="dxa"/>
                  <w:vAlign w:val="center"/>
                </w:tcPr>
                <w:p>
                  <w:pPr>
                    <w:widowControl/>
                    <w:jc w:val="center"/>
                    <w:rPr>
                      <w:rFonts w:ascii="仿宋" w:hAnsi="仿宋" w:eastAsia="仿宋" w:cs="仿宋"/>
                      <w:kern w:val="0"/>
                      <w:szCs w:val="21"/>
                      <w:highlight w:val="none"/>
                    </w:rPr>
                  </w:pPr>
                  <w:r>
                    <w:rPr>
                      <w:rFonts w:hint="eastAsia" w:ascii="仿宋" w:hAnsi="仿宋" w:eastAsia="仿宋" w:cs="仿宋"/>
                      <w:kern w:val="0"/>
                      <w:szCs w:val="21"/>
                      <w:highlight w:val="none"/>
                    </w:rPr>
                    <w:t>CPU核心数</w:t>
                  </w:r>
                </w:p>
              </w:tc>
              <w:tc>
                <w:tcPr>
                  <w:tcW w:w="3406" w:type="dxa"/>
                  <w:tcBorders>
                    <w:bottom w:val="single" w:color="073D95" w:sz="4" w:space="0"/>
                    <w:right w:val="single" w:color="auto" w:sz="4" w:space="0"/>
                  </w:tcBorders>
                  <w:vAlign w:val="center"/>
                </w:tcPr>
                <w:p>
                  <w:pPr>
                    <w:widowControl/>
                    <w:jc w:val="center"/>
                    <w:rPr>
                      <w:rFonts w:ascii="仿宋" w:hAnsi="仿宋" w:eastAsia="仿宋" w:cs="仿宋"/>
                      <w:kern w:val="0"/>
                      <w:szCs w:val="21"/>
                      <w:highlight w:val="none"/>
                    </w:rPr>
                  </w:pPr>
                  <w:r>
                    <w:rPr>
                      <w:rFonts w:hint="eastAsia" w:ascii="仿宋" w:hAnsi="仿宋" w:eastAsia="仿宋" w:cs="仿宋"/>
                      <w:kern w:val="0"/>
                      <w:szCs w:val="21"/>
                      <w:highlight w:val="none"/>
                    </w:rPr>
                    <w:t>四核</w:t>
                  </w:r>
                </w:p>
              </w:tc>
            </w:tr>
            <w:tr>
              <w:tblPrEx>
                <w:tblBorders>
                  <w:top w:val="single" w:color="073D95" w:sz="4" w:space="0"/>
                  <w:left w:val="single" w:color="073D95" w:sz="4" w:space="0"/>
                  <w:bottom w:val="single" w:color="073D95" w:sz="4" w:space="0"/>
                  <w:right w:val="single" w:color="073D95" w:sz="4" w:space="0"/>
                  <w:insideH w:val="single" w:color="073D95" w:sz="4" w:space="0"/>
                  <w:insideV w:val="single" w:color="073D95" w:sz="4" w:space="0"/>
                </w:tblBorders>
                <w:tblCellMar>
                  <w:top w:w="0" w:type="dxa"/>
                  <w:left w:w="108" w:type="dxa"/>
                  <w:bottom w:w="0" w:type="dxa"/>
                  <w:right w:w="108" w:type="dxa"/>
                </w:tblCellMar>
              </w:tblPrEx>
              <w:trPr>
                <w:trHeight w:val="278" w:hRule="atLeast"/>
                <w:jc w:val="center"/>
              </w:trPr>
              <w:tc>
                <w:tcPr>
                  <w:tcW w:w="1116" w:type="dxa"/>
                  <w:vMerge w:val="continue"/>
                  <w:vAlign w:val="center"/>
                </w:tcPr>
                <w:p>
                  <w:pPr>
                    <w:widowControl/>
                    <w:jc w:val="center"/>
                    <w:rPr>
                      <w:rFonts w:ascii="仿宋" w:hAnsi="仿宋" w:eastAsia="仿宋" w:cs="仿宋"/>
                      <w:kern w:val="0"/>
                      <w:szCs w:val="21"/>
                      <w:highlight w:val="none"/>
                    </w:rPr>
                  </w:pPr>
                </w:p>
              </w:tc>
              <w:tc>
                <w:tcPr>
                  <w:tcW w:w="4063" w:type="dxa"/>
                  <w:vAlign w:val="center"/>
                </w:tcPr>
                <w:p>
                  <w:pPr>
                    <w:widowControl/>
                    <w:jc w:val="center"/>
                    <w:rPr>
                      <w:rFonts w:ascii="仿宋" w:hAnsi="仿宋" w:eastAsia="仿宋" w:cs="仿宋"/>
                      <w:kern w:val="0"/>
                      <w:szCs w:val="21"/>
                      <w:highlight w:val="none"/>
                    </w:rPr>
                  </w:pPr>
                  <w:r>
                    <w:rPr>
                      <w:rFonts w:hint="eastAsia" w:ascii="仿宋" w:hAnsi="仿宋" w:eastAsia="仿宋" w:cs="仿宋"/>
                      <w:kern w:val="0"/>
                      <w:szCs w:val="21"/>
                      <w:highlight w:val="none"/>
                    </w:rPr>
                    <w:t>GPU核心数</w:t>
                  </w:r>
                </w:p>
              </w:tc>
              <w:tc>
                <w:tcPr>
                  <w:tcW w:w="3406" w:type="dxa"/>
                  <w:tcBorders>
                    <w:bottom w:val="single" w:color="073D95" w:sz="4" w:space="0"/>
                    <w:right w:val="single" w:color="auto" w:sz="4" w:space="0"/>
                  </w:tcBorders>
                  <w:vAlign w:val="center"/>
                </w:tcPr>
                <w:p>
                  <w:pPr>
                    <w:widowControl/>
                    <w:jc w:val="center"/>
                    <w:rPr>
                      <w:rFonts w:ascii="仿宋" w:hAnsi="仿宋" w:eastAsia="仿宋" w:cs="仿宋"/>
                      <w:kern w:val="0"/>
                      <w:szCs w:val="21"/>
                      <w:highlight w:val="none"/>
                    </w:rPr>
                  </w:pPr>
                  <w:r>
                    <w:rPr>
                      <w:rFonts w:hint="eastAsia" w:ascii="仿宋" w:hAnsi="仿宋" w:eastAsia="仿宋" w:cs="仿宋"/>
                      <w:kern w:val="0"/>
                      <w:szCs w:val="21"/>
                      <w:highlight w:val="none"/>
                    </w:rPr>
                    <w:t>Mali450*4</w:t>
                  </w:r>
                </w:p>
              </w:tc>
            </w:tr>
            <w:tr>
              <w:tblPrEx>
                <w:tblBorders>
                  <w:top w:val="single" w:color="073D95" w:sz="4" w:space="0"/>
                  <w:left w:val="single" w:color="073D95" w:sz="4" w:space="0"/>
                  <w:bottom w:val="single" w:color="073D95" w:sz="4" w:space="0"/>
                  <w:right w:val="single" w:color="073D95" w:sz="4" w:space="0"/>
                  <w:insideH w:val="single" w:color="073D95" w:sz="4" w:space="0"/>
                  <w:insideV w:val="single" w:color="073D95" w:sz="4" w:space="0"/>
                </w:tblBorders>
                <w:tblCellMar>
                  <w:top w:w="0" w:type="dxa"/>
                  <w:left w:w="108" w:type="dxa"/>
                  <w:bottom w:w="0" w:type="dxa"/>
                  <w:right w:w="108" w:type="dxa"/>
                </w:tblCellMar>
              </w:tblPrEx>
              <w:trPr>
                <w:trHeight w:val="278" w:hRule="atLeast"/>
                <w:jc w:val="center"/>
              </w:trPr>
              <w:tc>
                <w:tcPr>
                  <w:tcW w:w="1116" w:type="dxa"/>
                  <w:vMerge w:val="continue"/>
                  <w:vAlign w:val="center"/>
                </w:tcPr>
                <w:p>
                  <w:pPr>
                    <w:widowControl/>
                    <w:jc w:val="center"/>
                    <w:rPr>
                      <w:rFonts w:ascii="仿宋" w:hAnsi="仿宋" w:eastAsia="仿宋" w:cs="仿宋"/>
                      <w:kern w:val="0"/>
                      <w:szCs w:val="21"/>
                      <w:highlight w:val="none"/>
                    </w:rPr>
                  </w:pPr>
                </w:p>
              </w:tc>
              <w:tc>
                <w:tcPr>
                  <w:tcW w:w="4063" w:type="dxa"/>
                  <w:vAlign w:val="center"/>
                </w:tcPr>
                <w:p>
                  <w:pPr>
                    <w:widowControl/>
                    <w:jc w:val="center"/>
                    <w:rPr>
                      <w:rFonts w:ascii="仿宋" w:hAnsi="仿宋" w:eastAsia="仿宋" w:cs="仿宋"/>
                      <w:kern w:val="0"/>
                      <w:szCs w:val="21"/>
                      <w:highlight w:val="none"/>
                    </w:rPr>
                  </w:pPr>
                  <w:r>
                    <w:rPr>
                      <w:rFonts w:hint="eastAsia" w:ascii="仿宋" w:hAnsi="仿宋" w:eastAsia="仿宋" w:cs="仿宋"/>
                      <w:kern w:val="0"/>
                      <w:szCs w:val="21"/>
                      <w:highlight w:val="none"/>
                    </w:rPr>
                    <w:t>内部缓存容量(RAM)</w:t>
                  </w:r>
                </w:p>
              </w:tc>
              <w:tc>
                <w:tcPr>
                  <w:tcW w:w="3406" w:type="dxa"/>
                  <w:tcBorders>
                    <w:bottom w:val="single" w:color="073D95" w:sz="4" w:space="0"/>
                    <w:right w:val="single" w:color="auto" w:sz="4" w:space="0"/>
                  </w:tcBorders>
                  <w:vAlign w:val="center"/>
                </w:tcPr>
                <w:p>
                  <w:pPr>
                    <w:widowControl/>
                    <w:jc w:val="center"/>
                    <w:rPr>
                      <w:rFonts w:ascii="仿宋" w:hAnsi="仿宋" w:eastAsia="仿宋" w:cs="仿宋"/>
                      <w:kern w:val="0"/>
                      <w:szCs w:val="21"/>
                      <w:highlight w:val="none"/>
                    </w:rPr>
                  </w:pPr>
                  <w:r>
                    <w:rPr>
                      <w:rFonts w:hint="eastAsia" w:ascii="仿宋" w:hAnsi="仿宋" w:eastAsia="仿宋" w:cs="仿宋"/>
                      <w:color w:val="000000"/>
                      <w:kern w:val="0"/>
                      <w:szCs w:val="21"/>
                      <w:highlight w:val="none"/>
                      <w:lang w:bidi="ar"/>
                    </w:rPr>
                    <w:t>≥</w:t>
                  </w:r>
                  <w:r>
                    <w:rPr>
                      <w:rFonts w:hint="eastAsia" w:ascii="仿宋" w:hAnsi="仿宋" w:eastAsia="仿宋" w:cs="仿宋"/>
                      <w:kern w:val="0"/>
                      <w:szCs w:val="21"/>
                      <w:highlight w:val="none"/>
                    </w:rPr>
                    <w:t>1GB DDR3</w:t>
                  </w:r>
                </w:p>
              </w:tc>
            </w:tr>
            <w:tr>
              <w:tblPrEx>
                <w:tblBorders>
                  <w:top w:val="single" w:color="073D95" w:sz="4" w:space="0"/>
                  <w:left w:val="single" w:color="073D95" w:sz="4" w:space="0"/>
                  <w:bottom w:val="single" w:color="073D95" w:sz="4" w:space="0"/>
                  <w:right w:val="single" w:color="073D95" w:sz="4" w:space="0"/>
                  <w:insideH w:val="single" w:color="073D95" w:sz="4" w:space="0"/>
                  <w:insideV w:val="single" w:color="073D95" w:sz="4" w:space="0"/>
                </w:tblBorders>
                <w:tblCellMar>
                  <w:top w:w="0" w:type="dxa"/>
                  <w:left w:w="108" w:type="dxa"/>
                  <w:bottom w:w="0" w:type="dxa"/>
                  <w:right w:w="108" w:type="dxa"/>
                </w:tblCellMar>
              </w:tblPrEx>
              <w:trPr>
                <w:trHeight w:val="278" w:hRule="atLeast"/>
                <w:jc w:val="center"/>
              </w:trPr>
              <w:tc>
                <w:tcPr>
                  <w:tcW w:w="1116" w:type="dxa"/>
                  <w:vMerge w:val="continue"/>
                  <w:vAlign w:val="center"/>
                </w:tcPr>
                <w:p>
                  <w:pPr>
                    <w:widowControl/>
                    <w:jc w:val="center"/>
                    <w:rPr>
                      <w:rFonts w:ascii="仿宋" w:hAnsi="仿宋" w:eastAsia="仿宋" w:cs="仿宋"/>
                      <w:kern w:val="0"/>
                      <w:szCs w:val="21"/>
                      <w:highlight w:val="none"/>
                    </w:rPr>
                  </w:pPr>
                </w:p>
              </w:tc>
              <w:tc>
                <w:tcPr>
                  <w:tcW w:w="4063" w:type="dxa"/>
                  <w:vAlign w:val="center"/>
                </w:tcPr>
                <w:p>
                  <w:pPr>
                    <w:widowControl/>
                    <w:jc w:val="center"/>
                    <w:rPr>
                      <w:rFonts w:ascii="仿宋" w:hAnsi="仿宋" w:eastAsia="仿宋" w:cs="仿宋"/>
                      <w:kern w:val="0"/>
                      <w:szCs w:val="21"/>
                      <w:highlight w:val="none"/>
                    </w:rPr>
                  </w:pPr>
                  <w:r>
                    <w:rPr>
                      <w:rFonts w:hint="eastAsia" w:ascii="仿宋" w:hAnsi="仿宋" w:eastAsia="仿宋" w:cs="仿宋"/>
                      <w:kern w:val="0"/>
                      <w:szCs w:val="21"/>
                      <w:highlight w:val="none"/>
                    </w:rPr>
                    <w:t>内部缓存容量(ROM)</w:t>
                  </w:r>
                </w:p>
              </w:tc>
              <w:tc>
                <w:tcPr>
                  <w:tcW w:w="3406" w:type="dxa"/>
                  <w:tcBorders>
                    <w:bottom w:val="single" w:color="073D95" w:sz="4" w:space="0"/>
                    <w:right w:val="single" w:color="auto" w:sz="4" w:space="0"/>
                  </w:tcBorders>
                  <w:vAlign w:val="center"/>
                </w:tcPr>
                <w:p>
                  <w:pPr>
                    <w:widowControl/>
                    <w:jc w:val="center"/>
                    <w:rPr>
                      <w:rFonts w:ascii="仿宋" w:hAnsi="仿宋" w:eastAsia="仿宋" w:cs="仿宋"/>
                      <w:kern w:val="0"/>
                      <w:szCs w:val="21"/>
                      <w:highlight w:val="none"/>
                    </w:rPr>
                  </w:pPr>
                  <w:r>
                    <w:rPr>
                      <w:rFonts w:hint="eastAsia" w:ascii="仿宋" w:hAnsi="仿宋" w:eastAsia="仿宋" w:cs="仿宋"/>
                      <w:color w:val="000000"/>
                      <w:kern w:val="0"/>
                      <w:szCs w:val="21"/>
                      <w:highlight w:val="none"/>
                      <w:lang w:bidi="ar"/>
                    </w:rPr>
                    <w:t>≥</w:t>
                  </w:r>
                  <w:r>
                    <w:rPr>
                      <w:rFonts w:hint="eastAsia" w:ascii="仿宋" w:hAnsi="仿宋" w:eastAsia="仿宋" w:cs="仿宋"/>
                      <w:kern w:val="0"/>
                      <w:szCs w:val="21"/>
                      <w:highlight w:val="none"/>
                    </w:rPr>
                    <w:t>8G</w:t>
                  </w:r>
                </w:p>
              </w:tc>
            </w:tr>
            <w:tr>
              <w:tblPrEx>
                <w:tblBorders>
                  <w:top w:val="single" w:color="073D95" w:sz="4" w:space="0"/>
                  <w:left w:val="single" w:color="073D95" w:sz="4" w:space="0"/>
                  <w:bottom w:val="single" w:color="073D95" w:sz="4" w:space="0"/>
                  <w:right w:val="single" w:color="073D95" w:sz="4" w:space="0"/>
                  <w:insideH w:val="single" w:color="073D95" w:sz="4" w:space="0"/>
                  <w:insideV w:val="single" w:color="073D95" w:sz="4" w:space="0"/>
                </w:tblBorders>
                <w:tblCellMar>
                  <w:top w:w="0" w:type="dxa"/>
                  <w:left w:w="108" w:type="dxa"/>
                  <w:bottom w:w="0" w:type="dxa"/>
                  <w:right w:w="108" w:type="dxa"/>
                </w:tblCellMar>
              </w:tblPrEx>
              <w:trPr>
                <w:trHeight w:val="278" w:hRule="atLeast"/>
                <w:jc w:val="center"/>
              </w:trPr>
              <w:tc>
                <w:tcPr>
                  <w:tcW w:w="1116" w:type="dxa"/>
                  <w:vMerge w:val="continue"/>
                  <w:vAlign w:val="center"/>
                </w:tcPr>
                <w:p>
                  <w:pPr>
                    <w:widowControl/>
                    <w:jc w:val="center"/>
                    <w:rPr>
                      <w:rFonts w:ascii="仿宋" w:hAnsi="仿宋" w:eastAsia="仿宋" w:cs="仿宋"/>
                      <w:kern w:val="0"/>
                      <w:szCs w:val="21"/>
                      <w:highlight w:val="none"/>
                    </w:rPr>
                  </w:pPr>
                </w:p>
              </w:tc>
              <w:tc>
                <w:tcPr>
                  <w:tcW w:w="4063" w:type="dxa"/>
                  <w:vAlign w:val="center"/>
                </w:tcPr>
                <w:p>
                  <w:pPr>
                    <w:widowControl/>
                    <w:jc w:val="center"/>
                    <w:rPr>
                      <w:rFonts w:ascii="仿宋" w:hAnsi="仿宋" w:eastAsia="仿宋" w:cs="仿宋"/>
                      <w:kern w:val="0"/>
                      <w:szCs w:val="21"/>
                      <w:highlight w:val="none"/>
                    </w:rPr>
                  </w:pPr>
                  <w:r>
                    <w:rPr>
                      <w:rFonts w:hint="eastAsia" w:ascii="仿宋" w:hAnsi="仿宋" w:eastAsia="仿宋" w:cs="仿宋"/>
                      <w:kern w:val="0"/>
                      <w:szCs w:val="21"/>
                      <w:highlight w:val="none"/>
                    </w:rPr>
                    <w:t>系统版本</w:t>
                  </w:r>
                </w:p>
              </w:tc>
              <w:tc>
                <w:tcPr>
                  <w:tcW w:w="3406" w:type="dxa"/>
                  <w:tcBorders>
                    <w:bottom w:val="single" w:color="073D95" w:sz="4" w:space="0"/>
                    <w:right w:val="single" w:color="auto" w:sz="4" w:space="0"/>
                  </w:tcBorders>
                  <w:vAlign w:val="center"/>
                </w:tcPr>
                <w:p>
                  <w:pPr>
                    <w:widowControl/>
                    <w:jc w:val="center"/>
                    <w:rPr>
                      <w:rFonts w:ascii="仿宋" w:hAnsi="仿宋" w:eastAsia="仿宋" w:cs="仿宋"/>
                      <w:kern w:val="0"/>
                      <w:szCs w:val="21"/>
                      <w:highlight w:val="none"/>
                    </w:rPr>
                  </w:pPr>
                  <w:r>
                    <w:rPr>
                      <w:rFonts w:hint="eastAsia" w:ascii="仿宋" w:hAnsi="仿宋" w:eastAsia="仿宋" w:cs="仿宋"/>
                      <w:kern w:val="0"/>
                      <w:szCs w:val="21"/>
                      <w:highlight w:val="none"/>
                    </w:rPr>
                    <w:t>Android 6.0</w:t>
                  </w:r>
                </w:p>
              </w:tc>
            </w:tr>
            <w:tr>
              <w:tblPrEx>
                <w:tblBorders>
                  <w:top w:val="single" w:color="073D95" w:sz="4" w:space="0"/>
                  <w:left w:val="single" w:color="073D95" w:sz="4" w:space="0"/>
                  <w:bottom w:val="single" w:color="073D95" w:sz="4" w:space="0"/>
                  <w:right w:val="single" w:color="073D95" w:sz="4" w:space="0"/>
                  <w:insideH w:val="single" w:color="073D95" w:sz="4" w:space="0"/>
                  <w:insideV w:val="single" w:color="073D95" w:sz="4" w:space="0"/>
                </w:tblBorders>
                <w:tblCellMar>
                  <w:top w:w="0" w:type="dxa"/>
                  <w:left w:w="108" w:type="dxa"/>
                  <w:bottom w:w="0" w:type="dxa"/>
                  <w:right w:w="108" w:type="dxa"/>
                </w:tblCellMar>
              </w:tblPrEx>
              <w:trPr>
                <w:trHeight w:val="278" w:hRule="atLeast"/>
                <w:jc w:val="center"/>
              </w:trPr>
              <w:tc>
                <w:tcPr>
                  <w:tcW w:w="1116" w:type="dxa"/>
                  <w:vAlign w:val="center"/>
                </w:tcPr>
                <w:p>
                  <w:pPr>
                    <w:widowControl/>
                    <w:jc w:val="center"/>
                    <w:rPr>
                      <w:rFonts w:ascii="仿宋" w:hAnsi="仿宋" w:eastAsia="仿宋" w:cs="仿宋"/>
                      <w:kern w:val="0"/>
                      <w:szCs w:val="21"/>
                      <w:highlight w:val="none"/>
                    </w:rPr>
                  </w:pPr>
                  <w:r>
                    <w:rPr>
                      <w:rFonts w:hint="eastAsia" w:ascii="仿宋" w:hAnsi="仿宋" w:eastAsia="仿宋" w:cs="仿宋"/>
                      <w:kern w:val="0"/>
                      <w:szCs w:val="21"/>
                      <w:highlight w:val="none"/>
                    </w:rPr>
                    <w:t>触摸屏</w:t>
                  </w:r>
                </w:p>
              </w:tc>
              <w:tc>
                <w:tcPr>
                  <w:tcW w:w="4063" w:type="dxa"/>
                  <w:vAlign w:val="center"/>
                </w:tcPr>
                <w:p>
                  <w:pPr>
                    <w:widowControl/>
                    <w:jc w:val="center"/>
                    <w:rPr>
                      <w:rFonts w:ascii="仿宋" w:hAnsi="仿宋" w:eastAsia="仿宋" w:cs="仿宋"/>
                      <w:kern w:val="0"/>
                      <w:szCs w:val="21"/>
                      <w:highlight w:val="none"/>
                    </w:rPr>
                  </w:pPr>
                  <w:r>
                    <w:rPr>
                      <w:rFonts w:hint="eastAsia" w:ascii="仿宋" w:hAnsi="仿宋" w:eastAsia="仿宋" w:cs="仿宋"/>
                      <w:szCs w:val="21"/>
                      <w:highlight w:val="none"/>
                    </w:rPr>
                    <w:t>二十点触控</w:t>
                  </w:r>
                </w:p>
              </w:tc>
              <w:tc>
                <w:tcPr>
                  <w:tcW w:w="3406" w:type="dxa"/>
                  <w:tcBorders>
                    <w:right w:val="single" w:color="auto" w:sz="4" w:space="0"/>
                  </w:tcBorders>
                  <w:vAlign w:val="center"/>
                </w:tcPr>
                <w:p>
                  <w:pPr>
                    <w:widowControl/>
                    <w:jc w:val="center"/>
                    <w:rPr>
                      <w:rFonts w:ascii="仿宋" w:hAnsi="仿宋" w:eastAsia="仿宋" w:cs="仿宋"/>
                      <w:kern w:val="0"/>
                      <w:szCs w:val="21"/>
                      <w:highlight w:val="none"/>
                    </w:rPr>
                  </w:pPr>
                  <w:r>
                    <w:rPr>
                      <w:rFonts w:hint="eastAsia" w:ascii="仿宋" w:hAnsi="仿宋" w:eastAsia="仿宋" w:cs="仿宋"/>
                      <w:kern w:val="0"/>
                      <w:szCs w:val="21"/>
                      <w:highlight w:val="none"/>
                    </w:rPr>
                    <w:t>支持</w:t>
                  </w:r>
                </w:p>
              </w:tc>
            </w:tr>
            <w:tr>
              <w:tblPrEx>
                <w:tblBorders>
                  <w:top w:val="single" w:color="073D95" w:sz="4" w:space="0"/>
                  <w:left w:val="single" w:color="073D95" w:sz="4" w:space="0"/>
                  <w:bottom w:val="single" w:color="073D95" w:sz="4" w:space="0"/>
                  <w:right w:val="single" w:color="073D95" w:sz="4" w:space="0"/>
                  <w:insideH w:val="single" w:color="073D95" w:sz="4" w:space="0"/>
                  <w:insideV w:val="single" w:color="073D95" w:sz="4" w:space="0"/>
                </w:tblBorders>
                <w:tblCellMar>
                  <w:top w:w="0" w:type="dxa"/>
                  <w:left w:w="108" w:type="dxa"/>
                  <w:bottom w:w="0" w:type="dxa"/>
                  <w:right w:w="108" w:type="dxa"/>
                </w:tblCellMar>
              </w:tblPrEx>
              <w:trPr>
                <w:trHeight w:val="278" w:hRule="atLeast"/>
                <w:jc w:val="center"/>
              </w:trPr>
              <w:tc>
                <w:tcPr>
                  <w:tcW w:w="1116" w:type="dxa"/>
                  <w:vMerge w:val="restart"/>
                  <w:vAlign w:val="center"/>
                </w:tcPr>
                <w:p>
                  <w:pPr>
                    <w:widowControl/>
                    <w:jc w:val="center"/>
                    <w:rPr>
                      <w:rFonts w:ascii="仿宋" w:hAnsi="仿宋" w:eastAsia="仿宋" w:cs="仿宋"/>
                      <w:kern w:val="0"/>
                      <w:szCs w:val="21"/>
                      <w:highlight w:val="none"/>
                    </w:rPr>
                  </w:pPr>
                  <w:r>
                    <w:rPr>
                      <w:rFonts w:hint="eastAsia" w:ascii="仿宋" w:hAnsi="仿宋" w:eastAsia="仿宋" w:cs="仿宋"/>
                      <w:kern w:val="0"/>
                      <w:szCs w:val="21"/>
                      <w:highlight w:val="none"/>
                    </w:rPr>
                    <w:t>内置电脑（选配）</w:t>
                  </w:r>
                </w:p>
              </w:tc>
              <w:tc>
                <w:tcPr>
                  <w:tcW w:w="4063" w:type="dxa"/>
                  <w:vAlign w:val="center"/>
                </w:tcPr>
                <w:p>
                  <w:pPr>
                    <w:widowControl/>
                    <w:jc w:val="center"/>
                    <w:rPr>
                      <w:rFonts w:ascii="仿宋" w:hAnsi="仿宋" w:eastAsia="仿宋" w:cs="仿宋"/>
                      <w:szCs w:val="21"/>
                      <w:highlight w:val="none"/>
                    </w:rPr>
                  </w:pPr>
                  <w:r>
                    <w:rPr>
                      <w:rFonts w:hint="eastAsia" w:ascii="仿宋" w:hAnsi="仿宋" w:eastAsia="仿宋" w:cs="仿宋"/>
                      <w:kern w:val="0"/>
                      <w:szCs w:val="21"/>
                      <w:highlight w:val="none"/>
                    </w:rPr>
                    <w:t>CPU</w:t>
                  </w:r>
                </w:p>
              </w:tc>
              <w:tc>
                <w:tcPr>
                  <w:tcW w:w="3406" w:type="dxa"/>
                  <w:tcBorders>
                    <w:right w:val="single" w:color="auto" w:sz="4" w:space="0"/>
                  </w:tcBorders>
                  <w:vAlign w:val="center"/>
                </w:tcPr>
                <w:p>
                  <w:pPr>
                    <w:widowControl/>
                    <w:jc w:val="center"/>
                    <w:rPr>
                      <w:rFonts w:ascii="仿宋" w:hAnsi="仿宋" w:eastAsia="仿宋" w:cs="仿宋"/>
                      <w:kern w:val="0"/>
                      <w:szCs w:val="21"/>
                      <w:highlight w:val="none"/>
                    </w:rPr>
                  </w:pPr>
                  <w:r>
                    <w:rPr>
                      <w:rFonts w:hint="eastAsia" w:ascii="仿宋" w:hAnsi="仿宋" w:eastAsia="仿宋" w:cs="仿宋"/>
                      <w:kern w:val="0"/>
                      <w:szCs w:val="21"/>
                      <w:highlight w:val="none"/>
                    </w:rPr>
                    <w:t>I7</w:t>
                  </w:r>
                </w:p>
              </w:tc>
            </w:tr>
            <w:tr>
              <w:tblPrEx>
                <w:tblBorders>
                  <w:top w:val="single" w:color="073D95" w:sz="4" w:space="0"/>
                  <w:left w:val="single" w:color="073D95" w:sz="4" w:space="0"/>
                  <w:bottom w:val="single" w:color="073D95" w:sz="4" w:space="0"/>
                  <w:right w:val="single" w:color="073D95" w:sz="4" w:space="0"/>
                  <w:insideH w:val="single" w:color="073D95" w:sz="4" w:space="0"/>
                  <w:insideV w:val="single" w:color="073D95" w:sz="4" w:space="0"/>
                </w:tblBorders>
                <w:tblCellMar>
                  <w:top w:w="0" w:type="dxa"/>
                  <w:left w:w="108" w:type="dxa"/>
                  <w:bottom w:w="0" w:type="dxa"/>
                  <w:right w:w="108" w:type="dxa"/>
                </w:tblCellMar>
              </w:tblPrEx>
              <w:trPr>
                <w:trHeight w:val="278" w:hRule="atLeast"/>
                <w:jc w:val="center"/>
              </w:trPr>
              <w:tc>
                <w:tcPr>
                  <w:tcW w:w="1116" w:type="dxa"/>
                  <w:vMerge w:val="continue"/>
                  <w:vAlign w:val="center"/>
                </w:tcPr>
                <w:p>
                  <w:pPr>
                    <w:widowControl/>
                    <w:jc w:val="center"/>
                    <w:rPr>
                      <w:rFonts w:ascii="仿宋" w:hAnsi="仿宋" w:eastAsia="仿宋" w:cs="仿宋"/>
                      <w:kern w:val="0"/>
                      <w:szCs w:val="21"/>
                      <w:highlight w:val="none"/>
                    </w:rPr>
                  </w:pPr>
                </w:p>
              </w:tc>
              <w:tc>
                <w:tcPr>
                  <w:tcW w:w="4063" w:type="dxa"/>
                  <w:vAlign w:val="center"/>
                </w:tcPr>
                <w:p>
                  <w:pPr>
                    <w:widowControl/>
                    <w:jc w:val="center"/>
                    <w:rPr>
                      <w:rFonts w:ascii="仿宋" w:hAnsi="仿宋" w:eastAsia="仿宋" w:cs="仿宋"/>
                      <w:szCs w:val="21"/>
                      <w:highlight w:val="none"/>
                    </w:rPr>
                  </w:pPr>
                  <w:r>
                    <w:rPr>
                      <w:rFonts w:hint="eastAsia" w:ascii="仿宋" w:hAnsi="仿宋" w:eastAsia="仿宋" w:cs="仿宋"/>
                      <w:kern w:val="0"/>
                      <w:szCs w:val="21"/>
                      <w:highlight w:val="none"/>
                    </w:rPr>
                    <w:t>内存</w:t>
                  </w:r>
                </w:p>
              </w:tc>
              <w:tc>
                <w:tcPr>
                  <w:tcW w:w="3406" w:type="dxa"/>
                  <w:tcBorders>
                    <w:right w:val="single" w:color="auto" w:sz="4" w:space="0"/>
                  </w:tcBorders>
                  <w:vAlign w:val="center"/>
                </w:tcPr>
                <w:p>
                  <w:pPr>
                    <w:widowControl/>
                    <w:jc w:val="center"/>
                    <w:rPr>
                      <w:rFonts w:ascii="仿宋" w:hAnsi="仿宋" w:eastAsia="仿宋" w:cs="仿宋"/>
                      <w:kern w:val="0"/>
                      <w:szCs w:val="21"/>
                      <w:highlight w:val="none"/>
                    </w:rPr>
                  </w:pPr>
                  <w:r>
                    <w:rPr>
                      <w:rFonts w:hint="eastAsia" w:ascii="仿宋" w:hAnsi="仿宋" w:eastAsia="仿宋" w:cs="仿宋"/>
                      <w:color w:val="000000"/>
                      <w:kern w:val="0"/>
                      <w:szCs w:val="21"/>
                      <w:highlight w:val="none"/>
                      <w:lang w:bidi="ar"/>
                    </w:rPr>
                    <w:t>≥</w:t>
                  </w:r>
                  <w:r>
                    <w:rPr>
                      <w:rFonts w:hint="eastAsia" w:ascii="仿宋" w:hAnsi="仿宋" w:eastAsia="仿宋" w:cs="仿宋"/>
                      <w:kern w:val="0"/>
                      <w:szCs w:val="21"/>
                      <w:highlight w:val="none"/>
                    </w:rPr>
                    <w:t>16G DDR3</w:t>
                  </w:r>
                </w:p>
              </w:tc>
            </w:tr>
            <w:tr>
              <w:tblPrEx>
                <w:tblBorders>
                  <w:top w:val="single" w:color="073D95" w:sz="4" w:space="0"/>
                  <w:left w:val="single" w:color="073D95" w:sz="4" w:space="0"/>
                  <w:bottom w:val="single" w:color="073D95" w:sz="4" w:space="0"/>
                  <w:right w:val="single" w:color="073D95" w:sz="4" w:space="0"/>
                  <w:insideH w:val="single" w:color="073D95" w:sz="4" w:space="0"/>
                  <w:insideV w:val="single" w:color="073D95" w:sz="4" w:space="0"/>
                </w:tblBorders>
                <w:tblCellMar>
                  <w:top w:w="0" w:type="dxa"/>
                  <w:left w:w="108" w:type="dxa"/>
                  <w:bottom w:w="0" w:type="dxa"/>
                  <w:right w:w="108" w:type="dxa"/>
                </w:tblCellMar>
              </w:tblPrEx>
              <w:trPr>
                <w:trHeight w:val="278" w:hRule="atLeast"/>
                <w:jc w:val="center"/>
              </w:trPr>
              <w:tc>
                <w:tcPr>
                  <w:tcW w:w="1116" w:type="dxa"/>
                  <w:vMerge w:val="continue"/>
                  <w:vAlign w:val="center"/>
                </w:tcPr>
                <w:p>
                  <w:pPr>
                    <w:widowControl/>
                    <w:jc w:val="center"/>
                    <w:rPr>
                      <w:rFonts w:ascii="仿宋" w:hAnsi="仿宋" w:eastAsia="仿宋" w:cs="仿宋"/>
                      <w:kern w:val="0"/>
                      <w:szCs w:val="21"/>
                      <w:highlight w:val="none"/>
                    </w:rPr>
                  </w:pPr>
                </w:p>
              </w:tc>
              <w:tc>
                <w:tcPr>
                  <w:tcW w:w="4063" w:type="dxa"/>
                  <w:vAlign w:val="center"/>
                </w:tcPr>
                <w:p>
                  <w:pPr>
                    <w:widowControl/>
                    <w:jc w:val="center"/>
                    <w:rPr>
                      <w:rFonts w:ascii="仿宋" w:hAnsi="仿宋" w:eastAsia="仿宋" w:cs="仿宋"/>
                      <w:szCs w:val="21"/>
                      <w:highlight w:val="none"/>
                    </w:rPr>
                  </w:pPr>
                  <w:r>
                    <w:rPr>
                      <w:rFonts w:hint="eastAsia" w:ascii="仿宋" w:hAnsi="仿宋" w:eastAsia="仿宋" w:cs="仿宋"/>
                      <w:kern w:val="0"/>
                      <w:szCs w:val="21"/>
                      <w:highlight w:val="none"/>
                    </w:rPr>
                    <w:t>硬盘</w:t>
                  </w:r>
                </w:p>
              </w:tc>
              <w:tc>
                <w:tcPr>
                  <w:tcW w:w="3406" w:type="dxa"/>
                  <w:tcBorders>
                    <w:right w:val="single" w:color="auto" w:sz="4" w:space="0"/>
                  </w:tcBorders>
                  <w:vAlign w:val="center"/>
                </w:tcPr>
                <w:p>
                  <w:pPr>
                    <w:widowControl/>
                    <w:jc w:val="center"/>
                    <w:rPr>
                      <w:rFonts w:ascii="仿宋" w:hAnsi="仿宋" w:eastAsia="仿宋" w:cs="仿宋"/>
                      <w:kern w:val="0"/>
                      <w:szCs w:val="21"/>
                      <w:highlight w:val="none"/>
                    </w:rPr>
                  </w:pPr>
                  <w:r>
                    <w:rPr>
                      <w:rFonts w:hint="eastAsia" w:ascii="仿宋" w:hAnsi="仿宋" w:eastAsia="仿宋" w:cs="仿宋"/>
                      <w:color w:val="000000"/>
                      <w:kern w:val="0"/>
                      <w:szCs w:val="21"/>
                      <w:highlight w:val="none"/>
                      <w:lang w:bidi="ar"/>
                    </w:rPr>
                    <w:t>≥</w:t>
                  </w:r>
                  <w:r>
                    <w:rPr>
                      <w:rFonts w:hint="eastAsia" w:ascii="仿宋" w:hAnsi="仿宋" w:eastAsia="仿宋" w:cs="仿宋"/>
                      <w:kern w:val="0"/>
                      <w:szCs w:val="21"/>
                      <w:highlight w:val="none"/>
                    </w:rPr>
                    <w:t>SSD256G</w:t>
                  </w:r>
                </w:p>
              </w:tc>
            </w:tr>
            <w:tr>
              <w:tblPrEx>
                <w:tblBorders>
                  <w:top w:val="single" w:color="073D95" w:sz="4" w:space="0"/>
                  <w:left w:val="single" w:color="073D95" w:sz="4" w:space="0"/>
                  <w:bottom w:val="single" w:color="073D95" w:sz="4" w:space="0"/>
                  <w:right w:val="single" w:color="073D95" w:sz="4" w:space="0"/>
                  <w:insideH w:val="single" w:color="073D95" w:sz="4" w:space="0"/>
                  <w:insideV w:val="single" w:color="073D95" w:sz="4" w:space="0"/>
                </w:tblBorders>
                <w:tblCellMar>
                  <w:top w:w="0" w:type="dxa"/>
                  <w:left w:w="108" w:type="dxa"/>
                  <w:bottom w:w="0" w:type="dxa"/>
                  <w:right w:w="108" w:type="dxa"/>
                </w:tblCellMar>
              </w:tblPrEx>
              <w:trPr>
                <w:trHeight w:val="278" w:hRule="atLeast"/>
                <w:jc w:val="center"/>
              </w:trPr>
              <w:tc>
                <w:tcPr>
                  <w:tcW w:w="1116" w:type="dxa"/>
                  <w:vMerge w:val="continue"/>
                  <w:vAlign w:val="center"/>
                </w:tcPr>
                <w:p>
                  <w:pPr>
                    <w:widowControl/>
                    <w:jc w:val="center"/>
                    <w:rPr>
                      <w:rFonts w:ascii="仿宋" w:hAnsi="仿宋" w:eastAsia="仿宋" w:cs="仿宋"/>
                      <w:kern w:val="0"/>
                      <w:szCs w:val="21"/>
                      <w:highlight w:val="none"/>
                    </w:rPr>
                  </w:pPr>
                </w:p>
              </w:tc>
              <w:tc>
                <w:tcPr>
                  <w:tcW w:w="4063" w:type="dxa"/>
                  <w:vAlign w:val="center"/>
                </w:tcPr>
                <w:p>
                  <w:pPr>
                    <w:widowControl/>
                    <w:jc w:val="center"/>
                    <w:rPr>
                      <w:rFonts w:ascii="仿宋" w:hAnsi="仿宋" w:eastAsia="仿宋" w:cs="仿宋"/>
                      <w:szCs w:val="21"/>
                      <w:highlight w:val="none"/>
                    </w:rPr>
                  </w:pPr>
                  <w:r>
                    <w:rPr>
                      <w:rFonts w:hint="eastAsia" w:ascii="仿宋" w:hAnsi="仿宋" w:eastAsia="仿宋" w:cs="仿宋"/>
                      <w:kern w:val="0"/>
                      <w:szCs w:val="21"/>
                      <w:highlight w:val="none"/>
                    </w:rPr>
                    <w:t>操作系统</w:t>
                  </w:r>
                </w:p>
              </w:tc>
              <w:tc>
                <w:tcPr>
                  <w:tcW w:w="3406" w:type="dxa"/>
                  <w:tcBorders>
                    <w:right w:val="single" w:color="auto" w:sz="4" w:space="0"/>
                  </w:tcBorders>
                  <w:vAlign w:val="center"/>
                </w:tcPr>
                <w:p>
                  <w:pPr>
                    <w:widowControl/>
                    <w:jc w:val="center"/>
                    <w:rPr>
                      <w:rFonts w:ascii="仿宋" w:hAnsi="仿宋" w:eastAsia="仿宋" w:cs="仿宋"/>
                      <w:kern w:val="0"/>
                      <w:szCs w:val="21"/>
                      <w:highlight w:val="none"/>
                    </w:rPr>
                  </w:pPr>
                  <w:r>
                    <w:rPr>
                      <w:rFonts w:hint="eastAsia" w:ascii="仿宋" w:hAnsi="仿宋" w:eastAsia="仿宋" w:cs="仿宋"/>
                      <w:kern w:val="0"/>
                      <w:szCs w:val="21"/>
                      <w:highlight w:val="none"/>
                    </w:rPr>
                    <w:t>WIN7/WIN10</w:t>
                  </w:r>
                </w:p>
              </w:tc>
            </w:tr>
            <w:tr>
              <w:tblPrEx>
                <w:tblBorders>
                  <w:top w:val="single" w:color="073D95" w:sz="4" w:space="0"/>
                  <w:left w:val="single" w:color="073D95" w:sz="4" w:space="0"/>
                  <w:bottom w:val="single" w:color="073D95" w:sz="4" w:space="0"/>
                  <w:right w:val="single" w:color="073D95" w:sz="4" w:space="0"/>
                  <w:insideH w:val="single" w:color="073D95" w:sz="4" w:space="0"/>
                  <w:insideV w:val="single" w:color="073D95" w:sz="4" w:space="0"/>
                </w:tblBorders>
                <w:tblCellMar>
                  <w:top w:w="0" w:type="dxa"/>
                  <w:left w:w="108" w:type="dxa"/>
                  <w:bottom w:w="0" w:type="dxa"/>
                  <w:right w:w="108" w:type="dxa"/>
                </w:tblCellMar>
              </w:tblPrEx>
              <w:trPr>
                <w:trHeight w:val="278" w:hRule="atLeast"/>
                <w:jc w:val="center"/>
              </w:trPr>
              <w:tc>
                <w:tcPr>
                  <w:tcW w:w="1116" w:type="dxa"/>
                  <w:vMerge w:val="continue"/>
                  <w:vAlign w:val="center"/>
                </w:tcPr>
                <w:p>
                  <w:pPr>
                    <w:widowControl/>
                    <w:jc w:val="center"/>
                    <w:rPr>
                      <w:rFonts w:ascii="仿宋" w:hAnsi="仿宋" w:eastAsia="仿宋" w:cs="仿宋"/>
                      <w:kern w:val="0"/>
                      <w:szCs w:val="21"/>
                      <w:highlight w:val="none"/>
                    </w:rPr>
                  </w:pPr>
                </w:p>
              </w:tc>
              <w:tc>
                <w:tcPr>
                  <w:tcW w:w="4063" w:type="dxa"/>
                  <w:vAlign w:val="center"/>
                </w:tcPr>
                <w:p>
                  <w:pPr>
                    <w:widowControl/>
                    <w:jc w:val="center"/>
                    <w:rPr>
                      <w:rFonts w:ascii="仿宋" w:hAnsi="仿宋" w:eastAsia="仿宋" w:cs="仿宋"/>
                      <w:szCs w:val="21"/>
                      <w:highlight w:val="none"/>
                    </w:rPr>
                  </w:pPr>
                  <w:r>
                    <w:rPr>
                      <w:rFonts w:hint="eastAsia" w:ascii="仿宋" w:hAnsi="仿宋" w:eastAsia="仿宋" w:cs="仿宋"/>
                      <w:kern w:val="0"/>
                      <w:szCs w:val="21"/>
                      <w:highlight w:val="none"/>
                    </w:rPr>
                    <w:t>书写板软件</w:t>
                  </w:r>
                </w:p>
              </w:tc>
              <w:tc>
                <w:tcPr>
                  <w:tcW w:w="3406" w:type="dxa"/>
                  <w:tcBorders>
                    <w:right w:val="single" w:color="auto" w:sz="4" w:space="0"/>
                  </w:tcBorders>
                  <w:vAlign w:val="center"/>
                </w:tcPr>
                <w:p>
                  <w:pPr>
                    <w:widowControl/>
                    <w:jc w:val="center"/>
                    <w:rPr>
                      <w:rFonts w:ascii="仿宋" w:hAnsi="仿宋" w:eastAsia="仿宋" w:cs="仿宋"/>
                      <w:kern w:val="0"/>
                      <w:szCs w:val="21"/>
                      <w:highlight w:val="none"/>
                    </w:rPr>
                  </w:pPr>
                  <w:r>
                    <w:rPr>
                      <w:rFonts w:hint="eastAsia" w:ascii="仿宋" w:hAnsi="仿宋" w:eastAsia="仿宋" w:cs="仿宋"/>
                      <w:kern w:val="0"/>
                      <w:szCs w:val="21"/>
                      <w:highlight w:val="none"/>
                    </w:rPr>
                    <w:t>有</w:t>
                  </w:r>
                </w:p>
              </w:tc>
            </w:tr>
          </w:tbl>
          <w:p>
            <w:pPr>
              <w:rPr>
                <w:rFonts w:ascii="仿宋" w:hAnsi="仿宋" w:eastAsia="仿宋" w:cs="仿宋"/>
                <w:szCs w:val="21"/>
                <w:highlight w:val="none"/>
              </w:rPr>
            </w:pPr>
          </w:p>
        </w:tc>
        <w:tc>
          <w:tcPr>
            <w:tcW w:w="566" w:type="dxa"/>
            <w:vAlign w:val="center"/>
          </w:tcPr>
          <w:p>
            <w:pP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647" w:type="dxa"/>
            <w:vAlign w:val="center"/>
          </w:tcPr>
          <w:p>
            <w:pPr>
              <w:pStyle w:val="20"/>
              <w:rPr>
                <w:rFonts w:ascii="仿宋" w:hAnsi="仿宋" w:eastAsia="仿宋" w:cs="仿宋"/>
              </w:rPr>
            </w:pPr>
            <w:r>
              <w:rPr>
                <w:rFonts w:hint="eastAsia" w:ascii="仿宋" w:hAnsi="仿宋" w:eastAsia="仿宋" w:cs="仿宋"/>
              </w:rPr>
              <w:t>14</w:t>
            </w:r>
          </w:p>
        </w:tc>
        <w:tc>
          <w:tcPr>
            <w:tcW w:w="1274" w:type="dxa"/>
            <w:vAlign w:val="center"/>
          </w:tcPr>
          <w:p>
            <w:pPr>
              <w:pStyle w:val="20"/>
              <w:rPr>
                <w:rFonts w:ascii="仿宋" w:hAnsi="仿宋" w:eastAsia="仿宋" w:cs="仿宋"/>
              </w:rPr>
            </w:pPr>
            <w:r>
              <w:rPr>
                <w:rFonts w:hint="eastAsia" w:ascii="仿宋" w:hAnsi="仿宋" w:eastAsia="仿宋" w:cs="仿宋"/>
              </w:rPr>
              <w:t>5P立式空调</w:t>
            </w:r>
          </w:p>
        </w:tc>
        <w:tc>
          <w:tcPr>
            <w:tcW w:w="11454" w:type="dxa"/>
            <w:vAlign w:val="center"/>
          </w:tcPr>
          <w:p>
            <w:pPr>
              <w:rPr>
                <w:rFonts w:ascii="仿宋" w:hAnsi="仿宋" w:eastAsia="仿宋" w:cs="仿宋"/>
                <w:szCs w:val="21"/>
              </w:rPr>
            </w:pPr>
            <w:r>
              <w:rPr>
                <w:rFonts w:hint="eastAsia" w:ascii="仿宋" w:hAnsi="仿宋" w:eastAsia="仿宋" w:cs="仿宋"/>
                <w:szCs w:val="21"/>
              </w:rPr>
              <w:t>制冷量（kW）12.5</w:t>
            </w:r>
          </w:p>
          <w:p>
            <w:pPr>
              <w:rPr>
                <w:rFonts w:ascii="仿宋" w:hAnsi="仿宋" w:eastAsia="仿宋" w:cs="仿宋"/>
                <w:szCs w:val="21"/>
              </w:rPr>
            </w:pPr>
            <w:r>
              <w:rPr>
                <w:rFonts w:hint="eastAsia" w:ascii="仿宋" w:hAnsi="仿宋" w:eastAsia="仿宋" w:cs="仿宋"/>
                <w:szCs w:val="21"/>
              </w:rPr>
              <w:t>制冷最大输入功率（kW）/电流（A）5.6/10</w:t>
            </w:r>
          </w:p>
        </w:tc>
        <w:tc>
          <w:tcPr>
            <w:tcW w:w="566" w:type="dxa"/>
            <w:vAlign w:val="center"/>
          </w:tcPr>
          <w:p>
            <w:pP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647" w:type="dxa"/>
            <w:vAlign w:val="center"/>
          </w:tcPr>
          <w:p>
            <w:pPr>
              <w:pStyle w:val="20"/>
              <w:rPr>
                <w:rFonts w:ascii="仿宋" w:hAnsi="仿宋" w:eastAsia="仿宋" w:cs="仿宋"/>
              </w:rPr>
            </w:pPr>
            <w:r>
              <w:rPr>
                <w:rFonts w:hint="eastAsia" w:ascii="仿宋" w:hAnsi="仿宋" w:eastAsia="仿宋" w:cs="仿宋"/>
              </w:rPr>
              <w:t>15</w:t>
            </w:r>
          </w:p>
        </w:tc>
        <w:tc>
          <w:tcPr>
            <w:tcW w:w="1274" w:type="dxa"/>
            <w:vAlign w:val="center"/>
          </w:tcPr>
          <w:p>
            <w:pPr>
              <w:pStyle w:val="20"/>
              <w:rPr>
                <w:rFonts w:ascii="仿宋" w:hAnsi="仿宋" w:eastAsia="仿宋" w:cs="仿宋"/>
              </w:rPr>
            </w:pPr>
            <w:r>
              <w:rPr>
                <w:rFonts w:hint="eastAsia" w:ascii="仿宋" w:hAnsi="仿宋" w:eastAsia="仿宋" w:cs="仿宋"/>
              </w:rPr>
              <w:t>双人办公桌椅</w:t>
            </w:r>
          </w:p>
        </w:tc>
        <w:tc>
          <w:tcPr>
            <w:tcW w:w="11454" w:type="dxa"/>
            <w:vAlign w:val="center"/>
          </w:tcPr>
          <w:p>
            <w:pPr>
              <w:rPr>
                <w:rFonts w:ascii="仿宋" w:hAnsi="仿宋" w:eastAsia="仿宋" w:cs="仿宋"/>
                <w:szCs w:val="21"/>
              </w:rPr>
            </w:pPr>
            <w:r>
              <w:rPr>
                <w:rFonts w:hint="eastAsia" w:ascii="仿宋" w:hAnsi="仿宋" w:eastAsia="仿宋" w:cs="仿宋"/>
                <w:szCs w:val="21"/>
              </w:rPr>
              <w:t>规格：2400*600*750材质：台面均采用优质密度板压缩板，台面8公分厚，经过八道喷漆烤漆工艺，漆面</w:t>
            </w:r>
            <w:r>
              <w:rPr>
                <w:rFonts w:hint="eastAsia" w:ascii="仿宋" w:hAnsi="仿宋" w:eastAsia="仿宋" w:cs="仿宋"/>
                <w:color w:val="000000"/>
                <w:kern w:val="0"/>
                <w:szCs w:val="21"/>
                <w:lang w:bidi="ar"/>
              </w:rPr>
              <w:t>≥</w:t>
            </w:r>
            <w:r>
              <w:rPr>
                <w:rFonts w:hint="eastAsia" w:ascii="仿宋" w:hAnsi="仿宋" w:eastAsia="仿宋" w:cs="仿宋"/>
                <w:szCs w:val="21"/>
              </w:rPr>
              <w:t>8微米厚度，制作成高硬度高光烤漆，光泽亮丽，耐磨，耐划，耐热 ，椅子2把，椅子坐面是耐磨西皮面料，多层曲木板烤漆，铝合金抛光脚，高品质耐用滑轮</w:t>
            </w:r>
          </w:p>
        </w:tc>
        <w:tc>
          <w:tcPr>
            <w:tcW w:w="566" w:type="dxa"/>
            <w:vAlign w:val="center"/>
          </w:tcPr>
          <w:p>
            <w:pP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647" w:type="dxa"/>
            <w:vAlign w:val="center"/>
          </w:tcPr>
          <w:p>
            <w:pPr>
              <w:pStyle w:val="20"/>
              <w:rPr>
                <w:rFonts w:ascii="仿宋" w:hAnsi="仿宋" w:eastAsia="仿宋" w:cs="仿宋"/>
              </w:rPr>
            </w:pPr>
            <w:r>
              <w:rPr>
                <w:rFonts w:hint="eastAsia" w:ascii="仿宋" w:hAnsi="仿宋" w:eastAsia="仿宋" w:cs="仿宋"/>
              </w:rPr>
              <w:t>16</w:t>
            </w:r>
          </w:p>
        </w:tc>
        <w:tc>
          <w:tcPr>
            <w:tcW w:w="1274" w:type="dxa"/>
            <w:vAlign w:val="center"/>
          </w:tcPr>
          <w:p>
            <w:pPr>
              <w:pStyle w:val="20"/>
              <w:rPr>
                <w:rFonts w:ascii="仿宋" w:hAnsi="仿宋" w:eastAsia="仿宋" w:cs="仿宋"/>
              </w:rPr>
            </w:pPr>
            <w:r>
              <w:rPr>
                <w:rFonts w:hint="eastAsia" w:ascii="仿宋" w:hAnsi="仿宋" w:eastAsia="仿宋" w:cs="仿宋"/>
              </w:rPr>
              <w:t>虚拟仿真实训中心模型编辑工具</w:t>
            </w:r>
          </w:p>
        </w:tc>
        <w:tc>
          <w:tcPr>
            <w:tcW w:w="11454" w:type="dxa"/>
            <w:vAlign w:val="center"/>
          </w:tcPr>
          <w:p>
            <w:pPr>
              <w:widowControl/>
              <w:adjustRightInd w:val="0"/>
              <w:snapToGrid w:val="0"/>
              <w:rPr>
                <w:rFonts w:ascii="仿宋" w:hAnsi="仿宋" w:eastAsia="仿宋" w:cs="仿宋"/>
                <w:szCs w:val="21"/>
              </w:rPr>
            </w:pPr>
            <w:r>
              <w:rPr>
                <w:rFonts w:hint="eastAsia" w:ascii="仿宋" w:hAnsi="仿宋" w:eastAsia="仿宋" w:cs="仿宋"/>
                <w:szCs w:val="21"/>
              </w:rPr>
              <w:t xml:space="preserve">学校可根据教学需求通过 Web3D 可视化三维互动编辑工具进行编辑虚拟现实教学资源。具体介绍如下： </w:t>
            </w:r>
          </w:p>
          <w:p>
            <w:pPr>
              <w:widowControl/>
              <w:adjustRightInd w:val="0"/>
              <w:snapToGrid w:val="0"/>
              <w:rPr>
                <w:rFonts w:ascii="仿宋" w:hAnsi="仿宋" w:eastAsia="仿宋" w:cs="仿宋"/>
                <w:szCs w:val="21"/>
              </w:rPr>
            </w:pPr>
            <w:r>
              <w:rPr>
                <w:rFonts w:hint="eastAsia" w:ascii="仿宋" w:hAnsi="仿宋" w:eastAsia="仿宋" w:cs="仿宋"/>
                <w:szCs w:val="21"/>
              </w:rPr>
              <w:t xml:space="preserve">（一）、平台功能模块 </w:t>
            </w:r>
          </w:p>
          <w:p>
            <w:pPr>
              <w:widowControl/>
              <w:adjustRightInd w:val="0"/>
              <w:snapToGrid w:val="0"/>
              <w:rPr>
                <w:rFonts w:ascii="仿宋" w:hAnsi="仿宋" w:eastAsia="仿宋" w:cs="仿宋"/>
                <w:szCs w:val="21"/>
              </w:rPr>
            </w:pPr>
            <w:r>
              <w:rPr>
                <w:rFonts w:hint="eastAsia" w:ascii="仿宋" w:hAnsi="仿宋" w:eastAsia="仿宋" w:cs="仿宋"/>
                <w:szCs w:val="21"/>
              </w:rPr>
              <w:t xml:space="preserve">1、智能搜索引擎 </w:t>
            </w:r>
          </w:p>
          <w:p>
            <w:pPr>
              <w:widowControl/>
              <w:adjustRightInd w:val="0"/>
              <w:snapToGrid w:val="0"/>
              <w:rPr>
                <w:rFonts w:ascii="仿宋" w:hAnsi="仿宋" w:eastAsia="仿宋" w:cs="仿宋"/>
                <w:szCs w:val="21"/>
              </w:rPr>
            </w:pPr>
            <w:r>
              <w:rPr>
                <w:rFonts w:hint="eastAsia" w:ascii="仿宋" w:hAnsi="仿宋" w:eastAsia="仿宋" w:cs="仿宋"/>
                <w:szCs w:val="21"/>
              </w:rPr>
              <w:t xml:space="preserve">智能搜索引擎可通过关键字搜索专业、课程和公开课等云平台内所有内容。搜索 </w:t>
            </w:r>
          </w:p>
          <w:p>
            <w:pPr>
              <w:widowControl/>
              <w:adjustRightInd w:val="0"/>
              <w:snapToGrid w:val="0"/>
              <w:rPr>
                <w:rFonts w:ascii="仿宋" w:hAnsi="仿宋" w:eastAsia="仿宋" w:cs="仿宋"/>
                <w:szCs w:val="21"/>
              </w:rPr>
            </w:pPr>
            <w:r>
              <w:rPr>
                <w:rFonts w:hint="eastAsia" w:ascii="仿宋" w:hAnsi="仿宋" w:eastAsia="仿宋" w:cs="仿宋"/>
                <w:szCs w:val="21"/>
              </w:rPr>
              <w:t xml:space="preserve">结果可分类显示课件、图片、视频、音频、Word、PPT、三维等类型的资源。搜索结果可显示贡献者和发布时间，并具有预览功能。 </w:t>
            </w:r>
          </w:p>
          <w:p>
            <w:pPr>
              <w:widowControl/>
              <w:adjustRightInd w:val="0"/>
              <w:snapToGrid w:val="0"/>
              <w:rPr>
                <w:rFonts w:ascii="仿宋" w:hAnsi="仿宋" w:eastAsia="仿宋" w:cs="仿宋"/>
                <w:szCs w:val="21"/>
              </w:rPr>
            </w:pPr>
            <w:r>
              <w:rPr>
                <w:rFonts w:hint="eastAsia" w:ascii="仿宋" w:hAnsi="仿宋" w:eastAsia="仿宋" w:cs="仿宋"/>
                <w:szCs w:val="21"/>
              </w:rPr>
              <w:t xml:space="preserve">2、基础课程管理模块 </w:t>
            </w:r>
          </w:p>
          <w:p>
            <w:pPr>
              <w:widowControl/>
              <w:adjustRightInd w:val="0"/>
              <w:snapToGrid w:val="0"/>
              <w:rPr>
                <w:rFonts w:ascii="仿宋" w:hAnsi="仿宋" w:eastAsia="仿宋" w:cs="仿宋"/>
                <w:szCs w:val="21"/>
              </w:rPr>
            </w:pPr>
            <w:r>
              <w:rPr>
                <w:rFonts w:hint="eastAsia" w:ascii="仿宋" w:hAnsi="仿宋" w:eastAsia="仿宋" w:cs="仿宋"/>
                <w:szCs w:val="21"/>
              </w:rPr>
              <w:t xml:space="preserve">1) 课程信息包括课程目录、资源等内容，管理员可修改课程信息。学员可对课程进行收藏。 </w:t>
            </w:r>
          </w:p>
          <w:p>
            <w:pPr>
              <w:widowControl/>
              <w:adjustRightInd w:val="0"/>
              <w:snapToGrid w:val="0"/>
              <w:rPr>
                <w:rFonts w:ascii="仿宋" w:hAnsi="仿宋" w:eastAsia="仿宋" w:cs="仿宋"/>
                <w:szCs w:val="21"/>
              </w:rPr>
            </w:pPr>
            <w:r>
              <w:rPr>
                <w:rFonts w:hint="eastAsia" w:ascii="仿宋" w:hAnsi="仿宋" w:eastAsia="仿宋" w:cs="仿宋"/>
                <w:szCs w:val="21"/>
              </w:rPr>
              <w:t xml:space="preserve">2) 课程内容编辑功能可对课程目录、章节、试卷和资料进行添加、编辑、排序和删除。课程内容编辑支持图文、音频、视频、PPT 等文档格式混编和混排，并可添加和编辑摘要。 </w:t>
            </w:r>
          </w:p>
          <w:p>
            <w:pPr>
              <w:widowControl/>
              <w:adjustRightInd w:val="0"/>
              <w:snapToGrid w:val="0"/>
              <w:rPr>
                <w:rFonts w:ascii="仿宋" w:hAnsi="仿宋" w:eastAsia="仿宋" w:cs="仿宋"/>
                <w:szCs w:val="21"/>
              </w:rPr>
            </w:pPr>
            <w:r>
              <w:rPr>
                <w:rFonts w:hint="eastAsia" w:ascii="仿宋" w:hAnsi="仿宋" w:eastAsia="仿宋" w:cs="仿宋"/>
                <w:szCs w:val="21"/>
              </w:rPr>
              <w:t xml:space="preserve">3) 可设置教师负责课程，相应教师会得到课程管理的权限。课程发布后，教师可在学习该课程的学员中查看课程学员的学习进度。 </w:t>
            </w:r>
          </w:p>
          <w:p>
            <w:pPr>
              <w:widowControl/>
              <w:adjustRightInd w:val="0"/>
              <w:snapToGrid w:val="0"/>
              <w:rPr>
                <w:rFonts w:ascii="仿宋" w:hAnsi="仿宋" w:eastAsia="仿宋" w:cs="仿宋"/>
                <w:szCs w:val="21"/>
              </w:rPr>
            </w:pPr>
            <w:r>
              <w:rPr>
                <w:rFonts w:hint="eastAsia" w:ascii="仿宋" w:hAnsi="仿宋" w:eastAsia="仿宋" w:cs="仿宋"/>
                <w:szCs w:val="21"/>
              </w:rPr>
              <w:t xml:space="preserve">3、题库、作业和考试模块 </w:t>
            </w:r>
          </w:p>
          <w:p>
            <w:pPr>
              <w:widowControl/>
              <w:adjustRightInd w:val="0"/>
              <w:snapToGrid w:val="0"/>
              <w:rPr>
                <w:rFonts w:ascii="仿宋" w:hAnsi="仿宋" w:eastAsia="仿宋" w:cs="仿宋"/>
                <w:szCs w:val="21"/>
              </w:rPr>
            </w:pPr>
            <w:r>
              <w:rPr>
                <w:rFonts w:hint="eastAsia" w:ascii="仿宋" w:hAnsi="仿宋" w:eastAsia="仿宋" w:cs="仿宋"/>
                <w:szCs w:val="21"/>
              </w:rPr>
              <w:t xml:space="preserve">1) 题库支持填空题、单选题、多选题、判断题和问答题。题库可以逐一录入题目，也可以批量导入和导出题目。题库可对各种题型进行分类管理，支持分类筛选和搜索功能。 </w:t>
            </w:r>
          </w:p>
          <w:p>
            <w:pPr>
              <w:widowControl/>
              <w:adjustRightInd w:val="0"/>
              <w:snapToGrid w:val="0"/>
              <w:rPr>
                <w:rFonts w:ascii="仿宋" w:hAnsi="仿宋" w:eastAsia="仿宋" w:cs="仿宋"/>
                <w:szCs w:val="21"/>
              </w:rPr>
            </w:pPr>
            <w:r>
              <w:rPr>
                <w:rFonts w:hint="eastAsia" w:ascii="仿宋" w:hAnsi="仿宋" w:eastAsia="仿宋" w:cs="仿宋"/>
                <w:szCs w:val="21"/>
              </w:rPr>
              <w:t xml:space="preserve">2) 智能组卷功能，可自定义选择需考试的知识点、题目难易度、数量和分值，根据课程内容范围，从题库中智能抽选题目组成试卷。 </w:t>
            </w:r>
          </w:p>
          <w:p>
            <w:pPr>
              <w:widowControl/>
              <w:adjustRightInd w:val="0"/>
              <w:snapToGrid w:val="0"/>
              <w:rPr>
                <w:rFonts w:ascii="仿宋" w:hAnsi="仿宋" w:eastAsia="仿宋" w:cs="仿宋"/>
                <w:szCs w:val="21"/>
              </w:rPr>
            </w:pPr>
            <w:r>
              <w:rPr>
                <w:rFonts w:hint="eastAsia" w:ascii="仿宋" w:hAnsi="仿宋" w:eastAsia="仿宋" w:cs="仿宋"/>
                <w:szCs w:val="21"/>
              </w:rPr>
              <w:t xml:space="preserve">3) 在线考试功能，可设定考试时间、考试时长和参加考试的学员，可从试卷库中抽选试卷进行考试。 </w:t>
            </w:r>
          </w:p>
          <w:p>
            <w:pPr>
              <w:widowControl/>
              <w:adjustRightInd w:val="0"/>
              <w:snapToGrid w:val="0"/>
              <w:rPr>
                <w:rFonts w:ascii="仿宋" w:hAnsi="仿宋" w:eastAsia="仿宋" w:cs="仿宋"/>
                <w:szCs w:val="21"/>
              </w:rPr>
            </w:pPr>
            <w:r>
              <w:rPr>
                <w:rFonts w:hint="eastAsia" w:ascii="仿宋" w:hAnsi="仿宋" w:eastAsia="仿宋" w:cs="仿宋"/>
                <w:szCs w:val="21"/>
              </w:rPr>
              <w:t xml:space="preserve">4) 智能评阅功能，学员在规定时间内完成作业或考试后，平台自动对作业或试卷进行智能评阅。智能评阅不仅能判断答题的对错情况，并可进行智能评分，以及反馈标准答案。 </w:t>
            </w:r>
          </w:p>
          <w:p>
            <w:pPr>
              <w:widowControl/>
              <w:adjustRightInd w:val="0"/>
              <w:snapToGrid w:val="0"/>
              <w:rPr>
                <w:rFonts w:ascii="仿宋" w:hAnsi="仿宋" w:eastAsia="仿宋" w:cs="仿宋"/>
                <w:szCs w:val="21"/>
              </w:rPr>
            </w:pPr>
            <w:r>
              <w:rPr>
                <w:rFonts w:hint="eastAsia" w:ascii="仿宋" w:hAnsi="仿宋" w:eastAsia="仿宋" w:cs="仿宋"/>
                <w:szCs w:val="21"/>
              </w:rPr>
              <w:t xml:space="preserve">5) 学员可查阅批阅后的作业和试卷，查看内容包括答题情况、分数、点评、解析，并可根据教师设定重做习题或重新考试。 </w:t>
            </w:r>
          </w:p>
          <w:p>
            <w:pPr>
              <w:widowControl/>
              <w:adjustRightInd w:val="0"/>
              <w:snapToGrid w:val="0"/>
              <w:rPr>
                <w:rFonts w:ascii="仿宋" w:hAnsi="仿宋" w:eastAsia="仿宋" w:cs="仿宋"/>
                <w:szCs w:val="21"/>
              </w:rPr>
            </w:pPr>
            <w:r>
              <w:rPr>
                <w:rFonts w:hint="eastAsia" w:ascii="仿宋" w:hAnsi="仿宋" w:eastAsia="仿宋" w:cs="仿宋"/>
                <w:szCs w:val="21"/>
              </w:rPr>
              <w:t xml:space="preserve">6) 学员有错题集模块，收集对应学员曾经做错的各个题目，且在该模块下能将错题进行重复练习。 </w:t>
            </w:r>
          </w:p>
          <w:p>
            <w:pPr>
              <w:widowControl/>
              <w:adjustRightInd w:val="0"/>
              <w:snapToGrid w:val="0"/>
              <w:rPr>
                <w:rFonts w:ascii="仿宋" w:hAnsi="仿宋" w:eastAsia="仿宋" w:cs="仿宋"/>
                <w:szCs w:val="21"/>
              </w:rPr>
            </w:pPr>
            <w:r>
              <w:rPr>
                <w:rFonts w:hint="eastAsia" w:ascii="仿宋" w:hAnsi="仿宋" w:eastAsia="仿宋" w:cs="仿宋"/>
                <w:szCs w:val="21"/>
              </w:rPr>
              <w:t xml:space="preserve">4、教学辅助模块——公开课 </w:t>
            </w:r>
          </w:p>
          <w:p>
            <w:pPr>
              <w:widowControl/>
              <w:adjustRightInd w:val="0"/>
              <w:snapToGrid w:val="0"/>
              <w:rPr>
                <w:rFonts w:ascii="仿宋" w:hAnsi="仿宋" w:eastAsia="仿宋" w:cs="仿宋"/>
                <w:szCs w:val="21"/>
              </w:rPr>
            </w:pPr>
            <w:r>
              <w:rPr>
                <w:rFonts w:hint="eastAsia" w:ascii="仿宋" w:hAnsi="仿宋" w:eastAsia="仿宋" w:cs="仿宋"/>
                <w:szCs w:val="21"/>
              </w:rPr>
              <w:t xml:space="preserve">1) 平台具有备课功能，教师可自由调用和组织平台内以及用户新增的教学资源，可根据教学需要生成每堂课程的教学内容。 </w:t>
            </w:r>
          </w:p>
          <w:p>
            <w:pPr>
              <w:widowControl/>
              <w:adjustRightInd w:val="0"/>
              <w:snapToGrid w:val="0"/>
              <w:rPr>
                <w:rFonts w:ascii="仿宋" w:hAnsi="仿宋" w:eastAsia="仿宋" w:cs="仿宋"/>
                <w:szCs w:val="21"/>
              </w:rPr>
            </w:pPr>
            <w:r>
              <w:rPr>
                <w:rFonts w:hint="eastAsia" w:ascii="仿宋" w:hAnsi="仿宋" w:eastAsia="仿宋" w:cs="仿宋"/>
                <w:szCs w:val="21"/>
              </w:rPr>
              <w:t xml:space="preserve">2) 平台具有课程讨论功能，用户可查看帖子和发帖，可回复他人的发帖，讨论与本课程相关的问题进行师生互动。 </w:t>
            </w:r>
          </w:p>
          <w:p>
            <w:pPr>
              <w:widowControl/>
              <w:adjustRightInd w:val="0"/>
              <w:snapToGrid w:val="0"/>
              <w:rPr>
                <w:rFonts w:ascii="仿宋" w:hAnsi="仿宋" w:eastAsia="仿宋" w:cs="仿宋"/>
                <w:szCs w:val="21"/>
              </w:rPr>
            </w:pPr>
            <w:r>
              <w:rPr>
                <w:rFonts w:hint="eastAsia" w:ascii="仿宋" w:hAnsi="仿宋" w:eastAsia="仿宋" w:cs="仿宋"/>
                <w:szCs w:val="21"/>
              </w:rPr>
              <w:t xml:space="preserve">3) 平台具有课程资料功能，用户可对自己课程下所有的文件进行管理，使用以及分享。 </w:t>
            </w:r>
          </w:p>
          <w:p>
            <w:pPr>
              <w:widowControl/>
              <w:adjustRightInd w:val="0"/>
              <w:snapToGrid w:val="0"/>
              <w:rPr>
                <w:rFonts w:ascii="仿宋" w:hAnsi="仿宋" w:eastAsia="仿宋" w:cs="仿宋"/>
                <w:szCs w:val="21"/>
              </w:rPr>
            </w:pPr>
            <w:r>
              <w:rPr>
                <w:rFonts w:hint="eastAsia" w:ascii="仿宋" w:hAnsi="仿宋" w:eastAsia="仿宋" w:cs="仿宋"/>
                <w:szCs w:val="21"/>
              </w:rPr>
              <w:t xml:space="preserve">4) 平台具有任务情况功能，用户可查阅该课程下的所有的学员的学习情况，包括学习时间、任务完成情况和课程资料下载情况等。 </w:t>
            </w:r>
          </w:p>
          <w:p>
            <w:pPr>
              <w:widowControl/>
              <w:adjustRightInd w:val="0"/>
              <w:snapToGrid w:val="0"/>
              <w:rPr>
                <w:rFonts w:ascii="仿宋" w:hAnsi="仿宋" w:eastAsia="仿宋" w:cs="仿宋"/>
                <w:szCs w:val="21"/>
              </w:rPr>
            </w:pPr>
            <w:r>
              <w:rPr>
                <w:rFonts w:hint="eastAsia" w:ascii="仿宋" w:hAnsi="仿宋" w:eastAsia="仿宋" w:cs="仿宋"/>
                <w:szCs w:val="21"/>
              </w:rPr>
              <w:t xml:space="preserve">5) 平台具有学习笔记功能，用户可在课程所学章节内随时记录学习笔记。 </w:t>
            </w:r>
          </w:p>
          <w:p>
            <w:pPr>
              <w:widowControl/>
              <w:adjustRightInd w:val="0"/>
              <w:snapToGrid w:val="0"/>
              <w:rPr>
                <w:rFonts w:ascii="仿宋" w:hAnsi="仿宋" w:eastAsia="仿宋" w:cs="仿宋"/>
                <w:szCs w:val="21"/>
              </w:rPr>
            </w:pPr>
            <w:r>
              <w:rPr>
                <w:rFonts w:hint="eastAsia" w:ascii="仿宋" w:hAnsi="仿宋" w:eastAsia="仿宋" w:cs="仿宋"/>
                <w:szCs w:val="21"/>
              </w:rPr>
              <w:t xml:space="preserve">5、个人中心模块 </w:t>
            </w:r>
          </w:p>
          <w:p>
            <w:pPr>
              <w:widowControl/>
              <w:adjustRightInd w:val="0"/>
              <w:snapToGrid w:val="0"/>
              <w:rPr>
                <w:rFonts w:ascii="仿宋" w:hAnsi="仿宋" w:eastAsia="仿宋" w:cs="仿宋"/>
                <w:szCs w:val="21"/>
              </w:rPr>
            </w:pPr>
            <w:r>
              <w:rPr>
                <w:rFonts w:hint="eastAsia" w:ascii="仿宋" w:hAnsi="仿宋" w:eastAsia="仿宋" w:cs="仿宋"/>
                <w:szCs w:val="21"/>
              </w:rPr>
              <w:t xml:space="preserve">平台注册用户可进入个人中心模块，该模块具有以下功能。 </w:t>
            </w:r>
          </w:p>
          <w:p>
            <w:pPr>
              <w:widowControl/>
              <w:adjustRightInd w:val="0"/>
              <w:snapToGrid w:val="0"/>
              <w:rPr>
                <w:rFonts w:ascii="仿宋" w:hAnsi="仿宋" w:eastAsia="仿宋" w:cs="仿宋"/>
                <w:szCs w:val="21"/>
              </w:rPr>
            </w:pPr>
            <w:r>
              <w:rPr>
                <w:rFonts w:hint="eastAsia" w:ascii="仿宋" w:hAnsi="仿宋" w:eastAsia="仿宋" w:cs="仿宋"/>
                <w:szCs w:val="21"/>
              </w:rPr>
              <w:t xml:space="preserve">1) 我的收藏，保存用户收藏的课程。 </w:t>
            </w:r>
          </w:p>
          <w:p>
            <w:pPr>
              <w:widowControl/>
              <w:adjustRightInd w:val="0"/>
              <w:snapToGrid w:val="0"/>
              <w:rPr>
                <w:rFonts w:ascii="仿宋" w:hAnsi="仿宋" w:eastAsia="仿宋" w:cs="仿宋"/>
                <w:szCs w:val="21"/>
              </w:rPr>
            </w:pPr>
            <w:r>
              <w:rPr>
                <w:rFonts w:hint="eastAsia" w:ascii="仿宋" w:hAnsi="仿宋" w:eastAsia="仿宋" w:cs="仿宋"/>
                <w:szCs w:val="21"/>
              </w:rPr>
              <w:t xml:space="preserve">2) 学习记录，记录用户学习的课程进度记录，可快速进入课程继续学习。 </w:t>
            </w:r>
          </w:p>
          <w:p>
            <w:pPr>
              <w:widowControl/>
              <w:adjustRightInd w:val="0"/>
              <w:snapToGrid w:val="0"/>
              <w:rPr>
                <w:rFonts w:ascii="仿宋" w:hAnsi="仿宋" w:eastAsia="仿宋" w:cs="仿宋"/>
                <w:szCs w:val="21"/>
              </w:rPr>
            </w:pPr>
            <w:r>
              <w:rPr>
                <w:rFonts w:hint="eastAsia" w:ascii="仿宋" w:hAnsi="仿宋" w:eastAsia="仿宋" w:cs="仿宋"/>
                <w:szCs w:val="21"/>
              </w:rPr>
              <w:t xml:space="preserve">3) 资料修改，可修改用户个人资料，包括手机号码、邮箱、身份证号、性别、所在地、出生日期和个人简介等信息；可修改头像，可修改登陆密码。 </w:t>
            </w:r>
          </w:p>
          <w:p>
            <w:pPr>
              <w:widowControl/>
              <w:adjustRightInd w:val="0"/>
              <w:snapToGrid w:val="0"/>
              <w:rPr>
                <w:rFonts w:ascii="仿宋" w:hAnsi="仿宋" w:eastAsia="仿宋" w:cs="仿宋"/>
                <w:szCs w:val="21"/>
              </w:rPr>
            </w:pPr>
            <w:r>
              <w:rPr>
                <w:rFonts w:hint="eastAsia" w:ascii="仿宋" w:hAnsi="仿宋" w:eastAsia="仿宋" w:cs="仿宋"/>
                <w:szCs w:val="21"/>
              </w:rPr>
              <w:t xml:space="preserve">4) 好友管理，具有好友列表，包括好友 ID、性别、用户类型和联系方式。可查 </w:t>
            </w:r>
          </w:p>
          <w:p>
            <w:pPr>
              <w:widowControl/>
              <w:adjustRightInd w:val="0"/>
              <w:snapToGrid w:val="0"/>
              <w:rPr>
                <w:rFonts w:ascii="仿宋" w:hAnsi="仿宋" w:eastAsia="仿宋" w:cs="仿宋"/>
                <w:szCs w:val="21"/>
              </w:rPr>
            </w:pPr>
            <w:r>
              <w:rPr>
                <w:rFonts w:hint="eastAsia" w:ascii="仿宋" w:hAnsi="仿宋" w:eastAsia="仿宋" w:cs="仿宋"/>
                <w:szCs w:val="21"/>
              </w:rPr>
              <w:t xml:space="preserve">看发出请求、好友请求、添加好友、群邀请和加群申请。 </w:t>
            </w:r>
          </w:p>
          <w:p>
            <w:pPr>
              <w:widowControl/>
              <w:adjustRightInd w:val="0"/>
              <w:snapToGrid w:val="0"/>
              <w:rPr>
                <w:rFonts w:ascii="仿宋" w:hAnsi="仿宋" w:eastAsia="仿宋" w:cs="仿宋"/>
                <w:szCs w:val="21"/>
              </w:rPr>
            </w:pPr>
            <w:r>
              <w:rPr>
                <w:rFonts w:hint="eastAsia" w:ascii="仿宋" w:hAnsi="仿宋" w:eastAsia="仿宋" w:cs="仿宋"/>
                <w:szCs w:val="21"/>
              </w:rPr>
              <w:t xml:space="preserve">5) 数据同步，支持平台公开课数据导出和导入功能。 </w:t>
            </w:r>
          </w:p>
          <w:p>
            <w:pPr>
              <w:widowControl/>
              <w:adjustRightInd w:val="0"/>
              <w:snapToGrid w:val="0"/>
              <w:rPr>
                <w:rFonts w:ascii="仿宋" w:hAnsi="仿宋" w:eastAsia="仿宋" w:cs="仿宋"/>
                <w:szCs w:val="21"/>
              </w:rPr>
            </w:pPr>
            <w:r>
              <w:rPr>
                <w:rFonts w:hint="eastAsia" w:ascii="仿宋" w:hAnsi="仿宋" w:eastAsia="仿宋" w:cs="仿宋"/>
                <w:szCs w:val="21"/>
              </w:rPr>
              <w:t xml:space="preserve">6、用户管理模块 </w:t>
            </w:r>
          </w:p>
          <w:p>
            <w:pPr>
              <w:widowControl/>
              <w:adjustRightInd w:val="0"/>
              <w:snapToGrid w:val="0"/>
              <w:rPr>
                <w:rFonts w:ascii="仿宋" w:hAnsi="仿宋" w:eastAsia="仿宋" w:cs="仿宋"/>
                <w:szCs w:val="21"/>
              </w:rPr>
            </w:pPr>
            <w:r>
              <w:rPr>
                <w:rFonts w:hint="eastAsia" w:ascii="仿宋" w:hAnsi="仿宋" w:eastAsia="仿宋" w:cs="仿宋"/>
                <w:szCs w:val="21"/>
              </w:rPr>
              <w:t xml:space="preserve">1) 平台具有用户管理功能，可添加新用户，查询、查看、编辑用户信息。可批量导入用户，支持批量导入系统默认用户字段数据。 </w:t>
            </w:r>
          </w:p>
          <w:p>
            <w:pPr>
              <w:widowControl/>
              <w:adjustRightInd w:val="0"/>
              <w:snapToGrid w:val="0"/>
              <w:rPr>
                <w:rFonts w:ascii="仿宋" w:hAnsi="仿宋" w:eastAsia="仿宋" w:cs="仿宋"/>
                <w:szCs w:val="21"/>
              </w:rPr>
            </w:pPr>
            <w:r>
              <w:rPr>
                <w:rFonts w:hint="eastAsia" w:ascii="仿宋" w:hAnsi="仿宋" w:eastAsia="仿宋" w:cs="仿宋"/>
                <w:szCs w:val="21"/>
              </w:rPr>
              <w:t xml:space="preserve">2) 平台可发送密码重置邮件，可向用户发送密码重置邮件。 </w:t>
            </w:r>
          </w:p>
          <w:p>
            <w:pPr>
              <w:widowControl/>
              <w:adjustRightInd w:val="0"/>
              <w:snapToGrid w:val="0"/>
              <w:rPr>
                <w:rFonts w:ascii="仿宋" w:hAnsi="仿宋" w:eastAsia="仿宋" w:cs="仿宋"/>
                <w:szCs w:val="21"/>
              </w:rPr>
            </w:pPr>
            <w:r>
              <w:rPr>
                <w:rFonts w:hint="eastAsia" w:ascii="仿宋" w:hAnsi="仿宋" w:eastAsia="仿宋" w:cs="仿宋"/>
                <w:szCs w:val="21"/>
              </w:rPr>
              <w:t xml:space="preserve">7、APP </w:t>
            </w:r>
          </w:p>
          <w:p>
            <w:pPr>
              <w:widowControl/>
              <w:adjustRightInd w:val="0"/>
              <w:snapToGrid w:val="0"/>
              <w:rPr>
                <w:rFonts w:ascii="仿宋" w:hAnsi="仿宋" w:eastAsia="仿宋" w:cs="仿宋"/>
                <w:szCs w:val="21"/>
              </w:rPr>
            </w:pPr>
            <w:r>
              <w:rPr>
                <w:rFonts w:hint="eastAsia" w:ascii="仿宋" w:hAnsi="仿宋" w:eastAsia="仿宋" w:cs="仿宋"/>
                <w:szCs w:val="21"/>
              </w:rPr>
              <w:t xml:space="preserve">1) 平台具有对应的 APP，可支持 iOS 和 Android 系统的智能手机和平板等移动设备。 </w:t>
            </w:r>
          </w:p>
          <w:p>
            <w:pPr>
              <w:widowControl/>
              <w:adjustRightInd w:val="0"/>
              <w:snapToGrid w:val="0"/>
              <w:rPr>
                <w:rFonts w:ascii="仿宋" w:hAnsi="仿宋" w:eastAsia="仿宋" w:cs="仿宋"/>
                <w:szCs w:val="21"/>
              </w:rPr>
            </w:pPr>
            <w:r>
              <w:rPr>
                <w:rFonts w:hint="eastAsia" w:ascii="仿宋" w:hAnsi="仿宋" w:eastAsia="仿宋" w:cs="仿宋"/>
                <w:szCs w:val="21"/>
              </w:rPr>
              <w:t xml:space="preserve">2) APP 具有通讯模块，可在 APP 间以及 APP 与 PC 端之间进行通讯。 </w:t>
            </w:r>
          </w:p>
          <w:p>
            <w:pPr>
              <w:widowControl/>
              <w:adjustRightInd w:val="0"/>
              <w:snapToGrid w:val="0"/>
              <w:rPr>
                <w:rFonts w:ascii="仿宋" w:hAnsi="仿宋" w:eastAsia="仿宋" w:cs="仿宋"/>
                <w:szCs w:val="21"/>
              </w:rPr>
            </w:pPr>
            <w:r>
              <w:rPr>
                <w:rFonts w:hint="eastAsia" w:ascii="仿宋" w:hAnsi="仿宋" w:eastAsia="仿宋" w:cs="仿宋"/>
                <w:szCs w:val="21"/>
              </w:rPr>
              <w:t>3) APP 支持移动学习，可移动学习平台上的所有课程。</w:t>
            </w:r>
          </w:p>
          <w:p>
            <w:pPr>
              <w:widowControl/>
              <w:adjustRightInd w:val="0"/>
              <w:snapToGrid w:val="0"/>
              <w:rPr>
                <w:rFonts w:ascii="仿宋" w:hAnsi="仿宋" w:eastAsia="仿宋" w:cs="仿宋"/>
                <w:szCs w:val="21"/>
              </w:rPr>
            </w:pPr>
            <w:r>
              <w:rPr>
                <w:rFonts w:hint="eastAsia" w:ascii="仿宋" w:hAnsi="仿宋" w:eastAsia="仿宋" w:cs="仿宋"/>
                <w:szCs w:val="21"/>
              </w:rPr>
              <w:t xml:space="preserve">4) App 具有智能搜索引擎，可通过关键字搜索平台内所有课程内容 </w:t>
            </w:r>
          </w:p>
          <w:p>
            <w:pPr>
              <w:widowControl/>
              <w:adjustRightInd w:val="0"/>
              <w:snapToGrid w:val="0"/>
              <w:rPr>
                <w:rFonts w:ascii="仿宋" w:hAnsi="仿宋" w:eastAsia="仿宋" w:cs="仿宋"/>
                <w:szCs w:val="21"/>
              </w:rPr>
            </w:pPr>
            <w:r>
              <w:rPr>
                <w:rFonts w:hint="eastAsia" w:ascii="仿宋" w:hAnsi="仿宋" w:eastAsia="仿宋" w:cs="仿宋"/>
                <w:szCs w:val="21"/>
              </w:rPr>
              <w:t xml:space="preserve">5) APP 具有个人中心，可查看和修改个人信息、我的收藏、课程访问记录信息。 </w:t>
            </w:r>
          </w:p>
          <w:p>
            <w:pPr>
              <w:widowControl/>
              <w:adjustRightInd w:val="0"/>
              <w:snapToGrid w:val="0"/>
              <w:rPr>
                <w:rFonts w:ascii="仿宋" w:hAnsi="仿宋" w:eastAsia="仿宋" w:cs="仿宋"/>
                <w:szCs w:val="21"/>
              </w:rPr>
            </w:pPr>
            <w:r>
              <w:rPr>
                <w:rFonts w:hint="eastAsia" w:ascii="仿宋" w:hAnsi="仿宋" w:eastAsia="仿宋" w:cs="仿宋"/>
                <w:szCs w:val="21"/>
              </w:rPr>
              <w:t xml:space="preserve">6) APP 具有自动检测版本功能，支持在线自动更新。 </w:t>
            </w:r>
          </w:p>
          <w:p>
            <w:pPr>
              <w:widowControl/>
              <w:adjustRightInd w:val="0"/>
              <w:snapToGrid w:val="0"/>
              <w:rPr>
                <w:rFonts w:ascii="仿宋" w:hAnsi="仿宋" w:eastAsia="仿宋" w:cs="仿宋"/>
                <w:szCs w:val="21"/>
              </w:rPr>
            </w:pPr>
            <w:r>
              <w:rPr>
                <w:rFonts w:hint="eastAsia" w:ascii="仿宋" w:hAnsi="仿宋" w:eastAsia="仿宋" w:cs="仿宋"/>
                <w:szCs w:val="21"/>
              </w:rPr>
              <w:t xml:space="preserve">7) 可以查看用户学习情况。 </w:t>
            </w:r>
          </w:p>
          <w:p>
            <w:pPr>
              <w:widowControl/>
              <w:adjustRightInd w:val="0"/>
              <w:snapToGrid w:val="0"/>
              <w:rPr>
                <w:rFonts w:ascii="仿宋" w:hAnsi="仿宋" w:eastAsia="仿宋" w:cs="仿宋"/>
                <w:szCs w:val="21"/>
              </w:rPr>
            </w:pPr>
            <w:r>
              <w:rPr>
                <w:rFonts w:hint="eastAsia" w:ascii="仿宋" w:hAnsi="仿宋" w:eastAsia="仿宋" w:cs="仿宋"/>
                <w:szCs w:val="21"/>
              </w:rPr>
              <w:t xml:space="preserve">8、智能导学 </w:t>
            </w:r>
          </w:p>
          <w:p>
            <w:pPr>
              <w:widowControl/>
              <w:adjustRightInd w:val="0"/>
              <w:snapToGrid w:val="0"/>
              <w:rPr>
                <w:rFonts w:ascii="仿宋" w:hAnsi="仿宋" w:eastAsia="仿宋" w:cs="仿宋"/>
                <w:szCs w:val="21"/>
              </w:rPr>
            </w:pPr>
            <w:r>
              <w:rPr>
                <w:rFonts w:hint="eastAsia" w:ascii="仿宋" w:hAnsi="仿宋" w:eastAsia="仿宋" w:cs="仿宋"/>
                <w:szCs w:val="21"/>
              </w:rPr>
              <w:t xml:space="preserve">平台具有智能导学功能，可为用户提供实时的智能指导。在用户学习课程时遇到 </w:t>
            </w:r>
          </w:p>
          <w:p>
            <w:pPr>
              <w:widowControl/>
              <w:adjustRightInd w:val="0"/>
              <w:snapToGrid w:val="0"/>
              <w:rPr>
                <w:rFonts w:ascii="仿宋" w:hAnsi="仿宋" w:eastAsia="仿宋" w:cs="仿宋"/>
                <w:szCs w:val="21"/>
              </w:rPr>
            </w:pPr>
            <w:r>
              <w:rPr>
                <w:rFonts w:hint="eastAsia" w:ascii="仿宋" w:hAnsi="仿宋" w:eastAsia="仿宋" w:cs="仿宋"/>
                <w:szCs w:val="21"/>
              </w:rPr>
              <w:t xml:space="preserve">困难时，智能导学功能可通过文字和图片等信息，实时智能指导用户下一步操作，进而完成该课程的学习。智能导学功能支持串行和并行的流程式引导，可实时跟踪和记录客户当前的操作。 </w:t>
            </w:r>
          </w:p>
          <w:p>
            <w:pPr>
              <w:widowControl/>
              <w:adjustRightInd w:val="0"/>
              <w:snapToGrid w:val="0"/>
              <w:rPr>
                <w:rFonts w:ascii="仿宋" w:hAnsi="仿宋" w:eastAsia="仿宋" w:cs="仿宋"/>
                <w:szCs w:val="21"/>
              </w:rPr>
            </w:pPr>
            <w:r>
              <w:rPr>
                <w:rFonts w:hint="eastAsia" w:ascii="仿宋" w:hAnsi="仿宋" w:eastAsia="仿宋" w:cs="仿宋"/>
                <w:szCs w:val="21"/>
              </w:rPr>
              <w:t xml:space="preserve">9、3D 可视化编辑器 </w:t>
            </w:r>
          </w:p>
          <w:p>
            <w:pPr>
              <w:widowControl/>
              <w:adjustRightInd w:val="0"/>
              <w:snapToGrid w:val="0"/>
              <w:rPr>
                <w:rFonts w:ascii="仿宋" w:hAnsi="仿宋" w:eastAsia="仿宋" w:cs="仿宋"/>
                <w:szCs w:val="21"/>
              </w:rPr>
            </w:pPr>
            <w:r>
              <w:rPr>
                <w:rFonts w:hint="eastAsia" w:ascii="仿宋" w:hAnsi="仿宋" w:eastAsia="仿宋" w:cs="仿宋"/>
                <w:szCs w:val="21"/>
              </w:rPr>
              <w:t xml:space="preserve">平台内置 Web3D 可视化编辑器，用户可自行开发课件内容，并且自己创建三维模型及制作三维动画，或对平台现有的三维型和三维动画进行编辑修改。平台内置 Web3D可视化编辑器支持 UG、PRO/E、3DMAX 等多种文件的转换与应用。 </w:t>
            </w:r>
          </w:p>
          <w:p>
            <w:pPr>
              <w:widowControl/>
              <w:adjustRightInd w:val="0"/>
              <w:snapToGrid w:val="0"/>
              <w:rPr>
                <w:rFonts w:ascii="仿宋" w:hAnsi="仿宋" w:eastAsia="仿宋" w:cs="仿宋"/>
                <w:szCs w:val="21"/>
              </w:rPr>
            </w:pPr>
            <w:r>
              <w:rPr>
                <w:rFonts w:hint="eastAsia" w:ascii="仿宋" w:hAnsi="仿宋" w:eastAsia="仿宋" w:cs="仿宋"/>
                <w:szCs w:val="21"/>
              </w:rPr>
              <w:t xml:space="preserve">Web3DEditor 关键特性： </w:t>
            </w:r>
          </w:p>
          <w:p>
            <w:pPr>
              <w:widowControl/>
              <w:adjustRightInd w:val="0"/>
              <w:snapToGrid w:val="0"/>
              <w:rPr>
                <w:rFonts w:ascii="仿宋" w:hAnsi="仿宋" w:eastAsia="仿宋" w:cs="仿宋"/>
                <w:szCs w:val="21"/>
              </w:rPr>
            </w:pPr>
            <w:r>
              <w:rPr>
                <w:rFonts w:hint="eastAsia" w:ascii="仿宋" w:hAnsi="仿宋" w:eastAsia="仿宋" w:cs="仿宋"/>
                <w:szCs w:val="21"/>
              </w:rPr>
              <w:t xml:space="preserve">1) 友好的图形编辑界面; </w:t>
            </w:r>
          </w:p>
          <w:p>
            <w:pPr>
              <w:widowControl/>
              <w:adjustRightInd w:val="0"/>
              <w:snapToGrid w:val="0"/>
              <w:rPr>
                <w:rFonts w:ascii="仿宋" w:hAnsi="仿宋" w:eastAsia="仿宋" w:cs="仿宋"/>
                <w:szCs w:val="21"/>
              </w:rPr>
            </w:pPr>
            <w:r>
              <w:rPr>
                <w:rFonts w:hint="eastAsia" w:ascii="仿宋" w:hAnsi="仿宋" w:eastAsia="仿宋" w:cs="仿宋"/>
                <w:szCs w:val="21"/>
              </w:rPr>
              <w:t xml:space="preserve">2) 简单易学的建模动画流程; </w:t>
            </w:r>
          </w:p>
          <w:p>
            <w:pPr>
              <w:widowControl/>
              <w:adjustRightInd w:val="0"/>
              <w:snapToGrid w:val="0"/>
              <w:rPr>
                <w:rFonts w:ascii="仿宋" w:hAnsi="仿宋" w:eastAsia="仿宋" w:cs="仿宋"/>
                <w:szCs w:val="21"/>
              </w:rPr>
            </w:pPr>
            <w:r>
              <w:rPr>
                <w:rFonts w:hint="eastAsia" w:ascii="仿宋" w:hAnsi="仿宋" w:eastAsia="仿宋" w:cs="仿宋"/>
                <w:szCs w:val="21"/>
              </w:rPr>
              <w:t xml:space="preserve">3) 强大的 3D 图形处理能力; </w:t>
            </w:r>
          </w:p>
          <w:p>
            <w:pPr>
              <w:widowControl/>
              <w:adjustRightInd w:val="0"/>
              <w:snapToGrid w:val="0"/>
              <w:rPr>
                <w:rFonts w:ascii="仿宋" w:hAnsi="仿宋" w:eastAsia="仿宋" w:cs="仿宋"/>
                <w:szCs w:val="21"/>
              </w:rPr>
            </w:pPr>
            <w:r>
              <w:rPr>
                <w:rFonts w:hint="eastAsia" w:ascii="仿宋" w:hAnsi="仿宋" w:eastAsia="仿宋" w:cs="仿宋"/>
                <w:szCs w:val="21"/>
              </w:rPr>
              <w:t xml:space="preserve">4) 任意角度、实时的 3D 显示; </w:t>
            </w:r>
          </w:p>
          <w:p>
            <w:pPr>
              <w:widowControl/>
              <w:adjustRightInd w:val="0"/>
              <w:snapToGrid w:val="0"/>
              <w:rPr>
                <w:rFonts w:ascii="仿宋" w:hAnsi="仿宋" w:eastAsia="仿宋" w:cs="仿宋"/>
                <w:szCs w:val="21"/>
              </w:rPr>
            </w:pPr>
            <w:r>
              <w:rPr>
                <w:rFonts w:hint="eastAsia" w:ascii="仿宋" w:hAnsi="仿宋" w:eastAsia="仿宋" w:cs="仿宋"/>
                <w:szCs w:val="21"/>
              </w:rPr>
              <w:t xml:space="preserve">5) 支持导航图显示功能; </w:t>
            </w:r>
          </w:p>
          <w:p>
            <w:pPr>
              <w:widowControl/>
              <w:adjustRightInd w:val="0"/>
              <w:snapToGrid w:val="0"/>
              <w:rPr>
                <w:rFonts w:ascii="仿宋" w:hAnsi="仿宋" w:eastAsia="仿宋" w:cs="仿宋"/>
                <w:szCs w:val="21"/>
              </w:rPr>
            </w:pPr>
            <w:r>
              <w:rPr>
                <w:rFonts w:hint="eastAsia" w:ascii="仿宋" w:hAnsi="仿宋" w:eastAsia="仿宋" w:cs="仿宋"/>
                <w:szCs w:val="21"/>
              </w:rPr>
              <w:t xml:space="preserve">6) 强大的物理引擎，实时计算; </w:t>
            </w:r>
          </w:p>
          <w:p>
            <w:pPr>
              <w:widowControl/>
              <w:adjustRightInd w:val="0"/>
              <w:snapToGrid w:val="0"/>
              <w:rPr>
                <w:rFonts w:ascii="仿宋" w:hAnsi="仿宋" w:eastAsia="仿宋" w:cs="仿宋"/>
                <w:szCs w:val="21"/>
              </w:rPr>
            </w:pPr>
            <w:r>
              <w:rPr>
                <w:rFonts w:hint="eastAsia" w:ascii="仿宋" w:hAnsi="仿宋" w:eastAsia="仿宋" w:cs="仿宋"/>
                <w:szCs w:val="21"/>
              </w:rPr>
              <w:t xml:space="preserve">7) 支持模型的导入导出; </w:t>
            </w:r>
          </w:p>
          <w:p>
            <w:pPr>
              <w:widowControl/>
              <w:adjustRightInd w:val="0"/>
              <w:snapToGrid w:val="0"/>
              <w:rPr>
                <w:rFonts w:ascii="仿宋" w:hAnsi="仿宋" w:eastAsia="仿宋" w:cs="仿宋"/>
                <w:szCs w:val="21"/>
              </w:rPr>
            </w:pPr>
            <w:r>
              <w:rPr>
                <w:rFonts w:hint="eastAsia" w:ascii="仿宋" w:hAnsi="仿宋" w:eastAsia="仿宋" w:cs="仿宋"/>
                <w:szCs w:val="21"/>
              </w:rPr>
              <w:t xml:space="preserve">8) 支持雾气节点，可增强场景真实度; </w:t>
            </w:r>
          </w:p>
          <w:p>
            <w:pPr>
              <w:widowControl/>
              <w:adjustRightInd w:val="0"/>
              <w:snapToGrid w:val="0"/>
              <w:rPr>
                <w:rFonts w:ascii="仿宋" w:hAnsi="仿宋" w:eastAsia="仿宋" w:cs="仿宋"/>
                <w:szCs w:val="21"/>
              </w:rPr>
            </w:pPr>
            <w:r>
              <w:rPr>
                <w:rFonts w:hint="eastAsia" w:ascii="仿宋" w:hAnsi="仿宋" w:eastAsia="仿宋" w:cs="仿宋"/>
                <w:szCs w:val="21"/>
              </w:rPr>
              <w:t xml:space="preserve">9) 提供多种样式、逼真的太阳光晕供选择; </w:t>
            </w:r>
          </w:p>
          <w:p>
            <w:pPr>
              <w:widowControl/>
              <w:adjustRightInd w:val="0"/>
              <w:snapToGrid w:val="0"/>
              <w:rPr>
                <w:rFonts w:ascii="仿宋" w:hAnsi="仿宋" w:eastAsia="仿宋" w:cs="仿宋"/>
                <w:szCs w:val="21"/>
              </w:rPr>
            </w:pPr>
            <w:r>
              <w:rPr>
                <w:rFonts w:hint="eastAsia" w:ascii="仿宋" w:hAnsi="仿宋" w:eastAsia="仿宋" w:cs="仿宋"/>
                <w:szCs w:val="21"/>
              </w:rPr>
              <w:t xml:space="preserve">10) 编辑挤压造型时支持物体尺寸的显示和修改; </w:t>
            </w:r>
          </w:p>
          <w:p>
            <w:pPr>
              <w:widowControl/>
              <w:adjustRightInd w:val="0"/>
              <w:snapToGrid w:val="0"/>
              <w:rPr>
                <w:rFonts w:ascii="仿宋" w:hAnsi="仿宋" w:eastAsia="仿宋" w:cs="仿宋"/>
                <w:szCs w:val="21"/>
              </w:rPr>
            </w:pPr>
            <w:r>
              <w:rPr>
                <w:rFonts w:hint="eastAsia" w:ascii="仿宋" w:hAnsi="仿宋" w:eastAsia="仿宋" w:cs="仿宋"/>
                <w:szCs w:val="21"/>
              </w:rPr>
              <w:t xml:space="preserve">11) 可导出序列帧，方便后期编辑合成; </w:t>
            </w:r>
          </w:p>
          <w:p>
            <w:pPr>
              <w:widowControl/>
              <w:adjustRightInd w:val="0"/>
              <w:snapToGrid w:val="0"/>
              <w:rPr>
                <w:rFonts w:ascii="仿宋" w:hAnsi="仿宋" w:eastAsia="仿宋" w:cs="仿宋"/>
                <w:szCs w:val="21"/>
              </w:rPr>
            </w:pPr>
            <w:r>
              <w:rPr>
                <w:rFonts w:hint="eastAsia" w:ascii="仿宋" w:hAnsi="仿宋" w:eastAsia="仿宋" w:cs="仿宋"/>
                <w:szCs w:val="21"/>
              </w:rPr>
              <w:t xml:space="preserve">12) 支持动画录制，可方便录制各种动画; </w:t>
            </w:r>
          </w:p>
          <w:p>
            <w:pPr>
              <w:widowControl/>
              <w:adjustRightInd w:val="0"/>
              <w:snapToGrid w:val="0"/>
              <w:rPr>
                <w:rFonts w:ascii="仿宋" w:hAnsi="仿宋" w:eastAsia="仿宋" w:cs="仿宋"/>
                <w:szCs w:val="21"/>
              </w:rPr>
            </w:pPr>
            <w:r>
              <w:rPr>
                <w:rFonts w:hint="eastAsia" w:ascii="仿宋" w:hAnsi="仿宋" w:eastAsia="仿宋" w:cs="仿宋"/>
                <w:szCs w:val="21"/>
              </w:rPr>
              <w:t xml:space="preserve">13) 支持编组，方便整体操作; </w:t>
            </w:r>
          </w:p>
          <w:p>
            <w:pPr>
              <w:widowControl/>
              <w:adjustRightInd w:val="0"/>
              <w:snapToGrid w:val="0"/>
              <w:rPr>
                <w:rFonts w:ascii="仿宋" w:hAnsi="仿宋" w:eastAsia="仿宋" w:cs="仿宋"/>
                <w:szCs w:val="21"/>
              </w:rPr>
            </w:pPr>
            <w:r>
              <w:rPr>
                <w:rFonts w:hint="eastAsia" w:ascii="仿宋" w:hAnsi="仿宋" w:eastAsia="仿宋" w:cs="仿宋"/>
                <w:szCs w:val="21"/>
              </w:rPr>
              <w:t xml:space="preserve">14) 支持撤消恢复，避免误操作; </w:t>
            </w:r>
          </w:p>
          <w:p>
            <w:pPr>
              <w:widowControl/>
              <w:adjustRightInd w:val="0"/>
              <w:snapToGrid w:val="0"/>
              <w:rPr>
                <w:rFonts w:ascii="仿宋" w:hAnsi="仿宋" w:eastAsia="仿宋" w:cs="仿宋"/>
                <w:szCs w:val="21"/>
              </w:rPr>
            </w:pPr>
            <w:r>
              <w:rPr>
                <w:rFonts w:hint="eastAsia" w:ascii="仿宋" w:hAnsi="仿宋" w:eastAsia="仿宋" w:cs="仿宋"/>
                <w:szCs w:val="21"/>
              </w:rPr>
              <w:t xml:space="preserve">15) 支持对物体的旋转、缩放和平移等操作; </w:t>
            </w:r>
          </w:p>
          <w:p>
            <w:pPr>
              <w:widowControl/>
              <w:adjustRightInd w:val="0"/>
              <w:snapToGrid w:val="0"/>
              <w:rPr>
                <w:rFonts w:ascii="仿宋" w:hAnsi="仿宋" w:eastAsia="仿宋" w:cs="仿宋"/>
                <w:szCs w:val="21"/>
              </w:rPr>
            </w:pPr>
            <w:r>
              <w:rPr>
                <w:rFonts w:hint="eastAsia" w:ascii="仿宋" w:hAnsi="仿宋" w:eastAsia="仿宋" w:cs="仿宋"/>
                <w:szCs w:val="21"/>
              </w:rPr>
              <w:t xml:space="preserve">16) 拥有模型和材质库; </w:t>
            </w:r>
          </w:p>
          <w:p>
            <w:pPr>
              <w:widowControl/>
              <w:adjustRightInd w:val="0"/>
              <w:snapToGrid w:val="0"/>
              <w:rPr>
                <w:rFonts w:ascii="仿宋" w:hAnsi="仿宋" w:eastAsia="仿宋" w:cs="仿宋"/>
                <w:szCs w:val="21"/>
              </w:rPr>
            </w:pPr>
            <w:r>
              <w:rPr>
                <w:rFonts w:hint="eastAsia" w:ascii="仿宋" w:hAnsi="仿宋" w:eastAsia="仿宋" w:cs="仿宋"/>
                <w:szCs w:val="21"/>
              </w:rPr>
              <w:t xml:space="preserve">17) 支持实体显示、线框显示显示方式; </w:t>
            </w:r>
          </w:p>
          <w:p>
            <w:pPr>
              <w:widowControl/>
              <w:adjustRightInd w:val="0"/>
              <w:snapToGrid w:val="0"/>
              <w:rPr>
                <w:rFonts w:ascii="仿宋" w:hAnsi="仿宋" w:eastAsia="仿宋" w:cs="仿宋"/>
                <w:szCs w:val="21"/>
              </w:rPr>
            </w:pPr>
            <w:r>
              <w:rPr>
                <w:rFonts w:hint="eastAsia" w:ascii="仿宋" w:hAnsi="仿宋" w:eastAsia="仿宋" w:cs="仿宋"/>
                <w:szCs w:val="21"/>
              </w:rPr>
              <w:t xml:space="preserve">18) 可随意更改所有模型的高度，改变材质、颜色、贴图等; </w:t>
            </w:r>
          </w:p>
          <w:p>
            <w:pPr>
              <w:widowControl/>
              <w:adjustRightInd w:val="0"/>
              <w:snapToGrid w:val="0"/>
              <w:rPr>
                <w:rFonts w:ascii="仿宋" w:hAnsi="仿宋" w:eastAsia="仿宋" w:cs="仿宋"/>
                <w:szCs w:val="21"/>
              </w:rPr>
            </w:pPr>
            <w:r>
              <w:rPr>
                <w:rFonts w:hint="eastAsia" w:ascii="仿宋" w:hAnsi="仿宋" w:eastAsia="仿宋" w:cs="仿宋"/>
                <w:szCs w:val="21"/>
              </w:rPr>
              <w:t xml:space="preserve">19) 支持贴图动画制作; </w:t>
            </w:r>
          </w:p>
          <w:p>
            <w:pPr>
              <w:widowControl/>
              <w:adjustRightInd w:val="0"/>
              <w:snapToGrid w:val="0"/>
              <w:rPr>
                <w:rFonts w:ascii="仿宋" w:hAnsi="仿宋" w:eastAsia="仿宋" w:cs="仿宋"/>
                <w:szCs w:val="21"/>
              </w:rPr>
            </w:pPr>
            <w:r>
              <w:rPr>
                <w:rFonts w:hint="eastAsia" w:ascii="仿宋" w:hAnsi="仿宋" w:eastAsia="仿宋" w:cs="仿宋"/>
                <w:szCs w:val="21"/>
              </w:rPr>
              <w:t xml:space="preserve">20) 支持挤压造型制作; </w:t>
            </w:r>
          </w:p>
          <w:p>
            <w:pPr>
              <w:widowControl/>
              <w:adjustRightInd w:val="0"/>
              <w:snapToGrid w:val="0"/>
              <w:rPr>
                <w:rFonts w:ascii="仿宋" w:hAnsi="仿宋" w:eastAsia="仿宋" w:cs="仿宋"/>
                <w:szCs w:val="21"/>
              </w:rPr>
            </w:pPr>
            <w:r>
              <w:rPr>
                <w:rFonts w:hint="eastAsia" w:ascii="仿宋" w:hAnsi="仿宋" w:eastAsia="仿宋" w:cs="仿宋"/>
                <w:szCs w:val="21"/>
              </w:rPr>
              <w:t xml:space="preserve">21) 支持骨骼动画导入; </w:t>
            </w:r>
          </w:p>
          <w:p>
            <w:pPr>
              <w:widowControl/>
              <w:adjustRightInd w:val="0"/>
              <w:snapToGrid w:val="0"/>
              <w:rPr>
                <w:rFonts w:ascii="仿宋" w:hAnsi="仿宋" w:eastAsia="仿宋" w:cs="仿宋"/>
                <w:szCs w:val="21"/>
              </w:rPr>
            </w:pPr>
            <w:r>
              <w:rPr>
                <w:rFonts w:hint="eastAsia" w:ascii="仿宋" w:hAnsi="仿宋" w:eastAsia="仿宋" w:cs="仿宋"/>
                <w:szCs w:val="21"/>
              </w:rPr>
              <w:t xml:space="preserve">22) 支持直线轨迹动画制作; </w:t>
            </w:r>
          </w:p>
          <w:p>
            <w:pPr>
              <w:widowControl/>
              <w:adjustRightInd w:val="0"/>
              <w:snapToGrid w:val="0"/>
              <w:rPr>
                <w:rFonts w:ascii="仿宋" w:hAnsi="仿宋" w:eastAsia="仿宋" w:cs="仿宋"/>
                <w:szCs w:val="21"/>
              </w:rPr>
            </w:pPr>
            <w:r>
              <w:rPr>
                <w:rFonts w:hint="eastAsia" w:ascii="仿宋" w:hAnsi="仿宋" w:eastAsia="仿宋" w:cs="仿宋"/>
                <w:szCs w:val="21"/>
              </w:rPr>
              <w:t xml:space="preserve">23) 自带材质库，可任意更换物体材质; </w:t>
            </w:r>
          </w:p>
          <w:p>
            <w:pPr>
              <w:widowControl/>
              <w:adjustRightInd w:val="0"/>
              <w:snapToGrid w:val="0"/>
              <w:rPr>
                <w:rFonts w:ascii="仿宋" w:hAnsi="仿宋" w:eastAsia="仿宋" w:cs="仿宋"/>
                <w:szCs w:val="21"/>
              </w:rPr>
            </w:pPr>
            <w:r>
              <w:rPr>
                <w:rFonts w:hint="eastAsia" w:ascii="仿宋" w:hAnsi="仿宋" w:eastAsia="仿宋" w:cs="仿宋"/>
                <w:szCs w:val="21"/>
              </w:rPr>
              <w:t xml:space="preserve">24) 支持软件抗锯齿，可生成高精度画面; </w:t>
            </w:r>
          </w:p>
          <w:p>
            <w:pPr>
              <w:widowControl/>
              <w:adjustRightInd w:val="0"/>
              <w:snapToGrid w:val="0"/>
              <w:rPr>
                <w:rFonts w:ascii="仿宋" w:hAnsi="仿宋" w:eastAsia="仿宋" w:cs="仿宋"/>
                <w:szCs w:val="21"/>
              </w:rPr>
            </w:pPr>
            <w:r>
              <w:rPr>
                <w:rFonts w:hint="eastAsia" w:ascii="仿宋" w:hAnsi="仿宋" w:eastAsia="仿宋" w:cs="仿宋"/>
                <w:szCs w:val="21"/>
              </w:rPr>
              <w:t xml:space="preserve">25) 支持点击物体触发动作; </w:t>
            </w:r>
          </w:p>
          <w:p>
            <w:pPr>
              <w:widowControl/>
              <w:adjustRightInd w:val="0"/>
              <w:snapToGrid w:val="0"/>
              <w:rPr>
                <w:rFonts w:ascii="仿宋" w:hAnsi="仿宋" w:eastAsia="仿宋" w:cs="仿宋"/>
                <w:szCs w:val="21"/>
              </w:rPr>
            </w:pPr>
            <w:r>
              <w:rPr>
                <w:rFonts w:hint="eastAsia" w:ascii="仿宋" w:hAnsi="仿宋" w:eastAsia="仿宋" w:cs="仿宋"/>
                <w:szCs w:val="21"/>
              </w:rPr>
              <w:t xml:space="preserve">26) 支持距离触发动作; </w:t>
            </w:r>
          </w:p>
          <w:p>
            <w:pPr>
              <w:widowControl/>
              <w:adjustRightInd w:val="0"/>
              <w:snapToGrid w:val="0"/>
              <w:rPr>
                <w:rFonts w:ascii="仿宋" w:hAnsi="仿宋" w:eastAsia="仿宋" w:cs="仿宋"/>
                <w:szCs w:val="21"/>
              </w:rPr>
            </w:pPr>
            <w:r>
              <w:rPr>
                <w:rFonts w:hint="eastAsia" w:ascii="仿宋" w:hAnsi="仿宋" w:eastAsia="仿宋" w:cs="仿宋"/>
                <w:szCs w:val="21"/>
              </w:rPr>
              <w:t xml:space="preserve">27) 支持行走相机、飞行相机、绕物旋转相机等相机; </w:t>
            </w:r>
          </w:p>
          <w:p>
            <w:pPr>
              <w:widowControl/>
              <w:adjustRightInd w:val="0"/>
              <w:snapToGrid w:val="0"/>
              <w:rPr>
                <w:rFonts w:ascii="仿宋" w:hAnsi="仿宋" w:eastAsia="仿宋" w:cs="仿宋"/>
                <w:szCs w:val="21"/>
              </w:rPr>
            </w:pPr>
            <w:r>
              <w:rPr>
                <w:rFonts w:hint="eastAsia" w:ascii="仿宋" w:hAnsi="仿宋" w:eastAsia="仿宋" w:cs="仿宋"/>
                <w:szCs w:val="21"/>
              </w:rPr>
              <w:t xml:space="preserve">28) 支持导入 3DSMAX 关键帧动画; </w:t>
            </w:r>
          </w:p>
          <w:p>
            <w:pPr>
              <w:widowControl/>
              <w:adjustRightInd w:val="0"/>
              <w:snapToGrid w:val="0"/>
              <w:rPr>
                <w:rFonts w:ascii="仿宋" w:hAnsi="仿宋" w:eastAsia="仿宋" w:cs="仿宋"/>
                <w:szCs w:val="21"/>
              </w:rPr>
            </w:pPr>
            <w:r>
              <w:rPr>
                <w:rFonts w:hint="eastAsia" w:ascii="仿宋" w:hAnsi="仿宋" w:eastAsia="仿宋" w:cs="仿宋"/>
                <w:szCs w:val="21"/>
              </w:rPr>
              <w:t xml:space="preserve">（二）、平台功能参数 </w:t>
            </w:r>
          </w:p>
          <w:p>
            <w:pPr>
              <w:widowControl/>
              <w:adjustRightInd w:val="0"/>
              <w:snapToGrid w:val="0"/>
              <w:rPr>
                <w:rFonts w:ascii="仿宋" w:hAnsi="仿宋" w:eastAsia="仿宋" w:cs="仿宋"/>
                <w:szCs w:val="21"/>
              </w:rPr>
            </w:pPr>
            <w:r>
              <w:rPr>
                <w:rFonts w:hint="eastAsia" w:ascii="仿宋" w:hAnsi="仿宋" w:eastAsia="仿宋" w:cs="仿宋"/>
                <w:szCs w:val="21"/>
              </w:rPr>
              <w:t xml:space="preserve">1、在用户浏览器中嵌入虚拟现实三维互动引擎完成 3D 虚拟现实场景的渲染显示与实验互动操作，3D 图形底层渲染支持 OpenGL, DirectX, 以及软件渲染，并采用多线程 socket 实现动态 3D 数据传送，同时通过与 PHP 动态网页相结合的方式，实现整个客户端的浏览与操作界面。 </w:t>
            </w:r>
          </w:p>
          <w:p>
            <w:pPr>
              <w:widowControl/>
              <w:adjustRightInd w:val="0"/>
              <w:snapToGrid w:val="0"/>
              <w:rPr>
                <w:rFonts w:ascii="仿宋" w:hAnsi="仿宋" w:eastAsia="仿宋" w:cs="仿宋"/>
                <w:szCs w:val="21"/>
              </w:rPr>
            </w:pPr>
            <w:r>
              <w:rPr>
                <w:rFonts w:hint="eastAsia" w:ascii="仿宋" w:hAnsi="仿宋" w:eastAsia="仿宋" w:cs="仿宋"/>
                <w:szCs w:val="21"/>
              </w:rPr>
              <w:t xml:space="preserve">2、有完善的权限管理与安全管理，可以通过权限控制进行用户管理，按权限将用户分为教师、学生和各级管理员角色，不同角色的操作权限也不一样。 </w:t>
            </w:r>
          </w:p>
          <w:p>
            <w:pPr>
              <w:widowControl/>
              <w:adjustRightInd w:val="0"/>
              <w:snapToGrid w:val="0"/>
              <w:rPr>
                <w:rFonts w:ascii="仿宋" w:hAnsi="仿宋" w:eastAsia="仿宋" w:cs="仿宋"/>
                <w:szCs w:val="21"/>
              </w:rPr>
            </w:pPr>
            <w:r>
              <w:rPr>
                <w:rFonts w:hint="eastAsia" w:ascii="仿宋" w:hAnsi="仿宋" w:eastAsia="仿宋" w:cs="仿宋"/>
                <w:szCs w:val="21"/>
              </w:rPr>
              <w:t>▲3、教学资源中的三维模型具有数据量小的特点，如至少含有 500 个以上零部件的逼真设备或三维虚拟实训场景的三维模型数据量小于 1MB，能够满足大量虚拟仿真三维模型的快速通过互联网传送到学生终端计算机的效果，并实现与三维仿真场景的实时互动操作。</w:t>
            </w:r>
          </w:p>
          <w:p>
            <w:pPr>
              <w:widowControl/>
              <w:adjustRightInd w:val="0"/>
              <w:snapToGrid w:val="0"/>
              <w:rPr>
                <w:rFonts w:ascii="仿宋" w:hAnsi="仿宋" w:eastAsia="仿宋" w:cs="仿宋"/>
                <w:szCs w:val="21"/>
              </w:rPr>
            </w:pPr>
            <w:r>
              <w:rPr>
                <w:rFonts w:hint="eastAsia" w:ascii="仿宋" w:hAnsi="仿宋" w:eastAsia="仿宋" w:cs="仿宋"/>
                <w:szCs w:val="21"/>
              </w:rPr>
              <w:t xml:space="preserve">4、不仅能支持 PC 端电脑应用，也支持移动端（iOS、Android）手机和平板等移动设备流畅运行。 </w:t>
            </w:r>
          </w:p>
          <w:p>
            <w:pPr>
              <w:widowControl/>
              <w:adjustRightInd w:val="0"/>
              <w:snapToGrid w:val="0"/>
              <w:rPr>
                <w:rFonts w:ascii="仿宋" w:hAnsi="仿宋" w:eastAsia="仿宋" w:cs="仿宋"/>
                <w:szCs w:val="21"/>
              </w:rPr>
            </w:pPr>
            <w:r>
              <w:rPr>
                <w:rFonts w:hint="eastAsia" w:ascii="仿宋" w:hAnsi="仿宋" w:eastAsia="仿宋" w:cs="仿宋"/>
                <w:szCs w:val="21"/>
              </w:rPr>
              <w:t>▲5、软件平台有自带的具有自主知识产权的虚拟现实三维互动教学平台、虚拟现实三维互动引擎,教师可根据教学需要对平台上的所有教学资源进行二次开发。</w:t>
            </w:r>
          </w:p>
          <w:p>
            <w:pPr>
              <w:widowControl/>
              <w:adjustRightInd w:val="0"/>
              <w:snapToGrid w:val="0"/>
              <w:rPr>
                <w:rFonts w:ascii="仿宋" w:hAnsi="仿宋" w:eastAsia="仿宋" w:cs="仿宋"/>
                <w:szCs w:val="21"/>
              </w:rPr>
            </w:pPr>
            <w:r>
              <w:rPr>
                <w:rFonts w:hint="eastAsia" w:ascii="仿宋" w:hAnsi="仿宋" w:eastAsia="仿宋" w:cs="仿宋"/>
                <w:szCs w:val="21"/>
              </w:rPr>
              <w:t>▲6、软件平台有自带的具有自主知识产权的 web3D 三维建模及三维动画制作编辑工具，用户可自行在这个系统开发课件内容，自己建三维模型及制作三维动画或对系统现有的 3D 模型与动画进行编辑修改。</w:t>
            </w:r>
          </w:p>
          <w:p>
            <w:pPr>
              <w:widowControl/>
              <w:adjustRightInd w:val="0"/>
              <w:snapToGrid w:val="0"/>
              <w:rPr>
                <w:rFonts w:ascii="仿宋" w:hAnsi="仿宋" w:eastAsia="仿宋" w:cs="仿宋"/>
                <w:szCs w:val="21"/>
              </w:rPr>
            </w:pPr>
            <w:r>
              <w:rPr>
                <w:rFonts w:hint="eastAsia" w:ascii="仿宋" w:hAnsi="仿宋" w:eastAsia="仿宋" w:cs="仿宋"/>
                <w:szCs w:val="21"/>
              </w:rPr>
              <w:t xml:space="preserve">▲7、一体化教学资源平台中的所有资源（包括三维模型）均可以应用到教学 PPT </w:t>
            </w:r>
          </w:p>
          <w:p>
            <w:pPr>
              <w:widowControl/>
              <w:adjustRightInd w:val="0"/>
              <w:snapToGrid w:val="0"/>
              <w:rPr>
                <w:rFonts w:ascii="仿宋" w:hAnsi="仿宋" w:eastAsia="仿宋" w:cs="仿宋"/>
                <w:szCs w:val="21"/>
              </w:rPr>
            </w:pPr>
            <w:r>
              <w:rPr>
                <w:rFonts w:hint="eastAsia" w:ascii="仿宋" w:hAnsi="仿宋" w:eastAsia="仿宋" w:cs="仿宋"/>
                <w:szCs w:val="21"/>
              </w:rPr>
              <w:t>里，方便进行互动教学，并且在 PPT 里可以进行三维互动操作。</w:t>
            </w:r>
          </w:p>
          <w:p>
            <w:pPr>
              <w:widowControl/>
              <w:adjustRightInd w:val="0"/>
              <w:snapToGrid w:val="0"/>
              <w:rPr>
                <w:rFonts w:ascii="仿宋" w:hAnsi="仿宋" w:eastAsia="仿宋" w:cs="仿宋"/>
                <w:szCs w:val="21"/>
              </w:rPr>
            </w:pPr>
            <w:r>
              <w:rPr>
                <w:rFonts w:hint="eastAsia" w:ascii="仿宋" w:hAnsi="仿宋" w:eastAsia="仿宋" w:cs="仿宋"/>
                <w:szCs w:val="21"/>
              </w:rPr>
              <w:t xml:space="preserve">8、采用基于 Web3D 虚拟现实三维互动技术，能实现智能虚拟仿真实验操作、能够智能判断用户在 3D 场景中的操作，并做出实时智能反应。 </w:t>
            </w:r>
          </w:p>
          <w:p>
            <w:pPr>
              <w:widowControl/>
              <w:adjustRightInd w:val="0"/>
              <w:snapToGrid w:val="0"/>
              <w:rPr>
                <w:rFonts w:ascii="仿宋" w:hAnsi="仿宋" w:eastAsia="仿宋" w:cs="仿宋"/>
                <w:szCs w:val="21"/>
              </w:rPr>
            </w:pPr>
            <w:r>
              <w:rPr>
                <w:rFonts w:hint="eastAsia" w:ascii="仿宋" w:hAnsi="仿宋" w:eastAsia="仿宋" w:cs="仿宋"/>
                <w:szCs w:val="21"/>
              </w:rPr>
              <w:t>▲9、软件平台的三维互动教学资源除了能在电脑上运行，还能在移动终端（PAD或手机）上流畅运行，并支持不同版本的 iOS 或 Android 操作系统之一。</w:t>
            </w:r>
          </w:p>
        </w:tc>
        <w:tc>
          <w:tcPr>
            <w:tcW w:w="566" w:type="dxa"/>
            <w:vAlign w:val="center"/>
          </w:tcPr>
          <w:p>
            <w:pP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647" w:type="dxa"/>
            <w:vAlign w:val="center"/>
          </w:tcPr>
          <w:p>
            <w:pPr>
              <w:pStyle w:val="20"/>
              <w:rPr>
                <w:rFonts w:ascii="仿宋" w:hAnsi="仿宋" w:eastAsia="仿宋" w:cs="仿宋"/>
              </w:rPr>
            </w:pPr>
            <w:r>
              <w:rPr>
                <w:rFonts w:hint="eastAsia" w:ascii="仿宋" w:hAnsi="仿宋" w:eastAsia="仿宋" w:cs="仿宋"/>
              </w:rPr>
              <w:t>17</w:t>
            </w:r>
          </w:p>
        </w:tc>
        <w:tc>
          <w:tcPr>
            <w:tcW w:w="1274" w:type="dxa"/>
            <w:vAlign w:val="center"/>
          </w:tcPr>
          <w:p>
            <w:pPr>
              <w:pStyle w:val="20"/>
              <w:rPr>
                <w:rFonts w:ascii="仿宋" w:hAnsi="仿宋" w:eastAsia="仿宋" w:cs="仿宋"/>
              </w:rPr>
            </w:pPr>
            <w:r>
              <w:rPr>
                <w:rFonts w:hint="eastAsia" w:ascii="仿宋" w:hAnsi="仿宋" w:eastAsia="仿宋" w:cs="仿宋"/>
              </w:rPr>
              <w:t>86寸裸眼3D一体机</w:t>
            </w:r>
          </w:p>
        </w:tc>
        <w:tc>
          <w:tcPr>
            <w:tcW w:w="11454" w:type="dxa"/>
            <w:vAlign w:val="center"/>
          </w:tcPr>
          <w:p>
            <w:pPr>
              <w:pStyle w:val="3"/>
              <w:spacing w:before="0" w:after="0" w:line="240" w:lineRule="auto"/>
              <w:ind w:firstLine="0"/>
              <w:rPr>
                <w:rFonts w:ascii="仿宋" w:hAnsi="仿宋" w:eastAsia="仿宋" w:cs="仿宋"/>
                <w:b w:val="0"/>
                <w:bCs w:val="0"/>
                <w:sz w:val="21"/>
                <w:szCs w:val="21"/>
              </w:rPr>
            </w:pPr>
            <w:r>
              <w:rPr>
                <w:rFonts w:hint="eastAsia" w:ascii="仿宋" w:hAnsi="仿宋" w:eastAsia="仿宋" w:cs="仿宋"/>
                <w:b w:val="0"/>
                <w:bCs w:val="0"/>
                <w:sz w:val="21"/>
                <w:szCs w:val="21"/>
              </w:rPr>
              <w:t>一、基本技术参数</w:t>
            </w:r>
          </w:p>
          <w:tbl>
            <w:tblPr>
              <w:tblStyle w:val="38"/>
              <w:tblW w:w="0" w:type="auto"/>
              <w:tblInd w:w="195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79"/>
              <w:gridCol w:w="1550"/>
              <w:gridCol w:w="51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279" w:type="dxa"/>
                  <w:vMerge w:val="restart"/>
                </w:tcPr>
                <w:p>
                  <w:pPr>
                    <w:pStyle w:val="164"/>
                    <w:rPr>
                      <w:rFonts w:ascii="仿宋" w:hAnsi="仿宋" w:eastAsia="仿宋" w:cs="仿宋"/>
                      <w:bCs/>
                      <w:sz w:val="21"/>
                      <w:szCs w:val="21"/>
                    </w:rPr>
                  </w:pPr>
                  <w:r>
                    <w:rPr>
                      <w:rFonts w:hint="eastAsia" w:ascii="仿宋" w:hAnsi="仿宋" w:eastAsia="仿宋" w:cs="仿宋"/>
                      <w:bCs/>
                      <w:sz w:val="21"/>
                      <w:szCs w:val="21"/>
                    </w:rPr>
                    <w:t>面板参数</w:t>
                  </w:r>
                </w:p>
              </w:tc>
              <w:tc>
                <w:tcPr>
                  <w:tcW w:w="1550" w:type="dxa"/>
                </w:tcPr>
                <w:p>
                  <w:pPr>
                    <w:pStyle w:val="164"/>
                    <w:rPr>
                      <w:rFonts w:ascii="仿宋" w:hAnsi="仿宋" w:eastAsia="仿宋" w:cs="仿宋"/>
                      <w:bCs/>
                      <w:sz w:val="21"/>
                      <w:szCs w:val="21"/>
                    </w:rPr>
                  </w:pPr>
                  <w:r>
                    <w:rPr>
                      <w:rFonts w:hint="eastAsia" w:ascii="仿宋" w:hAnsi="仿宋" w:eastAsia="仿宋" w:cs="仿宋"/>
                      <w:bCs/>
                      <w:sz w:val="21"/>
                      <w:szCs w:val="21"/>
                    </w:rPr>
                    <w:t>面板尺寸</w:t>
                  </w:r>
                </w:p>
              </w:tc>
              <w:tc>
                <w:tcPr>
                  <w:tcW w:w="5126" w:type="dxa"/>
                </w:tcPr>
                <w:p>
                  <w:pPr>
                    <w:pStyle w:val="164"/>
                    <w:rPr>
                      <w:rFonts w:ascii="仿宋" w:hAnsi="仿宋" w:eastAsia="仿宋" w:cs="仿宋"/>
                      <w:bCs/>
                      <w:sz w:val="21"/>
                      <w:szCs w:val="21"/>
                    </w:rPr>
                  </w:pPr>
                  <w:r>
                    <w:rPr>
                      <w:rFonts w:hint="eastAsia" w:ascii="仿宋" w:hAnsi="仿宋" w:eastAsia="仿宋" w:cs="仿宋"/>
                      <w:bCs/>
                      <w:sz w:val="21"/>
                      <w:szCs w:val="21"/>
                    </w:rPr>
                    <w:t>86 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1279" w:type="dxa"/>
                  <w:vMerge w:val="continue"/>
                  <w:tcBorders>
                    <w:top w:val="nil"/>
                  </w:tcBorders>
                </w:tcPr>
                <w:p>
                  <w:pPr>
                    <w:rPr>
                      <w:rFonts w:ascii="仿宋" w:hAnsi="仿宋" w:eastAsia="仿宋" w:cs="仿宋"/>
                      <w:bCs/>
                      <w:szCs w:val="21"/>
                    </w:rPr>
                  </w:pPr>
                </w:p>
              </w:tc>
              <w:tc>
                <w:tcPr>
                  <w:tcW w:w="1550" w:type="dxa"/>
                </w:tcPr>
                <w:p>
                  <w:pPr>
                    <w:pStyle w:val="164"/>
                    <w:rPr>
                      <w:rFonts w:ascii="仿宋" w:hAnsi="仿宋" w:eastAsia="仿宋" w:cs="仿宋"/>
                      <w:bCs/>
                      <w:sz w:val="21"/>
                      <w:szCs w:val="21"/>
                    </w:rPr>
                  </w:pPr>
                  <w:r>
                    <w:rPr>
                      <w:rFonts w:hint="eastAsia" w:ascii="仿宋" w:hAnsi="仿宋" w:eastAsia="仿宋" w:cs="仿宋"/>
                      <w:bCs/>
                      <w:sz w:val="21"/>
                      <w:szCs w:val="21"/>
                    </w:rPr>
                    <w:t>背光</w:t>
                  </w:r>
                </w:p>
              </w:tc>
              <w:tc>
                <w:tcPr>
                  <w:tcW w:w="5126" w:type="dxa"/>
                </w:tcPr>
                <w:p>
                  <w:pPr>
                    <w:pStyle w:val="164"/>
                    <w:rPr>
                      <w:rFonts w:ascii="仿宋" w:hAnsi="仿宋" w:eastAsia="仿宋" w:cs="仿宋"/>
                      <w:bCs/>
                      <w:sz w:val="21"/>
                      <w:szCs w:val="21"/>
                    </w:rPr>
                  </w:pPr>
                  <w:r>
                    <w:rPr>
                      <w:rFonts w:hint="eastAsia" w:ascii="仿宋" w:hAnsi="仿宋" w:eastAsia="仿宋" w:cs="仿宋"/>
                      <w:bCs/>
                      <w:sz w:val="21"/>
                      <w:szCs w:val="21"/>
                    </w:rPr>
                    <w:t>LED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279" w:type="dxa"/>
                  <w:vMerge w:val="restart"/>
                </w:tcPr>
                <w:p>
                  <w:pPr>
                    <w:pStyle w:val="164"/>
                    <w:rPr>
                      <w:rFonts w:ascii="仿宋" w:hAnsi="仿宋" w:eastAsia="仿宋" w:cs="仿宋"/>
                      <w:bCs/>
                      <w:sz w:val="21"/>
                      <w:szCs w:val="21"/>
                    </w:rPr>
                  </w:pPr>
                </w:p>
                <w:p>
                  <w:pPr>
                    <w:pStyle w:val="164"/>
                    <w:rPr>
                      <w:rFonts w:ascii="仿宋" w:hAnsi="仿宋" w:eastAsia="仿宋" w:cs="仿宋"/>
                      <w:bCs/>
                      <w:sz w:val="21"/>
                      <w:szCs w:val="21"/>
                    </w:rPr>
                  </w:pPr>
                </w:p>
                <w:p>
                  <w:pPr>
                    <w:pStyle w:val="164"/>
                    <w:rPr>
                      <w:rFonts w:ascii="仿宋" w:hAnsi="仿宋" w:eastAsia="仿宋" w:cs="仿宋"/>
                      <w:bCs/>
                      <w:sz w:val="21"/>
                      <w:szCs w:val="21"/>
                    </w:rPr>
                  </w:pPr>
                </w:p>
                <w:p>
                  <w:pPr>
                    <w:pStyle w:val="164"/>
                    <w:rPr>
                      <w:rFonts w:ascii="仿宋" w:hAnsi="仿宋" w:eastAsia="仿宋" w:cs="仿宋"/>
                      <w:bCs/>
                      <w:sz w:val="21"/>
                      <w:szCs w:val="21"/>
                    </w:rPr>
                  </w:pPr>
                  <w:r>
                    <w:rPr>
                      <w:rFonts w:hint="eastAsia" w:ascii="仿宋" w:hAnsi="仿宋" w:eastAsia="仿宋" w:cs="仿宋"/>
                      <w:bCs/>
                      <w:sz w:val="21"/>
                      <w:szCs w:val="21"/>
                    </w:rPr>
                    <w:t>3D 特性</w:t>
                  </w:r>
                </w:p>
              </w:tc>
              <w:tc>
                <w:tcPr>
                  <w:tcW w:w="1550" w:type="dxa"/>
                </w:tcPr>
                <w:p>
                  <w:pPr>
                    <w:pStyle w:val="164"/>
                    <w:rPr>
                      <w:rFonts w:ascii="仿宋" w:hAnsi="仿宋" w:eastAsia="仿宋" w:cs="仿宋"/>
                      <w:bCs/>
                      <w:sz w:val="21"/>
                      <w:szCs w:val="21"/>
                    </w:rPr>
                  </w:pPr>
                  <w:r>
                    <w:rPr>
                      <w:rFonts w:hint="eastAsia" w:ascii="仿宋" w:hAnsi="仿宋" w:eastAsia="仿宋" w:cs="仿宋"/>
                      <w:bCs/>
                      <w:sz w:val="21"/>
                      <w:szCs w:val="21"/>
                    </w:rPr>
                    <w:t>3D 技术</w:t>
                  </w:r>
                </w:p>
              </w:tc>
              <w:tc>
                <w:tcPr>
                  <w:tcW w:w="5126" w:type="dxa"/>
                </w:tcPr>
                <w:p>
                  <w:pPr>
                    <w:pStyle w:val="164"/>
                    <w:rPr>
                      <w:rFonts w:ascii="仿宋" w:hAnsi="仿宋" w:eastAsia="仿宋" w:cs="仿宋"/>
                      <w:bCs/>
                      <w:sz w:val="21"/>
                      <w:szCs w:val="21"/>
                    </w:rPr>
                  </w:pPr>
                  <w:r>
                    <w:rPr>
                      <w:rFonts w:hint="eastAsia" w:ascii="仿宋" w:hAnsi="仿宋" w:eastAsia="仿宋" w:cs="仿宋"/>
                      <w:bCs/>
                      <w:sz w:val="21"/>
                      <w:szCs w:val="21"/>
                    </w:rPr>
                    <w:t>柱状棱镜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279" w:type="dxa"/>
                  <w:vMerge w:val="continue"/>
                  <w:tcBorders>
                    <w:top w:val="nil"/>
                  </w:tcBorders>
                </w:tcPr>
                <w:p>
                  <w:pPr>
                    <w:rPr>
                      <w:rFonts w:ascii="仿宋" w:hAnsi="仿宋" w:eastAsia="仿宋" w:cs="仿宋"/>
                      <w:bCs/>
                      <w:szCs w:val="21"/>
                    </w:rPr>
                  </w:pPr>
                </w:p>
              </w:tc>
              <w:tc>
                <w:tcPr>
                  <w:tcW w:w="1550" w:type="dxa"/>
                </w:tcPr>
                <w:p>
                  <w:pPr>
                    <w:pStyle w:val="164"/>
                    <w:rPr>
                      <w:rFonts w:ascii="仿宋" w:hAnsi="仿宋" w:eastAsia="仿宋" w:cs="仿宋"/>
                      <w:bCs/>
                      <w:sz w:val="21"/>
                      <w:szCs w:val="21"/>
                    </w:rPr>
                  </w:pPr>
                  <w:r>
                    <w:rPr>
                      <w:rFonts w:hint="eastAsia" w:ascii="仿宋" w:hAnsi="仿宋" w:eastAsia="仿宋" w:cs="仿宋"/>
                      <w:bCs/>
                      <w:sz w:val="21"/>
                      <w:szCs w:val="21"/>
                    </w:rPr>
                    <w:t>3D 格式</w:t>
                  </w:r>
                </w:p>
              </w:tc>
              <w:tc>
                <w:tcPr>
                  <w:tcW w:w="5126" w:type="dxa"/>
                </w:tcPr>
                <w:p>
                  <w:pPr>
                    <w:pStyle w:val="164"/>
                    <w:rPr>
                      <w:rFonts w:ascii="仿宋" w:hAnsi="仿宋" w:eastAsia="仿宋" w:cs="仿宋"/>
                      <w:bCs/>
                      <w:sz w:val="21"/>
                      <w:szCs w:val="21"/>
                    </w:rPr>
                  </w:pPr>
                  <w:r>
                    <w:rPr>
                      <w:rFonts w:hint="eastAsia" w:ascii="仿宋" w:hAnsi="仿宋" w:eastAsia="仿宋" w:cs="仿宋"/>
                      <w:bCs/>
                      <w:sz w:val="21"/>
                      <w:szCs w:val="21"/>
                    </w:rPr>
                    <w:t>2D+Z、左右、上下格式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3" w:hRule="atLeast"/>
              </w:trPr>
              <w:tc>
                <w:tcPr>
                  <w:tcW w:w="1279" w:type="dxa"/>
                  <w:vMerge w:val="continue"/>
                  <w:tcBorders>
                    <w:top w:val="nil"/>
                  </w:tcBorders>
                </w:tcPr>
                <w:p>
                  <w:pPr>
                    <w:rPr>
                      <w:rFonts w:ascii="仿宋" w:hAnsi="仿宋" w:eastAsia="仿宋" w:cs="仿宋"/>
                      <w:bCs/>
                      <w:szCs w:val="21"/>
                    </w:rPr>
                  </w:pPr>
                </w:p>
              </w:tc>
              <w:tc>
                <w:tcPr>
                  <w:tcW w:w="1550" w:type="dxa"/>
                </w:tcPr>
                <w:p>
                  <w:pPr>
                    <w:pStyle w:val="164"/>
                    <w:rPr>
                      <w:rFonts w:ascii="仿宋" w:hAnsi="仿宋" w:eastAsia="仿宋" w:cs="仿宋"/>
                      <w:bCs/>
                      <w:sz w:val="21"/>
                      <w:szCs w:val="21"/>
                    </w:rPr>
                  </w:pPr>
                  <w:r>
                    <w:rPr>
                      <w:rFonts w:hint="eastAsia" w:ascii="仿宋" w:hAnsi="仿宋" w:eastAsia="仿宋" w:cs="仿宋"/>
                      <w:bCs/>
                      <w:sz w:val="21"/>
                      <w:szCs w:val="21"/>
                    </w:rPr>
                    <w:t>视点数</w:t>
                  </w:r>
                </w:p>
              </w:tc>
              <w:tc>
                <w:tcPr>
                  <w:tcW w:w="5126" w:type="dxa"/>
                </w:tcPr>
                <w:p>
                  <w:pPr>
                    <w:pStyle w:val="164"/>
                    <w:rPr>
                      <w:rFonts w:ascii="仿宋" w:hAnsi="仿宋" w:eastAsia="仿宋" w:cs="仿宋"/>
                      <w:bCs/>
                      <w:sz w:val="21"/>
                      <w:szCs w:val="21"/>
                    </w:rPr>
                  </w:pPr>
                  <w:r>
                    <w:rPr>
                      <w:rFonts w:hint="eastAsia" w:ascii="仿宋" w:hAnsi="仿宋" w:eastAsia="仿宋" w:cs="仿宋"/>
                      <w:color w:val="000000"/>
                      <w:sz w:val="21"/>
                      <w:szCs w:val="21"/>
                      <w:lang w:bidi="ar"/>
                    </w:rPr>
                    <w:t>≥</w:t>
                  </w:r>
                  <w:r>
                    <w:rPr>
                      <w:rFonts w:hint="eastAsia" w:ascii="仿宋" w:hAnsi="仿宋" w:eastAsia="仿宋" w:cs="仿宋"/>
                      <w:bCs/>
                      <w:sz w:val="21"/>
                      <w:szCs w:val="21"/>
                    </w:rPr>
                    <w:t>Max.28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279" w:type="dxa"/>
                  <w:vMerge w:val="continue"/>
                  <w:tcBorders>
                    <w:top w:val="nil"/>
                  </w:tcBorders>
                </w:tcPr>
                <w:p>
                  <w:pPr>
                    <w:rPr>
                      <w:rFonts w:ascii="仿宋" w:hAnsi="仿宋" w:eastAsia="仿宋" w:cs="仿宋"/>
                      <w:bCs/>
                      <w:szCs w:val="21"/>
                    </w:rPr>
                  </w:pPr>
                </w:p>
              </w:tc>
              <w:tc>
                <w:tcPr>
                  <w:tcW w:w="1550" w:type="dxa"/>
                </w:tcPr>
                <w:p>
                  <w:pPr>
                    <w:pStyle w:val="164"/>
                    <w:rPr>
                      <w:rFonts w:ascii="仿宋" w:hAnsi="仿宋" w:eastAsia="仿宋" w:cs="仿宋"/>
                      <w:bCs/>
                      <w:sz w:val="21"/>
                      <w:szCs w:val="21"/>
                    </w:rPr>
                  </w:pPr>
                  <w:r>
                    <w:rPr>
                      <w:rFonts w:hint="eastAsia" w:ascii="仿宋" w:hAnsi="仿宋" w:eastAsia="仿宋" w:cs="仿宋"/>
                      <w:bCs/>
                      <w:sz w:val="21"/>
                      <w:szCs w:val="21"/>
                    </w:rPr>
                    <w:t>最佳视角</w:t>
                  </w:r>
                </w:p>
              </w:tc>
              <w:tc>
                <w:tcPr>
                  <w:tcW w:w="5126" w:type="dxa"/>
                </w:tcPr>
                <w:p>
                  <w:pPr>
                    <w:pStyle w:val="164"/>
                    <w:rPr>
                      <w:rFonts w:ascii="仿宋" w:hAnsi="仿宋" w:eastAsia="仿宋" w:cs="仿宋"/>
                      <w:bCs/>
                      <w:sz w:val="21"/>
                      <w:szCs w:val="21"/>
                    </w:rPr>
                  </w:pPr>
                  <w:r>
                    <w:rPr>
                      <w:rFonts w:hint="eastAsia" w:ascii="仿宋" w:hAnsi="仿宋" w:eastAsia="仿宋" w:cs="仿宋"/>
                      <w:color w:val="000000"/>
                      <w:sz w:val="21"/>
                      <w:szCs w:val="21"/>
                      <w:lang w:bidi="ar"/>
                    </w:rPr>
                    <w:t>≥</w:t>
                  </w:r>
                  <w:r>
                    <w:rPr>
                      <w:rFonts w:hint="eastAsia" w:ascii="仿宋" w:hAnsi="仿宋" w:eastAsia="仿宋" w:cs="仿宋"/>
                      <w:bCs/>
                      <w:sz w:val="21"/>
                      <w:szCs w:val="21"/>
                    </w:rPr>
                    <w:t>150°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279" w:type="dxa"/>
                  <w:vMerge w:val="continue"/>
                  <w:tcBorders>
                    <w:top w:val="nil"/>
                  </w:tcBorders>
                </w:tcPr>
                <w:p>
                  <w:pPr>
                    <w:rPr>
                      <w:rFonts w:ascii="仿宋" w:hAnsi="仿宋" w:eastAsia="仿宋" w:cs="仿宋"/>
                      <w:bCs/>
                      <w:szCs w:val="21"/>
                    </w:rPr>
                  </w:pPr>
                </w:p>
              </w:tc>
              <w:tc>
                <w:tcPr>
                  <w:tcW w:w="1550" w:type="dxa"/>
                </w:tcPr>
                <w:p>
                  <w:pPr>
                    <w:pStyle w:val="164"/>
                    <w:rPr>
                      <w:rFonts w:ascii="仿宋" w:hAnsi="仿宋" w:eastAsia="仿宋" w:cs="仿宋"/>
                      <w:bCs/>
                      <w:sz w:val="21"/>
                      <w:szCs w:val="21"/>
                    </w:rPr>
                  </w:pPr>
                  <w:r>
                    <w:rPr>
                      <w:rFonts w:hint="eastAsia" w:ascii="仿宋" w:hAnsi="仿宋" w:eastAsia="仿宋" w:cs="仿宋"/>
                      <w:bCs/>
                      <w:sz w:val="21"/>
                      <w:szCs w:val="21"/>
                    </w:rPr>
                    <w:t>系统平台</w:t>
                  </w:r>
                </w:p>
              </w:tc>
              <w:tc>
                <w:tcPr>
                  <w:tcW w:w="5126" w:type="dxa"/>
                </w:tcPr>
                <w:p>
                  <w:pPr>
                    <w:pStyle w:val="164"/>
                    <w:rPr>
                      <w:rFonts w:ascii="仿宋" w:hAnsi="仿宋" w:eastAsia="仿宋" w:cs="仿宋"/>
                      <w:bCs/>
                      <w:sz w:val="21"/>
                      <w:szCs w:val="21"/>
                    </w:rPr>
                  </w:pPr>
                  <w:r>
                    <w:rPr>
                      <w:rFonts w:hint="eastAsia" w:ascii="仿宋" w:hAnsi="仿宋" w:eastAsia="仿宋" w:cs="仿宋"/>
                      <w:bCs/>
                      <w:sz w:val="21"/>
                      <w:szCs w:val="21"/>
                    </w:rPr>
                    <w:t>Android</w:t>
                  </w:r>
                </w:p>
              </w:tc>
            </w:tr>
          </w:tbl>
          <w:p>
            <w:pPr>
              <w:jc w:val="left"/>
              <w:rPr>
                <w:rFonts w:ascii="仿宋" w:hAnsi="仿宋" w:eastAsia="仿宋" w:cs="仿宋"/>
                <w:szCs w:val="21"/>
              </w:rPr>
            </w:pPr>
            <w:r>
              <w:rPr>
                <w:rFonts w:hint="eastAsia" w:ascii="仿宋" w:hAnsi="仿宋" w:eastAsia="仿宋" w:cs="仿宋"/>
                <w:szCs w:val="21"/>
              </w:rPr>
              <w:t>二、 内置板卡参数</w:t>
            </w:r>
          </w:p>
          <w:p>
            <w:pPr>
              <w:pStyle w:val="135"/>
              <w:numPr>
                <w:ilvl w:val="0"/>
                <w:numId w:val="6"/>
              </w:numPr>
              <w:tabs>
                <w:tab w:val="left" w:pos="1893"/>
              </w:tabs>
              <w:ind w:left="0" w:firstLine="0" w:firstLineChars="0"/>
              <w:rPr>
                <w:rFonts w:ascii="仿宋" w:hAnsi="仿宋" w:eastAsia="仿宋" w:cs="仿宋"/>
                <w:szCs w:val="21"/>
              </w:rPr>
            </w:pPr>
            <w:r>
              <w:rPr>
                <w:rFonts w:hint="eastAsia" w:ascii="仿宋" w:hAnsi="仿宋" w:eastAsia="仿宋" w:cs="仿宋"/>
                <w:szCs w:val="21"/>
              </w:rPr>
              <w:t>3D</w:t>
            </w:r>
            <w:r>
              <w:rPr>
                <w:rFonts w:hint="eastAsia" w:ascii="仿宋" w:hAnsi="仿宋" w:eastAsia="仿宋" w:cs="仿宋"/>
                <w:spacing w:val="8"/>
                <w:szCs w:val="21"/>
              </w:rPr>
              <w:t xml:space="preserve"> </w:t>
            </w:r>
            <w:r>
              <w:rPr>
                <w:rFonts w:hint="eastAsia" w:ascii="仿宋" w:hAnsi="仿宋" w:eastAsia="仿宋" w:cs="仿宋"/>
                <w:szCs w:val="21"/>
              </w:rPr>
              <w:t>处理板</w:t>
            </w:r>
          </w:p>
          <w:tbl>
            <w:tblPr>
              <w:tblStyle w:val="38"/>
              <w:tblW w:w="7978" w:type="dxa"/>
              <w:tblInd w:w="194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833"/>
              <w:gridCol w:w="51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rPr>
              <w:tc>
                <w:tcPr>
                  <w:tcW w:w="2833" w:type="dxa"/>
                </w:tcPr>
                <w:p>
                  <w:pPr>
                    <w:pStyle w:val="164"/>
                    <w:rPr>
                      <w:rFonts w:ascii="仿宋" w:hAnsi="仿宋" w:eastAsia="仿宋" w:cs="仿宋"/>
                      <w:sz w:val="21"/>
                      <w:szCs w:val="21"/>
                    </w:rPr>
                  </w:pPr>
                  <w:r>
                    <w:rPr>
                      <w:rFonts w:hint="eastAsia" w:ascii="仿宋" w:hAnsi="仿宋" w:eastAsia="仿宋" w:cs="仿宋"/>
                      <w:sz w:val="21"/>
                      <w:szCs w:val="21"/>
                    </w:rPr>
                    <w:t>板卡名称</w:t>
                  </w:r>
                </w:p>
              </w:tc>
              <w:tc>
                <w:tcPr>
                  <w:tcW w:w="5145" w:type="dxa"/>
                </w:tcPr>
                <w:p>
                  <w:pPr>
                    <w:pStyle w:val="164"/>
                    <w:rPr>
                      <w:rFonts w:ascii="仿宋" w:hAnsi="仿宋" w:eastAsia="仿宋" w:cs="仿宋"/>
                      <w:sz w:val="21"/>
                      <w:szCs w:val="21"/>
                    </w:rPr>
                  </w:pPr>
                  <w:r>
                    <w:rPr>
                      <w:rFonts w:hint="eastAsia" w:ascii="仿宋" w:hAnsi="仿宋" w:eastAsia="仿宋" w:cs="仿宋"/>
                      <w:sz w:val="21"/>
                      <w:szCs w:val="21"/>
                    </w:rPr>
                    <w:t>3D处理板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2833" w:type="dxa"/>
                </w:tcPr>
                <w:p>
                  <w:pPr>
                    <w:pStyle w:val="164"/>
                    <w:rPr>
                      <w:rFonts w:ascii="仿宋" w:hAnsi="仿宋" w:eastAsia="仿宋" w:cs="仿宋"/>
                      <w:sz w:val="21"/>
                      <w:szCs w:val="21"/>
                    </w:rPr>
                  </w:pPr>
                  <w:r>
                    <w:rPr>
                      <w:rFonts w:hint="eastAsia" w:ascii="仿宋" w:hAnsi="仿宋" w:eastAsia="仿宋" w:cs="仿宋"/>
                      <w:sz w:val="21"/>
                      <w:szCs w:val="21"/>
                    </w:rPr>
                    <w:t>3D 信号格式</w:t>
                  </w:r>
                </w:p>
              </w:tc>
              <w:tc>
                <w:tcPr>
                  <w:tcW w:w="5145" w:type="dxa"/>
                </w:tcPr>
                <w:p>
                  <w:pPr>
                    <w:pStyle w:val="164"/>
                    <w:rPr>
                      <w:rFonts w:ascii="仿宋" w:hAnsi="仿宋" w:eastAsia="仿宋" w:cs="仿宋"/>
                      <w:sz w:val="21"/>
                      <w:szCs w:val="21"/>
                    </w:rPr>
                  </w:pPr>
                  <w:r>
                    <w:rPr>
                      <w:rFonts w:hint="eastAsia" w:ascii="仿宋" w:hAnsi="仿宋" w:eastAsia="仿宋" w:cs="仿宋"/>
                      <w:sz w:val="21"/>
                      <w:szCs w:val="21"/>
                    </w:rPr>
                    <w:t>左/右、上/下、2D+Z</w:t>
                  </w:r>
                </w:p>
              </w:tc>
            </w:tr>
          </w:tbl>
          <w:p>
            <w:pPr>
              <w:pStyle w:val="135"/>
              <w:numPr>
                <w:ilvl w:val="0"/>
                <w:numId w:val="6"/>
              </w:numPr>
              <w:tabs>
                <w:tab w:val="left" w:pos="1898"/>
              </w:tabs>
              <w:ind w:left="0" w:firstLine="0" w:firstLineChars="0"/>
              <w:rPr>
                <w:rFonts w:ascii="仿宋" w:hAnsi="仿宋" w:eastAsia="仿宋" w:cs="仿宋"/>
                <w:szCs w:val="21"/>
              </w:rPr>
            </w:pPr>
            <w:r>
              <w:rPr>
                <w:rFonts w:hint="eastAsia" w:ascii="仿宋" w:hAnsi="仿宋" w:eastAsia="仿宋" w:cs="仿宋"/>
                <w:szCs w:val="21"/>
              </w:rPr>
              <w:t>Android</w:t>
            </w:r>
            <w:r>
              <w:rPr>
                <w:rFonts w:hint="eastAsia" w:ascii="仿宋" w:hAnsi="仿宋" w:eastAsia="仿宋" w:cs="仿宋"/>
                <w:spacing w:val="-1"/>
                <w:szCs w:val="21"/>
              </w:rPr>
              <w:t xml:space="preserve"> </w:t>
            </w:r>
            <w:r>
              <w:rPr>
                <w:rFonts w:hint="eastAsia" w:ascii="仿宋" w:hAnsi="仿宋" w:eastAsia="仿宋" w:cs="仿宋"/>
                <w:szCs w:val="21"/>
              </w:rPr>
              <w:t>处理板</w:t>
            </w:r>
          </w:p>
          <w:tbl>
            <w:tblPr>
              <w:tblStyle w:val="38"/>
              <w:tblW w:w="0" w:type="auto"/>
              <w:tblInd w:w="194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813"/>
              <w:gridCol w:w="516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2813" w:type="dxa"/>
                </w:tcPr>
                <w:p>
                  <w:pPr>
                    <w:pStyle w:val="164"/>
                    <w:jc w:val="both"/>
                    <w:rPr>
                      <w:rFonts w:ascii="仿宋" w:hAnsi="仿宋" w:eastAsia="仿宋" w:cs="仿宋"/>
                      <w:sz w:val="21"/>
                      <w:szCs w:val="21"/>
                    </w:rPr>
                  </w:pPr>
                  <w:r>
                    <w:rPr>
                      <w:rFonts w:hint="eastAsia" w:ascii="仿宋" w:hAnsi="仿宋" w:eastAsia="仿宋" w:cs="仿宋"/>
                      <w:sz w:val="21"/>
                      <w:szCs w:val="21"/>
                    </w:rPr>
                    <w:t>CPU</w:t>
                  </w:r>
                </w:p>
              </w:tc>
              <w:tc>
                <w:tcPr>
                  <w:tcW w:w="5165" w:type="dxa"/>
                </w:tcPr>
                <w:p>
                  <w:pPr>
                    <w:pStyle w:val="164"/>
                    <w:jc w:val="both"/>
                    <w:rPr>
                      <w:rFonts w:ascii="仿宋" w:hAnsi="仿宋" w:eastAsia="仿宋" w:cs="仿宋"/>
                      <w:sz w:val="21"/>
                      <w:szCs w:val="21"/>
                    </w:rPr>
                  </w:pPr>
                  <w:r>
                    <w:rPr>
                      <w:rFonts w:hint="eastAsia" w:ascii="仿宋" w:hAnsi="仿宋" w:eastAsia="仿宋" w:cs="仿宋"/>
                      <w:sz w:val="21"/>
                      <w:szCs w:val="21"/>
                    </w:rPr>
                    <w:t>Cortex A53*4 1.5G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2813" w:type="dxa"/>
                </w:tcPr>
                <w:p>
                  <w:pPr>
                    <w:pStyle w:val="164"/>
                    <w:jc w:val="both"/>
                    <w:rPr>
                      <w:rFonts w:ascii="仿宋" w:hAnsi="仿宋" w:eastAsia="仿宋" w:cs="仿宋"/>
                      <w:sz w:val="21"/>
                      <w:szCs w:val="21"/>
                    </w:rPr>
                  </w:pPr>
                  <w:r>
                    <w:rPr>
                      <w:rFonts w:hint="eastAsia" w:ascii="仿宋" w:hAnsi="仿宋" w:eastAsia="仿宋" w:cs="仿宋"/>
                      <w:sz w:val="21"/>
                      <w:szCs w:val="21"/>
                    </w:rPr>
                    <w:t>GPU</w:t>
                  </w:r>
                </w:p>
              </w:tc>
              <w:tc>
                <w:tcPr>
                  <w:tcW w:w="5165" w:type="dxa"/>
                </w:tcPr>
                <w:p>
                  <w:pPr>
                    <w:pStyle w:val="164"/>
                    <w:jc w:val="both"/>
                    <w:rPr>
                      <w:rFonts w:ascii="仿宋" w:hAnsi="仿宋" w:eastAsia="仿宋" w:cs="仿宋"/>
                      <w:sz w:val="21"/>
                      <w:szCs w:val="21"/>
                    </w:rPr>
                  </w:pPr>
                  <w:r>
                    <w:rPr>
                      <w:rFonts w:hint="eastAsia" w:ascii="仿宋" w:hAnsi="仿宋" w:eastAsia="仿宋" w:cs="仿宋"/>
                      <w:sz w:val="21"/>
                      <w:szCs w:val="21"/>
                    </w:rPr>
                    <w:t>Mali 450MP</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2813" w:type="dxa"/>
                </w:tcPr>
                <w:p>
                  <w:pPr>
                    <w:pStyle w:val="164"/>
                    <w:jc w:val="both"/>
                    <w:rPr>
                      <w:rFonts w:ascii="仿宋" w:hAnsi="仿宋" w:eastAsia="仿宋" w:cs="仿宋"/>
                      <w:sz w:val="21"/>
                      <w:szCs w:val="21"/>
                    </w:rPr>
                  </w:pPr>
                  <w:r>
                    <w:rPr>
                      <w:rFonts w:hint="eastAsia" w:ascii="仿宋" w:hAnsi="仿宋" w:eastAsia="仿宋" w:cs="仿宋"/>
                      <w:sz w:val="21"/>
                      <w:szCs w:val="21"/>
                    </w:rPr>
                    <w:t>RAM</w:t>
                  </w:r>
                </w:p>
              </w:tc>
              <w:tc>
                <w:tcPr>
                  <w:tcW w:w="5165" w:type="dxa"/>
                </w:tcPr>
                <w:p>
                  <w:pPr>
                    <w:pStyle w:val="164"/>
                    <w:jc w:val="both"/>
                    <w:rPr>
                      <w:rFonts w:ascii="仿宋" w:hAnsi="仿宋" w:eastAsia="仿宋" w:cs="仿宋"/>
                      <w:sz w:val="21"/>
                      <w:szCs w:val="21"/>
                    </w:rPr>
                  </w:pPr>
                  <w:r>
                    <w:rPr>
                      <w:rFonts w:hint="eastAsia" w:ascii="仿宋" w:hAnsi="仿宋" w:eastAsia="仿宋" w:cs="仿宋"/>
                      <w:color w:val="000000"/>
                      <w:sz w:val="21"/>
                      <w:szCs w:val="21"/>
                      <w:lang w:bidi="ar"/>
                    </w:rPr>
                    <w:t>≥</w:t>
                  </w:r>
                  <w:r>
                    <w:rPr>
                      <w:rFonts w:hint="eastAsia" w:ascii="仿宋" w:hAnsi="仿宋" w:eastAsia="仿宋" w:cs="仿宋"/>
                      <w:sz w:val="21"/>
                      <w:szCs w:val="21"/>
                    </w:rPr>
                    <w:t>2G DDR</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2813" w:type="dxa"/>
                </w:tcPr>
                <w:p>
                  <w:pPr>
                    <w:pStyle w:val="164"/>
                    <w:jc w:val="both"/>
                    <w:rPr>
                      <w:rFonts w:ascii="仿宋" w:hAnsi="仿宋" w:eastAsia="仿宋" w:cs="仿宋"/>
                      <w:sz w:val="21"/>
                      <w:szCs w:val="21"/>
                    </w:rPr>
                  </w:pPr>
                  <w:r>
                    <w:rPr>
                      <w:rFonts w:hint="eastAsia" w:ascii="仿宋" w:hAnsi="仿宋" w:eastAsia="仿宋" w:cs="仿宋"/>
                      <w:sz w:val="21"/>
                      <w:szCs w:val="21"/>
                    </w:rPr>
                    <w:t>ROM</w:t>
                  </w:r>
                </w:p>
              </w:tc>
              <w:tc>
                <w:tcPr>
                  <w:tcW w:w="5165" w:type="dxa"/>
                </w:tcPr>
                <w:p>
                  <w:pPr>
                    <w:pStyle w:val="164"/>
                    <w:jc w:val="both"/>
                    <w:rPr>
                      <w:rFonts w:ascii="仿宋" w:hAnsi="仿宋" w:eastAsia="仿宋" w:cs="仿宋"/>
                      <w:sz w:val="21"/>
                      <w:szCs w:val="21"/>
                    </w:rPr>
                  </w:pPr>
                  <w:r>
                    <w:rPr>
                      <w:rFonts w:hint="eastAsia" w:ascii="仿宋" w:hAnsi="仿宋" w:eastAsia="仿宋" w:cs="仿宋"/>
                      <w:color w:val="000000"/>
                      <w:sz w:val="21"/>
                      <w:szCs w:val="21"/>
                      <w:lang w:bidi="ar"/>
                    </w:rPr>
                    <w:t>≥</w:t>
                  </w:r>
                  <w:r>
                    <w:rPr>
                      <w:rFonts w:hint="eastAsia" w:ascii="仿宋" w:hAnsi="仿宋" w:eastAsia="仿宋" w:cs="仿宋"/>
                      <w:sz w:val="21"/>
                      <w:szCs w:val="21"/>
                    </w:rPr>
                    <w:t>8G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2813" w:type="dxa"/>
                </w:tcPr>
                <w:p>
                  <w:pPr>
                    <w:pStyle w:val="164"/>
                    <w:jc w:val="both"/>
                    <w:rPr>
                      <w:rFonts w:ascii="仿宋" w:hAnsi="仿宋" w:eastAsia="仿宋" w:cs="仿宋"/>
                      <w:sz w:val="21"/>
                      <w:szCs w:val="21"/>
                    </w:rPr>
                  </w:pPr>
                  <w:r>
                    <w:rPr>
                      <w:rFonts w:hint="eastAsia" w:ascii="仿宋" w:hAnsi="仿宋" w:eastAsia="仿宋" w:cs="仿宋"/>
                      <w:sz w:val="21"/>
                      <w:szCs w:val="21"/>
                    </w:rPr>
                    <w:t>系统</w:t>
                  </w:r>
                </w:p>
              </w:tc>
              <w:tc>
                <w:tcPr>
                  <w:tcW w:w="5165" w:type="dxa"/>
                </w:tcPr>
                <w:p>
                  <w:pPr>
                    <w:pStyle w:val="164"/>
                    <w:jc w:val="both"/>
                    <w:rPr>
                      <w:rFonts w:ascii="仿宋" w:hAnsi="仿宋" w:eastAsia="仿宋" w:cs="仿宋"/>
                      <w:sz w:val="21"/>
                      <w:szCs w:val="21"/>
                    </w:rPr>
                  </w:pPr>
                  <w:r>
                    <w:rPr>
                      <w:rFonts w:hint="eastAsia" w:ascii="仿宋" w:hAnsi="仿宋" w:eastAsia="仿宋" w:cs="仿宋"/>
                      <w:sz w:val="21"/>
                      <w:szCs w:val="21"/>
                    </w:rPr>
                    <w:t>Android 5</w:t>
                  </w:r>
                </w:p>
              </w:tc>
            </w:tr>
          </w:tbl>
          <w:p>
            <w:pPr>
              <w:pStyle w:val="135"/>
              <w:numPr>
                <w:ilvl w:val="0"/>
                <w:numId w:val="6"/>
              </w:numPr>
              <w:tabs>
                <w:tab w:val="left" w:pos="1897"/>
                <w:tab w:val="left" w:pos="1898"/>
              </w:tabs>
              <w:ind w:left="0" w:firstLine="0" w:firstLineChars="0"/>
              <w:rPr>
                <w:rFonts w:ascii="仿宋" w:hAnsi="仿宋" w:eastAsia="仿宋" w:cs="仿宋"/>
                <w:szCs w:val="21"/>
              </w:rPr>
            </w:pPr>
            <w:r>
              <w:rPr>
                <w:rFonts w:hint="eastAsia" w:ascii="仿宋" w:hAnsi="仿宋" w:eastAsia="仿宋" w:cs="仿宋"/>
                <w:szCs w:val="21"/>
              </w:rPr>
              <w:t>OPS</w:t>
            </w:r>
            <w:r>
              <w:rPr>
                <w:rFonts w:hint="eastAsia" w:ascii="仿宋" w:hAnsi="仿宋" w:eastAsia="仿宋" w:cs="仿宋"/>
                <w:spacing w:val="3"/>
                <w:szCs w:val="21"/>
              </w:rPr>
              <w:t xml:space="preserve"> </w:t>
            </w:r>
            <w:r>
              <w:rPr>
                <w:rFonts w:hint="eastAsia" w:ascii="仿宋" w:hAnsi="仿宋" w:eastAsia="仿宋" w:cs="仿宋"/>
                <w:szCs w:val="21"/>
              </w:rPr>
              <w:t>电脑(选配）</w:t>
            </w:r>
          </w:p>
          <w:tbl>
            <w:tblPr>
              <w:tblStyle w:val="38"/>
              <w:tblW w:w="0" w:type="auto"/>
              <w:tblInd w:w="194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813"/>
              <w:gridCol w:w="516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2813" w:type="dxa"/>
                </w:tcPr>
                <w:p>
                  <w:pPr>
                    <w:pStyle w:val="164"/>
                    <w:jc w:val="both"/>
                    <w:rPr>
                      <w:rFonts w:ascii="仿宋" w:hAnsi="仿宋" w:eastAsia="仿宋" w:cs="仿宋"/>
                      <w:sz w:val="21"/>
                      <w:szCs w:val="21"/>
                    </w:rPr>
                  </w:pPr>
                  <w:r>
                    <w:rPr>
                      <w:rFonts w:hint="eastAsia" w:ascii="仿宋" w:hAnsi="仿宋" w:eastAsia="仿宋" w:cs="仿宋"/>
                      <w:sz w:val="21"/>
                      <w:szCs w:val="21"/>
                    </w:rPr>
                    <w:t>CPU</w:t>
                  </w:r>
                </w:p>
              </w:tc>
              <w:tc>
                <w:tcPr>
                  <w:tcW w:w="5165" w:type="dxa"/>
                </w:tcPr>
                <w:p>
                  <w:pPr>
                    <w:pStyle w:val="164"/>
                    <w:jc w:val="both"/>
                    <w:rPr>
                      <w:rFonts w:ascii="仿宋" w:hAnsi="仿宋" w:eastAsia="仿宋" w:cs="仿宋"/>
                      <w:sz w:val="21"/>
                      <w:szCs w:val="21"/>
                    </w:rPr>
                  </w:pPr>
                  <w:r>
                    <w:rPr>
                      <w:rFonts w:hint="eastAsia" w:ascii="仿宋" w:hAnsi="仿宋" w:eastAsia="仿宋" w:cs="仿宋"/>
                      <w:spacing w:val="-1"/>
                      <w:sz w:val="21"/>
                      <w:szCs w:val="21"/>
                    </w:rPr>
                    <w:t xml:space="preserve">酷睿 </w:t>
                  </w:r>
                  <w:r>
                    <w:rPr>
                      <w:rFonts w:hint="eastAsia" w:ascii="仿宋" w:hAnsi="仿宋" w:eastAsia="仿宋" w:cs="仿宋"/>
                      <w:sz w:val="21"/>
                      <w:szCs w:val="21"/>
                    </w:rPr>
                    <w:t>I7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2813" w:type="dxa"/>
                </w:tcPr>
                <w:p>
                  <w:pPr>
                    <w:pStyle w:val="164"/>
                    <w:jc w:val="both"/>
                    <w:rPr>
                      <w:rFonts w:ascii="仿宋" w:hAnsi="仿宋" w:eastAsia="仿宋" w:cs="仿宋"/>
                      <w:sz w:val="21"/>
                      <w:szCs w:val="21"/>
                    </w:rPr>
                  </w:pPr>
                  <w:r>
                    <w:rPr>
                      <w:rFonts w:hint="eastAsia" w:ascii="仿宋" w:hAnsi="仿宋" w:eastAsia="仿宋" w:cs="仿宋"/>
                      <w:sz w:val="21"/>
                      <w:szCs w:val="21"/>
                    </w:rPr>
                    <w:t>内存</w:t>
                  </w:r>
                </w:p>
              </w:tc>
              <w:tc>
                <w:tcPr>
                  <w:tcW w:w="5165" w:type="dxa"/>
                </w:tcPr>
                <w:p>
                  <w:pPr>
                    <w:pStyle w:val="164"/>
                    <w:jc w:val="both"/>
                    <w:rPr>
                      <w:rFonts w:ascii="仿宋" w:hAnsi="仿宋" w:eastAsia="仿宋" w:cs="仿宋"/>
                      <w:sz w:val="21"/>
                      <w:szCs w:val="21"/>
                    </w:rPr>
                  </w:pPr>
                  <w:r>
                    <w:rPr>
                      <w:rFonts w:hint="eastAsia" w:ascii="仿宋" w:hAnsi="仿宋" w:eastAsia="仿宋" w:cs="仿宋"/>
                      <w:color w:val="000000"/>
                      <w:sz w:val="21"/>
                      <w:szCs w:val="21"/>
                      <w:lang w:bidi="ar"/>
                    </w:rPr>
                    <w:t>≥</w:t>
                  </w:r>
                  <w:r>
                    <w:rPr>
                      <w:rFonts w:hint="eastAsia" w:ascii="仿宋" w:hAnsi="仿宋" w:eastAsia="仿宋" w:cs="仿宋"/>
                      <w:sz w:val="21"/>
                      <w:szCs w:val="21"/>
                    </w:rPr>
                    <w:t>8G DDR</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2813" w:type="dxa"/>
                </w:tcPr>
                <w:p>
                  <w:pPr>
                    <w:pStyle w:val="164"/>
                    <w:jc w:val="both"/>
                    <w:rPr>
                      <w:rFonts w:ascii="仿宋" w:hAnsi="仿宋" w:eastAsia="仿宋" w:cs="仿宋"/>
                      <w:sz w:val="21"/>
                      <w:szCs w:val="21"/>
                    </w:rPr>
                  </w:pPr>
                  <w:r>
                    <w:rPr>
                      <w:rFonts w:hint="eastAsia" w:ascii="仿宋" w:hAnsi="仿宋" w:eastAsia="仿宋" w:cs="仿宋"/>
                      <w:sz w:val="21"/>
                      <w:szCs w:val="21"/>
                    </w:rPr>
                    <w:t>显存</w:t>
                  </w:r>
                </w:p>
              </w:tc>
              <w:tc>
                <w:tcPr>
                  <w:tcW w:w="5165" w:type="dxa"/>
                </w:tcPr>
                <w:p>
                  <w:pPr>
                    <w:pStyle w:val="164"/>
                    <w:jc w:val="both"/>
                    <w:rPr>
                      <w:rFonts w:ascii="仿宋" w:hAnsi="仿宋" w:eastAsia="仿宋" w:cs="仿宋"/>
                      <w:sz w:val="21"/>
                      <w:szCs w:val="21"/>
                    </w:rPr>
                  </w:pPr>
                  <w:r>
                    <w:rPr>
                      <w:rFonts w:hint="eastAsia" w:ascii="仿宋" w:hAnsi="仿宋" w:eastAsia="仿宋" w:cs="仿宋"/>
                      <w:color w:val="000000"/>
                      <w:sz w:val="21"/>
                      <w:szCs w:val="21"/>
                      <w:lang w:bidi="ar"/>
                    </w:rPr>
                    <w:t>≥</w:t>
                  </w:r>
                  <w:r>
                    <w:rPr>
                      <w:rFonts w:hint="eastAsia" w:ascii="仿宋" w:hAnsi="仿宋" w:eastAsia="仿宋" w:cs="仿宋"/>
                      <w:sz w:val="21"/>
                      <w:szCs w:val="21"/>
                    </w:rPr>
                    <w:t>4G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2813" w:type="dxa"/>
                </w:tcPr>
                <w:p>
                  <w:pPr>
                    <w:pStyle w:val="164"/>
                    <w:jc w:val="both"/>
                    <w:rPr>
                      <w:rFonts w:ascii="仿宋" w:hAnsi="仿宋" w:eastAsia="仿宋" w:cs="仿宋"/>
                      <w:sz w:val="21"/>
                      <w:szCs w:val="21"/>
                    </w:rPr>
                  </w:pPr>
                  <w:r>
                    <w:rPr>
                      <w:rFonts w:hint="eastAsia" w:ascii="仿宋" w:hAnsi="仿宋" w:eastAsia="仿宋" w:cs="仿宋"/>
                      <w:sz w:val="21"/>
                      <w:szCs w:val="21"/>
                    </w:rPr>
                    <w:t>硬盘</w:t>
                  </w:r>
                </w:p>
              </w:tc>
              <w:tc>
                <w:tcPr>
                  <w:tcW w:w="5165" w:type="dxa"/>
                </w:tcPr>
                <w:p>
                  <w:pPr>
                    <w:pStyle w:val="164"/>
                    <w:jc w:val="both"/>
                    <w:rPr>
                      <w:rFonts w:ascii="仿宋" w:hAnsi="仿宋" w:eastAsia="仿宋" w:cs="仿宋"/>
                      <w:sz w:val="21"/>
                      <w:szCs w:val="21"/>
                    </w:rPr>
                  </w:pPr>
                  <w:r>
                    <w:rPr>
                      <w:rFonts w:hint="eastAsia" w:ascii="仿宋" w:hAnsi="仿宋" w:eastAsia="仿宋" w:cs="仿宋"/>
                      <w:sz w:val="21"/>
                      <w:szCs w:val="21"/>
                    </w:rPr>
                    <w:t>SSD：</w:t>
                  </w:r>
                  <w:r>
                    <w:rPr>
                      <w:rFonts w:hint="eastAsia" w:ascii="仿宋" w:hAnsi="仿宋" w:eastAsia="仿宋" w:cs="仿宋"/>
                      <w:color w:val="000000"/>
                      <w:sz w:val="21"/>
                      <w:szCs w:val="21"/>
                      <w:lang w:bidi="ar"/>
                    </w:rPr>
                    <w:t>≥</w:t>
                  </w:r>
                  <w:r>
                    <w:rPr>
                      <w:rFonts w:hint="eastAsia" w:ascii="仿宋" w:hAnsi="仿宋" w:eastAsia="仿宋" w:cs="仿宋"/>
                      <w:sz w:val="21"/>
                      <w:szCs w:val="21"/>
                    </w:rPr>
                    <w:t>256G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2813" w:type="dxa"/>
                </w:tcPr>
                <w:p>
                  <w:pPr>
                    <w:pStyle w:val="164"/>
                    <w:jc w:val="both"/>
                    <w:rPr>
                      <w:rFonts w:ascii="仿宋" w:hAnsi="仿宋" w:eastAsia="仿宋" w:cs="仿宋"/>
                      <w:sz w:val="21"/>
                      <w:szCs w:val="21"/>
                    </w:rPr>
                  </w:pPr>
                  <w:r>
                    <w:rPr>
                      <w:rFonts w:hint="eastAsia" w:ascii="仿宋" w:hAnsi="仿宋" w:eastAsia="仿宋" w:cs="仿宋"/>
                      <w:sz w:val="21"/>
                      <w:szCs w:val="21"/>
                    </w:rPr>
                    <w:t>操作系统</w:t>
                  </w:r>
                </w:p>
              </w:tc>
              <w:tc>
                <w:tcPr>
                  <w:tcW w:w="5165" w:type="dxa"/>
                </w:tcPr>
                <w:p>
                  <w:pPr>
                    <w:pStyle w:val="164"/>
                    <w:jc w:val="both"/>
                    <w:rPr>
                      <w:rFonts w:ascii="仿宋" w:hAnsi="仿宋" w:eastAsia="仿宋" w:cs="仿宋"/>
                      <w:sz w:val="21"/>
                      <w:szCs w:val="21"/>
                    </w:rPr>
                  </w:pPr>
                  <w:r>
                    <w:rPr>
                      <w:rFonts w:hint="eastAsia" w:ascii="仿宋" w:hAnsi="仿宋" w:eastAsia="仿宋" w:cs="仿宋"/>
                      <w:sz w:val="21"/>
                      <w:szCs w:val="21"/>
                    </w:rPr>
                    <w:t>Windows 64 位</w:t>
                  </w:r>
                </w:p>
              </w:tc>
            </w:tr>
          </w:tbl>
          <w:p>
            <w:pPr>
              <w:pStyle w:val="19"/>
              <w:spacing w:after="0"/>
              <w:rPr>
                <w:rFonts w:ascii="仿宋" w:hAnsi="仿宋" w:eastAsia="仿宋" w:cs="仿宋"/>
                <w:szCs w:val="21"/>
              </w:rPr>
            </w:pPr>
          </w:p>
          <w:p>
            <w:pPr>
              <w:jc w:val="left"/>
              <w:rPr>
                <w:rFonts w:ascii="仿宋" w:hAnsi="仿宋" w:eastAsia="仿宋" w:cs="仿宋"/>
                <w:szCs w:val="21"/>
              </w:rPr>
            </w:pPr>
            <w:r>
              <w:rPr>
                <w:rFonts w:hint="eastAsia" w:ascii="仿宋" w:hAnsi="仿宋" w:eastAsia="仿宋" w:cs="仿宋"/>
                <w:szCs w:val="21"/>
              </w:rPr>
              <w:t>三、 接口参数</w:t>
            </w:r>
          </w:p>
          <w:tbl>
            <w:tblPr>
              <w:tblStyle w:val="38"/>
              <w:tblW w:w="0" w:type="auto"/>
              <w:tblInd w:w="188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24"/>
              <w:gridCol w:w="1279"/>
              <w:gridCol w:w="2013"/>
              <w:gridCol w:w="294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rPr>
              <w:tc>
                <w:tcPr>
                  <w:tcW w:w="8363" w:type="dxa"/>
                  <w:gridSpan w:val="4"/>
                </w:tcPr>
                <w:p>
                  <w:pPr>
                    <w:pStyle w:val="164"/>
                    <w:rPr>
                      <w:rFonts w:ascii="仿宋" w:hAnsi="仿宋" w:eastAsia="仿宋" w:cs="仿宋"/>
                      <w:sz w:val="21"/>
                      <w:szCs w:val="21"/>
                    </w:rPr>
                  </w:pPr>
                  <w:r>
                    <w:rPr>
                      <w:rFonts w:hint="eastAsia" w:ascii="仿宋" w:hAnsi="仿宋" w:eastAsia="仿宋" w:cs="仿宋"/>
                      <w:sz w:val="21"/>
                      <w:szCs w:val="21"/>
                    </w:rPr>
                    <w:t>HDMI 接口输入信号支持类型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2124" w:type="dxa"/>
                </w:tcPr>
                <w:p>
                  <w:pPr>
                    <w:pStyle w:val="164"/>
                    <w:rPr>
                      <w:rFonts w:ascii="仿宋" w:hAnsi="仿宋" w:eastAsia="仿宋" w:cs="仿宋"/>
                      <w:sz w:val="21"/>
                      <w:szCs w:val="21"/>
                    </w:rPr>
                  </w:pPr>
                  <w:r>
                    <w:rPr>
                      <w:rFonts w:hint="eastAsia" w:ascii="仿宋" w:hAnsi="仿宋" w:eastAsia="仿宋" w:cs="仿宋"/>
                      <w:sz w:val="21"/>
                      <w:szCs w:val="21"/>
                    </w:rPr>
                    <w:t>分辨率</w:t>
                  </w:r>
                </w:p>
              </w:tc>
              <w:tc>
                <w:tcPr>
                  <w:tcW w:w="1279" w:type="dxa"/>
                </w:tcPr>
                <w:p>
                  <w:pPr>
                    <w:pStyle w:val="164"/>
                    <w:rPr>
                      <w:rFonts w:ascii="仿宋" w:hAnsi="仿宋" w:eastAsia="仿宋" w:cs="仿宋"/>
                      <w:sz w:val="21"/>
                      <w:szCs w:val="21"/>
                    </w:rPr>
                  </w:pPr>
                  <w:r>
                    <w:rPr>
                      <w:rFonts w:hint="eastAsia" w:ascii="仿宋" w:hAnsi="仿宋" w:eastAsia="仿宋" w:cs="仿宋"/>
                      <w:sz w:val="21"/>
                      <w:szCs w:val="21"/>
                    </w:rPr>
                    <w:t>场频(Hz)</w:t>
                  </w:r>
                </w:p>
              </w:tc>
              <w:tc>
                <w:tcPr>
                  <w:tcW w:w="2013" w:type="dxa"/>
                </w:tcPr>
                <w:p>
                  <w:pPr>
                    <w:pStyle w:val="164"/>
                    <w:rPr>
                      <w:rFonts w:ascii="仿宋" w:hAnsi="仿宋" w:eastAsia="仿宋" w:cs="仿宋"/>
                      <w:sz w:val="21"/>
                      <w:szCs w:val="21"/>
                    </w:rPr>
                  </w:pPr>
                  <w:r>
                    <w:rPr>
                      <w:rFonts w:hint="eastAsia" w:ascii="仿宋" w:hAnsi="仿宋" w:eastAsia="仿宋" w:cs="仿宋"/>
                      <w:sz w:val="21"/>
                      <w:szCs w:val="21"/>
                    </w:rPr>
                    <w:t>3D 信号分辨率</w:t>
                  </w:r>
                </w:p>
              </w:tc>
              <w:tc>
                <w:tcPr>
                  <w:tcW w:w="2947" w:type="dxa"/>
                </w:tcPr>
                <w:p>
                  <w:pPr>
                    <w:pStyle w:val="164"/>
                    <w:rPr>
                      <w:rFonts w:ascii="仿宋" w:hAnsi="仿宋" w:eastAsia="仿宋" w:cs="仿宋"/>
                      <w:sz w:val="21"/>
                      <w:szCs w:val="21"/>
                    </w:rPr>
                  </w:pPr>
                  <w:r>
                    <w:rPr>
                      <w:rFonts w:hint="eastAsia" w:ascii="仿宋" w:hAnsi="仿宋" w:eastAsia="仿宋" w:cs="仿宋"/>
                      <w:sz w:val="21"/>
                      <w:szCs w:val="21"/>
                    </w:rPr>
                    <w:t>3D 图像格式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2124" w:type="dxa"/>
                </w:tcPr>
                <w:p>
                  <w:pPr>
                    <w:pStyle w:val="164"/>
                    <w:jc w:val="right"/>
                    <w:rPr>
                      <w:rFonts w:ascii="仿宋" w:hAnsi="仿宋" w:eastAsia="仿宋" w:cs="仿宋"/>
                      <w:sz w:val="21"/>
                      <w:szCs w:val="21"/>
                    </w:rPr>
                  </w:pPr>
                  <w:r>
                    <w:rPr>
                      <w:rFonts w:hint="eastAsia" w:ascii="仿宋" w:hAnsi="仿宋" w:eastAsia="仿宋" w:cs="仿宋"/>
                      <w:sz w:val="21"/>
                      <w:szCs w:val="21"/>
                    </w:rPr>
                    <w:t>3840×2160</w:t>
                  </w:r>
                </w:p>
              </w:tc>
              <w:tc>
                <w:tcPr>
                  <w:tcW w:w="1279" w:type="dxa"/>
                </w:tcPr>
                <w:p>
                  <w:pPr>
                    <w:pStyle w:val="164"/>
                    <w:rPr>
                      <w:rFonts w:ascii="仿宋" w:hAnsi="仿宋" w:eastAsia="仿宋" w:cs="仿宋"/>
                      <w:sz w:val="21"/>
                      <w:szCs w:val="21"/>
                    </w:rPr>
                  </w:pPr>
                  <w:r>
                    <w:rPr>
                      <w:rFonts w:hint="eastAsia" w:ascii="仿宋" w:hAnsi="仿宋" w:eastAsia="仿宋" w:cs="仿宋"/>
                      <w:sz w:val="21"/>
                      <w:szCs w:val="21"/>
                    </w:rPr>
                    <w:t>60</w:t>
                  </w:r>
                </w:p>
              </w:tc>
              <w:tc>
                <w:tcPr>
                  <w:tcW w:w="2013" w:type="dxa"/>
                </w:tcPr>
                <w:p>
                  <w:pPr>
                    <w:pStyle w:val="164"/>
                    <w:rPr>
                      <w:rFonts w:ascii="仿宋" w:hAnsi="仿宋" w:eastAsia="仿宋" w:cs="仿宋"/>
                      <w:sz w:val="21"/>
                      <w:szCs w:val="21"/>
                    </w:rPr>
                  </w:pPr>
                  <w:r>
                    <w:rPr>
                      <w:rFonts w:hint="eastAsia" w:ascii="仿宋" w:hAnsi="仿宋" w:eastAsia="仿宋" w:cs="仿宋"/>
                      <w:sz w:val="21"/>
                      <w:szCs w:val="21"/>
                    </w:rPr>
                    <w:t>3840*2160</w:t>
                  </w:r>
                </w:p>
              </w:tc>
              <w:tc>
                <w:tcPr>
                  <w:tcW w:w="2947" w:type="dxa"/>
                </w:tcPr>
                <w:p>
                  <w:pPr>
                    <w:pStyle w:val="164"/>
                    <w:rPr>
                      <w:rFonts w:ascii="仿宋" w:hAnsi="仿宋" w:eastAsia="仿宋" w:cs="仿宋"/>
                      <w:sz w:val="21"/>
                      <w:szCs w:val="21"/>
                    </w:rPr>
                  </w:pPr>
                  <w:r>
                    <w:rPr>
                      <w:rFonts w:hint="eastAsia" w:ascii="仿宋" w:hAnsi="仿宋" w:eastAsia="仿宋" w:cs="仿宋"/>
                      <w:sz w:val="21"/>
                      <w:szCs w:val="21"/>
                    </w:rPr>
                    <w:t>左/右、上/下、2D+Z</w:t>
                  </w:r>
                </w:p>
              </w:tc>
            </w:tr>
          </w:tbl>
          <w:p>
            <w:pPr>
              <w:rPr>
                <w:rFonts w:ascii="仿宋" w:hAnsi="仿宋" w:eastAsia="仿宋" w:cs="仿宋"/>
                <w:szCs w:val="21"/>
              </w:rPr>
            </w:pPr>
          </w:p>
        </w:tc>
        <w:tc>
          <w:tcPr>
            <w:tcW w:w="566" w:type="dxa"/>
            <w:vAlign w:val="center"/>
          </w:tcPr>
          <w:p>
            <w:pP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647" w:type="dxa"/>
            <w:vAlign w:val="center"/>
          </w:tcPr>
          <w:p>
            <w:pPr>
              <w:pStyle w:val="20"/>
              <w:rPr>
                <w:rFonts w:ascii="仿宋" w:hAnsi="仿宋" w:eastAsia="仿宋" w:cs="仿宋"/>
              </w:rPr>
            </w:pPr>
            <w:r>
              <w:rPr>
                <w:rFonts w:hint="eastAsia" w:ascii="仿宋" w:hAnsi="仿宋" w:eastAsia="仿宋" w:cs="仿宋"/>
              </w:rPr>
              <w:t>18</w:t>
            </w:r>
          </w:p>
        </w:tc>
        <w:tc>
          <w:tcPr>
            <w:tcW w:w="1274" w:type="dxa"/>
            <w:vAlign w:val="center"/>
          </w:tcPr>
          <w:p>
            <w:pPr>
              <w:pStyle w:val="20"/>
              <w:rPr>
                <w:rFonts w:ascii="仿宋" w:hAnsi="仿宋" w:eastAsia="仿宋" w:cs="仿宋"/>
              </w:rPr>
            </w:pPr>
            <w:r>
              <w:rPr>
                <w:rFonts w:hint="eastAsia" w:ascii="仿宋" w:hAnsi="仿宋" w:eastAsia="仿宋" w:cs="仿宋"/>
              </w:rPr>
              <w:t>A3激光打印机</w:t>
            </w:r>
          </w:p>
        </w:tc>
        <w:tc>
          <w:tcPr>
            <w:tcW w:w="11454" w:type="dxa"/>
            <w:vAlign w:val="center"/>
          </w:tcPr>
          <w:p>
            <w:pPr>
              <w:rPr>
                <w:rFonts w:ascii="仿宋" w:hAnsi="仿宋" w:eastAsia="仿宋" w:cs="仿宋"/>
                <w:szCs w:val="21"/>
              </w:rPr>
            </w:pPr>
            <w:r>
              <w:rPr>
                <w:rFonts w:hint="eastAsia" w:ascii="仿宋" w:hAnsi="仿宋" w:eastAsia="仿宋" w:cs="仿宋"/>
                <w:szCs w:val="21"/>
              </w:rPr>
              <w:t>产品类型：数码复合机 （黑白）；涵盖功能：复印/打印/扫描；最大原稿尺寸：A3；连续复印页数：</w:t>
            </w:r>
            <w:r>
              <w:rPr>
                <w:rFonts w:hint="eastAsia" w:ascii="仿宋" w:hAnsi="仿宋" w:eastAsia="仿宋" w:cs="仿宋"/>
                <w:color w:val="000000"/>
                <w:kern w:val="0"/>
                <w:szCs w:val="21"/>
                <w:lang w:bidi="ar"/>
              </w:rPr>
              <w:t>≥</w:t>
            </w:r>
            <w:r>
              <w:rPr>
                <w:rFonts w:hint="eastAsia" w:ascii="仿宋" w:hAnsi="仿宋" w:eastAsia="仿宋" w:cs="仿宋"/>
                <w:szCs w:val="21"/>
              </w:rPr>
              <w:t>999页；供纸容量：</w:t>
            </w:r>
            <w:r>
              <w:rPr>
                <w:rFonts w:hint="eastAsia" w:ascii="仿宋" w:hAnsi="仿宋" w:eastAsia="仿宋" w:cs="仿宋"/>
                <w:color w:val="000000"/>
                <w:kern w:val="0"/>
                <w:szCs w:val="21"/>
                <w:lang w:bidi="ar"/>
              </w:rPr>
              <w:t>≥</w:t>
            </w:r>
            <w:r>
              <w:rPr>
                <w:rFonts w:hint="eastAsia" w:ascii="仿宋" w:hAnsi="仿宋" w:eastAsia="仿宋" w:cs="仿宋"/>
                <w:szCs w:val="21"/>
              </w:rPr>
              <w:t>350页</w:t>
            </w:r>
          </w:p>
        </w:tc>
        <w:tc>
          <w:tcPr>
            <w:tcW w:w="566" w:type="dxa"/>
            <w:vAlign w:val="center"/>
          </w:tcPr>
          <w:p>
            <w:pP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47" w:type="dxa"/>
            <w:vAlign w:val="center"/>
          </w:tcPr>
          <w:p>
            <w:pPr>
              <w:pStyle w:val="20"/>
              <w:rPr>
                <w:rFonts w:ascii="仿宋" w:hAnsi="仿宋" w:eastAsia="仿宋" w:cs="仿宋"/>
              </w:rPr>
            </w:pPr>
            <w:r>
              <w:rPr>
                <w:rFonts w:hint="eastAsia" w:ascii="仿宋" w:hAnsi="仿宋" w:eastAsia="仿宋" w:cs="仿宋"/>
              </w:rPr>
              <w:t>19</w:t>
            </w:r>
          </w:p>
        </w:tc>
        <w:tc>
          <w:tcPr>
            <w:tcW w:w="1274" w:type="dxa"/>
            <w:vAlign w:val="center"/>
          </w:tcPr>
          <w:p>
            <w:pPr>
              <w:pStyle w:val="20"/>
              <w:rPr>
                <w:rFonts w:ascii="仿宋" w:hAnsi="仿宋" w:eastAsia="仿宋" w:cs="仿宋"/>
              </w:rPr>
            </w:pPr>
            <w:r>
              <w:rPr>
                <w:rFonts w:hint="eastAsia" w:ascii="仿宋" w:hAnsi="仿宋" w:eastAsia="仿宋" w:cs="仿宋"/>
              </w:rPr>
              <w:t>A4激光打印机</w:t>
            </w:r>
          </w:p>
        </w:tc>
        <w:tc>
          <w:tcPr>
            <w:tcW w:w="11454" w:type="dxa"/>
            <w:vAlign w:val="center"/>
          </w:tcPr>
          <w:p>
            <w:pPr>
              <w:rPr>
                <w:rFonts w:ascii="仿宋" w:hAnsi="仿宋" w:eastAsia="仿宋" w:cs="仿宋"/>
                <w:szCs w:val="21"/>
              </w:rPr>
            </w:pPr>
            <w:r>
              <w:rPr>
                <w:rFonts w:hint="eastAsia" w:ascii="仿宋" w:hAnsi="仿宋" w:eastAsia="仿宋" w:cs="仿宋"/>
                <w:szCs w:val="21"/>
              </w:rPr>
              <w:t>产品类型:黑白激光打印机;最大打印幅面:A4;黑白打印速度:20ppm;最高分辨率:1200×1200dpi;耗材类型:鼓粉一体;进盒容量:</w:t>
            </w:r>
            <w:r>
              <w:rPr>
                <w:rFonts w:hint="eastAsia" w:ascii="仿宋" w:hAnsi="仿宋" w:eastAsia="仿宋" w:cs="仿宋"/>
                <w:color w:val="000000"/>
                <w:kern w:val="0"/>
                <w:szCs w:val="21"/>
                <w:lang w:bidi="ar"/>
              </w:rPr>
              <w:t>≥</w:t>
            </w:r>
            <w:r>
              <w:rPr>
                <w:rFonts w:hint="eastAsia" w:ascii="仿宋" w:hAnsi="仿宋" w:eastAsia="仿宋" w:cs="仿宋"/>
                <w:szCs w:val="21"/>
              </w:rPr>
              <w:t>150页;双面打印</w:t>
            </w:r>
          </w:p>
        </w:tc>
        <w:tc>
          <w:tcPr>
            <w:tcW w:w="566" w:type="dxa"/>
            <w:vAlign w:val="center"/>
          </w:tcPr>
          <w:p>
            <w:pP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647" w:type="dxa"/>
            <w:vAlign w:val="center"/>
          </w:tcPr>
          <w:p>
            <w:pPr>
              <w:pStyle w:val="20"/>
              <w:rPr>
                <w:rFonts w:ascii="仿宋" w:hAnsi="仿宋" w:eastAsia="仿宋" w:cs="仿宋"/>
              </w:rPr>
            </w:pPr>
            <w:r>
              <w:rPr>
                <w:rFonts w:hint="eastAsia" w:ascii="仿宋" w:hAnsi="仿宋" w:eastAsia="仿宋" w:cs="仿宋"/>
              </w:rPr>
              <w:t>20</w:t>
            </w:r>
          </w:p>
        </w:tc>
        <w:tc>
          <w:tcPr>
            <w:tcW w:w="1274" w:type="dxa"/>
            <w:vAlign w:val="center"/>
          </w:tcPr>
          <w:p>
            <w:pPr>
              <w:pStyle w:val="20"/>
              <w:rPr>
                <w:rFonts w:ascii="仿宋" w:hAnsi="仿宋" w:eastAsia="仿宋" w:cs="仿宋"/>
              </w:rPr>
            </w:pPr>
            <w:r>
              <w:rPr>
                <w:rFonts w:hint="eastAsia" w:ascii="仿宋" w:hAnsi="仿宋" w:eastAsia="仿宋" w:cs="仿宋"/>
              </w:rPr>
              <w:t>3D打印机</w:t>
            </w:r>
          </w:p>
        </w:tc>
        <w:tc>
          <w:tcPr>
            <w:tcW w:w="11454" w:type="dxa"/>
            <w:vAlign w:val="center"/>
          </w:tcPr>
          <w:p>
            <w:pPr>
              <w:widowControl/>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shd w:val="clear" w:color="auto" w:fill="FFFFFF"/>
                <w14:textFill>
                  <w14:solidFill>
                    <w14:schemeClr w14:val="tx1"/>
                  </w14:solidFill>
                </w14:textFill>
              </w:rPr>
              <w:t>耗材类型：光敏树脂</w:t>
            </w:r>
          </w:p>
          <w:p>
            <w:pPr>
              <w:widowControl/>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shd w:val="clear" w:color="auto" w:fill="FFFFFF"/>
                <w14:textFill>
                  <w14:solidFill>
                    <w14:schemeClr w14:val="tx1"/>
                  </w14:solidFill>
                </w14:textFill>
              </w:rPr>
              <w:t>打印精度：</w:t>
            </w:r>
            <w:r>
              <w:rPr>
                <w:rFonts w:hint="eastAsia" w:ascii="仿宋" w:hAnsi="仿宋" w:eastAsia="仿宋" w:cs="仿宋"/>
                <w:color w:val="000000"/>
                <w:kern w:val="0"/>
                <w:szCs w:val="21"/>
                <w:lang w:bidi="ar"/>
              </w:rPr>
              <w:t>≥</w:t>
            </w:r>
            <w:r>
              <w:rPr>
                <w:rFonts w:hint="eastAsia" w:ascii="仿宋" w:hAnsi="仿宋" w:eastAsia="仿宋" w:cs="仿宋"/>
                <w:color w:val="000000" w:themeColor="text1"/>
                <w:szCs w:val="21"/>
                <w:shd w:val="clear" w:color="auto" w:fill="FFFFFF"/>
                <w14:textFill>
                  <w14:solidFill>
                    <w14:schemeClr w14:val="tx1"/>
                  </w14:solidFill>
                </w14:textFill>
              </w:rPr>
              <w:t>0.02mm</w:t>
            </w:r>
          </w:p>
          <w:p>
            <w:pPr>
              <w:widowControl/>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shd w:val="clear" w:color="auto" w:fill="FFFFFF"/>
                <w14:textFill>
                  <w14:solidFill>
                    <w14:schemeClr w14:val="tx1"/>
                  </w14:solidFill>
                </w14:textFill>
              </w:rPr>
              <w:t>是否整装：是整装</w:t>
            </w:r>
          </w:p>
          <w:p>
            <w:pPr>
              <w:widowControl/>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shd w:val="clear" w:color="auto" w:fill="FFFFFF"/>
                <w14:textFill>
                  <w14:solidFill>
                    <w14:schemeClr w14:val="tx1"/>
                  </w14:solidFill>
                </w14:textFill>
              </w:rPr>
              <w:t>技术类型：光固化成型（LCD）</w:t>
            </w:r>
          </w:p>
          <w:p>
            <w:pPr>
              <w:widowControl/>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shd w:val="clear" w:color="auto" w:fill="FFFFFF"/>
                <w14:textFill>
                  <w14:solidFill>
                    <w14:schemeClr w14:val="tx1"/>
                  </w14:solidFill>
                </w14:textFill>
              </w:rPr>
              <w:t>连接方式：U盘；SD卡</w:t>
            </w:r>
          </w:p>
          <w:p>
            <w:pPr>
              <w:widowControl/>
              <w:rPr>
                <w:rFonts w:ascii="仿宋" w:hAnsi="仿宋" w:eastAsia="仿宋" w:cs="仿宋"/>
                <w:color w:val="000000" w:themeColor="text1"/>
                <w:szCs w:val="21"/>
                <w:shd w:val="clear" w:color="auto" w:fill="FFFFFF"/>
                <w14:textFill>
                  <w14:solidFill>
                    <w14:schemeClr w14:val="tx1"/>
                  </w14:solidFill>
                </w14:textFill>
              </w:rPr>
            </w:pPr>
            <w:r>
              <w:rPr>
                <w:rFonts w:hint="eastAsia" w:ascii="仿宋" w:hAnsi="仿宋" w:eastAsia="仿宋" w:cs="仿宋"/>
                <w:color w:val="000000" w:themeColor="text1"/>
                <w:szCs w:val="21"/>
                <w:shd w:val="clear" w:color="auto" w:fill="FFFFFF"/>
                <w14:textFill>
                  <w14:solidFill>
                    <w14:schemeClr w14:val="tx1"/>
                  </w14:solidFill>
                </w14:textFill>
              </w:rPr>
              <w:t>成型原理：光固化成型（SLA）</w:t>
            </w:r>
          </w:p>
          <w:p>
            <w:pPr>
              <w:widowControl/>
              <w:rPr>
                <w:rFonts w:ascii="仿宋" w:hAnsi="仿宋" w:eastAsia="仿宋" w:cs="仿宋"/>
                <w:color w:val="000000" w:themeColor="text1"/>
                <w:szCs w:val="21"/>
                <w:shd w:val="clear" w:color="auto" w:fill="FFFFFF"/>
                <w14:textFill>
                  <w14:solidFill>
                    <w14:schemeClr w14:val="tx1"/>
                  </w14:solidFill>
                </w14:textFill>
              </w:rPr>
            </w:pPr>
            <w:r>
              <w:rPr>
                <w:rFonts w:hint="eastAsia" w:ascii="仿宋" w:hAnsi="仿宋" w:eastAsia="仿宋" w:cs="仿宋"/>
                <w:color w:val="000000" w:themeColor="text1"/>
                <w:szCs w:val="21"/>
                <w:shd w:val="clear" w:color="auto" w:fill="FFFFFF"/>
                <w14:textFill>
                  <w14:solidFill>
                    <w14:schemeClr w14:val="tx1"/>
                  </w14:solidFill>
                </w14:textFill>
              </w:rPr>
              <w:t>成型高度：</w:t>
            </w:r>
            <w:r>
              <w:rPr>
                <w:rFonts w:hint="eastAsia" w:ascii="仿宋" w:hAnsi="仿宋" w:eastAsia="仿宋" w:cs="仿宋"/>
                <w:color w:val="000000"/>
                <w:kern w:val="0"/>
                <w:szCs w:val="21"/>
                <w:lang w:bidi="ar"/>
              </w:rPr>
              <w:t>≥</w:t>
            </w:r>
            <w:r>
              <w:rPr>
                <w:rFonts w:hint="eastAsia" w:ascii="仿宋" w:hAnsi="仿宋" w:eastAsia="仿宋" w:cs="仿宋"/>
                <w:color w:val="000000" w:themeColor="text1"/>
                <w:szCs w:val="21"/>
                <w:shd w:val="clear" w:color="auto" w:fill="FFFFFF"/>
                <w14:textFill>
                  <w14:solidFill>
                    <w14:schemeClr w14:val="tx1"/>
                  </w14:solidFill>
                </w14:textFill>
              </w:rPr>
              <w:t>50mm</w:t>
            </w:r>
          </w:p>
          <w:p>
            <w:pPr>
              <w:widowControl/>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shd w:val="clear" w:color="auto" w:fill="FFFFFF"/>
                <w14:textFill>
                  <w14:solidFill>
                    <w14:schemeClr w14:val="tx1"/>
                  </w14:solidFill>
                </w14:textFill>
              </w:rPr>
              <w:t>成型宽度：</w:t>
            </w:r>
            <w:r>
              <w:rPr>
                <w:rFonts w:hint="eastAsia" w:ascii="仿宋" w:hAnsi="仿宋" w:eastAsia="仿宋" w:cs="仿宋"/>
                <w:color w:val="000000"/>
                <w:kern w:val="0"/>
                <w:szCs w:val="21"/>
                <w:lang w:bidi="ar"/>
              </w:rPr>
              <w:t>≥</w:t>
            </w:r>
            <w:r>
              <w:rPr>
                <w:rFonts w:hint="eastAsia" w:ascii="仿宋" w:hAnsi="仿宋" w:eastAsia="仿宋" w:cs="仿宋"/>
                <w:color w:val="000000" w:themeColor="text1"/>
                <w:szCs w:val="21"/>
                <w:shd w:val="clear" w:color="auto" w:fill="FFFFFF"/>
                <w14:textFill>
                  <w14:solidFill>
                    <w14:schemeClr w14:val="tx1"/>
                  </w14:solidFill>
                </w14:textFill>
              </w:rPr>
              <w:t>295mm</w:t>
            </w:r>
          </w:p>
          <w:p>
            <w:pPr>
              <w:widowControl/>
              <w:rPr>
                <w:rFonts w:ascii="仿宋" w:hAnsi="仿宋" w:eastAsia="仿宋" w:cs="仿宋"/>
                <w:szCs w:val="21"/>
              </w:rPr>
            </w:pPr>
            <w:r>
              <w:rPr>
                <w:rFonts w:hint="eastAsia" w:ascii="仿宋" w:hAnsi="仿宋" w:eastAsia="仿宋" w:cs="仿宋"/>
                <w:color w:val="000000" w:themeColor="text1"/>
                <w:szCs w:val="21"/>
                <w:shd w:val="clear" w:color="auto" w:fill="FFFFFF"/>
                <w14:textFill>
                  <w14:solidFill>
                    <w14:schemeClr w14:val="tx1"/>
                  </w14:solidFill>
                </w14:textFill>
              </w:rPr>
              <w:t>使用方式：工业级</w:t>
            </w:r>
          </w:p>
        </w:tc>
        <w:tc>
          <w:tcPr>
            <w:tcW w:w="566" w:type="dxa"/>
            <w:vAlign w:val="center"/>
          </w:tcPr>
          <w:p>
            <w:pP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647" w:type="dxa"/>
            <w:vAlign w:val="center"/>
          </w:tcPr>
          <w:p>
            <w:pPr>
              <w:pStyle w:val="20"/>
              <w:rPr>
                <w:rFonts w:ascii="仿宋" w:hAnsi="仿宋" w:eastAsia="仿宋" w:cs="仿宋"/>
              </w:rPr>
            </w:pPr>
            <w:r>
              <w:rPr>
                <w:rFonts w:hint="eastAsia" w:ascii="仿宋" w:hAnsi="仿宋" w:eastAsia="仿宋" w:cs="仿宋"/>
              </w:rPr>
              <w:t>21</w:t>
            </w:r>
          </w:p>
        </w:tc>
        <w:tc>
          <w:tcPr>
            <w:tcW w:w="1274" w:type="dxa"/>
            <w:vAlign w:val="center"/>
          </w:tcPr>
          <w:p>
            <w:pPr>
              <w:pStyle w:val="20"/>
              <w:rPr>
                <w:rFonts w:ascii="仿宋" w:hAnsi="仿宋" w:eastAsia="仿宋" w:cs="仿宋"/>
              </w:rPr>
            </w:pPr>
            <w:r>
              <w:rPr>
                <w:rFonts w:hint="eastAsia" w:ascii="仿宋" w:hAnsi="仿宋" w:eastAsia="仿宋" w:cs="仿宋"/>
              </w:rPr>
              <w:t>14人会议桌椅</w:t>
            </w:r>
          </w:p>
        </w:tc>
        <w:tc>
          <w:tcPr>
            <w:tcW w:w="11454" w:type="dxa"/>
            <w:vAlign w:val="center"/>
          </w:tcPr>
          <w:p>
            <w:pPr>
              <w:rPr>
                <w:rFonts w:ascii="仿宋" w:hAnsi="仿宋" w:eastAsia="仿宋" w:cs="仿宋"/>
                <w:szCs w:val="21"/>
              </w:rPr>
            </w:pPr>
            <w:r>
              <w:rPr>
                <w:rFonts w:hint="eastAsia" w:ascii="仿宋" w:hAnsi="仿宋" w:eastAsia="仿宋" w:cs="仿宋"/>
                <w:szCs w:val="21"/>
              </w:rPr>
              <w:t>烤漆会议桌：规格:4000*1400*750，台面均采用优质密度板压缩板，台面8公分厚，下面不锈钢采用 304不锈钢折弯焊接而成，经过八道喷漆烤漆工艺，漆面</w:t>
            </w:r>
            <w:r>
              <w:rPr>
                <w:rFonts w:hint="eastAsia" w:ascii="仿宋" w:hAnsi="仿宋" w:eastAsia="仿宋" w:cs="仿宋"/>
                <w:color w:val="000000"/>
                <w:kern w:val="0"/>
                <w:szCs w:val="21"/>
                <w:lang w:bidi="ar"/>
              </w:rPr>
              <w:t>≥</w:t>
            </w:r>
            <w:r>
              <w:rPr>
                <w:rFonts w:hint="eastAsia" w:ascii="仿宋" w:hAnsi="仿宋" w:eastAsia="仿宋" w:cs="仿宋"/>
                <w:szCs w:val="21"/>
              </w:rPr>
              <w:t>8微米厚度，制作成高硬度高光烤漆，光泽亮丽，耐磨，耐划，耐热。</w:t>
            </w:r>
          </w:p>
          <w:p>
            <w:pPr>
              <w:rPr>
                <w:rFonts w:ascii="仿宋" w:hAnsi="仿宋" w:eastAsia="仿宋" w:cs="仿宋"/>
                <w:szCs w:val="21"/>
              </w:rPr>
            </w:pPr>
            <w:r>
              <w:rPr>
                <w:rFonts w:hint="eastAsia" w:ascii="仿宋" w:hAnsi="仿宋" w:eastAsia="仿宋" w:cs="仿宋"/>
                <w:szCs w:val="21"/>
              </w:rPr>
              <w:t>多媒体线盒，规格：266*118*50，数量3套，铝合金外框，带2孔3孔插座2孔USB接口，内部镶绝缘塑料机箱</w:t>
            </w:r>
          </w:p>
          <w:p>
            <w:pPr>
              <w:rPr>
                <w:rFonts w:ascii="仿宋" w:hAnsi="仿宋" w:eastAsia="仿宋" w:cs="仿宋"/>
                <w:szCs w:val="21"/>
              </w:rPr>
            </w:pPr>
            <w:r>
              <w:rPr>
                <w:rFonts w:hint="eastAsia" w:ascii="仿宋" w:hAnsi="仿宋" w:eastAsia="仿宋" w:cs="仿宋"/>
                <w:szCs w:val="21"/>
              </w:rPr>
              <w:t>椅子:14把，椅子坐面是耐磨西皮面料，多层曲木板烤漆，铝合金抛光脚，高品质耐用滑轮</w:t>
            </w:r>
          </w:p>
        </w:tc>
        <w:tc>
          <w:tcPr>
            <w:tcW w:w="566" w:type="dxa"/>
            <w:vAlign w:val="center"/>
          </w:tcPr>
          <w:p>
            <w:pP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647" w:type="dxa"/>
            <w:vAlign w:val="center"/>
          </w:tcPr>
          <w:p>
            <w:pPr>
              <w:pStyle w:val="20"/>
              <w:rPr>
                <w:rFonts w:ascii="仿宋" w:hAnsi="仿宋" w:eastAsia="仿宋" w:cs="仿宋"/>
              </w:rPr>
            </w:pPr>
            <w:r>
              <w:rPr>
                <w:rFonts w:hint="eastAsia" w:ascii="仿宋" w:hAnsi="仿宋" w:eastAsia="仿宋" w:cs="仿宋"/>
              </w:rPr>
              <w:t>22</w:t>
            </w:r>
          </w:p>
        </w:tc>
        <w:tc>
          <w:tcPr>
            <w:tcW w:w="1274" w:type="dxa"/>
            <w:vAlign w:val="center"/>
          </w:tcPr>
          <w:p>
            <w:pPr>
              <w:pStyle w:val="20"/>
              <w:rPr>
                <w:rFonts w:ascii="仿宋" w:hAnsi="仿宋" w:eastAsia="仿宋" w:cs="仿宋"/>
              </w:rPr>
            </w:pPr>
            <w:r>
              <w:rPr>
                <w:rFonts w:hint="eastAsia" w:ascii="仿宋" w:hAnsi="仿宋" w:eastAsia="仿宋" w:cs="仿宋"/>
              </w:rPr>
              <w:t>接入交换机</w:t>
            </w:r>
          </w:p>
        </w:tc>
        <w:tc>
          <w:tcPr>
            <w:tcW w:w="11454" w:type="dxa"/>
            <w:vAlign w:val="center"/>
          </w:tcPr>
          <w:p>
            <w:pPr>
              <w:widowControl/>
              <w:jc w:val="left"/>
              <w:rPr>
                <w:rFonts w:ascii="仿宋" w:hAnsi="仿宋" w:eastAsia="仿宋" w:cs="仿宋"/>
                <w:color w:val="000000"/>
                <w:kern w:val="0"/>
                <w:szCs w:val="21"/>
              </w:rPr>
            </w:pPr>
            <w:r>
              <w:rPr>
                <w:rFonts w:hint="eastAsia" w:ascii="仿宋" w:hAnsi="仿宋" w:eastAsia="仿宋" w:cs="仿宋"/>
                <w:color w:val="000000"/>
                <w:kern w:val="0"/>
                <w:szCs w:val="21"/>
              </w:rPr>
              <w:t>组合配置(24个10/100/1000BASE-T以太网端口,4个万兆SFP+</w:t>
            </w:r>
          </w:p>
          <w:p>
            <w:pPr>
              <w:widowControl/>
              <w:jc w:val="left"/>
              <w:rPr>
                <w:rFonts w:ascii="仿宋" w:hAnsi="仿宋" w:eastAsia="仿宋" w:cs="仿宋"/>
                <w:color w:val="000000"/>
                <w:kern w:val="0"/>
                <w:szCs w:val="21"/>
              </w:rPr>
            </w:pPr>
            <w:r>
              <w:rPr>
                <w:rFonts w:hint="eastAsia" w:ascii="仿宋" w:hAnsi="仿宋" w:eastAsia="仿宋" w:cs="仿宋"/>
                <w:color w:val="000000"/>
                <w:kern w:val="0"/>
                <w:szCs w:val="21"/>
              </w:rPr>
              <w:t>支持1+1电源备份</w:t>
            </w:r>
          </w:p>
          <w:p>
            <w:pPr>
              <w:widowControl/>
              <w:jc w:val="left"/>
              <w:rPr>
                <w:rFonts w:ascii="仿宋" w:hAnsi="仿宋" w:eastAsia="仿宋" w:cs="仿宋"/>
                <w:color w:val="000000"/>
                <w:kern w:val="0"/>
                <w:szCs w:val="21"/>
              </w:rPr>
            </w:pPr>
            <w:r>
              <w:rPr>
                <w:rFonts w:hint="eastAsia" w:ascii="仿宋" w:hAnsi="仿宋" w:eastAsia="仿宋" w:cs="仿宋"/>
                <w:color w:val="000000"/>
                <w:kern w:val="0"/>
                <w:szCs w:val="21"/>
              </w:rPr>
              <w:t>默认带一个60W交流电源模块</w:t>
            </w:r>
          </w:p>
          <w:p>
            <w:pPr>
              <w:widowControl/>
              <w:jc w:val="left"/>
              <w:rPr>
                <w:rFonts w:ascii="仿宋" w:hAnsi="仿宋" w:eastAsia="仿宋" w:cs="仿宋"/>
                <w:color w:val="000000"/>
                <w:kern w:val="0"/>
                <w:szCs w:val="21"/>
              </w:rPr>
            </w:pPr>
            <w:r>
              <w:rPr>
                <w:rFonts w:hint="eastAsia" w:ascii="仿宋" w:hAnsi="仿宋" w:eastAsia="仿宋" w:cs="仿宋"/>
                <w:color w:val="000000"/>
                <w:kern w:val="0"/>
                <w:szCs w:val="21"/>
              </w:rPr>
              <w:t>包转发率:108/126Mpps</w:t>
            </w:r>
          </w:p>
          <w:p>
            <w:pPr>
              <w:widowControl/>
              <w:jc w:val="left"/>
              <w:rPr>
                <w:rFonts w:ascii="仿宋" w:hAnsi="仿宋" w:eastAsia="仿宋" w:cs="仿宋"/>
                <w:color w:val="000000"/>
                <w:kern w:val="0"/>
                <w:szCs w:val="21"/>
                <w:lang w:bidi="ar"/>
              </w:rPr>
            </w:pPr>
            <w:r>
              <w:rPr>
                <w:rFonts w:hint="eastAsia" w:ascii="仿宋" w:hAnsi="仿宋" w:eastAsia="仿宋" w:cs="仿宋"/>
                <w:color w:val="000000"/>
                <w:kern w:val="0"/>
                <w:szCs w:val="21"/>
              </w:rPr>
              <w:t>交换容量:336Gbps/3.36Tbps</w:t>
            </w:r>
          </w:p>
        </w:tc>
        <w:tc>
          <w:tcPr>
            <w:tcW w:w="566" w:type="dxa"/>
            <w:vAlign w:val="center"/>
          </w:tcPr>
          <w:p>
            <w:pP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647" w:type="dxa"/>
            <w:vAlign w:val="center"/>
          </w:tcPr>
          <w:p>
            <w:pPr>
              <w:pStyle w:val="20"/>
              <w:rPr>
                <w:rFonts w:ascii="仿宋" w:hAnsi="仿宋" w:eastAsia="仿宋" w:cs="仿宋"/>
              </w:rPr>
            </w:pPr>
            <w:r>
              <w:rPr>
                <w:rFonts w:hint="eastAsia" w:ascii="仿宋" w:hAnsi="仿宋" w:eastAsia="仿宋" w:cs="仿宋"/>
              </w:rPr>
              <w:t>23</w:t>
            </w:r>
          </w:p>
        </w:tc>
        <w:tc>
          <w:tcPr>
            <w:tcW w:w="1274" w:type="dxa"/>
            <w:vAlign w:val="center"/>
          </w:tcPr>
          <w:p>
            <w:pPr>
              <w:pStyle w:val="20"/>
              <w:rPr>
                <w:rFonts w:ascii="仿宋" w:hAnsi="仿宋" w:eastAsia="仿宋" w:cs="仿宋"/>
              </w:rPr>
            </w:pPr>
            <w:r>
              <w:rPr>
                <w:rFonts w:hint="eastAsia" w:ascii="仿宋" w:hAnsi="仿宋" w:eastAsia="仿宋" w:cs="仿宋"/>
              </w:rPr>
              <w:t>无线路由</w:t>
            </w:r>
          </w:p>
        </w:tc>
        <w:tc>
          <w:tcPr>
            <w:tcW w:w="11454" w:type="dxa"/>
            <w:vAlign w:val="center"/>
          </w:tcPr>
          <w:p>
            <w:pPr>
              <w:rPr>
                <w:rFonts w:ascii="仿宋" w:hAnsi="仿宋" w:eastAsia="仿宋" w:cs="仿宋"/>
                <w:szCs w:val="21"/>
              </w:rPr>
            </w:pPr>
            <w:r>
              <w:rPr>
                <w:rFonts w:hint="eastAsia" w:ascii="仿宋" w:hAnsi="仿宋" w:eastAsia="仿宋" w:cs="仿宋"/>
                <w:szCs w:val="21"/>
              </w:rPr>
              <w:t>1.产品类型：智能型、双频段高级企业级无线路由器；2.频率范围：双频段，信号更强：包含2.4GHz频段和5GHz频段；3.传输速率：≥1200M，真正稳定的千兆无线路由；4.网络接口：不少于5个10/100/1000Mbps千兆端口，可带动</w:t>
            </w:r>
            <w:r>
              <w:rPr>
                <w:rFonts w:hint="eastAsia" w:ascii="仿宋" w:hAnsi="仿宋" w:eastAsia="仿宋" w:cs="仿宋"/>
                <w:color w:val="000000"/>
                <w:kern w:val="0"/>
                <w:szCs w:val="21"/>
                <w:lang w:bidi="ar"/>
              </w:rPr>
              <w:t>≥</w:t>
            </w:r>
            <w:r>
              <w:rPr>
                <w:rFonts w:hint="eastAsia" w:ascii="仿宋" w:hAnsi="仿宋" w:eastAsia="仿宋" w:cs="仿宋"/>
                <w:szCs w:val="21"/>
              </w:rPr>
              <w:t>100台网络终端使用；5.天线数量：不少于4根天线；6.天线增益：5dBi7.WDS功能：支持WDS无线网络扩展智慧功能：微信连wifi/防火墙/上网行为管理/VPN/千兆有线/双频高速。</w:t>
            </w:r>
          </w:p>
        </w:tc>
        <w:tc>
          <w:tcPr>
            <w:tcW w:w="566" w:type="dxa"/>
            <w:vAlign w:val="center"/>
          </w:tcPr>
          <w:p>
            <w:pP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647" w:type="dxa"/>
            <w:vAlign w:val="center"/>
          </w:tcPr>
          <w:p>
            <w:pPr>
              <w:pStyle w:val="20"/>
              <w:rPr>
                <w:rFonts w:ascii="仿宋" w:hAnsi="仿宋" w:eastAsia="仿宋" w:cs="仿宋"/>
              </w:rPr>
            </w:pPr>
            <w:r>
              <w:rPr>
                <w:rFonts w:hint="eastAsia" w:ascii="仿宋" w:hAnsi="仿宋" w:eastAsia="仿宋" w:cs="仿宋"/>
              </w:rPr>
              <w:t>24</w:t>
            </w:r>
          </w:p>
        </w:tc>
        <w:tc>
          <w:tcPr>
            <w:tcW w:w="1274" w:type="dxa"/>
            <w:vAlign w:val="center"/>
          </w:tcPr>
          <w:p>
            <w:pPr>
              <w:pStyle w:val="20"/>
              <w:rPr>
                <w:rFonts w:ascii="仿宋" w:hAnsi="仿宋" w:eastAsia="仿宋" w:cs="仿宋"/>
              </w:rPr>
            </w:pPr>
            <w:r>
              <w:rPr>
                <w:rFonts w:hint="eastAsia" w:ascii="仿宋" w:hAnsi="仿宋" w:eastAsia="仿宋" w:cs="仿宋"/>
              </w:rPr>
              <w:t>文化墙建设</w:t>
            </w:r>
          </w:p>
        </w:tc>
        <w:tc>
          <w:tcPr>
            <w:tcW w:w="11454" w:type="dxa"/>
            <w:vAlign w:val="center"/>
          </w:tcPr>
          <w:p>
            <w:pPr>
              <w:rPr>
                <w:rFonts w:ascii="仿宋" w:hAnsi="仿宋" w:eastAsia="仿宋" w:cs="仿宋"/>
                <w:szCs w:val="21"/>
              </w:rPr>
            </w:pPr>
            <w:r>
              <w:rPr>
                <w:rFonts w:hint="eastAsia" w:ascii="仿宋" w:hAnsi="仿宋" w:eastAsia="仿宋" w:cs="仿宋"/>
                <w:szCs w:val="21"/>
              </w:rPr>
              <w:t>虚仿基地相关文化墙建设，含室内和过道墙</w:t>
            </w:r>
          </w:p>
        </w:tc>
        <w:tc>
          <w:tcPr>
            <w:tcW w:w="566" w:type="dxa"/>
            <w:vAlign w:val="center"/>
          </w:tcPr>
          <w:p>
            <w:pP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647" w:type="dxa"/>
            <w:vAlign w:val="center"/>
          </w:tcPr>
          <w:p>
            <w:pPr>
              <w:pStyle w:val="20"/>
              <w:rPr>
                <w:rFonts w:ascii="仿宋" w:hAnsi="仿宋" w:eastAsia="仿宋" w:cs="仿宋"/>
              </w:rPr>
            </w:pPr>
            <w:r>
              <w:rPr>
                <w:rFonts w:hint="eastAsia" w:ascii="仿宋" w:hAnsi="仿宋" w:eastAsia="仿宋" w:cs="仿宋"/>
              </w:rPr>
              <w:t>25</w:t>
            </w:r>
          </w:p>
        </w:tc>
        <w:tc>
          <w:tcPr>
            <w:tcW w:w="1274" w:type="dxa"/>
            <w:vAlign w:val="center"/>
          </w:tcPr>
          <w:p>
            <w:pPr>
              <w:pStyle w:val="20"/>
              <w:rPr>
                <w:rFonts w:ascii="仿宋" w:hAnsi="仿宋" w:eastAsia="仿宋" w:cs="仿宋"/>
              </w:rPr>
            </w:pPr>
            <w:r>
              <w:rPr>
                <w:rFonts w:hint="eastAsia" w:ascii="仿宋" w:hAnsi="仿宋" w:eastAsia="仿宋" w:cs="仿宋"/>
              </w:rPr>
              <w:t>系统集成</w:t>
            </w:r>
          </w:p>
        </w:tc>
        <w:tc>
          <w:tcPr>
            <w:tcW w:w="11454" w:type="dxa"/>
            <w:vAlign w:val="center"/>
          </w:tcPr>
          <w:p>
            <w:pPr>
              <w:rPr>
                <w:rFonts w:ascii="仿宋" w:hAnsi="仿宋" w:eastAsia="仿宋" w:cs="仿宋"/>
                <w:szCs w:val="21"/>
              </w:rPr>
            </w:pPr>
            <w:r>
              <w:rPr>
                <w:rFonts w:hint="eastAsia" w:ascii="仿宋" w:hAnsi="仿宋" w:eastAsia="仿宋" w:cs="仿宋"/>
                <w:szCs w:val="21"/>
              </w:rPr>
              <w:t>安装hdmi 分配器，SDI 高清分配器，水晶头，音频、视频线，网线，电源线，耳机头，控制线等配件及软硬件调试。</w:t>
            </w:r>
          </w:p>
        </w:tc>
        <w:tc>
          <w:tcPr>
            <w:tcW w:w="566" w:type="dxa"/>
            <w:vAlign w:val="center"/>
          </w:tcPr>
          <w:p>
            <w:pP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647" w:type="dxa"/>
            <w:vAlign w:val="center"/>
          </w:tcPr>
          <w:p>
            <w:pPr>
              <w:pStyle w:val="20"/>
              <w:rPr>
                <w:rFonts w:ascii="仿宋" w:hAnsi="仿宋" w:eastAsia="仿宋" w:cs="仿宋"/>
              </w:rPr>
            </w:pPr>
            <w:r>
              <w:rPr>
                <w:rFonts w:hint="eastAsia" w:ascii="仿宋" w:hAnsi="仿宋" w:eastAsia="仿宋" w:cs="仿宋"/>
              </w:rPr>
              <w:t>26</w:t>
            </w:r>
          </w:p>
        </w:tc>
        <w:tc>
          <w:tcPr>
            <w:tcW w:w="1274" w:type="dxa"/>
            <w:vAlign w:val="center"/>
          </w:tcPr>
          <w:p>
            <w:pPr>
              <w:pStyle w:val="20"/>
              <w:rPr>
                <w:rFonts w:ascii="仿宋" w:hAnsi="仿宋" w:eastAsia="仿宋" w:cs="仿宋"/>
              </w:rPr>
            </w:pPr>
            <w:r>
              <w:rPr>
                <w:rFonts w:hint="eastAsia" w:ascii="仿宋" w:hAnsi="仿宋" w:eastAsia="仿宋" w:cs="仿宋"/>
              </w:rPr>
              <w:t>标准装修</w:t>
            </w:r>
          </w:p>
        </w:tc>
        <w:tc>
          <w:tcPr>
            <w:tcW w:w="11454" w:type="dxa"/>
            <w:vAlign w:val="center"/>
          </w:tcPr>
          <w:p>
            <w:pPr>
              <w:rPr>
                <w:rFonts w:ascii="仿宋" w:hAnsi="仿宋" w:eastAsia="仿宋" w:cs="仿宋"/>
                <w:szCs w:val="21"/>
              </w:rPr>
            </w:pPr>
            <w:r>
              <w:rPr>
                <w:rFonts w:hint="eastAsia" w:ascii="仿宋" w:hAnsi="仿宋" w:eastAsia="仿宋" w:cs="仿宋"/>
                <w:szCs w:val="21"/>
              </w:rPr>
              <w:t>面积：80平米，全房改电、大屏音视频改线、配电箱、石膏板二级吊顶、LED照明灯、LED环境氛围灯带、墙顶面基层处理、墙面水性漆、顶面乳胶漆、书柜造型、书柜隔板、窗台石、开关插座、玻璃隔断、玻璃门把手、地胶、材料运输、材料搬运、垃圾搬运、窗帘、百叶帘等</w:t>
            </w:r>
          </w:p>
        </w:tc>
        <w:tc>
          <w:tcPr>
            <w:tcW w:w="566" w:type="dxa"/>
            <w:vAlign w:val="center"/>
          </w:tcPr>
          <w:p>
            <w:pP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647" w:type="dxa"/>
            <w:vAlign w:val="center"/>
          </w:tcPr>
          <w:p>
            <w:pPr>
              <w:rPr>
                <w:rFonts w:ascii="仿宋" w:hAnsi="仿宋" w:eastAsia="仿宋" w:cs="仿宋"/>
              </w:rPr>
            </w:pPr>
            <w:r>
              <w:rPr>
                <w:rFonts w:hint="eastAsia" w:ascii="仿宋" w:hAnsi="仿宋" w:eastAsia="仿宋" w:cs="仿宋"/>
              </w:rPr>
              <w:t>序号</w:t>
            </w:r>
          </w:p>
        </w:tc>
        <w:tc>
          <w:tcPr>
            <w:tcW w:w="1274" w:type="dxa"/>
            <w:vAlign w:val="center"/>
          </w:tcPr>
          <w:p>
            <w:pPr>
              <w:rPr>
                <w:rFonts w:ascii="仿宋" w:hAnsi="仿宋" w:eastAsia="仿宋" w:cs="仿宋"/>
              </w:rPr>
            </w:pPr>
            <w:r>
              <w:rPr>
                <w:rFonts w:hint="eastAsia" w:ascii="仿宋" w:hAnsi="仿宋" w:eastAsia="仿宋" w:cs="仿宋"/>
              </w:rPr>
              <w:t>系统名称</w:t>
            </w:r>
          </w:p>
        </w:tc>
        <w:tc>
          <w:tcPr>
            <w:tcW w:w="11454" w:type="dxa"/>
            <w:vAlign w:val="center"/>
          </w:tcPr>
          <w:p>
            <w:pPr>
              <w:rPr>
                <w:rFonts w:ascii="仿宋" w:hAnsi="仿宋" w:eastAsia="仿宋" w:cs="仿宋"/>
                <w:szCs w:val="21"/>
              </w:rPr>
            </w:pPr>
            <w:r>
              <w:rPr>
                <w:rFonts w:hint="eastAsia" w:ascii="仿宋" w:hAnsi="仿宋" w:eastAsia="仿宋" w:cs="仿宋"/>
                <w:szCs w:val="21"/>
              </w:rPr>
              <w:t>技术参数</w:t>
            </w:r>
          </w:p>
        </w:tc>
        <w:tc>
          <w:tcPr>
            <w:tcW w:w="566" w:type="dxa"/>
            <w:vAlign w:val="center"/>
          </w:tcPr>
          <w:p>
            <w:pPr>
              <w:rPr>
                <w:rFonts w:ascii="仿宋" w:hAnsi="仿宋" w:eastAsia="仿宋" w:cs="仿宋"/>
              </w:rPr>
            </w:pPr>
            <w:r>
              <w:rPr>
                <w:rFonts w:hint="eastAsia" w:ascii="仿宋" w:hAnsi="仿宋" w:eastAsia="仿宋" w:cs="仿宋"/>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647" w:type="dxa"/>
            <w:vAlign w:val="center"/>
          </w:tcPr>
          <w:p>
            <w:pPr>
              <w:pStyle w:val="20"/>
              <w:rPr>
                <w:rFonts w:ascii="仿宋" w:hAnsi="仿宋" w:eastAsia="仿宋" w:cs="仿宋"/>
              </w:rPr>
            </w:pPr>
            <w:r>
              <w:rPr>
                <w:rFonts w:hint="eastAsia" w:ascii="仿宋" w:hAnsi="仿宋" w:eastAsia="仿宋" w:cs="仿宋"/>
              </w:rPr>
              <w:t>1</w:t>
            </w:r>
          </w:p>
        </w:tc>
        <w:tc>
          <w:tcPr>
            <w:tcW w:w="1274" w:type="dxa"/>
            <w:vAlign w:val="center"/>
          </w:tcPr>
          <w:p>
            <w:pPr>
              <w:pStyle w:val="20"/>
              <w:rPr>
                <w:rFonts w:ascii="仿宋" w:hAnsi="仿宋" w:eastAsia="仿宋" w:cs="仿宋"/>
              </w:rPr>
            </w:pPr>
            <w:r>
              <w:rPr>
                <w:rFonts w:hint="eastAsia" w:ascii="仿宋" w:hAnsi="仿宋" w:eastAsia="仿宋" w:cs="仿宋"/>
              </w:rPr>
              <w:t>86寸教学一体机</w:t>
            </w:r>
          </w:p>
        </w:tc>
        <w:tc>
          <w:tcPr>
            <w:tcW w:w="11454" w:type="dxa"/>
            <w:vAlign w:val="center"/>
          </w:tcPr>
          <w:tbl>
            <w:tblPr>
              <w:tblStyle w:val="38"/>
              <w:tblW w:w="8585" w:type="dxa"/>
              <w:jc w:val="center"/>
              <w:tblBorders>
                <w:top w:val="single" w:color="073D95" w:sz="4" w:space="0"/>
                <w:left w:val="single" w:color="073D95" w:sz="4" w:space="0"/>
                <w:bottom w:val="single" w:color="073D95" w:sz="4" w:space="0"/>
                <w:right w:val="single" w:color="073D95" w:sz="4" w:space="0"/>
                <w:insideH w:val="single" w:color="073D95" w:sz="4" w:space="0"/>
                <w:insideV w:val="single" w:color="073D95" w:sz="4" w:space="0"/>
              </w:tblBorders>
              <w:tblLayout w:type="fixed"/>
              <w:tblCellMar>
                <w:top w:w="0" w:type="dxa"/>
                <w:left w:w="108" w:type="dxa"/>
                <w:bottom w:w="0" w:type="dxa"/>
                <w:right w:w="108" w:type="dxa"/>
              </w:tblCellMar>
            </w:tblPr>
            <w:tblGrid>
              <w:gridCol w:w="1116"/>
              <w:gridCol w:w="4063"/>
              <w:gridCol w:w="3406"/>
            </w:tblGrid>
            <w:tr>
              <w:tblPrEx>
                <w:tblBorders>
                  <w:top w:val="single" w:color="073D95" w:sz="4" w:space="0"/>
                  <w:left w:val="single" w:color="073D95" w:sz="4" w:space="0"/>
                  <w:bottom w:val="single" w:color="073D95" w:sz="4" w:space="0"/>
                  <w:right w:val="single" w:color="073D95" w:sz="4" w:space="0"/>
                  <w:insideH w:val="single" w:color="073D95" w:sz="4" w:space="0"/>
                  <w:insideV w:val="single" w:color="073D95" w:sz="4" w:space="0"/>
                </w:tblBorders>
                <w:tblCellMar>
                  <w:top w:w="0" w:type="dxa"/>
                  <w:left w:w="108" w:type="dxa"/>
                  <w:bottom w:w="0" w:type="dxa"/>
                  <w:right w:w="108" w:type="dxa"/>
                </w:tblCellMar>
              </w:tblPrEx>
              <w:trPr>
                <w:trHeight w:val="278" w:hRule="atLeast"/>
                <w:jc w:val="center"/>
              </w:trPr>
              <w:tc>
                <w:tcPr>
                  <w:tcW w:w="1116" w:type="dxa"/>
                  <w:tcBorders>
                    <w:top w:val="single" w:color="FFFFFF" w:sz="4" w:space="0"/>
                  </w:tcBorders>
                  <w:vAlign w:val="center"/>
                </w:tcPr>
                <w:p>
                  <w:pPr>
                    <w:jc w:val="center"/>
                    <w:rPr>
                      <w:rFonts w:ascii="仿宋" w:hAnsi="仿宋" w:eastAsia="仿宋" w:cs="仿宋"/>
                      <w:kern w:val="0"/>
                      <w:szCs w:val="21"/>
                    </w:rPr>
                  </w:pPr>
                  <w:r>
                    <w:rPr>
                      <w:rFonts w:hint="eastAsia" w:ascii="仿宋" w:hAnsi="仿宋" w:eastAsia="仿宋" w:cs="仿宋"/>
                      <w:kern w:val="0"/>
                      <w:szCs w:val="21"/>
                    </w:rPr>
                    <w:t>面板</w:t>
                  </w:r>
                </w:p>
              </w:tc>
              <w:tc>
                <w:tcPr>
                  <w:tcW w:w="4063" w:type="dxa"/>
                  <w:tcBorders>
                    <w:top w:val="single" w:color="FFFFFF" w:sz="4" w:space="0"/>
                  </w:tcBorders>
                  <w:vAlign w:val="center"/>
                </w:tcPr>
                <w:p>
                  <w:pPr>
                    <w:widowControl/>
                    <w:jc w:val="center"/>
                    <w:rPr>
                      <w:rFonts w:ascii="仿宋" w:hAnsi="仿宋" w:eastAsia="仿宋" w:cs="仿宋"/>
                      <w:kern w:val="0"/>
                      <w:szCs w:val="21"/>
                    </w:rPr>
                  </w:pPr>
                  <w:r>
                    <w:rPr>
                      <w:rFonts w:hint="eastAsia" w:ascii="仿宋" w:hAnsi="仿宋" w:eastAsia="仿宋" w:cs="仿宋"/>
                      <w:kern w:val="0"/>
                      <w:szCs w:val="21"/>
                    </w:rPr>
                    <w:t>LCD 尺寸</w:t>
                  </w:r>
                </w:p>
              </w:tc>
              <w:tc>
                <w:tcPr>
                  <w:tcW w:w="3401" w:type="dxa"/>
                  <w:tcBorders>
                    <w:top w:val="single" w:color="FFFFFF" w:sz="4" w:space="0"/>
                  </w:tcBorders>
                  <w:vAlign w:val="center"/>
                </w:tcPr>
                <w:p>
                  <w:pPr>
                    <w:widowControl/>
                    <w:jc w:val="center"/>
                    <w:rPr>
                      <w:rFonts w:ascii="仿宋" w:hAnsi="仿宋" w:eastAsia="仿宋" w:cs="仿宋"/>
                      <w:kern w:val="0"/>
                      <w:szCs w:val="21"/>
                    </w:rPr>
                  </w:pPr>
                  <w:r>
                    <w:rPr>
                      <w:rFonts w:ascii="等线" w:hAnsi="等线" w:eastAsia="等线"/>
                      <w:kern w:val="0"/>
                      <w:szCs w:val="21"/>
                    </w:rPr>
                    <w:t>86</w:t>
                  </w:r>
                  <w:r>
                    <w:rPr>
                      <w:rFonts w:hint="eastAsia" w:ascii="等线" w:hAnsi="等线" w:eastAsia="等线"/>
                      <w:kern w:val="0"/>
                      <w:szCs w:val="21"/>
                    </w:rPr>
                    <w:t>"</w:t>
                  </w:r>
                </w:p>
              </w:tc>
            </w:tr>
            <w:tr>
              <w:tblPrEx>
                <w:tblBorders>
                  <w:top w:val="single" w:color="073D95" w:sz="4" w:space="0"/>
                  <w:left w:val="single" w:color="073D95" w:sz="4" w:space="0"/>
                  <w:bottom w:val="single" w:color="073D95" w:sz="4" w:space="0"/>
                  <w:right w:val="single" w:color="073D95" w:sz="4" w:space="0"/>
                  <w:insideH w:val="single" w:color="073D95" w:sz="4" w:space="0"/>
                  <w:insideV w:val="single" w:color="073D95" w:sz="4" w:space="0"/>
                </w:tblBorders>
                <w:tblCellMar>
                  <w:top w:w="0" w:type="dxa"/>
                  <w:left w:w="108" w:type="dxa"/>
                  <w:bottom w:w="0" w:type="dxa"/>
                  <w:right w:w="108" w:type="dxa"/>
                </w:tblCellMar>
              </w:tblPrEx>
              <w:trPr>
                <w:trHeight w:val="278" w:hRule="atLeast"/>
                <w:jc w:val="center"/>
              </w:trPr>
              <w:tc>
                <w:tcPr>
                  <w:tcW w:w="1116" w:type="dxa"/>
                  <w:vMerge w:val="restart"/>
                  <w:vAlign w:val="center"/>
                </w:tcPr>
                <w:p>
                  <w:pPr>
                    <w:widowControl/>
                    <w:jc w:val="center"/>
                    <w:rPr>
                      <w:rFonts w:ascii="仿宋" w:hAnsi="仿宋" w:eastAsia="仿宋" w:cs="仿宋"/>
                      <w:kern w:val="0"/>
                      <w:szCs w:val="21"/>
                    </w:rPr>
                  </w:pPr>
                  <w:r>
                    <w:rPr>
                      <w:rFonts w:hint="eastAsia" w:ascii="仿宋" w:hAnsi="仿宋" w:eastAsia="仿宋" w:cs="仿宋"/>
                      <w:kern w:val="0"/>
                      <w:szCs w:val="21"/>
                    </w:rPr>
                    <w:t>系统属性</w:t>
                  </w:r>
                </w:p>
              </w:tc>
              <w:tc>
                <w:tcPr>
                  <w:tcW w:w="4063" w:type="dxa"/>
                  <w:vAlign w:val="center"/>
                </w:tcPr>
                <w:p>
                  <w:pPr>
                    <w:widowControl/>
                    <w:jc w:val="center"/>
                    <w:rPr>
                      <w:rFonts w:ascii="仿宋" w:hAnsi="仿宋" w:eastAsia="仿宋" w:cs="仿宋"/>
                      <w:kern w:val="0"/>
                      <w:szCs w:val="21"/>
                    </w:rPr>
                  </w:pPr>
                  <w:r>
                    <w:rPr>
                      <w:rFonts w:hint="eastAsia" w:ascii="仿宋" w:hAnsi="仿宋" w:eastAsia="仿宋" w:cs="仿宋"/>
                      <w:kern w:val="0"/>
                      <w:szCs w:val="21"/>
                    </w:rPr>
                    <w:t>CPU架构</w:t>
                  </w:r>
                </w:p>
              </w:tc>
              <w:tc>
                <w:tcPr>
                  <w:tcW w:w="3406" w:type="dxa"/>
                  <w:tcBorders>
                    <w:bottom w:val="single" w:color="073D95" w:sz="4" w:space="0"/>
                    <w:right w:val="single" w:color="auto" w:sz="4" w:space="0"/>
                  </w:tcBorders>
                  <w:vAlign w:val="center"/>
                </w:tcPr>
                <w:p>
                  <w:pPr>
                    <w:widowControl/>
                    <w:jc w:val="center"/>
                    <w:rPr>
                      <w:rFonts w:ascii="仿宋" w:hAnsi="仿宋" w:eastAsia="仿宋" w:cs="仿宋"/>
                      <w:kern w:val="0"/>
                      <w:szCs w:val="21"/>
                    </w:rPr>
                  </w:pPr>
                  <w:r>
                    <w:rPr>
                      <w:rFonts w:hint="eastAsia" w:ascii="仿宋" w:hAnsi="仿宋" w:eastAsia="仿宋" w:cs="仿宋"/>
                      <w:kern w:val="0"/>
                      <w:szCs w:val="21"/>
                    </w:rPr>
                    <w:t>ARM Cortex A53×4</w:t>
                  </w:r>
                </w:p>
              </w:tc>
            </w:tr>
            <w:tr>
              <w:tblPrEx>
                <w:tblBorders>
                  <w:top w:val="single" w:color="073D95" w:sz="4" w:space="0"/>
                  <w:left w:val="single" w:color="073D95" w:sz="4" w:space="0"/>
                  <w:bottom w:val="single" w:color="073D95" w:sz="4" w:space="0"/>
                  <w:right w:val="single" w:color="073D95" w:sz="4" w:space="0"/>
                  <w:insideH w:val="single" w:color="073D95" w:sz="4" w:space="0"/>
                  <w:insideV w:val="single" w:color="073D95" w:sz="4" w:space="0"/>
                </w:tblBorders>
                <w:tblCellMar>
                  <w:top w:w="0" w:type="dxa"/>
                  <w:left w:w="108" w:type="dxa"/>
                  <w:bottom w:w="0" w:type="dxa"/>
                  <w:right w:w="108" w:type="dxa"/>
                </w:tblCellMar>
              </w:tblPrEx>
              <w:trPr>
                <w:trHeight w:val="278" w:hRule="atLeast"/>
                <w:jc w:val="center"/>
              </w:trPr>
              <w:tc>
                <w:tcPr>
                  <w:tcW w:w="1116" w:type="dxa"/>
                  <w:vMerge w:val="continue"/>
                  <w:vAlign w:val="center"/>
                </w:tcPr>
                <w:p>
                  <w:pPr>
                    <w:widowControl/>
                    <w:jc w:val="center"/>
                    <w:rPr>
                      <w:rFonts w:ascii="仿宋" w:hAnsi="仿宋" w:eastAsia="仿宋" w:cs="仿宋"/>
                      <w:kern w:val="0"/>
                      <w:szCs w:val="21"/>
                    </w:rPr>
                  </w:pPr>
                </w:p>
              </w:tc>
              <w:tc>
                <w:tcPr>
                  <w:tcW w:w="4063" w:type="dxa"/>
                  <w:vAlign w:val="center"/>
                </w:tcPr>
                <w:p>
                  <w:pPr>
                    <w:widowControl/>
                    <w:jc w:val="center"/>
                    <w:rPr>
                      <w:rFonts w:ascii="仿宋" w:hAnsi="仿宋" w:eastAsia="仿宋" w:cs="仿宋"/>
                      <w:kern w:val="0"/>
                      <w:szCs w:val="21"/>
                    </w:rPr>
                  </w:pPr>
                  <w:r>
                    <w:rPr>
                      <w:rFonts w:hint="eastAsia" w:ascii="仿宋" w:hAnsi="仿宋" w:eastAsia="仿宋" w:cs="仿宋"/>
                      <w:kern w:val="0"/>
                      <w:szCs w:val="21"/>
                    </w:rPr>
                    <w:t>CPU工作主频</w:t>
                  </w:r>
                </w:p>
              </w:tc>
              <w:tc>
                <w:tcPr>
                  <w:tcW w:w="3406" w:type="dxa"/>
                  <w:tcBorders>
                    <w:bottom w:val="single" w:color="073D95" w:sz="4" w:space="0"/>
                    <w:right w:val="single" w:color="auto" w:sz="4" w:space="0"/>
                  </w:tcBorders>
                  <w:vAlign w:val="center"/>
                </w:tcPr>
                <w:p>
                  <w:pPr>
                    <w:widowControl/>
                    <w:jc w:val="center"/>
                    <w:rPr>
                      <w:rFonts w:ascii="仿宋" w:hAnsi="仿宋" w:eastAsia="仿宋" w:cs="仿宋"/>
                      <w:kern w:val="0"/>
                      <w:szCs w:val="21"/>
                    </w:rPr>
                  </w:pPr>
                  <w:r>
                    <w:rPr>
                      <w:rFonts w:hint="eastAsia" w:ascii="仿宋" w:hAnsi="仿宋" w:eastAsia="仿宋" w:cs="仿宋"/>
                      <w:color w:val="000000"/>
                      <w:kern w:val="0"/>
                      <w:szCs w:val="21"/>
                      <w:lang w:bidi="ar"/>
                    </w:rPr>
                    <w:t>≥</w:t>
                  </w:r>
                  <w:r>
                    <w:rPr>
                      <w:rFonts w:hint="eastAsia" w:ascii="仿宋" w:hAnsi="仿宋" w:eastAsia="仿宋" w:cs="仿宋"/>
                      <w:kern w:val="0"/>
                      <w:szCs w:val="21"/>
                    </w:rPr>
                    <w:t>1.5GHz</w:t>
                  </w:r>
                </w:p>
              </w:tc>
            </w:tr>
            <w:tr>
              <w:tblPrEx>
                <w:tblBorders>
                  <w:top w:val="single" w:color="073D95" w:sz="4" w:space="0"/>
                  <w:left w:val="single" w:color="073D95" w:sz="4" w:space="0"/>
                  <w:bottom w:val="single" w:color="073D95" w:sz="4" w:space="0"/>
                  <w:right w:val="single" w:color="073D95" w:sz="4" w:space="0"/>
                  <w:insideH w:val="single" w:color="073D95" w:sz="4" w:space="0"/>
                  <w:insideV w:val="single" w:color="073D95" w:sz="4" w:space="0"/>
                </w:tblBorders>
                <w:tblCellMar>
                  <w:top w:w="0" w:type="dxa"/>
                  <w:left w:w="108" w:type="dxa"/>
                  <w:bottom w:w="0" w:type="dxa"/>
                  <w:right w:w="108" w:type="dxa"/>
                </w:tblCellMar>
              </w:tblPrEx>
              <w:trPr>
                <w:trHeight w:val="278" w:hRule="atLeast"/>
                <w:jc w:val="center"/>
              </w:trPr>
              <w:tc>
                <w:tcPr>
                  <w:tcW w:w="1116" w:type="dxa"/>
                  <w:vMerge w:val="continue"/>
                  <w:vAlign w:val="center"/>
                </w:tcPr>
                <w:p>
                  <w:pPr>
                    <w:widowControl/>
                    <w:jc w:val="center"/>
                    <w:rPr>
                      <w:rFonts w:ascii="仿宋" w:hAnsi="仿宋" w:eastAsia="仿宋" w:cs="仿宋"/>
                      <w:kern w:val="0"/>
                      <w:szCs w:val="21"/>
                    </w:rPr>
                  </w:pPr>
                </w:p>
              </w:tc>
              <w:tc>
                <w:tcPr>
                  <w:tcW w:w="4063" w:type="dxa"/>
                  <w:vAlign w:val="center"/>
                </w:tcPr>
                <w:p>
                  <w:pPr>
                    <w:widowControl/>
                    <w:jc w:val="center"/>
                    <w:rPr>
                      <w:rFonts w:ascii="仿宋" w:hAnsi="仿宋" w:eastAsia="仿宋" w:cs="仿宋"/>
                      <w:kern w:val="0"/>
                      <w:szCs w:val="21"/>
                    </w:rPr>
                  </w:pPr>
                  <w:r>
                    <w:rPr>
                      <w:rFonts w:hint="eastAsia" w:ascii="仿宋" w:hAnsi="仿宋" w:eastAsia="仿宋" w:cs="仿宋"/>
                      <w:kern w:val="0"/>
                      <w:szCs w:val="21"/>
                    </w:rPr>
                    <w:t>CPU核心数</w:t>
                  </w:r>
                </w:p>
              </w:tc>
              <w:tc>
                <w:tcPr>
                  <w:tcW w:w="3406" w:type="dxa"/>
                  <w:tcBorders>
                    <w:bottom w:val="single" w:color="073D95" w:sz="4" w:space="0"/>
                    <w:right w:val="single" w:color="auto" w:sz="4" w:space="0"/>
                  </w:tcBorders>
                  <w:vAlign w:val="center"/>
                </w:tcPr>
                <w:p>
                  <w:pPr>
                    <w:widowControl/>
                    <w:jc w:val="center"/>
                    <w:rPr>
                      <w:rFonts w:ascii="仿宋" w:hAnsi="仿宋" w:eastAsia="仿宋" w:cs="仿宋"/>
                      <w:kern w:val="0"/>
                      <w:szCs w:val="21"/>
                    </w:rPr>
                  </w:pPr>
                  <w:r>
                    <w:rPr>
                      <w:rFonts w:hint="eastAsia" w:ascii="仿宋" w:hAnsi="仿宋" w:eastAsia="仿宋" w:cs="仿宋"/>
                      <w:kern w:val="0"/>
                      <w:szCs w:val="21"/>
                    </w:rPr>
                    <w:t>四核</w:t>
                  </w:r>
                </w:p>
              </w:tc>
            </w:tr>
            <w:tr>
              <w:tblPrEx>
                <w:tblBorders>
                  <w:top w:val="single" w:color="073D95" w:sz="4" w:space="0"/>
                  <w:left w:val="single" w:color="073D95" w:sz="4" w:space="0"/>
                  <w:bottom w:val="single" w:color="073D95" w:sz="4" w:space="0"/>
                  <w:right w:val="single" w:color="073D95" w:sz="4" w:space="0"/>
                  <w:insideH w:val="single" w:color="073D95" w:sz="4" w:space="0"/>
                  <w:insideV w:val="single" w:color="073D95" w:sz="4" w:space="0"/>
                </w:tblBorders>
                <w:tblCellMar>
                  <w:top w:w="0" w:type="dxa"/>
                  <w:left w:w="108" w:type="dxa"/>
                  <w:bottom w:w="0" w:type="dxa"/>
                  <w:right w:w="108" w:type="dxa"/>
                </w:tblCellMar>
              </w:tblPrEx>
              <w:trPr>
                <w:trHeight w:val="278" w:hRule="atLeast"/>
                <w:jc w:val="center"/>
              </w:trPr>
              <w:tc>
                <w:tcPr>
                  <w:tcW w:w="1116" w:type="dxa"/>
                  <w:vMerge w:val="continue"/>
                  <w:vAlign w:val="center"/>
                </w:tcPr>
                <w:p>
                  <w:pPr>
                    <w:widowControl/>
                    <w:jc w:val="center"/>
                    <w:rPr>
                      <w:rFonts w:ascii="仿宋" w:hAnsi="仿宋" w:eastAsia="仿宋" w:cs="仿宋"/>
                      <w:kern w:val="0"/>
                      <w:szCs w:val="21"/>
                    </w:rPr>
                  </w:pPr>
                </w:p>
              </w:tc>
              <w:tc>
                <w:tcPr>
                  <w:tcW w:w="4063" w:type="dxa"/>
                  <w:vAlign w:val="center"/>
                </w:tcPr>
                <w:p>
                  <w:pPr>
                    <w:widowControl/>
                    <w:jc w:val="center"/>
                    <w:rPr>
                      <w:rFonts w:ascii="仿宋" w:hAnsi="仿宋" w:eastAsia="仿宋" w:cs="仿宋"/>
                      <w:kern w:val="0"/>
                      <w:szCs w:val="21"/>
                    </w:rPr>
                  </w:pPr>
                  <w:r>
                    <w:rPr>
                      <w:rFonts w:hint="eastAsia" w:ascii="仿宋" w:hAnsi="仿宋" w:eastAsia="仿宋" w:cs="仿宋"/>
                      <w:kern w:val="0"/>
                      <w:szCs w:val="21"/>
                    </w:rPr>
                    <w:t>GPU核心数</w:t>
                  </w:r>
                </w:p>
              </w:tc>
              <w:tc>
                <w:tcPr>
                  <w:tcW w:w="3406" w:type="dxa"/>
                  <w:tcBorders>
                    <w:bottom w:val="single" w:color="073D95" w:sz="4" w:space="0"/>
                    <w:right w:val="single" w:color="auto" w:sz="4" w:space="0"/>
                  </w:tcBorders>
                  <w:vAlign w:val="center"/>
                </w:tcPr>
                <w:p>
                  <w:pPr>
                    <w:widowControl/>
                    <w:jc w:val="center"/>
                    <w:rPr>
                      <w:rFonts w:ascii="仿宋" w:hAnsi="仿宋" w:eastAsia="仿宋" w:cs="仿宋"/>
                      <w:kern w:val="0"/>
                      <w:szCs w:val="21"/>
                    </w:rPr>
                  </w:pPr>
                  <w:r>
                    <w:rPr>
                      <w:rFonts w:hint="eastAsia" w:ascii="仿宋" w:hAnsi="仿宋" w:eastAsia="仿宋" w:cs="仿宋"/>
                      <w:kern w:val="0"/>
                      <w:szCs w:val="21"/>
                    </w:rPr>
                    <w:t>Mali450*4</w:t>
                  </w:r>
                </w:p>
              </w:tc>
            </w:tr>
            <w:tr>
              <w:tblPrEx>
                <w:tblBorders>
                  <w:top w:val="single" w:color="073D95" w:sz="4" w:space="0"/>
                  <w:left w:val="single" w:color="073D95" w:sz="4" w:space="0"/>
                  <w:bottom w:val="single" w:color="073D95" w:sz="4" w:space="0"/>
                  <w:right w:val="single" w:color="073D95" w:sz="4" w:space="0"/>
                  <w:insideH w:val="single" w:color="073D95" w:sz="4" w:space="0"/>
                  <w:insideV w:val="single" w:color="073D95" w:sz="4" w:space="0"/>
                </w:tblBorders>
                <w:tblCellMar>
                  <w:top w:w="0" w:type="dxa"/>
                  <w:left w:w="108" w:type="dxa"/>
                  <w:bottom w:w="0" w:type="dxa"/>
                  <w:right w:w="108" w:type="dxa"/>
                </w:tblCellMar>
              </w:tblPrEx>
              <w:trPr>
                <w:trHeight w:val="278" w:hRule="atLeast"/>
                <w:jc w:val="center"/>
              </w:trPr>
              <w:tc>
                <w:tcPr>
                  <w:tcW w:w="1116" w:type="dxa"/>
                  <w:vMerge w:val="continue"/>
                  <w:vAlign w:val="center"/>
                </w:tcPr>
                <w:p>
                  <w:pPr>
                    <w:widowControl/>
                    <w:jc w:val="center"/>
                    <w:rPr>
                      <w:rFonts w:ascii="仿宋" w:hAnsi="仿宋" w:eastAsia="仿宋" w:cs="仿宋"/>
                      <w:kern w:val="0"/>
                      <w:szCs w:val="21"/>
                    </w:rPr>
                  </w:pPr>
                </w:p>
              </w:tc>
              <w:tc>
                <w:tcPr>
                  <w:tcW w:w="4063" w:type="dxa"/>
                  <w:vAlign w:val="center"/>
                </w:tcPr>
                <w:p>
                  <w:pPr>
                    <w:widowControl/>
                    <w:jc w:val="center"/>
                    <w:rPr>
                      <w:rFonts w:ascii="仿宋" w:hAnsi="仿宋" w:eastAsia="仿宋" w:cs="仿宋"/>
                      <w:kern w:val="0"/>
                      <w:szCs w:val="21"/>
                    </w:rPr>
                  </w:pPr>
                  <w:r>
                    <w:rPr>
                      <w:rFonts w:hint="eastAsia" w:ascii="仿宋" w:hAnsi="仿宋" w:eastAsia="仿宋" w:cs="仿宋"/>
                      <w:kern w:val="0"/>
                      <w:szCs w:val="21"/>
                    </w:rPr>
                    <w:t>内部缓存容量(RAM)</w:t>
                  </w:r>
                </w:p>
              </w:tc>
              <w:tc>
                <w:tcPr>
                  <w:tcW w:w="3406" w:type="dxa"/>
                  <w:tcBorders>
                    <w:bottom w:val="single" w:color="073D95" w:sz="4" w:space="0"/>
                    <w:right w:val="single" w:color="auto" w:sz="4" w:space="0"/>
                  </w:tcBorders>
                  <w:vAlign w:val="center"/>
                </w:tcPr>
                <w:p>
                  <w:pPr>
                    <w:widowControl/>
                    <w:jc w:val="center"/>
                    <w:rPr>
                      <w:rFonts w:ascii="仿宋" w:hAnsi="仿宋" w:eastAsia="仿宋" w:cs="仿宋"/>
                      <w:kern w:val="0"/>
                      <w:szCs w:val="21"/>
                    </w:rPr>
                  </w:pPr>
                  <w:r>
                    <w:rPr>
                      <w:rFonts w:hint="eastAsia" w:ascii="仿宋" w:hAnsi="仿宋" w:eastAsia="仿宋" w:cs="仿宋"/>
                      <w:color w:val="000000"/>
                      <w:kern w:val="0"/>
                      <w:szCs w:val="21"/>
                      <w:lang w:bidi="ar"/>
                    </w:rPr>
                    <w:t>≥</w:t>
                  </w:r>
                  <w:r>
                    <w:rPr>
                      <w:rFonts w:hint="eastAsia" w:ascii="仿宋" w:hAnsi="仿宋" w:eastAsia="仿宋" w:cs="仿宋"/>
                      <w:kern w:val="0"/>
                      <w:szCs w:val="21"/>
                    </w:rPr>
                    <w:t>1GB DDR3</w:t>
                  </w:r>
                </w:p>
              </w:tc>
            </w:tr>
            <w:tr>
              <w:tblPrEx>
                <w:tblBorders>
                  <w:top w:val="single" w:color="073D95" w:sz="4" w:space="0"/>
                  <w:left w:val="single" w:color="073D95" w:sz="4" w:space="0"/>
                  <w:bottom w:val="single" w:color="073D95" w:sz="4" w:space="0"/>
                  <w:right w:val="single" w:color="073D95" w:sz="4" w:space="0"/>
                  <w:insideH w:val="single" w:color="073D95" w:sz="4" w:space="0"/>
                  <w:insideV w:val="single" w:color="073D95" w:sz="4" w:space="0"/>
                </w:tblBorders>
                <w:tblCellMar>
                  <w:top w:w="0" w:type="dxa"/>
                  <w:left w:w="108" w:type="dxa"/>
                  <w:bottom w:w="0" w:type="dxa"/>
                  <w:right w:w="108" w:type="dxa"/>
                </w:tblCellMar>
              </w:tblPrEx>
              <w:trPr>
                <w:trHeight w:val="278" w:hRule="atLeast"/>
                <w:jc w:val="center"/>
              </w:trPr>
              <w:tc>
                <w:tcPr>
                  <w:tcW w:w="1116" w:type="dxa"/>
                  <w:vMerge w:val="continue"/>
                  <w:vAlign w:val="center"/>
                </w:tcPr>
                <w:p>
                  <w:pPr>
                    <w:widowControl/>
                    <w:jc w:val="center"/>
                    <w:rPr>
                      <w:rFonts w:ascii="仿宋" w:hAnsi="仿宋" w:eastAsia="仿宋" w:cs="仿宋"/>
                      <w:kern w:val="0"/>
                      <w:szCs w:val="21"/>
                    </w:rPr>
                  </w:pPr>
                </w:p>
              </w:tc>
              <w:tc>
                <w:tcPr>
                  <w:tcW w:w="4063" w:type="dxa"/>
                  <w:vAlign w:val="center"/>
                </w:tcPr>
                <w:p>
                  <w:pPr>
                    <w:widowControl/>
                    <w:jc w:val="center"/>
                    <w:rPr>
                      <w:rFonts w:ascii="仿宋" w:hAnsi="仿宋" w:eastAsia="仿宋" w:cs="仿宋"/>
                      <w:kern w:val="0"/>
                      <w:szCs w:val="21"/>
                    </w:rPr>
                  </w:pPr>
                  <w:r>
                    <w:rPr>
                      <w:rFonts w:hint="eastAsia" w:ascii="仿宋" w:hAnsi="仿宋" w:eastAsia="仿宋" w:cs="仿宋"/>
                      <w:kern w:val="0"/>
                      <w:szCs w:val="21"/>
                    </w:rPr>
                    <w:t>内部缓存容量(ROM)</w:t>
                  </w:r>
                </w:p>
              </w:tc>
              <w:tc>
                <w:tcPr>
                  <w:tcW w:w="3406" w:type="dxa"/>
                  <w:tcBorders>
                    <w:bottom w:val="single" w:color="073D95" w:sz="4" w:space="0"/>
                    <w:right w:val="single" w:color="auto" w:sz="4" w:space="0"/>
                  </w:tcBorders>
                  <w:vAlign w:val="center"/>
                </w:tcPr>
                <w:p>
                  <w:pPr>
                    <w:widowControl/>
                    <w:jc w:val="center"/>
                    <w:rPr>
                      <w:rFonts w:ascii="仿宋" w:hAnsi="仿宋" w:eastAsia="仿宋" w:cs="仿宋"/>
                      <w:kern w:val="0"/>
                      <w:szCs w:val="21"/>
                    </w:rPr>
                  </w:pPr>
                  <w:r>
                    <w:rPr>
                      <w:rFonts w:hint="eastAsia" w:ascii="仿宋" w:hAnsi="仿宋" w:eastAsia="仿宋" w:cs="仿宋"/>
                      <w:color w:val="000000"/>
                      <w:kern w:val="0"/>
                      <w:szCs w:val="21"/>
                      <w:lang w:bidi="ar"/>
                    </w:rPr>
                    <w:t>≥</w:t>
                  </w:r>
                  <w:r>
                    <w:rPr>
                      <w:rFonts w:hint="eastAsia" w:ascii="仿宋" w:hAnsi="仿宋" w:eastAsia="仿宋" w:cs="仿宋"/>
                      <w:kern w:val="0"/>
                      <w:szCs w:val="21"/>
                    </w:rPr>
                    <w:t>8G</w:t>
                  </w:r>
                </w:p>
              </w:tc>
            </w:tr>
            <w:tr>
              <w:tblPrEx>
                <w:tblBorders>
                  <w:top w:val="single" w:color="073D95" w:sz="4" w:space="0"/>
                  <w:left w:val="single" w:color="073D95" w:sz="4" w:space="0"/>
                  <w:bottom w:val="single" w:color="073D95" w:sz="4" w:space="0"/>
                  <w:right w:val="single" w:color="073D95" w:sz="4" w:space="0"/>
                  <w:insideH w:val="single" w:color="073D95" w:sz="4" w:space="0"/>
                  <w:insideV w:val="single" w:color="073D95" w:sz="4" w:space="0"/>
                </w:tblBorders>
                <w:tblCellMar>
                  <w:top w:w="0" w:type="dxa"/>
                  <w:left w:w="108" w:type="dxa"/>
                  <w:bottom w:w="0" w:type="dxa"/>
                  <w:right w:w="108" w:type="dxa"/>
                </w:tblCellMar>
              </w:tblPrEx>
              <w:trPr>
                <w:trHeight w:val="278" w:hRule="atLeast"/>
                <w:jc w:val="center"/>
              </w:trPr>
              <w:tc>
                <w:tcPr>
                  <w:tcW w:w="1116" w:type="dxa"/>
                  <w:vMerge w:val="continue"/>
                  <w:vAlign w:val="center"/>
                </w:tcPr>
                <w:p>
                  <w:pPr>
                    <w:widowControl/>
                    <w:jc w:val="center"/>
                    <w:rPr>
                      <w:rFonts w:ascii="仿宋" w:hAnsi="仿宋" w:eastAsia="仿宋" w:cs="仿宋"/>
                      <w:kern w:val="0"/>
                      <w:szCs w:val="21"/>
                    </w:rPr>
                  </w:pPr>
                </w:p>
              </w:tc>
              <w:tc>
                <w:tcPr>
                  <w:tcW w:w="4063" w:type="dxa"/>
                  <w:vAlign w:val="center"/>
                </w:tcPr>
                <w:p>
                  <w:pPr>
                    <w:widowControl/>
                    <w:jc w:val="center"/>
                    <w:rPr>
                      <w:rFonts w:ascii="仿宋" w:hAnsi="仿宋" w:eastAsia="仿宋" w:cs="仿宋"/>
                      <w:kern w:val="0"/>
                      <w:szCs w:val="21"/>
                    </w:rPr>
                  </w:pPr>
                  <w:r>
                    <w:rPr>
                      <w:rFonts w:hint="eastAsia" w:ascii="仿宋" w:hAnsi="仿宋" w:eastAsia="仿宋" w:cs="仿宋"/>
                      <w:kern w:val="0"/>
                      <w:szCs w:val="21"/>
                    </w:rPr>
                    <w:t>系统版本</w:t>
                  </w:r>
                </w:p>
              </w:tc>
              <w:tc>
                <w:tcPr>
                  <w:tcW w:w="3406" w:type="dxa"/>
                  <w:tcBorders>
                    <w:bottom w:val="single" w:color="073D95" w:sz="4" w:space="0"/>
                    <w:right w:val="single" w:color="auto" w:sz="4" w:space="0"/>
                  </w:tcBorders>
                  <w:vAlign w:val="center"/>
                </w:tcPr>
                <w:p>
                  <w:pPr>
                    <w:widowControl/>
                    <w:jc w:val="center"/>
                    <w:rPr>
                      <w:rFonts w:ascii="仿宋" w:hAnsi="仿宋" w:eastAsia="仿宋" w:cs="仿宋"/>
                      <w:kern w:val="0"/>
                      <w:szCs w:val="21"/>
                    </w:rPr>
                  </w:pPr>
                  <w:r>
                    <w:rPr>
                      <w:rFonts w:hint="eastAsia" w:ascii="仿宋" w:hAnsi="仿宋" w:eastAsia="仿宋" w:cs="仿宋"/>
                      <w:kern w:val="0"/>
                      <w:szCs w:val="21"/>
                    </w:rPr>
                    <w:t>Android 6.0</w:t>
                  </w:r>
                </w:p>
              </w:tc>
            </w:tr>
            <w:tr>
              <w:tblPrEx>
                <w:tblBorders>
                  <w:top w:val="single" w:color="073D95" w:sz="4" w:space="0"/>
                  <w:left w:val="single" w:color="073D95" w:sz="4" w:space="0"/>
                  <w:bottom w:val="single" w:color="073D95" w:sz="4" w:space="0"/>
                  <w:right w:val="single" w:color="073D95" w:sz="4" w:space="0"/>
                  <w:insideH w:val="single" w:color="073D95" w:sz="4" w:space="0"/>
                  <w:insideV w:val="single" w:color="073D95" w:sz="4" w:space="0"/>
                </w:tblBorders>
                <w:tblCellMar>
                  <w:top w:w="0" w:type="dxa"/>
                  <w:left w:w="108" w:type="dxa"/>
                  <w:bottom w:w="0" w:type="dxa"/>
                  <w:right w:w="108" w:type="dxa"/>
                </w:tblCellMar>
              </w:tblPrEx>
              <w:trPr>
                <w:trHeight w:val="278" w:hRule="atLeast"/>
                <w:jc w:val="center"/>
              </w:trPr>
              <w:tc>
                <w:tcPr>
                  <w:tcW w:w="1116" w:type="dxa"/>
                  <w:vAlign w:val="center"/>
                </w:tcPr>
                <w:p>
                  <w:pPr>
                    <w:widowControl/>
                    <w:jc w:val="center"/>
                    <w:rPr>
                      <w:rFonts w:ascii="仿宋" w:hAnsi="仿宋" w:eastAsia="仿宋" w:cs="仿宋"/>
                      <w:kern w:val="0"/>
                      <w:szCs w:val="21"/>
                    </w:rPr>
                  </w:pPr>
                  <w:r>
                    <w:rPr>
                      <w:rFonts w:hint="eastAsia" w:ascii="仿宋" w:hAnsi="仿宋" w:eastAsia="仿宋" w:cs="仿宋"/>
                      <w:kern w:val="0"/>
                      <w:szCs w:val="21"/>
                    </w:rPr>
                    <w:t>触摸屏</w:t>
                  </w:r>
                </w:p>
              </w:tc>
              <w:tc>
                <w:tcPr>
                  <w:tcW w:w="4063" w:type="dxa"/>
                  <w:vAlign w:val="center"/>
                </w:tcPr>
                <w:p>
                  <w:pPr>
                    <w:widowControl/>
                    <w:jc w:val="center"/>
                    <w:rPr>
                      <w:rFonts w:ascii="仿宋" w:hAnsi="仿宋" w:eastAsia="仿宋" w:cs="仿宋"/>
                      <w:kern w:val="0"/>
                      <w:szCs w:val="21"/>
                    </w:rPr>
                  </w:pPr>
                  <w:r>
                    <w:rPr>
                      <w:rFonts w:hint="eastAsia" w:ascii="仿宋" w:hAnsi="仿宋" w:eastAsia="仿宋" w:cs="仿宋"/>
                      <w:szCs w:val="21"/>
                    </w:rPr>
                    <w:t>二十点触控</w:t>
                  </w:r>
                </w:p>
              </w:tc>
              <w:tc>
                <w:tcPr>
                  <w:tcW w:w="3406" w:type="dxa"/>
                  <w:tcBorders>
                    <w:right w:val="single" w:color="auto" w:sz="4" w:space="0"/>
                  </w:tcBorders>
                  <w:vAlign w:val="center"/>
                </w:tcPr>
                <w:p>
                  <w:pPr>
                    <w:widowControl/>
                    <w:jc w:val="center"/>
                    <w:rPr>
                      <w:rFonts w:ascii="仿宋" w:hAnsi="仿宋" w:eastAsia="仿宋" w:cs="仿宋"/>
                      <w:kern w:val="0"/>
                      <w:szCs w:val="21"/>
                    </w:rPr>
                  </w:pPr>
                  <w:r>
                    <w:rPr>
                      <w:rFonts w:hint="eastAsia" w:ascii="仿宋" w:hAnsi="仿宋" w:eastAsia="仿宋" w:cs="仿宋"/>
                      <w:kern w:val="0"/>
                      <w:szCs w:val="21"/>
                    </w:rPr>
                    <w:t>支持</w:t>
                  </w:r>
                </w:p>
              </w:tc>
            </w:tr>
            <w:tr>
              <w:tblPrEx>
                <w:tblBorders>
                  <w:top w:val="single" w:color="073D95" w:sz="4" w:space="0"/>
                  <w:left w:val="single" w:color="073D95" w:sz="4" w:space="0"/>
                  <w:bottom w:val="single" w:color="073D95" w:sz="4" w:space="0"/>
                  <w:right w:val="single" w:color="073D95" w:sz="4" w:space="0"/>
                  <w:insideH w:val="single" w:color="073D95" w:sz="4" w:space="0"/>
                  <w:insideV w:val="single" w:color="073D95" w:sz="4" w:space="0"/>
                </w:tblBorders>
                <w:tblCellMar>
                  <w:top w:w="0" w:type="dxa"/>
                  <w:left w:w="108" w:type="dxa"/>
                  <w:bottom w:w="0" w:type="dxa"/>
                  <w:right w:w="108" w:type="dxa"/>
                </w:tblCellMar>
              </w:tblPrEx>
              <w:trPr>
                <w:trHeight w:val="278" w:hRule="atLeast"/>
                <w:jc w:val="center"/>
              </w:trPr>
              <w:tc>
                <w:tcPr>
                  <w:tcW w:w="1116" w:type="dxa"/>
                  <w:vMerge w:val="restart"/>
                  <w:vAlign w:val="center"/>
                </w:tcPr>
                <w:p>
                  <w:pPr>
                    <w:widowControl/>
                    <w:jc w:val="center"/>
                    <w:rPr>
                      <w:rFonts w:ascii="仿宋" w:hAnsi="仿宋" w:eastAsia="仿宋" w:cs="仿宋"/>
                      <w:kern w:val="0"/>
                      <w:szCs w:val="21"/>
                    </w:rPr>
                  </w:pPr>
                  <w:r>
                    <w:rPr>
                      <w:rFonts w:hint="eastAsia" w:ascii="仿宋" w:hAnsi="仿宋" w:eastAsia="仿宋" w:cs="仿宋"/>
                      <w:kern w:val="0"/>
                      <w:szCs w:val="21"/>
                    </w:rPr>
                    <w:t>内置电脑（选配）</w:t>
                  </w:r>
                </w:p>
              </w:tc>
              <w:tc>
                <w:tcPr>
                  <w:tcW w:w="4063" w:type="dxa"/>
                  <w:vAlign w:val="center"/>
                </w:tcPr>
                <w:p>
                  <w:pPr>
                    <w:widowControl/>
                    <w:jc w:val="center"/>
                    <w:rPr>
                      <w:rFonts w:ascii="仿宋" w:hAnsi="仿宋" w:eastAsia="仿宋" w:cs="仿宋"/>
                      <w:szCs w:val="21"/>
                    </w:rPr>
                  </w:pPr>
                  <w:r>
                    <w:rPr>
                      <w:rFonts w:hint="eastAsia" w:ascii="仿宋" w:hAnsi="仿宋" w:eastAsia="仿宋" w:cs="仿宋"/>
                      <w:kern w:val="0"/>
                      <w:szCs w:val="21"/>
                    </w:rPr>
                    <w:t>CPU</w:t>
                  </w:r>
                </w:p>
              </w:tc>
              <w:tc>
                <w:tcPr>
                  <w:tcW w:w="3406" w:type="dxa"/>
                  <w:tcBorders>
                    <w:right w:val="single" w:color="auto" w:sz="4" w:space="0"/>
                  </w:tcBorders>
                  <w:vAlign w:val="center"/>
                </w:tcPr>
                <w:p>
                  <w:pPr>
                    <w:widowControl/>
                    <w:jc w:val="center"/>
                    <w:rPr>
                      <w:rFonts w:ascii="仿宋" w:hAnsi="仿宋" w:eastAsia="仿宋" w:cs="仿宋"/>
                      <w:kern w:val="0"/>
                      <w:szCs w:val="21"/>
                    </w:rPr>
                  </w:pPr>
                  <w:r>
                    <w:rPr>
                      <w:rFonts w:hint="eastAsia" w:ascii="仿宋" w:hAnsi="仿宋" w:eastAsia="仿宋" w:cs="仿宋"/>
                      <w:kern w:val="0"/>
                      <w:szCs w:val="21"/>
                    </w:rPr>
                    <w:t>I7</w:t>
                  </w:r>
                </w:p>
              </w:tc>
            </w:tr>
            <w:tr>
              <w:tblPrEx>
                <w:tblBorders>
                  <w:top w:val="single" w:color="073D95" w:sz="4" w:space="0"/>
                  <w:left w:val="single" w:color="073D95" w:sz="4" w:space="0"/>
                  <w:bottom w:val="single" w:color="073D95" w:sz="4" w:space="0"/>
                  <w:right w:val="single" w:color="073D95" w:sz="4" w:space="0"/>
                  <w:insideH w:val="single" w:color="073D95" w:sz="4" w:space="0"/>
                  <w:insideV w:val="single" w:color="073D95" w:sz="4" w:space="0"/>
                </w:tblBorders>
                <w:tblCellMar>
                  <w:top w:w="0" w:type="dxa"/>
                  <w:left w:w="108" w:type="dxa"/>
                  <w:bottom w:w="0" w:type="dxa"/>
                  <w:right w:w="108" w:type="dxa"/>
                </w:tblCellMar>
              </w:tblPrEx>
              <w:trPr>
                <w:trHeight w:val="278" w:hRule="atLeast"/>
                <w:jc w:val="center"/>
              </w:trPr>
              <w:tc>
                <w:tcPr>
                  <w:tcW w:w="1116" w:type="dxa"/>
                  <w:vMerge w:val="continue"/>
                  <w:vAlign w:val="center"/>
                </w:tcPr>
                <w:p>
                  <w:pPr>
                    <w:widowControl/>
                    <w:jc w:val="center"/>
                    <w:rPr>
                      <w:rFonts w:ascii="仿宋" w:hAnsi="仿宋" w:eastAsia="仿宋" w:cs="仿宋"/>
                      <w:kern w:val="0"/>
                      <w:szCs w:val="21"/>
                    </w:rPr>
                  </w:pPr>
                </w:p>
              </w:tc>
              <w:tc>
                <w:tcPr>
                  <w:tcW w:w="4063" w:type="dxa"/>
                  <w:vAlign w:val="center"/>
                </w:tcPr>
                <w:p>
                  <w:pPr>
                    <w:widowControl/>
                    <w:jc w:val="center"/>
                    <w:rPr>
                      <w:rFonts w:ascii="仿宋" w:hAnsi="仿宋" w:eastAsia="仿宋" w:cs="仿宋"/>
                      <w:szCs w:val="21"/>
                    </w:rPr>
                  </w:pPr>
                  <w:r>
                    <w:rPr>
                      <w:rFonts w:hint="eastAsia" w:ascii="仿宋" w:hAnsi="仿宋" w:eastAsia="仿宋" w:cs="仿宋"/>
                      <w:kern w:val="0"/>
                      <w:szCs w:val="21"/>
                    </w:rPr>
                    <w:t>内存</w:t>
                  </w:r>
                </w:p>
              </w:tc>
              <w:tc>
                <w:tcPr>
                  <w:tcW w:w="3406" w:type="dxa"/>
                  <w:tcBorders>
                    <w:right w:val="single" w:color="auto" w:sz="4" w:space="0"/>
                  </w:tcBorders>
                  <w:vAlign w:val="center"/>
                </w:tcPr>
                <w:p>
                  <w:pPr>
                    <w:widowControl/>
                    <w:jc w:val="center"/>
                    <w:rPr>
                      <w:rFonts w:ascii="仿宋" w:hAnsi="仿宋" w:eastAsia="仿宋" w:cs="仿宋"/>
                      <w:kern w:val="0"/>
                      <w:szCs w:val="21"/>
                    </w:rPr>
                  </w:pPr>
                  <w:r>
                    <w:rPr>
                      <w:rFonts w:hint="eastAsia" w:ascii="仿宋" w:hAnsi="仿宋" w:eastAsia="仿宋" w:cs="仿宋"/>
                      <w:color w:val="000000"/>
                      <w:kern w:val="0"/>
                      <w:szCs w:val="21"/>
                      <w:lang w:bidi="ar"/>
                    </w:rPr>
                    <w:t>≥</w:t>
                  </w:r>
                  <w:r>
                    <w:rPr>
                      <w:rFonts w:hint="eastAsia" w:ascii="仿宋" w:hAnsi="仿宋" w:eastAsia="仿宋" w:cs="仿宋"/>
                      <w:kern w:val="0"/>
                      <w:szCs w:val="21"/>
                    </w:rPr>
                    <w:t>16G DDR3</w:t>
                  </w:r>
                </w:p>
              </w:tc>
            </w:tr>
            <w:tr>
              <w:tblPrEx>
                <w:tblBorders>
                  <w:top w:val="single" w:color="073D95" w:sz="4" w:space="0"/>
                  <w:left w:val="single" w:color="073D95" w:sz="4" w:space="0"/>
                  <w:bottom w:val="single" w:color="073D95" w:sz="4" w:space="0"/>
                  <w:right w:val="single" w:color="073D95" w:sz="4" w:space="0"/>
                  <w:insideH w:val="single" w:color="073D95" w:sz="4" w:space="0"/>
                  <w:insideV w:val="single" w:color="073D95" w:sz="4" w:space="0"/>
                </w:tblBorders>
                <w:tblCellMar>
                  <w:top w:w="0" w:type="dxa"/>
                  <w:left w:w="108" w:type="dxa"/>
                  <w:bottom w:w="0" w:type="dxa"/>
                  <w:right w:w="108" w:type="dxa"/>
                </w:tblCellMar>
              </w:tblPrEx>
              <w:trPr>
                <w:trHeight w:val="278" w:hRule="atLeast"/>
                <w:jc w:val="center"/>
              </w:trPr>
              <w:tc>
                <w:tcPr>
                  <w:tcW w:w="1116" w:type="dxa"/>
                  <w:vMerge w:val="continue"/>
                  <w:vAlign w:val="center"/>
                </w:tcPr>
                <w:p>
                  <w:pPr>
                    <w:widowControl/>
                    <w:jc w:val="center"/>
                    <w:rPr>
                      <w:rFonts w:ascii="仿宋" w:hAnsi="仿宋" w:eastAsia="仿宋" w:cs="仿宋"/>
                      <w:kern w:val="0"/>
                      <w:szCs w:val="21"/>
                    </w:rPr>
                  </w:pPr>
                </w:p>
              </w:tc>
              <w:tc>
                <w:tcPr>
                  <w:tcW w:w="4063" w:type="dxa"/>
                  <w:vAlign w:val="center"/>
                </w:tcPr>
                <w:p>
                  <w:pPr>
                    <w:widowControl/>
                    <w:jc w:val="center"/>
                    <w:rPr>
                      <w:rFonts w:ascii="仿宋" w:hAnsi="仿宋" w:eastAsia="仿宋" w:cs="仿宋"/>
                      <w:szCs w:val="21"/>
                    </w:rPr>
                  </w:pPr>
                  <w:r>
                    <w:rPr>
                      <w:rFonts w:hint="eastAsia" w:ascii="仿宋" w:hAnsi="仿宋" w:eastAsia="仿宋" w:cs="仿宋"/>
                      <w:kern w:val="0"/>
                      <w:szCs w:val="21"/>
                    </w:rPr>
                    <w:t>硬盘</w:t>
                  </w:r>
                </w:p>
              </w:tc>
              <w:tc>
                <w:tcPr>
                  <w:tcW w:w="3406" w:type="dxa"/>
                  <w:tcBorders>
                    <w:right w:val="single" w:color="auto" w:sz="4" w:space="0"/>
                  </w:tcBorders>
                  <w:vAlign w:val="center"/>
                </w:tcPr>
                <w:p>
                  <w:pPr>
                    <w:widowControl/>
                    <w:jc w:val="center"/>
                    <w:rPr>
                      <w:rFonts w:ascii="仿宋" w:hAnsi="仿宋" w:eastAsia="仿宋" w:cs="仿宋"/>
                      <w:kern w:val="0"/>
                      <w:szCs w:val="21"/>
                    </w:rPr>
                  </w:pPr>
                  <w:r>
                    <w:rPr>
                      <w:rFonts w:hint="eastAsia" w:ascii="仿宋" w:hAnsi="仿宋" w:eastAsia="仿宋" w:cs="仿宋"/>
                      <w:color w:val="000000"/>
                      <w:kern w:val="0"/>
                      <w:szCs w:val="21"/>
                      <w:lang w:bidi="ar"/>
                    </w:rPr>
                    <w:t>≥</w:t>
                  </w:r>
                  <w:r>
                    <w:rPr>
                      <w:rFonts w:hint="eastAsia" w:ascii="仿宋" w:hAnsi="仿宋" w:eastAsia="仿宋" w:cs="仿宋"/>
                      <w:kern w:val="0"/>
                      <w:szCs w:val="21"/>
                    </w:rPr>
                    <w:t>SSD256G</w:t>
                  </w:r>
                </w:p>
              </w:tc>
            </w:tr>
            <w:tr>
              <w:tblPrEx>
                <w:tblBorders>
                  <w:top w:val="single" w:color="073D95" w:sz="4" w:space="0"/>
                  <w:left w:val="single" w:color="073D95" w:sz="4" w:space="0"/>
                  <w:bottom w:val="single" w:color="073D95" w:sz="4" w:space="0"/>
                  <w:right w:val="single" w:color="073D95" w:sz="4" w:space="0"/>
                  <w:insideH w:val="single" w:color="073D95" w:sz="4" w:space="0"/>
                  <w:insideV w:val="single" w:color="073D95" w:sz="4" w:space="0"/>
                </w:tblBorders>
                <w:tblCellMar>
                  <w:top w:w="0" w:type="dxa"/>
                  <w:left w:w="108" w:type="dxa"/>
                  <w:bottom w:w="0" w:type="dxa"/>
                  <w:right w:w="108" w:type="dxa"/>
                </w:tblCellMar>
              </w:tblPrEx>
              <w:trPr>
                <w:trHeight w:val="278" w:hRule="atLeast"/>
                <w:jc w:val="center"/>
              </w:trPr>
              <w:tc>
                <w:tcPr>
                  <w:tcW w:w="1116" w:type="dxa"/>
                  <w:vMerge w:val="continue"/>
                  <w:vAlign w:val="center"/>
                </w:tcPr>
                <w:p>
                  <w:pPr>
                    <w:widowControl/>
                    <w:jc w:val="center"/>
                    <w:rPr>
                      <w:rFonts w:ascii="仿宋" w:hAnsi="仿宋" w:eastAsia="仿宋" w:cs="仿宋"/>
                      <w:kern w:val="0"/>
                      <w:szCs w:val="21"/>
                    </w:rPr>
                  </w:pPr>
                </w:p>
              </w:tc>
              <w:tc>
                <w:tcPr>
                  <w:tcW w:w="4063" w:type="dxa"/>
                  <w:vAlign w:val="center"/>
                </w:tcPr>
                <w:p>
                  <w:pPr>
                    <w:widowControl/>
                    <w:jc w:val="center"/>
                    <w:rPr>
                      <w:rFonts w:ascii="仿宋" w:hAnsi="仿宋" w:eastAsia="仿宋" w:cs="仿宋"/>
                      <w:szCs w:val="21"/>
                    </w:rPr>
                  </w:pPr>
                  <w:r>
                    <w:rPr>
                      <w:rFonts w:hint="eastAsia" w:ascii="仿宋" w:hAnsi="仿宋" w:eastAsia="仿宋" w:cs="仿宋"/>
                      <w:kern w:val="0"/>
                      <w:szCs w:val="21"/>
                    </w:rPr>
                    <w:t>操作系统</w:t>
                  </w:r>
                </w:p>
              </w:tc>
              <w:tc>
                <w:tcPr>
                  <w:tcW w:w="3406" w:type="dxa"/>
                  <w:tcBorders>
                    <w:right w:val="single" w:color="auto" w:sz="4" w:space="0"/>
                  </w:tcBorders>
                  <w:vAlign w:val="center"/>
                </w:tcPr>
                <w:p>
                  <w:pPr>
                    <w:widowControl/>
                    <w:jc w:val="center"/>
                    <w:rPr>
                      <w:rFonts w:ascii="仿宋" w:hAnsi="仿宋" w:eastAsia="仿宋" w:cs="仿宋"/>
                      <w:kern w:val="0"/>
                      <w:szCs w:val="21"/>
                    </w:rPr>
                  </w:pPr>
                  <w:r>
                    <w:rPr>
                      <w:rFonts w:hint="eastAsia" w:ascii="仿宋" w:hAnsi="仿宋" w:eastAsia="仿宋" w:cs="仿宋"/>
                      <w:kern w:val="0"/>
                      <w:szCs w:val="21"/>
                    </w:rPr>
                    <w:t>WIN7/WIN10</w:t>
                  </w:r>
                </w:p>
              </w:tc>
            </w:tr>
            <w:tr>
              <w:tblPrEx>
                <w:tblBorders>
                  <w:top w:val="single" w:color="073D95" w:sz="4" w:space="0"/>
                  <w:left w:val="single" w:color="073D95" w:sz="4" w:space="0"/>
                  <w:bottom w:val="single" w:color="073D95" w:sz="4" w:space="0"/>
                  <w:right w:val="single" w:color="073D95" w:sz="4" w:space="0"/>
                  <w:insideH w:val="single" w:color="073D95" w:sz="4" w:space="0"/>
                  <w:insideV w:val="single" w:color="073D95" w:sz="4" w:space="0"/>
                </w:tblBorders>
                <w:tblCellMar>
                  <w:top w:w="0" w:type="dxa"/>
                  <w:left w:w="108" w:type="dxa"/>
                  <w:bottom w:w="0" w:type="dxa"/>
                  <w:right w:w="108" w:type="dxa"/>
                </w:tblCellMar>
              </w:tblPrEx>
              <w:trPr>
                <w:trHeight w:val="278" w:hRule="atLeast"/>
                <w:jc w:val="center"/>
              </w:trPr>
              <w:tc>
                <w:tcPr>
                  <w:tcW w:w="1116" w:type="dxa"/>
                  <w:vMerge w:val="continue"/>
                  <w:vAlign w:val="center"/>
                </w:tcPr>
                <w:p>
                  <w:pPr>
                    <w:widowControl/>
                    <w:jc w:val="center"/>
                    <w:rPr>
                      <w:rFonts w:ascii="仿宋" w:hAnsi="仿宋" w:eastAsia="仿宋" w:cs="仿宋"/>
                      <w:kern w:val="0"/>
                      <w:szCs w:val="21"/>
                    </w:rPr>
                  </w:pPr>
                </w:p>
              </w:tc>
              <w:tc>
                <w:tcPr>
                  <w:tcW w:w="4063" w:type="dxa"/>
                  <w:vAlign w:val="center"/>
                </w:tcPr>
                <w:p>
                  <w:pPr>
                    <w:widowControl/>
                    <w:jc w:val="center"/>
                    <w:rPr>
                      <w:rFonts w:ascii="仿宋" w:hAnsi="仿宋" w:eastAsia="仿宋" w:cs="仿宋"/>
                      <w:szCs w:val="21"/>
                    </w:rPr>
                  </w:pPr>
                  <w:r>
                    <w:rPr>
                      <w:rFonts w:hint="eastAsia" w:ascii="仿宋" w:hAnsi="仿宋" w:eastAsia="仿宋" w:cs="仿宋"/>
                      <w:kern w:val="0"/>
                      <w:szCs w:val="21"/>
                    </w:rPr>
                    <w:t>书写板软件</w:t>
                  </w:r>
                </w:p>
              </w:tc>
              <w:tc>
                <w:tcPr>
                  <w:tcW w:w="3406" w:type="dxa"/>
                  <w:tcBorders>
                    <w:right w:val="single" w:color="auto" w:sz="4" w:space="0"/>
                  </w:tcBorders>
                  <w:vAlign w:val="center"/>
                </w:tcPr>
                <w:p>
                  <w:pPr>
                    <w:widowControl/>
                    <w:jc w:val="center"/>
                    <w:rPr>
                      <w:rFonts w:ascii="仿宋" w:hAnsi="仿宋" w:eastAsia="仿宋" w:cs="仿宋"/>
                      <w:kern w:val="0"/>
                      <w:szCs w:val="21"/>
                    </w:rPr>
                  </w:pPr>
                  <w:r>
                    <w:rPr>
                      <w:rFonts w:hint="eastAsia" w:ascii="仿宋" w:hAnsi="仿宋" w:eastAsia="仿宋" w:cs="仿宋"/>
                      <w:kern w:val="0"/>
                      <w:szCs w:val="21"/>
                    </w:rPr>
                    <w:t>有</w:t>
                  </w:r>
                </w:p>
              </w:tc>
            </w:tr>
          </w:tbl>
          <w:p>
            <w:pPr>
              <w:rPr>
                <w:rFonts w:ascii="仿宋" w:hAnsi="仿宋" w:eastAsia="仿宋" w:cs="仿宋"/>
                <w:color w:val="000000"/>
                <w:kern w:val="0"/>
                <w:szCs w:val="21"/>
              </w:rPr>
            </w:pPr>
          </w:p>
        </w:tc>
        <w:tc>
          <w:tcPr>
            <w:tcW w:w="566" w:type="dxa"/>
            <w:vAlign w:val="center"/>
          </w:tcPr>
          <w:p>
            <w:pP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647" w:type="dxa"/>
            <w:vAlign w:val="center"/>
          </w:tcPr>
          <w:p>
            <w:pPr>
              <w:pStyle w:val="20"/>
              <w:rPr>
                <w:rFonts w:ascii="仿宋" w:hAnsi="仿宋" w:eastAsia="仿宋" w:cs="仿宋"/>
              </w:rPr>
            </w:pPr>
            <w:r>
              <w:rPr>
                <w:rFonts w:hint="eastAsia" w:ascii="仿宋" w:hAnsi="仿宋" w:eastAsia="仿宋" w:cs="仿宋"/>
              </w:rPr>
              <w:t>2</w:t>
            </w:r>
          </w:p>
        </w:tc>
        <w:tc>
          <w:tcPr>
            <w:tcW w:w="1274" w:type="dxa"/>
            <w:vAlign w:val="center"/>
          </w:tcPr>
          <w:p>
            <w:pPr>
              <w:pStyle w:val="20"/>
              <w:rPr>
                <w:rFonts w:ascii="仿宋" w:hAnsi="仿宋" w:eastAsia="仿宋" w:cs="仿宋"/>
              </w:rPr>
            </w:pPr>
            <w:r>
              <w:rPr>
                <w:rFonts w:hint="eastAsia" w:ascii="仿宋" w:hAnsi="仿宋" w:eastAsia="仿宋" w:cs="仿宋"/>
              </w:rPr>
              <w:t>学生云终端</w:t>
            </w:r>
          </w:p>
        </w:tc>
        <w:tc>
          <w:tcPr>
            <w:tcW w:w="11454" w:type="dxa"/>
            <w:vAlign w:val="center"/>
          </w:tcPr>
          <w:p>
            <w:pPr>
              <w:widowControl/>
              <w:jc w:val="left"/>
              <w:rPr>
                <w:rFonts w:ascii="仿宋" w:hAnsi="仿宋" w:eastAsia="仿宋" w:cs="仿宋"/>
                <w:color w:val="000000"/>
                <w:kern w:val="0"/>
                <w:szCs w:val="21"/>
              </w:rPr>
            </w:pPr>
            <w:r>
              <w:rPr>
                <w:rFonts w:hint="eastAsia" w:ascii="仿宋" w:hAnsi="仿宋" w:eastAsia="仿宋" w:cs="仿宋"/>
                <w:color w:val="000000"/>
                <w:kern w:val="0"/>
                <w:szCs w:val="21"/>
              </w:rPr>
              <w:t>英特尔® 赛扬® 处理器J1900，四核主频1.99GHz</w:t>
            </w:r>
          </w:p>
          <w:p>
            <w:pPr>
              <w:widowControl/>
              <w:jc w:val="left"/>
              <w:rPr>
                <w:rFonts w:ascii="仿宋" w:hAnsi="仿宋" w:eastAsia="仿宋" w:cs="仿宋"/>
                <w:color w:val="000000"/>
                <w:kern w:val="0"/>
                <w:szCs w:val="21"/>
              </w:rPr>
            </w:pPr>
            <w:r>
              <w:rPr>
                <w:rFonts w:hint="eastAsia" w:ascii="仿宋" w:hAnsi="仿宋" w:eastAsia="仿宋" w:cs="仿宋"/>
                <w:color w:val="000000"/>
                <w:kern w:val="0"/>
                <w:szCs w:val="21"/>
              </w:rPr>
              <w:t xml:space="preserve">显卡：Intel® HD Graphics </w:t>
            </w:r>
          </w:p>
          <w:p>
            <w:pPr>
              <w:widowControl/>
              <w:jc w:val="left"/>
              <w:rPr>
                <w:rFonts w:ascii="仿宋" w:hAnsi="仿宋" w:eastAsia="仿宋" w:cs="仿宋"/>
                <w:color w:val="000000"/>
                <w:kern w:val="0"/>
                <w:szCs w:val="21"/>
              </w:rPr>
            </w:pPr>
            <w:r>
              <w:rPr>
                <w:rFonts w:hint="eastAsia" w:ascii="仿宋" w:hAnsi="仿宋" w:eastAsia="仿宋" w:cs="仿宋"/>
                <w:color w:val="000000"/>
                <w:kern w:val="0"/>
                <w:szCs w:val="21"/>
              </w:rPr>
              <w:t xml:space="preserve">系统：linux/WIN7/WIN8，内存≥4GB,硬盘：≥64GB SSD               </w:t>
            </w:r>
          </w:p>
          <w:p>
            <w:pPr>
              <w:widowControl/>
              <w:jc w:val="left"/>
              <w:rPr>
                <w:rFonts w:ascii="仿宋" w:hAnsi="仿宋" w:eastAsia="仿宋" w:cs="仿宋"/>
                <w:color w:val="000000"/>
                <w:kern w:val="0"/>
                <w:szCs w:val="21"/>
              </w:rPr>
            </w:pPr>
            <w:r>
              <w:rPr>
                <w:rFonts w:hint="eastAsia" w:ascii="仿宋" w:hAnsi="仿宋" w:eastAsia="仿宋" w:cs="仿宋"/>
                <w:color w:val="000000"/>
                <w:kern w:val="0"/>
                <w:szCs w:val="21"/>
              </w:rPr>
              <w:t xml:space="preserve">含终端客户端软件一套：                                                          </w:t>
            </w:r>
          </w:p>
          <w:p>
            <w:pPr>
              <w:widowControl/>
              <w:jc w:val="left"/>
              <w:rPr>
                <w:rFonts w:ascii="仿宋" w:hAnsi="仿宋" w:eastAsia="仿宋" w:cs="仿宋"/>
                <w:color w:val="000000"/>
                <w:kern w:val="0"/>
                <w:szCs w:val="21"/>
              </w:rPr>
            </w:pPr>
            <w:r>
              <w:rPr>
                <w:rFonts w:hint="eastAsia" w:ascii="仿宋" w:hAnsi="仿宋" w:eastAsia="仿宋" w:cs="仿宋"/>
                <w:color w:val="000000"/>
                <w:kern w:val="0"/>
                <w:szCs w:val="21"/>
              </w:rPr>
              <w:t>1.支持通过本地设置或管理平台统一开启、关闭系统联动策略，包括关闭云桌面同时关闭终端和关闭终端同时关闭云桌面。</w:t>
            </w:r>
          </w:p>
          <w:p>
            <w:pPr>
              <w:widowControl/>
              <w:jc w:val="left"/>
              <w:rPr>
                <w:rFonts w:ascii="仿宋" w:hAnsi="仿宋" w:eastAsia="仿宋" w:cs="仿宋"/>
                <w:color w:val="000000"/>
                <w:kern w:val="0"/>
                <w:szCs w:val="21"/>
              </w:rPr>
            </w:pPr>
            <w:r>
              <w:rPr>
                <w:rFonts w:hint="eastAsia" w:ascii="仿宋" w:hAnsi="仿宋" w:eastAsia="仿宋" w:cs="仿宋"/>
                <w:color w:val="000000"/>
                <w:kern w:val="0"/>
                <w:szCs w:val="21"/>
              </w:rPr>
              <w:t>2.▲支持终端日志提取功能，可从终端本地或管理平台进行提取，方便本地或远程运维，提供功能页面截图；</w:t>
            </w:r>
          </w:p>
          <w:p>
            <w:pPr>
              <w:widowControl/>
              <w:jc w:val="left"/>
              <w:rPr>
                <w:rFonts w:ascii="仿宋" w:hAnsi="仿宋" w:eastAsia="仿宋" w:cs="仿宋"/>
                <w:color w:val="000000"/>
                <w:kern w:val="0"/>
                <w:szCs w:val="21"/>
              </w:rPr>
            </w:pPr>
            <w:r>
              <w:rPr>
                <w:rFonts w:hint="eastAsia" w:ascii="仿宋" w:hAnsi="仿宋" w:eastAsia="仿宋" w:cs="仿宋"/>
                <w:color w:val="000000"/>
                <w:kern w:val="0"/>
                <w:szCs w:val="21"/>
              </w:rPr>
              <w:t>3.当云桌面断开连接或终端意外重启，云桌面恢复连接后，原有操作不变及数据不丢失。</w:t>
            </w:r>
          </w:p>
          <w:p>
            <w:pPr>
              <w:widowControl/>
              <w:jc w:val="left"/>
              <w:rPr>
                <w:rFonts w:ascii="仿宋" w:hAnsi="仿宋" w:eastAsia="仿宋" w:cs="仿宋"/>
                <w:color w:val="000000"/>
                <w:kern w:val="0"/>
                <w:szCs w:val="21"/>
              </w:rPr>
            </w:pPr>
            <w:r>
              <w:rPr>
                <w:rFonts w:hint="eastAsia" w:ascii="仿宋" w:hAnsi="仿宋" w:eastAsia="仿宋" w:cs="仿宋"/>
                <w:color w:val="000000"/>
                <w:kern w:val="0"/>
                <w:szCs w:val="21"/>
              </w:rPr>
              <w:t>4.支持在登录界面中显示使用者信息，方便用户对个人信息进行管理。</w:t>
            </w:r>
          </w:p>
          <w:p>
            <w:pPr>
              <w:widowControl/>
              <w:jc w:val="left"/>
              <w:rPr>
                <w:rFonts w:ascii="仿宋" w:hAnsi="仿宋" w:eastAsia="仿宋" w:cs="仿宋"/>
                <w:color w:val="000000"/>
                <w:kern w:val="0"/>
                <w:szCs w:val="21"/>
              </w:rPr>
            </w:pPr>
            <w:r>
              <w:rPr>
                <w:rFonts w:hint="eastAsia" w:ascii="仿宋" w:hAnsi="仿宋" w:eastAsia="仿宋" w:cs="仿宋"/>
                <w:color w:val="000000"/>
                <w:kern w:val="0"/>
                <w:szCs w:val="21"/>
              </w:rPr>
              <w:t>5.▲可通过终端客户端程序的配置项，对教学配置参数进行设置，其中包括教室服务IP、教室编号、是否为教师机、是否启用切课及组播参数功能等配置，提供终端配置中教学配置截图。</w:t>
            </w:r>
          </w:p>
          <w:p>
            <w:pPr>
              <w:widowControl/>
              <w:jc w:val="left"/>
              <w:rPr>
                <w:rFonts w:ascii="仿宋" w:hAnsi="仿宋" w:eastAsia="仿宋" w:cs="仿宋"/>
                <w:szCs w:val="21"/>
              </w:rPr>
            </w:pPr>
            <w:r>
              <w:rPr>
                <w:rFonts w:hint="eastAsia" w:ascii="仿宋" w:hAnsi="仿宋" w:eastAsia="仿宋" w:cs="仿宋"/>
                <w:color w:val="000000"/>
                <w:kern w:val="0"/>
                <w:szCs w:val="21"/>
              </w:rPr>
              <w:t>6.为保证产品兼容性，终端客户端程序和云终端为同一品牌。</w:t>
            </w:r>
          </w:p>
        </w:tc>
        <w:tc>
          <w:tcPr>
            <w:tcW w:w="566" w:type="dxa"/>
            <w:vMerge w:val="restart"/>
            <w:vAlign w:val="center"/>
          </w:tcPr>
          <w:p>
            <w:pP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647" w:type="dxa"/>
            <w:vAlign w:val="center"/>
          </w:tcPr>
          <w:p>
            <w:pPr>
              <w:pStyle w:val="20"/>
              <w:rPr>
                <w:rFonts w:ascii="仿宋" w:hAnsi="仿宋" w:eastAsia="仿宋" w:cs="仿宋"/>
              </w:rPr>
            </w:pPr>
            <w:r>
              <w:rPr>
                <w:rFonts w:hint="eastAsia" w:ascii="仿宋" w:hAnsi="仿宋" w:eastAsia="仿宋" w:cs="仿宋"/>
              </w:rPr>
              <w:t>3</w:t>
            </w:r>
          </w:p>
        </w:tc>
        <w:tc>
          <w:tcPr>
            <w:tcW w:w="1274" w:type="dxa"/>
            <w:vAlign w:val="center"/>
          </w:tcPr>
          <w:p>
            <w:pPr>
              <w:pStyle w:val="20"/>
              <w:rPr>
                <w:rFonts w:ascii="仿宋" w:hAnsi="仿宋" w:eastAsia="仿宋" w:cs="仿宋"/>
              </w:rPr>
            </w:pPr>
            <w:r>
              <w:rPr>
                <w:rFonts w:hint="eastAsia" w:ascii="仿宋" w:hAnsi="仿宋" w:eastAsia="仿宋" w:cs="仿宋"/>
              </w:rPr>
              <w:t>教师云终端</w:t>
            </w:r>
          </w:p>
        </w:tc>
        <w:tc>
          <w:tcPr>
            <w:tcW w:w="11454" w:type="dxa"/>
            <w:vAlign w:val="center"/>
          </w:tcPr>
          <w:p>
            <w:pPr>
              <w:widowControl/>
              <w:jc w:val="left"/>
              <w:rPr>
                <w:rFonts w:ascii="仿宋" w:hAnsi="仿宋" w:eastAsia="仿宋" w:cs="仿宋"/>
                <w:color w:val="000000"/>
                <w:kern w:val="0"/>
                <w:sz w:val="22"/>
              </w:rPr>
            </w:pPr>
            <w:r>
              <w:rPr>
                <w:rFonts w:hint="eastAsia" w:ascii="仿宋" w:hAnsi="仿宋" w:eastAsia="仿宋" w:cs="仿宋"/>
                <w:color w:val="000000"/>
                <w:kern w:val="0"/>
                <w:sz w:val="22"/>
              </w:rPr>
              <w:t>CPU：英特尔® 酷睿™ i7处理器及以上 ，≥8M 高速缓存，≥四核八线程，3.6GHz-高达 4.20 GHz；内存≥8GB,硬盘≥256G SSD</w:t>
            </w:r>
          </w:p>
          <w:p>
            <w:pPr>
              <w:widowControl/>
              <w:jc w:val="left"/>
              <w:rPr>
                <w:rFonts w:ascii="仿宋" w:hAnsi="仿宋" w:eastAsia="仿宋" w:cs="仿宋"/>
                <w:color w:val="000000"/>
                <w:kern w:val="0"/>
                <w:sz w:val="22"/>
              </w:rPr>
            </w:pPr>
            <w:r>
              <w:rPr>
                <w:rFonts w:hint="eastAsia" w:ascii="仿宋" w:hAnsi="仿宋" w:eastAsia="仿宋" w:cs="仿宋"/>
                <w:color w:val="000000"/>
                <w:kern w:val="0"/>
                <w:sz w:val="22"/>
              </w:rPr>
              <w:t>内存类型：DDR4-2666</w:t>
            </w:r>
          </w:p>
          <w:p>
            <w:pPr>
              <w:widowControl/>
              <w:jc w:val="left"/>
              <w:rPr>
                <w:rFonts w:ascii="仿宋" w:hAnsi="仿宋" w:eastAsia="仿宋" w:cs="仿宋"/>
                <w:szCs w:val="21"/>
              </w:rPr>
            </w:pPr>
            <w:r>
              <w:rPr>
                <w:rFonts w:hint="eastAsia" w:ascii="仿宋" w:hAnsi="仿宋" w:eastAsia="仿宋" w:cs="仿宋"/>
                <w:color w:val="000000"/>
                <w:kern w:val="0"/>
                <w:sz w:val="22"/>
              </w:rPr>
              <w:t>显卡：英特尔® 核芯显卡 630</w:t>
            </w:r>
          </w:p>
        </w:tc>
        <w:tc>
          <w:tcPr>
            <w:tcW w:w="566" w:type="dxa"/>
            <w:vMerge w:val="continue"/>
            <w:vAlign w:val="center"/>
          </w:tcPr>
          <w:p>
            <w:pP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647" w:type="dxa"/>
            <w:vAlign w:val="center"/>
          </w:tcPr>
          <w:p>
            <w:pPr>
              <w:pStyle w:val="20"/>
              <w:rPr>
                <w:rFonts w:ascii="仿宋" w:hAnsi="仿宋" w:eastAsia="仿宋" w:cs="仿宋"/>
              </w:rPr>
            </w:pPr>
            <w:r>
              <w:rPr>
                <w:rFonts w:hint="eastAsia" w:ascii="仿宋" w:hAnsi="仿宋" w:eastAsia="仿宋" w:cs="仿宋"/>
              </w:rPr>
              <w:t>4</w:t>
            </w:r>
          </w:p>
        </w:tc>
        <w:tc>
          <w:tcPr>
            <w:tcW w:w="1274" w:type="dxa"/>
            <w:vAlign w:val="center"/>
          </w:tcPr>
          <w:p>
            <w:pPr>
              <w:pStyle w:val="20"/>
              <w:rPr>
                <w:rFonts w:ascii="仿宋" w:hAnsi="仿宋" w:eastAsia="仿宋" w:cs="仿宋"/>
              </w:rPr>
            </w:pPr>
            <w:r>
              <w:rPr>
                <w:rFonts w:hint="eastAsia" w:ascii="仿宋" w:hAnsi="仿宋" w:eastAsia="仿宋" w:cs="仿宋"/>
              </w:rPr>
              <w:t>28寸显示器</w:t>
            </w:r>
          </w:p>
        </w:tc>
        <w:tc>
          <w:tcPr>
            <w:tcW w:w="11454" w:type="dxa"/>
            <w:vAlign w:val="center"/>
          </w:tcPr>
          <w:p>
            <w:pPr>
              <w:widowControl/>
              <w:jc w:val="left"/>
              <w:textAlignment w:val="center"/>
              <w:rPr>
                <w:rFonts w:ascii="仿宋" w:hAnsi="仿宋" w:eastAsia="仿宋" w:cs="仿宋"/>
                <w:color w:val="000000"/>
                <w:kern w:val="0"/>
                <w:szCs w:val="21"/>
                <w:lang w:bidi="ar"/>
              </w:rPr>
            </w:pPr>
            <w:r>
              <w:rPr>
                <w:rStyle w:val="168"/>
                <w:rFonts w:ascii="仿宋" w:hAnsi="仿宋" w:eastAsia="仿宋" w:cs="仿宋"/>
                <w:b w:val="0"/>
                <w:bCs w:val="0"/>
                <w:sz w:val="21"/>
                <w:szCs w:val="21"/>
                <w:lang w:bidi="ar"/>
              </w:rPr>
              <w:t>屏幕尺寸</w:t>
            </w:r>
            <w:r>
              <w:rPr>
                <w:rStyle w:val="167"/>
                <w:rFonts w:hint="eastAsia" w:ascii="仿宋" w:hAnsi="仿宋" w:eastAsia="仿宋" w:cs="仿宋"/>
                <w:b w:val="0"/>
                <w:bCs w:val="0"/>
                <w:lang w:bidi="ar"/>
              </w:rPr>
              <w:t>(</w:t>
            </w:r>
            <w:r>
              <w:rPr>
                <w:rStyle w:val="168"/>
                <w:rFonts w:ascii="仿宋" w:hAnsi="仿宋" w:eastAsia="仿宋" w:cs="仿宋"/>
                <w:b w:val="0"/>
                <w:bCs w:val="0"/>
                <w:sz w:val="21"/>
                <w:szCs w:val="21"/>
                <w:lang w:bidi="ar"/>
              </w:rPr>
              <w:t>对角</w:t>
            </w:r>
            <w:r>
              <w:rPr>
                <w:rStyle w:val="167"/>
                <w:rFonts w:hint="eastAsia" w:ascii="仿宋" w:hAnsi="仿宋" w:eastAsia="仿宋" w:cs="仿宋"/>
                <w:b w:val="0"/>
                <w:bCs w:val="0"/>
                <w:lang w:bidi="ar"/>
              </w:rPr>
              <w:t>)：</w:t>
            </w:r>
            <w:r>
              <w:rPr>
                <w:rFonts w:hint="eastAsia" w:ascii="仿宋" w:hAnsi="仿宋" w:eastAsia="仿宋" w:cs="仿宋"/>
                <w:color w:val="000000"/>
                <w:kern w:val="0"/>
                <w:szCs w:val="21"/>
                <w:lang w:bidi="ar"/>
              </w:rPr>
              <w:t>28"W</w:t>
            </w:r>
          </w:p>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屏幕宽高比：16:9</w:t>
            </w:r>
          </w:p>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lang w:bidi="ar"/>
              </w:rPr>
              <w:t>面板类型：</w:t>
            </w:r>
            <w:r>
              <w:rPr>
                <w:rStyle w:val="177"/>
                <w:rFonts w:hint="eastAsia" w:ascii="仿宋" w:hAnsi="仿宋" w:eastAsia="仿宋" w:cs="仿宋"/>
                <w:sz w:val="21"/>
                <w:szCs w:val="21"/>
                <w:lang w:bidi="ar"/>
              </w:rPr>
              <w:t>IPS</w:t>
            </w:r>
            <w:r>
              <w:rPr>
                <w:rStyle w:val="178"/>
                <w:rFonts w:ascii="仿宋" w:hAnsi="仿宋" w:eastAsia="仿宋" w:cs="仿宋"/>
                <w:sz w:val="21"/>
                <w:szCs w:val="21"/>
                <w:lang w:bidi="ar"/>
              </w:rPr>
              <w:t>技术</w:t>
            </w:r>
          </w:p>
          <w:p>
            <w:pPr>
              <w:widowControl/>
              <w:jc w:val="left"/>
              <w:textAlignment w:val="center"/>
              <w:rPr>
                <w:rFonts w:ascii="仿宋" w:hAnsi="仿宋" w:eastAsia="仿宋" w:cs="仿宋"/>
                <w:color w:val="000000"/>
                <w:szCs w:val="21"/>
              </w:rPr>
            </w:pPr>
            <w:r>
              <w:rPr>
                <w:rStyle w:val="168"/>
                <w:rFonts w:ascii="仿宋" w:hAnsi="仿宋" w:eastAsia="仿宋" w:cs="仿宋"/>
                <w:b w:val="0"/>
                <w:bCs w:val="0"/>
                <w:sz w:val="21"/>
                <w:szCs w:val="21"/>
                <w:lang w:bidi="ar"/>
              </w:rPr>
              <w:t>扫描频率：</w:t>
            </w:r>
            <w:r>
              <w:rPr>
                <w:rStyle w:val="169"/>
                <w:rFonts w:ascii="仿宋" w:hAnsi="仿宋" w:eastAsia="仿宋" w:cs="仿宋"/>
                <w:sz w:val="21"/>
                <w:szCs w:val="21"/>
                <w:lang w:bidi="ar"/>
              </w:rPr>
              <w:t>水平</w:t>
            </w:r>
            <w:r>
              <w:rPr>
                <w:rStyle w:val="170"/>
                <w:rFonts w:hint="eastAsia" w:ascii="仿宋" w:hAnsi="仿宋" w:eastAsia="仿宋" w:cs="仿宋"/>
                <w:b w:val="0"/>
                <w:bCs w:val="0"/>
                <w:lang w:bidi="ar"/>
              </w:rPr>
              <w:t xml:space="preserve">: 30k - 140kHz    </w:t>
            </w:r>
            <w:r>
              <w:rPr>
                <w:rStyle w:val="169"/>
                <w:rFonts w:ascii="仿宋" w:hAnsi="仿宋" w:eastAsia="仿宋" w:cs="仿宋"/>
                <w:sz w:val="21"/>
                <w:szCs w:val="21"/>
                <w:lang w:bidi="ar"/>
              </w:rPr>
              <w:t>垂直</w:t>
            </w:r>
            <w:r>
              <w:rPr>
                <w:rStyle w:val="170"/>
                <w:rFonts w:hint="eastAsia" w:ascii="仿宋" w:hAnsi="仿宋" w:eastAsia="仿宋" w:cs="仿宋"/>
                <w:b w:val="0"/>
                <w:bCs w:val="0"/>
                <w:lang w:bidi="ar"/>
              </w:rPr>
              <w:t>: 23 - 75Hz</w:t>
            </w:r>
          </w:p>
          <w:p>
            <w:pPr>
              <w:widowControl/>
              <w:jc w:val="left"/>
              <w:textAlignment w:val="center"/>
              <w:rPr>
                <w:rFonts w:ascii="仿宋" w:hAnsi="仿宋" w:eastAsia="仿宋" w:cs="仿宋"/>
                <w:szCs w:val="21"/>
              </w:rPr>
            </w:pPr>
            <w:r>
              <w:rPr>
                <w:rStyle w:val="168"/>
                <w:rFonts w:ascii="仿宋" w:hAnsi="仿宋" w:eastAsia="仿宋" w:cs="仿宋"/>
                <w:b w:val="0"/>
                <w:bCs w:val="0"/>
                <w:sz w:val="21"/>
                <w:szCs w:val="21"/>
                <w:lang w:bidi="ar"/>
              </w:rPr>
              <w:t>最大分辨率：</w:t>
            </w:r>
            <w:r>
              <w:rPr>
                <w:rFonts w:hint="eastAsia" w:ascii="仿宋" w:hAnsi="仿宋" w:eastAsia="仿宋" w:cs="仿宋"/>
                <w:color w:val="000000"/>
                <w:kern w:val="0"/>
                <w:szCs w:val="21"/>
                <w:lang w:bidi="ar"/>
              </w:rPr>
              <w:t>3840x2160@60Hz</w:t>
            </w:r>
          </w:p>
        </w:tc>
        <w:tc>
          <w:tcPr>
            <w:tcW w:w="566" w:type="dxa"/>
            <w:vMerge w:val="continue"/>
            <w:vAlign w:val="center"/>
          </w:tcPr>
          <w:p>
            <w:pP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647" w:type="dxa"/>
            <w:vAlign w:val="center"/>
          </w:tcPr>
          <w:p>
            <w:pPr>
              <w:pStyle w:val="20"/>
              <w:rPr>
                <w:rFonts w:ascii="仿宋" w:hAnsi="仿宋" w:eastAsia="仿宋" w:cs="仿宋"/>
              </w:rPr>
            </w:pPr>
            <w:r>
              <w:rPr>
                <w:rFonts w:hint="eastAsia" w:ascii="仿宋" w:hAnsi="仿宋" w:eastAsia="仿宋" w:cs="仿宋"/>
              </w:rPr>
              <w:t>5</w:t>
            </w:r>
          </w:p>
        </w:tc>
        <w:tc>
          <w:tcPr>
            <w:tcW w:w="1274" w:type="dxa"/>
            <w:vAlign w:val="center"/>
          </w:tcPr>
          <w:p>
            <w:pPr>
              <w:pStyle w:val="20"/>
              <w:rPr>
                <w:rFonts w:ascii="仿宋" w:hAnsi="仿宋" w:eastAsia="仿宋" w:cs="仿宋"/>
              </w:rPr>
            </w:pPr>
            <w:r>
              <w:rPr>
                <w:rFonts w:hint="eastAsia" w:ascii="仿宋" w:hAnsi="仿宋" w:eastAsia="仿宋" w:cs="仿宋"/>
              </w:rPr>
              <w:t>21.5寸显示器</w:t>
            </w:r>
          </w:p>
        </w:tc>
        <w:tc>
          <w:tcPr>
            <w:tcW w:w="11454" w:type="dxa"/>
            <w:vAlign w:val="center"/>
          </w:tcPr>
          <w:p>
            <w:pPr>
              <w:widowControl/>
              <w:tabs>
                <w:tab w:val="left" w:pos="720"/>
              </w:tabs>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shd w:val="clear" w:color="auto" w:fill="FFFFFF"/>
                <w14:textFill>
                  <w14:solidFill>
                    <w14:schemeClr w14:val="tx1"/>
                  </w14:solidFill>
                </w14:textFill>
              </w:rPr>
              <w:t>屏幕尺寸：21.5英寸</w:t>
            </w:r>
          </w:p>
          <w:p>
            <w:pPr>
              <w:widowControl/>
              <w:tabs>
                <w:tab w:val="left" w:pos="720"/>
              </w:tabs>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shd w:val="clear" w:color="auto" w:fill="FFFFFF"/>
                <w14:textFill>
                  <w14:solidFill>
                    <w14:schemeClr w14:val="tx1"/>
                  </w14:solidFill>
                </w14:textFill>
              </w:rPr>
              <w:t>屏幕比例：16:9</w:t>
            </w:r>
          </w:p>
          <w:p>
            <w:pPr>
              <w:widowControl/>
              <w:tabs>
                <w:tab w:val="left" w:pos="720"/>
              </w:tabs>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shd w:val="clear" w:color="auto" w:fill="FFFFFF"/>
                <w14:textFill>
                  <w14:solidFill>
                    <w14:schemeClr w14:val="tx1"/>
                  </w14:solidFill>
                </w14:textFill>
              </w:rPr>
              <w:t>面板：IPS技术</w:t>
            </w:r>
          </w:p>
          <w:p>
            <w:pPr>
              <w:widowControl/>
              <w:tabs>
                <w:tab w:val="left" w:pos="720"/>
              </w:tabs>
              <w:jc w:val="left"/>
              <w:rPr>
                <w:rStyle w:val="168"/>
                <w:rFonts w:hint="default" w:ascii="仿宋" w:hAnsi="仿宋" w:eastAsia="仿宋" w:cs="仿宋"/>
                <w:b w:val="0"/>
                <w:bCs w:val="0"/>
                <w:sz w:val="21"/>
                <w:szCs w:val="21"/>
                <w:lang w:bidi="ar"/>
              </w:rPr>
            </w:pPr>
            <w:r>
              <w:rPr>
                <w:rFonts w:hint="eastAsia" w:ascii="仿宋" w:hAnsi="仿宋" w:eastAsia="仿宋" w:cs="仿宋"/>
                <w:color w:val="000000" w:themeColor="text1"/>
                <w:szCs w:val="21"/>
                <w:shd w:val="clear" w:color="auto" w:fill="FFFFFF"/>
                <w14:textFill>
                  <w14:solidFill>
                    <w14:schemeClr w14:val="tx1"/>
                  </w14:solidFill>
                </w14:textFill>
              </w:rPr>
              <w:t>分辨率：1920*1080</w:t>
            </w:r>
          </w:p>
        </w:tc>
        <w:tc>
          <w:tcPr>
            <w:tcW w:w="566" w:type="dxa"/>
            <w:vMerge w:val="continue"/>
            <w:vAlign w:val="center"/>
          </w:tcPr>
          <w:p>
            <w:pP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647" w:type="dxa"/>
            <w:vAlign w:val="center"/>
          </w:tcPr>
          <w:p>
            <w:pPr>
              <w:pStyle w:val="20"/>
              <w:rPr>
                <w:rFonts w:ascii="仿宋" w:hAnsi="仿宋" w:eastAsia="仿宋" w:cs="仿宋"/>
              </w:rPr>
            </w:pPr>
            <w:r>
              <w:rPr>
                <w:rFonts w:hint="eastAsia" w:ascii="仿宋" w:hAnsi="仿宋" w:eastAsia="仿宋" w:cs="仿宋"/>
              </w:rPr>
              <w:t>6</w:t>
            </w:r>
          </w:p>
        </w:tc>
        <w:tc>
          <w:tcPr>
            <w:tcW w:w="1274" w:type="dxa"/>
            <w:vAlign w:val="center"/>
          </w:tcPr>
          <w:p>
            <w:pPr>
              <w:pStyle w:val="20"/>
              <w:rPr>
                <w:rFonts w:ascii="仿宋" w:hAnsi="仿宋" w:eastAsia="仿宋" w:cs="仿宋"/>
              </w:rPr>
            </w:pPr>
            <w:r>
              <w:rPr>
                <w:rFonts w:hint="eastAsia" w:ascii="仿宋" w:hAnsi="仿宋" w:eastAsia="仿宋" w:cs="仿宋"/>
              </w:rPr>
              <w:t>键鼠套装</w:t>
            </w:r>
          </w:p>
        </w:tc>
        <w:tc>
          <w:tcPr>
            <w:tcW w:w="11454" w:type="dxa"/>
            <w:vAlign w:val="center"/>
          </w:tcPr>
          <w:p>
            <w:pPr>
              <w:rPr>
                <w:rFonts w:ascii="仿宋" w:hAnsi="仿宋" w:eastAsia="仿宋" w:cs="仿宋"/>
                <w:szCs w:val="21"/>
              </w:rPr>
            </w:pPr>
            <w:r>
              <w:rPr>
                <w:rFonts w:hint="eastAsia" w:ascii="仿宋" w:hAnsi="仿宋" w:eastAsia="仿宋" w:cs="仿宋"/>
                <w:szCs w:val="21"/>
              </w:rPr>
              <w:t>国内一线品牌有线防水防尘USB键鼠套装</w:t>
            </w:r>
          </w:p>
        </w:tc>
        <w:tc>
          <w:tcPr>
            <w:tcW w:w="566" w:type="dxa"/>
            <w:vMerge w:val="continue"/>
            <w:vAlign w:val="center"/>
          </w:tcPr>
          <w:p>
            <w:pP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647" w:type="dxa"/>
            <w:vAlign w:val="center"/>
          </w:tcPr>
          <w:p>
            <w:pPr>
              <w:pStyle w:val="20"/>
              <w:rPr>
                <w:rFonts w:ascii="仿宋" w:hAnsi="仿宋" w:eastAsia="仿宋" w:cs="仿宋"/>
              </w:rPr>
            </w:pPr>
            <w:r>
              <w:rPr>
                <w:rFonts w:hint="eastAsia" w:ascii="仿宋" w:hAnsi="仿宋" w:eastAsia="仿宋" w:cs="仿宋"/>
              </w:rPr>
              <w:t>7</w:t>
            </w:r>
          </w:p>
        </w:tc>
        <w:tc>
          <w:tcPr>
            <w:tcW w:w="1274" w:type="dxa"/>
            <w:vAlign w:val="center"/>
          </w:tcPr>
          <w:p>
            <w:pPr>
              <w:pStyle w:val="20"/>
              <w:rPr>
                <w:rFonts w:ascii="仿宋" w:hAnsi="仿宋" w:eastAsia="仿宋" w:cs="仿宋"/>
              </w:rPr>
            </w:pPr>
            <w:r>
              <w:rPr>
                <w:rFonts w:hint="eastAsia" w:ascii="仿宋" w:hAnsi="仿宋" w:eastAsia="仿宋" w:cs="仿宋"/>
              </w:rPr>
              <w:t>5P立式空调</w:t>
            </w:r>
          </w:p>
        </w:tc>
        <w:tc>
          <w:tcPr>
            <w:tcW w:w="11454" w:type="dxa"/>
            <w:vAlign w:val="center"/>
          </w:tcPr>
          <w:p>
            <w:pPr>
              <w:rPr>
                <w:rFonts w:ascii="仿宋" w:hAnsi="仿宋" w:eastAsia="仿宋" w:cs="仿宋"/>
                <w:szCs w:val="21"/>
              </w:rPr>
            </w:pPr>
            <w:r>
              <w:rPr>
                <w:rFonts w:hint="eastAsia" w:ascii="仿宋" w:hAnsi="仿宋" w:eastAsia="仿宋" w:cs="仿宋"/>
                <w:szCs w:val="21"/>
              </w:rPr>
              <w:t>制冷量（kW）12.5</w:t>
            </w:r>
          </w:p>
          <w:p>
            <w:pPr>
              <w:rPr>
                <w:rFonts w:ascii="仿宋" w:hAnsi="仿宋" w:eastAsia="仿宋" w:cs="仿宋"/>
                <w:szCs w:val="21"/>
              </w:rPr>
            </w:pPr>
            <w:r>
              <w:rPr>
                <w:rFonts w:hint="eastAsia" w:ascii="仿宋" w:hAnsi="仿宋" w:eastAsia="仿宋" w:cs="仿宋"/>
                <w:szCs w:val="21"/>
              </w:rPr>
              <w:t>制冷额定功率（kW）/电流(A)4.31/7.5</w:t>
            </w:r>
          </w:p>
        </w:tc>
        <w:tc>
          <w:tcPr>
            <w:tcW w:w="566" w:type="dxa"/>
            <w:vMerge w:val="continue"/>
            <w:vAlign w:val="center"/>
          </w:tcPr>
          <w:p>
            <w:pP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647" w:type="dxa"/>
            <w:vAlign w:val="center"/>
          </w:tcPr>
          <w:p>
            <w:pPr>
              <w:pStyle w:val="20"/>
              <w:rPr>
                <w:rFonts w:ascii="仿宋" w:hAnsi="仿宋" w:eastAsia="仿宋" w:cs="仿宋"/>
              </w:rPr>
            </w:pPr>
            <w:r>
              <w:rPr>
                <w:rFonts w:hint="eastAsia" w:ascii="仿宋" w:hAnsi="仿宋" w:eastAsia="仿宋" w:cs="仿宋"/>
              </w:rPr>
              <w:t>8</w:t>
            </w:r>
          </w:p>
        </w:tc>
        <w:tc>
          <w:tcPr>
            <w:tcW w:w="1274" w:type="dxa"/>
            <w:vAlign w:val="center"/>
          </w:tcPr>
          <w:p>
            <w:pPr>
              <w:pStyle w:val="20"/>
              <w:rPr>
                <w:rFonts w:ascii="仿宋" w:hAnsi="仿宋" w:eastAsia="仿宋" w:cs="仿宋"/>
              </w:rPr>
            </w:pPr>
            <w:r>
              <w:rPr>
                <w:rFonts w:hint="eastAsia" w:ascii="仿宋" w:hAnsi="仿宋" w:eastAsia="仿宋" w:cs="仿宋"/>
              </w:rPr>
              <w:t>机器视觉系统应用综合平台</w:t>
            </w:r>
          </w:p>
        </w:tc>
        <w:tc>
          <w:tcPr>
            <w:tcW w:w="11454" w:type="dxa"/>
            <w:vAlign w:val="center"/>
          </w:tcPr>
          <w:tbl>
            <w:tblPr>
              <w:tblStyle w:val="39"/>
              <w:tblW w:w="0" w:type="auto"/>
              <w:tblInd w:w="4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1"/>
              <w:gridCol w:w="95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1" w:type="dxa"/>
                </w:tcPr>
                <w:p>
                  <w:pPr>
                    <w:pStyle w:val="179"/>
                    <w:spacing w:line="240" w:lineRule="auto"/>
                    <w:rPr>
                      <w:rFonts w:ascii="仿宋" w:hAnsi="仿宋" w:eastAsia="仿宋" w:cs="仿宋"/>
                      <w:sz w:val="21"/>
                    </w:rPr>
                  </w:pPr>
                  <w:r>
                    <w:rPr>
                      <w:rFonts w:hint="eastAsia" w:ascii="仿宋" w:hAnsi="仿宋" w:eastAsia="仿宋" w:cs="仿宋"/>
                      <w:sz w:val="21"/>
                    </w:rPr>
                    <w:t>机台</w:t>
                  </w:r>
                </w:p>
              </w:tc>
              <w:tc>
                <w:tcPr>
                  <w:tcW w:w="9504" w:type="dxa"/>
                </w:tcPr>
                <w:p>
                  <w:pPr>
                    <w:rPr>
                      <w:rFonts w:ascii="仿宋" w:hAnsi="仿宋" w:eastAsia="仿宋" w:cs="仿宋"/>
                      <w:szCs w:val="21"/>
                    </w:rPr>
                  </w:pPr>
                  <w:r>
                    <w:rPr>
                      <w:rFonts w:hint="eastAsia" w:ascii="仿宋" w:hAnsi="仿宋" w:eastAsia="仿宋" w:cs="仿宋"/>
                      <w:szCs w:val="21"/>
                    </w:rPr>
                    <w:t xml:space="preserve">1.1 硬件核心由四轴运动平台（XYZθ）+可方便拆卸的机器视觉组件两大部分组成。 </w:t>
                  </w:r>
                </w:p>
                <w:p>
                  <w:pPr>
                    <w:rPr>
                      <w:rFonts w:ascii="仿宋" w:hAnsi="仿宋" w:eastAsia="仿宋" w:cs="仿宋"/>
                      <w:szCs w:val="21"/>
                    </w:rPr>
                  </w:pPr>
                  <w:r>
                    <w:rPr>
                      <w:rFonts w:hint="eastAsia" w:ascii="仿宋" w:hAnsi="仿宋" w:eastAsia="仿宋" w:cs="仿宋"/>
                      <w:szCs w:val="21"/>
                    </w:rPr>
                    <w:t>1.2 设备要求结构紧凑，高集成度，占地面积小，平台行行程：XY轴200mm，Z轴50mm，Z轴可以连续回转，并带原点。</w:t>
                  </w:r>
                </w:p>
                <w:p>
                  <w:pPr>
                    <w:rPr>
                      <w:rFonts w:ascii="仿宋" w:hAnsi="仿宋" w:eastAsia="仿宋" w:cs="仿宋"/>
                      <w:szCs w:val="21"/>
                    </w:rPr>
                  </w:pPr>
                  <w:r>
                    <w:rPr>
                      <w:rFonts w:hint="eastAsia" w:ascii="仿宋" w:hAnsi="仿宋" w:eastAsia="仿宋" w:cs="仿宋"/>
                      <w:szCs w:val="21"/>
                    </w:rPr>
                    <w:t xml:space="preserve">1.3 平台的运动精度高，XY轴的电机须采用闭环电机，Z轴的电机需要带刹车，XYZ重复精度优于±0.01mm，θ轴采用中空旋转电机，重复精度±0.05°。 </w:t>
                  </w:r>
                </w:p>
                <w:p>
                  <w:pPr>
                    <w:rPr>
                      <w:rFonts w:ascii="仿宋" w:hAnsi="仿宋" w:eastAsia="仿宋" w:cs="仿宋"/>
                      <w:szCs w:val="21"/>
                    </w:rPr>
                  </w:pPr>
                  <w:r>
                    <w:rPr>
                      <w:rFonts w:hint="eastAsia" w:ascii="仿宋" w:hAnsi="仿宋" w:eastAsia="仿宋" w:cs="仿宋"/>
                      <w:szCs w:val="21"/>
                    </w:rPr>
                    <w:t>1.4 平台能够快速装配多种类型的相机，包含面阵相机、线阵相机、双目3D相机、线激光3D相机等；也能够快速装配平台配套的多种类型的光源，包含多角度的环形光源、同轴光源和背光源等，安装支架上均带有刻度标识。</w:t>
                  </w:r>
                </w:p>
                <w:p>
                  <w:pPr>
                    <w:rPr>
                      <w:rFonts w:ascii="仿宋" w:hAnsi="仿宋" w:eastAsia="仿宋" w:cs="仿宋"/>
                      <w:szCs w:val="21"/>
                    </w:rPr>
                  </w:pPr>
                  <w:r>
                    <w:rPr>
                      <w:rFonts w:hint="eastAsia" w:ascii="仿宋" w:hAnsi="仿宋" w:eastAsia="仿宋" w:cs="仿宋"/>
                      <w:szCs w:val="21"/>
                    </w:rPr>
                    <w:t>1.5 平台提供可以支持PLC或运动控制卡进行运动控制，可支持任意曲线插补。</w:t>
                  </w:r>
                </w:p>
                <w:p>
                  <w:pPr>
                    <w:rPr>
                      <w:rFonts w:ascii="仿宋" w:hAnsi="仿宋" w:eastAsia="仿宋" w:cs="仿宋"/>
                      <w:szCs w:val="21"/>
                    </w:rPr>
                  </w:pPr>
                  <w:r>
                    <w:rPr>
                      <w:rFonts w:hint="eastAsia" w:ascii="仿宋" w:hAnsi="仿宋" w:eastAsia="仿宋" w:cs="仿宋"/>
                      <w:szCs w:val="21"/>
                    </w:rPr>
                    <w:t>1.6 相机可以固定在Z轴上，也可以固定在运动轴之外，相机具有侧视、斜视和上视等多种安装方式；</w:t>
                  </w:r>
                </w:p>
                <w:p>
                  <w:pPr>
                    <w:rPr>
                      <w:rFonts w:ascii="仿宋" w:hAnsi="仿宋" w:eastAsia="仿宋" w:cs="仿宋"/>
                      <w:szCs w:val="21"/>
                    </w:rPr>
                  </w:pPr>
                  <w:r>
                    <w:rPr>
                      <w:rFonts w:hint="eastAsia" w:ascii="仿宋" w:hAnsi="仿宋" w:eastAsia="仿宋" w:cs="仿宋"/>
                      <w:szCs w:val="21"/>
                    </w:rPr>
                    <w:t>1.7 Z轴安装需要具有高度的灵活性，能够安装可拆卸的旋转轴（旋转轴末端可以配套吸盘或气抓），能够安装可拆卸相机和光源，也能够安装其他开拆卸的执行装置。</w:t>
                  </w:r>
                </w:p>
                <w:p>
                  <w:pPr>
                    <w:rPr>
                      <w:rFonts w:ascii="仿宋" w:hAnsi="仿宋" w:eastAsia="仿宋" w:cs="仿宋"/>
                      <w:szCs w:val="21"/>
                    </w:rPr>
                  </w:pPr>
                  <w:r>
                    <w:rPr>
                      <w:rFonts w:hint="eastAsia" w:ascii="仿宋" w:hAnsi="仿宋" w:eastAsia="仿宋" w:cs="仿宋"/>
                      <w:szCs w:val="21"/>
                    </w:rPr>
                    <w:t>1.8 所有实验需要的调节及输入输出接口均布置在平台上层方便操作的面板上，包含双色报警灯、真空开关接口、光源控制、旋转轴电机信号、相机供电、USB3.0及GigE相机输出、通用IO等。同时配套按钮盒，能够进行设备上电、急停以及XY轴的四向摇杆手动控制；</w:t>
                  </w:r>
                </w:p>
                <w:p>
                  <w:pPr>
                    <w:rPr>
                      <w:rFonts w:ascii="仿宋" w:hAnsi="仿宋" w:eastAsia="仿宋" w:cs="仿宋"/>
                      <w:szCs w:val="21"/>
                    </w:rPr>
                  </w:pPr>
                  <w:r>
                    <w:rPr>
                      <w:rFonts w:hint="eastAsia" w:ascii="仿宋" w:hAnsi="仿宋" w:eastAsia="仿宋" w:cs="仿宋"/>
                      <w:szCs w:val="21"/>
                    </w:rPr>
                    <w:t>1.9 收纳柜或收纳箱需要按物品形状一对应设计，放置区需要粘贴对应的物品的编号或名称，并确保与机台对应。</w:t>
                  </w:r>
                </w:p>
                <w:p>
                  <w:pPr>
                    <w:rPr>
                      <w:rFonts w:ascii="仿宋" w:hAnsi="仿宋" w:eastAsia="仿宋" w:cs="仿宋"/>
                      <w:szCs w:val="21"/>
                    </w:rPr>
                  </w:pPr>
                  <w:r>
                    <w:rPr>
                      <w:rFonts w:hint="eastAsia" w:ascii="仿宋" w:hAnsi="仿宋" w:eastAsia="仿宋" w:cs="仿宋"/>
                      <w:szCs w:val="21"/>
                    </w:rPr>
                    <w:t>1.10 电控柜功能分区，包含透明窗口的电气柜、工控机柜、键鼠抽屉、收纳抽屉。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1" w:type="dxa"/>
                </w:tcPr>
                <w:p>
                  <w:pPr>
                    <w:pStyle w:val="179"/>
                    <w:spacing w:line="240" w:lineRule="auto"/>
                    <w:rPr>
                      <w:rFonts w:ascii="仿宋" w:hAnsi="仿宋" w:eastAsia="仿宋" w:cs="仿宋"/>
                      <w:sz w:val="21"/>
                    </w:rPr>
                  </w:pPr>
                  <w:r>
                    <w:rPr>
                      <w:rFonts w:hint="eastAsia" w:ascii="仿宋" w:hAnsi="仿宋" w:eastAsia="仿宋" w:cs="仿宋"/>
                      <w:sz w:val="21"/>
                    </w:rPr>
                    <w:t>视觉相机</w:t>
                  </w:r>
                </w:p>
              </w:tc>
              <w:tc>
                <w:tcPr>
                  <w:tcW w:w="9504" w:type="dxa"/>
                </w:tcPr>
                <w:p>
                  <w:pPr>
                    <w:rPr>
                      <w:rFonts w:ascii="仿宋" w:hAnsi="仿宋" w:eastAsia="仿宋" w:cs="仿宋"/>
                      <w:szCs w:val="21"/>
                    </w:rPr>
                  </w:pPr>
                  <w:r>
                    <w:rPr>
                      <w:rFonts w:hint="eastAsia" w:ascii="仿宋" w:hAnsi="仿宋" w:eastAsia="仿宋" w:cs="仿宋"/>
                      <w:szCs w:val="21"/>
                    </w:rPr>
                    <w:t>2.1 包含3台2D相机和1台3D相机，相机接口包含USB3.0和GigE两种类型；</w:t>
                  </w:r>
                </w:p>
                <w:p>
                  <w:pPr>
                    <w:rPr>
                      <w:rFonts w:ascii="仿宋" w:hAnsi="仿宋" w:eastAsia="仿宋" w:cs="仿宋"/>
                      <w:szCs w:val="21"/>
                    </w:rPr>
                  </w:pPr>
                  <w:r>
                    <w:rPr>
                      <w:rFonts w:hint="eastAsia" w:ascii="仿宋" w:hAnsi="仿宋" w:eastAsia="仿宋" w:cs="仿宋"/>
                      <w:szCs w:val="21"/>
                    </w:rPr>
                    <w:t>2.2 2D相机1的分辨率：1280x960像素，采用全局快门黑白CMOS芯片，芯片尺寸：1/2.7”,帧率不低于90fps，采用USB3.0接口，兼容USB 3 VISION 协议和GenlCam标准；</w:t>
                  </w:r>
                </w:p>
                <w:p>
                  <w:pPr>
                    <w:rPr>
                      <w:rFonts w:ascii="仿宋" w:hAnsi="仿宋" w:eastAsia="仿宋" w:cs="仿宋"/>
                      <w:szCs w:val="21"/>
                    </w:rPr>
                  </w:pPr>
                  <w:r>
                    <w:rPr>
                      <w:rFonts w:hint="eastAsia" w:ascii="仿宋" w:hAnsi="仿宋" w:eastAsia="仿宋" w:cs="仿宋"/>
                      <w:szCs w:val="21"/>
                    </w:rPr>
                    <w:t>2.2 2D相机2的分辨率：2448x2048像素，采用全局快门黑白CMOS芯片，芯片尺寸：2/3”,帧率不低于20fps，采用GigE接口，兼容GigE VISION 协议和GenlCam标准；支撑POE供电，DC6V-26V宽压供电；</w:t>
                  </w:r>
                </w:p>
                <w:p>
                  <w:pPr>
                    <w:rPr>
                      <w:rFonts w:ascii="仿宋" w:hAnsi="仿宋" w:eastAsia="仿宋" w:cs="仿宋"/>
                      <w:szCs w:val="21"/>
                    </w:rPr>
                  </w:pPr>
                  <w:r>
                    <w:rPr>
                      <w:rFonts w:hint="eastAsia" w:ascii="仿宋" w:hAnsi="仿宋" w:eastAsia="仿宋" w:cs="仿宋"/>
                      <w:szCs w:val="21"/>
                    </w:rPr>
                    <w:t>2.3 2D相机3的分辨率：2500x1940像素，采用滚动快门彩色CMOS芯片，芯片尺寸：1/2.5”,帧率不低于20fps，采用GigE接口，兼容GigE VISION 协议和GenlCam标准；支撑POE供电，DC6V-26V宽压供电；</w:t>
                  </w:r>
                </w:p>
                <w:p>
                  <w:pPr>
                    <w:rPr>
                      <w:rFonts w:ascii="仿宋" w:hAnsi="仿宋" w:eastAsia="仿宋" w:cs="仿宋"/>
                      <w:szCs w:val="21"/>
                    </w:rPr>
                  </w:pPr>
                  <w:r>
                    <w:rPr>
                      <w:rFonts w:hint="eastAsia" w:ascii="仿宋" w:hAnsi="仿宋" w:eastAsia="仿宋" w:cs="仿宋"/>
                      <w:szCs w:val="21"/>
                    </w:rPr>
                    <w:t>2.4 3D相机采用一体式封装，自带双目相机和结构光源，同时自带LED补光，相机分辨率：1280x720像素，可以进行3D标定、3D匹配、3D体积测量等实验，能实现基于双目特征的匹配和基于立体模式的匹配，3D相机最近测量距离：0.45米。</w:t>
                  </w:r>
                </w:p>
                <w:p>
                  <w:pPr>
                    <w:rPr>
                      <w:rFonts w:ascii="仿宋" w:hAnsi="仿宋" w:eastAsia="仿宋" w:cs="仿宋"/>
                      <w:szCs w:val="21"/>
                    </w:rPr>
                  </w:pPr>
                  <w:r>
                    <w:rPr>
                      <w:rFonts w:hint="eastAsia" w:ascii="仿宋" w:hAnsi="仿宋" w:eastAsia="仿宋" w:cs="仿宋"/>
                      <w:szCs w:val="21"/>
                    </w:rPr>
                    <w:t>2.5 所有相机符合CE，FCC,UL,ROHS认证。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1" w:type="dxa"/>
                </w:tcPr>
                <w:p>
                  <w:pPr>
                    <w:pStyle w:val="179"/>
                    <w:spacing w:line="240" w:lineRule="auto"/>
                    <w:rPr>
                      <w:rFonts w:ascii="仿宋" w:hAnsi="仿宋" w:eastAsia="仿宋" w:cs="仿宋"/>
                      <w:b/>
                      <w:bCs/>
                      <w:sz w:val="21"/>
                    </w:rPr>
                  </w:pPr>
                  <w:r>
                    <w:rPr>
                      <w:rFonts w:hint="eastAsia" w:ascii="仿宋" w:hAnsi="仿宋" w:eastAsia="仿宋" w:cs="仿宋"/>
                      <w:b/>
                      <w:bCs/>
                      <w:sz w:val="21"/>
                    </w:rPr>
                    <w:t>镜头</w:t>
                  </w:r>
                </w:p>
              </w:tc>
              <w:tc>
                <w:tcPr>
                  <w:tcW w:w="9504" w:type="dxa"/>
                </w:tcPr>
                <w:p>
                  <w:pPr>
                    <w:rPr>
                      <w:rFonts w:ascii="仿宋" w:hAnsi="仿宋" w:eastAsia="仿宋" w:cs="仿宋"/>
                      <w:szCs w:val="21"/>
                    </w:rPr>
                  </w:pPr>
                  <w:r>
                    <w:rPr>
                      <w:rFonts w:hint="eastAsia" w:ascii="仿宋" w:hAnsi="仿宋" w:eastAsia="仿宋" w:cs="仿宋"/>
                      <w:szCs w:val="21"/>
                    </w:rPr>
                    <w:t>3.1  配置3个不同焦距的定焦镜头，焦距包含12mm，25mm和35mm，支持500万像素，支持2/3”成像圈；</w:t>
                  </w:r>
                </w:p>
                <w:p>
                  <w:pPr>
                    <w:rPr>
                      <w:rFonts w:ascii="仿宋" w:hAnsi="仿宋" w:eastAsia="仿宋" w:cs="仿宋"/>
                      <w:szCs w:val="21"/>
                    </w:rPr>
                  </w:pPr>
                  <w:r>
                    <w:rPr>
                      <w:rFonts w:hint="eastAsia" w:ascii="仿宋" w:hAnsi="仿宋" w:eastAsia="仿宋" w:cs="仿宋"/>
                      <w:szCs w:val="21"/>
                    </w:rPr>
                    <w:t>3.2   配置1个双远心镜头，0.3X放大倍率，能够；</w:t>
                  </w:r>
                </w:p>
                <w:p>
                  <w:pPr>
                    <w:rPr>
                      <w:rFonts w:ascii="仿宋" w:hAnsi="仿宋" w:eastAsia="仿宋" w:cs="仿宋"/>
                      <w:szCs w:val="21"/>
                    </w:rPr>
                  </w:pPr>
                  <w:r>
                    <w:rPr>
                      <w:rFonts w:hint="eastAsia" w:ascii="仿宋" w:hAnsi="仿宋" w:eastAsia="仿宋" w:cs="仿宋"/>
                      <w:szCs w:val="21"/>
                    </w:rPr>
                    <w:t>3.3   配套一组接圈，包含1、2、5、10、20、40mm，并配套与镜头匹配的红色和蓝色窄带滤光镜各一片，配套镜头清洁布。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1" w:type="dxa"/>
                </w:tcPr>
                <w:p>
                  <w:pPr>
                    <w:pStyle w:val="179"/>
                    <w:spacing w:line="240" w:lineRule="auto"/>
                    <w:rPr>
                      <w:rFonts w:ascii="仿宋" w:hAnsi="仿宋" w:eastAsia="仿宋" w:cs="仿宋"/>
                      <w:b/>
                      <w:bCs/>
                      <w:sz w:val="21"/>
                    </w:rPr>
                  </w:pPr>
                  <w:r>
                    <w:rPr>
                      <w:rFonts w:hint="eastAsia" w:ascii="仿宋" w:hAnsi="仿宋" w:eastAsia="仿宋" w:cs="仿宋"/>
                      <w:b/>
                      <w:bCs/>
                      <w:sz w:val="21"/>
                    </w:rPr>
                    <w:t>光源</w:t>
                  </w:r>
                </w:p>
              </w:tc>
              <w:tc>
                <w:tcPr>
                  <w:tcW w:w="9504" w:type="dxa"/>
                </w:tcPr>
                <w:p>
                  <w:pPr>
                    <w:rPr>
                      <w:rFonts w:ascii="仿宋" w:hAnsi="仿宋" w:eastAsia="仿宋" w:cs="仿宋"/>
                      <w:szCs w:val="21"/>
                    </w:rPr>
                  </w:pPr>
                  <w:r>
                    <w:rPr>
                      <w:rFonts w:hint="eastAsia" w:ascii="仿宋" w:hAnsi="仿宋" w:eastAsia="仿宋" w:cs="仿宋"/>
                      <w:szCs w:val="21"/>
                    </w:rPr>
                    <w:t>4.1 包含三个环形光源，其中一个直射环形光源，发光面外径80mm，内径40mm，采用RGB LED灯珠，同时光源配有外螺纹，能够直径拧在配套的定焦镜头上；一个45度发光环形光源，发光面外径120mm，内径80mm，LED颜色为绿色；另外还有一个20度的低角度环形光源，发光面外径155mm，内径120mm，LED颜色为蓝色。以上三个环形光源可以组合成一个AOI光源。</w:t>
                  </w:r>
                </w:p>
                <w:p>
                  <w:pPr>
                    <w:rPr>
                      <w:rFonts w:ascii="仿宋" w:hAnsi="仿宋" w:eastAsia="仿宋" w:cs="仿宋"/>
                      <w:szCs w:val="21"/>
                    </w:rPr>
                  </w:pPr>
                  <w:r>
                    <w:rPr>
                      <w:rFonts w:hint="eastAsia" w:ascii="仿宋" w:hAnsi="仿宋" w:eastAsia="仿宋" w:cs="仿宋"/>
                      <w:szCs w:val="21"/>
                    </w:rPr>
                    <w:t xml:space="preserve">4.2 包含RGB同轴照明光源一个，发光面积60x60mm。        </w:t>
                  </w:r>
                </w:p>
                <w:p>
                  <w:pPr>
                    <w:rPr>
                      <w:rFonts w:ascii="仿宋" w:hAnsi="仿宋" w:eastAsia="仿宋" w:cs="仿宋"/>
                      <w:szCs w:val="21"/>
                    </w:rPr>
                  </w:pPr>
                  <w:r>
                    <w:rPr>
                      <w:rFonts w:hint="eastAsia" w:ascii="仿宋" w:hAnsi="仿宋" w:eastAsia="仿宋" w:cs="仿宋"/>
                      <w:szCs w:val="21"/>
                    </w:rPr>
                    <w:t>4.3  包含白色平行背光源一个，采用底部贴片LED，光源均匀度高于90%，发光面169x145mm；</w:t>
                  </w:r>
                </w:p>
                <w:p>
                  <w:pPr>
                    <w:rPr>
                      <w:rFonts w:ascii="仿宋" w:hAnsi="仿宋" w:eastAsia="仿宋" w:cs="仿宋"/>
                      <w:szCs w:val="21"/>
                    </w:rPr>
                  </w:pPr>
                  <w:r>
                    <w:rPr>
                      <w:rFonts w:hint="eastAsia" w:ascii="仿宋" w:hAnsi="仿宋" w:eastAsia="仿宋" w:cs="仿宋"/>
                      <w:szCs w:val="21"/>
                    </w:rPr>
                    <w:t>4.4  光源的亮度可以手动调节，也可以软件编程控制。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1" w:type="dxa"/>
                </w:tcPr>
                <w:p>
                  <w:pPr>
                    <w:pStyle w:val="179"/>
                    <w:spacing w:line="240" w:lineRule="auto"/>
                    <w:rPr>
                      <w:rFonts w:ascii="仿宋" w:hAnsi="仿宋" w:eastAsia="仿宋" w:cs="仿宋"/>
                      <w:b/>
                      <w:bCs/>
                      <w:sz w:val="21"/>
                    </w:rPr>
                  </w:pPr>
                  <w:r>
                    <w:rPr>
                      <w:rFonts w:hint="eastAsia" w:ascii="仿宋" w:hAnsi="仿宋" w:eastAsia="仿宋" w:cs="仿宋"/>
                      <w:b/>
                      <w:bCs/>
                      <w:sz w:val="21"/>
                    </w:rPr>
                    <w:t>工控机</w:t>
                  </w:r>
                </w:p>
              </w:tc>
              <w:tc>
                <w:tcPr>
                  <w:tcW w:w="9504" w:type="dxa"/>
                </w:tcPr>
                <w:p>
                  <w:pPr>
                    <w:rPr>
                      <w:rFonts w:ascii="仿宋" w:hAnsi="仿宋" w:eastAsia="仿宋" w:cs="仿宋"/>
                      <w:szCs w:val="21"/>
                    </w:rPr>
                  </w:pPr>
                  <w:r>
                    <w:rPr>
                      <w:rFonts w:hint="eastAsia" w:ascii="仿宋" w:hAnsi="仿宋" w:eastAsia="仿宋" w:cs="仿宋"/>
                      <w:szCs w:val="21"/>
                    </w:rPr>
                    <w:t>5.1  采用研华高性能机器视觉专用工控机，性能i5 四核CPU、8G内存和120G SSD硬盘；</w:t>
                  </w:r>
                </w:p>
                <w:p>
                  <w:pPr>
                    <w:rPr>
                      <w:rFonts w:ascii="仿宋" w:hAnsi="仿宋" w:eastAsia="仿宋" w:cs="仿宋"/>
                      <w:szCs w:val="21"/>
                    </w:rPr>
                  </w:pPr>
                  <w:r>
                    <w:rPr>
                      <w:rFonts w:hint="eastAsia" w:ascii="仿宋" w:hAnsi="仿宋" w:eastAsia="仿宋" w:cs="仿宋"/>
                      <w:szCs w:val="21"/>
                    </w:rPr>
                    <w:t>5.2  自带4个千兆网口，支持POE；</w:t>
                  </w:r>
                </w:p>
                <w:p>
                  <w:pPr>
                    <w:rPr>
                      <w:rFonts w:ascii="仿宋" w:hAnsi="仿宋" w:eastAsia="仿宋" w:cs="仿宋"/>
                      <w:szCs w:val="21"/>
                    </w:rPr>
                  </w:pPr>
                  <w:r>
                    <w:rPr>
                      <w:rFonts w:hint="eastAsia" w:ascii="仿宋" w:hAnsi="仿宋" w:eastAsia="仿宋" w:cs="仿宋"/>
                      <w:szCs w:val="21"/>
                    </w:rPr>
                    <w:t>5.3  自带4个USB3.0口；</w:t>
                  </w:r>
                </w:p>
                <w:p>
                  <w:pPr>
                    <w:rPr>
                      <w:rFonts w:ascii="仿宋" w:hAnsi="仿宋" w:eastAsia="仿宋" w:cs="仿宋"/>
                      <w:szCs w:val="21"/>
                    </w:rPr>
                  </w:pPr>
                  <w:r>
                    <w:rPr>
                      <w:rFonts w:hint="eastAsia" w:ascii="仿宋" w:hAnsi="仿宋" w:eastAsia="仿宋" w:cs="仿宋"/>
                      <w:szCs w:val="21"/>
                    </w:rPr>
                    <w:t>5.4  自带PCI或PCIe的扩展槽，能够安装运动控制卡。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1" w:type="dxa"/>
                </w:tcPr>
                <w:p>
                  <w:pPr>
                    <w:pStyle w:val="179"/>
                    <w:spacing w:line="240" w:lineRule="auto"/>
                    <w:rPr>
                      <w:rFonts w:ascii="仿宋" w:hAnsi="仿宋" w:eastAsia="仿宋" w:cs="仿宋"/>
                      <w:b/>
                      <w:bCs/>
                      <w:sz w:val="21"/>
                    </w:rPr>
                  </w:pPr>
                  <w:r>
                    <w:rPr>
                      <w:rFonts w:hint="eastAsia" w:ascii="仿宋" w:hAnsi="仿宋" w:eastAsia="仿宋" w:cs="仿宋"/>
                      <w:b/>
                      <w:bCs/>
                      <w:sz w:val="21"/>
                    </w:rPr>
                    <w:t>其他配件</w:t>
                  </w:r>
                </w:p>
              </w:tc>
              <w:tc>
                <w:tcPr>
                  <w:tcW w:w="9504" w:type="dxa"/>
                </w:tcPr>
                <w:p>
                  <w:pPr>
                    <w:rPr>
                      <w:rFonts w:ascii="仿宋" w:hAnsi="仿宋" w:eastAsia="仿宋" w:cs="仿宋"/>
                      <w:szCs w:val="21"/>
                    </w:rPr>
                  </w:pPr>
                  <w:r>
                    <w:rPr>
                      <w:rFonts w:hint="eastAsia" w:ascii="仿宋" w:hAnsi="仿宋" w:eastAsia="仿宋" w:cs="仿宋"/>
                      <w:szCs w:val="21"/>
                    </w:rPr>
                    <w:t>6.1 平台配套视觉和治具的收纳箱各一套。</w:t>
                  </w:r>
                </w:p>
                <w:p>
                  <w:pPr>
                    <w:rPr>
                      <w:rFonts w:ascii="仿宋" w:hAnsi="仿宋" w:eastAsia="仿宋" w:cs="仿宋"/>
                      <w:szCs w:val="21"/>
                    </w:rPr>
                  </w:pPr>
                  <w:r>
                    <w:rPr>
                      <w:rFonts w:hint="eastAsia" w:ascii="仿宋" w:hAnsi="仿宋" w:eastAsia="仿宋" w:cs="仿宋"/>
                      <w:szCs w:val="21"/>
                    </w:rPr>
                    <w:t>6.2 提供2种类似的图像标定板。</w:t>
                  </w:r>
                </w:p>
                <w:p>
                  <w:pPr>
                    <w:rPr>
                      <w:rFonts w:ascii="仿宋" w:hAnsi="仿宋" w:eastAsia="仿宋" w:cs="仿宋"/>
                      <w:szCs w:val="21"/>
                    </w:rPr>
                  </w:pPr>
                  <w:r>
                    <w:rPr>
                      <w:rFonts w:hint="eastAsia" w:ascii="仿宋" w:hAnsi="仿宋" w:eastAsia="仿宋" w:cs="仿宋"/>
                      <w:szCs w:val="21"/>
                    </w:rPr>
                    <w:t>6.3 配套快换板、万用表、直尺、螺丝刀、六角扳手、螺丝盒等常用工具。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1" w:type="dxa"/>
                </w:tcPr>
                <w:p>
                  <w:pPr>
                    <w:rPr>
                      <w:rFonts w:ascii="仿宋" w:hAnsi="仿宋" w:eastAsia="仿宋" w:cs="仿宋"/>
                      <w:b/>
                      <w:bCs/>
                      <w:szCs w:val="21"/>
                    </w:rPr>
                  </w:pPr>
                  <w:r>
                    <w:rPr>
                      <w:rFonts w:hint="eastAsia" w:ascii="仿宋" w:hAnsi="仿宋" w:eastAsia="仿宋" w:cs="仿宋"/>
                      <w:b/>
                      <w:bCs/>
                      <w:szCs w:val="21"/>
                    </w:rPr>
                    <w:t>视觉软件</w:t>
                  </w:r>
                </w:p>
              </w:tc>
              <w:tc>
                <w:tcPr>
                  <w:tcW w:w="9504" w:type="dxa"/>
                </w:tcPr>
                <w:p>
                  <w:pPr>
                    <w:rPr>
                      <w:rFonts w:ascii="仿宋" w:hAnsi="仿宋" w:eastAsia="仿宋" w:cs="仿宋"/>
                      <w:szCs w:val="21"/>
                    </w:rPr>
                  </w:pPr>
                  <w:r>
                    <w:rPr>
                      <w:rFonts w:hint="eastAsia" w:ascii="仿宋" w:hAnsi="仿宋" w:eastAsia="仿宋" w:cs="仿宋"/>
                      <w:szCs w:val="21"/>
                    </w:rPr>
                    <w:t>1、设备配套的软件提供图形化编程和代码编程两种编程模式，图形化编程要求通俗易懂，采用拖拽式流程框图定义流程；代码编程提供基于VB.net\C#或python多种语言的例程；</w:t>
                  </w:r>
                </w:p>
                <w:p>
                  <w:pPr>
                    <w:rPr>
                      <w:rFonts w:ascii="仿宋" w:hAnsi="仿宋" w:eastAsia="仿宋" w:cs="仿宋"/>
                      <w:szCs w:val="21"/>
                    </w:rPr>
                  </w:pPr>
                  <w:r>
                    <w:rPr>
                      <w:rFonts w:hint="eastAsia" w:ascii="仿宋" w:hAnsi="仿宋" w:eastAsia="仿宋" w:cs="仿宋"/>
                      <w:szCs w:val="21"/>
                    </w:rPr>
                    <w:t>2、支持多项目同步运行，支持多用户模式，软件可以在独立的笔记本运行，网络端用户可以获取对应IP地址机台上的图片。</w:t>
                  </w:r>
                </w:p>
                <w:p>
                  <w:pPr>
                    <w:rPr>
                      <w:rFonts w:ascii="仿宋" w:hAnsi="仿宋" w:eastAsia="仿宋" w:cs="仿宋"/>
                      <w:szCs w:val="21"/>
                    </w:rPr>
                  </w:pPr>
                  <w:r>
                    <w:rPr>
                      <w:rFonts w:hint="eastAsia" w:ascii="仿宋" w:hAnsi="仿宋" w:eastAsia="仿宋" w:cs="仿宋"/>
                      <w:szCs w:val="21"/>
                    </w:rPr>
                    <w:t xml:space="preserve">3、机器视觉编程软件包含常用图像处理、运动控制和外部通讯工具，包括3D标定、3D定位、3D测量、AOI检测、红外相机检测、深度学习、传送带跟踪计数等多种高级算子，提供API，支持二次开发； </w:t>
                  </w:r>
                </w:p>
                <w:p>
                  <w:pPr>
                    <w:rPr>
                      <w:rFonts w:ascii="仿宋" w:hAnsi="仿宋" w:eastAsia="仿宋" w:cs="仿宋"/>
                      <w:b/>
                      <w:bCs/>
                      <w:szCs w:val="21"/>
                    </w:rPr>
                  </w:pPr>
                  <w:r>
                    <w:rPr>
                      <w:rFonts w:hint="eastAsia" w:ascii="仿宋" w:hAnsi="仿宋" w:eastAsia="仿宋" w:cs="仿宋"/>
                      <w:szCs w:val="21"/>
                    </w:rPr>
                    <w:t>4、2D相机的处理软件工具包含有无/正反检测、颜色/位置判断、定位、尺寸测量、ID识别、字符识别、缺陷检测等工具；</w:t>
                  </w:r>
                  <w:r>
                    <w:rPr>
                      <w:rFonts w:hint="eastAsia" w:ascii="仿宋" w:hAnsi="仿宋" w:eastAsia="仿宋" w:cs="仿宋"/>
                      <w:b/>
                      <w:bCs/>
                      <w:szCs w:val="21"/>
                    </w:rPr>
                    <w:t xml:space="preserve"> </w:t>
                  </w:r>
                </w:p>
                <w:p>
                  <w:pPr>
                    <w:rPr>
                      <w:rFonts w:ascii="仿宋" w:hAnsi="仿宋" w:eastAsia="仿宋" w:cs="仿宋"/>
                      <w:b/>
                      <w:bCs/>
                      <w:szCs w:val="21"/>
                    </w:rPr>
                  </w:pPr>
                  <w:r>
                    <w:rPr>
                      <w:rFonts w:hint="eastAsia" w:ascii="仿宋" w:hAnsi="仿宋" w:eastAsia="仿宋" w:cs="仿宋"/>
                      <w:szCs w:val="21"/>
                    </w:rPr>
                    <w:t>5、3D相机的处理软件工具支持多种不同类型3D相机（包含TOF、线激光、双目结构光、扫描振镜等），软件工具包含：3D标定、3D定位、3D测量等，可实现三维测量和三维点云计算并配套相应的教学程序；</w:t>
                  </w:r>
                  <w:r>
                    <w:rPr>
                      <w:rFonts w:hint="eastAsia" w:ascii="仿宋" w:hAnsi="仿宋" w:eastAsia="仿宋" w:cs="仿宋"/>
                      <w:b/>
                      <w:bCs/>
                      <w:szCs w:val="21"/>
                    </w:rPr>
                    <w:t xml:space="preserve"> </w:t>
                  </w:r>
                </w:p>
                <w:p>
                  <w:pPr>
                    <w:rPr>
                      <w:rFonts w:ascii="仿宋" w:hAnsi="仿宋" w:eastAsia="仿宋" w:cs="仿宋"/>
                      <w:szCs w:val="21"/>
                    </w:rPr>
                  </w:pPr>
                  <w:r>
                    <w:rPr>
                      <w:rFonts w:hint="eastAsia" w:ascii="仿宋" w:hAnsi="仿宋" w:eastAsia="仿宋" w:cs="仿宋"/>
                      <w:szCs w:val="21"/>
                    </w:rPr>
                    <w:t>6、软件除了支持常见品牌的2D相机和3D相机之外，也具有外部接口，支持常见品牌的PLC、运动控制卡和工业机器人，也支持常见的激光振镜控制。</w:t>
                  </w:r>
                </w:p>
                <w:p>
                  <w:pPr>
                    <w:rPr>
                      <w:rFonts w:ascii="仿宋" w:hAnsi="仿宋" w:eastAsia="仿宋" w:cs="仿宋"/>
                      <w:szCs w:val="21"/>
                    </w:rPr>
                  </w:pPr>
                  <w:r>
                    <w:rPr>
                      <w:rFonts w:hint="eastAsia" w:ascii="仿宋" w:hAnsi="仿宋" w:eastAsia="仿宋" w:cs="仿宋"/>
                      <w:szCs w:val="21"/>
                    </w:rPr>
                    <w:t>7、软件支持单相机及多相机对位，支持XYθ、XYY、UVW、SCARA等多种平台类型。</w:t>
                  </w:r>
                </w:p>
              </w:tc>
            </w:tr>
          </w:tbl>
          <w:p>
            <w:pPr>
              <w:rPr>
                <w:rFonts w:ascii="仿宋" w:hAnsi="仿宋" w:eastAsia="仿宋" w:cs="仿宋"/>
                <w:szCs w:val="21"/>
              </w:rPr>
            </w:pPr>
          </w:p>
        </w:tc>
        <w:tc>
          <w:tcPr>
            <w:tcW w:w="566" w:type="dxa"/>
            <w:vMerge w:val="continue"/>
            <w:vAlign w:val="center"/>
          </w:tcPr>
          <w:p>
            <w:pP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647" w:type="dxa"/>
            <w:vAlign w:val="center"/>
          </w:tcPr>
          <w:p>
            <w:pPr>
              <w:pStyle w:val="20"/>
              <w:rPr>
                <w:rFonts w:ascii="仿宋" w:hAnsi="仿宋" w:eastAsia="仿宋" w:cs="仿宋"/>
              </w:rPr>
            </w:pPr>
            <w:r>
              <w:rPr>
                <w:rFonts w:hint="eastAsia" w:ascii="仿宋" w:hAnsi="仿宋" w:eastAsia="仿宋" w:cs="仿宋"/>
              </w:rPr>
              <w:t>9</w:t>
            </w:r>
          </w:p>
        </w:tc>
        <w:tc>
          <w:tcPr>
            <w:tcW w:w="1274" w:type="dxa"/>
            <w:vAlign w:val="center"/>
          </w:tcPr>
          <w:p>
            <w:pPr>
              <w:pStyle w:val="20"/>
              <w:rPr>
                <w:rFonts w:ascii="仿宋" w:hAnsi="仿宋" w:eastAsia="仿宋" w:cs="仿宋"/>
              </w:rPr>
            </w:pPr>
            <w:r>
              <w:rPr>
                <w:rFonts w:hint="eastAsia" w:ascii="仿宋" w:hAnsi="仿宋" w:eastAsia="仿宋" w:cs="仿宋"/>
              </w:rPr>
              <w:t>文化墙建设</w:t>
            </w:r>
          </w:p>
        </w:tc>
        <w:tc>
          <w:tcPr>
            <w:tcW w:w="11454" w:type="dxa"/>
            <w:vAlign w:val="center"/>
          </w:tcPr>
          <w:p>
            <w:pPr>
              <w:rPr>
                <w:rFonts w:ascii="仿宋" w:hAnsi="仿宋" w:eastAsia="仿宋" w:cs="仿宋"/>
                <w:szCs w:val="21"/>
              </w:rPr>
            </w:pPr>
            <w:r>
              <w:rPr>
                <w:rFonts w:hint="eastAsia" w:ascii="仿宋" w:hAnsi="仿宋" w:eastAsia="仿宋" w:cs="仿宋"/>
                <w:szCs w:val="21"/>
              </w:rPr>
              <w:t>虚仿基地相关文化墙建设，含室内和过道墙</w:t>
            </w:r>
          </w:p>
        </w:tc>
        <w:tc>
          <w:tcPr>
            <w:tcW w:w="566" w:type="dxa"/>
            <w:vMerge w:val="continue"/>
            <w:vAlign w:val="center"/>
          </w:tcPr>
          <w:p>
            <w:pP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647" w:type="dxa"/>
            <w:vAlign w:val="center"/>
          </w:tcPr>
          <w:p>
            <w:pPr>
              <w:pStyle w:val="20"/>
              <w:rPr>
                <w:rFonts w:ascii="仿宋" w:hAnsi="仿宋" w:eastAsia="仿宋" w:cs="仿宋"/>
              </w:rPr>
            </w:pPr>
            <w:r>
              <w:rPr>
                <w:rFonts w:hint="eastAsia" w:ascii="仿宋" w:hAnsi="仿宋" w:eastAsia="仿宋" w:cs="仿宋"/>
              </w:rPr>
              <w:t>10</w:t>
            </w:r>
          </w:p>
        </w:tc>
        <w:tc>
          <w:tcPr>
            <w:tcW w:w="1274" w:type="dxa"/>
            <w:vAlign w:val="center"/>
          </w:tcPr>
          <w:p>
            <w:pPr>
              <w:pStyle w:val="20"/>
              <w:rPr>
                <w:rFonts w:ascii="仿宋" w:hAnsi="仿宋" w:eastAsia="仿宋" w:cs="仿宋"/>
              </w:rPr>
            </w:pPr>
            <w:r>
              <w:rPr>
                <w:rFonts w:hint="eastAsia" w:ascii="仿宋" w:hAnsi="仿宋" w:eastAsia="仿宋" w:cs="仿宋"/>
              </w:rPr>
              <w:t>综合布线</w:t>
            </w:r>
          </w:p>
        </w:tc>
        <w:tc>
          <w:tcPr>
            <w:tcW w:w="11454" w:type="dxa"/>
            <w:vAlign w:val="center"/>
          </w:tcPr>
          <w:p>
            <w:pPr>
              <w:rPr>
                <w:rFonts w:ascii="仿宋" w:hAnsi="仿宋" w:eastAsia="仿宋" w:cs="仿宋"/>
                <w:szCs w:val="21"/>
              </w:rPr>
            </w:pPr>
            <w:r>
              <w:rPr>
                <w:rFonts w:hint="eastAsia" w:ascii="仿宋" w:hAnsi="仿宋" w:eastAsia="仿宋" w:cs="仿宋"/>
                <w:szCs w:val="21"/>
              </w:rPr>
              <w:t>线路改造升级，安装hdmi 分配器，SDI 高清分配器，水晶头，音频、视频线，网线，电源线，耳机头，控制线等配件及软硬件调试。</w:t>
            </w:r>
          </w:p>
        </w:tc>
        <w:tc>
          <w:tcPr>
            <w:tcW w:w="566" w:type="dxa"/>
            <w:vMerge w:val="continue"/>
            <w:vAlign w:val="center"/>
          </w:tcPr>
          <w:p>
            <w:pP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647" w:type="dxa"/>
            <w:vAlign w:val="center"/>
          </w:tcPr>
          <w:p>
            <w:pPr>
              <w:rPr>
                <w:rFonts w:ascii="仿宋" w:hAnsi="仿宋" w:eastAsia="仿宋" w:cs="仿宋"/>
              </w:rPr>
            </w:pPr>
            <w:r>
              <w:rPr>
                <w:rFonts w:hint="eastAsia" w:ascii="仿宋" w:hAnsi="仿宋" w:eastAsia="仿宋" w:cs="仿宋"/>
              </w:rPr>
              <w:t>序号</w:t>
            </w:r>
          </w:p>
        </w:tc>
        <w:tc>
          <w:tcPr>
            <w:tcW w:w="1274" w:type="dxa"/>
            <w:vAlign w:val="center"/>
          </w:tcPr>
          <w:p>
            <w:pPr>
              <w:rPr>
                <w:rFonts w:ascii="仿宋" w:hAnsi="仿宋" w:eastAsia="仿宋" w:cs="仿宋"/>
              </w:rPr>
            </w:pPr>
            <w:r>
              <w:rPr>
                <w:rFonts w:hint="eastAsia" w:ascii="仿宋" w:hAnsi="仿宋" w:eastAsia="仿宋" w:cs="仿宋"/>
              </w:rPr>
              <w:t>系统名称</w:t>
            </w:r>
          </w:p>
        </w:tc>
        <w:tc>
          <w:tcPr>
            <w:tcW w:w="11454" w:type="dxa"/>
            <w:vAlign w:val="center"/>
          </w:tcPr>
          <w:p>
            <w:pPr>
              <w:rPr>
                <w:rFonts w:ascii="仿宋" w:hAnsi="仿宋" w:eastAsia="仿宋" w:cs="仿宋"/>
                <w:szCs w:val="21"/>
              </w:rPr>
            </w:pPr>
            <w:r>
              <w:rPr>
                <w:rFonts w:hint="eastAsia" w:ascii="仿宋" w:hAnsi="仿宋" w:eastAsia="仿宋" w:cs="仿宋"/>
                <w:szCs w:val="21"/>
              </w:rPr>
              <w:t>技术参数</w:t>
            </w:r>
          </w:p>
        </w:tc>
        <w:tc>
          <w:tcPr>
            <w:tcW w:w="566" w:type="dxa"/>
            <w:vAlign w:val="center"/>
          </w:tcPr>
          <w:p>
            <w:pPr>
              <w:rPr>
                <w:rFonts w:ascii="仿宋" w:hAnsi="仿宋" w:eastAsia="仿宋" w:cs="仿宋"/>
              </w:rPr>
            </w:pPr>
            <w:r>
              <w:rPr>
                <w:rFonts w:hint="eastAsia" w:ascii="仿宋" w:hAnsi="仿宋" w:eastAsia="仿宋" w:cs="仿宋"/>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647" w:type="dxa"/>
            <w:vAlign w:val="center"/>
          </w:tcPr>
          <w:p>
            <w:pPr>
              <w:pStyle w:val="20"/>
              <w:rPr>
                <w:rFonts w:ascii="仿宋" w:hAnsi="仿宋" w:eastAsia="仿宋" w:cs="仿宋"/>
              </w:rPr>
            </w:pPr>
            <w:r>
              <w:rPr>
                <w:rFonts w:hint="eastAsia" w:ascii="仿宋" w:hAnsi="仿宋" w:eastAsia="仿宋" w:cs="仿宋"/>
              </w:rPr>
              <w:t>1</w:t>
            </w:r>
          </w:p>
        </w:tc>
        <w:tc>
          <w:tcPr>
            <w:tcW w:w="1274" w:type="dxa"/>
            <w:vAlign w:val="center"/>
          </w:tcPr>
          <w:p>
            <w:pPr>
              <w:pStyle w:val="20"/>
              <w:rPr>
                <w:rFonts w:ascii="仿宋" w:hAnsi="仿宋" w:eastAsia="仿宋" w:cs="仿宋"/>
              </w:rPr>
            </w:pPr>
            <w:r>
              <w:rPr>
                <w:rFonts w:hint="eastAsia" w:ascii="仿宋" w:hAnsi="仿宋" w:eastAsia="仿宋" w:cs="仿宋"/>
              </w:rPr>
              <w:t>云计算节点</w:t>
            </w:r>
          </w:p>
        </w:tc>
        <w:tc>
          <w:tcPr>
            <w:tcW w:w="11454" w:type="dxa"/>
            <w:vAlign w:val="center"/>
          </w:tcPr>
          <w:p>
            <w:pPr>
              <w:rPr>
                <w:rFonts w:ascii="仿宋" w:hAnsi="仿宋" w:eastAsia="仿宋" w:cs="仿宋"/>
                <w:szCs w:val="21"/>
              </w:rPr>
            </w:pPr>
            <w:r>
              <w:rPr>
                <w:rFonts w:hint="eastAsia" w:ascii="仿宋" w:hAnsi="仿宋" w:eastAsia="仿宋" w:cs="仿宋"/>
                <w:szCs w:val="21"/>
              </w:rPr>
              <w:t xml:space="preserve">硬件参数：                                                                     </w:t>
            </w:r>
          </w:p>
          <w:p>
            <w:pPr>
              <w:numPr>
                <w:ilvl w:val="0"/>
                <w:numId w:val="7"/>
              </w:numPr>
              <w:rPr>
                <w:rFonts w:ascii="仿宋" w:hAnsi="仿宋" w:eastAsia="仿宋" w:cs="仿宋"/>
                <w:szCs w:val="21"/>
              </w:rPr>
            </w:pPr>
            <w:r>
              <w:rPr>
                <w:rFonts w:hint="eastAsia" w:ascii="仿宋" w:hAnsi="仿宋" w:eastAsia="仿宋" w:cs="仿宋"/>
                <w:szCs w:val="21"/>
              </w:rPr>
              <w:t xml:space="preserve">机架式3U服务器； </w:t>
            </w:r>
          </w:p>
          <w:p>
            <w:pPr>
              <w:numPr>
                <w:ilvl w:val="0"/>
                <w:numId w:val="7"/>
              </w:numPr>
              <w:rPr>
                <w:rFonts w:ascii="仿宋" w:hAnsi="仿宋" w:eastAsia="仿宋" w:cs="仿宋"/>
                <w:szCs w:val="21"/>
              </w:rPr>
            </w:pPr>
            <w:r>
              <w:rPr>
                <w:rFonts w:hint="eastAsia" w:ascii="仿宋" w:hAnsi="仿宋" w:eastAsia="仿宋" w:cs="仿宋"/>
                <w:szCs w:val="21"/>
              </w:rPr>
              <w:t xml:space="preserve">2.CPU:配置 CPU：Gold 6226R及以上，≥十六核心，主频≥2.9GHz； </w:t>
            </w:r>
          </w:p>
          <w:p>
            <w:pPr>
              <w:numPr>
                <w:ilvl w:val="0"/>
                <w:numId w:val="7"/>
              </w:numPr>
              <w:rPr>
                <w:rFonts w:ascii="仿宋" w:hAnsi="仿宋" w:eastAsia="仿宋" w:cs="仿宋"/>
                <w:szCs w:val="21"/>
              </w:rPr>
            </w:pPr>
            <w:r>
              <w:rPr>
                <w:rFonts w:hint="eastAsia" w:ascii="仿宋" w:hAnsi="仿宋" w:eastAsia="仿宋" w:cs="仿宋"/>
                <w:szCs w:val="21"/>
              </w:rPr>
              <w:t>3.内存：≥18*32GB（2933），共计576GB；内存插槽≥24个</w:t>
            </w:r>
          </w:p>
          <w:p>
            <w:pPr>
              <w:numPr>
                <w:ilvl w:val="0"/>
                <w:numId w:val="7"/>
              </w:numPr>
              <w:rPr>
                <w:rFonts w:ascii="仿宋" w:hAnsi="仿宋" w:eastAsia="仿宋" w:cs="仿宋"/>
                <w:szCs w:val="21"/>
              </w:rPr>
            </w:pPr>
            <w:r>
              <w:rPr>
                <w:rFonts w:hint="eastAsia" w:ascii="仿宋" w:hAnsi="仿宋" w:eastAsia="仿宋" w:cs="仿宋"/>
                <w:szCs w:val="21"/>
              </w:rPr>
              <w:t>4.硬盘：≥2*480G SSD；1*960G SSD,7*8T机械硬盘，2G缓存阵列卡*1；硬盘位≥16配置；1块显存≥16G DDR5的英伟达专业虚拟化显卡；</w:t>
            </w:r>
          </w:p>
          <w:p>
            <w:pPr>
              <w:rPr>
                <w:rFonts w:hint="eastAsia" w:ascii="仿宋" w:hAnsi="仿宋" w:eastAsia="仿宋" w:cs="仿宋"/>
                <w:szCs w:val="21"/>
                <w:lang w:eastAsia="zh-CN"/>
              </w:rPr>
            </w:pPr>
            <w:r>
              <w:rPr>
                <w:rFonts w:hint="eastAsia" w:ascii="仿宋" w:hAnsi="仿宋" w:eastAsia="仿宋" w:cs="仿宋"/>
                <w:szCs w:val="21"/>
              </w:rPr>
              <w:t xml:space="preserve">5.网络： 2 个千兆以太网口,1个双口万兆网口(配光模块）； </w:t>
            </w:r>
          </w:p>
          <w:p>
            <w:pPr>
              <w:rPr>
                <w:rFonts w:hint="eastAsia" w:ascii="仿宋" w:hAnsi="仿宋" w:eastAsia="仿宋" w:cs="仿宋"/>
                <w:szCs w:val="21"/>
                <w:lang w:eastAsia="zh-CN"/>
              </w:rPr>
            </w:pPr>
            <w:r>
              <w:rPr>
                <w:rFonts w:hint="eastAsia" w:ascii="仿宋" w:hAnsi="仿宋" w:eastAsia="仿宋" w:cs="仿宋"/>
                <w:szCs w:val="21"/>
              </w:rPr>
              <w:t>6.其他：冗余电源（1+1 冗余）及相应电 源线、含机架式导轨等；</w:t>
            </w:r>
          </w:p>
          <w:p>
            <w:pPr>
              <w:rPr>
                <w:rFonts w:ascii="仿宋" w:hAnsi="仿宋" w:eastAsia="仿宋" w:cs="仿宋"/>
                <w:szCs w:val="21"/>
              </w:rPr>
            </w:pPr>
            <w:r>
              <w:rPr>
                <w:rFonts w:hint="eastAsia" w:ascii="仿宋" w:hAnsi="仿宋" w:eastAsia="仿宋" w:cs="仿宋"/>
                <w:szCs w:val="21"/>
              </w:rPr>
              <w:t>7.服务器管理：主板集成系统管理处理器，提供独立的千兆管理端口；</w:t>
            </w:r>
          </w:p>
          <w:p>
            <w:pPr>
              <w:rPr>
                <w:rFonts w:ascii="仿宋" w:hAnsi="仿宋" w:eastAsia="仿宋" w:cs="仿宋"/>
                <w:szCs w:val="21"/>
              </w:rPr>
            </w:pPr>
            <w:r>
              <w:rPr>
                <w:rFonts w:hint="eastAsia" w:ascii="仿宋" w:hAnsi="仿宋" w:eastAsia="仿宋" w:cs="仿宋"/>
                <w:szCs w:val="21"/>
              </w:rPr>
              <w:t>8.★</w:t>
            </w:r>
            <w:r>
              <w:rPr>
                <w:rFonts w:hint="eastAsia" w:ascii="仿宋" w:hAnsi="仿宋" w:eastAsia="仿宋" w:cs="仿宋"/>
                <w:b/>
                <w:bCs/>
                <w:szCs w:val="21"/>
              </w:rPr>
              <w:t>本次建设3D云桌面至少保证配置：台式机I9/16G内存/2G独显相同性能</w:t>
            </w:r>
          </w:p>
          <w:p>
            <w:pPr>
              <w:rPr>
                <w:rFonts w:ascii="仿宋" w:hAnsi="仿宋" w:eastAsia="仿宋" w:cs="仿宋"/>
                <w:szCs w:val="21"/>
              </w:rPr>
            </w:pPr>
            <w:r>
              <w:rPr>
                <w:rFonts w:hint="eastAsia" w:ascii="仿宋" w:hAnsi="仿宋" w:eastAsia="仿宋" w:cs="仿宋"/>
                <w:szCs w:val="21"/>
              </w:rPr>
              <w:t>服务器虚拟化软件：</w:t>
            </w:r>
          </w:p>
          <w:p>
            <w:pPr>
              <w:rPr>
                <w:rFonts w:ascii="仿宋" w:hAnsi="仿宋" w:eastAsia="仿宋" w:cs="仿宋"/>
                <w:szCs w:val="21"/>
              </w:rPr>
            </w:pPr>
            <w:r>
              <w:rPr>
                <w:rFonts w:hint="eastAsia" w:ascii="仿宋" w:hAnsi="仿宋" w:eastAsia="仿宋" w:cs="仿宋"/>
                <w:szCs w:val="21"/>
              </w:rPr>
              <w:t>★采用Web方式管理，支持新建、删除虚拟机，同时可实现对服务器资源的使用情况进行监测，包括CPU、内存、存储、网络等使用情况的图形化监控，并能反映当前物理机、虚拟机的资源瓶颈，提供管理界面截图；</w:t>
            </w:r>
          </w:p>
          <w:p>
            <w:pPr>
              <w:rPr>
                <w:rFonts w:ascii="仿宋" w:hAnsi="仿宋" w:eastAsia="仿宋" w:cs="仿宋"/>
                <w:szCs w:val="21"/>
              </w:rPr>
            </w:pPr>
            <w:r>
              <w:rPr>
                <w:rFonts w:hint="eastAsia" w:ascii="仿宋" w:hAnsi="仿宋" w:eastAsia="仿宋" w:cs="仿宋"/>
                <w:szCs w:val="21"/>
              </w:rPr>
              <w:t>兼容现有市场上X86服务器上能够运行的主流操作系统，包括但不限于以下操作系统： WinXP、windows Vista、Win2003、Windows 2008/R2、Windows Server 2016/R2、Windows Server 2019、Redhat Linux、Suse linux、CentOS、Oracle Enterprise Linux、Debian。</w:t>
            </w:r>
          </w:p>
        </w:tc>
        <w:tc>
          <w:tcPr>
            <w:tcW w:w="566" w:type="dxa"/>
            <w:vAlign w:val="center"/>
          </w:tcPr>
          <w:p>
            <w:pP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647" w:type="dxa"/>
            <w:vAlign w:val="center"/>
          </w:tcPr>
          <w:p>
            <w:pPr>
              <w:pStyle w:val="20"/>
              <w:rPr>
                <w:rFonts w:ascii="仿宋" w:hAnsi="仿宋" w:eastAsia="仿宋" w:cs="仿宋"/>
              </w:rPr>
            </w:pPr>
            <w:r>
              <w:rPr>
                <w:rFonts w:hint="eastAsia" w:ascii="仿宋" w:hAnsi="仿宋" w:eastAsia="仿宋" w:cs="仿宋"/>
              </w:rPr>
              <w:t>2</w:t>
            </w:r>
          </w:p>
        </w:tc>
        <w:tc>
          <w:tcPr>
            <w:tcW w:w="1274" w:type="dxa"/>
            <w:vAlign w:val="center"/>
          </w:tcPr>
          <w:p>
            <w:pPr>
              <w:pStyle w:val="20"/>
              <w:rPr>
                <w:rFonts w:ascii="仿宋" w:hAnsi="仿宋" w:eastAsia="仿宋" w:cs="仿宋"/>
              </w:rPr>
            </w:pPr>
            <w:r>
              <w:rPr>
                <w:rFonts w:hint="eastAsia" w:ascii="仿宋" w:hAnsi="仿宋" w:eastAsia="仿宋" w:cs="仿宋"/>
              </w:rPr>
              <w:t>云渲染中心</w:t>
            </w:r>
          </w:p>
        </w:tc>
        <w:tc>
          <w:tcPr>
            <w:tcW w:w="11454" w:type="dxa"/>
            <w:vAlign w:val="center"/>
          </w:tcPr>
          <w:p>
            <w:pPr>
              <w:rPr>
                <w:rFonts w:ascii="仿宋" w:hAnsi="仿宋" w:eastAsia="仿宋" w:cs="仿宋"/>
                <w:szCs w:val="21"/>
              </w:rPr>
            </w:pPr>
            <w:r>
              <w:rPr>
                <w:rFonts w:hint="eastAsia" w:ascii="仿宋" w:hAnsi="仿宋" w:eastAsia="仿宋" w:cs="仿宋"/>
                <w:szCs w:val="21"/>
              </w:rPr>
              <w:t>虚拟仿真云渲染平台由云渲染调度子系统、云渲染子系统、三维资源存储子系统、云渲染运维子系统、云渲染用户子系统及云渲染接入子系统组成。</w:t>
            </w:r>
          </w:p>
          <w:p>
            <w:pPr>
              <w:rPr>
                <w:rFonts w:ascii="仿宋" w:hAnsi="仿宋" w:eastAsia="仿宋" w:cs="仿宋"/>
                <w:szCs w:val="21"/>
              </w:rPr>
            </w:pPr>
            <w:r>
              <w:rPr>
                <w:rFonts w:hint="eastAsia" w:ascii="仿宋" w:hAnsi="仿宋" w:eastAsia="仿宋" w:cs="仿宋"/>
                <w:szCs w:val="21"/>
              </w:rPr>
              <w:t>调度子系统</w:t>
            </w:r>
          </w:p>
          <w:p>
            <w:pPr>
              <w:rPr>
                <w:rFonts w:ascii="仿宋" w:hAnsi="仿宋" w:eastAsia="仿宋" w:cs="仿宋"/>
                <w:szCs w:val="21"/>
              </w:rPr>
            </w:pPr>
            <w:r>
              <w:rPr>
                <w:rFonts w:hint="eastAsia" w:ascii="仿宋" w:hAnsi="仿宋" w:eastAsia="仿宋" w:cs="仿宋"/>
                <w:szCs w:val="21"/>
              </w:rPr>
              <w:t>为用户实验云渲染请求分配可用的渲染服务。</w:t>
            </w:r>
          </w:p>
          <w:p>
            <w:pPr>
              <w:rPr>
                <w:rFonts w:ascii="仿宋" w:hAnsi="仿宋" w:eastAsia="仿宋" w:cs="仿宋"/>
                <w:szCs w:val="21"/>
              </w:rPr>
            </w:pPr>
            <w:r>
              <w:rPr>
                <w:rFonts w:hint="eastAsia" w:ascii="仿宋" w:hAnsi="仿宋" w:eastAsia="仿宋" w:cs="仿宋"/>
                <w:szCs w:val="21"/>
              </w:rPr>
              <w:t>分布式高可用部署，提升集群高可靠稳定性，支持大规模高并发；</w:t>
            </w:r>
          </w:p>
          <w:p>
            <w:pPr>
              <w:rPr>
                <w:rFonts w:ascii="仿宋" w:hAnsi="仿宋" w:eastAsia="仿宋" w:cs="仿宋"/>
                <w:szCs w:val="21"/>
              </w:rPr>
            </w:pPr>
            <w:r>
              <w:rPr>
                <w:rFonts w:hint="eastAsia" w:ascii="仿宋" w:hAnsi="仿宋" w:eastAsia="仿宋" w:cs="仿宋"/>
                <w:szCs w:val="21"/>
              </w:rPr>
              <w:t>支持中心+MEC 部署，实时侦测网络状态，自动选择连接节点；</w:t>
            </w:r>
          </w:p>
          <w:p>
            <w:pPr>
              <w:rPr>
                <w:rFonts w:ascii="仿宋" w:hAnsi="仿宋" w:eastAsia="仿宋" w:cs="仿宋"/>
                <w:szCs w:val="21"/>
              </w:rPr>
            </w:pPr>
            <w:r>
              <w:rPr>
                <w:rFonts w:hint="eastAsia" w:ascii="仿宋" w:hAnsi="仿宋" w:eastAsia="仿宋" w:cs="仿宋"/>
                <w:szCs w:val="21"/>
              </w:rPr>
              <w:t>支持动态添加/删除节点、故障节点自动下线及报警；（该功能需提供截图证明）</w:t>
            </w:r>
          </w:p>
          <w:p>
            <w:pPr>
              <w:rPr>
                <w:rFonts w:ascii="仿宋" w:hAnsi="仿宋" w:eastAsia="仿宋" w:cs="仿宋"/>
                <w:szCs w:val="21"/>
              </w:rPr>
            </w:pPr>
            <w:r>
              <w:rPr>
                <w:rFonts w:hint="eastAsia" w:ascii="仿宋" w:hAnsi="仿宋" w:eastAsia="仿宋" w:cs="仿宋"/>
                <w:szCs w:val="21"/>
              </w:rPr>
              <w:t>渲染子系统</w:t>
            </w:r>
          </w:p>
          <w:p>
            <w:pPr>
              <w:rPr>
                <w:rFonts w:ascii="仿宋" w:hAnsi="仿宋" w:eastAsia="仿宋" w:cs="仿宋"/>
                <w:szCs w:val="21"/>
              </w:rPr>
            </w:pPr>
            <w:r>
              <w:rPr>
                <w:rFonts w:hint="eastAsia" w:ascii="仿宋" w:hAnsi="仿宋" w:eastAsia="仿宋" w:cs="仿宋"/>
                <w:szCs w:val="21"/>
              </w:rPr>
              <w:t>为用户提供实验渲染请求服务。包括实验画面、音频获取及编码为音视频流，音视频流的推送，WebRTC服务，IO服务等功能</w:t>
            </w:r>
          </w:p>
          <w:p>
            <w:pPr>
              <w:rPr>
                <w:rFonts w:ascii="仿宋" w:hAnsi="仿宋" w:eastAsia="仿宋" w:cs="仿宋"/>
                <w:szCs w:val="21"/>
              </w:rPr>
            </w:pPr>
            <w:r>
              <w:rPr>
                <w:rFonts w:hint="eastAsia" w:ascii="仿宋" w:hAnsi="仿宋" w:eastAsia="仿宋" w:cs="仿宋"/>
                <w:szCs w:val="21"/>
              </w:rPr>
              <w:t>超细粒度动态GPU资源调度分配，单张 Geforce 显卡可以支持多达 10 路用户并发访问；</w:t>
            </w:r>
          </w:p>
          <w:p>
            <w:pPr>
              <w:rPr>
                <w:rFonts w:ascii="仿宋" w:hAnsi="仿宋" w:eastAsia="仿宋" w:cs="仿宋"/>
                <w:szCs w:val="21"/>
              </w:rPr>
            </w:pPr>
            <w:r>
              <w:rPr>
                <w:rFonts w:hint="eastAsia" w:ascii="仿宋" w:hAnsi="仿宋" w:eastAsia="仿宋" w:cs="仿宋"/>
                <w:szCs w:val="21"/>
              </w:rPr>
              <w:t>单服务器支持&gt;3 路 VR 眼镜并发流畅使用 VR 课程，或者支持&gt;=10路虚拟仿真课程并发用户流畅使用；</w:t>
            </w:r>
          </w:p>
          <w:p>
            <w:pPr>
              <w:rPr>
                <w:rFonts w:ascii="仿宋" w:hAnsi="仿宋" w:eastAsia="仿宋" w:cs="仿宋"/>
                <w:szCs w:val="21"/>
              </w:rPr>
            </w:pPr>
            <w:r>
              <w:rPr>
                <w:rFonts w:hint="eastAsia" w:ascii="仿宋" w:hAnsi="仿宋" w:eastAsia="仿宋" w:cs="仿宋"/>
                <w:szCs w:val="21"/>
              </w:rPr>
              <w:t>智能公平调度算法，支持计算资源动态调度；</w:t>
            </w:r>
          </w:p>
          <w:p>
            <w:pPr>
              <w:rPr>
                <w:rFonts w:ascii="仿宋" w:hAnsi="仿宋" w:eastAsia="仿宋" w:cs="仿宋"/>
                <w:szCs w:val="21"/>
              </w:rPr>
            </w:pPr>
            <w:r>
              <w:rPr>
                <w:rFonts w:hint="eastAsia" w:ascii="仿宋" w:hAnsi="仿宋" w:eastAsia="仿宋" w:cs="仿宋"/>
                <w:szCs w:val="21"/>
              </w:rPr>
              <w:t>▲支持各类三维引擎开发的课程，支持Unity3D、Unreal、CryEngine、Unigine、OSG 等主流引擎开发的课程；（该功能需提供截图证明）</w:t>
            </w:r>
          </w:p>
          <w:p>
            <w:pPr>
              <w:rPr>
                <w:rFonts w:ascii="仿宋" w:hAnsi="仿宋" w:eastAsia="仿宋" w:cs="仿宋"/>
                <w:szCs w:val="21"/>
              </w:rPr>
            </w:pPr>
            <w:r>
              <w:rPr>
                <w:rFonts w:hint="eastAsia" w:ascii="仿宋" w:hAnsi="仿宋" w:eastAsia="仿宋" w:cs="仿宋"/>
                <w:szCs w:val="21"/>
              </w:rPr>
              <w:t>优化渲染编解码流程，大幅提升性能，有效降低延时。不考虑网络时延的端到端时延&lt;40ms；VR 课程在 ATW 插值计算条件下，MTP 时延&lt;20ms；</w:t>
            </w:r>
          </w:p>
          <w:p>
            <w:pPr>
              <w:rPr>
                <w:rFonts w:ascii="仿宋" w:hAnsi="仿宋" w:eastAsia="仿宋" w:cs="仿宋"/>
                <w:szCs w:val="21"/>
              </w:rPr>
            </w:pPr>
            <w:r>
              <w:rPr>
                <w:rFonts w:hint="eastAsia" w:ascii="仿宋" w:hAnsi="仿宋" w:eastAsia="仿宋" w:cs="仿宋"/>
                <w:szCs w:val="21"/>
              </w:rPr>
              <w:t>▲支持多分辨率，普通课程支持最高 8K含1280*720,1920*1080 等；VR 课程支持 2432×1344、2880×1440、2880×1600 等；（该功能需提供截图证明）</w:t>
            </w:r>
          </w:p>
          <w:p>
            <w:pPr>
              <w:rPr>
                <w:rFonts w:ascii="仿宋" w:hAnsi="仿宋" w:eastAsia="仿宋" w:cs="仿宋"/>
                <w:szCs w:val="21"/>
              </w:rPr>
            </w:pPr>
            <w:r>
              <w:rPr>
                <w:rFonts w:hint="eastAsia" w:ascii="仿宋" w:hAnsi="仿宋" w:eastAsia="仿宋" w:cs="仿宋"/>
                <w:szCs w:val="21"/>
              </w:rPr>
              <w:t>支持内网穿透及公网转发，覆盖全网络状况使用场景；</w:t>
            </w:r>
          </w:p>
          <w:p>
            <w:pPr>
              <w:rPr>
                <w:rFonts w:ascii="仿宋" w:hAnsi="仿宋" w:eastAsia="仿宋" w:cs="仿宋"/>
                <w:szCs w:val="21"/>
              </w:rPr>
            </w:pPr>
            <w:r>
              <w:rPr>
                <w:rFonts w:hint="eastAsia" w:ascii="仿宋" w:hAnsi="仿宋" w:eastAsia="仿宋" w:cs="仿宋"/>
                <w:szCs w:val="21"/>
              </w:rPr>
              <w:t>支持多编码类型：H.264/H.265；</w:t>
            </w:r>
          </w:p>
          <w:p>
            <w:pPr>
              <w:rPr>
                <w:rFonts w:ascii="仿宋" w:hAnsi="仿宋" w:eastAsia="仿宋" w:cs="仿宋"/>
                <w:szCs w:val="21"/>
              </w:rPr>
            </w:pPr>
            <w:r>
              <w:rPr>
                <w:rFonts w:hint="eastAsia" w:ascii="仿宋" w:hAnsi="仿宋" w:eastAsia="仿宋" w:cs="仿宋"/>
                <w:szCs w:val="21"/>
              </w:rPr>
              <w:t>支持多码率调节：2M～8Mbps（普通课程）；20M～100Mbps（VR 课程）</w:t>
            </w:r>
          </w:p>
          <w:p>
            <w:pPr>
              <w:rPr>
                <w:rFonts w:ascii="仿宋" w:hAnsi="仿宋" w:eastAsia="仿宋" w:cs="仿宋"/>
                <w:szCs w:val="21"/>
              </w:rPr>
            </w:pPr>
            <w:r>
              <w:rPr>
                <w:rFonts w:hint="eastAsia" w:ascii="仿宋" w:hAnsi="仿宋" w:eastAsia="仿宋" w:cs="仿宋"/>
                <w:szCs w:val="21"/>
              </w:rPr>
              <w:t>接入子系统</w:t>
            </w:r>
          </w:p>
          <w:p>
            <w:pPr>
              <w:rPr>
                <w:rFonts w:ascii="仿宋" w:hAnsi="仿宋" w:eastAsia="仿宋" w:cs="仿宋"/>
                <w:szCs w:val="21"/>
              </w:rPr>
            </w:pPr>
            <w:r>
              <w:rPr>
                <w:rFonts w:hint="eastAsia" w:ascii="仿宋" w:hAnsi="仿宋" w:eastAsia="仿宋" w:cs="仿宋"/>
                <w:szCs w:val="21"/>
              </w:rPr>
              <w:t>接入为其用户子系统、运维子系统提供web服务功能，为用户子系统和渲染子系统提供信令服务、stun和turn服务</w:t>
            </w:r>
          </w:p>
          <w:p>
            <w:pPr>
              <w:rPr>
                <w:rFonts w:ascii="仿宋" w:hAnsi="仿宋" w:eastAsia="仿宋" w:cs="仿宋"/>
                <w:szCs w:val="21"/>
              </w:rPr>
            </w:pPr>
            <w:r>
              <w:rPr>
                <w:rFonts w:hint="eastAsia" w:ascii="仿宋" w:hAnsi="仿宋" w:eastAsia="仿宋" w:cs="仿宋"/>
                <w:szCs w:val="21"/>
              </w:rPr>
              <w:t>丰富的开发接口及SDK，供二次开发；</w:t>
            </w:r>
          </w:p>
          <w:p>
            <w:pPr>
              <w:rPr>
                <w:rFonts w:ascii="仿宋" w:hAnsi="仿宋" w:eastAsia="仿宋" w:cs="仿宋"/>
                <w:szCs w:val="21"/>
              </w:rPr>
            </w:pPr>
            <w:r>
              <w:rPr>
                <w:rFonts w:hint="eastAsia" w:ascii="仿宋" w:hAnsi="仿宋" w:eastAsia="仿宋" w:cs="仿宋"/>
                <w:szCs w:val="21"/>
              </w:rPr>
              <w:t>▲灵活的授权接入方式，方便与业务系统整合；（该功能需提供截图证明）</w:t>
            </w:r>
          </w:p>
          <w:p>
            <w:pPr>
              <w:rPr>
                <w:rFonts w:ascii="仿宋" w:hAnsi="仿宋" w:eastAsia="仿宋" w:cs="仿宋"/>
                <w:szCs w:val="21"/>
              </w:rPr>
            </w:pPr>
            <w:r>
              <w:rPr>
                <w:rFonts w:hint="eastAsia" w:ascii="仿宋" w:hAnsi="仿宋" w:eastAsia="仿宋" w:cs="仿宋"/>
                <w:szCs w:val="21"/>
              </w:rPr>
              <w:t>存储子系统</w:t>
            </w:r>
          </w:p>
          <w:p>
            <w:pPr>
              <w:rPr>
                <w:rFonts w:ascii="仿宋" w:hAnsi="仿宋" w:eastAsia="仿宋" w:cs="仿宋"/>
                <w:szCs w:val="21"/>
              </w:rPr>
            </w:pPr>
            <w:r>
              <w:rPr>
                <w:rFonts w:hint="eastAsia" w:ascii="仿宋" w:hAnsi="仿宋" w:eastAsia="仿宋" w:cs="仿宋"/>
                <w:szCs w:val="21"/>
              </w:rPr>
              <w:t>存储系统用于统一保存和管理三维虚拟仿真实验资源，包括三维实验资源的上传和一键分发到各存储节点，三维实验资源的更新、查询</w:t>
            </w:r>
          </w:p>
          <w:p>
            <w:pPr>
              <w:rPr>
                <w:rFonts w:ascii="仿宋" w:hAnsi="仿宋" w:eastAsia="仿宋" w:cs="仿宋"/>
                <w:szCs w:val="21"/>
              </w:rPr>
            </w:pPr>
            <w:r>
              <w:rPr>
                <w:rFonts w:hint="eastAsia" w:ascii="仿宋" w:hAnsi="仿宋" w:eastAsia="仿宋" w:cs="仿宋"/>
                <w:szCs w:val="21"/>
              </w:rPr>
              <w:t>集中管理、自动分发，支持大文件高速可靠传输；</w:t>
            </w:r>
          </w:p>
          <w:p>
            <w:pPr>
              <w:rPr>
                <w:rFonts w:ascii="仿宋" w:hAnsi="仿宋" w:eastAsia="仿宋" w:cs="仿宋"/>
                <w:szCs w:val="21"/>
              </w:rPr>
            </w:pPr>
            <w:r>
              <w:rPr>
                <w:rFonts w:hint="eastAsia" w:ascii="仿宋" w:hAnsi="仿宋" w:eastAsia="仿宋" w:cs="仿宋"/>
                <w:szCs w:val="21"/>
              </w:rPr>
              <w:t>▲支持冷热数据分类管理，兼顾用户体验与存储成本；（该功能需提供截图证明）</w:t>
            </w:r>
          </w:p>
          <w:p>
            <w:pPr>
              <w:rPr>
                <w:rFonts w:ascii="仿宋" w:hAnsi="仿宋" w:eastAsia="仿宋" w:cs="仿宋"/>
                <w:szCs w:val="21"/>
              </w:rPr>
            </w:pPr>
            <w:r>
              <w:rPr>
                <w:rFonts w:hint="eastAsia" w:ascii="仿宋" w:hAnsi="仿宋" w:eastAsia="仿宋" w:cs="仿宋"/>
                <w:szCs w:val="21"/>
              </w:rPr>
              <w:t>运维子系统</w:t>
            </w:r>
          </w:p>
          <w:p>
            <w:pPr>
              <w:rPr>
                <w:rFonts w:ascii="仿宋" w:hAnsi="仿宋" w:eastAsia="仿宋" w:cs="仿宋"/>
                <w:szCs w:val="21"/>
              </w:rPr>
            </w:pPr>
            <w:r>
              <w:rPr>
                <w:rFonts w:hint="eastAsia" w:ascii="仿宋" w:hAnsi="仿宋" w:eastAsia="仿宋" w:cs="仿宋"/>
                <w:szCs w:val="21"/>
              </w:rPr>
              <w:t>运维子系统用于三维实验资源的维护和管理，系统使用情况统计分析，调度集群和渲染集群的监控及维护</w:t>
            </w:r>
          </w:p>
          <w:p>
            <w:pPr>
              <w:rPr>
                <w:rFonts w:ascii="仿宋" w:hAnsi="仿宋" w:eastAsia="仿宋" w:cs="仿宋"/>
                <w:szCs w:val="21"/>
              </w:rPr>
            </w:pPr>
            <w:r>
              <w:rPr>
                <w:rFonts w:hint="eastAsia" w:ascii="仿宋" w:hAnsi="仿宋" w:eastAsia="仿宋" w:cs="仿宋"/>
                <w:szCs w:val="21"/>
              </w:rPr>
              <w:t>服务器资源使用率监控功能；</w:t>
            </w:r>
          </w:p>
          <w:p>
            <w:pPr>
              <w:rPr>
                <w:rFonts w:ascii="仿宋" w:hAnsi="仿宋" w:eastAsia="仿宋" w:cs="仿宋"/>
                <w:szCs w:val="21"/>
              </w:rPr>
            </w:pPr>
            <w:r>
              <w:rPr>
                <w:rFonts w:hint="eastAsia" w:ascii="仿宋" w:hAnsi="仿宋" w:eastAsia="仿宋" w:cs="仿宋"/>
                <w:szCs w:val="21"/>
              </w:rPr>
              <w:t>客户端及应用运行画面监控功能；</w:t>
            </w:r>
          </w:p>
          <w:p>
            <w:pPr>
              <w:rPr>
                <w:rFonts w:ascii="仿宋" w:hAnsi="仿宋" w:eastAsia="仿宋" w:cs="仿宋"/>
                <w:szCs w:val="21"/>
              </w:rPr>
            </w:pPr>
            <w:r>
              <w:rPr>
                <w:rFonts w:hint="eastAsia" w:ascii="仿宋" w:hAnsi="仿宋" w:eastAsia="仿宋" w:cs="仿宋"/>
                <w:szCs w:val="21"/>
              </w:rPr>
              <w:t>C/S 架构的 3D 课程一键部署成 B/S 架构；PC VR 的课程一键部署支持 VR 一体机；</w:t>
            </w:r>
          </w:p>
          <w:p>
            <w:pPr>
              <w:rPr>
                <w:rFonts w:ascii="仿宋" w:hAnsi="仿宋" w:eastAsia="仿宋" w:cs="仿宋"/>
                <w:szCs w:val="21"/>
              </w:rPr>
            </w:pPr>
            <w:r>
              <w:rPr>
                <w:rFonts w:hint="eastAsia" w:ascii="仿宋" w:hAnsi="仿宋" w:eastAsia="仿宋" w:cs="仿宋"/>
                <w:szCs w:val="21"/>
              </w:rPr>
              <w:t>▲对不同课程不同终端进行分组管理，使得不同课程/不同终端使用不同的服务器/不同显卡资源，并且具备不同组别设置超时时长，在用户无操作情况下及时释放渲染资源。（该功能需提供截图证明）</w:t>
            </w:r>
          </w:p>
          <w:p>
            <w:pPr>
              <w:rPr>
                <w:rFonts w:ascii="仿宋" w:hAnsi="仿宋" w:eastAsia="仿宋" w:cs="仿宋"/>
                <w:szCs w:val="21"/>
              </w:rPr>
            </w:pPr>
            <w:r>
              <w:rPr>
                <w:rFonts w:hint="eastAsia" w:ascii="仿宋" w:hAnsi="仿宋" w:eastAsia="仿宋" w:cs="仿宋"/>
                <w:szCs w:val="21"/>
              </w:rPr>
              <w:t>用户子系统</w:t>
            </w:r>
          </w:p>
          <w:p>
            <w:pPr>
              <w:rPr>
                <w:rFonts w:ascii="仿宋" w:hAnsi="仿宋" w:eastAsia="仿宋" w:cs="仿宋"/>
                <w:szCs w:val="21"/>
              </w:rPr>
            </w:pPr>
            <w:r>
              <w:rPr>
                <w:rFonts w:hint="eastAsia" w:ascii="仿宋" w:hAnsi="仿宋" w:eastAsia="仿宋" w:cs="仿宋"/>
                <w:szCs w:val="21"/>
              </w:rPr>
              <w:t>用户子系统是用户进行虚拟仿真实验的入口，该子系统可以运行在PC、手机及平板的浏览器上，用户通过该子系统启动实验，并进行相应的实验操作，支持常规的鼠标键盘操作及语音输入。</w:t>
            </w:r>
          </w:p>
          <w:p>
            <w:pPr>
              <w:rPr>
                <w:rFonts w:ascii="仿宋" w:hAnsi="仿宋" w:eastAsia="仿宋" w:cs="仿宋"/>
                <w:szCs w:val="21"/>
              </w:rPr>
            </w:pPr>
            <w:r>
              <w:rPr>
                <w:rFonts w:hint="eastAsia" w:ascii="仿宋" w:hAnsi="仿宋" w:eastAsia="仿宋" w:cs="仿宋"/>
                <w:szCs w:val="21"/>
              </w:rPr>
              <w:t>▲终端种类：支持 PC、手机、Pad、8k大屏，机顶盒，zSpace工作站以及绝大多数 VR/AR 眼镜等终端硬件终端；（该功能需提供截图证明）</w:t>
            </w:r>
          </w:p>
          <w:p>
            <w:pPr>
              <w:rPr>
                <w:rFonts w:ascii="仿宋" w:hAnsi="仿宋" w:eastAsia="仿宋" w:cs="仿宋"/>
                <w:szCs w:val="21"/>
              </w:rPr>
            </w:pPr>
            <w:r>
              <w:rPr>
                <w:rFonts w:hint="eastAsia" w:ascii="仿宋" w:hAnsi="仿宋" w:eastAsia="仿宋" w:cs="仿宋"/>
                <w:szCs w:val="21"/>
              </w:rPr>
              <w:t>操作系统：兼容Windows、Linux、MacOS、Android、iOS等主流操作系统；</w:t>
            </w:r>
          </w:p>
          <w:p>
            <w:pPr>
              <w:rPr>
                <w:rFonts w:ascii="仿宋" w:hAnsi="仿宋" w:eastAsia="仿宋" w:cs="仿宋"/>
                <w:szCs w:val="21"/>
              </w:rPr>
            </w:pPr>
            <w:r>
              <w:rPr>
                <w:rFonts w:hint="eastAsia" w:ascii="仿宋" w:hAnsi="仿宋" w:eastAsia="仿宋" w:cs="仿宋"/>
                <w:szCs w:val="21"/>
              </w:rPr>
              <w:t>浏览器：支持 Chrome、360、FireFox、搜狗等主流浏览器，且支持在微信内直接使用；</w:t>
            </w:r>
          </w:p>
          <w:p>
            <w:pPr>
              <w:rPr>
                <w:rFonts w:ascii="仿宋" w:hAnsi="仿宋" w:eastAsia="仿宋" w:cs="仿宋"/>
                <w:szCs w:val="21"/>
              </w:rPr>
            </w:pPr>
            <w:r>
              <w:rPr>
                <w:rFonts w:hint="eastAsia" w:ascii="仿宋" w:hAnsi="仿宋" w:eastAsia="仿宋" w:cs="仿宋"/>
                <w:szCs w:val="21"/>
              </w:rPr>
              <w:t>App：提供 Android、iOS 客户端，提供 SDK 支持二次开发；</w:t>
            </w:r>
          </w:p>
          <w:p>
            <w:pPr>
              <w:rPr>
                <w:rFonts w:ascii="仿宋" w:hAnsi="仿宋" w:eastAsia="仿宋" w:cs="仿宋"/>
                <w:szCs w:val="21"/>
              </w:rPr>
            </w:pPr>
            <w:r>
              <w:rPr>
                <w:rFonts w:hint="eastAsia" w:ascii="仿宋" w:hAnsi="仿宋" w:eastAsia="仿宋" w:cs="仿宋"/>
                <w:szCs w:val="21"/>
              </w:rPr>
              <w:t>▲支持虚仿互动课堂功能：在占用一路并发的渲染资源情况下，老师操作虚仿课程，多名学生自己使用不同终端观看老师的操作。老师可以将操控权交给指定学生，学生自己操作，老师和其他学生在自己终端上观看。</w:t>
            </w:r>
          </w:p>
          <w:p>
            <w:pPr>
              <w:rPr>
                <w:rFonts w:ascii="仿宋" w:hAnsi="仿宋" w:eastAsia="仿宋" w:cs="仿宋"/>
                <w:szCs w:val="21"/>
              </w:rPr>
            </w:pPr>
            <w:r>
              <w:rPr>
                <w:rFonts w:hint="eastAsia" w:ascii="仿宋" w:hAnsi="仿宋" w:eastAsia="仿宋" w:cs="仿宋"/>
                <w:szCs w:val="21"/>
              </w:rPr>
              <w:t>▲支持VR互动课堂功能：老师操控学生VR眼镜启动和关闭不同的眼镜上的VR应用，具备监控功能，使用机顶盒/手机平板电脑可以监控。（该功能需提供截图证明）</w:t>
            </w:r>
          </w:p>
          <w:p>
            <w:pPr>
              <w:rPr>
                <w:rFonts w:ascii="仿宋" w:hAnsi="仿宋" w:eastAsia="仿宋" w:cs="仿宋"/>
                <w:szCs w:val="21"/>
              </w:rPr>
            </w:pPr>
            <w:r>
              <w:rPr>
                <w:rFonts w:hint="eastAsia" w:ascii="仿宋" w:hAnsi="仿宋" w:eastAsia="仿宋" w:cs="仿宋"/>
                <w:szCs w:val="21"/>
              </w:rPr>
              <w:t>含1台实时云渲染服务器：</w:t>
            </w:r>
          </w:p>
          <w:p>
            <w:pPr>
              <w:rPr>
                <w:rFonts w:ascii="仿宋" w:hAnsi="仿宋" w:eastAsia="仿宋" w:cs="仿宋"/>
                <w:szCs w:val="21"/>
              </w:rPr>
            </w:pPr>
            <w:r>
              <w:rPr>
                <w:rFonts w:hint="eastAsia" w:ascii="仿宋" w:hAnsi="仿宋" w:eastAsia="仿宋" w:cs="仿宋"/>
                <w:szCs w:val="21"/>
              </w:rPr>
              <w:t>用于安装部署云渲染调度子系统，接入子系统，运维子系统云渲染子系统，三维资源存储子系统和用户子系统，预计支撑50个虚仿实验并发用户：机架：4U；CPU:不低于8*英特尔I7,8C；内存：不低于8*16GB；硬盘：不低于8*512G SSD；GPU：不低于8*NVIDIA RTX 3060 12G；</w:t>
            </w:r>
          </w:p>
          <w:p>
            <w:pPr>
              <w:rPr>
                <w:rFonts w:ascii="仿宋" w:hAnsi="仿宋" w:eastAsia="仿宋" w:cs="仿宋"/>
                <w:szCs w:val="21"/>
              </w:rPr>
            </w:pPr>
            <w:r>
              <w:rPr>
                <w:rFonts w:hint="eastAsia" w:ascii="仿宋" w:hAnsi="仿宋" w:eastAsia="仿宋" w:cs="仿宋"/>
                <w:szCs w:val="21"/>
              </w:rPr>
              <w:t>▲云渲染中心技术指标：云渲染中心与云桌面在一个平台中进行管理</w:t>
            </w:r>
          </w:p>
        </w:tc>
        <w:tc>
          <w:tcPr>
            <w:tcW w:w="566" w:type="dxa"/>
            <w:vAlign w:val="center"/>
          </w:tcPr>
          <w:p>
            <w:pP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647" w:type="dxa"/>
            <w:vAlign w:val="center"/>
          </w:tcPr>
          <w:p>
            <w:pPr>
              <w:pStyle w:val="20"/>
              <w:rPr>
                <w:rFonts w:ascii="仿宋" w:hAnsi="仿宋" w:eastAsia="仿宋" w:cs="仿宋"/>
              </w:rPr>
            </w:pPr>
            <w:r>
              <w:rPr>
                <w:rFonts w:hint="eastAsia" w:ascii="仿宋" w:hAnsi="仿宋" w:eastAsia="仿宋" w:cs="仿宋"/>
              </w:rPr>
              <w:t>3</w:t>
            </w:r>
          </w:p>
        </w:tc>
        <w:tc>
          <w:tcPr>
            <w:tcW w:w="1274" w:type="dxa"/>
            <w:vAlign w:val="center"/>
          </w:tcPr>
          <w:p>
            <w:pPr>
              <w:pStyle w:val="20"/>
              <w:rPr>
                <w:rFonts w:ascii="仿宋" w:hAnsi="仿宋" w:eastAsia="仿宋" w:cs="仿宋"/>
              </w:rPr>
            </w:pPr>
            <w:r>
              <w:rPr>
                <w:rFonts w:hint="eastAsia" w:ascii="仿宋" w:hAnsi="仿宋" w:eastAsia="仿宋" w:cs="仿宋"/>
              </w:rPr>
              <w:t>超融合软件</w:t>
            </w:r>
          </w:p>
        </w:tc>
        <w:tc>
          <w:tcPr>
            <w:tcW w:w="11454" w:type="dxa"/>
            <w:vAlign w:val="center"/>
          </w:tcPr>
          <w:p>
            <w:pPr>
              <w:widowControl/>
              <w:jc w:val="left"/>
              <w:rPr>
                <w:rFonts w:ascii="仿宋" w:hAnsi="仿宋" w:eastAsia="仿宋" w:cs="仿宋"/>
                <w:color w:val="000000"/>
                <w:kern w:val="0"/>
                <w:szCs w:val="21"/>
              </w:rPr>
            </w:pPr>
            <w:r>
              <w:rPr>
                <w:rFonts w:hint="eastAsia" w:ascii="仿宋" w:hAnsi="仿宋" w:eastAsia="仿宋" w:cs="仿宋"/>
                <w:color w:val="000000"/>
                <w:kern w:val="0"/>
                <w:szCs w:val="21"/>
              </w:rPr>
              <w:t>单个资源池最大支持升级至16台服务器，最大容量2PB</w:t>
            </w:r>
          </w:p>
          <w:p>
            <w:pPr>
              <w:widowControl/>
              <w:jc w:val="left"/>
              <w:rPr>
                <w:rFonts w:ascii="仿宋" w:hAnsi="仿宋" w:eastAsia="仿宋" w:cs="仿宋"/>
                <w:color w:val="000000"/>
                <w:kern w:val="0"/>
                <w:szCs w:val="21"/>
              </w:rPr>
            </w:pPr>
            <w:r>
              <w:rPr>
                <w:rFonts w:hint="eastAsia" w:ascii="仿宋" w:hAnsi="仿宋" w:eastAsia="仿宋" w:cs="仿宋"/>
                <w:color w:val="000000"/>
                <w:kern w:val="0"/>
                <w:szCs w:val="21"/>
              </w:rPr>
              <w:t>1、</w:t>
            </w:r>
            <w:r>
              <w:rPr>
                <w:rFonts w:hint="eastAsia" w:ascii="宋体" w:hAnsi="宋体" w:cs="宋体"/>
                <w:color w:val="000000"/>
                <w:kern w:val="0"/>
                <w:sz w:val="18"/>
                <w:szCs w:val="18"/>
              </w:rPr>
              <w:t>★</w:t>
            </w:r>
            <w:r>
              <w:rPr>
                <w:rFonts w:hint="eastAsia" w:ascii="仿宋" w:hAnsi="仿宋" w:eastAsia="仿宋" w:cs="仿宋"/>
                <w:color w:val="000000"/>
                <w:kern w:val="0"/>
                <w:szCs w:val="21"/>
              </w:rPr>
              <w:t xml:space="preserve">开放性要求：本次所提供分布式存储软件需支持包括 </w:t>
            </w:r>
            <w:r>
              <w:rPr>
                <w:rFonts w:hint="eastAsia" w:ascii="仿宋" w:hAnsi="仿宋" w:eastAsia="仿宋" w:cs="仿宋"/>
                <w:color w:val="000000" w:themeColor="text1"/>
                <w:kern w:val="0"/>
                <w:szCs w:val="21"/>
                <w14:textFill>
                  <w14:solidFill>
                    <w14:schemeClr w14:val="tx1"/>
                  </w14:solidFill>
                </w14:textFill>
              </w:rPr>
              <w:t>VMware</w:t>
            </w:r>
            <w:r>
              <w:rPr>
                <w:rFonts w:hint="eastAsia" w:ascii="仿宋" w:hAnsi="仿宋" w:eastAsia="仿宋" w:cs="仿宋"/>
                <w:color w:val="000000"/>
                <w:kern w:val="0"/>
                <w:szCs w:val="21"/>
              </w:rPr>
              <w:t>、K8S、Openstack在内的至少三种计算平台的分布式存储插件。</w:t>
            </w:r>
          </w:p>
          <w:p>
            <w:pPr>
              <w:widowControl/>
              <w:jc w:val="left"/>
              <w:rPr>
                <w:rFonts w:ascii="仿宋" w:hAnsi="仿宋" w:eastAsia="仿宋" w:cs="仿宋"/>
                <w:color w:val="000000"/>
                <w:kern w:val="0"/>
                <w:szCs w:val="21"/>
              </w:rPr>
            </w:pPr>
            <w:r>
              <w:rPr>
                <w:rFonts w:hint="eastAsia" w:ascii="仿宋" w:hAnsi="仿宋" w:eastAsia="仿宋" w:cs="仿宋"/>
                <w:color w:val="000000"/>
                <w:kern w:val="0"/>
                <w:szCs w:val="21"/>
              </w:rPr>
              <w:t>2、架构要求：采用符合分布式存储特性将所有节点的存储空间无缝融合为单一的存储池并支持存储池内横向扩展,分布式存储方式每个节点同时提供存储和管理服务，不区分管理和存储节点，无专用SAN存储 。</w:t>
            </w:r>
          </w:p>
          <w:p>
            <w:pPr>
              <w:widowControl/>
              <w:jc w:val="left"/>
              <w:rPr>
                <w:rFonts w:ascii="仿宋" w:hAnsi="仿宋" w:eastAsia="仿宋" w:cs="仿宋"/>
                <w:color w:val="000000"/>
                <w:kern w:val="0"/>
                <w:szCs w:val="21"/>
              </w:rPr>
            </w:pPr>
            <w:r>
              <w:rPr>
                <w:rFonts w:hint="eastAsia" w:ascii="仿宋" w:hAnsi="仿宋" w:eastAsia="仿宋" w:cs="仿宋"/>
                <w:color w:val="000000"/>
                <w:kern w:val="0"/>
                <w:szCs w:val="21"/>
              </w:rPr>
              <w:t>3、分布式存储系统软件：分布式存储软件支持对存储的数据进行2副本（所有数据写2份）和3副本的数据冗余配置，配置以LUN和Namespace为单位，方便选择，软件许可容量不低于实际配置的物理容量；</w:t>
            </w:r>
          </w:p>
          <w:p>
            <w:pPr>
              <w:widowControl/>
              <w:jc w:val="left"/>
              <w:rPr>
                <w:rFonts w:ascii="仿宋" w:hAnsi="仿宋" w:eastAsia="仿宋" w:cs="仿宋"/>
                <w:color w:val="000000"/>
                <w:kern w:val="0"/>
                <w:szCs w:val="21"/>
              </w:rPr>
            </w:pPr>
            <w:r>
              <w:rPr>
                <w:rFonts w:hint="eastAsia" w:ascii="仿宋" w:hAnsi="仿宋" w:eastAsia="仿宋" w:cs="仿宋"/>
                <w:color w:val="000000"/>
                <w:kern w:val="0"/>
                <w:szCs w:val="21"/>
              </w:rPr>
              <w:t>4、计算平台无需安装多路径软件，分布式存储软件可通过接入地址自动进行负载均衡和故障切换。</w:t>
            </w:r>
          </w:p>
          <w:p>
            <w:pPr>
              <w:widowControl/>
              <w:jc w:val="left"/>
              <w:rPr>
                <w:rFonts w:ascii="仿宋" w:hAnsi="仿宋" w:eastAsia="仿宋" w:cs="仿宋"/>
                <w:color w:val="000000"/>
                <w:kern w:val="0"/>
                <w:szCs w:val="21"/>
              </w:rPr>
            </w:pPr>
            <w:r>
              <w:rPr>
                <w:rFonts w:hint="eastAsia" w:ascii="宋体" w:hAnsi="宋体" w:cs="宋体"/>
                <w:color w:val="000000"/>
                <w:kern w:val="0"/>
                <w:sz w:val="18"/>
                <w:szCs w:val="18"/>
              </w:rPr>
              <w:t>★</w:t>
            </w:r>
            <w:r>
              <w:rPr>
                <w:rFonts w:hint="eastAsia" w:ascii="仿宋" w:hAnsi="仿宋" w:eastAsia="仿宋" w:cs="仿宋"/>
                <w:color w:val="000000"/>
                <w:kern w:val="0"/>
                <w:szCs w:val="21"/>
              </w:rPr>
              <w:t>支持的硬件兼容性列表包含：戴尔、联想、HPE、浪潮、华为、新华三，等主流服务器厂商，保证用户后续硬件品牌选择的灵活性；且不同品牌可部署在同一个集群，保证不同时期采购的服务器硬件能够兼容在同一集群正常运行。</w:t>
            </w:r>
          </w:p>
          <w:p>
            <w:pPr>
              <w:widowControl/>
              <w:jc w:val="left"/>
              <w:rPr>
                <w:rFonts w:ascii="仿宋" w:hAnsi="仿宋" w:eastAsia="仿宋" w:cs="仿宋"/>
                <w:color w:val="000000"/>
                <w:kern w:val="0"/>
                <w:szCs w:val="21"/>
              </w:rPr>
            </w:pPr>
            <w:r>
              <w:rPr>
                <w:rFonts w:hint="eastAsia" w:ascii="仿宋" w:hAnsi="仿宋" w:eastAsia="仿宋" w:cs="仿宋"/>
                <w:color w:val="000000"/>
                <w:kern w:val="0"/>
                <w:szCs w:val="21"/>
              </w:rPr>
              <w:t>5、支持以LUN和Namespace为中心的快照和克隆；支持集群内快照计划任务，减少人为错误对数据的影响。</w:t>
            </w:r>
          </w:p>
          <w:p>
            <w:pPr>
              <w:widowControl/>
              <w:jc w:val="left"/>
              <w:rPr>
                <w:rFonts w:ascii="仿宋" w:hAnsi="仿宋" w:eastAsia="仿宋" w:cs="仿宋"/>
                <w:color w:val="000000"/>
                <w:kern w:val="0"/>
                <w:szCs w:val="21"/>
              </w:rPr>
            </w:pPr>
            <w:r>
              <w:rPr>
                <w:rFonts w:hint="eastAsia" w:ascii="仿宋" w:hAnsi="仿宋" w:eastAsia="仿宋" w:cs="仿宋"/>
                <w:color w:val="000000"/>
                <w:kern w:val="0"/>
                <w:szCs w:val="21"/>
              </w:rPr>
              <w:t>6、</w:t>
            </w:r>
            <w:r>
              <w:rPr>
                <w:rFonts w:hint="eastAsia" w:ascii="宋体" w:hAnsi="宋体" w:cs="宋体"/>
                <w:color w:val="000000"/>
                <w:kern w:val="0"/>
                <w:sz w:val="18"/>
                <w:szCs w:val="18"/>
              </w:rPr>
              <w:t>★</w:t>
            </w:r>
            <w:r>
              <w:rPr>
                <w:rFonts w:hint="eastAsia" w:ascii="仿宋" w:hAnsi="仿宋" w:eastAsia="仿宋" w:cs="仿宋"/>
                <w:color w:val="000000"/>
                <w:kern w:val="0"/>
                <w:szCs w:val="21"/>
              </w:rPr>
              <w:t>可以自定义存储策略，支持精简配置，支持存储白名单，支持条带化，支持调整条带大小。 存储策略的颗粒度可以管理到LUN和Namespace，支持配置不同存储策略。存储资源池需提供容量自动平衡能力，用来确保数据一致的分布在集群内部各节点上，使得所有节点的磁盘利用率大致相等。存储资源池支持线性扩展功能，可以根据用户的需求扩展服务器的数量，性能线性增长。</w:t>
            </w:r>
          </w:p>
          <w:p>
            <w:pPr>
              <w:widowControl/>
              <w:jc w:val="left"/>
              <w:rPr>
                <w:rFonts w:ascii="仿宋" w:hAnsi="仿宋" w:eastAsia="仿宋" w:cs="仿宋"/>
                <w:color w:val="000000"/>
                <w:kern w:val="0"/>
                <w:szCs w:val="21"/>
              </w:rPr>
            </w:pPr>
            <w:r>
              <w:rPr>
                <w:rFonts w:hint="eastAsia" w:ascii="仿宋" w:hAnsi="仿宋" w:eastAsia="仿宋" w:cs="仿宋"/>
                <w:color w:val="000000"/>
                <w:kern w:val="0"/>
                <w:szCs w:val="21"/>
              </w:rPr>
              <w:t>7、分布式存储系统具备部件的冗余。</w:t>
            </w:r>
          </w:p>
          <w:p>
            <w:pPr>
              <w:widowControl/>
              <w:jc w:val="left"/>
              <w:rPr>
                <w:rFonts w:ascii="仿宋" w:hAnsi="仿宋" w:eastAsia="仿宋" w:cs="仿宋"/>
                <w:szCs w:val="21"/>
              </w:rPr>
            </w:pPr>
            <w:r>
              <w:rPr>
                <w:rFonts w:hint="eastAsia" w:ascii="仿宋" w:hAnsi="仿宋" w:eastAsia="仿宋" w:cs="仿宋"/>
                <w:color w:val="000000"/>
                <w:kern w:val="0"/>
                <w:szCs w:val="21"/>
              </w:rPr>
              <w:t xml:space="preserve">提供故障切换能力，当组件自身故障时，不影响整个集群正常运行，保证业务连续性；当SSD和SATA盘出现故障情况下，可以通过热插拔方式进行盘的替换；当整个节点处故障的情况下，可以支持整个节点的热插拔硬件替换。                                                                                                                                                          </w:t>
            </w:r>
          </w:p>
        </w:tc>
        <w:tc>
          <w:tcPr>
            <w:tcW w:w="566" w:type="dxa"/>
            <w:vAlign w:val="center"/>
          </w:tcPr>
          <w:p>
            <w:pP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647" w:type="dxa"/>
            <w:vAlign w:val="center"/>
          </w:tcPr>
          <w:p>
            <w:pPr>
              <w:pStyle w:val="20"/>
              <w:rPr>
                <w:rFonts w:ascii="仿宋" w:hAnsi="仿宋" w:eastAsia="仿宋" w:cs="仿宋"/>
              </w:rPr>
            </w:pPr>
            <w:r>
              <w:rPr>
                <w:rFonts w:hint="eastAsia" w:ascii="仿宋" w:hAnsi="仿宋" w:eastAsia="仿宋" w:cs="仿宋"/>
              </w:rPr>
              <w:t>4</w:t>
            </w:r>
          </w:p>
        </w:tc>
        <w:tc>
          <w:tcPr>
            <w:tcW w:w="1274" w:type="dxa"/>
            <w:vAlign w:val="center"/>
          </w:tcPr>
          <w:p>
            <w:pPr>
              <w:pStyle w:val="20"/>
              <w:rPr>
                <w:rFonts w:ascii="仿宋" w:hAnsi="仿宋" w:eastAsia="仿宋" w:cs="仿宋"/>
              </w:rPr>
            </w:pPr>
            <w:r>
              <w:rPr>
                <w:rFonts w:hint="eastAsia" w:ascii="仿宋" w:hAnsi="仿宋" w:eastAsia="仿宋" w:cs="仿宋"/>
              </w:rPr>
              <w:t>在线运维软件</w:t>
            </w:r>
          </w:p>
        </w:tc>
        <w:tc>
          <w:tcPr>
            <w:tcW w:w="11454" w:type="dxa"/>
            <w:vAlign w:val="center"/>
          </w:tcPr>
          <w:p>
            <w:pPr>
              <w:widowControl/>
              <w:numPr>
                <w:ilvl w:val="0"/>
                <w:numId w:val="8"/>
              </w:numPr>
              <w:jc w:val="left"/>
              <w:rPr>
                <w:rFonts w:ascii="仿宋" w:hAnsi="仿宋" w:eastAsia="仿宋" w:cs="仿宋"/>
                <w:color w:val="000000"/>
                <w:kern w:val="0"/>
                <w:szCs w:val="21"/>
              </w:rPr>
            </w:pPr>
            <w:r>
              <w:rPr>
                <w:rFonts w:hint="eastAsia" w:ascii="仿宋" w:hAnsi="仿宋" w:eastAsia="仿宋" w:cs="仿宋"/>
                <w:color w:val="000000"/>
                <w:kern w:val="0"/>
                <w:szCs w:val="21"/>
              </w:rPr>
              <w:t>支持对云桌面系统中的云桌面总数、开机数、关机数、异常桌面数数据上报时间进行统计与监测</w:t>
            </w:r>
          </w:p>
          <w:p>
            <w:pPr>
              <w:widowControl/>
              <w:numPr>
                <w:ilvl w:val="0"/>
                <w:numId w:val="8"/>
              </w:numPr>
              <w:jc w:val="left"/>
              <w:rPr>
                <w:rFonts w:ascii="仿宋" w:hAnsi="仿宋" w:eastAsia="仿宋" w:cs="仿宋"/>
                <w:color w:val="000000"/>
                <w:kern w:val="0"/>
                <w:szCs w:val="21"/>
              </w:rPr>
            </w:pPr>
            <w:r>
              <w:rPr>
                <w:rFonts w:hint="eastAsia" w:ascii="仿宋" w:hAnsi="仿宋" w:eastAsia="仿宋" w:cs="仿宋"/>
                <w:color w:val="000000"/>
                <w:kern w:val="0"/>
                <w:szCs w:val="21"/>
              </w:rPr>
              <w:t>★支持故障自动提醒功能，可对云桌面系统中可能出现的故障进行分析，并通过合理的预判进行自动轮播提醒，提供故障提醒的设置界面截图；</w:t>
            </w:r>
          </w:p>
          <w:p>
            <w:pPr>
              <w:widowControl/>
              <w:numPr>
                <w:ilvl w:val="0"/>
                <w:numId w:val="8"/>
              </w:numPr>
              <w:jc w:val="left"/>
              <w:rPr>
                <w:rFonts w:ascii="仿宋" w:hAnsi="仿宋" w:eastAsia="仿宋" w:cs="仿宋"/>
                <w:color w:val="000000"/>
                <w:kern w:val="0"/>
                <w:szCs w:val="21"/>
              </w:rPr>
            </w:pPr>
            <w:r>
              <w:rPr>
                <w:rFonts w:hint="eastAsia" w:ascii="仿宋" w:hAnsi="仿宋" w:eastAsia="仿宋" w:cs="仿宋"/>
                <w:color w:val="000000"/>
                <w:kern w:val="0"/>
                <w:szCs w:val="21"/>
              </w:rPr>
              <w:t>支持对云桌面系统出现的故障原因进行分析，对故障结果生成相应的故障报告，便于快速修复故障；</w:t>
            </w:r>
          </w:p>
          <w:p>
            <w:pPr>
              <w:widowControl/>
              <w:numPr>
                <w:ilvl w:val="0"/>
                <w:numId w:val="8"/>
              </w:numPr>
              <w:jc w:val="left"/>
              <w:rPr>
                <w:rFonts w:ascii="仿宋" w:hAnsi="仿宋" w:eastAsia="仿宋" w:cs="仿宋"/>
                <w:color w:val="000000"/>
                <w:kern w:val="0"/>
                <w:szCs w:val="21"/>
              </w:rPr>
            </w:pPr>
            <w:r>
              <w:rPr>
                <w:rFonts w:hint="eastAsia" w:ascii="仿宋" w:hAnsi="仿宋" w:eastAsia="仿宋" w:cs="仿宋"/>
                <w:color w:val="000000"/>
                <w:kern w:val="0"/>
                <w:szCs w:val="21"/>
              </w:rPr>
              <w:t>可根据云桌面CPU利用率、内存利用率、磁盘使用空间、磁盘IO利用率、网络上下行速率、云桌面运行时间、系统授权过期日期等做预警值设置；</w:t>
            </w:r>
          </w:p>
          <w:p>
            <w:pPr>
              <w:widowControl/>
              <w:numPr>
                <w:ilvl w:val="0"/>
                <w:numId w:val="8"/>
              </w:numPr>
              <w:jc w:val="left"/>
              <w:rPr>
                <w:rFonts w:ascii="仿宋" w:hAnsi="仿宋" w:eastAsia="仿宋" w:cs="仿宋"/>
                <w:szCs w:val="21"/>
              </w:rPr>
            </w:pPr>
            <w:r>
              <w:rPr>
                <w:rFonts w:hint="eastAsia" w:ascii="仿宋" w:hAnsi="仿宋" w:eastAsia="仿宋" w:cs="仿宋"/>
                <w:color w:val="000000"/>
                <w:kern w:val="0"/>
                <w:szCs w:val="21"/>
              </w:rPr>
              <w:t>支持对单服务器上的所有虚拟机进行开机、运行时长监测可直观了该桌面类型及所在IP，可快速进行问题定位</w:t>
            </w:r>
          </w:p>
        </w:tc>
        <w:tc>
          <w:tcPr>
            <w:tcW w:w="566" w:type="dxa"/>
            <w:vAlign w:val="center"/>
          </w:tcPr>
          <w:p>
            <w:pP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647" w:type="dxa"/>
            <w:vAlign w:val="center"/>
          </w:tcPr>
          <w:p>
            <w:pPr>
              <w:pStyle w:val="20"/>
              <w:rPr>
                <w:rFonts w:ascii="仿宋" w:hAnsi="仿宋" w:eastAsia="仿宋" w:cs="仿宋"/>
              </w:rPr>
            </w:pPr>
            <w:r>
              <w:rPr>
                <w:rFonts w:hint="eastAsia" w:ascii="仿宋" w:hAnsi="仿宋" w:eastAsia="仿宋" w:cs="仿宋"/>
              </w:rPr>
              <w:t>5</w:t>
            </w:r>
          </w:p>
        </w:tc>
        <w:tc>
          <w:tcPr>
            <w:tcW w:w="1274" w:type="dxa"/>
            <w:vAlign w:val="center"/>
          </w:tcPr>
          <w:p>
            <w:pPr>
              <w:pStyle w:val="20"/>
              <w:rPr>
                <w:rFonts w:ascii="仿宋" w:hAnsi="仿宋" w:eastAsia="仿宋" w:cs="仿宋"/>
              </w:rPr>
            </w:pPr>
            <w:r>
              <w:rPr>
                <w:rFonts w:hint="eastAsia" w:ascii="仿宋" w:hAnsi="仿宋" w:eastAsia="仿宋" w:cs="仿宋"/>
              </w:rPr>
              <w:t>桌面虚拟化软件</w:t>
            </w:r>
          </w:p>
        </w:tc>
        <w:tc>
          <w:tcPr>
            <w:tcW w:w="11454" w:type="dxa"/>
            <w:vAlign w:val="center"/>
          </w:tcPr>
          <w:p>
            <w:pPr>
              <w:pStyle w:val="135"/>
              <w:numPr>
                <w:ilvl w:val="0"/>
                <w:numId w:val="9"/>
              </w:numPr>
              <w:ind w:left="0" w:firstLine="0" w:firstLineChars="0"/>
              <w:rPr>
                <w:rFonts w:ascii="仿宋" w:hAnsi="仿宋" w:eastAsia="仿宋" w:cs="仿宋"/>
                <w:szCs w:val="21"/>
              </w:rPr>
            </w:pPr>
            <w:r>
              <w:rPr>
                <w:rFonts w:hint="eastAsia" w:ascii="仿宋" w:hAnsi="仿宋" w:eastAsia="仿宋" w:cs="仿宋"/>
                <w:szCs w:val="21"/>
              </w:rPr>
              <w:t>提供随机池桌面交付技术，当终端对应的云桌面故障时，该终端可以在不需要发布桌面的情况即可直接访问另外一个全新的云桌面，即终端与云桌面的对应关系是动态随机，而非静态关系。</w:t>
            </w:r>
          </w:p>
          <w:p>
            <w:pPr>
              <w:pStyle w:val="135"/>
              <w:numPr>
                <w:ilvl w:val="0"/>
                <w:numId w:val="9"/>
              </w:numPr>
              <w:ind w:left="0" w:firstLine="0" w:firstLineChars="0"/>
              <w:rPr>
                <w:rFonts w:ascii="仿宋" w:hAnsi="仿宋" w:eastAsia="仿宋" w:cs="仿宋"/>
                <w:szCs w:val="21"/>
              </w:rPr>
            </w:pPr>
            <w:r>
              <w:rPr>
                <w:rFonts w:hint="eastAsia" w:ascii="仿宋" w:hAnsi="仿宋" w:eastAsia="仿宋" w:cs="仿宋"/>
                <w:szCs w:val="21"/>
              </w:rPr>
              <w:t xml:space="preserve">提供静态不还原桌面，终端与云桌面需要按一定顺序规则进行一一绑定，即终端与云桌面的对应关系是静态关系，而非动态关系。 </w:t>
            </w:r>
          </w:p>
          <w:p>
            <w:pPr>
              <w:numPr>
                <w:ilvl w:val="0"/>
                <w:numId w:val="9"/>
              </w:numPr>
              <w:ind w:left="0" w:firstLine="0"/>
              <w:jc w:val="left"/>
              <w:rPr>
                <w:rFonts w:ascii="仿宋" w:hAnsi="仿宋" w:eastAsia="仿宋" w:cs="仿宋"/>
                <w:szCs w:val="21"/>
              </w:rPr>
            </w:pPr>
            <w:r>
              <w:rPr>
                <w:rFonts w:hint="eastAsia" w:ascii="仿宋" w:hAnsi="仿宋" w:eastAsia="仿宋" w:cs="仿宋"/>
                <w:szCs w:val="21"/>
              </w:rPr>
              <w:t>支持共享桌面池模式，共享桌面池模式下用户登录时能自动识别可用的虚拟机，且无需将用户与虚拟机绑定，实现桌面级别冗余；</w:t>
            </w:r>
          </w:p>
          <w:p>
            <w:pPr>
              <w:numPr>
                <w:ilvl w:val="0"/>
                <w:numId w:val="9"/>
              </w:numPr>
              <w:ind w:left="0" w:firstLine="0"/>
              <w:jc w:val="left"/>
              <w:rPr>
                <w:rFonts w:ascii="仿宋" w:hAnsi="仿宋" w:eastAsia="仿宋" w:cs="仿宋"/>
                <w:szCs w:val="21"/>
              </w:rPr>
            </w:pPr>
            <w:r>
              <w:rPr>
                <w:rFonts w:hint="eastAsia" w:ascii="仿宋" w:hAnsi="仿宋" w:eastAsia="仿宋" w:cs="仿宋"/>
                <w:szCs w:val="21"/>
              </w:rPr>
              <w:t>支持显卡虚拟化技术，批量发布云桌面时，配置向导中可根据用户需求选择不同的显卡型号</w:t>
            </w:r>
          </w:p>
          <w:p>
            <w:pPr>
              <w:numPr>
                <w:ilvl w:val="0"/>
                <w:numId w:val="9"/>
              </w:numPr>
              <w:ind w:left="0" w:firstLine="0"/>
              <w:jc w:val="left"/>
              <w:rPr>
                <w:rFonts w:ascii="仿宋" w:hAnsi="仿宋" w:eastAsia="仿宋" w:cs="仿宋"/>
                <w:szCs w:val="21"/>
              </w:rPr>
            </w:pPr>
            <w:r>
              <w:rPr>
                <w:rFonts w:hint="eastAsia" w:ascii="仿宋" w:hAnsi="仿宋" w:eastAsia="仿宋" w:cs="仿宋"/>
                <w:szCs w:val="21"/>
              </w:rPr>
              <w:t>支持发布静态不还原桌面，用户每次登录都是固定的虚拟机、固定的IP地址，且虚拟机不还原，满足ATA、计算机等级等考试需求；</w:t>
            </w:r>
          </w:p>
          <w:p>
            <w:pPr>
              <w:numPr>
                <w:ilvl w:val="0"/>
                <w:numId w:val="9"/>
              </w:numPr>
              <w:ind w:left="0" w:firstLine="0"/>
              <w:jc w:val="left"/>
              <w:rPr>
                <w:rFonts w:ascii="仿宋" w:hAnsi="仿宋" w:eastAsia="仿宋" w:cs="仿宋"/>
                <w:szCs w:val="21"/>
              </w:rPr>
            </w:pPr>
            <w:r>
              <w:rPr>
                <w:rFonts w:hint="eastAsia" w:ascii="仿宋" w:hAnsi="仿宋" w:eastAsia="仿宋" w:cs="仿宋"/>
                <w:szCs w:val="21"/>
              </w:rPr>
              <w:t>支持发布物理图形工作站，此物理图形工作站直接安装所需操作系统，无需在底层安装虚拟化层即可以云桌面的方式进行发布，通过任何智能设备、在任何地点对物理图形工作站进行访问，且此访问无需开启RDP服务和通过RDP协议访问</w:t>
            </w:r>
          </w:p>
          <w:p>
            <w:pPr>
              <w:numPr>
                <w:ilvl w:val="0"/>
                <w:numId w:val="9"/>
              </w:numPr>
              <w:ind w:left="0" w:firstLine="0"/>
              <w:jc w:val="left"/>
              <w:rPr>
                <w:rFonts w:ascii="仿宋" w:hAnsi="仿宋" w:eastAsia="仿宋" w:cs="仿宋"/>
                <w:szCs w:val="21"/>
              </w:rPr>
            </w:pPr>
            <w:r>
              <w:rPr>
                <w:rFonts w:hint="eastAsia" w:ascii="仿宋" w:hAnsi="仿宋" w:eastAsia="仿宋" w:cs="仿宋"/>
                <w:szCs w:val="21"/>
              </w:rPr>
              <w:t xml:space="preserve">虚拟机在不加载显卡的情况下，自带的虚拟显卡可将内存复用为显存，在Windows7系统中通过系统自带的检测工具DXDIAG检测时，DXDIAG“显示”菜单中的“DAC类型”为Virtual RAMDAC、“估计内存总数”大于1024MB、提供DXDIAG检测的“显示”菜单结果截图，截图中能清楚查看“DAC类型”为Virtual RAMDAC、“估计内存总数”的大小； </w:t>
            </w:r>
          </w:p>
          <w:p>
            <w:pPr>
              <w:numPr>
                <w:ilvl w:val="0"/>
                <w:numId w:val="9"/>
              </w:numPr>
              <w:ind w:left="0" w:firstLine="0"/>
              <w:jc w:val="left"/>
              <w:rPr>
                <w:rFonts w:ascii="仿宋" w:hAnsi="仿宋" w:eastAsia="仿宋" w:cs="仿宋"/>
                <w:szCs w:val="21"/>
              </w:rPr>
            </w:pPr>
            <w:r>
              <w:rPr>
                <w:rFonts w:hint="eastAsia" w:ascii="仿宋" w:hAnsi="仿宋" w:eastAsia="仿宋" w:cs="仿宋"/>
                <w:szCs w:val="21"/>
              </w:rPr>
              <w:t>云桌面支持动态内存技术，可通过虚拟机模板设置内存容量的最大值和最小值，进行批量发布拥有动态内存的云桌面，提供选择内存最大值、最小值配置界面截图；</w:t>
            </w:r>
          </w:p>
          <w:p>
            <w:pPr>
              <w:numPr>
                <w:ilvl w:val="0"/>
                <w:numId w:val="9"/>
              </w:numPr>
              <w:ind w:left="0" w:firstLine="0"/>
              <w:jc w:val="left"/>
              <w:rPr>
                <w:rFonts w:ascii="仿宋" w:hAnsi="仿宋" w:eastAsia="仿宋" w:cs="仿宋"/>
                <w:szCs w:val="21"/>
              </w:rPr>
            </w:pPr>
            <w:r>
              <w:rPr>
                <w:rFonts w:hint="eastAsia" w:ascii="仿宋" w:hAnsi="仿宋" w:eastAsia="仿宋" w:cs="仿宋"/>
                <w:szCs w:val="21"/>
              </w:rPr>
              <w:t>所有云桌面的功能组件均可实现多节点负载，无单点故障，支持微软SQL Server、SQL Express等主流数据库的不同版本，无缝兼容数据库镜像模式，提升整个平台的高可用性；</w:t>
            </w:r>
          </w:p>
          <w:p>
            <w:pPr>
              <w:numPr>
                <w:ilvl w:val="0"/>
                <w:numId w:val="9"/>
              </w:numPr>
              <w:ind w:left="0" w:firstLine="0"/>
              <w:jc w:val="left"/>
              <w:rPr>
                <w:rFonts w:ascii="仿宋" w:hAnsi="仿宋" w:eastAsia="仿宋" w:cs="仿宋"/>
                <w:szCs w:val="21"/>
              </w:rPr>
            </w:pPr>
            <w:r>
              <w:rPr>
                <w:rFonts w:hint="eastAsia" w:ascii="仿宋" w:hAnsi="仿宋" w:eastAsia="仿宋" w:cs="仿宋"/>
                <w:szCs w:val="21"/>
              </w:rPr>
              <w:t>支持用户连接数、断开数、最大并发数、从登录到进入云桌面所需时长等基础数据进行统计</w:t>
            </w:r>
          </w:p>
          <w:p>
            <w:pPr>
              <w:numPr>
                <w:ilvl w:val="0"/>
                <w:numId w:val="9"/>
              </w:numPr>
              <w:ind w:left="0" w:firstLine="0"/>
              <w:jc w:val="left"/>
              <w:rPr>
                <w:rFonts w:ascii="仿宋" w:hAnsi="仿宋" w:eastAsia="仿宋" w:cs="仿宋"/>
                <w:szCs w:val="21"/>
              </w:rPr>
            </w:pPr>
            <w:r>
              <w:rPr>
                <w:rFonts w:hint="eastAsia" w:ascii="仿宋" w:hAnsi="仿宋" w:eastAsia="仿宋" w:cs="仿宋"/>
                <w:szCs w:val="21"/>
              </w:rPr>
              <w:t>用户在无需安装任何客户端插件或浏览器控件的情况下，可通过浏览器的HTML5协议正常使用云桌面（而非在管理平台查看云桌面）</w:t>
            </w:r>
          </w:p>
          <w:p>
            <w:pPr>
              <w:numPr>
                <w:ilvl w:val="0"/>
                <w:numId w:val="9"/>
              </w:numPr>
              <w:ind w:left="0" w:firstLine="0"/>
              <w:jc w:val="left"/>
              <w:rPr>
                <w:rFonts w:ascii="仿宋" w:hAnsi="仿宋" w:eastAsia="仿宋" w:cs="仿宋"/>
                <w:szCs w:val="21"/>
              </w:rPr>
            </w:pPr>
            <w:r>
              <w:rPr>
                <w:rFonts w:hint="eastAsia" w:ascii="仿宋" w:hAnsi="仿宋" w:eastAsia="仿宋" w:cs="仿宋"/>
                <w:szCs w:val="21"/>
              </w:rPr>
              <w:t>用户可以在任何时间任何地点通过任何智能设备（包括笔记本、台式机（Windows、Mac OS、Linux）和智能手机（IOS，Android）、平板电脑等）访问云桌面和云应用；</w:t>
            </w:r>
          </w:p>
          <w:p>
            <w:pPr>
              <w:numPr>
                <w:ilvl w:val="0"/>
                <w:numId w:val="9"/>
              </w:numPr>
              <w:ind w:left="0" w:firstLine="0"/>
              <w:jc w:val="left"/>
              <w:rPr>
                <w:rFonts w:ascii="仿宋" w:hAnsi="仿宋" w:eastAsia="仿宋" w:cs="仿宋"/>
                <w:szCs w:val="21"/>
              </w:rPr>
            </w:pPr>
            <w:r>
              <w:rPr>
                <w:rFonts w:hint="eastAsia" w:ascii="仿宋" w:hAnsi="仿宋" w:eastAsia="仿宋" w:cs="仿宋"/>
                <w:szCs w:val="21"/>
              </w:rPr>
              <w:t>支持用智能手机登录云桌面后可直接在云桌面中访问本地磁盘</w:t>
            </w:r>
          </w:p>
          <w:p>
            <w:pPr>
              <w:numPr>
                <w:ilvl w:val="0"/>
                <w:numId w:val="9"/>
              </w:numPr>
              <w:ind w:left="0" w:firstLine="0"/>
              <w:jc w:val="left"/>
              <w:rPr>
                <w:rFonts w:ascii="仿宋" w:hAnsi="仿宋" w:eastAsia="仿宋" w:cs="仿宋"/>
                <w:szCs w:val="21"/>
              </w:rPr>
            </w:pPr>
            <w:r>
              <w:rPr>
                <w:rFonts w:hint="eastAsia" w:ascii="仿宋" w:hAnsi="仿宋" w:eastAsia="仿宋" w:cs="仿宋"/>
                <w:szCs w:val="21"/>
              </w:rPr>
              <w:t xml:space="preserve">★支持本地程序穿透调用，登录云桌面后，在云桌面中即可直接运行安装在终端设备上的应用程序，提供管理平台的功能设置界面截图，截图中可清查查看“允许本地应用程序访问”的功能设置； </w:t>
            </w:r>
          </w:p>
          <w:p>
            <w:pPr>
              <w:numPr>
                <w:ilvl w:val="0"/>
                <w:numId w:val="9"/>
              </w:numPr>
              <w:ind w:left="0" w:firstLine="0"/>
              <w:jc w:val="left"/>
              <w:rPr>
                <w:rFonts w:ascii="仿宋" w:hAnsi="仿宋" w:eastAsia="仿宋" w:cs="仿宋"/>
                <w:szCs w:val="21"/>
              </w:rPr>
            </w:pPr>
            <w:r>
              <w:rPr>
                <w:rFonts w:hint="eastAsia" w:ascii="仿宋" w:hAnsi="仿宋" w:eastAsia="仿宋" w:cs="仿宋"/>
                <w:szCs w:val="21"/>
              </w:rPr>
              <w:t xml:space="preserve"> ★支持桌面虚拟化功能与应用虚拟化功能配套使用，可在同一管理平台进行管理和维护，提供管理界面截图；</w:t>
            </w:r>
          </w:p>
          <w:p>
            <w:pPr>
              <w:numPr>
                <w:ilvl w:val="0"/>
                <w:numId w:val="9"/>
              </w:numPr>
              <w:ind w:left="0" w:firstLine="0"/>
              <w:jc w:val="left"/>
              <w:rPr>
                <w:rFonts w:ascii="仿宋" w:hAnsi="仿宋" w:eastAsia="仿宋" w:cs="仿宋"/>
                <w:szCs w:val="21"/>
              </w:rPr>
            </w:pPr>
            <w:r>
              <w:rPr>
                <w:rFonts w:hint="eastAsia" w:ascii="仿宋" w:hAnsi="仿宋" w:eastAsia="仿宋" w:cs="仿宋"/>
                <w:szCs w:val="21"/>
              </w:rPr>
              <w:t>登录云桌面后，可将终端硬盘分区映射到云桌面中，实现云桌面与终端硬盘之间的数据拷贝，并可通过策略对数据拷贝行为进行控制，支持单向拷贝、双向拷贝、禁止复制和粘贴；</w:t>
            </w:r>
          </w:p>
          <w:p>
            <w:pPr>
              <w:numPr>
                <w:ilvl w:val="0"/>
                <w:numId w:val="9"/>
              </w:numPr>
              <w:ind w:left="0" w:firstLine="0"/>
              <w:jc w:val="left"/>
              <w:rPr>
                <w:rFonts w:ascii="仿宋" w:hAnsi="仿宋" w:eastAsia="仿宋" w:cs="仿宋"/>
                <w:szCs w:val="21"/>
              </w:rPr>
            </w:pPr>
            <w:r>
              <w:rPr>
                <w:rFonts w:hint="eastAsia" w:ascii="仿宋" w:hAnsi="仿宋" w:eastAsia="仿宋" w:cs="仿宋"/>
                <w:szCs w:val="21"/>
              </w:rPr>
              <w:t>通过移动设备访问时，可为移动设备提供多点触控手势功能，包括但不限于一指轻按为单击、触摸按住后松开为右键单击、三指为唤醒键盘、双指内外开合为缩放、触摸按住并滑动为拖动、两指轻按为切换鼠标指针；</w:t>
            </w:r>
          </w:p>
          <w:p>
            <w:pPr>
              <w:numPr>
                <w:ilvl w:val="0"/>
                <w:numId w:val="9"/>
              </w:numPr>
              <w:ind w:left="0" w:firstLine="0"/>
              <w:jc w:val="left"/>
              <w:rPr>
                <w:rFonts w:ascii="仿宋" w:hAnsi="仿宋" w:eastAsia="仿宋" w:cs="仿宋"/>
                <w:szCs w:val="21"/>
              </w:rPr>
            </w:pPr>
            <w:r>
              <w:rPr>
                <w:rFonts w:hint="eastAsia" w:ascii="仿宋" w:hAnsi="仿宋" w:eastAsia="仿宋" w:cs="仿宋"/>
                <w:szCs w:val="21"/>
              </w:rPr>
              <w:t xml:space="preserve">★云桌面支持在多个主流虚拟化平台上发布，提供管理平台配置向导中选择VMware vSphere、Citrix XenServer、Microsoft Hyper-V三种服务器虚拟化的配置界面截图； </w:t>
            </w:r>
          </w:p>
          <w:p>
            <w:pPr>
              <w:numPr>
                <w:ilvl w:val="0"/>
                <w:numId w:val="9"/>
              </w:numPr>
              <w:ind w:left="0" w:firstLine="0"/>
              <w:jc w:val="left"/>
              <w:rPr>
                <w:rFonts w:ascii="仿宋" w:hAnsi="仿宋" w:eastAsia="仿宋" w:cs="仿宋"/>
              </w:rPr>
            </w:pPr>
            <w:r>
              <w:rPr>
                <w:rFonts w:hint="eastAsia" w:ascii="仿宋" w:hAnsi="仿宋" w:eastAsia="仿宋" w:cs="仿宋"/>
                <w:szCs w:val="21"/>
              </w:rPr>
              <w:t>★支持将云桌面部署在Amazon EC2和Microsoft Configuration Manager Wake on LAN等公有云中，可实现公有云和私有云组成的混合云，且能完整管理桌面的生命周期，提供管理平台中配置Amazon EC2和Microsoft Configuration Manager Wake on LAN的配置向导界面截图；</w:t>
            </w:r>
          </w:p>
        </w:tc>
        <w:tc>
          <w:tcPr>
            <w:tcW w:w="566" w:type="dxa"/>
            <w:vAlign w:val="center"/>
          </w:tcPr>
          <w:p>
            <w:pP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647" w:type="dxa"/>
            <w:vAlign w:val="center"/>
          </w:tcPr>
          <w:p>
            <w:pPr>
              <w:pStyle w:val="20"/>
              <w:rPr>
                <w:rFonts w:ascii="仿宋" w:hAnsi="仿宋" w:eastAsia="仿宋" w:cs="仿宋"/>
              </w:rPr>
            </w:pPr>
            <w:r>
              <w:rPr>
                <w:rFonts w:hint="eastAsia" w:ascii="仿宋" w:hAnsi="仿宋" w:eastAsia="仿宋" w:cs="仿宋"/>
              </w:rPr>
              <w:t>6</w:t>
            </w:r>
          </w:p>
        </w:tc>
        <w:tc>
          <w:tcPr>
            <w:tcW w:w="1274" w:type="dxa"/>
            <w:vAlign w:val="center"/>
          </w:tcPr>
          <w:p>
            <w:pPr>
              <w:pStyle w:val="20"/>
              <w:rPr>
                <w:rFonts w:ascii="仿宋" w:hAnsi="仿宋" w:eastAsia="仿宋" w:cs="仿宋"/>
              </w:rPr>
            </w:pPr>
            <w:r>
              <w:rPr>
                <w:rFonts w:hint="eastAsia" w:ascii="仿宋" w:hAnsi="仿宋" w:eastAsia="仿宋" w:cs="仿宋"/>
              </w:rPr>
              <w:t>电子教学软件</w:t>
            </w:r>
          </w:p>
        </w:tc>
        <w:tc>
          <w:tcPr>
            <w:tcW w:w="11454" w:type="dxa"/>
            <w:vAlign w:val="center"/>
          </w:tcPr>
          <w:p>
            <w:pPr>
              <w:pStyle w:val="34"/>
              <w:numPr>
                <w:ilvl w:val="0"/>
                <w:numId w:val="10"/>
              </w:numPr>
              <w:spacing w:beforeAutospacing="0" w:afterAutospacing="0"/>
              <w:ind w:left="0" w:firstLine="0"/>
              <w:rPr>
                <w:rFonts w:ascii="仿宋" w:hAnsi="仿宋" w:eastAsia="仿宋" w:cs="仿宋"/>
                <w:color w:val="000000"/>
                <w:sz w:val="21"/>
                <w:szCs w:val="21"/>
              </w:rPr>
            </w:pPr>
            <w:r>
              <w:rPr>
                <w:rFonts w:hint="eastAsia" w:ascii="仿宋" w:hAnsi="仿宋" w:eastAsia="仿宋" w:cs="仿宋"/>
                <w:color w:val="000000"/>
                <w:sz w:val="21"/>
                <w:szCs w:val="21"/>
              </w:rPr>
              <w:t>安装部署快捷，升级简易方便，全中文人性化界面设计，配有详细的在线帮助、支持主窗口功能按钮、浮动工具条等操作方式；</w:t>
            </w:r>
          </w:p>
          <w:p>
            <w:pPr>
              <w:pStyle w:val="34"/>
              <w:numPr>
                <w:ilvl w:val="0"/>
                <w:numId w:val="10"/>
              </w:numPr>
              <w:spacing w:beforeAutospacing="0" w:afterAutospacing="0"/>
              <w:ind w:left="0" w:firstLine="0"/>
              <w:rPr>
                <w:rFonts w:ascii="仿宋" w:hAnsi="仿宋" w:eastAsia="仿宋" w:cs="仿宋"/>
                <w:color w:val="000000"/>
                <w:sz w:val="21"/>
                <w:szCs w:val="21"/>
              </w:rPr>
            </w:pPr>
            <w:r>
              <w:rPr>
                <w:rFonts w:hint="eastAsia" w:ascii="仿宋" w:hAnsi="仿宋" w:eastAsia="仿宋" w:cs="仿宋"/>
                <w:color w:val="000000"/>
                <w:sz w:val="21"/>
                <w:szCs w:val="21"/>
              </w:rPr>
              <w:t>支持软件防杀进程、断线保护、卸载密码保护等功能，支持Windows系列操作系统和Linux操作系统部署；</w:t>
            </w:r>
          </w:p>
          <w:p>
            <w:pPr>
              <w:pStyle w:val="34"/>
              <w:numPr>
                <w:ilvl w:val="0"/>
                <w:numId w:val="10"/>
              </w:numPr>
              <w:spacing w:beforeAutospacing="0" w:afterAutospacing="0"/>
              <w:ind w:left="0" w:firstLine="0"/>
              <w:rPr>
                <w:rFonts w:ascii="仿宋" w:hAnsi="仿宋" w:eastAsia="仿宋" w:cs="仿宋"/>
                <w:color w:val="000000"/>
                <w:sz w:val="21"/>
                <w:szCs w:val="21"/>
              </w:rPr>
            </w:pPr>
            <w:r>
              <w:rPr>
                <w:rFonts w:hint="eastAsia" w:ascii="仿宋" w:hAnsi="仿宋" w:eastAsia="仿宋" w:cs="仿宋"/>
                <w:color w:val="000000"/>
                <w:sz w:val="21"/>
                <w:szCs w:val="21"/>
              </w:rPr>
              <w:t>采用流媒体技术，实现教师机播放的视频同步广播到学生机，且达到流畅无延时，支持常见的媒体音视频格式， Windows Media文件、VCD文件、DVD文件、Real文件、AVI文件、MP3等主流文件格式，支持720p、1080p的高清视频；</w:t>
            </w:r>
          </w:p>
          <w:p>
            <w:pPr>
              <w:pStyle w:val="135"/>
              <w:numPr>
                <w:ilvl w:val="0"/>
                <w:numId w:val="10"/>
              </w:numPr>
              <w:ind w:left="0" w:firstLine="0" w:firstLineChars="0"/>
              <w:rPr>
                <w:rFonts w:ascii="仿宋" w:hAnsi="仿宋" w:eastAsia="仿宋" w:cs="仿宋"/>
                <w:color w:val="000000"/>
                <w:szCs w:val="21"/>
              </w:rPr>
            </w:pPr>
            <w:r>
              <w:rPr>
                <w:rFonts w:hint="eastAsia" w:ascii="仿宋" w:hAnsi="仿宋" w:eastAsia="仿宋" w:cs="仿宋"/>
                <w:color w:val="000000"/>
                <w:szCs w:val="21"/>
              </w:rPr>
              <w:t>★提供冗余机制，即同一安装包既可以在终端位置安装，又能在云桌面位置中安装，当云桌面服务器端网络异常时，教师还可以通过终端电子教学软件进行日常广播和作业收发功能。提供电子教学软件运行环境配置界面截图，截图中的运行环境包括终端和云桌面。</w:t>
            </w:r>
          </w:p>
          <w:p>
            <w:pPr>
              <w:pStyle w:val="34"/>
              <w:numPr>
                <w:ilvl w:val="0"/>
                <w:numId w:val="10"/>
              </w:numPr>
              <w:spacing w:beforeAutospacing="0" w:afterAutospacing="0"/>
              <w:ind w:left="0" w:firstLine="0"/>
              <w:rPr>
                <w:rFonts w:ascii="仿宋" w:hAnsi="仿宋" w:eastAsia="仿宋" w:cs="仿宋"/>
                <w:color w:val="000000"/>
                <w:sz w:val="21"/>
                <w:szCs w:val="21"/>
              </w:rPr>
            </w:pPr>
            <w:r>
              <w:rPr>
                <w:rFonts w:hint="eastAsia" w:ascii="仿宋" w:hAnsi="仿宋" w:eastAsia="仿宋" w:cs="仿宋"/>
                <w:color w:val="000000"/>
                <w:sz w:val="21"/>
                <w:szCs w:val="21"/>
              </w:rPr>
              <w:t>★支持文件分发和提交，可添加文件或文件目录，云桌面模式下，文件可自动分发至云桌面中；云桌面断开时，文件可自动发送至终端本地桌面或指定目录，提供云桌面“断开时自动发送到终端本地桌面或指定目录”的设置界面截图；</w:t>
            </w:r>
          </w:p>
          <w:p>
            <w:pPr>
              <w:pStyle w:val="34"/>
              <w:numPr>
                <w:ilvl w:val="0"/>
                <w:numId w:val="10"/>
              </w:numPr>
              <w:spacing w:beforeAutospacing="0" w:afterAutospacing="0"/>
              <w:ind w:left="0" w:firstLine="0"/>
              <w:rPr>
                <w:rFonts w:ascii="仿宋" w:hAnsi="仿宋" w:eastAsia="仿宋" w:cs="仿宋"/>
                <w:color w:val="000000"/>
                <w:sz w:val="21"/>
                <w:szCs w:val="21"/>
              </w:rPr>
            </w:pPr>
            <w:r>
              <w:rPr>
                <w:rFonts w:hint="eastAsia" w:ascii="仿宋" w:hAnsi="仿宋" w:eastAsia="仿宋" w:cs="仿宋"/>
                <w:color w:val="000000"/>
                <w:sz w:val="21"/>
                <w:szCs w:val="21"/>
              </w:rPr>
              <w:t>支持将教师机屏幕实时广播给单一、部分或全体学生，可选择全屏或窗口方式；</w:t>
            </w:r>
          </w:p>
          <w:p>
            <w:pPr>
              <w:pStyle w:val="34"/>
              <w:numPr>
                <w:ilvl w:val="0"/>
                <w:numId w:val="10"/>
              </w:numPr>
              <w:spacing w:beforeAutospacing="0" w:afterAutospacing="0"/>
              <w:ind w:left="0" w:firstLine="0"/>
              <w:rPr>
                <w:rFonts w:ascii="仿宋" w:hAnsi="仿宋" w:eastAsia="仿宋" w:cs="仿宋"/>
                <w:color w:val="000000"/>
                <w:sz w:val="21"/>
                <w:szCs w:val="21"/>
              </w:rPr>
            </w:pPr>
            <w:r>
              <w:rPr>
                <w:rFonts w:hint="eastAsia" w:ascii="仿宋" w:hAnsi="仿宋" w:eastAsia="仿宋" w:cs="仿宋"/>
                <w:color w:val="000000"/>
                <w:sz w:val="21"/>
                <w:szCs w:val="21"/>
              </w:rPr>
              <w:t xml:space="preserve">教师端屏幕广播时采用终端本地网络，无需占用云桌面网络带宽，云桌面断开连接时，不影响屏幕广播的正常使用； </w:t>
            </w:r>
          </w:p>
          <w:p>
            <w:pPr>
              <w:pStyle w:val="34"/>
              <w:numPr>
                <w:ilvl w:val="0"/>
                <w:numId w:val="10"/>
              </w:numPr>
              <w:spacing w:beforeAutospacing="0" w:afterAutospacing="0"/>
              <w:ind w:left="0" w:firstLine="0"/>
              <w:rPr>
                <w:rFonts w:ascii="仿宋" w:hAnsi="仿宋" w:eastAsia="仿宋" w:cs="仿宋"/>
                <w:color w:val="000000"/>
                <w:sz w:val="21"/>
                <w:szCs w:val="21"/>
              </w:rPr>
            </w:pPr>
            <w:r>
              <w:rPr>
                <w:rFonts w:hint="eastAsia" w:ascii="仿宋" w:hAnsi="仿宋" w:eastAsia="仿宋" w:cs="仿宋"/>
                <w:color w:val="000000"/>
                <w:sz w:val="21"/>
                <w:szCs w:val="21"/>
              </w:rPr>
              <w:t xml:space="preserve">收发作业时，由教师端的云桌面和学生端的云桌面直接传输，无需占用本地网络资源； </w:t>
            </w:r>
          </w:p>
          <w:p>
            <w:pPr>
              <w:pStyle w:val="34"/>
              <w:numPr>
                <w:ilvl w:val="0"/>
                <w:numId w:val="10"/>
              </w:numPr>
              <w:spacing w:beforeAutospacing="0" w:afterAutospacing="0"/>
              <w:ind w:left="0" w:firstLine="0"/>
              <w:rPr>
                <w:rFonts w:ascii="仿宋" w:hAnsi="仿宋" w:eastAsia="仿宋" w:cs="仿宋"/>
                <w:color w:val="000000"/>
                <w:sz w:val="21"/>
                <w:szCs w:val="21"/>
              </w:rPr>
            </w:pPr>
            <w:r>
              <w:rPr>
                <w:rFonts w:hint="eastAsia" w:ascii="仿宋" w:hAnsi="仿宋" w:eastAsia="仿宋" w:cs="仿宋"/>
                <w:color w:val="000000"/>
                <w:sz w:val="21"/>
                <w:szCs w:val="21"/>
              </w:rPr>
              <w:t>控制学生云桌面/终端打开/关闭应用程序；</w:t>
            </w:r>
          </w:p>
          <w:p>
            <w:pPr>
              <w:pStyle w:val="34"/>
              <w:numPr>
                <w:ilvl w:val="0"/>
                <w:numId w:val="10"/>
              </w:numPr>
              <w:spacing w:beforeAutospacing="0" w:afterAutospacing="0"/>
              <w:ind w:left="0" w:firstLine="0"/>
              <w:rPr>
                <w:rFonts w:ascii="仿宋" w:hAnsi="仿宋" w:eastAsia="仿宋" w:cs="仿宋"/>
                <w:color w:val="000000"/>
                <w:sz w:val="21"/>
                <w:szCs w:val="21"/>
              </w:rPr>
            </w:pPr>
            <w:r>
              <w:rPr>
                <w:rFonts w:hint="eastAsia" w:ascii="仿宋" w:hAnsi="仿宋" w:eastAsia="仿宋" w:cs="仿宋"/>
                <w:color w:val="000000"/>
                <w:sz w:val="21"/>
                <w:szCs w:val="21"/>
              </w:rPr>
              <w:t>支持即时通讯功能，包括文字或图片通讯等；</w:t>
            </w:r>
          </w:p>
          <w:p>
            <w:pPr>
              <w:pStyle w:val="34"/>
              <w:numPr>
                <w:ilvl w:val="0"/>
                <w:numId w:val="10"/>
              </w:numPr>
              <w:spacing w:beforeAutospacing="0" w:afterAutospacing="0"/>
              <w:ind w:left="0" w:firstLine="0"/>
              <w:rPr>
                <w:rFonts w:ascii="仿宋" w:hAnsi="仿宋" w:eastAsia="仿宋" w:cs="仿宋"/>
                <w:color w:val="000000"/>
                <w:sz w:val="21"/>
                <w:szCs w:val="21"/>
              </w:rPr>
            </w:pPr>
            <w:r>
              <w:rPr>
                <w:rFonts w:hint="eastAsia" w:ascii="仿宋" w:hAnsi="仿宋" w:eastAsia="仿宋" w:cs="仿宋"/>
                <w:color w:val="000000"/>
                <w:sz w:val="21"/>
                <w:szCs w:val="21"/>
              </w:rPr>
              <w:t>支持举手功能，学生端点击“举手”，教师端显示明显标识并文字提示。</w:t>
            </w:r>
          </w:p>
          <w:p>
            <w:pPr>
              <w:pStyle w:val="135"/>
              <w:numPr>
                <w:ilvl w:val="0"/>
                <w:numId w:val="10"/>
              </w:numPr>
              <w:ind w:left="0" w:firstLine="0" w:firstLineChars="0"/>
              <w:rPr>
                <w:rFonts w:ascii="仿宋" w:hAnsi="仿宋" w:eastAsia="仿宋" w:cs="仿宋"/>
                <w:color w:val="000000"/>
                <w:szCs w:val="21"/>
              </w:rPr>
            </w:pPr>
            <w:r>
              <w:rPr>
                <w:rFonts w:hint="eastAsia" w:ascii="仿宋" w:hAnsi="仿宋" w:eastAsia="仿宋" w:cs="仿宋"/>
                <w:color w:val="000000"/>
                <w:szCs w:val="21"/>
              </w:rPr>
              <w:t>★教师云桌面和学生云桌面共用同一桌面模板，云桌面中基于教学服务器自动识别教师和学生身份。当教学过程中教师机出现故障时只需一步操作即可快速将任意一台学生机切换为教师机；提供电子教学软件身份识别配置界面截图，截图中的身份识别包括学生和教师。</w:t>
            </w:r>
          </w:p>
          <w:p>
            <w:pPr>
              <w:pStyle w:val="34"/>
              <w:numPr>
                <w:ilvl w:val="0"/>
                <w:numId w:val="10"/>
              </w:numPr>
              <w:spacing w:beforeAutospacing="0" w:afterAutospacing="0"/>
              <w:ind w:left="0" w:firstLine="0"/>
              <w:rPr>
                <w:rFonts w:ascii="仿宋" w:hAnsi="仿宋" w:eastAsia="仿宋" w:cs="仿宋"/>
                <w:color w:val="000000"/>
                <w:sz w:val="21"/>
                <w:szCs w:val="21"/>
              </w:rPr>
            </w:pPr>
            <w:r>
              <w:rPr>
                <w:rFonts w:hint="eastAsia" w:ascii="仿宋" w:hAnsi="仿宋" w:eastAsia="仿宋" w:cs="仿宋"/>
                <w:color w:val="000000"/>
                <w:sz w:val="21"/>
                <w:szCs w:val="21"/>
              </w:rPr>
              <w:t>电子教学软件程序启动时，根据登录的账号自动识别为教师端和学生端，并启动对应的界面；</w:t>
            </w:r>
          </w:p>
          <w:p>
            <w:pPr>
              <w:pStyle w:val="34"/>
              <w:numPr>
                <w:ilvl w:val="0"/>
                <w:numId w:val="10"/>
              </w:numPr>
              <w:spacing w:beforeAutospacing="0" w:afterAutospacing="0"/>
              <w:ind w:left="0" w:firstLine="0"/>
              <w:rPr>
                <w:rFonts w:ascii="仿宋" w:hAnsi="仿宋" w:eastAsia="仿宋" w:cs="仿宋"/>
                <w:color w:val="000000"/>
                <w:sz w:val="21"/>
                <w:szCs w:val="21"/>
              </w:rPr>
            </w:pPr>
            <w:r>
              <w:rPr>
                <w:rFonts w:hint="eastAsia" w:ascii="仿宋" w:hAnsi="仿宋" w:eastAsia="仿宋" w:cs="仿宋"/>
                <w:color w:val="000000"/>
                <w:sz w:val="21"/>
                <w:szCs w:val="21"/>
              </w:rPr>
              <w:t>教师机可以监视单一、部分、全体学生机的屏幕；</w:t>
            </w:r>
          </w:p>
          <w:p>
            <w:pPr>
              <w:pStyle w:val="34"/>
              <w:numPr>
                <w:ilvl w:val="0"/>
                <w:numId w:val="10"/>
              </w:numPr>
              <w:spacing w:beforeAutospacing="0" w:afterAutospacing="0"/>
              <w:ind w:left="0" w:firstLine="0"/>
              <w:rPr>
                <w:rFonts w:ascii="仿宋" w:hAnsi="仿宋" w:eastAsia="仿宋" w:cs="仿宋"/>
                <w:color w:val="000000"/>
                <w:sz w:val="21"/>
                <w:szCs w:val="21"/>
              </w:rPr>
            </w:pPr>
            <w:r>
              <w:rPr>
                <w:rFonts w:hint="eastAsia" w:ascii="仿宋" w:hAnsi="仿宋" w:eastAsia="仿宋" w:cs="仿宋"/>
                <w:color w:val="000000"/>
                <w:sz w:val="21"/>
                <w:szCs w:val="21"/>
              </w:rPr>
              <w:t>支持上网控制，设定学生访问网站的黑名单或白名单，对学生可以访问的Internet站点进行管理；</w:t>
            </w:r>
          </w:p>
          <w:p>
            <w:pPr>
              <w:pStyle w:val="34"/>
              <w:numPr>
                <w:ilvl w:val="0"/>
                <w:numId w:val="10"/>
              </w:numPr>
              <w:spacing w:beforeAutospacing="0" w:afterAutospacing="0"/>
              <w:ind w:left="0" w:firstLine="0"/>
              <w:rPr>
                <w:rFonts w:ascii="仿宋" w:hAnsi="仿宋" w:eastAsia="仿宋" w:cs="仿宋"/>
                <w:color w:val="000000"/>
                <w:sz w:val="21"/>
                <w:szCs w:val="21"/>
              </w:rPr>
            </w:pPr>
            <w:r>
              <w:rPr>
                <w:rFonts w:hint="eastAsia" w:ascii="仿宋" w:hAnsi="仿宋" w:eastAsia="仿宋" w:cs="仿宋"/>
                <w:color w:val="000000"/>
                <w:sz w:val="21"/>
                <w:szCs w:val="21"/>
              </w:rPr>
              <w:t>可以对终端设备进行远程开机、关机、重启等操作，终端包括但不限于X86和ARM终端；</w:t>
            </w:r>
          </w:p>
          <w:p>
            <w:pPr>
              <w:pStyle w:val="34"/>
              <w:numPr>
                <w:ilvl w:val="0"/>
                <w:numId w:val="10"/>
              </w:numPr>
              <w:spacing w:beforeAutospacing="0" w:afterAutospacing="0"/>
              <w:ind w:left="0" w:firstLine="0"/>
              <w:rPr>
                <w:rFonts w:ascii="仿宋" w:hAnsi="仿宋" w:eastAsia="仿宋" w:cs="仿宋"/>
                <w:color w:val="000000"/>
                <w:sz w:val="21"/>
                <w:szCs w:val="21"/>
              </w:rPr>
            </w:pPr>
            <w:r>
              <w:rPr>
                <w:rFonts w:hint="eastAsia" w:ascii="仿宋" w:hAnsi="仿宋" w:eastAsia="仿宋" w:cs="仿宋"/>
                <w:color w:val="000000"/>
                <w:sz w:val="21"/>
                <w:szCs w:val="21"/>
              </w:rPr>
              <w:t>★云桌面多系统时，教师端可一键控制学生进入指定的云桌面，提供选择进入指定桌面的功能界面截图；</w:t>
            </w:r>
          </w:p>
          <w:p>
            <w:pPr>
              <w:pStyle w:val="34"/>
              <w:numPr>
                <w:ilvl w:val="0"/>
                <w:numId w:val="10"/>
              </w:numPr>
              <w:spacing w:beforeAutospacing="0" w:afterAutospacing="0"/>
              <w:ind w:left="0" w:firstLine="0"/>
              <w:rPr>
                <w:rFonts w:ascii="仿宋" w:hAnsi="仿宋" w:eastAsia="仿宋" w:cs="仿宋"/>
                <w:sz w:val="21"/>
                <w:szCs w:val="21"/>
              </w:rPr>
            </w:pPr>
            <w:r>
              <w:rPr>
                <w:rFonts w:hint="eastAsia" w:ascii="仿宋" w:hAnsi="仿宋" w:eastAsia="仿宋" w:cs="仿宋"/>
                <w:color w:val="000000"/>
                <w:kern w:val="2"/>
                <w:sz w:val="21"/>
                <w:szCs w:val="21"/>
              </w:rPr>
              <w:t>为保证兼容性，与云终端为同一品牌。</w:t>
            </w:r>
          </w:p>
        </w:tc>
        <w:tc>
          <w:tcPr>
            <w:tcW w:w="566" w:type="dxa"/>
            <w:vAlign w:val="center"/>
          </w:tcPr>
          <w:p>
            <w:pP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647" w:type="dxa"/>
            <w:vAlign w:val="center"/>
          </w:tcPr>
          <w:p>
            <w:pPr>
              <w:pStyle w:val="20"/>
              <w:rPr>
                <w:rFonts w:ascii="仿宋" w:hAnsi="仿宋" w:eastAsia="仿宋" w:cs="仿宋"/>
              </w:rPr>
            </w:pPr>
            <w:r>
              <w:rPr>
                <w:rFonts w:hint="eastAsia" w:ascii="仿宋" w:hAnsi="仿宋" w:eastAsia="仿宋" w:cs="仿宋"/>
              </w:rPr>
              <w:t>7</w:t>
            </w:r>
          </w:p>
        </w:tc>
        <w:tc>
          <w:tcPr>
            <w:tcW w:w="1274" w:type="dxa"/>
            <w:vAlign w:val="center"/>
          </w:tcPr>
          <w:p>
            <w:pPr>
              <w:pStyle w:val="20"/>
              <w:rPr>
                <w:rFonts w:ascii="仿宋" w:hAnsi="仿宋" w:eastAsia="仿宋" w:cs="仿宋"/>
              </w:rPr>
            </w:pPr>
            <w:r>
              <w:rPr>
                <w:rFonts w:hint="eastAsia" w:ascii="仿宋" w:hAnsi="仿宋" w:eastAsia="仿宋" w:cs="仿宋"/>
              </w:rPr>
              <w:t>服务器机柜</w:t>
            </w:r>
          </w:p>
        </w:tc>
        <w:tc>
          <w:tcPr>
            <w:tcW w:w="11454" w:type="dxa"/>
            <w:vAlign w:val="center"/>
          </w:tcPr>
          <w:p>
            <w:pPr>
              <w:rPr>
                <w:rFonts w:ascii="仿宋" w:hAnsi="仿宋" w:eastAsia="仿宋" w:cs="仿宋"/>
                <w:szCs w:val="21"/>
              </w:rPr>
            </w:pPr>
            <w:r>
              <w:rPr>
                <w:rFonts w:hint="eastAsia" w:ascii="仿宋" w:hAnsi="仿宋" w:eastAsia="仿宋" w:cs="仿宋"/>
                <w:szCs w:val="21"/>
              </w:rPr>
              <w:t>42U服务器机柜 </w:t>
            </w:r>
          </w:p>
          <w:p>
            <w:pPr>
              <w:rPr>
                <w:rFonts w:hint="eastAsia" w:ascii="仿宋" w:hAnsi="仿宋" w:eastAsia="仿宋" w:cs="仿宋"/>
                <w:szCs w:val="21"/>
                <w:lang w:eastAsia="zh-CN"/>
              </w:rPr>
            </w:pPr>
            <w:r>
              <w:rPr>
                <w:rFonts w:hint="eastAsia" w:ascii="仿宋" w:hAnsi="仿宋" w:eastAsia="仿宋" w:cs="仿宋"/>
                <w:szCs w:val="21"/>
              </w:rPr>
              <w:t>规格参考尺寸：2000mm高×600mm宽×1000mm深；</w:t>
            </w:r>
          </w:p>
          <w:p>
            <w:pPr>
              <w:rPr>
                <w:rFonts w:hint="eastAsia" w:ascii="仿宋" w:hAnsi="仿宋" w:eastAsia="仿宋" w:cs="仿宋"/>
                <w:szCs w:val="21"/>
                <w:lang w:eastAsia="zh-CN"/>
              </w:rPr>
            </w:pPr>
            <w:r>
              <w:rPr>
                <w:rFonts w:hint="eastAsia" w:ascii="仿宋" w:hAnsi="仿宋" w:eastAsia="仿宋" w:cs="仿宋"/>
                <w:szCs w:val="21"/>
              </w:rPr>
              <w:t>黑色加厚板材，前后网状门带锁，提高通风率；提高机柜内置设备的允许可靠性。两边门可双向打开，底部走线孔通道大小可按需调整。里面配置隔板3个，6孔PDU插座1个，螺丝40套，配4个调整螺丝；</w:t>
            </w:r>
          </w:p>
          <w:p>
            <w:pPr>
              <w:rPr>
                <w:rFonts w:ascii="仿宋" w:hAnsi="仿宋" w:eastAsia="仿宋" w:cs="仿宋"/>
                <w:szCs w:val="21"/>
              </w:rPr>
            </w:pPr>
            <w:r>
              <w:rPr>
                <w:rFonts w:hint="eastAsia" w:ascii="仿宋" w:hAnsi="仿宋" w:eastAsia="仿宋" w:cs="仿宋"/>
                <w:szCs w:val="21"/>
              </w:rPr>
              <w:t>板材厚度：立柱2.0mm，侧门1.1mm。</w:t>
            </w:r>
          </w:p>
        </w:tc>
        <w:tc>
          <w:tcPr>
            <w:tcW w:w="566" w:type="dxa"/>
            <w:vAlign w:val="center"/>
          </w:tcPr>
          <w:p>
            <w:pP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647" w:type="dxa"/>
            <w:vAlign w:val="center"/>
          </w:tcPr>
          <w:p>
            <w:pPr>
              <w:pStyle w:val="20"/>
              <w:rPr>
                <w:rFonts w:ascii="仿宋" w:hAnsi="仿宋" w:eastAsia="仿宋" w:cs="仿宋"/>
              </w:rPr>
            </w:pPr>
            <w:r>
              <w:rPr>
                <w:rFonts w:hint="eastAsia" w:ascii="仿宋" w:hAnsi="仿宋" w:eastAsia="仿宋" w:cs="仿宋"/>
              </w:rPr>
              <w:t>8</w:t>
            </w:r>
          </w:p>
        </w:tc>
        <w:tc>
          <w:tcPr>
            <w:tcW w:w="1274" w:type="dxa"/>
            <w:vAlign w:val="center"/>
          </w:tcPr>
          <w:p>
            <w:pPr>
              <w:pStyle w:val="20"/>
              <w:rPr>
                <w:rFonts w:ascii="仿宋" w:hAnsi="仿宋" w:eastAsia="仿宋" w:cs="仿宋"/>
              </w:rPr>
            </w:pPr>
            <w:r>
              <w:rPr>
                <w:rFonts w:hint="eastAsia" w:ascii="仿宋" w:hAnsi="仿宋" w:eastAsia="仿宋" w:cs="仿宋"/>
              </w:rPr>
              <w:t>汇聚交换机</w:t>
            </w:r>
          </w:p>
        </w:tc>
        <w:tc>
          <w:tcPr>
            <w:tcW w:w="11454" w:type="dxa"/>
            <w:vAlign w:val="center"/>
          </w:tcPr>
          <w:p>
            <w:pPr>
              <w:widowControl/>
              <w:jc w:val="left"/>
              <w:rPr>
                <w:rFonts w:ascii="仿宋" w:hAnsi="仿宋" w:eastAsia="仿宋" w:cs="仿宋"/>
                <w:color w:val="000000"/>
                <w:kern w:val="0"/>
                <w:szCs w:val="21"/>
              </w:rPr>
            </w:pPr>
            <w:r>
              <w:rPr>
                <w:rFonts w:hint="eastAsia" w:ascii="仿宋" w:hAnsi="仿宋" w:eastAsia="仿宋" w:cs="仿宋"/>
                <w:color w:val="000000"/>
                <w:kern w:val="0"/>
                <w:szCs w:val="21"/>
              </w:rPr>
              <w:t>24个 10GE SFP+端口，6个40GE QSFP端口</w:t>
            </w:r>
          </w:p>
          <w:p>
            <w:pPr>
              <w:widowControl/>
              <w:jc w:val="left"/>
              <w:rPr>
                <w:rFonts w:ascii="仿宋" w:hAnsi="仿宋" w:eastAsia="仿宋" w:cs="仿宋"/>
                <w:color w:val="000000"/>
                <w:kern w:val="0"/>
                <w:szCs w:val="21"/>
              </w:rPr>
            </w:pPr>
            <w:r>
              <w:rPr>
                <w:rFonts w:hint="eastAsia" w:ascii="仿宋" w:hAnsi="仿宋" w:eastAsia="仿宋" w:cs="仿宋"/>
                <w:color w:val="000000"/>
                <w:kern w:val="0"/>
                <w:szCs w:val="21"/>
              </w:rPr>
              <w:t>可插拔双电源，支持1+1电源备份，默认含1个600W交流电源</w:t>
            </w:r>
          </w:p>
          <w:p>
            <w:pPr>
              <w:widowControl/>
              <w:jc w:val="left"/>
              <w:rPr>
                <w:rFonts w:ascii="仿宋" w:hAnsi="仿宋" w:eastAsia="仿宋" w:cs="仿宋"/>
                <w:color w:val="000000"/>
                <w:kern w:val="0"/>
                <w:szCs w:val="21"/>
              </w:rPr>
            </w:pPr>
            <w:r>
              <w:rPr>
                <w:rFonts w:hint="eastAsia" w:ascii="仿宋" w:hAnsi="仿宋" w:eastAsia="仿宋" w:cs="仿宋"/>
                <w:color w:val="000000"/>
                <w:kern w:val="0"/>
                <w:szCs w:val="21"/>
              </w:rPr>
              <w:t>4个独立可插拔风扇，支持前后风道</w:t>
            </w:r>
          </w:p>
          <w:p>
            <w:pPr>
              <w:widowControl/>
              <w:jc w:val="left"/>
              <w:rPr>
                <w:rFonts w:ascii="仿宋" w:hAnsi="仿宋" w:eastAsia="仿宋" w:cs="仿宋"/>
                <w:color w:val="000000"/>
                <w:kern w:val="0"/>
                <w:szCs w:val="21"/>
              </w:rPr>
            </w:pPr>
            <w:r>
              <w:rPr>
                <w:rFonts w:hint="eastAsia" w:ascii="仿宋" w:hAnsi="仿宋" w:eastAsia="仿宋" w:cs="仿宋"/>
                <w:color w:val="000000"/>
                <w:kern w:val="0"/>
                <w:szCs w:val="21"/>
              </w:rPr>
              <w:t>包转发率：720M/792Mpps</w:t>
            </w:r>
          </w:p>
          <w:p>
            <w:pPr>
              <w:widowControl/>
              <w:jc w:val="left"/>
              <w:rPr>
                <w:rFonts w:ascii="仿宋" w:hAnsi="仿宋" w:eastAsia="仿宋" w:cs="仿宋"/>
                <w:szCs w:val="21"/>
              </w:rPr>
            </w:pPr>
            <w:r>
              <w:rPr>
                <w:rFonts w:hint="eastAsia" w:ascii="仿宋" w:hAnsi="仿宋" w:eastAsia="仿宋" w:cs="仿宋"/>
                <w:color w:val="000000"/>
                <w:kern w:val="0"/>
                <w:szCs w:val="21"/>
              </w:rPr>
              <w:t>交换容量：2.4T/24Tbps</w:t>
            </w:r>
          </w:p>
        </w:tc>
        <w:tc>
          <w:tcPr>
            <w:tcW w:w="566" w:type="dxa"/>
            <w:vAlign w:val="center"/>
          </w:tcPr>
          <w:p>
            <w:pP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647" w:type="dxa"/>
            <w:vAlign w:val="center"/>
          </w:tcPr>
          <w:p>
            <w:pPr>
              <w:pStyle w:val="20"/>
              <w:rPr>
                <w:rFonts w:ascii="仿宋" w:hAnsi="仿宋" w:eastAsia="仿宋" w:cs="仿宋"/>
              </w:rPr>
            </w:pPr>
            <w:r>
              <w:rPr>
                <w:rFonts w:hint="eastAsia" w:ascii="仿宋" w:hAnsi="仿宋" w:eastAsia="仿宋" w:cs="仿宋"/>
              </w:rPr>
              <w:t>9</w:t>
            </w:r>
          </w:p>
        </w:tc>
        <w:tc>
          <w:tcPr>
            <w:tcW w:w="1274" w:type="dxa"/>
            <w:vAlign w:val="center"/>
          </w:tcPr>
          <w:p>
            <w:pPr>
              <w:pStyle w:val="20"/>
              <w:rPr>
                <w:rFonts w:ascii="仿宋" w:hAnsi="仿宋" w:eastAsia="仿宋" w:cs="仿宋"/>
              </w:rPr>
            </w:pPr>
            <w:r>
              <w:rPr>
                <w:rFonts w:hint="eastAsia" w:ascii="仿宋" w:hAnsi="仿宋" w:eastAsia="仿宋" w:cs="仿宋"/>
              </w:rPr>
              <w:t>接入交换机</w:t>
            </w:r>
          </w:p>
        </w:tc>
        <w:tc>
          <w:tcPr>
            <w:tcW w:w="11454" w:type="dxa"/>
            <w:vAlign w:val="center"/>
          </w:tcPr>
          <w:p>
            <w:pPr>
              <w:widowControl/>
              <w:jc w:val="left"/>
              <w:rPr>
                <w:rFonts w:ascii="仿宋" w:hAnsi="仿宋" w:eastAsia="仿宋" w:cs="仿宋"/>
                <w:color w:val="000000"/>
                <w:kern w:val="0"/>
                <w:szCs w:val="21"/>
              </w:rPr>
            </w:pPr>
            <w:r>
              <w:rPr>
                <w:rFonts w:hint="eastAsia" w:ascii="仿宋" w:hAnsi="仿宋" w:eastAsia="仿宋" w:cs="仿宋"/>
                <w:color w:val="000000"/>
                <w:kern w:val="0"/>
                <w:szCs w:val="21"/>
              </w:rPr>
              <w:t>组合配置(24个10/100/1000BASE-T以太网端口,4个万兆SFP+</w:t>
            </w:r>
          </w:p>
          <w:p>
            <w:pPr>
              <w:widowControl/>
              <w:jc w:val="left"/>
              <w:rPr>
                <w:rFonts w:ascii="仿宋" w:hAnsi="仿宋" w:eastAsia="仿宋" w:cs="仿宋"/>
                <w:color w:val="000000"/>
                <w:kern w:val="0"/>
                <w:szCs w:val="21"/>
              </w:rPr>
            </w:pPr>
            <w:r>
              <w:rPr>
                <w:rFonts w:hint="eastAsia" w:ascii="仿宋" w:hAnsi="仿宋" w:eastAsia="仿宋" w:cs="仿宋"/>
                <w:color w:val="000000"/>
                <w:kern w:val="0"/>
                <w:szCs w:val="21"/>
              </w:rPr>
              <w:t>支持1+1电源备份</w:t>
            </w:r>
          </w:p>
          <w:p>
            <w:pPr>
              <w:widowControl/>
              <w:jc w:val="left"/>
              <w:rPr>
                <w:rFonts w:ascii="仿宋" w:hAnsi="仿宋" w:eastAsia="仿宋" w:cs="仿宋"/>
                <w:color w:val="000000"/>
                <w:kern w:val="0"/>
                <w:szCs w:val="21"/>
              </w:rPr>
            </w:pPr>
            <w:r>
              <w:rPr>
                <w:rFonts w:hint="eastAsia" w:ascii="仿宋" w:hAnsi="仿宋" w:eastAsia="仿宋" w:cs="仿宋"/>
                <w:color w:val="000000"/>
                <w:kern w:val="0"/>
                <w:szCs w:val="21"/>
              </w:rPr>
              <w:t>默认带一个60W交流电源模块</w:t>
            </w:r>
          </w:p>
          <w:p>
            <w:pPr>
              <w:widowControl/>
              <w:jc w:val="left"/>
              <w:rPr>
                <w:rFonts w:ascii="仿宋" w:hAnsi="仿宋" w:eastAsia="仿宋" w:cs="仿宋"/>
                <w:color w:val="000000"/>
                <w:kern w:val="0"/>
                <w:szCs w:val="21"/>
              </w:rPr>
            </w:pPr>
            <w:r>
              <w:rPr>
                <w:rFonts w:hint="eastAsia" w:ascii="仿宋" w:hAnsi="仿宋" w:eastAsia="仿宋" w:cs="仿宋"/>
                <w:color w:val="000000"/>
                <w:kern w:val="0"/>
                <w:szCs w:val="21"/>
              </w:rPr>
              <w:t>包转发率:108/126Mpps</w:t>
            </w:r>
          </w:p>
          <w:p>
            <w:pPr>
              <w:widowControl/>
              <w:jc w:val="left"/>
              <w:rPr>
                <w:rFonts w:ascii="仿宋" w:hAnsi="仿宋" w:eastAsia="仿宋" w:cs="仿宋"/>
                <w:szCs w:val="21"/>
              </w:rPr>
            </w:pPr>
            <w:r>
              <w:rPr>
                <w:rFonts w:hint="eastAsia" w:ascii="仿宋" w:hAnsi="仿宋" w:eastAsia="仿宋" w:cs="仿宋"/>
                <w:color w:val="000000"/>
                <w:kern w:val="0"/>
                <w:szCs w:val="21"/>
              </w:rPr>
              <w:t>交换容量:336Gbps/3.36Tbps</w:t>
            </w:r>
          </w:p>
        </w:tc>
        <w:tc>
          <w:tcPr>
            <w:tcW w:w="566" w:type="dxa"/>
            <w:vAlign w:val="center"/>
          </w:tcPr>
          <w:p>
            <w:pP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647" w:type="dxa"/>
            <w:vAlign w:val="center"/>
          </w:tcPr>
          <w:p>
            <w:pPr>
              <w:pStyle w:val="20"/>
              <w:rPr>
                <w:rFonts w:ascii="仿宋" w:hAnsi="仿宋" w:eastAsia="仿宋" w:cs="仿宋"/>
              </w:rPr>
            </w:pPr>
            <w:r>
              <w:rPr>
                <w:rFonts w:hint="eastAsia" w:ascii="仿宋" w:hAnsi="仿宋" w:eastAsia="仿宋" w:cs="仿宋"/>
              </w:rPr>
              <w:t>10</w:t>
            </w:r>
          </w:p>
        </w:tc>
        <w:tc>
          <w:tcPr>
            <w:tcW w:w="1274" w:type="dxa"/>
            <w:vAlign w:val="center"/>
          </w:tcPr>
          <w:p>
            <w:pPr>
              <w:pStyle w:val="20"/>
              <w:rPr>
                <w:rFonts w:ascii="仿宋" w:hAnsi="仿宋" w:eastAsia="仿宋" w:cs="仿宋"/>
              </w:rPr>
            </w:pPr>
            <w:r>
              <w:rPr>
                <w:rFonts w:hint="eastAsia" w:ascii="仿宋" w:hAnsi="仿宋" w:eastAsia="仿宋" w:cs="仿宋"/>
              </w:rPr>
              <w:t>系统集成</w:t>
            </w:r>
          </w:p>
        </w:tc>
        <w:tc>
          <w:tcPr>
            <w:tcW w:w="11454" w:type="dxa"/>
            <w:vAlign w:val="center"/>
          </w:tcPr>
          <w:p>
            <w:pPr>
              <w:rPr>
                <w:rFonts w:ascii="仿宋" w:hAnsi="仿宋" w:eastAsia="仿宋" w:cs="仿宋"/>
                <w:color w:val="000000"/>
                <w:kern w:val="0"/>
                <w:szCs w:val="21"/>
              </w:rPr>
            </w:pPr>
            <w:r>
              <w:rPr>
                <w:rFonts w:hint="eastAsia" w:ascii="仿宋" w:hAnsi="仿宋" w:eastAsia="仿宋" w:cs="仿宋"/>
                <w:szCs w:val="21"/>
              </w:rPr>
              <w:t>移动云平台软硬件安装调试</w:t>
            </w:r>
          </w:p>
        </w:tc>
        <w:tc>
          <w:tcPr>
            <w:tcW w:w="566" w:type="dxa"/>
            <w:vAlign w:val="center"/>
          </w:tcPr>
          <w:p>
            <w:pPr>
              <w:pStyle w:val="20"/>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647" w:type="dxa"/>
            <w:vAlign w:val="center"/>
          </w:tcPr>
          <w:p>
            <w:pPr>
              <w:rPr>
                <w:rFonts w:ascii="仿宋" w:hAnsi="仿宋" w:eastAsia="仿宋" w:cs="仿宋"/>
              </w:rPr>
            </w:pPr>
            <w:r>
              <w:rPr>
                <w:rFonts w:hint="eastAsia" w:ascii="仿宋" w:hAnsi="仿宋" w:eastAsia="仿宋" w:cs="仿宋"/>
              </w:rPr>
              <w:t>序号</w:t>
            </w:r>
          </w:p>
        </w:tc>
        <w:tc>
          <w:tcPr>
            <w:tcW w:w="1274" w:type="dxa"/>
            <w:vAlign w:val="center"/>
          </w:tcPr>
          <w:p>
            <w:pPr>
              <w:rPr>
                <w:rFonts w:ascii="仿宋" w:hAnsi="仿宋" w:eastAsia="仿宋" w:cs="仿宋"/>
              </w:rPr>
            </w:pPr>
            <w:r>
              <w:rPr>
                <w:rFonts w:hint="eastAsia" w:ascii="仿宋" w:hAnsi="仿宋" w:eastAsia="仿宋" w:cs="仿宋"/>
              </w:rPr>
              <w:t>系统名称</w:t>
            </w:r>
          </w:p>
        </w:tc>
        <w:tc>
          <w:tcPr>
            <w:tcW w:w="11454" w:type="dxa"/>
            <w:vAlign w:val="center"/>
          </w:tcPr>
          <w:p>
            <w:pPr>
              <w:rPr>
                <w:rFonts w:ascii="仿宋" w:hAnsi="仿宋" w:eastAsia="仿宋" w:cs="仿宋"/>
                <w:szCs w:val="21"/>
              </w:rPr>
            </w:pPr>
            <w:r>
              <w:rPr>
                <w:rFonts w:hint="eastAsia" w:ascii="仿宋" w:hAnsi="仿宋" w:eastAsia="仿宋" w:cs="仿宋"/>
                <w:szCs w:val="21"/>
              </w:rPr>
              <w:t>技术参数</w:t>
            </w:r>
          </w:p>
        </w:tc>
        <w:tc>
          <w:tcPr>
            <w:tcW w:w="566" w:type="dxa"/>
            <w:vAlign w:val="center"/>
          </w:tcPr>
          <w:p>
            <w:pPr>
              <w:rPr>
                <w:rFonts w:ascii="仿宋" w:hAnsi="仿宋" w:eastAsia="仿宋" w:cs="仿宋"/>
              </w:rPr>
            </w:pPr>
            <w:r>
              <w:rPr>
                <w:rFonts w:hint="eastAsia" w:ascii="仿宋" w:hAnsi="仿宋" w:eastAsia="仿宋" w:cs="仿宋"/>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647" w:type="dxa"/>
            <w:vAlign w:val="center"/>
          </w:tcPr>
          <w:p>
            <w:pPr>
              <w:pStyle w:val="20"/>
              <w:rPr>
                <w:rFonts w:ascii="仿宋" w:hAnsi="仿宋" w:eastAsia="仿宋" w:cs="仿宋"/>
              </w:rPr>
            </w:pPr>
            <w:r>
              <w:rPr>
                <w:rFonts w:hint="eastAsia" w:ascii="仿宋" w:hAnsi="仿宋" w:eastAsia="仿宋" w:cs="仿宋"/>
              </w:rPr>
              <w:t>1</w:t>
            </w:r>
          </w:p>
        </w:tc>
        <w:tc>
          <w:tcPr>
            <w:tcW w:w="1274" w:type="dxa"/>
            <w:vAlign w:val="center"/>
          </w:tcPr>
          <w:p>
            <w:pPr>
              <w:pStyle w:val="20"/>
              <w:rPr>
                <w:rFonts w:ascii="仿宋" w:hAnsi="仿宋" w:eastAsia="仿宋" w:cs="仿宋"/>
              </w:rPr>
            </w:pPr>
            <w:r>
              <w:rPr>
                <w:rFonts w:hint="eastAsia" w:ascii="仿宋" w:hAnsi="仿宋" w:eastAsia="仿宋" w:cs="仿宋"/>
              </w:rPr>
              <w:t>虚拟仿真实验教学项目管理与共享平台</w:t>
            </w:r>
          </w:p>
        </w:tc>
        <w:tc>
          <w:tcPr>
            <w:tcW w:w="11454" w:type="dxa"/>
            <w:vAlign w:val="center"/>
          </w:tcPr>
          <w:p>
            <w:pPr>
              <w:pStyle w:val="127"/>
              <w:ind w:left="0" w:firstLine="0"/>
              <w:rPr>
                <w:rFonts w:ascii="仿宋" w:hAnsi="仿宋" w:eastAsia="仿宋" w:cs="仿宋"/>
                <w:kern w:val="2"/>
              </w:rPr>
            </w:pPr>
            <w:bookmarkStart w:id="59" w:name="_Toc98514082"/>
            <w:r>
              <w:rPr>
                <w:rFonts w:hint="eastAsia" w:ascii="仿宋" w:hAnsi="仿宋" w:eastAsia="仿宋" w:cs="仿宋"/>
                <w:kern w:val="2"/>
              </w:rPr>
              <w:t>总体概述</w:t>
            </w:r>
            <w:bookmarkEnd w:id="59"/>
          </w:p>
          <w:p>
            <w:pPr>
              <w:rPr>
                <w:rFonts w:ascii="仿宋" w:hAnsi="仿宋" w:eastAsia="仿宋" w:cs="仿宋"/>
                <w:szCs w:val="21"/>
              </w:rPr>
            </w:pPr>
            <w:r>
              <w:rPr>
                <w:rFonts w:hint="eastAsia" w:ascii="仿宋" w:hAnsi="仿宋" w:eastAsia="仿宋" w:cs="仿宋"/>
                <w:szCs w:val="21"/>
              </w:rPr>
              <w:t>虚拟仿真实验教学项目管理与共享平台基于B/S网络架构以学校为一级门户的开放共享虚拟仿真实验教学管理的交互平台。平台面向全校师生和社会大众开放线上仿真实验一流课程服务，实现校内和校际间的实验资源共享，以体系化的虚拟仿真实验项目和课程资源为内容，内容和功能全面，支持对校内的虚拟仿真一流实验进行统一管理。</w:t>
            </w:r>
          </w:p>
          <w:p>
            <w:pPr>
              <w:rPr>
                <w:rFonts w:ascii="仿宋" w:hAnsi="仿宋" w:eastAsia="仿宋" w:cs="仿宋"/>
                <w:szCs w:val="21"/>
              </w:rPr>
            </w:pPr>
            <w:r>
              <w:rPr>
                <w:rFonts w:hint="eastAsia" w:ascii="仿宋" w:hAnsi="仿宋" w:eastAsia="仿宋" w:cs="仿宋"/>
                <w:szCs w:val="21"/>
              </w:rPr>
              <w:t>平台功能包括：各专业及学院的实验资源管理与维护、在线实验及网络管理；多层级，多模块，整合门户运营和校方虚拟仿真实验教学实验，可弹性扩充，可接受师生对共享平台实验预约，其接口满足国家级虚拟仿真实验教学项目申报要求。从而使教学、评价、虚拟仿真实验形成一个完整的在线教学体系。各模块相辅相成，有效提高平台内容展示效果及学生学习体验。</w:t>
            </w:r>
          </w:p>
          <w:p>
            <w:pPr>
              <w:pStyle w:val="127"/>
              <w:ind w:left="0" w:firstLine="0"/>
              <w:rPr>
                <w:rFonts w:ascii="仿宋" w:hAnsi="仿宋" w:eastAsia="仿宋" w:cs="仿宋"/>
              </w:rPr>
            </w:pPr>
            <w:bookmarkStart w:id="60" w:name="_Toc98514083"/>
            <w:r>
              <w:rPr>
                <w:rFonts w:hint="eastAsia" w:ascii="仿宋" w:hAnsi="仿宋" w:eastAsia="仿宋" w:cs="仿宋"/>
              </w:rPr>
              <w:t>虚拟仿真项目管理应用平台采购需求</w:t>
            </w:r>
            <w:bookmarkEnd w:id="60"/>
          </w:p>
          <w:p>
            <w:pPr>
              <w:pStyle w:val="135"/>
              <w:numPr>
                <w:ilvl w:val="0"/>
                <w:numId w:val="11"/>
              </w:numPr>
              <w:ind w:left="0" w:firstLine="0" w:firstLineChars="0"/>
              <w:rPr>
                <w:rFonts w:ascii="仿宋" w:hAnsi="仿宋" w:eastAsia="仿宋" w:cs="仿宋"/>
                <w:szCs w:val="21"/>
              </w:rPr>
            </w:pPr>
            <w:r>
              <w:rPr>
                <w:rFonts w:hint="eastAsia" w:ascii="仿宋" w:hAnsi="仿宋" w:eastAsia="仿宋" w:cs="仿宋"/>
                <w:szCs w:val="21"/>
              </w:rPr>
              <w:t>校级门户页可根据需求定制，主要包含资讯轮播图、推荐项目、新闻公告、应用排行、活动专题等模块，可由管理员在后台自定义内容和排列顺序。</w:t>
            </w:r>
          </w:p>
          <w:p>
            <w:pPr>
              <w:pStyle w:val="135"/>
              <w:numPr>
                <w:ilvl w:val="0"/>
                <w:numId w:val="11"/>
              </w:numPr>
              <w:ind w:left="0" w:firstLine="0" w:firstLineChars="0"/>
              <w:rPr>
                <w:rFonts w:ascii="仿宋" w:hAnsi="仿宋" w:eastAsia="仿宋" w:cs="仿宋"/>
                <w:szCs w:val="21"/>
              </w:rPr>
            </w:pPr>
            <w:r>
              <w:rPr>
                <w:rFonts w:hint="eastAsia" w:ascii="仿宋" w:hAnsi="仿宋" w:eastAsia="仿宋" w:cs="仿宋"/>
                <w:szCs w:val="21"/>
              </w:rPr>
              <w:t>平台配有活动专题功能，管理员用户可根据不同维度自定义配置活动专题供学生浏览和使用，所有活动专题均在后台进行统一配置，活动专题内包含的实验项目数量不限，形式不限。</w:t>
            </w:r>
          </w:p>
          <w:p>
            <w:pPr>
              <w:pStyle w:val="135"/>
              <w:numPr>
                <w:ilvl w:val="0"/>
                <w:numId w:val="11"/>
              </w:numPr>
              <w:ind w:left="0" w:firstLine="0" w:firstLineChars="0"/>
              <w:rPr>
                <w:rFonts w:ascii="仿宋" w:hAnsi="仿宋" w:eastAsia="仿宋" w:cs="仿宋"/>
                <w:szCs w:val="21"/>
              </w:rPr>
            </w:pPr>
            <w:r>
              <w:rPr>
                <w:rFonts w:hint="eastAsia" w:ascii="仿宋" w:hAnsi="仿宋" w:eastAsia="仿宋" w:cs="仿宋"/>
                <w:szCs w:val="21"/>
              </w:rPr>
              <w:t>▲系统将自动统计平台内所有实验的实验人次、好评人次、点赞人次，并据此汇总形成月排行榜和总排行榜，月排行榜每月自动更新排序。</w:t>
            </w:r>
          </w:p>
          <w:p>
            <w:pPr>
              <w:pStyle w:val="135"/>
              <w:numPr>
                <w:ilvl w:val="0"/>
                <w:numId w:val="11"/>
              </w:numPr>
              <w:ind w:left="0" w:firstLine="0" w:firstLineChars="0"/>
              <w:rPr>
                <w:rFonts w:ascii="仿宋" w:hAnsi="仿宋" w:eastAsia="仿宋" w:cs="仿宋"/>
                <w:szCs w:val="21"/>
              </w:rPr>
            </w:pPr>
            <w:r>
              <w:rPr>
                <w:rFonts w:hint="eastAsia" w:ascii="仿宋" w:hAnsi="仿宋" w:eastAsia="仿宋" w:cs="仿宋"/>
                <w:szCs w:val="21"/>
              </w:rPr>
              <w:t>▲需采用网盘的形式，用户可自行上传文件，文件类型包含办公文件、视频、音频、图片等。资源库中的文件可下载、删除、重命名、移动等，同时能将资源库的文件直接挂载至实验中。</w:t>
            </w:r>
          </w:p>
          <w:p>
            <w:pPr>
              <w:pStyle w:val="135"/>
              <w:numPr>
                <w:ilvl w:val="0"/>
                <w:numId w:val="11"/>
              </w:numPr>
              <w:ind w:left="0" w:firstLine="0" w:firstLineChars="0"/>
              <w:rPr>
                <w:rFonts w:ascii="仿宋" w:hAnsi="仿宋" w:eastAsia="仿宋" w:cs="仿宋"/>
                <w:szCs w:val="21"/>
              </w:rPr>
            </w:pPr>
            <w:r>
              <w:rPr>
                <w:rFonts w:hint="eastAsia" w:ascii="仿宋" w:hAnsi="仿宋" w:eastAsia="仿宋" w:cs="仿宋"/>
                <w:szCs w:val="21"/>
              </w:rPr>
              <w:t>管理员可自定义本校的组织架构，支持至少3级组织架构定义（机构、院校、班级），同时可向下任意扩展，组织构架可与用户数据、资源数据形成关联与联动。管理员可以对机构、学院、专业、班级等进行新增、删除、修改和查询与相关信息的维护。</w:t>
            </w:r>
          </w:p>
          <w:p>
            <w:pPr>
              <w:pStyle w:val="135"/>
              <w:numPr>
                <w:ilvl w:val="0"/>
                <w:numId w:val="11"/>
              </w:numPr>
              <w:ind w:left="0" w:firstLine="0" w:firstLineChars="0"/>
              <w:rPr>
                <w:rFonts w:ascii="仿宋" w:hAnsi="仿宋" w:eastAsia="仿宋" w:cs="仿宋"/>
                <w:szCs w:val="21"/>
              </w:rPr>
            </w:pPr>
            <w:r>
              <w:rPr>
                <w:rFonts w:hint="eastAsia" w:ascii="仿宋" w:hAnsi="仿宋" w:eastAsia="仿宋" w:cs="仿宋"/>
                <w:szCs w:val="21"/>
              </w:rPr>
              <w:t>支持用户数据的增、删、改、查，平台提供用户批量导入模板，支持用户模板批量导入。同时，支持将指定用户设置为教务管理员、教师，学生用户角色，并且角色也可以根据需求进行添加，给不同的角色配置不同的功能权限、使用界面和使用模块。</w:t>
            </w:r>
          </w:p>
          <w:p>
            <w:pPr>
              <w:pStyle w:val="135"/>
              <w:numPr>
                <w:ilvl w:val="0"/>
                <w:numId w:val="11"/>
              </w:numPr>
              <w:ind w:left="0" w:firstLine="0" w:firstLineChars="0"/>
              <w:rPr>
                <w:rFonts w:ascii="仿宋" w:hAnsi="仿宋" w:eastAsia="仿宋" w:cs="仿宋"/>
                <w:szCs w:val="21"/>
              </w:rPr>
            </w:pPr>
            <w:r>
              <w:rPr>
                <w:rFonts w:hint="eastAsia" w:ascii="仿宋" w:hAnsi="仿宋" w:eastAsia="仿宋" w:cs="仿宋"/>
                <w:szCs w:val="21"/>
              </w:rPr>
              <w:t>用户可以对自己的账户进行维护和修改密码。密码设置强度为8-20位，必须包含大写字母、小写字母、数字和特殊字符，对用户的信息进行严谨保护和保障。</w:t>
            </w:r>
          </w:p>
          <w:p>
            <w:pPr>
              <w:pStyle w:val="135"/>
              <w:numPr>
                <w:ilvl w:val="0"/>
                <w:numId w:val="11"/>
              </w:numPr>
              <w:ind w:left="0" w:firstLine="0" w:firstLineChars="0"/>
              <w:rPr>
                <w:rFonts w:ascii="仿宋" w:hAnsi="仿宋" w:eastAsia="仿宋" w:cs="仿宋"/>
                <w:szCs w:val="21"/>
              </w:rPr>
            </w:pPr>
            <w:r>
              <w:rPr>
                <w:rFonts w:hint="eastAsia" w:ascii="仿宋" w:hAnsi="仿宋" w:eastAsia="仿宋" w:cs="仿宋"/>
                <w:szCs w:val="21"/>
              </w:rPr>
              <w:t>在线实验能够兼容web版、pc版和链接版实验，对于web版软件和本地安装的虚拟仿真PC版实验均可实现网页启动和统一在线管理的功能，链接版实验可直接跳转启动。</w:t>
            </w:r>
          </w:p>
          <w:p>
            <w:pPr>
              <w:pStyle w:val="135"/>
              <w:numPr>
                <w:ilvl w:val="0"/>
                <w:numId w:val="11"/>
              </w:numPr>
              <w:ind w:left="0" w:firstLine="0" w:firstLineChars="0"/>
              <w:rPr>
                <w:rFonts w:ascii="仿宋" w:hAnsi="仿宋" w:eastAsia="仿宋" w:cs="仿宋"/>
                <w:szCs w:val="21"/>
              </w:rPr>
            </w:pPr>
            <w:r>
              <w:rPr>
                <w:rFonts w:hint="eastAsia" w:ascii="仿宋" w:hAnsi="仿宋" w:eastAsia="仿宋" w:cs="仿宋"/>
                <w:szCs w:val="21"/>
              </w:rPr>
              <w:t>用户可对实验进行提问，用户可以在个人中心查看自己发起的提问和参与的回答，提问发布后，教师及其他学生用户均可对问题进行回复。提问和回复均可添加视频和图片对提问内容进行补充。</w:t>
            </w:r>
          </w:p>
          <w:p>
            <w:pPr>
              <w:pStyle w:val="135"/>
              <w:numPr>
                <w:ilvl w:val="0"/>
                <w:numId w:val="11"/>
              </w:numPr>
              <w:ind w:left="0" w:firstLine="0" w:firstLineChars="0"/>
              <w:rPr>
                <w:rFonts w:ascii="仿宋" w:hAnsi="仿宋" w:eastAsia="仿宋" w:cs="仿宋"/>
                <w:szCs w:val="21"/>
              </w:rPr>
            </w:pPr>
            <w:r>
              <w:rPr>
                <w:rFonts w:hint="eastAsia" w:ascii="仿宋" w:hAnsi="仿宋" w:eastAsia="仿宋" w:cs="仿宋"/>
                <w:szCs w:val="21"/>
              </w:rPr>
              <w:t>教师可以在后台对用户发起的提问答疑和回复情况进行统一管理，可对提问答疑进行统一审核、删除、回复和进行数据统计。</w:t>
            </w:r>
          </w:p>
          <w:p>
            <w:pPr>
              <w:pStyle w:val="135"/>
              <w:numPr>
                <w:ilvl w:val="0"/>
                <w:numId w:val="11"/>
              </w:numPr>
              <w:ind w:left="0" w:firstLine="0" w:firstLineChars="0"/>
              <w:rPr>
                <w:rFonts w:ascii="仿宋" w:hAnsi="仿宋" w:eastAsia="仿宋" w:cs="仿宋"/>
                <w:szCs w:val="21"/>
              </w:rPr>
            </w:pPr>
            <w:r>
              <w:rPr>
                <w:rFonts w:hint="eastAsia" w:ascii="仿宋" w:hAnsi="仿宋" w:eastAsia="仿宋" w:cs="仿宋"/>
                <w:szCs w:val="21"/>
              </w:rPr>
              <w:t>学生可以根据自己对实验的学习体验情况对实验和教师的指导给予评分和评价，评价中可以添加视频和图片，系统会根据星级综合计算实验的星级。</w:t>
            </w:r>
          </w:p>
          <w:p>
            <w:pPr>
              <w:pStyle w:val="135"/>
              <w:numPr>
                <w:ilvl w:val="0"/>
                <w:numId w:val="11"/>
              </w:numPr>
              <w:ind w:left="0" w:firstLine="0" w:firstLineChars="0"/>
              <w:rPr>
                <w:rFonts w:ascii="仿宋" w:hAnsi="仿宋" w:eastAsia="仿宋" w:cs="仿宋"/>
                <w:szCs w:val="21"/>
              </w:rPr>
            </w:pPr>
            <w:r>
              <w:rPr>
                <w:rFonts w:hint="eastAsia" w:ascii="仿宋" w:hAnsi="仿宋" w:eastAsia="仿宋" w:cs="仿宋"/>
                <w:szCs w:val="21"/>
              </w:rPr>
              <w:t>▲教师工作台配置了实验评价管理功能，教师用户可以统一管理用户的评价，并进行删除和回复等操作，并且系统会自动统计综合评分、好评率和近一周、一个月、半年。</w:t>
            </w:r>
          </w:p>
          <w:p>
            <w:pPr>
              <w:pStyle w:val="135"/>
              <w:numPr>
                <w:ilvl w:val="0"/>
                <w:numId w:val="11"/>
              </w:numPr>
              <w:ind w:left="0" w:firstLine="0" w:firstLineChars="0"/>
              <w:rPr>
                <w:rFonts w:ascii="仿宋" w:hAnsi="仿宋" w:eastAsia="仿宋" w:cs="仿宋"/>
                <w:szCs w:val="21"/>
              </w:rPr>
            </w:pPr>
            <w:r>
              <w:rPr>
                <w:rFonts w:hint="eastAsia" w:ascii="仿宋" w:hAnsi="仿宋" w:eastAsia="仿宋" w:cs="仿宋"/>
                <w:szCs w:val="21"/>
              </w:rPr>
              <w:t>教师可以为实验配置相关的实验资料，资料类型包括但不限于图文型、文档型、视频型，资料可以进行在线学习，部分资料可提供下载。</w:t>
            </w:r>
          </w:p>
          <w:p>
            <w:pPr>
              <w:pStyle w:val="135"/>
              <w:numPr>
                <w:ilvl w:val="0"/>
                <w:numId w:val="11"/>
              </w:numPr>
              <w:ind w:left="0" w:firstLine="0" w:firstLineChars="0"/>
              <w:rPr>
                <w:rFonts w:ascii="仿宋" w:hAnsi="仿宋" w:eastAsia="仿宋" w:cs="仿宋"/>
                <w:szCs w:val="21"/>
              </w:rPr>
            </w:pPr>
            <w:r>
              <w:rPr>
                <w:rFonts w:hint="eastAsia" w:ascii="仿宋" w:hAnsi="仿宋" w:eastAsia="仿宋" w:cs="仿宋"/>
                <w:szCs w:val="21"/>
              </w:rPr>
              <w:t>▲教师能够查看学生对实验资料的学习情况，包括：资料浏览量、下载量和学习次数。数据表单可以根据不同的班级进行筛选，学习报表支持下载。</w:t>
            </w:r>
          </w:p>
          <w:p>
            <w:pPr>
              <w:pStyle w:val="135"/>
              <w:numPr>
                <w:ilvl w:val="0"/>
                <w:numId w:val="11"/>
              </w:numPr>
              <w:ind w:left="0" w:firstLine="0" w:firstLineChars="0"/>
              <w:rPr>
                <w:rFonts w:ascii="仿宋" w:hAnsi="仿宋" w:eastAsia="仿宋" w:cs="仿宋"/>
                <w:szCs w:val="21"/>
              </w:rPr>
            </w:pPr>
            <w:r>
              <w:rPr>
                <w:rFonts w:hint="eastAsia" w:ascii="仿宋" w:hAnsi="仿宋" w:eastAsia="仿宋" w:cs="仿宋"/>
                <w:szCs w:val="21"/>
              </w:rPr>
              <w:t>平台中的实验、资料和笔记等内容可以进行收藏操作，收藏后在用户个人中心汇总。用户可以自定义收藏夹，对收藏的资源进行分类，可以将已经收藏的资源移动至收藏夹内，也可对收藏夹进行重新编辑，收藏夹下的资源不受到影响。</w:t>
            </w:r>
          </w:p>
          <w:p>
            <w:pPr>
              <w:pStyle w:val="135"/>
              <w:numPr>
                <w:ilvl w:val="0"/>
                <w:numId w:val="11"/>
              </w:numPr>
              <w:ind w:left="0" w:firstLine="0" w:firstLineChars="0"/>
              <w:rPr>
                <w:rFonts w:ascii="仿宋" w:hAnsi="仿宋" w:eastAsia="仿宋" w:cs="仿宋"/>
                <w:szCs w:val="21"/>
              </w:rPr>
            </w:pPr>
            <w:r>
              <w:rPr>
                <w:rFonts w:hint="eastAsia" w:ascii="仿宋" w:hAnsi="仿宋" w:eastAsia="仿宋" w:cs="仿宋"/>
                <w:szCs w:val="21"/>
              </w:rPr>
              <w:t>所有用户均配置个人中心系统，所有用户可在个人中心系统中查看自己参与的实验、自己参与的讨论、自己对实验的评价、自己在学习过程中产生的实验笔记、收藏的资源等个性化数据，供用户查看自己的学习轨迹。</w:t>
            </w:r>
          </w:p>
          <w:p>
            <w:pPr>
              <w:pStyle w:val="135"/>
              <w:numPr>
                <w:ilvl w:val="0"/>
                <w:numId w:val="11"/>
              </w:numPr>
              <w:ind w:left="0" w:firstLine="0" w:firstLineChars="0"/>
              <w:rPr>
                <w:rFonts w:ascii="仿宋" w:hAnsi="仿宋" w:eastAsia="仿宋" w:cs="仿宋"/>
                <w:szCs w:val="21"/>
              </w:rPr>
            </w:pPr>
            <w:r>
              <w:rPr>
                <w:rFonts w:hint="eastAsia" w:ascii="仿宋" w:hAnsi="仿宋" w:eastAsia="仿宋" w:cs="仿宋"/>
                <w:szCs w:val="21"/>
              </w:rPr>
              <w:t>▲平台可根据用户参与实验的记录自动生成实验记录表单，并且可通过实验成绩区间和成绩进行筛选操作，同时，可根据实验记录自动生成实验统计结果，结果包含但不限于：实验总次数、平均分、综合评级、实验平均时长、最高分、最低分、最长用时、最短用时、报告提交次数等，系统可根据用户的学习数据自动生成学生关于实验的成长轨迹曲线</w:t>
            </w:r>
          </w:p>
          <w:p>
            <w:pPr>
              <w:pStyle w:val="135"/>
              <w:numPr>
                <w:ilvl w:val="0"/>
                <w:numId w:val="11"/>
              </w:numPr>
              <w:ind w:left="0" w:firstLine="0" w:firstLineChars="0"/>
              <w:rPr>
                <w:rFonts w:ascii="仿宋" w:hAnsi="仿宋" w:eastAsia="仿宋" w:cs="仿宋"/>
                <w:szCs w:val="21"/>
              </w:rPr>
            </w:pPr>
            <w:r>
              <w:rPr>
                <w:rFonts w:hint="eastAsia" w:ascii="仿宋" w:hAnsi="仿宋" w:eastAsia="仿宋" w:cs="仿宋"/>
                <w:szCs w:val="21"/>
              </w:rPr>
              <w:t>用户可在学习实验资料的过程中记录笔记，用户在打开实验资料学习界面时，系统将自动加载用户之前针对该实验资料记录的笔记，此时用户就可在之前的笔记基础上对笔记进行编辑和修改操作，学生用户记录的在线笔记可提交进行公开发布。</w:t>
            </w:r>
          </w:p>
          <w:p>
            <w:pPr>
              <w:pStyle w:val="135"/>
              <w:numPr>
                <w:ilvl w:val="0"/>
                <w:numId w:val="11"/>
              </w:numPr>
              <w:ind w:left="0" w:firstLine="0" w:firstLineChars="0"/>
              <w:rPr>
                <w:rFonts w:ascii="仿宋" w:hAnsi="仿宋" w:eastAsia="仿宋" w:cs="仿宋"/>
                <w:szCs w:val="21"/>
              </w:rPr>
            </w:pPr>
            <w:r>
              <w:rPr>
                <w:rFonts w:hint="eastAsia" w:ascii="仿宋" w:hAnsi="仿宋" w:eastAsia="仿宋" w:cs="仿宋"/>
                <w:szCs w:val="21"/>
              </w:rPr>
              <w:t>所有提交公开发布的笔记需要经过教师审核，教师可在教师工作台对提交的笔记进行审核，并对需要公开的笔记进行评级，等级包括：优秀、合格和不合格三级。</w:t>
            </w:r>
          </w:p>
          <w:p>
            <w:pPr>
              <w:pStyle w:val="135"/>
              <w:numPr>
                <w:ilvl w:val="0"/>
                <w:numId w:val="11"/>
              </w:numPr>
              <w:ind w:left="0" w:firstLine="0" w:firstLineChars="0"/>
              <w:rPr>
                <w:rFonts w:ascii="仿宋" w:hAnsi="仿宋" w:eastAsia="仿宋" w:cs="仿宋"/>
                <w:szCs w:val="21"/>
              </w:rPr>
            </w:pPr>
            <w:r>
              <w:rPr>
                <w:rFonts w:hint="eastAsia" w:ascii="仿宋" w:hAnsi="仿宋" w:eastAsia="仿宋" w:cs="仿宋"/>
                <w:szCs w:val="21"/>
              </w:rPr>
              <w:t>▲教师可根据不同的实验配置不同类型的模块，模块类型包括：图文型、实验资料型、讨论型、记录型、评价型，以上模块可任意组合，并且可以改变展示的先后顺序。</w:t>
            </w:r>
          </w:p>
          <w:p>
            <w:pPr>
              <w:pStyle w:val="135"/>
              <w:numPr>
                <w:ilvl w:val="0"/>
                <w:numId w:val="11"/>
              </w:numPr>
              <w:ind w:left="0" w:firstLine="0" w:firstLineChars="0"/>
              <w:rPr>
                <w:rFonts w:ascii="仿宋" w:hAnsi="仿宋" w:eastAsia="仿宋" w:cs="仿宋"/>
                <w:szCs w:val="21"/>
              </w:rPr>
            </w:pPr>
            <w:r>
              <w:rPr>
                <w:rFonts w:hint="eastAsia" w:ascii="仿宋" w:hAnsi="仿宋" w:eastAsia="仿宋" w:cs="仿宋"/>
                <w:szCs w:val="21"/>
              </w:rPr>
              <w:t>▲教师可查看班级下学生对实验的学情数据统计，包括班级下学生的实验次数、实验总时长、平均分、最高分、最低分，平均用时、综合得分、综合评价、实验报告以及单个学生学习的成长曲线。</w:t>
            </w:r>
          </w:p>
          <w:p>
            <w:pPr>
              <w:pStyle w:val="135"/>
              <w:numPr>
                <w:ilvl w:val="0"/>
                <w:numId w:val="11"/>
              </w:numPr>
              <w:ind w:left="0" w:firstLine="0" w:firstLineChars="0"/>
              <w:rPr>
                <w:rFonts w:ascii="仿宋" w:hAnsi="仿宋" w:eastAsia="仿宋" w:cs="仿宋"/>
                <w:szCs w:val="21"/>
              </w:rPr>
            </w:pPr>
            <w:r>
              <w:rPr>
                <w:rFonts w:hint="eastAsia" w:ascii="仿宋" w:hAnsi="仿宋" w:eastAsia="仿宋" w:cs="仿宋"/>
                <w:szCs w:val="21"/>
              </w:rPr>
              <w:t>教务管理员用户可管理全校的虚拟仿真实验并对每个虚拟仿真实验进行审核，对于不符合规定的课程和实验进行强制禁用，维护平台的持续运营和内容安全。</w:t>
            </w:r>
          </w:p>
          <w:p>
            <w:pPr>
              <w:pStyle w:val="135"/>
              <w:numPr>
                <w:ilvl w:val="0"/>
                <w:numId w:val="11"/>
              </w:numPr>
              <w:ind w:left="0" w:firstLine="0" w:firstLineChars="0"/>
              <w:rPr>
                <w:rFonts w:ascii="仿宋" w:hAnsi="仿宋" w:eastAsia="仿宋" w:cs="仿宋"/>
                <w:szCs w:val="21"/>
              </w:rPr>
            </w:pPr>
            <w:r>
              <w:rPr>
                <w:rFonts w:hint="eastAsia" w:ascii="仿宋" w:hAnsi="仿宋" w:eastAsia="仿宋" w:cs="仿宋"/>
                <w:szCs w:val="21"/>
              </w:rPr>
              <w:t>教务管理员可以维护实验资源的展示信息包括：名称、所属专业、负责教师、实验封面、介绍视频、引导视频、实验简介、实验评级和类型、联系电话、实验原理和实验要求等信息进行添加，并可上传实验软件资源等。</w:t>
            </w:r>
          </w:p>
          <w:p>
            <w:pPr>
              <w:pStyle w:val="135"/>
              <w:numPr>
                <w:ilvl w:val="0"/>
                <w:numId w:val="11"/>
              </w:numPr>
              <w:ind w:left="0" w:firstLine="0" w:firstLineChars="0"/>
              <w:rPr>
                <w:rFonts w:ascii="仿宋" w:hAnsi="仿宋" w:eastAsia="仿宋" w:cs="仿宋"/>
                <w:szCs w:val="21"/>
              </w:rPr>
            </w:pPr>
            <w:r>
              <w:rPr>
                <w:rFonts w:hint="eastAsia" w:ascii="仿宋" w:hAnsi="仿宋" w:eastAsia="仿宋" w:cs="仿宋"/>
                <w:szCs w:val="21"/>
              </w:rPr>
              <w:t>教师若需建设新的实验，需提交新课申请，教务管理员则需对实验资源和实验内容等进行审核，申请通过后，教师即可对实验进行进一步的配置。在审批过程中，教务管理员可拒绝建设不合理的实验，并提出拒绝意见或整改意见，教师完成整改后再申请上线。</w:t>
            </w:r>
          </w:p>
          <w:p>
            <w:pPr>
              <w:pStyle w:val="135"/>
              <w:numPr>
                <w:ilvl w:val="0"/>
                <w:numId w:val="11"/>
              </w:numPr>
              <w:ind w:left="0" w:firstLine="0" w:firstLineChars="0"/>
              <w:rPr>
                <w:rFonts w:ascii="仿宋" w:hAnsi="仿宋" w:eastAsia="仿宋" w:cs="仿宋"/>
                <w:szCs w:val="21"/>
              </w:rPr>
            </w:pPr>
            <w:r>
              <w:rPr>
                <w:rFonts w:hint="eastAsia" w:ascii="仿宋" w:hAnsi="仿宋" w:eastAsia="仿宋" w:cs="仿宋"/>
                <w:szCs w:val="21"/>
              </w:rPr>
              <w:t>管理员可以对平台内的资源进行审核功能，可以删除不当或无用信息，对于合格的资源审核通过后，其他用户则可进行实验和学习。</w:t>
            </w:r>
          </w:p>
          <w:p>
            <w:pPr>
              <w:pStyle w:val="135"/>
              <w:numPr>
                <w:ilvl w:val="0"/>
                <w:numId w:val="11"/>
              </w:numPr>
              <w:ind w:left="0" w:firstLine="0" w:firstLineChars="0"/>
              <w:rPr>
                <w:rFonts w:ascii="仿宋" w:hAnsi="仿宋" w:eastAsia="仿宋" w:cs="仿宋"/>
                <w:szCs w:val="21"/>
              </w:rPr>
            </w:pPr>
            <w:r>
              <w:rPr>
                <w:rFonts w:hint="eastAsia" w:ascii="仿宋" w:hAnsi="仿宋" w:eastAsia="仿宋" w:cs="仿宋"/>
                <w:szCs w:val="21"/>
              </w:rPr>
              <w:t>管理员可以设置实验资源是否对外开放共享，并设置实验的权限和状态，若实验资源不对外开放共享，用户则只能浏览实验的基本信息，不能对实验进行操作。</w:t>
            </w:r>
          </w:p>
          <w:p>
            <w:pPr>
              <w:pStyle w:val="135"/>
              <w:numPr>
                <w:ilvl w:val="0"/>
                <w:numId w:val="11"/>
              </w:numPr>
              <w:ind w:left="0" w:firstLine="0" w:firstLineChars="0"/>
              <w:rPr>
                <w:rFonts w:ascii="仿宋" w:hAnsi="仿宋" w:eastAsia="仿宋" w:cs="仿宋"/>
                <w:szCs w:val="21"/>
              </w:rPr>
            </w:pPr>
            <w:r>
              <w:rPr>
                <w:rFonts w:hint="eastAsia" w:ascii="仿宋" w:hAnsi="仿宋" w:eastAsia="仿宋" w:cs="仿宋"/>
                <w:szCs w:val="21"/>
              </w:rPr>
              <w:t>▲平台中内置实验报告撰写功能，用户在完成实验后，可提交实验报告，报告分为三种形式：模板型、自主撰写型和文档上传型，学生可根据实验负责教师的要求在规定时间内完成实验报告的撰写工作并提交教师批阅。实验报告可根据用户的需求设置模板的内容，预留必要的元素位置。</w:t>
            </w:r>
          </w:p>
          <w:p>
            <w:pPr>
              <w:pStyle w:val="135"/>
              <w:numPr>
                <w:ilvl w:val="0"/>
                <w:numId w:val="11"/>
              </w:numPr>
              <w:ind w:left="0" w:firstLine="0" w:firstLineChars="0"/>
              <w:rPr>
                <w:rFonts w:ascii="仿宋" w:hAnsi="仿宋" w:eastAsia="仿宋" w:cs="仿宋"/>
                <w:szCs w:val="21"/>
              </w:rPr>
            </w:pPr>
            <w:r>
              <w:rPr>
                <w:rFonts w:hint="eastAsia" w:ascii="仿宋" w:hAnsi="仿宋" w:eastAsia="仿宋" w:cs="仿宋"/>
                <w:szCs w:val="21"/>
              </w:rPr>
              <w:t>平台内置实验报告批改功能，教师可根据学生提交的实验报告内容进行批改，批改包含批语和评分。也可以支持实验报告上传pdf，支持pdf在线浏览和批改。可以批量导出实验报告，在本地查看。</w:t>
            </w:r>
          </w:p>
          <w:p>
            <w:pPr>
              <w:pStyle w:val="135"/>
              <w:numPr>
                <w:ilvl w:val="0"/>
                <w:numId w:val="11"/>
              </w:numPr>
              <w:ind w:left="0" w:firstLine="0" w:firstLineChars="0"/>
              <w:rPr>
                <w:rFonts w:ascii="仿宋" w:hAnsi="仿宋" w:eastAsia="仿宋" w:cs="仿宋"/>
                <w:szCs w:val="21"/>
              </w:rPr>
            </w:pPr>
            <w:r>
              <w:rPr>
                <w:rFonts w:hint="eastAsia" w:ascii="仿宋" w:hAnsi="仿宋" w:eastAsia="仿宋" w:cs="仿宋"/>
                <w:szCs w:val="21"/>
              </w:rPr>
              <w:t>▲教师可以根据不同实验的难度设置综合成绩的标准，包括报告成绩权重、操作成绩权重、作业考试权重等。可根据成绩设定优秀、良好、及格和不及格的成绩区间，系统将根据设定的标准自动判定用户的综合成绩，并生成成绩区间分布曲线。</w:t>
            </w:r>
          </w:p>
          <w:p>
            <w:pPr>
              <w:pStyle w:val="135"/>
              <w:numPr>
                <w:ilvl w:val="0"/>
                <w:numId w:val="11"/>
              </w:numPr>
              <w:ind w:left="0" w:firstLine="0" w:firstLineChars="0"/>
              <w:rPr>
                <w:rFonts w:ascii="仿宋" w:hAnsi="仿宋" w:eastAsia="仿宋" w:cs="仿宋"/>
                <w:szCs w:val="21"/>
              </w:rPr>
            </w:pPr>
            <w:r>
              <w:rPr>
                <w:rFonts w:hint="eastAsia" w:ascii="仿宋" w:hAnsi="仿宋" w:eastAsia="仿宋" w:cs="仿宋"/>
                <w:szCs w:val="21"/>
              </w:rPr>
              <w:t>实验成绩可根据班级为单位或实验为单位进行统计，实验成绩发布后，学生可在个人中心查看实验成绩、报告成绩和实验报告的批改情况。实验成绩支持批量下载实验成绩报表。</w:t>
            </w:r>
          </w:p>
          <w:p>
            <w:pPr>
              <w:pStyle w:val="135"/>
              <w:numPr>
                <w:ilvl w:val="0"/>
                <w:numId w:val="11"/>
              </w:numPr>
              <w:ind w:left="0" w:firstLine="0" w:firstLineChars="0"/>
              <w:rPr>
                <w:rFonts w:ascii="仿宋" w:hAnsi="仿宋" w:eastAsia="仿宋" w:cs="仿宋"/>
                <w:szCs w:val="21"/>
              </w:rPr>
            </w:pPr>
            <w:r>
              <w:rPr>
                <w:rFonts w:hint="eastAsia" w:ascii="仿宋" w:hAnsi="仿宋" w:eastAsia="仿宋" w:cs="仿宋"/>
                <w:szCs w:val="21"/>
              </w:rPr>
              <w:t>▲平台提供系统的管理功能，包括日志管理、用户管理、栏目管理、内容管理、消息通知、云桌面管理。</w:t>
            </w:r>
          </w:p>
          <w:p>
            <w:pPr>
              <w:pStyle w:val="135"/>
              <w:numPr>
                <w:ilvl w:val="0"/>
                <w:numId w:val="11"/>
              </w:numPr>
              <w:ind w:left="0" w:firstLine="0" w:firstLineChars="0"/>
              <w:rPr>
                <w:rFonts w:ascii="仿宋" w:hAnsi="仿宋" w:eastAsia="仿宋" w:cs="仿宋"/>
                <w:szCs w:val="21"/>
              </w:rPr>
            </w:pPr>
            <w:r>
              <w:rPr>
                <w:rFonts w:hint="eastAsia" w:ascii="仿宋" w:hAnsi="仿宋" w:eastAsia="仿宋" w:cs="仿宋"/>
                <w:szCs w:val="21"/>
              </w:rPr>
              <w:t>平台采用B/S架构设计，当不同身份登录平台时，不同身份具有不同的操作权限，保证了平台信息的安全并能够满足学校协同办公的需求。</w:t>
            </w:r>
          </w:p>
          <w:p>
            <w:pPr>
              <w:pStyle w:val="135"/>
              <w:numPr>
                <w:ilvl w:val="0"/>
                <w:numId w:val="11"/>
              </w:numPr>
              <w:ind w:left="0" w:firstLine="0" w:firstLineChars="0"/>
              <w:rPr>
                <w:rFonts w:ascii="仿宋" w:hAnsi="仿宋" w:eastAsia="仿宋" w:cs="仿宋"/>
                <w:szCs w:val="21"/>
              </w:rPr>
            </w:pPr>
            <w:r>
              <w:rPr>
                <w:rFonts w:hint="eastAsia" w:ascii="仿宋" w:hAnsi="仿宋" w:eastAsia="仿宋" w:cs="仿宋"/>
                <w:szCs w:val="21"/>
              </w:rPr>
              <w:t>平台以实验课程教学过程和虚拟仿真实验中出发，将学生学习行为数据、教师教学行为数据、学校教育管理及教学资源数据统一保存和管理形成教学全过程大数据库。通过数据预处理，数据处理与分析和数据可视化全流程，形成图表和数据的形式对不同权限的用户展现不同的数据形式。</w:t>
            </w:r>
          </w:p>
          <w:p>
            <w:pPr>
              <w:pStyle w:val="135"/>
              <w:numPr>
                <w:ilvl w:val="0"/>
                <w:numId w:val="11"/>
              </w:numPr>
              <w:ind w:left="0" w:firstLine="0" w:firstLineChars="0"/>
              <w:rPr>
                <w:rFonts w:ascii="仿宋" w:hAnsi="仿宋" w:eastAsia="仿宋" w:cs="仿宋"/>
                <w:szCs w:val="21"/>
              </w:rPr>
            </w:pPr>
            <w:r>
              <w:rPr>
                <w:rFonts w:hint="eastAsia" w:ascii="仿宋" w:hAnsi="仿宋" w:eastAsia="仿宋" w:cs="仿宋"/>
                <w:szCs w:val="21"/>
              </w:rPr>
              <w:t>平台提供统一的标准数据对接接口，可以将学校现有的和将要建设的实验资源无缝集成到平台上，平台提供第三方实验资源集成接口标准，第三方根据此接口标准规范与平台完成集成，实现实验资源统一管理。</w:t>
            </w:r>
          </w:p>
          <w:p>
            <w:pPr>
              <w:pStyle w:val="135"/>
              <w:numPr>
                <w:ilvl w:val="0"/>
                <w:numId w:val="11"/>
              </w:numPr>
              <w:ind w:left="0" w:firstLine="0" w:firstLineChars="0"/>
              <w:rPr>
                <w:rFonts w:ascii="仿宋" w:hAnsi="仿宋" w:eastAsia="仿宋" w:cs="仿宋"/>
                <w:szCs w:val="21"/>
              </w:rPr>
            </w:pPr>
            <w:r>
              <w:rPr>
                <w:rFonts w:hint="eastAsia" w:ascii="仿宋" w:hAnsi="仿宋" w:eastAsia="仿宋" w:cs="仿宋"/>
                <w:szCs w:val="21"/>
              </w:rPr>
              <w:t>统一身份认证系统是本平台对所有软件（包含非本公司制作的第三方软件）使用统一的接口，对接入平台进行身份认证，避免二次登录，实现一次登录，就可以进入所有权限。</w:t>
            </w:r>
          </w:p>
          <w:p>
            <w:pPr>
              <w:pStyle w:val="135"/>
              <w:numPr>
                <w:ilvl w:val="0"/>
                <w:numId w:val="11"/>
              </w:numPr>
              <w:ind w:left="0" w:firstLine="0" w:firstLineChars="0"/>
              <w:rPr>
                <w:rFonts w:ascii="仿宋" w:hAnsi="仿宋" w:eastAsia="仿宋" w:cs="仿宋"/>
                <w:szCs w:val="21"/>
              </w:rPr>
            </w:pPr>
            <w:r>
              <w:rPr>
                <w:rFonts w:hint="eastAsia" w:ascii="仿宋" w:hAnsi="仿宋" w:eastAsia="仿宋" w:cs="仿宋"/>
                <w:szCs w:val="21"/>
              </w:rPr>
              <w:t>▲在平台完成虚拟仿真实验后，可通过接口将实验步骤的名称、开始时间、结束时间、成绩、操作次数、知识点和步骤评价数据等回传至平台，平台可获取数据后统计步骤数据是否正确并查看得分详情数据。</w:t>
            </w:r>
          </w:p>
          <w:p>
            <w:pPr>
              <w:pStyle w:val="135"/>
              <w:numPr>
                <w:ilvl w:val="0"/>
                <w:numId w:val="11"/>
              </w:numPr>
              <w:ind w:left="0" w:firstLine="0" w:firstLineChars="0"/>
              <w:rPr>
                <w:rFonts w:ascii="仿宋" w:hAnsi="仿宋" w:eastAsia="仿宋" w:cs="仿宋"/>
                <w:szCs w:val="21"/>
              </w:rPr>
            </w:pPr>
            <w:r>
              <w:rPr>
                <w:rFonts w:hint="eastAsia" w:ascii="仿宋" w:hAnsi="仿宋" w:eastAsia="仿宋" w:cs="仿宋"/>
                <w:szCs w:val="21"/>
              </w:rPr>
              <w:t>▲按照《国家虚拟仿真实验教学课程技术接口规范（2020版）》（简称接口2.0）要求，与教育部实验空间（ilab-x.com）进行数据对接，可传递实验成绩、实验报告、实验开始时间、实验结束时间、实验时长数据、实验步骤数据。突出网络应用技术对于底层核心仿真度的支撑作用，需要具备基于网站平台运行的，可以与教育部实验空间（ilab-x.com）正常对接的，包含机理性数据底层算法支撑（包含物性库，流体网络、控制系统算法，仿真支撑平台作为后台支撑）的虚拟仿真实验项目的实现技术。要求数据底层计算在服务器端运行，数据传输量不低于200个数据，并发数不低于100。</w:t>
            </w:r>
          </w:p>
          <w:p>
            <w:pPr>
              <w:rPr>
                <w:rFonts w:ascii="仿宋" w:hAnsi="仿宋" w:eastAsia="仿宋" w:cs="仿宋"/>
                <w:szCs w:val="21"/>
              </w:rPr>
            </w:pPr>
            <w:r>
              <w:rPr>
                <w:rFonts w:hint="eastAsia" w:ascii="仿宋" w:hAnsi="仿宋" w:eastAsia="仿宋" w:cs="仿宋"/>
                <w:szCs w:val="21"/>
              </w:rPr>
              <w:t>虚拟仿真实验教学项目管理与共享平台符合《信息安全等级保护管理办法》中二级等保的相关要求。所有日志保存6个月以上。平台强制口令复杂度要求，必须有密码复杂度检查模块。平台需设置有效的手段防止暴力破解。平台需设置账号锁定策略。平台需设置相关策略保护用户敏感信息。平台需具有完备的权限管理机制，禁止逻辑越权攻击。</w:t>
            </w:r>
          </w:p>
        </w:tc>
        <w:tc>
          <w:tcPr>
            <w:tcW w:w="566" w:type="dxa"/>
            <w:vAlign w:val="center"/>
          </w:tcPr>
          <w:p>
            <w:pP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647" w:type="dxa"/>
            <w:vAlign w:val="center"/>
          </w:tcPr>
          <w:p>
            <w:pPr>
              <w:rPr>
                <w:rFonts w:ascii="仿宋" w:hAnsi="仿宋" w:eastAsia="仿宋" w:cs="仿宋"/>
              </w:rPr>
            </w:pPr>
            <w:r>
              <w:rPr>
                <w:rFonts w:hint="eastAsia" w:ascii="仿宋" w:hAnsi="仿宋" w:eastAsia="仿宋" w:cs="仿宋"/>
              </w:rPr>
              <w:t>序号</w:t>
            </w:r>
          </w:p>
        </w:tc>
        <w:tc>
          <w:tcPr>
            <w:tcW w:w="1274" w:type="dxa"/>
            <w:vAlign w:val="center"/>
          </w:tcPr>
          <w:p>
            <w:pPr>
              <w:rPr>
                <w:rFonts w:ascii="仿宋" w:hAnsi="仿宋" w:eastAsia="仿宋" w:cs="仿宋"/>
              </w:rPr>
            </w:pPr>
            <w:r>
              <w:rPr>
                <w:rFonts w:hint="eastAsia" w:ascii="仿宋" w:hAnsi="仿宋" w:eastAsia="仿宋" w:cs="仿宋"/>
              </w:rPr>
              <w:t>系统名称</w:t>
            </w:r>
          </w:p>
        </w:tc>
        <w:tc>
          <w:tcPr>
            <w:tcW w:w="11454" w:type="dxa"/>
            <w:vAlign w:val="center"/>
          </w:tcPr>
          <w:p>
            <w:pPr>
              <w:rPr>
                <w:rFonts w:ascii="仿宋" w:hAnsi="仿宋" w:eastAsia="仿宋" w:cs="仿宋"/>
                <w:szCs w:val="21"/>
              </w:rPr>
            </w:pPr>
            <w:r>
              <w:rPr>
                <w:rFonts w:hint="eastAsia" w:ascii="仿宋" w:hAnsi="仿宋" w:eastAsia="仿宋" w:cs="仿宋"/>
                <w:szCs w:val="21"/>
              </w:rPr>
              <w:t>技术参数</w:t>
            </w:r>
          </w:p>
        </w:tc>
        <w:tc>
          <w:tcPr>
            <w:tcW w:w="566" w:type="dxa"/>
            <w:vAlign w:val="center"/>
          </w:tcPr>
          <w:p>
            <w:pPr>
              <w:rPr>
                <w:rFonts w:ascii="仿宋" w:hAnsi="仿宋" w:eastAsia="仿宋" w:cs="仿宋"/>
              </w:rPr>
            </w:pPr>
            <w:r>
              <w:rPr>
                <w:rFonts w:hint="eastAsia" w:ascii="仿宋" w:hAnsi="仿宋" w:eastAsia="仿宋" w:cs="仿宋"/>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647" w:type="dxa"/>
            <w:vAlign w:val="center"/>
          </w:tcPr>
          <w:p>
            <w:pPr>
              <w:pStyle w:val="20"/>
              <w:rPr>
                <w:rFonts w:ascii="仿宋" w:hAnsi="仿宋" w:eastAsia="仿宋" w:cs="仿宋"/>
              </w:rPr>
            </w:pPr>
            <w:r>
              <w:rPr>
                <w:rFonts w:hint="eastAsia" w:ascii="仿宋" w:hAnsi="仿宋" w:eastAsia="仿宋" w:cs="仿宋"/>
              </w:rPr>
              <w:t>1</w:t>
            </w:r>
          </w:p>
        </w:tc>
        <w:tc>
          <w:tcPr>
            <w:tcW w:w="1274" w:type="dxa"/>
            <w:vAlign w:val="center"/>
          </w:tcPr>
          <w:p>
            <w:pPr>
              <w:pStyle w:val="20"/>
              <w:rPr>
                <w:rFonts w:ascii="仿宋" w:hAnsi="仿宋" w:eastAsia="仿宋" w:cs="仿宋"/>
              </w:rPr>
            </w:pPr>
            <w:r>
              <w:rPr>
                <w:rFonts w:hint="eastAsia" w:ascii="仿宋" w:hAnsi="仿宋" w:eastAsia="仿宋" w:cs="仿宋"/>
              </w:rPr>
              <w:t>电力电子及运动控制虚实结合一体化实训装置</w:t>
            </w:r>
          </w:p>
        </w:tc>
        <w:tc>
          <w:tcPr>
            <w:tcW w:w="11454" w:type="dxa"/>
            <w:vAlign w:val="center"/>
          </w:tcPr>
          <w:p>
            <w:pPr>
              <w:pStyle w:val="3"/>
              <w:spacing w:before="0" w:after="0" w:line="240" w:lineRule="auto"/>
              <w:ind w:firstLine="0"/>
              <w:rPr>
                <w:rFonts w:ascii="仿宋" w:hAnsi="仿宋" w:eastAsia="仿宋" w:cs="仿宋"/>
                <w:b w:val="0"/>
                <w:bCs w:val="0"/>
                <w:sz w:val="21"/>
                <w:szCs w:val="21"/>
              </w:rPr>
            </w:pPr>
            <w:r>
              <w:rPr>
                <w:rFonts w:hint="eastAsia" w:ascii="仿宋" w:hAnsi="仿宋" w:eastAsia="仿宋" w:cs="仿宋"/>
                <w:b w:val="0"/>
                <w:bCs w:val="0"/>
                <w:sz w:val="21"/>
                <w:szCs w:val="21"/>
              </w:rPr>
              <w:t>一、电力电子技术虚拟仿真教学软件</w:t>
            </w:r>
          </w:p>
          <w:p>
            <w:pPr>
              <w:pStyle w:val="4"/>
              <w:numPr>
                <w:ilvl w:val="0"/>
                <w:numId w:val="0"/>
              </w:numPr>
              <w:spacing w:before="0" w:after="0" w:line="240" w:lineRule="auto"/>
              <w:rPr>
                <w:rFonts w:ascii="仿宋" w:hAnsi="仿宋" w:eastAsia="仿宋" w:cs="仿宋"/>
                <w:b w:val="0"/>
                <w:bCs w:val="0"/>
                <w:sz w:val="21"/>
                <w:szCs w:val="21"/>
              </w:rPr>
            </w:pPr>
            <w:bookmarkStart w:id="61" w:name="_Toc104208781"/>
            <w:bookmarkStart w:id="62" w:name="_Toc96779261"/>
            <w:r>
              <w:rPr>
                <w:rFonts w:hint="eastAsia" w:ascii="仿宋" w:hAnsi="仿宋" w:eastAsia="仿宋" w:cs="仿宋"/>
                <w:b w:val="0"/>
                <w:bCs w:val="0"/>
                <w:sz w:val="21"/>
                <w:szCs w:val="21"/>
              </w:rPr>
              <w:t>软件概述</w:t>
            </w:r>
            <w:bookmarkEnd w:id="61"/>
            <w:bookmarkEnd w:id="62"/>
          </w:p>
          <w:p>
            <w:pPr>
              <w:rPr>
                <w:rFonts w:ascii="仿宋" w:hAnsi="仿宋" w:eastAsia="仿宋" w:cs="仿宋"/>
                <w:szCs w:val="21"/>
              </w:rPr>
            </w:pPr>
            <w:r>
              <w:rPr>
                <w:rFonts w:hint="eastAsia" w:ascii="仿宋" w:hAnsi="仿宋" w:eastAsia="仿宋" w:cs="仿宋"/>
                <w:szCs w:val="21"/>
              </w:rPr>
              <w:t>电力电子技术虚拟仿真教学（实训）软件是纯虚拟模拟的，采用流行的3D游戏开发平台Unity3D自主设计研发；支持电力电子技术课程的基本实训项目；学生可在操作区域完成接线和参数设置任务，通过虚拟示波器识别电路波形或者万用表测量端点虚拟电压及电流等参数。</w:t>
            </w:r>
          </w:p>
          <w:p>
            <w:pPr>
              <w:rPr>
                <w:rFonts w:ascii="仿宋" w:hAnsi="仿宋" w:eastAsia="仿宋" w:cs="仿宋"/>
                <w:szCs w:val="21"/>
              </w:rPr>
            </w:pPr>
            <w:r>
              <w:rPr>
                <w:rFonts w:hint="eastAsia" w:ascii="仿宋" w:hAnsi="仿宋" w:eastAsia="仿宋" w:cs="仿宋"/>
                <w:szCs w:val="21"/>
              </w:rPr>
              <w:t>软件中虚拟了十个电力电子基础实训，按照不同实验的要求，学生需要从线路模块中，选择需要的线路模块进行连线组合，如果组合或连线错误，点击运行按钮时软件会给出错误提示，当学生正确接线后，可以根据实验需要通过虚拟示波器测量各线路模块的常用点位，并调整如给定电压、相位等参数，点击运行后，虚拟软件将进行模拟运算，之后将测量结果将在虚拟示波器上显示对应波形，供学生参考学习。</w:t>
            </w:r>
          </w:p>
          <w:p>
            <w:pPr>
              <w:rPr>
                <w:rFonts w:ascii="仿宋" w:hAnsi="仿宋" w:eastAsia="仿宋" w:cs="仿宋"/>
                <w:szCs w:val="21"/>
              </w:rPr>
            </w:pPr>
            <w:bookmarkStart w:id="63" w:name="_Toc96779263"/>
            <w:bookmarkStart w:id="64" w:name="_Toc104208783"/>
            <w:r>
              <w:rPr>
                <w:rFonts w:hint="eastAsia" w:ascii="仿宋" w:hAnsi="仿宋" w:eastAsia="仿宋" w:cs="仿宋"/>
                <w:szCs w:val="21"/>
              </w:rPr>
              <w:t>主要功能</w:t>
            </w:r>
            <w:bookmarkEnd w:id="63"/>
            <w:bookmarkEnd w:id="64"/>
          </w:p>
          <w:p>
            <w:pPr>
              <w:snapToGrid w:val="0"/>
              <w:jc w:val="left"/>
              <w:rPr>
                <w:rFonts w:ascii="仿宋" w:hAnsi="仿宋" w:eastAsia="仿宋" w:cs="仿宋"/>
                <w:szCs w:val="21"/>
              </w:rPr>
            </w:pPr>
            <w:r>
              <w:rPr>
                <w:rFonts w:hint="eastAsia" w:ascii="仿宋" w:hAnsi="仿宋" w:eastAsia="仿宋" w:cs="仿宋"/>
                <w:szCs w:val="21"/>
              </w:rPr>
              <w:t>用户可在软件线路库中按需选择线路模块进行使用。包含但不限于电力电力技术常见的三相交流电源、24V直流电源、整流电路、单结晶体管触发电路、斩波触发电路、斩波主电路、有源逆变电路等。</w:t>
            </w:r>
          </w:p>
          <w:p>
            <w:pPr>
              <w:snapToGrid w:val="0"/>
              <w:jc w:val="left"/>
              <w:rPr>
                <w:rFonts w:ascii="仿宋" w:hAnsi="仿宋" w:eastAsia="仿宋" w:cs="仿宋"/>
                <w:szCs w:val="21"/>
              </w:rPr>
            </w:pPr>
            <w:r>
              <w:rPr>
                <w:rFonts w:hint="eastAsia" w:ascii="仿宋" w:hAnsi="仿宋" w:eastAsia="仿宋" w:cs="仿宋"/>
                <w:szCs w:val="21"/>
              </w:rPr>
              <w:t>虚拟示波器包含4个测量通道，通过虚拟点电位的连接，点击运行，在示波器荧光屏上可以直接观察电信号波形变化的全过程，与此同时可进行定性、定量的分析和测量其周期、幅度、频率、相位等参数.</w:t>
            </w:r>
          </w:p>
          <w:p>
            <w:pPr>
              <w:rPr>
                <w:rFonts w:ascii="仿宋" w:hAnsi="仿宋" w:eastAsia="仿宋" w:cs="仿宋"/>
                <w:szCs w:val="21"/>
              </w:rPr>
            </w:pPr>
            <w:r>
              <w:rPr>
                <w:rFonts w:hint="eastAsia" w:ascii="仿宋" w:hAnsi="仿宋" w:eastAsia="仿宋" w:cs="仿宋"/>
                <w:szCs w:val="21"/>
              </w:rPr>
              <w:t>用户可在软件中使用鼠标将线路模块或虚拟仪器仪表的点位进行点对点虚拟连接，以实现线路连接。</w:t>
            </w:r>
          </w:p>
          <w:p>
            <w:pPr>
              <w:rPr>
                <w:rFonts w:ascii="仿宋" w:hAnsi="仿宋" w:eastAsia="仿宋" w:cs="仿宋"/>
                <w:szCs w:val="21"/>
              </w:rPr>
            </w:pPr>
            <w:r>
              <w:rPr>
                <w:rFonts w:hint="eastAsia" w:ascii="仿宋" w:hAnsi="仿宋" w:eastAsia="仿宋" w:cs="仿宋"/>
                <w:szCs w:val="21"/>
              </w:rPr>
              <w:t>用户可在实验中使用虚拟电压电流表，并将其连接在实验电路中，实现虚拟电压电表的测量效果.</w:t>
            </w:r>
          </w:p>
          <w:p>
            <w:pPr>
              <w:snapToGrid w:val="0"/>
              <w:jc w:val="left"/>
              <w:rPr>
                <w:rFonts w:ascii="仿宋" w:hAnsi="仿宋" w:eastAsia="仿宋" w:cs="仿宋"/>
                <w:szCs w:val="21"/>
              </w:rPr>
            </w:pPr>
            <w:r>
              <w:rPr>
                <w:rFonts w:hint="eastAsia" w:ascii="仿宋" w:hAnsi="仿宋" w:eastAsia="仿宋" w:cs="仿宋"/>
                <w:szCs w:val="21"/>
              </w:rPr>
              <w:t>用户可在电源的电压编辑窗口修改电压参数，以实现电源电压调节功能。</w:t>
            </w:r>
          </w:p>
          <w:p>
            <w:pPr>
              <w:rPr>
                <w:rFonts w:ascii="仿宋" w:hAnsi="仿宋" w:eastAsia="仿宋" w:cs="仿宋"/>
                <w:szCs w:val="21"/>
              </w:rPr>
            </w:pPr>
            <w:r>
              <w:rPr>
                <w:rFonts w:hint="eastAsia" w:ascii="仿宋" w:hAnsi="仿宋" w:eastAsia="仿宋" w:cs="仿宋"/>
                <w:szCs w:val="21"/>
              </w:rPr>
              <w:t>用户可在可变电阻的电阻编辑窗口修改电阻参数，以实现电阻阻值调节功能。</w:t>
            </w:r>
          </w:p>
          <w:p>
            <w:pPr>
              <w:rPr>
                <w:rFonts w:ascii="仿宋" w:hAnsi="仿宋" w:eastAsia="仿宋" w:cs="仿宋"/>
                <w:szCs w:val="21"/>
              </w:rPr>
            </w:pPr>
            <w:r>
              <w:rPr>
                <w:rFonts w:hint="eastAsia" w:ascii="仿宋" w:hAnsi="仿宋" w:eastAsia="仿宋" w:cs="仿宋"/>
                <w:szCs w:val="21"/>
              </w:rPr>
              <w:t>用户可在触发电路的相位编辑窗口修改触发电路相位参数，以实现电路相位调节功能。</w:t>
            </w:r>
          </w:p>
          <w:p>
            <w:pPr>
              <w:rPr>
                <w:rFonts w:ascii="仿宋" w:hAnsi="仿宋" w:eastAsia="仿宋" w:cs="仿宋"/>
                <w:szCs w:val="21"/>
              </w:rPr>
            </w:pPr>
            <w:r>
              <w:rPr>
                <w:rFonts w:hint="eastAsia" w:ascii="仿宋" w:hAnsi="仿宋" w:eastAsia="仿宋" w:cs="仿宋"/>
                <w:szCs w:val="21"/>
              </w:rPr>
              <w:t>软件支持电路接线判断，当实验电路接线不正确时，点击运行后，软件会自动提示接线错误。</w:t>
            </w:r>
          </w:p>
          <w:p>
            <w:pPr>
              <w:snapToGrid w:val="0"/>
              <w:jc w:val="left"/>
              <w:rPr>
                <w:rFonts w:ascii="仿宋" w:hAnsi="仿宋" w:eastAsia="仿宋" w:cs="仿宋"/>
                <w:szCs w:val="21"/>
              </w:rPr>
            </w:pPr>
            <w:r>
              <w:rPr>
                <w:rFonts w:hint="eastAsia" w:ascii="仿宋" w:hAnsi="仿宋" w:eastAsia="仿宋" w:cs="仿宋"/>
                <w:szCs w:val="21"/>
              </w:rPr>
              <w:t>用户可将实验仿真数据波形保存，并于下次打开查看。</w:t>
            </w:r>
          </w:p>
          <w:p>
            <w:pPr>
              <w:rPr>
                <w:rFonts w:ascii="仿宋" w:hAnsi="仿宋" w:eastAsia="仿宋" w:cs="仿宋"/>
                <w:szCs w:val="21"/>
              </w:rPr>
            </w:pPr>
            <w:r>
              <w:rPr>
                <w:rFonts w:hint="eastAsia" w:ascii="仿宋" w:hAnsi="仿宋" w:eastAsia="仿宋" w:cs="仿宋"/>
                <w:szCs w:val="21"/>
              </w:rPr>
              <w:t>用户可在软件中使用默认排列功能，实现实验线路自动布局效果。</w:t>
            </w:r>
          </w:p>
          <w:p>
            <w:pPr>
              <w:rPr>
                <w:rFonts w:ascii="仿宋" w:hAnsi="仿宋" w:eastAsia="仿宋" w:cs="仿宋"/>
                <w:szCs w:val="21"/>
              </w:rPr>
            </w:pPr>
            <w:r>
              <w:rPr>
                <w:rFonts w:hint="eastAsia" w:ascii="仿宋" w:hAnsi="仿宋" w:eastAsia="仿宋" w:cs="仿宋"/>
                <w:szCs w:val="21"/>
              </w:rPr>
              <w:t>用户可在快捷菜单选择要进行的实验实现快速跳转。</w:t>
            </w:r>
          </w:p>
          <w:p>
            <w:pPr>
              <w:rPr>
                <w:rFonts w:ascii="仿宋" w:hAnsi="仿宋" w:eastAsia="仿宋" w:cs="仿宋"/>
                <w:szCs w:val="21"/>
              </w:rPr>
            </w:pPr>
            <w:r>
              <w:rPr>
                <w:rFonts w:hint="eastAsia" w:ascii="仿宋" w:hAnsi="仿宋" w:eastAsia="仿宋" w:cs="仿宋"/>
                <w:szCs w:val="21"/>
              </w:rPr>
              <w:t>用户可在实验面板中随意拖动到具体位置；使用缩放功能，实现放大或缩小实验面板的效果。</w:t>
            </w:r>
          </w:p>
          <w:p>
            <w:pPr>
              <w:rPr>
                <w:rFonts w:ascii="仿宋" w:hAnsi="仿宋" w:eastAsia="仿宋" w:cs="仿宋"/>
                <w:szCs w:val="21"/>
              </w:rPr>
            </w:pPr>
            <w:r>
              <w:rPr>
                <w:rFonts w:hint="eastAsia" w:ascii="仿宋" w:hAnsi="仿宋" w:eastAsia="仿宋" w:cs="仿宋"/>
                <w:szCs w:val="21"/>
              </w:rPr>
              <w:t>用户可使用重新配置功能，实现所有线路模块删除的效果。</w:t>
            </w:r>
          </w:p>
          <w:p>
            <w:pPr>
              <w:pStyle w:val="4"/>
              <w:numPr>
                <w:ilvl w:val="0"/>
                <w:numId w:val="0"/>
              </w:numPr>
              <w:spacing w:before="0" w:after="0" w:line="240" w:lineRule="auto"/>
              <w:rPr>
                <w:rFonts w:ascii="仿宋" w:hAnsi="仿宋" w:eastAsia="仿宋" w:cs="仿宋"/>
                <w:b w:val="0"/>
                <w:bCs w:val="0"/>
                <w:sz w:val="21"/>
                <w:szCs w:val="21"/>
              </w:rPr>
            </w:pPr>
            <w:r>
              <w:rPr>
                <w:rFonts w:hint="eastAsia" w:ascii="仿宋" w:hAnsi="仿宋" w:eastAsia="仿宋" w:cs="仿宋"/>
                <w:b w:val="0"/>
                <w:bCs w:val="0"/>
                <w:sz w:val="21"/>
                <w:szCs w:val="21"/>
              </w:rPr>
              <w:t>实训项目</w:t>
            </w:r>
          </w:p>
          <w:p>
            <w:pPr>
              <w:rPr>
                <w:rFonts w:ascii="仿宋" w:hAnsi="仿宋" w:eastAsia="仿宋" w:cs="仿宋"/>
                <w:szCs w:val="21"/>
              </w:rPr>
            </w:pPr>
            <w:r>
              <w:rPr>
                <w:rFonts w:hint="eastAsia" w:ascii="仿宋" w:hAnsi="仿宋" w:eastAsia="仿宋" w:cs="仿宋"/>
                <w:szCs w:val="21"/>
              </w:rPr>
              <w:t>1、熟悉单结晶体管触发电路的工作原理，理解同步概念；</w:t>
            </w:r>
          </w:p>
          <w:p>
            <w:pPr>
              <w:snapToGrid w:val="0"/>
              <w:jc w:val="left"/>
              <w:rPr>
                <w:rFonts w:ascii="仿宋" w:hAnsi="仿宋" w:eastAsia="仿宋" w:cs="仿宋"/>
                <w:szCs w:val="21"/>
              </w:rPr>
            </w:pPr>
            <w:r>
              <w:rPr>
                <w:rFonts w:hint="eastAsia" w:ascii="仿宋" w:hAnsi="仿宋" w:eastAsia="仿宋" w:cs="仿宋"/>
                <w:szCs w:val="21"/>
              </w:rPr>
              <w:t>2、掌握单结晶体管触发电路的调试步骤和方法。</w:t>
            </w:r>
          </w:p>
          <w:p>
            <w:pPr>
              <w:rPr>
                <w:rFonts w:ascii="仿宋" w:hAnsi="仿宋" w:eastAsia="仿宋" w:cs="仿宋"/>
                <w:szCs w:val="21"/>
              </w:rPr>
            </w:pPr>
            <w:r>
              <w:rPr>
                <w:rFonts w:hint="eastAsia" w:ascii="仿宋" w:hAnsi="仿宋" w:eastAsia="仿宋" w:cs="仿宋"/>
                <w:szCs w:val="21"/>
              </w:rPr>
              <w:t>3、掌握单相半波可控整流电路在电阻负载及电阻电感性负载时的工作；</w:t>
            </w:r>
          </w:p>
          <w:p>
            <w:pPr>
              <w:rPr>
                <w:rFonts w:ascii="仿宋" w:hAnsi="仿宋" w:eastAsia="仿宋" w:cs="仿宋"/>
                <w:szCs w:val="21"/>
              </w:rPr>
            </w:pPr>
            <w:r>
              <w:rPr>
                <w:rFonts w:hint="eastAsia" w:ascii="仿宋" w:hAnsi="仿宋" w:eastAsia="仿宋" w:cs="仿宋"/>
                <w:szCs w:val="21"/>
              </w:rPr>
              <w:t>4、了解续流二极管的作用。</w:t>
            </w:r>
          </w:p>
          <w:p>
            <w:pPr>
              <w:rPr>
                <w:rFonts w:ascii="仿宋" w:hAnsi="仿宋" w:eastAsia="仿宋" w:cs="仿宋"/>
                <w:szCs w:val="21"/>
              </w:rPr>
            </w:pPr>
            <w:r>
              <w:rPr>
                <w:rFonts w:hint="eastAsia" w:ascii="仿宋" w:hAnsi="仿宋" w:eastAsia="仿宋" w:cs="仿宋"/>
                <w:szCs w:val="21"/>
              </w:rPr>
              <w:t>5、加深理解单相桥式全控整流及逆变电路的工作原理；</w:t>
            </w:r>
          </w:p>
          <w:p>
            <w:pPr>
              <w:rPr>
                <w:rFonts w:ascii="仿宋" w:hAnsi="仿宋" w:eastAsia="仿宋" w:cs="仿宋"/>
                <w:szCs w:val="21"/>
              </w:rPr>
            </w:pPr>
            <w:r>
              <w:rPr>
                <w:rFonts w:hint="eastAsia" w:ascii="仿宋" w:hAnsi="仿宋" w:eastAsia="仿宋" w:cs="仿宋"/>
                <w:szCs w:val="21"/>
              </w:rPr>
              <w:t>6、研究单相桥式变流电路整流的全过程；</w:t>
            </w:r>
          </w:p>
          <w:p>
            <w:pPr>
              <w:rPr>
                <w:rFonts w:ascii="仿宋" w:hAnsi="仿宋" w:eastAsia="仿宋" w:cs="仿宋"/>
                <w:szCs w:val="21"/>
              </w:rPr>
            </w:pPr>
            <w:r>
              <w:rPr>
                <w:rFonts w:hint="eastAsia" w:ascii="仿宋" w:hAnsi="仿宋" w:eastAsia="仿宋" w:cs="仿宋"/>
                <w:szCs w:val="21"/>
              </w:rPr>
              <w:t>7、研究单相桥式变流电路逆变的全过程，掌握实现有源逆变的条件；</w:t>
            </w:r>
          </w:p>
          <w:p>
            <w:pPr>
              <w:rPr>
                <w:rFonts w:ascii="仿宋" w:hAnsi="仿宋" w:eastAsia="仿宋" w:cs="仿宋"/>
                <w:szCs w:val="21"/>
              </w:rPr>
            </w:pPr>
            <w:r>
              <w:rPr>
                <w:rFonts w:hint="eastAsia" w:ascii="仿宋" w:hAnsi="仿宋" w:eastAsia="仿宋" w:cs="仿宋"/>
                <w:szCs w:val="21"/>
              </w:rPr>
              <w:t>8、掌握产生逆变颠覆的原因及预防方法。</w:t>
            </w:r>
          </w:p>
          <w:p>
            <w:pPr>
              <w:rPr>
                <w:rFonts w:ascii="仿宋" w:hAnsi="仿宋" w:eastAsia="仿宋" w:cs="仿宋"/>
                <w:szCs w:val="21"/>
              </w:rPr>
            </w:pPr>
            <w:r>
              <w:rPr>
                <w:rFonts w:hint="eastAsia" w:ascii="仿宋" w:hAnsi="仿宋" w:eastAsia="仿宋" w:cs="仿宋"/>
                <w:szCs w:val="21"/>
              </w:rPr>
              <w:t>9、了解三相半波可控整流电路工作原理。</w:t>
            </w:r>
          </w:p>
          <w:p>
            <w:pPr>
              <w:rPr>
                <w:rFonts w:ascii="仿宋" w:hAnsi="仿宋" w:eastAsia="仿宋" w:cs="仿宋"/>
                <w:szCs w:val="21"/>
              </w:rPr>
            </w:pPr>
            <w:r>
              <w:rPr>
                <w:rFonts w:hint="eastAsia" w:ascii="仿宋" w:hAnsi="仿宋" w:eastAsia="仿宋" w:cs="仿宋"/>
                <w:szCs w:val="21"/>
              </w:rPr>
              <w:t>10、研究可控整流电路在电阻负载和电阻电感性负载时的工作情况。</w:t>
            </w:r>
          </w:p>
          <w:p>
            <w:pPr>
              <w:rPr>
                <w:rFonts w:ascii="仿宋" w:hAnsi="仿宋" w:eastAsia="仿宋" w:cs="仿宋"/>
                <w:szCs w:val="21"/>
              </w:rPr>
            </w:pPr>
            <w:r>
              <w:rPr>
                <w:rFonts w:hint="eastAsia" w:ascii="仿宋" w:hAnsi="仿宋" w:eastAsia="仿宋" w:cs="仿宋"/>
                <w:szCs w:val="21"/>
              </w:rPr>
              <w:t>11、分别调节α =30°、60°、90°、120°、150°，将单结晶体管触发电路的各观测点波形描绘下来，并与各波形进行比较。</w:t>
            </w:r>
          </w:p>
          <w:p>
            <w:pPr>
              <w:rPr>
                <w:rFonts w:ascii="仿宋" w:hAnsi="仿宋" w:eastAsia="仿宋" w:cs="仿宋"/>
                <w:szCs w:val="21"/>
              </w:rPr>
            </w:pPr>
            <w:r>
              <w:rPr>
                <w:rFonts w:hint="eastAsia" w:ascii="仿宋" w:hAnsi="仿宋" w:eastAsia="仿宋" w:cs="仿宋"/>
                <w:szCs w:val="21"/>
              </w:rPr>
              <w:t>12、加深理解斩波器电路的工作原理；</w:t>
            </w:r>
          </w:p>
          <w:p>
            <w:pPr>
              <w:rPr>
                <w:rFonts w:ascii="仿宋" w:hAnsi="仿宋" w:eastAsia="仿宋" w:cs="仿宋"/>
                <w:szCs w:val="21"/>
              </w:rPr>
            </w:pPr>
            <w:r>
              <w:rPr>
                <w:rFonts w:hint="eastAsia" w:ascii="仿宋" w:hAnsi="仿宋" w:eastAsia="仿宋" w:cs="仿宋"/>
                <w:szCs w:val="21"/>
              </w:rPr>
              <w:t>13、掌握斩波器主电路的调试步骤和方法；</w:t>
            </w:r>
          </w:p>
          <w:p>
            <w:pPr>
              <w:rPr>
                <w:rFonts w:ascii="仿宋" w:hAnsi="仿宋" w:eastAsia="仿宋" w:cs="仿宋"/>
                <w:szCs w:val="21"/>
              </w:rPr>
            </w:pPr>
            <w:r>
              <w:rPr>
                <w:rFonts w:hint="eastAsia" w:ascii="仿宋" w:hAnsi="仿宋" w:eastAsia="仿宋" w:cs="仿宋"/>
                <w:szCs w:val="21"/>
              </w:rPr>
              <w:t>14、熟悉斩波器电路各点的电压波形。</w:t>
            </w:r>
          </w:p>
          <w:p>
            <w:pPr>
              <w:rPr>
                <w:rFonts w:ascii="仿宋" w:hAnsi="仿宋" w:eastAsia="仿宋" w:cs="仿宋"/>
                <w:szCs w:val="21"/>
              </w:rPr>
            </w:pPr>
            <w:r>
              <w:rPr>
                <w:rFonts w:hint="eastAsia" w:ascii="仿宋" w:hAnsi="仿宋" w:eastAsia="仿宋" w:cs="仿宋"/>
                <w:szCs w:val="21"/>
              </w:rPr>
              <w:t>15、加深理解有源逆变电路的工作原理；</w:t>
            </w:r>
          </w:p>
          <w:p>
            <w:pPr>
              <w:rPr>
                <w:rFonts w:ascii="仿宋" w:hAnsi="仿宋" w:eastAsia="仿宋" w:cs="仿宋"/>
                <w:szCs w:val="21"/>
              </w:rPr>
            </w:pPr>
            <w:r>
              <w:rPr>
                <w:rFonts w:hint="eastAsia" w:ascii="仿宋" w:hAnsi="仿宋" w:eastAsia="仿宋" w:cs="仿宋"/>
                <w:szCs w:val="21"/>
              </w:rPr>
              <w:t>16、了解KC系列集成触发器的调整方法和各点的波形。</w:t>
            </w:r>
          </w:p>
          <w:p>
            <w:pPr>
              <w:rPr>
                <w:rFonts w:ascii="仿宋" w:hAnsi="仿宋" w:eastAsia="仿宋" w:cs="仿宋"/>
                <w:szCs w:val="21"/>
              </w:rPr>
            </w:pPr>
            <w:r>
              <w:rPr>
                <w:rFonts w:hint="eastAsia" w:ascii="仿宋" w:hAnsi="仿宋" w:eastAsia="仿宋" w:cs="仿宋"/>
                <w:szCs w:val="21"/>
              </w:rPr>
              <w:t>17、加深理解单相并联逆变电路的工作原理，了解各元件的作用；</w:t>
            </w:r>
          </w:p>
          <w:p>
            <w:pPr>
              <w:rPr>
                <w:rFonts w:ascii="仿宋" w:hAnsi="仿宋" w:eastAsia="仿宋" w:cs="仿宋"/>
                <w:szCs w:val="21"/>
              </w:rPr>
            </w:pPr>
            <w:r>
              <w:rPr>
                <w:rFonts w:hint="eastAsia" w:ascii="仿宋" w:hAnsi="仿宋" w:eastAsia="仿宋" w:cs="仿宋"/>
                <w:szCs w:val="21"/>
              </w:rPr>
              <w:t>18、了解并联逆变器对触发脉冲的要求；</w:t>
            </w:r>
          </w:p>
          <w:p>
            <w:pPr>
              <w:rPr>
                <w:rFonts w:ascii="仿宋" w:hAnsi="仿宋" w:eastAsia="仿宋" w:cs="仿宋"/>
                <w:szCs w:val="21"/>
              </w:rPr>
            </w:pPr>
            <w:r>
              <w:rPr>
                <w:rFonts w:hint="eastAsia" w:ascii="仿宋" w:hAnsi="仿宋" w:eastAsia="仿宋" w:cs="仿宋"/>
                <w:szCs w:val="21"/>
              </w:rPr>
              <w:t>19、了解并联逆变器带电阻和电阻电感性负载的工作情况。</w:t>
            </w:r>
          </w:p>
          <w:p>
            <w:pPr>
              <w:rPr>
                <w:rFonts w:ascii="仿宋" w:hAnsi="仿宋" w:eastAsia="仿宋" w:cs="仿宋"/>
                <w:szCs w:val="21"/>
              </w:rPr>
            </w:pPr>
            <w:r>
              <w:rPr>
                <w:rFonts w:hint="eastAsia" w:ascii="仿宋" w:hAnsi="仿宋" w:eastAsia="仿宋" w:cs="仿宋"/>
                <w:szCs w:val="21"/>
              </w:rPr>
              <w:t>20、加深理解单相交流调压电路的工作原理；</w:t>
            </w:r>
          </w:p>
          <w:p>
            <w:pPr>
              <w:rPr>
                <w:rFonts w:ascii="仿宋" w:hAnsi="仿宋" w:eastAsia="仿宋" w:cs="仿宋"/>
                <w:szCs w:val="21"/>
              </w:rPr>
            </w:pPr>
            <w:r>
              <w:rPr>
                <w:rFonts w:hint="eastAsia" w:ascii="仿宋" w:hAnsi="仿宋" w:eastAsia="仿宋" w:cs="仿宋"/>
                <w:szCs w:val="21"/>
              </w:rPr>
              <w:t>21、加深理解单相交流调压电路带电感性负载对脉冲及移相范围的要求；</w:t>
            </w:r>
          </w:p>
          <w:p>
            <w:pPr>
              <w:rPr>
                <w:rFonts w:ascii="仿宋" w:hAnsi="仿宋" w:eastAsia="仿宋" w:cs="仿宋"/>
                <w:szCs w:val="21"/>
              </w:rPr>
            </w:pPr>
            <w:r>
              <w:rPr>
                <w:rFonts w:hint="eastAsia" w:ascii="仿宋" w:hAnsi="仿宋" w:eastAsia="仿宋" w:cs="仿宋"/>
                <w:szCs w:val="21"/>
              </w:rPr>
              <w:t>22、加深理解三相交流调压电路的工作原理；</w:t>
            </w:r>
          </w:p>
          <w:p>
            <w:pPr>
              <w:rPr>
                <w:rFonts w:ascii="仿宋" w:hAnsi="仿宋" w:eastAsia="仿宋" w:cs="仿宋"/>
                <w:szCs w:val="21"/>
              </w:rPr>
            </w:pPr>
            <w:r>
              <w:rPr>
                <w:rFonts w:hint="eastAsia" w:ascii="仿宋" w:hAnsi="仿宋" w:eastAsia="仿宋" w:cs="仿宋"/>
                <w:szCs w:val="21"/>
              </w:rPr>
              <w:t>23、了解三相交流调压电路带不同负载时的工作特性。</w:t>
            </w:r>
          </w:p>
          <w:p>
            <w:pPr>
              <w:rPr>
                <w:rFonts w:ascii="仿宋" w:hAnsi="仿宋" w:eastAsia="仿宋" w:cs="仿宋"/>
                <w:szCs w:val="21"/>
              </w:rPr>
            </w:pPr>
            <w:r>
              <w:rPr>
                <w:rFonts w:hint="eastAsia" w:ascii="仿宋" w:hAnsi="仿宋" w:eastAsia="仿宋" w:cs="仿宋"/>
                <w:szCs w:val="21"/>
              </w:rPr>
              <w:t>34、了解三相交流调压电路带不同负载时的工作特性</w:t>
            </w:r>
          </w:p>
          <w:p>
            <w:pPr>
              <w:pStyle w:val="3"/>
              <w:spacing w:before="0" w:after="0" w:line="240" w:lineRule="auto"/>
              <w:ind w:firstLine="0"/>
              <w:rPr>
                <w:rFonts w:ascii="仿宋" w:hAnsi="仿宋" w:eastAsia="仿宋" w:cs="仿宋"/>
                <w:b w:val="0"/>
                <w:bCs w:val="0"/>
                <w:sz w:val="21"/>
                <w:szCs w:val="21"/>
              </w:rPr>
            </w:pPr>
            <w:r>
              <w:rPr>
                <w:rFonts w:hint="eastAsia" w:ascii="仿宋" w:hAnsi="仿宋" w:eastAsia="仿宋" w:cs="仿宋"/>
                <w:b w:val="0"/>
                <w:bCs w:val="0"/>
                <w:sz w:val="21"/>
                <w:szCs w:val="21"/>
              </w:rPr>
              <w:t>二、电力电子技术及运动控制系统虚实结合一体化实训装置软件</w:t>
            </w:r>
          </w:p>
          <w:p>
            <w:pPr>
              <w:pStyle w:val="4"/>
              <w:numPr>
                <w:ilvl w:val="0"/>
                <w:numId w:val="0"/>
              </w:numPr>
              <w:spacing w:before="0" w:after="0" w:line="240" w:lineRule="auto"/>
              <w:rPr>
                <w:rFonts w:ascii="仿宋" w:hAnsi="仿宋" w:eastAsia="仿宋" w:cs="仿宋"/>
                <w:b w:val="0"/>
                <w:bCs w:val="0"/>
                <w:sz w:val="21"/>
                <w:szCs w:val="21"/>
              </w:rPr>
            </w:pPr>
            <w:bookmarkStart w:id="65" w:name="_Toc104208806"/>
            <w:bookmarkStart w:id="66" w:name="_Toc96936941"/>
            <w:r>
              <w:rPr>
                <w:rFonts w:hint="eastAsia" w:ascii="仿宋" w:hAnsi="仿宋" w:eastAsia="仿宋" w:cs="仿宋"/>
                <w:b w:val="0"/>
                <w:bCs w:val="0"/>
                <w:sz w:val="21"/>
                <w:szCs w:val="21"/>
              </w:rPr>
              <w:t>软件概述</w:t>
            </w:r>
            <w:bookmarkEnd w:id="65"/>
            <w:bookmarkEnd w:id="66"/>
          </w:p>
          <w:p>
            <w:pPr>
              <w:rPr>
                <w:rFonts w:ascii="仿宋" w:hAnsi="仿宋" w:eastAsia="仿宋" w:cs="仿宋"/>
                <w:szCs w:val="21"/>
              </w:rPr>
            </w:pPr>
            <w:r>
              <w:rPr>
                <w:rFonts w:hint="eastAsia" w:ascii="仿宋" w:hAnsi="仿宋" w:eastAsia="仿宋" w:cs="仿宋"/>
                <w:szCs w:val="21"/>
              </w:rPr>
              <w:t>运动控制系统虚实结合一体化实训装置软件采用流行的3D游戏开发平台Unity3D自主设计研发；支持运动控制课程的基本实训项目；虚拟仿真实训模块可以与驱动器通信，进而控制电机运转，并接受电机的反馈信号；</w:t>
            </w:r>
          </w:p>
          <w:p>
            <w:pPr>
              <w:rPr>
                <w:rFonts w:ascii="仿宋" w:hAnsi="仿宋" w:eastAsia="仿宋" w:cs="仿宋"/>
                <w:szCs w:val="21"/>
              </w:rPr>
            </w:pPr>
            <w:r>
              <w:rPr>
                <w:rFonts w:hint="eastAsia" w:ascii="仿宋" w:hAnsi="仿宋" w:eastAsia="仿宋" w:cs="仿宋"/>
                <w:szCs w:val="21"/>
              </w:rPr>
              <w:t>学生可在操作区域完成接线和参数设置任务，通过虚拟示波器识别电路波形或者万用表测量端点虚拟电压及电流等参数。</w:t>
            </w:r>
          </w:p>
          <w:p>
            <w:pPr>
              <w:rPr>
                <w:rFonts w:ascii="仿宋" w:hAnsi="仿宋" w:eastAsia="仿宋" w:cs="仿宋"/>
                <w:szCs w:val="21"/>
              </w:rPr>
            </w:pPr>
            <w:r>
              <w:rPr>
                <w:rFonts w:hint="eastAsia" w:ascii="仿宋" w:hAnsi="仿宋" w:eastAsia="仿宋" w:cs="仿宋"/>
                <w:szCs w:val="21"/>
              </w:rPr>
              <w:t>运动控制系统仿真实验是虚拟软件和硬件电机的结合使用，软件集成了五个常用的运动控制实验，学生进入实验界面后，需要按照当前实验的需要，选择对应的线路模块，按照运动控制原理正确连接点位，当连接完成后，学生可以设定给定电压，点击运行按钮后，虚拟仿真软件会检测连线正确性，如果错误会给出学生提示，反之，软件会将学生设定的配置信息，通过伺服驱动器驱动电机运行，同时，伺服驱动器会将电机运行的转速、电流等信息实时反馈给仿真软件，仿真软件将把这些信息在虚拟示波器上进行展示，学生可根据运行结果记录实验数据，完成实验报告。</w:t>
            </w:r>
          </w:p>
          <w:p>
            <w:pPr>
              <w:pStyle w:val="5"/>
              <w:numPr>
                <w:ilvl w:val="0"/>
                <w:numId w:val="0"/>
              </w:numPr>
              <w:spacing w:before="0" w:after="0" w:line="240" w:lineRule="auto"/>
              <w:rPr>
                <w:rFonts w:ascii="仿宋" w:hAnsi="仿宋" w:eastAsia="仿宋" w:cs="仿宋"/>
                <w:b w:val="0"/>
                <w:bCs w:val="0"/>
                <w:sz w:val="21"/>
                <w:szCs w:val="21"/>
              </w:rPr>
            </w:pPr>
            <w:bookmarkStart w:id="67" w:name="_Toc104208808"/>
            <w:bookmarkStart w:id="68" w:name="_Toc96936943"/>
            <w:r>
              <w:rPr>
                <w:rFonts w:hint="eastAsia" w:ascii="仿宋" w:hAnsi="仿宋" w:eastAsia="仿宋" w:cs="仿宋"/>
                <w:b w:val="0"/>
                <w:bCs w:val="0"/>
                <w:sz w:val="21"/>
                <w:szCs w:val="21"/>
              </w:rPr>
              <w:t>主要功能</w:t>
            </w:r>
            <w:bookmarkEnd w:id="67"/>
            <w:bookmarkEnd w:id="68"/>
          </w:p>
          <w:p>
            <w:pPr>
              <w:rPr>
                <w:rFonts w:ascii="仿宋" w:hAnsi="仿宋" w:eastAsia="仿宋" w:cs="仿宋"/>
                <w:szCs w:val="21"/>
              </w:rPr>
            </w:pPr>
            <w:r>
              <w:rPr>
                <w:rFonts w:hint="eastAsia" w:ascii="仿宋" w:hAnsi="仿宋" w:eastAsia="仿宋" w:cs="仿宋"/>
                <w:szCs w:val="21"/>
              </w:rPr>
              <w:t>用户可在软件线路库中按需选择线路模块进行使用。包含但不限于电力电力技术运动控制系统常见的电机线路模块、DPT转矩极性鉴别器模块、DPZ零电流检测器模块、DZS零速封锁器模块、ASR速度调节器模块、ACR电流调节器模块、AR反号器模块等</w:t>
            </w:r>
          </w:p>
          <w:p>
            <w:pPr>
              <w:rPr>
                <w:rFonts w:ascii="仿宋" w:hAnsi="仿宋" w:eastAsia="仿宋" w:cs="仿宋"/>
                <w:szCs w:val="21"/>
              </w:rPr>
            </w:pPr>
            <w:r>
              <w:rPr>
                <w:rFonts w:hint="eastAsia" w:ascii="仿宋" w:hAnsi="仿宋" w:eastAsia="仿宋" w:cs="仿宋"/>
                <w:szCs w:val="21"/>
              </w:rPr>
              <w:t>虚拟示波器包含4个测量通道，通过虚拟点电位的连接，点击运行，在示波器荧光屏上可以直接观察电信号波形变化的全过程，与此同时可进行定性、定量的分析和测量其周期、幅度、频率、相位等参数。</w:t>
            </w:r>
          </w:p>
          <w:p>
            <w:pPr>
              <w:rPr>
                <w:rFonts w:ascii="仿宋" w:hAnsi="仿宋" w:eastAsia="仿宋" w:cs="仿宋"/>
                <w:szCs w:val="21"/>
              </w:rPr>
            </w:pPr>
            <w:r>
              <w:rPr>
                <w:rFonts w:hint="eastAsia" w:ascii="仿宋" w:hAnsi="仿宋" w:eastAsia="仿宋" w:cs="仿宋"/>
                <w:szCs w:val="21"/>
              </w:rPr>
              <w:t>用户可在软件中使用鼠标将线路模块或虚拟仪器仪表的点位进行点对点虚拟连接，以实现线路连接。</w:t>
            </w:r>
          </w:p>
          <w:p>
            <w:pPr>
              <w:rPr>
                <w:rFonts w:ascii="仿宋" w:hAnsi="仿宋" w:eastAsia="仿宋" w:cs="仿宋"/>
                <w:szCs w:val="21"/>
              </w:rPr>
            </w:pPr>
            <w:r>
              <w:rPr>
                <w:rFonts w:hint="eastAsia" w:ascii="仿宋" w:hAnsi="仿宋" w:eastAsia="仿宋" w:cs="仿宋"/>
                <w:szCs w:val="21"/>
              </w:rPr>
              <w:t>用户可在可变电阻的电阻编辑窗口修改电阻参数，以实现电阻阻值调节功能。</w:t>
            </w:r>
          </w:p>
          <w:p>
            <w:pPr>
              <w:rPr>
                <w:rFonts w:ascii="仿宋" w:hAnsi="仿宋" w:eastAsia="仿宋" w:cs="仿宋"/>
                <w:szCs w:val="21"/>
              </w:rPr>
            </w:pPr>
            <w:r>
              <w:rPr>
                <w:rFonts w:hint="eastAsia" w:ascii="仿宋" w:hAnsi="仿宋" w:eastAsia="仿宋" w:cs="仿宋"/>
                <w:szCs w:val="21"/>
              </w:rPr>
              <w:t>用户可在线路电路中进行单独的触发操作、如给定、封锁、解除和复位等操作。</w:t>
            </w:r>
          </w:p>
          <w:p>
            <w:pPr>
              <w:rPr>
                <w:rFonts w:ascii="仿宋" w:hAnsi="仿宋" w:eastAsia="仿宋" w:cs="仿宋"/>
                <w:szCs w:val="21"/>
              </w:rPr>
            </w:pPr>
            <w:r>
              <w:rPr>
                <w:rFonts w:hint="eastAsia" w:ascii="仿宋" w:hAnsi="仿宋" w:eastAsia="仿宋" w:cs="仿宋"/>
                <w:szCs w:val="21"/>
              </w:rPr>
              <w:t>软件支持电路接线判断，当实验电路接线不正确时，点击运行后，软件会自动提示接线错误。</w:t>
            </w:r>
          </w:p>
          <w:p>
            <w:pPr>
              <w:rPr>
                <w:rFonts w:ascii="仿宋" w:hAnsi="仿宋" w:eastAsia="仿宋" w:cs="仿宋"/>
                <w:szCs w:val="21"/>
              </w:rPr>
            </w:pPr>
            <w:r>
              <w:rPr>
                <w:rFonts w:hint="eastAsia" w:ascii="仿宋" w:hAnsi="仿宋" w:eastAsia="仿宋" w:cs="仿宋"/>
                <w:szCs w:val="21"/>
              </w:rPr>
              <w:t>用户可在软件中使用默认排列功能，实现实验线路自动布局效果。</w:t>
            </w:r>
          </w:p>
          <w:p>
            <w:pPr>
              <w:rPr>
                <w:rFonts w:ascii="仿宋" w:hAnsi="仿宋" w:eastAsia="仿宋" w:cs="仿宋"/>
                <w:szCs w:val="21"/>
              </w:rPr>
            </w:pPr>
            <w:r>
              <w:rPr>
                <w:rFonts w:hint="eastAsia" w:ascii="仿宋" w:hAnsi="仿宋" w:eastAsia="仿宋" w:cs="仿宋"/>
                <w:szCs w:val="21"/>
              </w:rPr>
              <w:t>用户可在快捷菜单选择要进行的实验实现快速跳转。</w:t>
            </w:r>
          </w:p>
          <w:p>
            <w:pPr>
              <w:rPr>
                <w:rFonts w:ascii="仿宋" w:hAnsi="仿宋" w:eastAsia="仿宋" w:cs="仿宋"/>
                <w:szCs w:val="21"/>
              </w:rPr>
            </w:pPr>
            <w:r>
              <w:rPr>
                <w:rFonts w:hint="eastAsia" w:ascii="仿宋" w:hAnsi="仿宋" w:eastAsia="仿宋" w:cs="仿宋"/>
                <w:szCs w:val="21"/>
              </w:rPr>
              <w:t>用户可在实验面板中随意拖动到具体位置；使用缩放功能，实现放大或缩小实验面板的效果。</w:t>
            </w:r>
          </w:p>
          <w:p>
            <w:pPr>
              <w:rPr>
                <w:rFonts w:ascii="仿宋" w:hAnsi="仿宋" w:eastAsia="仿宋" w:cs="仿宋"/>
                <w:szCs w:val="21"/>
              </w:rPr>
            </w:pPr>
            <w:r>
              <w:rPr>
                <w:rFonts w:hint="eastAsia" w:ascii="仿宋" w:hAnsi="仿宋" w:eastAsia="仿宋" w:cs="仿宋"/>
                <w:szCs w:val="21"/>
              </w:rPr>
              <w:t>用户可使用重新配置功能，实现所有线路模块删除的效果。</w:t>
            </w:r>
          </w:p>
          <w:p>
            <w:pPr>
              <w:pStyle w:val="4"/>
              <w:numPr>
                <w:ilvl w:val="0"/>
                <w:numId w:val="0"/>
              </w:numPr>
              <w:spacing w:before="0" w:after="0" w:line="240" w:lineRule="auto"/>
              <w:rPr>
                <w:rFonts w:ascii="仿宋" w:hAnsi="仿宋" w:eastAsia="仿宋" w:cs="仿宋"/>
                <w:b w:val="0"/>
                <w:bCs w:val="0"/>
                <w:sz w:val="21"/>
                <w:szCs w:val="21"/>
              </w:rPr>
            </w:pPr>
            <w:r>
              <w:rPr>
                <w:rFonts w:hint="eastAsia" w:ascii="仿宋" w:hAnsi="仿宋" w:eastAsia="仿宋" w:cs="仿宋"/>
                <w:b w:val="0"/>
                <w:bCs w:val="0"/>
                <w:sz w:val="21"/>
                <w:szCs w:val="21"/>
              </w:rPr>
              <w:t>实训项目</w:t>
            </w:r>
          </w:p>
          <w:p>
            <w:pPr>
              <w:rPr>
                <w:rFonts w:ascii="仿宋" w:hAnsi="仿宋" w:eastAsia="仿宋" w:cs="仿宋"/>
                <w:szCs w:val="21"/>
              </w:rPr>
            </w:pPr>
            <w:r>
              <w:rPr>
                <w:rFonts w:hint="eastAsia" w:ascii="仿宋" w:hAnsi="仿宋" w:eastAsia="仿宋" w:cs="仿宋"/>
                <w:szCs w:val="21"/>
              </w:rPr>
              <w:t>1、掌握转速单闭环调速系统的调试方法，加深理解速度负反馈的作用。</w:t>
            </w:r>
          </w:p>
          <w:p>
            <w:pPr>
              <w:rPr>
                <w:rFonts w:ascii="仿宋" w:hAnsi="仿宋" w:eastAsia="仿宋" w:cs="仿宋"/>
                <w:szCs w:val="21"/>
              </w:rPr>
            </w:pPr>
            <w:r>
              <w:rPr>
                <w:rFonts w:hint="eastAsia" w:ascii="仿宋" w:hAnsi="仿宋" w:eastAsia="仿宋" w:cs="仿宋"/>
                <w:szCs w:val="21"/>
              </w:rPr>
              <w:t>2、转速负反馈单闭环直流调速系统见上图。在操作界面（下图）接线。</w:t>
            </w:r>
          </w:p>
          <w:p>
            <w:pPr>
              <w:rPr>
                <w:rFonts w:ascii="仿宋" w:hAnsi="仿宋" w:eastAsia="仿宋" w:cs="仿宋"/>
                <w:szCs w:val="21"/>
              </w:rPr>
            </w:pPr>
            <w:r>
              <w:rPr>
                <w:rFonts w:hint="eastAsia" w:ascii="仿宋" w:hAnsi="仿宋" w:eastAsia="仿宋" w:cs="仿宋"/>
                <w:szCs w:val="21"/>
              </w:rPr>
              <w:t>3、调给定单元中的正给定电位器，使电动机在某一转速下稳定运行。</w:t>
            </w:r>
          </w:p>
          <w:p>
            <w:pPr>
              <w:rPr>
                <w:rFonts w:ascii="仿宋" w:hAnsi="仿宋" w:eastAsia="仿宋" w:cs="仿宋"/>
                <w:szCs w:val="21"/>
              </w:rPr>
            </w:pPr>
            <w:r>
              <w:rPr>
                <w:rFonts w:hint="eastAsia" w:ascii="仿宋" w:hAnsi="仿宋" w:eastAsia="仿宋" w:cs="仿宋"/>
                <w:szCs w:val="21"/>
              </w:rPr>
              <w:t>4、单闭环转速负反馈电压调试（ASR：20K，6.8F，限幅8V）；</w:t>
            </w:r>
          </w:p>
          <w:p>
            <w:pPr>
              <w:rPr>
                <w:rFonts w:ascii="仿宋" w:hAnsi="仿宋" w:eastAsia="仿宋" w:cs="仿宋"/>
                <w:szCs w:val="21"/>
              </w:rPr>
            </w:pPr>
            <w:r>
              <w:rPr>
                <w:rFonts w:hint="eastAsia" w:ascii="仿宋" w:hAnsi="仿宋" w:eastAsia="仿宋" w:cs="仿宋"/>
                <w:szCs w:val="21"/>
              </w:rPr>
              <w:t>5、测定转速负反馈单闭环有静差调速系统的静特性</w:t>
            </w:r>
          </w:p>
          <w:p>
            <w:pPr>
              <w:rPr>
                <w:rFonts w:ascii="仿宋" w:hAnsi="仿宋" w:eastAsia="仿宋" w:cs="仿宋"/>
                <w:szCs w:val="21"/>
              </w:rPr>
            </w:pPr>
            <w:r>
              <w:rPr>
                <w:rFonts w:hint="eastAsia" w:ascii="仿宋" w:hAnsi="仿宋" w:eastAsia="仿宋" w:cs="仿宋"/>
                <w:szCs w:val="21"/>
              </w:rPr>
              <w:t>6、掌握电流单闭环调速系统的调试方法，加深理解速度负反馈的作用。</w:t>
            </w:r>
          </w:p>
          <w:p>
            <w:pPr>
              <w:rPr>
                <w:rFonts w:ascii="仿宋" w:hAnsi="仿宋" w:eastAsia="仿宋" w:cs="仿宋"/>
                <w:szCs w:val="21"/>
              </w:rPr>
            </w:pPr>
            <w:r>
              <w:rPr>
                <w:rFonts w:hint="eastAsia" w:ascii="仿宋" w:hAnsi="仿宋" w:eastAsia="仿宋" w:cs="仿宋"/>
                <w:szCs w:val="21"/>
              </w:rPr>
              <w:t>7、了解双闭环直流调速系统的组成和工作原理；</w:t>
            </w:r>
          </w:p>
          <w:p>
            <w:pPr>
              <w:rPr>
                <w:rFonts w:ascii="仿宋" w:hAnsi="仿宋" w:eastAsia="仿宋" w:cs="仿宋"/>
                <w:szCs w:val="21"/>
              </w:rPr>
            </w:pPr>
            <w:r>
              <w:rPr>
                <w:rFonts w:hint="eastAsia" w:ascii="仿宋" w:hAnsi="仿宋" w:eastAsia="仿宋" w:cs="仿宋"/>
                <w:szCs w:val="21"/>
              </w:rPr>
              <w:t>8、掌握双闭环直流调速系统调试和参数整定方法；</w:t>
            </w:r>
          </w:p>
          <w:p>
            <w:pPr>
              <w:rPr>
                <w:rFonts w:ascii="仿宋" w:hAnsi="仿宋" w:eastAsia="仿宋" w:cs="仿宋"/>
                <w:szCs w:val="21"/>
              </w:rPr>
            </w:pPr>
            <w:r>
              <w:rPr>
                <w:rFonts w:hint="eastAsia" w:ascii="仿宋" w:hAnsi="仿宋" w:eastAsia="仿宋" w:cs="仿宋"/>
                <w:szCs w:val="21"/>
              </w:rPr>
              <w:t>9、测定双闭环直流调速系统的静态和动态性能指标；</w:t>
            </w:r>
          </w:p>
          <w:p>
            <w:pPr>
              <w:rPr>
                <w:rFonts w:ascii="仿宋" w:hAnsi="仿宋" w:eastAsia="仿宋" w:cs="仿宋"/>
                <w:szCs w:val="21"/>
              </w:rPr>
            </w:pPr>
            <w:r>
              <w:rPr>
                <w:rFonts w:hint="eastAsia" w:ascii="仿宋" w:hAnsi="仿宋" w:eastAsia="仿宋" w:cs="仿宋"/>
                <w:szCs w:val="21"/>
              </w:rPr>
              <w:t>10、了解调节器参数对系统动态性能的影响。1、按上图电流单闭环接线，先内环进行电流负反馈电压调试（ACR：10K，3.3F，限幅8V）；</w:t>
            </w:r>
          </w:p>
          <w:p>
            <w:pPr>
              <w:rPr>
                <w:rFonts w:ascii="仿宋" w:hAnsi="仿宋" w:eastAsia="仿宋" w:cs="仿宋"/>
                <w:szCs w:val="21"/>
              </w:rPr>
            </w:pPr>
            <w:r>
              <w:rPr>
                <w:rFonts w:hint="eastAsia" w:ascii="仿宋" w:hAnsi="仿宋" w:eastAsia="仿宋" w:cs="仿宋"/>
                <w:szCs w:val="21"/>
              </w:rPr>
              <w:t>11、电流反馈系数的测定；</w:t>
            </w:r>
          </w:p>
          <w:p>
            <w:pPr>
              <w:rPr>
                <w:rFonts w:ascii="仿宋" w:hAnsi="仿宋" w:eastAsia="仿宋" w:cs="仿宋"/>
                <w:szCs w:val="21"/>
              </w:rPr>
            </w:pPr>
            <w:r>
              <w:rPr>
                <w:rFonts w:hint="eastAsia" w:ascii="仿宋" w:hAnsi="仿宋" w:eastAsia="仿宋" w:cs="仿宋"/>
                <w:szCs w:val="21"/>
              </w:rPr>
              <w:t>12、在操作面板（下图）接线，后外环进行速度负反馈电压调试（ASR：20K，6.8F，限幅8V ；ACR：10K，3.3F，限幅8V）；</w:t>
            </w:r>
          </w:p>
          <w:p>
            <w:pPr>
              <w:rPr>
                <w:rFonts w:ascii="仿宋" w:hAnsi="仿宋" w:eastAsia="仿宋" w:cs="仿宋"/>
                <w:szCs w:val="21"/>
              </w:rPr>
            </w:pPr>
            <w:r>
              <w:rPr>
                <w:rFonts w:hint="eastAsia" w:ascii="仿宋" w:hAnsi="仿宋" w:eastAsia="仿宋" w:cs="仿宋"/>
                <w:szCs w:val="21"/>
              </w:rPr>
              <w:t>13、速度反馈系数的测定；</w:t>
            </w:r>
          </w:p>
          <w:p>
            <w:pPr>
              <w:rPr>
                <w:rFonts w:ascii="仿宋" w:hAnsi="仿宋" w:eastAsia="仿宋" w:cs="仿宋"/>
                <w:szCs w:val="21"/>
              </w:rPr>
            </w:pPr>
            <w:r>
              <w:rPr>
                <w:rFonts w:hint="eastAsia" w:ascii="仿宋" w:hAnsi="仿宋" w:eastAsia="仿宋" w:cs="仿宋"/>
                <w:szCs w:val="21"/>
              </w:rPr>
              <w:t>14、双闭环系统静态特性测定。</w:t>
            </w:r>
          </w:p>
          <w:p>
            <w:pPr>
              <w:rPr>
                <w:rFonts w:ascii="仿宋" w:hAnsi="仿宋" w:eastAsia="仿宋" w:cs="仿宋"/>
                <w:szCs w:val="21"/>
              </w:rPr>
            </w:pPr>
            <w:r>
              <w:rPr>
                <w:rFonts w:hint="eastAsia" w:ascii="仿宋" w:hAnsi="仿宋" w:eastAsia="仿宋" w:cs="仿宋"/>
                <w:szCs w:val="21"/>
              </w:rPr>
              <w:t>15、了解、熟悉逻辑无环流可逆调速系统的组成和工作原理；</w:t>
            </w:r>
          </w:p>
          <w:p>
            <w:pPr>
              <w:rPr>
                <w:rFonts w:ascii="仿宋" w:hAnsi="仿宋" w:eastAsia="仿宋" w:cs="仿宋"/>
                <w:szCs w:val="21"/>
              </w:rPr>
            </w:pPr>
            <w:r>
              <w:rPr>
                <w:rFonts w:hint="eastAsia" w:ascii="仿宋" w:hAnsi="仿宋" w:eastAsia="仿宋" w:cs="仿宋"/>
                <w:szCs w:val="21"/>
              </w:rPr>
              <w:t>16、掌握各控制单元的原理、作用和调试方法；</w:t>
            </w:r>
          </w:p>
          <w:p>
            <w:pPr>
              <w:rPr>
                <w:rFonts w:ascii="仿宋" w:hAnsi="仿宋" w:eastAsia="仿宋" w:cs="仿宋"/>
                <w:szCs w:val="21"/>
              </w:rPr>
            </w:pPr>
            <w:r>
              <w:rPr>
                <w:rFonts w:hint="eastAsia" w:ascii="仿宋" w:hAnsi="仿宋" w:eastAsia="仿宋" w:cs="仿宋"/>
                <w:szCs w:val="21"/>
              </w:rPr>
              <w:t>17、掌握逻辑无环流可逆调速系统的调试方法和步骤；</w:t>
            </w:r>
          </w:p>
          <w:p>
            <w:pPr>
              <w:rPr>
                <w:rFonts w:ascii="仿宋" w:hAnsi="仿宋" w:eastAsia="仿宋" w:cs="仿宋"/>
                <w:szCs w:val="21"/>
              </w:rPr>
            </w:pPr>
            <w:r>
              <w:rPr>
                <w:rFonts w:hint="eastAsia" w:ascii="仿宋" w:hAnsi="仿宋" w:eastAsia="仿宋" w:cs="仿宋"/>
                <w:szCs w:val="21"/>
              </w:rPr>
              <w:t>18、测定双闭环系统的静特性和动特性。</w:t>
            </w:r>
          </w:p>
          <w:p>
            <w:pPr>
              <w:rPr>
                <w:rFonts w:ascii="仿宋" w:hAnsi="仿宋" w:eastAsia="仿宋" w:cs="仿宋"/>
                <w:szCs w:val="21"/>
              </w:rPr>
            </w:pPr>
            <w:r>
              <w:rPr>
                <w:rFonts w:hint="eastAsia" w:ascii="仿宋" w:hAnsi="仿宋" w:eastAsia="仿宋" w:cs="仿宋"/>
                <w:szCs w:val="21"/>
              </w:rPr>
              <w:t>19、熟悉VVVF变频调速装置的基本组成及其原理；</w:t>
            </w:r>
          </w:p>
          <w:p>
            <w:pPr>
              <w:rPr>
                <w:rFonts w:ascii="仿宋" w:hAnsi="仿宋" w:eastAsia="仿宋" w:cs="仿宋"/>
                <w:szCs w:val="21"/>
              </w:rPr>
            </w:pPr>
            <w:r>
              <w:rPr>
                <w:rFonts w:hint="eastAsia" w:ascii="仿宋" w:hAnsi="仿宋" w:eastAsia="仿宋" w:cs="仿宋"/>
                <w:szCs w:val="21"/>
              </w:rPr>
              <w:t>20、掌握电压型逆变器PWM控制的基本原理；</w:t>
            </w:r>
          </w:p>
          <w:p>
            <w:pPr>
              <w:pStyle w:val="135"/>
              <w:numPr>
                <w:ilvl w:val="0"/>
                <w:numId w:val="12"/>
              </w:numPr>
              <w:ind w:left="0" w:firstLine="0" w:firstLineChars="0"/>
              <w:rPr>
                <w:rFonts w:ascii="仿宋" w:hAnsi="仿宋" w:eastAsia="仿宋" w:cs="仿宋"/>
                <w:szCs w:val="21"/>
              </w:rPr>
            </w:pPr>
            <w:r>
              <w:rPr>
                <w:rFonts w:hint="eastAsia" w:ascii="仿宋" w:hAnsi="仿宋" w:eastAsia="仿宋" w:cs="仿宋"/>
                <w:szCs w:val="21"/>
              </w:rPr>
              <w:t>掌握VVVF变频调速装置功能码的设定及操作方法；</w:t>
            </w:r>
          </w:p>
          <w:p>
            <w:pPr>
              <w:pStyle w:val="135"/>
              <w:numPr>
                <w:ilvl w:val="0"/>
                <w:numId w:val="12"/>
              </w:numPr>
              <w:ind w:left="0" w:firstLine="0" w:firstLineChars="0"/>
              <w:rPr>
                <w:rFonts w:ascii="仿宋" w:hAnsi="仿宋" w:eastAsia="仿宋" w:cs="仿宋"/>
                <w:szCs w:val="21"/>
              </w:rPr>
            </w:pPr>
            <w:r>
              <w:rPr>
                <w:rFonts w:hint="eastAsia" w:ascii="仿宋" w:hAnsi="仿宋" w:eastAsia="仿宋" w:cs="仿宋"/>
                <w:szCs w:val="21"/>
              </w:rPr>
              <w:t>观察VVVF变频调速装置的主要控制波形。</w:t>
            </w:r>
          </w:p>
          <w:p>
            <w:pPr>
              <w:pStyle w:val="3"/>
              <w:spacing w:before="0" w:after="0" w:line="240" w:lineRule="auto"/>
              <w:ind w:firstLine="0"/>
              <w:rPr>
                <w:rFonts w:ascii="仿宋" w:hAnsi="仿宋" w:eastAsia="仿宋" w:cs="仿宋"/>
                <w:b w:val="0"/>
                <w:bCs w:val="0"/>
                <w:sz w:val="21"/>
                <w:szCs w:val="21"/>
              </w:rPr>
            </w:pPr>
            <w:bookmarkStart w:id="69" w:name="_Toc96936931"/>
            <w:bookmarkStart w:id="70" w:name="_Toc104208796"/>
            <w:r>
              <w:rPr>
                <w:rFonts w:hint="eastAsia" w:ascii="仿宋" w:hAnsi="仿宋" w:eastAsia="仿宋" w:cs="仿宋"/>
                <w:b w:val="0"/>
                <w:bCs w:val="0"/>
                <w:sz w:val="21"/>
                <w:szCs w:val="21"/>
              </w:rPr>
              <w:t>三、运动控制系统虚实结合一体化实训装置</w:t>
            </w:r>
            <w:bookmarkEnd w:id="69"/>
            <w:bookmarkEnd w:id="70"/>
          </w:p>
          <w:p>
            <w:pPr>
              <w:pStyle w:val="4"/>
              <w:numPr>
                <w:ilvl w:val="0"/>
                <w:numId w:val="0"/>
              </w:numPr>
              <w:spacing w:before="0" w:after="0" w:line="240" w:lineRule="auto"/>
              <w:rPr>
                <w:rFonts w:ascii="仿宋" w:hAnsi="仿宋" w:eastAsia="仿宋" w:cs="仿宋"/>
                <w:b w:val="0"/>
                <w:bCs w:val="0"/>
                <w:sz w:val="21"/>
                <w:szCs w:val="21"/>
              </w:rPr>
            </w:pPr>
            <w:bookmarkStart w:id="71" w:name="_Toc104208797"/>
            <w:bookmarkStart w:id="72" w:name="_Toc96936932"/>
            <w:r>
              <w:rPr>
                <w:rFonts w:hint="eastAsia" w:ascii="仿宋" w:hAnsi="仿宋" w:eastAsia="仿宋" w:cs="仿宋"/>
                <w:b w:val="0"/>
                <w:bCs w:val="0"/>
                <w:sz w:val="21"/>
                <w:szCs w:val="21"/>
              </w:rPr>
              <w:t>装置概述</w:t>
            </w:r>
            <w:bookmarkEnd w:id="71"/>
            <w:bookmarkEnd w:id="72"/>
          </w:p>
          <w:p>
            <w:pPr>
              <w:rPr>
                <w:rFonts w:ascii="仿宋" w:hAnsi="仿宋" w:eastAsia="仿宋" w:cs="仿宋"/>
                <w:szCs w:val="21"/>
              </w:rPr>
            </w:pPr>
            <w:r>
              <w:rPr>
                <w:rFonts w:hint="eastAsia" w:ascii="仿宋" w:hAnsi="仿宋" w:eastAsia="仿宋" w:cs="仿宋"/>
                <w:szCs w:val="21"/>
              </w:rPr>
              <w:t>运动控制系统虚实结合一体化实训装置是一款基于MatLab的虚拟仿真综合性实训装置，适用于电工技术、电子技术、电气自动化技术、机电一体化技术等专业中的《电力电子技术》、《自动控制原理》等核心课程的理论教学与实践教学。装置包含伺服电机驱动器和电机组模块，采用虚实结合模式，将虚拟场景与实际控制器进行信号通讯，实现系统信号的控制与反馈，培养学生电力电子技术各课程中的专业知识。</w:t>
            </w:r>
          </w:p>
          <w:p>
            <w:pPr>
              <w:pStyle w:val="4"/>
              <w:numPr>
                <w:ilvl w:val="0"/>
                <w:numId w:val="0"/>
              </w:numPr>
              <w:spacing w:before="0" w:after="0" w:line="240" w:lineRule="auto"/>
              <w:rPr>
                <w:rFonts w:ascii="仿宋" w:hAnsi="仿宋" w:eastAsia="仿宋" w:cs="仿宋"/>
                <w:b w:val="0"/>
                <w:bCs w:val="0"/>
                <w:sz w:val="21"/>
                <w:szCs w:val="21"/>
              </w:rPr>
            </w:pPr>
            <w:bookmarkStart w:id="73" w:name="_Toc104208799"/>
            <w:r>
              <w:rPr>
                <w:rFonts w:hint="eastAsia" w:ascii="仿宋" w:hAnsi="仿宋" w:eastAsia="仿宋" w:cs="仿宋"/>
                <w:b w:val="0"/>
                <w:bCs w:val="0"/>
                <w:sz w:val="21"/>
                <w:szCs w:val="21"/>
              </w:rPr>
              <w:t>装置硬件及配套附件说明</w:t>
            </w:r>
            <w:bookmarkEnd w:id="73"/>
          </w:p>
          <w:p>
            <w:pPr>
              <w:pStyle w:val="5"/>
              <w:numPr>
                <w:ilvl w:val="0"/>
                <w:numId w:val="13"/>
              </w:numPr>
              <w:spacing w:before="0" w:after="0" w:line="240" w:lineRule="auto"/>
              <w:ind w:left="0" w:firstLine="0"/>
              <w:rPr>
                <w:rFonts w:ascii="仿宋" w:hAnsi="仿宋" w:eastAsia="仿宋" w:cs="仿宋"/>
                <w:b w:val="0"/>
                <w:bCs w:val="0"/>
                <w:sz w:val="21"/>
                <w:szCs w:val="21"/>
              </w:rPr>
            </w:pPr>
            <w:bookmarkStart w:id="74" w:name="_Toc95835449"/>
            <w:bookmarkStart w:id="75" w:name="_Toc97307085"/>
            <w:bookmarkStart w:id="76" w:name="_Toc104208800"/>
            <w:r>
              <w:rPr>
                <w:rFonts w:hint="eastAsia" w:ascii="仿宋" w:hAnsi="仿宋" w:eastAsia="仿宋" w:cs="仿宋"/>
                <w:b w:val="0"/>
                <w:bCs w:val="0"/>
                <w:sz w:val="21"/>
                <w:szCs w:val="21"/>
              </w:rPr>
              <w:t>伺服电机驱动器模块</w:t>
            </w:r>
            <w:bookmarkEnd w:id="74"/>
            <w:bookmarkEnd w:id="75"/>
            <w:bookmarkEnd w:id="76"/>
          </w:p>
          <w:p>
            <w:pPr>
              <w:jc w:val="left"/>
              <w:rPr>
                <w:rFonts w:ascii="仿宋" w:hAnsi="仿宋" w:eastAsia="仿宋" w:cs="仿宋"/>
                <w:szCs w:val="21"/>
              </w:rPr>
            </w:pPr>
            <w:r>
              <w:rPr>
                <w:rFonts w:hint="eastAsia" w:ascii="仿宋" w:hAnsi="仿宋" w:eastAsia="仿宋" w:cs="仿宋"/>
                <w:szCs w:val="21"/>
              </w:rPr>
              <w:t>（1）本驱动器可用于带霍尔传感器的无刷直流电机的驱动控制，具有以下特点：</w:t>
            </w:r>
          </w:p>
          <w:p>
            <w:pPr>
              <w:jc w:val="left"/>
              <w:rPr>
                <w:rFonts w:ascii="仿宋" w:hAnsi="仿宋" w:eastAsia="仿宋" w:cs="仿宋"/>
                <w:szCs w:val="21"/>
              </w:rPr>
            </w:pPr>
            <w:r>
              <w:rPr>
                <w:rFonts w:hint="eastAsia" w:ascii="仿宋" w:hAnsi="仿宋" w:eastAsia="仿宋" w:cs="仿宋"/>
                <w:szCs w:val="21"/>
              </w:rPr>
              <w:t>（2）集伺服驱动和运动控制于一体，可靠稳定；包含电流环、速度环以及位置环全闭环控制；支持多轴同步控制-----gLink-I；支持多种编码器反馈及断线保护；支持本地IO以及远程扩展IO；采用多自由度和非线性控制算法，实现高带宽、高效率力矩控制；自适应PID控制算法实现高带宽、高精度的压力、流量控制；电机参数的自动辨识与校正以及环路参数自整定。</w:t>
            </w:r>
          </w:p>
          <w:p>
            <w:pPr>
              <w:jc w:val="left"/>
              <w:rPr>
                <w:rFonts w:ascii="仿宋" w:hAnsi="仿宋" w:eastAsia="仿宋" w:cs="仿宋"/>
                <w:szCs w:val="21"/>
              </w:rPr>
            </w:pPr>
            <w:r>
              <w:rPr>
                <w:rFonts w:hint="eastAsia" w:ascii="仿宋" w:hAnsi="仿宋" w:eastAsia="仿宋" w:cs="仿宋"/>
                <w:szCs w:val="21"/>
              </w:rPr>
              <w:t>（3）电源输出：12VDC 2路，24VDC 2路。</w:t>
            </w:r>
          </w:p>
          <w:p>
            <w:pPr>
              <w:pStyle w:val="4"/>
              <w:numPr>
                <w:ilvl w:val="0"/>
                <w:numId w:val="0"/>
              </w:numPr>
              <w:spacing w:before="0" w:after="0" w:line="240" w:lineRule="auto"/>
              <w:rPr>
                <w:rFonts w:ascii="仿宋" w:hAnsi="仿宋" w:eastAsia="仿宋" w:cs="仿宋"/>
                <w:b w:val="0"/>
                <w:bCs w:val="0"/>
                <w:sz w:val="21"/>
                <w:szCs w:val="21"/>
              </w:rPr>
            </w:pPr>
            <w:bookmarkStart w:id="77" w:name="_Toc97307086"/>
            <w:bookmarkStart w:id="78" w:name="_Toc95835450"/>
            <w:bookmarkStart w:id="79" w:name="_Toc104208801"/>
            <w:r>
              <w:rPr>
                <w:rFonts w:hint="eastAsia" w:ascii="仿宋" w:hAnsi="仿宋" w:eastAsia="仿宋" w:cs="仿宋"/>
                <w:b w:val="0"/>
                <w:bCs w:val="0"/>
                <w:sz w:val="21"/>
                <w:szCs w:val="21"/>
              </w:rPr>
              <w:t>2、电机组模块</w:t>
            </w:r>
            <w:bookmarkEnd w:id="77"/>
            <w:bookmarkEnd w:id="78"/>
            <w:bookmarkEnd w:id="79"/>
          </w:p>
          <w:p>
            <w:pPr>
              <w:numPr>
                <w:ilvl w:val="0"/>
                <w:numId w:val="14"/>
              </w:numPr>
              <w:ind w:left="0" w:firstLine="0"/>
              <w:rPr>
                <w:rFonts w:ascii="仿宋" w:hAnsi="仿宋" w:eastAsia="仿宋" w:cs="仿宋"/>
                <w:szCs w:val="21"/>
              </w:rPr>
            </w:pPr>
            <w:r>
              <w:rPr>
                <w:rFonts w:hint="eastAsia" w:ascii="仿宋" w:hAnsi="仿宋" w:eastAsia="仿宋" w:cs="仿宋"/>
                <w:szCs w:val="21"/>
              </w:rPr>
              <w:t>包括一个直流伺服电机和一个交流伺服电机，每个点击有独立的霍尔传感器。</w:t>
            </w:r>
          </w:p>
          <w:p>
            <w:pPr>
              <w:pStyle w:val="4"/>
              <w:numPr>
                <w:ilvl w:val="0"/>
                <w:numId w:val="0"/>
              </w:numPr>
              <w:spacing w:before="0" w:after="0" w:line="240" w:lineRule="auto"/>
              <w:rPr>
                <w:rFonts w:ascii="仿宋" w:hAnsi="仿宋" w:eastAsia="仿宋" w:cs="仿宋"/>
                <w:b w:val="0"/>
                <w:bCs w:val="0"/>
                <w:sz w:val="21"/>
                <w:szCs w:val="21"/>
              </w:rPr>
            </w:pPr>
            <w:bookmarkStart w:id="80" w:name="_Toc97307087"/>
            <w:bookmarkStart w:id="81" w:name="_Toc104208802"/>
            <w:bookmarkStart w:id="82" w:name="_Toc95835451"/>
            <w:r>
              <w:rPr>
                <w:rFonts w:hint="eastAsia" w:ascii="仿宋" w:hAnsi="仿宋" w:eastAsia="仿宋" w:cs="仿宋"/>
                <w:b w:val="0"/>
                <w:bCs w:val="0"/>
                <w:sz w:val="21"/>
                <w:szCs w:val="21"/>
              </w:rPr>
              <w:t>3、实训台</w:t>
            </w:r>
            <w:bookmarkEnd w:id="80"/>
            <w:bookmarkEnd w:id="81"/>
            <w:bookmarkEnd w:id="82"/>
          </w:p>
          <w:p>
            <w:pPr>
              <w:numPr>
                <w:ilvl w:val="0"/>
                <w:numId w:val="15"/>
              </w:numPr>
              <w:autoSpaceDE w:val="0"/>
              <w:autoSpaceDN w:val="0"/>
              <w:adjustRightInd w:val="0"/>
              <w:ind w:left="0" w:firstLine="0"/>
              <w:rPr>
                <w:rFonts w:ascii="仿宋" w:hAnsi="仿宋" w:eastAsia="仿宋" w:cs="仿宋"/>
                <w:szCs w:val="21"/>
              </w:rPr>
            </w:pPr>
            <w:r>
              <w:rPr>
                <w:rFonts w:hint="eastAsia" w:ascii="仿宋" w:hAnsi="仿宋" w:eastAsia="仿宋" w:cs="仿宋"/>
                <w:szCs w:val="21"/>
              </w:rPr>
              <w:t>灰白色中纤板桌面,基材选用</w:t>
            </w:r>
            <w:r>
              <w:rPr>
                <w:rFonts w:hint="eastAsia" w:ascii="仿宋" w:hAnsi="仿宋" w:eastAsia="仿宋" w:cs="仿宋"/>
                <w:color w:val="000000"/>
                <w:kern w:val="0"/>
                <w:szCs w:val="21"/>
                <w:lang w:bidi="ar"/>
              </w:rPr>
              <w:t>≥</w:t>
            </w:r>
            <w:r>
              <w:rPr>
                <w:rFonts w:hint="eastAsia" w:ascii="仿宋" w:hAnsi="仿宋" w:eastAsia="仿宋" w:cs="仿宋"/>
                <w:szCs w:val="21"/>
              </w:rPr>
              <w:t>20mm厚中密度板，强度高，不变形，承重性强，所有材料均经过防虫，防腐等化学处理,桌面打出线圆孔。</w:t>
            </w:r>
          </w:p>
          <w:p>
            <w:pPr>
              <w:numPr>
                <w:ilvl w:val="0"/>
                <w:numId w:val="15"/>
              </w:numPr>
              <w:autoSpaceDE w:val="0"/>
              <w:autoSpaceDN w:val="0"/>
              <w:adjustRightInd w:val="0"/>
              <w:ind w:left="0" w:firstLine="0"/>
              <w:rPr>
                <w:rFonts w:ascii="仿宋" w:hAnsi="仿宋" w:eastAsia="仿宋" w:cs="仿宋"/>
                <w:szCs w:val="21"/>
              </w:rPr>
            </w:pPr>
            <w:r>
              <w:rPr>
                <w:rFonts w:hint="eastAsia" w:ascii="仿宋" w:hAnsi="仿宋" w:eastAsia="仿宋" w:cs="仿宋"/>
                <w:szCs w:val="21"/>
              </w:rPr>
              <w:t>采用国产优质五金配件，键盘架基材为高强度ABS工程塑料，每位配套ABS键盘托和活动主机柜各一个，配标准办公坐椅和插线板一套。</w:t>
            </w:r>
          </w:p>
          <w:p>
            <w:pPr>
              <w:rPr>
                <w:rFonts w:ascii="仿宋" w:hAnsi="仿宋" w:eastAsia="仿宋" w:cs="仿宋"/>
                <w:szCs w:val="21"/>
              </w:rPr>
            </w:pPr>
            <w:r>
              <w:rPr>
                <w:rFonts w:hint="eastAsia" w:ascii="仿宋" w:hAnsi="仿宋" w:eastAsia="仿宋" w:cs="仿宋"/>
                <w:szCs w:val="21"/>
              </w:rPr>
              <w:t>规格：</w:t>
            </w:r>
            <w:r>
              <w:rPr>
                <w:rFonts w:hint="eastAsia" w:ascii="仿宋" w:hAnsi="仿宋" w:eastAsia="仿宋" w:cs="仿宋"/>
                <w:kern w:val="0"/>
                <w:szCs w:val="21"/>
              </w:rPr>
              <w:t>L1600mm×W700mm×H740mm</w:t>
            </w:r>
          </w:p>
        </w:tc>
        <w:tc>
          <w:tcPr>
            <w:tcW w:w="566" w:type="dxa"/>
            <w:vAlign w:val="center"/>
          </w:tcPr>
          <w:p>
            <w:pP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647" w:type="dxa"/>
            <w:vAlign w:val="center"/>
          </w:tcPr>
          <w:p>
            <w:pPr>
              <w:pStyle w:val="20"/>
              <w:rPr>
                <w:rFonts w:ascii="仿宋" w:hAnsi="仿宋" w:eastAsia="仿宋" w:cs="仿宋"/>
              </w:rPr>
            </w:pPr>
            <w:r>
              <w:rPr>
                <w:rFonts w:hint="eastAsia" w:ascii="仿宋" w:hAnsi="仿宋" w:eastAsia="仿宋" w:cs="仿宋"/>
              </w:rPr>
              <w:t>2</w:t>
            </w:r>
          </w:p>
        </w:tc>
        <w:tc>
          <w:tcPr>
            <w:tcW w:w="1274" w:type="dxa"/>
            <w:vAlign w:val="center"/>
          </w:tcPr>
          <w:p>
            <w:pPr>
              <w:rPr>
                <w:rFonts w:ascii="仿宋" w:hAnsi="仿宋" w:eastAsia="仿宋" w:cs="仿宋"/>
              </w:rPr>
            </w:pPr>
            <w:r>
              <w:rPr>
                <w:rFonts w:hint="eastAsia" w:ascii="仿宋" w:hAnsi="仿宋" w:eastAsia="仿宋" w:cs="仿宋"/>
                <w:kern w:val="0"/>
                <w:sz w:val="24"/>
                <w:szCs w:val="24"/>
              </w:rPr>
              <w:t>工业机器人拆装（MR标准版）</w:t>
            </w:r>
          </w:p>
        </w:tc>
        <w:tc>
          <w:tcPr>
            <w:tcW w:w="11454" w:type="dxa"/>
            <w:vAlign w:val="center"/>
          </w:tcPr>
          <w:p>
            <w:pPr>
              <w:jc w:val="left"/>
              <w:rPr>
                <w:rFonts w:ascii="仿宋" w:hAnsi="仿宋" w:eastAsia="仿宋" w:cs="仿宋"/>
                <w:bCs/>
                <w:kern w:val="0"/>
                <w:szCs w:val="21"/>
              </w:rPr>
            </w:pPr>
            <w:r>
              <w:rPr>
                <w:rFonts w:hint="eastAsia" w:ascii="仿宋" w:hAnsi="仿宋" w:eastAsia="仿宋" w:cs="仿宋"/>
                <w:bCs/>
                <w:kern w:val="0"/>
                <w:szCs w:val="21"/>
              </w:rPr>
              <w:t>工业机器人拆装软件（MR版）分为两种实现方式，由两款软件构成，一款为单人版，一款为多人协同版。</w:t>
            </w:r>
          </w:p>
          <w:p>
            <w:pPr>
              <w:pStyle w:val="16"/>
              <w:spacing w:before="0"/>
              <w:rPr>
                <w:rFonts w:ascii="仿宋" w:hAnsi="仿宋" w:eastAsia="仿宋" w:cs="仿宋"/>
                <w:bCs/>
                <w:kern w:val="0"/>
                <w:sz w:val="21"/>
                <w:szCs w:val="21"/>
              </w:rPr>
            </w:pPr>
            <w:r>
              <w:rPr>
                <w:rFonts w:hint="eastAsia" w:ascii="仿宋" w:hAnsi="仿宋" w:eastAsia="仿宋" w:cs="仿宋"/>
                <w:bCs/>
                <w:kern w:val="0"/>
                <w:sz w:val="21"/>
                <w:szCs w:val="21"/>
              </w:rPr>
              <w:t>（一）单人版功能要求：</w:t>
            </w:r>
          </w:p>
          <w:p>
            <w:pPr>
              <w:pStyle w:val="16"/>
              <w:spacing w:before="0"/>
              <w:rPr>
                <w:rFonts w:ascii="仿宋" w:hAnsi="仿宋" w:eastAsia="仿宋" w:cs="仿宋"/>
                <w:bCs/>
                <w:kern w:val="0"/>
                <w:sz w:val="21"/>
                <w:szCs w:val="21"/>
              </w:rPr>
            </w:pPr>
            <w:r>
              <w:rPr>
                <w:rFonts w:hint="eastAsia" w:ascii="仿宋" w:hAnsi="仿宋" w:eastAsia="仿宋" w:cs="仿宋"/>
                <w:bCs/>
                <w:kern w:val="0"/>
                <w:sz w:val="21"/>
                <w:szCs w:val="21"/>
              </w:rPr>
              <w:t>1、以工业机器人机械臂为原型，针对机器人内部构造细节进行拆装展示、让学习者能够认知并掌握工业机器人的部件构成。软件适配MR眼镜并在虚拟空间内进行立体化展示，且软件具有提示功能，在使用过程中如果不按照正确步骤进行会进行提醒，直到找到正确的拆装步骤达到考核目的。</w:t>
            </w:r>
          </w:p>
          <w:p>
            <w:pPr>
              <w:pStyle w:val="16"/>
              <w:spacing w:before="0"/>
              <w:rPr>
                <w:rFonts w:ascii="仿宋" w:hAnsi="仿宋" w:eastAsia="仿宋" w:cs="仿宋"/>
                <w:bCs/>
                <w:kern w:val="0"/>
                <w:sz w:val="21"/>
                <w:szCs w:val="21"/>
              </w:rPr>
            </w:pPr>
            <w:r>
              <w:rPr>
                <w:rFonts w:hint="eastAsia" w:ascii="仿宋" w:hAnsi="仿宋" w:eastAsia="仿宋" w:cs="仿宋"/>
                <w:bCs/>
                <w:kern w:val="0"/>
                <w:sz w:val="21"/>
                <w:szCs w:val="21"/>
              </w:rPr>
              <w:t>2、进入软件页面后，空间内直立一台工业机器人机械臂。</w:t>
            </w:r>
          </w:p>
          <w:p>
            <w:pPr>
              <w:pStyle w:val="16"/>
              <w:spacing w:before="0"/>
              <w:rPr>
                <w:rFonts w:ascii="仿宋" w:hAnsi="仿宋" w:eastAsia="仿宋" w:cs="仿宋"/>
                <w:bCs/>
                <w:kern w:val="0"/>
                <w:sz w:val="21"/>
                <w:szCs w:val="21"/>
              </w:rPr>
            </w:pPr>
            <w:r>
              <w:rPr>
                <w:rFonts w:hint="eastAsia" w:ascii="仿宋" w:hAnsi="仿宋" w:eastAsia="仿宋" w:cs="仿宋"/>
                <w:bCs/>
                <w:kern w:val="0"/>
                <w:sz w:val="21"/>
                <w:szCs w:val="21"/>
              </w:rPr>
              <w:t>3、手柄光标指向工业机器人每个外观部位，显示每个部位的光标名称，分别为机器人的手爪、腕关节、小臂、大臂、腰部与基座。</w:t>
            </w:r>
          </w:p>
          <w:p>
            <w:pPr>
              <w:pStyle w:val="16"/>
              <w:spacing w:before="0"/>
              <w:rPr>
                <w:rFonts w:ascii="仿宋" w:hAnsi="仿宋" w:eastAsia="仿宋" w:cs="仿宋"/>
                <w:bCs/>
                <w:kern w:val="0"/>
                <w:sz w:val="21"/>
                <w:szCs w:val="21"/>
              </w:rPr>
            </w:pPr>
            <w:r>
              <w:rPr>
                <w:rFonts w:hint="eastAsia" w:ascii="仿宋" w:hAnsi="仿宋" w:eastAsia="仿宋" w:cs="仿宋"/>
                <w:bCs/>
                <w:kern w:val="0"/>
                <w:sz w:val="21"/>
                <w:szCs w:val="21"/>
              </w:rPr>
              <w:t>4、软件分为机器人的自由练习部分与考核模式部分。</w:t>
            </w:r>
          </w:p>
          <w:p>
            <w:pPr>
              <w:pStyle w:val="16"/>
              <w:spacing w:before="0"/>
              <w:rPr>
                <w:rFonts w:ascii="仿宋" w:hAnsi="仿宋" w:eastAsia="仿宋" w:cs="仿宋"/>
                <w:bCs/>
                <w:kern w:val="0"/>
                <w:sz w:val="21"/>
                <w:szCs w:val="21"/>
              </w:rPr>
            </w:pPr>
            <w:r>
              <w:rPr>
                <w:rFonts w:hint="eastAsia" w:ascii="仿宋" w:hAnsi="仿宋" w:eastAsia="仿宋" w:cs="仿宋"/>
                <w:bCs/>
                <w:kern w:val="0"/>
                <w:sz w:val="21"/>
                <w:szCs w:val="21"/>
              </w:rPr>
              <w:t>自由练习部分：</w:t>
            </w:r>
          </w:p>
          <w:p>
            <w:pPr>
              <w:pStyle w:val="16"/>
              <w:spacing w:before="0"/>
              <w:rPr>
                <w:rFonts w:ascii="仿宋" w:hAnsi="仿宋" w:eastAsia="仿宋" w:cs="仿宋"/>
                <w:bCs/>
                <w:kern w:val="0"/>
                <w:sz w:val="21"/>
                <w:szCs w:val="21"/>
              </w:rPr>
            </w:pPr>
            <w:r>
              <w:rPr>
                <w:rFonts w:hint="eastAsia" w:ascii="仿宋" w:hAnsi="仿宋" w:eastAsia="仿宋" w:cs="仿宋"/>
                <w:bCs/>
                <w:kern w:val="0"/>
                <w:sz w:val="21"/>
                <w:szCs w:val="21"/>
              </w:rPr>
              <w:t>1）进入自由练习模式，空间内直立一台工业机器人机械臂，操作者可以在空间内进行随意行走、利用手柄点击基座部位可以随意的移动机器人位置，包括旋转、拉近等功，操作者点击机器人的某个部位可以将其移动放置在空间内的任何地方，机器人所有部位都可以进行自由的拆装并且点击每个部位都会显示其标签提示方便进行认知，点击复位按钮机器人会自动恢复初始状态。</w:t>
            </w:r>
          </w:p>
          <w:p>
            <w:pPr>
              <w:pStyle w:val="16"/>
              <w:spacing w:before="0"/>
              <w:rPr>
                <w:rFonts w:ascii="仿宋" w:hAnsi="仿宋" w:eastAsia="仿宋" w:cs="仿宋"/>
                <w:bCs/>
                <w:kern w:val="0"/>
                <w:sz w:val="21"/>
                <w:szCs w:val="21"/>
              </w:rPr>
            </w:pPr>
            <w:r>
              <w:rPr>
                <w:rFonts w:hint="eastAsia" w:ascii="仿宋" w:hAnsi="仿宋" w:eastAsia="仿宋" w:cs="仿宋"/>
                <w:bCs/>
                <w:kern w:val="0"/>
                <w:sz w:val="21"/>
                <w:szCs w:val="21"/>
              </w:rPr>
              <w:t>2）内容包含以下部位得拆装认知：</w:t>
            </w:r>
          </w:p>
          <w:p>
            <w:pPr>
              <w:pStyle w:val="16"/>
              <w:spacing w:before="0"/>
              <w:rPr>
                <w:rFonts w:ascii="仿宋" w:hAnsi="仿宋" w:eastAsia="仿宋" w:cs="仿宋"/>
                <w:bCs/>
                <w:kern w:val="0"/>
                <w:sz w:val="21"/>
                <w:szCs w:val="21"/>
              </w:rPr>
            </w:pPr>
            <w:r>
              <w:rPr>
                <w:rFonts w:hint="eastAsia" w:ascii="仿宋" w:hAnsi="仿宋" w:eastAsia="仿宋" w:cs="仿宋"/>
                <w:bCs/>
                <w:kern w:val="0"/>
                <w:sz w:val="21"/>
                <w:szCs w:val="21"/>
              </w:rPr>
              <w:t>手爪的拆装</w:t>
            </w:r>
          </w:p>
          <w:p>
            <w:pPr>
              <w:pStyle w:val="16"/>
              <w:spacing w:before="0"/>
              <w:rPr>
                <w:rFonts w:ascii="仿宋" w:hAnsi="仿宋" w:eastAsia="仿宋" w:cs="仿宋"/>
                <w:bCs/>
                <w:kern w:val="0"/>
                <w:sz w:val="21"/>
                <w:szCs w:val="21"/>
              </w:rPr>
            </w:pPr>
            <w:r>
              <w:rPr>
                <w:rFonts w:hint="eastAsia" w:ascii="仿宋" w:hAnsi="仿宋" w:eastAsia="仿宋" w:cs="仿宋"/>
                <w:bCs/>
                <w:kern w:val="0"/>
                <w:sz w:val="21"/>
                <w:szCs w:val="21"/>
              </w:rPr>
              <w:t>腕关节的拆装</w:t>
            </w:r>
          </w:p>
          <w:p>
            <w:pPr>
              <w:pStyle w:val="16"/>
              <w:spacing w:before="0"/>
              <w:rPr>
                <w:rFonts w:ascii="仿宋" w:hAnsi="仿宋" w:eastAsia="仿宋" w:cs="仿宋"/>
                <w:bCs/>
                <w:kern w:val="0"/>
                <w:sz w:val="21"/>
                <w:szCs w:val="21"/>
              </w:rPr>
            </w:pPr>
            <w:r>
              <w:rPr>
                <w:rFonts w:hint="eastAsia" w:ascii="仿宋" w:hAnsi="仿宋" w:eastAsia="仿宋" w:cs="仿宋"/>
                <w:bCs/>
                <w:kern w:val="0"/>
                <w:sz w:val="21"/>
                <w:szCs w:val="21"/>
              </w:rPr>
              <w:t>小臂的拆装</w:t>
            </w:r>
          </w:p>
          <w:p>
            <w:pPr>
              <w:pStyle w:val="16"/>
              <w:spacing w:before="0"/>
              <w:rPr>
                <w:rFonts w:ascii="仿宋" w:hAnsi="仿宋" w:eastAsia="仿宋" w:cs="仿宋"/>
                <w:bCs/>
                <w:kern w:val="0"/>
                <w:sz w:val="21"/>
                <w:szCs w:val="21"/>
              </w:rPr>
            </w:pPr>
            <w:r>
              <w:rPr>
                <w:rFonts w:hint="eastAsia" w:ascii="仿宋" w:hAnsi="仿宋" w:eastAsia="仿宋" w:cs="仿宋"/>
                <w:bCs/>
                <w:kern w:val="0"/>
                <w:sz w:val="21"/>
                <w:szCs w:val="21"/>
              </w:rPr>
              <w:t>大臂的拆装</w:t>
            </w:r>
          </w:p>
          <w:p>
            <w:pPr>
              <w:pStyle w:val="16"/>
              <w:spacing w:before="0"/>
              <w:rPr>
                <w:rFonts w:ascii="仿宋" w:hAnsi="仿宋" w:eastAsia="仿宋" w:cs="仿宋"/>
                <w:bCs/>
                <w:kern w:val="0"/>
                <w:sz w:val="21"/>
                <w:szCs w:val="21"/>
              </w:rPr>
            </w:pPr>
            <w:r>
              <w:rPr>
                <w:rFonts w:hint="eastAsia" w:ascii="仿宋" w:hAnsi="仿宋" w:eastAsia="仿宋" w:cs="仿宋"/>
                <w:bCs/>
                <w:kern w:val="0"/>
                <w:sz w:val="21"/>
                <w:szCs w:val="21"/>
              </w:rPr>
              <w:t>腰部的拆装</w:t>
            </w:r>
          </w:p>
          <w:p>
            <w:pPr>
              <w:pStyle w:val="16"/>
              <w:spacing w:before="0"/>
              <w:rPr>
                <w:rFonts w:ascii="仿宋" w:hAnsi="仿宋" w:eastAsia="仿宋" w:cs="仿宋"/>
                <w:bCs/>
                <w:kern w:val="0"/>
                <w:sz w:val="21"/>
                <w:szCs w:val="21"/>
              </w:rPr>
            </w:pPr>
            <w:r>
              <w:rPr>
                <w:rFonts w:hint="eastAsia" w:ascii="仿宋" w:hAnsi="仿宋" w:eastAsia="仿宋" w:cs="仿宋"/>
                <w:bCs/>
                <w:kern w:val="0"/>
                <w:sz w:val="21"/>
                <w:szCs w:val="21"/>
              </w:rPr>
              <w:t>基座的拆装</w:t>
            </w:r>
          </w:p>
          <w:p>
            <w:pPr>
              <w:pStyle w:val="16"/>
              <w:spacing w:before="0"/>
              <w:rPr>
                <w:rFonts w:ascii="仿宋" w:hAnsi="仿宋" w:eastAsia="仿宋" w:cs="仿宋"/>
                <w:bCs/>
                <w:kern w:val="0"/>
                <w:sz w:val="21"/>
                <w:szCs w:val="21"/>
              </w:rPr>
            </w:pPr>
            <w:r>
              <w:rPr>
                <w:rFonts w:hint="eastAsia" w:ascii="仿宋" w:hAnsi="仿宋" w:eastAsia="仿宋" w:cs="仿宋"/>
                <w:bCs/>
                <w:kern w:val="0"/>
                <w:sz w:val="21"/>
                <w:szCs w:val="21"/>
              </w:rPr>
              <w:t>自由练习部分主要是针对学习者对工业机器人的基础认知，工业机器人每个部位可以随意环绕在操作者的周围，让学习者体验到无比的新奇，加深对设备部位的认知。</w:t>
            </w:r>
          </w:p>
          <w:p>
            <w:pPr>
              <w:pStyle w:val="16"/>
              <w:spacing w:before="0"/>
              <w:rPr>
                <w:rFonts w:ascii="仿宋" w:hAnsi="仿宋" w:eastAsia="仿宋" w:cs="仿宋"/>
                <w:bCs/>
                <w:kern w:val="0"/>
                <w:sz w:val="21"/>
                <w:szCs w:val="21"/>
              </w:rPr>
            </w:pPr>
            <w:r>
              <w:rPr>
                <w:rFonts w:hint="eastAsia" w:ascii="仿宋" w:hAnsi="仿宋" w:eastAsia="仿宋" w:cs="仿宋"/>
                <w:bCs/>
                <w:kern w:val="0"/>
                <w:sz w:val="21"/>
                <w:szCs w:val="21"/>
              </w:rPr>
              <w:t>标准考核模式：</w:t>
            </w:r>
          </w:p>
          <w:p>
            <w:pPr>
              <w:pStyle w:val="16"/>
              <w:spacing w:before="0"/>
              <w:rPr>
                <w:rFonts w:ascii="仿宋" w:hAnsi="仿宋" w:eastAsia="仿宋" w:cs="仿宋"/>
                <w:bCs/>
                <w:kern w:val="0"/>
                <w:sz w:val="21"/>
                <w:szCs w:val="21"/>
              </w:rPr>
            </w:pPr>
            <w:r>
              <w:rPr>
                <w:rFonts w:hint="eastAsia" w:ascii="仿宋" w:hAnsi="仿宋" w:eastAsia="仿宋" w:cs="仿宋"/>
                <w:bCs/>
                <w:kern w:val="0"/>
                <w:sz w:val="21"/>
                <w:szCs w:val="21"/>
              </w:rPr>
              <w:t>1）机器人的考核拆装环节，不同于自由练习部分，考核部分主要是针对工业机器人标准部位的拆装过程，还原在实际拆装工程中的每一个步骤。操作者需要按照软件设定好的标准步骤进行拆装，如果拆装部位出现错误会进行界面语音或文字提示错误，按照正确步骤拆装，每拆对一个部位会有界面语音或文字提示正确加油。拆装的机器人部件可以随意的放置在空间内的任何地方，使用手柄点击每个部位都会显示标签提示，空间内有复位按钮、点击复位按钮机器人回到原始位置，方便操作者进行再次拆装。</w:t>
            </w:r>
          </w:p>
          <w:p>
            <w:pPr>
              <w:pStyle w:val="16"/>
              <w:spacing w:before="0"/>
              <w:rPr>
                <w:rFonts w:ascii="仿宋" w:hAnsi="仿宋" w:eastAsia="仿宋" w:cs="仿宋"/>
                <w:bCs/>
                <w:kern w:val="0"/>
                <w:sz w:val="21"/>
                <w:szCs w:val="21"/>
              </w:rPr>
            </w:pPr>
            <w:r>
              <w:rPr>
                <w:rFonts w:hint="eastAsia" w:ascii="仿宋" w:hAnsi="仿宋" w:eastAsia="仿宋" w:cs="仿宋"/>
                <w:bCs/>
                <w:kern w:val="0"/>
                <w:sz w:val="21"/>
                <w:szCs w:val="21"/>
              </w:rPr>
              <w:t>2）内容依次包含以下部位的拆装考核</w:t>
            </w:r>
          </w:p>
          <w:p>
            <w:pPr>
              <w:pStyle w:val="16"/>
              <w:spacing w:before="0"/>
              <w:rPr>
                <w:rFonts w:ascii="仿宋" w:hAnsi="仿宋" w:eastAsia="仿宋" w:cs="仿宋"/>
                <w:bCs/>
                <w:kern w:val="0"/>
                <w:sz w:val="21"/>
                <w:szCs w:val="21"/>
              </w:rPr>
            </w:pPr>
            <w:r>
              <w:rPr>
                <w:rFonts w:hint="eastAsia" w:ascii="仿宋" w:hAnsi="仿宋" w:eastAsia="仿宋" w:cs="仿宋"/>
                <w:bCs/>
                <w:kern w:val="0"/>
                <w:sz w:val="21"/>
                <w:szCs w:val="21"/>
              </w:rPr>
              <w:t>拆卸过程依次为：</w:t>
            </w:r>
          </w:p>
          <w:p>
            <w:pPr>
              <w:pStyle w:val="16"/>
              <w:spacing w:before="0"/>
              <w:rPr>
                <w:rFonts w:ascii="仿宋" w:hAnsi="仿宋" w:eastAsia="仿宋" w:cs="仿宋"/>
                <w:bCs/>
                <w:kern w:val="0"/>
                <w:sz w:val="21"/>
                <w:szCs w:val="21"/>
              </w:rPr>
            </w:pPr>
            <w:r>
              <w:rPr>
                <w:rFonts w:hint="eastAsia" w:ascii="仿宋" w:hAnsi="仿宋" w:eastAsia="仿宋" w:cs="仿宋"/>
                <w:bCs/>
                <w:kern w:val="0"/>
                <w:sz w:val="21"/>
                <w:szCs w:val="21"/>
              </w:rPr>
              <w:t>手爪的拆卸</w:t>
            </w:r>
          </w:p>
          <w:p>
            <w:pPr>
              <w:pStyle w:val="16"/>
              <w:spacing w:before="0"/>
              <w:rPr>
                <w:rFonts w:ascii="仿宋" w:hAnsi="仿宋" w:eastAsia="仿宋" w:cs="仿宋"/>
                <w:bCs/>
                <w:kern w:val="0"/>
                <w:sz w:val="21"/>
                <w:szCs w:val="21"/>
              </w:rPr>
            </w:pPr>
            <w:r>
              <w:rPr>
                <w:rFonts w:hint="eastAsia" w:ascii="仿宋" w:hAnsi="仿宋" w:eastAsia="仿宋" w:cs="仿宋"/>
                <w:bCs/>
                <w:kern w:val="0"/>
                <w:sz w:val="21"/>
                <w:szCs w:val="21"/>
              </w:rPr>
              <w:t>腕关节的拆卸</w:t>
            </w:r>
          </w:p>
          <w:p>
            <w:pPr>
              <w:pStyle w:val="16"/>
              <w:spacing w:before="0"/>
              <w:rPr>
                <w:rFonts w:ascii="仿宋" w:hAnsi="仿宋" w:eastAsia="仿宋" w:cs="仿宋"/>
                <w:bCs/>
                <w:kern w:val="0"/>
                <w:sz w:val="21"/>
                <w:szCs w:val="21"/>
              </w:rPr>
            </w:pPr>
            <w:r>
              <w:rPr>
                <w:rFonts w:hint="eastAsia" w:ascii="仿宋" w:hAnsi="仿宋" w:eastAsia="仿宋" w:cs="仿宋"/>
                <w:bCs/>
                <w:kern w:val="0"/>
                <w:sz w:val="21"/>
                <w:szCs w:val="21"/>
              </w:rPr>
              <w:t>小臂的拆卸</w:t>
            </w:r>
          </w:p>
          <w:p>
            <w:pPr>
              <w:pStyle w:val="16"/>
              <w:spacing w:before="0"/>
              <w:rPr>
                <w:rFonts w:ascii="仿宋" w:hAnsi="仿宋" w:eastAsia="仿宋" w:cs="仿宋"/>
                <w:bCs/>
                <w:kern w:val="0"/>
                <w:sz w:val="21"/>
                <w:szCs w:val="21"/>
              </w:rPr>
            </w:pPr>
            <w:r>
              <w:rPr>
                <w:rFonts w:hint="eastAsia" w:ascii="仿宋" w:hAnsi="仿宋" w:eastAsia="仿宋" w:cs="仿宋"/>
                <w:bCs/>
                <w:kern w:val="0"/>
                <w:sz w:val="21"/>
                <w:szCs w:val="21"/>
              </w:rPr>
              <w:t>大臂的拆卸</w:t>
            </w:r>
          </w:p>
          <w:p>
            <w:pPr>
              <w:pStyle w:val="16"/>
              <w:spacing w:before="0"/>
              <w:rPr>
                <w:rFonts w:ascii="仿宋" w:hAnsi="仿宋" w:eastAsia="仿宋" w:cs="仿宋"/>
                <w:bCs/>
                <w:kern w:val="0"/>
                <w:sz w:val="21"/>
                <w:szCs w:val="21"/>
              </w:rPr>
            </w:pPr>
            <w:r>
              <w:rPr>
                <w:rFonts w:hint="eastAsia" w:ascii="仿宋" w:hAnsi="仿宋" w:eastAsia="仿宋" w:cs="仿宋"/>
                <w:bCs/>
                <w:kern w:val="0"/>
                <w:sz w:val="21"/>
                <w:szCs w:val="21"/>
              </w:rPr>
              <w:t>腰部的拆卸</w:t>
            </w:r>
          </w:p>
          <w:p>
            <w:pPr>
              <w:pStyle w:val="16"/>
              <w:spacing w:before="0"/>
              <w:rPr>
                <w:rFonts w:ascii="仿宋" w:hAnsi="仿宋" w:eastAsia="仿宋" w:cs="仿宋"/>
                <w:bCs/>
                <w:kern w:val="0"/>
                <w:sz w:val="21"/>
                <w:szCs w:val="21"/>
              </w:rPr>
            </w:pPr>
            <w:r>
              <w:rPr>
                <w:rFonts w:hint="eastAsia" w:ascii="仿宋" w:hAnsi="仿宋" w:eastAsia="仿宋" w:cs="仿宋"/>
                <w:bCs/>
                <w:kern w:val="0"/>
                <w:sz w:val="21"/>
                <w:szCs w:val="21"/>
              </w:rPr>
              <w:t>基座的拆卸</w:t>
            </w:r>
          </w:p>
          <w:p>
            <w:pPr>
              <w:pStyle w:val="16"/>
              <w:spacing w:before="0"/>
              <w:rPr>
                <w:rFonts w:ascii="仿宋" w:hAnsi="仿宋" w:eastAsia="仿宋" w:cs="仿宋"/>
                <w:bCs/>
                <w:kern w:val="0"/>
                <w:sz w:val="21"/>
                <w:szCs w:val="21"/>
              </w:rPr>
            </w:pPr>
            <w:r>
              <w:rPr>
                <w:rFonts w:hint="eastAsia" w:ascii="仿宋" w:hAnsi="仿宋" w:eastAsia="仿宋" w:cs="仿宋"/>
                <w:bCs/>
                <w:kern w:val="0"/>
                <w:sz w:val="21"/>
                <w:szCs w:val="21"/>
              </w:rPr>
              <w:t>软件内自设拆卸提示，利用手柄拆卸过程中，如果拆卸部位错误，有文字或语音提示拆卸步骤错误，如果连续拆卸错误两次以上软件会文字或语音提醒您下一步拆卸部位，依次按照标准的拆卸步骤进行可以完成拆卸，拆卸完成后软件会进行语音或文字提示任务完成，达到考核指标。</w:t>
            </w:r>
          </w:p>
          <w:p>
            <w:pPr>
              <w:pStyle w:val="16"/>
              <w:spacing w:before="0"/>
              <w:rPr>
                <w:rFonts w:ascii="仿宋" w:hAnsi="仿宋" w:eastAsia="仿宋" w:cs="仿宋"/>
                <w:bCs/>
                <w:kern w:val="0"/>
                <w:sz w:val="21"/>
                <w:szCs w:val="21"/>
              </w:rPr>
            </w:pPr>
            <w:r>
              <w:rPr>
                <w:rFonts w:hint="eastAsia" w:ascii="仿宋" w:hAnsi="仿宋" w:eastAsia="仿宋" w:cs="仿宋"/>
                <w:bCs/>
                <w:kern w:val="0"/>
                <w:sz w:val="21"/>
                <w:szCs w:val="21"/>
              </w:rPr>
              <w:t>装配过程进入装配页面，工业机器人个个部件自动散落在空间内，以基座底部中心为原点基座固定在中心点上，利用手柄按照装配顺序依次将各个部位放到机器人本体空间内，各部位自动吸合，减少出现位置偏差情况。</w:t>
            </w:r>
          </w:p>
          <w:p>
            <w:pPr>
              <w:pStyle w:val="16"/>
              <w:spacing w:before="0"/>
              <w:rPr>
                <w:rFonts w:ascii="仿宋" w:hAnsi="仿宋" w:eastAsia="仿宋" w:cs="仿宋"/>
                <w:bCs/>
                <w:kern w:val="0"/>
                <w:sz w:val="21"/>
                <w:szCs w:val="21"/>
              </w:rPr>
            </w:pPr>
            <w:r>
              <w:rPr>
                <w:rFonts w:hint="eastAsia" w:ascii="仿宋" w:hAnsi="仿宋" w:eastAsia="仿宋" w:cs="仿宋"/>
                <w:bCs/>
                <w:kern w:val="0"/>
                <w:sz w:val="21"/>
                <w:szCs w:val="21"/>
              </w:rPr>
              <w:t>装配过程依次为：</w:t>
            </w:r>
          </w:p>
          <w:p>
            <w:pPr>
              <w:pStyle w:val="16"/>
              <w:spacing w:before="0"/>
              <w:rPr>
                <w:rFonts w:ascii="仿宋" w:hAnsi="仿宋" w:eastAsia="仿宋" w:cs="仿宋"/>
                <w:bCs/>
                <w:kern w:val="0"/>
                <w:sz w:val="21"/>
                <w:szCs w:val="21"/>
              </w:rPr>
            </w:pPr>
            <w:r>
              <w:rPr>
                <w:rFonts w:hint="eastAsia" w:ascii="仿宋" w:hAnsi="仿宋" w:eastAsia="仿宋" w:cs="仿宋"/>
                <w:bCs/>
                <w:kern w:val="0"/>
                <w:sz w:val="21"/>
                <w:szCs w:val="21"/>
              </w:rPr>
              <w:t>腰部的装配</w:t>
            </w:r>
          </w:p>
          <w:p>
            <w:pPr>
              <w:jc w:val="left"/>
              <w:rPr>
                <w:rFonts w:ascii="仿宋" w:hAnsi="仿宋" w:eastAsia="仿宋" w:cs="仿宋"/>
                <w:bCs/>
                <w:kern w:val="0"/>
                <w:szCs w:val="21"/>
              </w:rPr>
            </w:pPr>
            <w:r>
              <w:rPr>
                <w:rFonts w:hint="eastAsia" w:ascii="仿宋" w:hAnsi="仿宋" w:eastAsia="仿宋" w:cs="仿宋"/>
                <w:bCs/>
                <w:kern w:val="0"/>
                <w:szCs w:val="21"/>
              </w:rPr>
              <w:t>大臂的装配</w:t>
            </w:r>
          </w:p>
          <w:p>
            <w:pPr>
              <w:jc w:val="left"/>
              <w:rPr>
                <w:rFonts w:ascii="仿宋" w:hAnsi="仿宋" w:eastAsia="仿宋" w:cs="仿宋"/>
                <w:bCs/>
                <w:kern w:val="0"/>
                <w:szCs w:val="21"/>
              </w:rPr>
            </w:pPr>
            <w:r>
              <w:rPr>
                <w:rFonts w:hint="eastAsia" w:ascii="仿宋" w:hAnsi="仿宋" w:eastAsia="仿宋" w:cs="仿宋"/>
                <w:bCs/>
                <w:kern w:val="0"/>
                <w:szCs w:val="21"/>
              </w:rPr>
              <w:t>小臂的装配</w:t>
            </w:r>
          </w:p>
          <w:p>
            <w:pPr>
              <w:jc w:val="left"/>
              <w:rPr>
                <w:rFonts w:ascii="仿宋" w:hAnsi="仿宋" w:eastAsia="仿宋" w:cs="仿宋"/>
                <w:bCs/>
                <w:kern w:val="0"/>
                <w:szCs w:val="21"/>
              </w:rPr>
            </w:pPr>
            <w:r>
              <w:rPr>
                <w:rFonts w:hint="eastAsia" w:ascii="仿宋" w:hAnsi="仿宋" w:eastAsia="仿宋" w:cs="仿宋"/>
                <w:bCs/>
                <w:kern w:val="0"/>
                <w:szCs w:val="21"/>
              </w:rPr>
              <w:t>腕关节的装配</w:t>
            </w:r>
          </w:p>
          <w:p>
            <w:pPr>
              <w:jc w:val="left"/>
              <w:rPr>
                <w:rFonts w:ascii="仿宋" w:hAnsi="仿宋" w:eastAsia="仿宋" w:cs="仿宋"/>
                <w:bCs/>
                <w:kern w:val="0"/>
                <w:szCs w:val="21"/>
              </w:rPr>
            </w:pPr>
            <w:r>
              <w:rPr>
                <w:rFonts w:hint="eastAsia" w:ascii="仿宋" w:hAnsi="仿宋" w:eastAsia="仿宋" w:cs="仿宋"/>
                <w:bCs/>
                <w:kern w:val="0"/>
                <w:szCs w:val="21"/>
              </w:rPr>
              <w:t>手爪的装配</w:t>
            </w:r>
          </w:p>
          <w:p>
            <w:pPr>
              <w:jc w:val="left"/>
              <w:rPr>
                <w:rFonts w:ascii="仿宋" w:hAnsi="仿宋" w:eastAsia="仿宋" w:cs="仿宋"/>
                <w:bCs/>
                <w:kern w:val="0"/>
                <w:szCs w:val="21"/>
              </w:rPr>
            </w:pPr>
            <w:r>
              <w:rPr>
                <w:rFonts w:hint="eastAsia" w:ascii="仿宋" w:hAnsi="仿宋" w:eastAsia="仿宋" w:cs="仿宋"/>
                <w:bCs/>
                <w:kern w:val="0"/>
                <w:szCs w:val="21"/>
              </w:rPr>
              <w:t>软件内自设装配提示，利用手柄装配过程中，如果装配部位错误，有文字或语音提示装配步骤错误，如果连续装配错误两次以上软件会文字或语音提醒您下一步装配部位，依次按照标准的装配步骤进行可以完成装配，装配完成后软件会进行语音或文字提示任务完成，达到考核指标。</w:t>
            </w:r>
          </w:p>
          <w:p>
            <w:pPr>
              <w:jc w:val="left"/>
              <w:rPr>
                <w:rFonts w:ascii="仿宋" w:hAnsi="仿宋" w:eastAsia="仿宋" w:cs="仿宋"/>
                <w:bCs/>
                <w:kern w:val="0"/>
                <w:szCs w:val="21"/>
              </w:rPr>
            </w:pPr>
            <w:r>
              <w:rPr>
                <w:rFonts w:hint="eastAsia" w:ascii="仿宋" w:hAnsi="仿宋" w:eastAsia="仿宋" w:cs="仿宋"/>
                <w:bCs/>
                <w:kern w:val="0"/>
                <w:szCs w:val="21"/>
              </w:rPr>
              <w:t>标准考核部分主要是帮助学习者对工业机器人进行更深层次的认识和学习，将工业机器人实际装配过程虚拟化、趣味化的展现在学习者的的周围，让学习者深入设备标准装配过程，掌握相关的专业知识，并且可以有效地避免高成本耗材的损耗。</w:t>
            </w:r>
          </w:p>
          <w:p>
            <w:pPr>
              <w:jc w:val="left"/>
              <w:rPr>
                <w:rFonts w:ascii="仿宋" w:hAnsi="仿宋" w:eastAsia="仿宋" w:cs="仿宋"/>
                <w:bCs/>
                <w:kern w:val="0"/>
                <w:szCs w:val="21"/>
              </w:rPr>
            </w:pPr>
            <w:r>
              <w:rPr>
                <w:rFonts w:hint="eastAsia" w:ascii="仿宋" w:hAnsi="仿宋" w:eastAsia="仿宋" w:cs="仿宋"/>
                <w:bCs/>
                <w:kern w:val="0"/>
                <w:szCs w:val="21"/>
              </w:rPr>
              <w:t>（二）多人协同版功能要求：</w:t>
            </w:r>
          </w:p>
          <w:p>
            <w:pPr>
              <w:jc w:val="left"/>
              <w:rPr>
                <w:rFonts w:ascii="仿宋" w:hAnsi="仿宋" w:eastAsia="仿宋" w:cs="仿宋"/>
                <w:bCs/>
                <w:kern w:val="0"/>
                <w:szCs w:val="21"/>
              </w:rPr>
            </w:pPr>
            <w:r>
              <w:rPr>
                <w:rFonts w:hint="eastAsia" w:ascii="仿宋" w:hAnsi="仿宋" w:eastAsia="仿宋" w:cs="仿宋"/>
                <w:bCs/>
                <w:kern w:val="0"/>
                <w:szCs w:val="21"/>
              </w:rPr>
              <w:t>1、以工业机器人机械臂为原型，针对机器人内部构造细节进行拆装展示。软件适配MR眼镜并在虚拟空间内进行立体化展示，且软件部位具有标签提示功能，能够让学习者深入了解工业机器人每个部位达到体验目的。</w:t>
            </w:r>
          </w:p>
          <w:p>
            <w:pPr>
              <w:jc w:val="left"/>
              <w:rPr>
                <w:rFonts w:ascii="仿宋" w:hAnsi="仿宋" w:eastAsia="仿宋" w:cs="仿宋"/>
                <w:bCs/>
                <w:kern w:val="0"/>
                <w:szCs w:val="21"/>
              </w:rPr>
            </w:pPr>
            <w:r>
              <w:rPr>
                <w:rFonts w:hint="eastAsia" w:ascii="仿宋" w:hAnsi="仿宋" w:eastAsia="仿宋" w:cs="仿宋"/>
                <w:bCs/>
                <w:kern w:val="0"/>
                <w:szCs w:val="21"/>
              </w:rPr>
              <w:t>2、进入软件页面后，空间内直立一台工业机器人机械臂。</w:t>
            </w:r>
          </w:p>
          <w:p>
            <w:pPr>
              <w:jc w:val="left"/>
              <w:rPr>
                <w:rFonts w:ascii="仿宋" w:hAnsi="仿宋" w:eastAsia="仿宋" w:cs="仿宋"/>
                <w:bCs/>
                <w:kern w:val="0"/>
                <w:szCs w:val="21"/>
              </w:rPr>
            </w:pPr>
            <w:r>
              <w:rPr>
                <w:rFonts w:hint="eastAsia" w:ascii="仿宋" w:hAnsi="仿宋" w:eastAsia="仿宋" w:cs="仿宋"/>
                <w:bCs/>
                <w:kern w:val="0"/>
                <w:szCs w:val="21"/>
              </w:rPr>
              <w:t>3、手柄光标指向工业机器人每个外观部位，显示每个部位的光标名称，分别为机器人的手爪、腕关节、小臂、大臂、腰部与基座。</w:t>
            </w:r>
          </w:p>
          <w:p>
            <w:pPr>
              <w:pStyle w:val="16"/>
              <w:spacing w:before="0"/>
              <w:rPr>
                <w:rFonts w:ascii="仿宋" w:hAnsi="仿宋" w:eastAsia="仿宋" w:cs="仿宋"/>
                <w:kern w:val="0"/>
                <w:sz w:val="21"/>
                <w:szCs w:val="21"/>
              </w:rPr>
            </w:pPr>
            <w:r>
              <w:rPr>
                <w:rFonts w:hint="eastAsia" w:ascii="仿宋" w:hAnsi="仿宋" w:eastAsia="仿宋" w:cs="仿宋"/>
                <w:kern w:val="0"/>
                <w:sz w:val="21"/>
                <w:szCs w:val="21"/>
              </w:rPr>
              <w:t>4、支持多人在同一虚拟空间内协同拆装</w:t>
            </w:r>
          </w:p>
          <w:p>
            <w:pPr>
              <w:jc w:val="left"/>
              <w:rPr>
                <w:rFonts w:ascii="仿宋" w:hAnsi="仿宋" w:eastAsia="仿宋" w:cs="仿宋"/>
                <w:bCs/>
                <w:kern w:val="0"/>
                <w:szCs w:val="21"/>
              </w:rPr>
            </w:pPr>
            <w:r>
              <w:rPr>
                <w:rFonts w:hint="eastAsia" w:ascii="仿宋" w:hAnsi="仿宋" w:eastAsia="仿宋" w:cs="仿宋"/>
                <w:bCs/>
                <w:kern w:val="0"/>
                <w:szCs w:val="21"/>
              </w:rPr>
              <w:t>包含以下部位的拆装认知：</w:t>
            </w:r>
          </w:p>
          <w:p>
            <w:pPr>
              <w:jc w:val="left"/>
              <w:rPr>
                <w:rFonts w:ascii="仿宋" w:hAnsi="仿宋" w:eastAsia="仿宋" w:cs="仿宋"/>
                <w:bCs/>
                <w:kern w:val="0"/>
                <w:szCs w:val="21"/>
              </w:rPr>
            </w:pPr>
            <w:r>
              <w:rPr>
                <w:rFonts w:hint="eastAsia" w:ascii="仿宋" w:hAnsi="仿宋" w:eastAsia="仿宋" w:cs="仿宋"/>
                <w:bCs/>
                <w:kern w:val="0"/>
                <w:szCs w:val="21"/>
              </w:rPr>
              <w:t>1)腕关节的多人协同拆装</w:t>
            </w:r>
          </w:p>
          <w:p>
            <w:pPr>
              <w:jc w:val="left"/>
              <w:rPr>
                <w:rFonts w:ascii="仿宋" w:hAnsi="仿宋" w:eastAsia="仿宋" w:cs="仿宋"/>
                <w:bCs/>
                <w:kern w:val="0"/>
                <w:szCs w:val="21"/>
              </w:rPr>
            </w:pPr>
            <w:r>
              <w:rPr>
                <w:rFonts w:hint="eastAsia" w:ascii="仿宋" w:hAnsi="仿宋" w:eastAsia="仿宋" w:cs="仿宋"/>
                <w:bCs/>
                <w:kern w:val="0"/>
                <w:szCs w:val="21"/>
              </w:rPr>
              <w:t>2)小臂的多人协同拆装</w:t>
            </w:r>
          </w:p>
          <w:p>
            <w:pPr>
              <w:jc w:val="left"/>
              <w:rPr>
                <w:rFonts w:ascii="仿宋" w:hAnsi="仿宋" w:eastAsia="仿宋" w:cs="仿宋"/>
                <w:bCs/>
                <w:kern w:val="0"/>
                <w:szCs w:val="21"/>
              </w:rPr>
            </w:pPr>
            <w:r>
              <w:rPr>
                <w:rFonts w:hint="eastAsia" w:ascii="仿宋" w:hAnsi="仿宋" w:eastAsia="仿宋" w:cs="仿宋"/>
                <w:bCs/>
                <w:kern w:val="0"/>
                <w:szCs w:val="21"/>
              </w:rPr>
              <w:t>3)大臂的多人协同拆装</w:t>
            </w:r>
          </w:p>
          <w:p>
            <w:pPr>
              <w:jc w:val="left"/>
              <w:rPr>
                <w:rFonts w:ascii="仿宋" w:hAnsi="仿宋" w:eastAsia="仿宋" w:cs="仿宋"/>
                <w:bCs/>
                <w:kern w:val="0"/>
                <w:szCs w:val="21"/>
              </w:rPr>
            </w:pPr>
            <w:r>
              <w:rPr>
                <w:rFonts w:hint="eastAsia" w:ascii="仿宋" w:hAnsi="仿宋" w:eastAsia="仿宋" w:cs="仿宋"/>
                <w:bCs/>
                <w:kern w:val="0"/>
                <w:szCs w:val="21"/>
              </w:rPr>
              <w:t>4)电机的多人协同拆装</w:t>
            </w:r>
          </w:p>
          <w:p>
            <w:pPr>
              <w:jc w:val="left"/>
              <w:rPr>
                <w:rFonts w:ascii="仿宋" w:hAnsi="仿宋" w:eastAsia="仿宋" w:cs="仿宋"/>
                <w:bCs/>
                <w:kern w:val="0"/>
                <w:szCs w:val="21"/>
              </w:rPr>
            </w:pPr>
            <w:r>
              <w:rPr>
                <w:rFonts w:hint="eastAsia" w:ascii="仿宋" w:hAnsi="仿宋" w:eastAsia="仿宋" w:cs="仿宋"/>
                <w:bCs/>
                <w:kern w:val="0"/>
                <w:szCs w:val="21"/>
              </w:rPr>
              <w:t>5)基座的多人协同拆装</w:t>
            </w:r>
          </w:p>
          <w:p>
            <w:pPr>
              <w:jc w:val="left"/>
              <w:rPr>
                <w:rFonts w:ascii="仿宋" w:hAnsi="仿宋" w:eastAsia="仿宋" w:cs="仿宋"/>
                <w:bCs/>
                <w:kern w:val="0"/>
                <w:szCs w:val="21"/>
              </w:rPr>
            </w:pPr>
            <w:r>
              <w:rPr>
                <w:rFonts w:hint="eastAsia" w:ascii="仿宋" w:hAnsi="仿宋" w:eastAsia="仿宋" w:cs="仿宋"/>
                <w:bCs/>
                <w:kern w:val="0"/>
                <w:szCs w:val="21"/>
              </w:rPr>
              <w:t>6）具有一键复位功能</w:t>
            </w:r>
          </w:p>
          <w:p>
            <w:pPr>
              <w:jc w:val="left"/>
              <w:rPr>
                <w:rFonts w:ascii="仿宋" w:hAnsi="仿宋" w:eastAsia="仿宋" w:cs="仿宋"/>
                <w:bCs/>
                <w:kern w:val="0"/>
                <w:szCs w:val="21"/>
              </w:rPr>
            </w:pPr>
            <w:r>
              <w:rPr>
                <w:rFonts w:hint="eastAsia" w:ascii="仿宋" w:hAnsi="仿宋" w:eastAsia="仿宋" w:cs="仿宋"/>
                <w:bCs/>
                <w:kern w:val="0"/>
                <w:szCs w:val="21"/>
              </w:rPr>
              <w:t>5、多人协同版本主要是将工业机器人部位趣味化的展现在体验者的的周围，多个人同时进入一个虚拟空间彼此能够协同操作、感受到虚拟空间的学习乐趣。</w:t>
            </w:r>
          </w:p>
          <w:p>
            <w:pPr>
              <w:jc w:val="left"/>
              <w:rPr>
                <w:rFonts w:ascii="仿宋" w:hAnsi="仿宋" w:eastAsia="仿宋" w:cs="仿宋"/>
                <w:szCs w:val="21"/>
              </w:rPr>
            </w:pPr>
            <w:r>
              <w:rPr>
                <w:rFonts w:hint="eastAsia" w:ascii="仿宋" w:hAnsi="仿宋" w:eastAsia="仿宋" w:cs="仿宋"/>
                <w:b/>
                <w:kern w:val="0"/>
                <w:szCs w:val="21"/>
              </w:rPr>
              <w:t>(现场演示工业机器人拆装多人协同操作的</w:t>
            </w:r>
            <w:r>
              <w:rPr>
                <w:rFonts w:hint="eastAsia" w:ascii="仿宋" w:hAnsi="仿宋" w:eastAsia="仿宋" w:cs="仿宋"/>
                <w:b/>
                <w:kern w:val="0"/>
                <w:szCs w:val="21"/>
                <w:highlight w:val="red"/>
              </w:rPr>
              <w:t>视频</w:t>
            </w:r>
            <w:r>
              <w:rPr>
                <w:rFonts w:hint="eastAsia" w:ascii="仿宋" w:hAnsi="仿宋" w:eastAsia="仿宋" w:cs="仿宋"/>
                <w:b/>
                <w:kern w:val="0"/>
                <w:szCs w:val="21"/>
              </w:rPr>
              <w:t>)</w:t>
            </w:r>
          </w:p>
        </w:tc>
        <w:tc>
          <w:tcPr>
            <w:tcW w:w="566" w:type="dxa"/>
            <w:vAlign w:val="center"/>
          </w:tcPr>
          <w:p>
            <w:pP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647" w:type="dxa"/>
            <w:vAlign w:val="center"/>
          </w:tcPr>
          <w:p>
            <w:pPr>
              <w:pStyle w:val="20"/>
              <w:rPr>
                <w:rFonts w:ascii="仿宋" w:hAnsi="仿宋" w:eastAsia="仿宋" w:cs="仿宋"/>
              </w:rPr>
            </w:pPr>
            <w:r>
              <w:rPr>
                <w:rFonts w:hint="eastAsia" w:ascii="仿宋" w:hAnsi="仿宋" w:eastAsia="仿宋" w:cs="仿宋"/>
              </w:rPr>
              <w:t>3</w:t>
            </w:r>
          </w:p>
        </w:tc>
        <w:tc>
          <w:tcPr>
            <w:tcW w:w="1274" w:type="dxa"/>
            <w:vAlign w:val="center"/>
          </w:tcPr>
          <w:p>
            <w:pPr>
              <w:jc w:val="left"/>
              <w:rPr>
                <w:rFonts w:ascii="仿宋" w:hAnsi="仿宋" w:eastAsia="仿宋" w:cs="仿宋"/>
              </w:rPr>
            </w:pPr>
            <w:r>
              <w:rPr>
                <w:rFonts w:hint="eastAsia" w:ascii="仿宋" w:hAnsi="仿宋" w:eastAsia="仿宋" w:cs="仿宋"/>
                <w:bCs/>
                <w:kern w:val="0"/>
                <w:sz w:val="24"/>
                <w:szCs w:val="24"/>
              </w:rPr>
              <w:t>车床三箱拆装虚拟仿真实训教学系统（全息标准版）</w:t>
            </w:r>
          </w:p>
        </w:tc>
        <w:tc>
          <w:tcPr>
            <w:tcW w:w="11454" w:type="dxa"/>
            <w:vAlign w:val="center"/>
          </w:tcPr>
          <w:p>
            <w:pPr>
              <w:jc w:val="left"/>
              <w:rPr>
                <w:rFonts w:ascii="仿宋" w:hAnsi="仿宋" w:eastAsia="仿宋" w:cs="仿宋"/>
                <w:bCs/>
                <w:kern w:val="0"/>
                <w:szCs w:val="21"/>
              </w:rPr>
            </w:pPr>
            <w:r>
              <w:rPr>
                <w:rFonts w:hint="eastAsia" w:ascii="仿宋" w:hAnsi="仿宋" w:eastAsia="仿宋" w:cs="仿宋"/>
                <w:bCs/>
                <w:kern w:val="0"/>
                <w:szCs w:val="21"/>
              </w:rPr>
              <w:t>通过软件的学习，学生了解主轴箱、溜板箱、进给箱的拆装过程。提高学生综合素质、工程设计能力，工程实践能力和创新能力，本系统提供一套裸眼3D的单机版本</w:t>
            </w:r>
          </w:p>
          <w:p>
            <w:pPr>
              <w:jc w:val="left"/>
              <w:rPr>
                <w:rFonts w:ascii="仿宋" w:hAnsi="仿宋" w:eastAsia="仿宋" w:cs="仿宋"/>
                <w:bCs/>
                <w:kern w:val="0"/>
                <w:szCs w:val="21"/>
              </w:rPr>
            </w:pPr>
            <w:r>
              <w:rPr>
                <w:rFonts w:hint="eastAsia" w:ascii="仿宋" w:hAnsi="仿宋" w:eastAsia="仿宋" w:cs="仿宋"/>
                <w:bCs/>
                <w:kern w:val="0"/>
                <w:szCs w:val="21"/>
              </w:rPr>
              <w:t>实训内容 ：</w:t>
            </w:r>
          </w:p>
          <w:p>
            <w:pPr>
              <w:jc w:val="left"/>
              <w:rPr>
                <w:rFonts w:ascii="仿宋" w:hAnsi="仿宋" w:eastAsia="仿宋" w:cs="仿宋"/>
                <w:bCs/>
                <w:kern w:val="0"/>
                <w:szCs w:val="21"/>
              </w:rPr>
            </w:pPr>
            <w:r>
              <w:rPr>
                <w:rFonts w:hint="eastAsia" w:ascii="仿宋" w:hAnsi="仿宋" w:eastAsia="仿宋" w:cs="仿宋"/>
                <w:bCs/>
                <w:kern w:val="0"/>
                <w:szCs w:val="21"/>
              </w:rPr>
              <w:t xml:space="preserve">1、主轴箱拆装 </w:t>
            </w:r>
          </w:p>
          <w:p>
            <w:pPr>
              <w:jc w:val="left"/>
              <w:rPr>
                <w:rFonts w:ascii="仿宋" w:hAnsi="仿宋" w:eastAsia="仿宋" w:cs="仿宋"/>
                <w:bCs/>
                <w:kern w:val="0"/>
                <w:szCs w:val="21"/>
              </w:rPr>
            </w:pPr>
            <w:r>
              <w:rPr>
                <w:rFonts w:hint="eastAsia" w:ascii="仿宋" w:hAnsi="仿宋" w:eastAsia="仿宋" w:cs="仿宋"/>
                <w:bCs/>
                <w:kern w:val="0"/>
                <w:szCs w:val="21"/>
              </w:rPr>
              <w:t xml:space="preserve">1） 一轴拆装 </w:t>
            </w:r>
          </w:p>
          <w:p>
            <w:pPr>
              <w:jc w:val="left"/>
              <w:rPr>
                <w:rFonts w:ascii="仿宋" w:hAnsi="仿宋" w:eastAsia="仿宋" w:cs="仿宋"/>
                <w:bCs/>
                <w:kern w:val="0"/>
                <w:szCs w:val="21"/>
              </w:rPr>
            </w:pPr>
            <w:r>
              <w:rPr>
                <w:rFonts w:hint="eastAsia" w:ascii="仿宋" w:hAnsi="仿宋" w:eastAsia="仿宋" w:cs="仿宋"/>
                <w:bCs/>
                <w:kern w:val="0"/>
                <w:szCs w:val="21"/>
              </w:rPr>
              <w:t>拆卸</w:t>
            </w:r>
          </w:p>
          <w:p>
            <w:pPr>
              <w:jc w:val="left"/>
              <w:rPr>
                <w:rFonts w:ascii="仿宋" w:hAnsi="仿宋" w:eastAsia="仿宋" w:cs="仿宋"/>
                <w:bCs/>
                <w:kern w:val="0"/>
                <w:szCs w:val="21"/>
              </w:rPr>
            </w:pPr>
            <w:r>
              <w:rPr>
                <w:rFonts w:hint="eastAsia" w:ascii="仿宋" w:hAnsi="仿宋" w:eastAsia="仿宋" w:cs="仿宋"/>
                <w:bCs/>
                <w:kern w:val="0"/>
                <w:szCs w:val="21"/>
              </w:rPr>
              <w:t>根据语音文字提示，从工具箱中选择内六角扳手→点击取下主轴端盖→点击取下车床挂轮箱防护罩门→从工具箱中选择一字螺丝刀→点击取下皮带防护罩→点击取下带轮→从工具箱中选择内六角扳手，拆卸内六角螺钉→从工具箱中选择冲头和锤子，拆 I 轴的螺帽→从工具箱中选择拔销器，拔出轴承座和带轮→从工具箱中选择内六角扳手，取出螺钉→从工具箱中选择拔销器，拔出轴承座，继续取出结合子→从工具箱中选择冲头和锤子，取下支点销和摇杆→取下平键→从工具箱中选择卡簧钳，拆下 I 轴右端卡簧→从工具箱中选择铜棒和锤子，依次取下轴承、挡圈和齿轮→取下另一端隔套和正转齿轮→从工具箱中选择十字螺丝刀，取下一组摩擦片定位板，取下摩擦片→拆下另一组摩擦片定位板，取下摩擦片→从工具箱中选择一字螺丝刀，拆至连接销孔露出→从工具箱中选择冲头和锤子，冲出连接销→取出拉杆→取下调整螺母、弹簧定位销、滑套，拆卸结束。</w:t>
            </w:r>
          </w:p>
          <w:p>
            <w:pPr>
              <w:jc w:val="left"/>
              <w:rPr>
                <w:rFonts w:ascii="仿宋" w:hAnsi="仿宋" w:eastAsia="仿宋" w:cs="仿宋"/>
                <w:bCs/>
                <w:kern w:val="0"/>
                <w:szCs w:val="21"/>
              </w:rPr>
            </w:pPr>
            <w:r>
              <w:rPr>
                <w:rFonts w:hint="eastAsia" w:ascii="仿宋" w:hAnsi="仿宋" w:eastAsia="仿宋" w:cs="仿宋"/>
                <w:bCs/>
                <w:kern w:val="0"/>
                <w:szCs w:val="21"/>
              </w:rPr>
              <w:t>装配</w:t>
            </w:r>
          </w:p>
          <w:p>
            <w:pPr>
              <w:jc w:val="left"/>
              <w:rPr>
                <w:rFonts w:ascii="仿宋" w:hAnsi="仿宋" w:eastAsia="仿宋" w:cs="仿宋"/>
                <w:bCs/>
                <w:kern w:val="0"/>
                <w:szCs w:val="21"/>
              </w:rPr>
            </w:pPr>
            <w:r>
              <w:rPr>
                <w:rFonts w:hint="eastAsia" w:ascii="仿宋" w:hAnsi="仿宋" w:eastAsia="仿宋" w:cs="仿宋"/>
                <w:bCs/>
                <w:kern w:val="0"/>
                <w:szCs w:val="21"/>
              </w:rPr>
              <w:t xml:space="preserve">学生从工作台中，依次选择相应零件、从工具栏中选择相对应的设备，系统以三维动画的形式自动模拟安装状态。主要安装步骤包括：滑套、拉杆、连接销、左右摩擦片、正转摩擦片、定位板、正转防松垫片、螺钉、反转摩擦片、定位板、反转防松垫片、螺钉、反转齿轮组件、反转端两轴承挡圈、轴承、卡簧、摇杆、支点销、平键、正转齿轮组件、正转两轴承挡圈、结合子、右端轴承、内六角螺钉、皮带轮、螺帽、皮带、皮带轮防护罩、皮带轮防护罩门、主轴端盖、螺钉。 </w:t>
            </w:r>
          </w:p>
          <w:p>
            <w:pPr>
              <w:jc w:val="left"/>
              <w:rPr>
                <w:rFonts w:ascii="仿宋" w:hAnsi="仿宋" w:eastAsia="仿宋" w:cs="仿宋"/>
                <w:bCs/>
                <w:kern w:val="0"/>
                <w:szCs w:val="21"/>
              </w:rPr>
            </w:pPr>
            <w:r>
              <w:rPr>
                <w:rFonts w:hint="eastAsia" w:ascii="仿宋" w:hAnsi="仿宋" w:eastAsia="仿宋" w:cs="仿宋"/>
                <w:bCs/>
                <w:kern w:val="0"/>
                <w:szCs w:val="21"/>
              </w:rPr>
              <w:t xml:space="preserve">2） 主轴拆装 </w:t>
            </w:r>
          </w:p>
          <w:p>
            <w:pPr>
              <w:jc w:val="left"/>
              <w:rPr>
                <w:rFonts w:ascii="仿宋" w:hAnsi="仿宋" w:eastAsia="仿宋" w:cs="仿宋"/>
                <w:bCs/>
                <w:kern w:val="0"/>
                <w:szCs w:val="21"/>
              </w:rPr>
            </w:pPr>
            <w:r>
              <w:rPr>
                <w:rFonts w:hint="eastAsia" w:ascii="仿宋" w:hAnsi="仿宋" w:eastAsia="仿宋" w:cs="仿宋"/>
                <w:bCs/>
                <w:kern w:val="0"/>
                <w:szCs w:val="21"/>
              </w:rPr>
              <w:t>拆卸</w:t>
            </w:r>
          </w:p>
          <w:p>
            <w:pPr>
              <w:jc w:val="left"/>
              <w:rPr>
                <w:rFonts w:ascii="仿宋" w:hAnsi="仿宋" w:eastAsia="仿宋" w:cs="仿宋"/>
                <w:bCs/>
                <w:kern w:val="0"/>
                <w:szCs w:val="21"/>
              </w:rPr>
            </w:pPr>
            <w:r>
              <w:rPr>
                <w:rFonts w:hint="eastAsia" w:ascii="仿宋" w:hAnsi="仿宋" w:eastAsia="仿宋" w:cs="仿宋"/>
                <w:bCs/>
                <w:kern w:val="0"/>
                <w:szCs w:val="21"/>
              </w:rPr>
              <w:t xml:space="preserve">根据语音文字提示，从工具箱中依次选择内六角扳手、锤子、铜棒，卸下锁紧盘、主轴箱左端盖板、右端盖轴承盖螺钉、盖板及前轴承盖、锥形密封套→从工具箱中选择卡簧钳，将两个轴用弹性挡圈移出挡圈槽→从工具箱中选择锤子、硬枕木，依次取出推力球轴承、轴用弹性挡圈、小齿轮、轴承、滑移齿轮、轴用弹性挡圈、大齿轮、隔套、主轴连同右端轴承组件→拆卸右端轴承组件，拆卸结束。 </w:t>
            </w:r>
          </w:p>
          <w:p>
            <w:pPr>
              <w:jc w:val="left"/>
              <w:rPr>
                <w:rFonts w:ascii="仿宋" w:hAnsi="仿宋" w:eastAsia="仿宋" w:cs="仿宋"/>
                <w:bCs/>
                <w:kern w:val="0"/>
                <w:szCs w:val="21"/>
              </w:rPr>
            </w:pPr>
            <w:r>
              <w:rPr>
                <w:rFonts w:hint="eastAsia" w:ascii="仿宋" w:hAnsi="仿宋" w:eastAsia="仿宋" w:cs="仿宋"/>
                <w:bCs/>
                <w:kern w:val="0"/>
                <w:szCs w:val="21"/>
              </w:rPr>
              <w:t>装配</w:t>
            </w:r>
          </w:p>
          <w:p>
            <w:pPr>
              <w:jc w:val="left"/>
              <w:rPr>
                <w:rFonts w:ascii="仿宋" w:hAnsi="仿宋" w:eastAsia="仿宋" w:cs="仿宋"/>
                <w:bCs/>
                <w:kern w:val="0"/>
                <w:szCs w:val="21"/>
              </w:rPr>
            </w:pPr>
            <w:r>
              <w:rPr>
                <w:rFonts w:hint="eastAsia" w:ascii="仿宋" w:hAnsi="仿宋" w:eastAsia="仿宋" w:cs="仿宋"/>
                <w:bCs/>
                <w:kern w:val="0"/>
                <w:szCs w:val="21"/>
              </w:rPr>
              <w:t xml:space="preserve">学生从工作台中，依次选择相应零件、从工具栏中选择相对应的设备，系统以三维动画的形式自动模拟安装状态。主要安装步骤包括：主轴右端轴承组件、轴用弹性挡圈、盖板、锥形密封套、前轴承盖、主轴锁紧盘。 </w:t>
            </w:r>
          </w:p>
          <w:p>
            <w:pPr>
              <w:jc w:val="left"/>
              <w:rPr>
                <w:rFonts w:ascii="仿宋" w:hAnsi="仿宋" w:eastAsia="仿宋" w:cs="仿宋"/>
                <w:bCs/>
                <w:kern w:val="0"/>
                <w:szCs w:val="21"/>
              </w:rPr>
            </w:pPr>
            <w:r>
              <w:rPr>
                <w:rFonts w:hint="eastAsia" w:ascii="仿宋" w:hAnsi="仿宋" w:eastAsia="仿宋" w:cs="仿宋"/>
                <w:bCs/>
                <w:kern w:val="0"/>
                <w:szCs w:val="21"/>
              </w:rPr>
              <w:t xml:space="preserve">2、溜板箱拆装 </w:t>
            </w:r>
          </w:p>
          <w:p>
            <w:pPr>
              <w:jc w:val="left"/>
              <w:rPr>
                <w:rFonts w:ascii="仿宋" w:hAnsi="仿宋" w:eastAsia="仿宋" w:cs="仿宋"/>
                <w:bCs/>
                <w:kern w:val="0"/>
                <w:szCs w:val="21"/>
              </w:rPr>
            </w:pPr>
            <w:r>
              <w:rPr>
                <w:rFonts w:hint="eastAsia" w:ascii="仿宋" w:hAnsi="仿宋" w:eastAsia="仿宋" w:cs="仿宋"/>
                <w:bCs/>
                <w:kern w:val="0"/>
                <w:szCs w:val="21"/>
              </w:rPr>
              <w:t>拆卸</w:t>
            </w:r>
          </w:p>
          <w:p>
            <w:pPr>
              <w:jc w:val="left"/>
              <w:rPr>
                <w:rFonts w:ascii="仿宋" w:hAnsi="仿宋" w:eastAsia="仿宋" w:cs="仿宋"/>
                <w:bCs/>
                <w:kern w:val="0"/>
                <w:szCs w:val="21"/>
              </w:rPr>
            </w:pPr>
            <w:r>
              <w:rPr>
                <w:rFonts w:hint="eastAsia" w:ascii="仿宋" w:hAnsi="仿宋" w:eastAsia="仿宋" w:cs="仿宋"/>
                <w:bCs/>
                <w:kern w:val="0"/>
                <w:szCs w:val="21"/>
              </w:rPr>
              <w:t xml:space="preserve">根据语音文字提示，从工具箱中选择锤子、冲头，敲出丝杠、圆锥销→从工具箱中选择拔销器，取出定位销→从工具箱中选择内六角扳手，拧下紧固螺钉→取下后支架→取下丝杠→取下光杠→从工具栏中选择一字螺丝刀，拧松操纵杠左端手柄、紧固螺钉→取下操纵杠→从工具栏中选择十字螺丝刀，拆下大拖板上电动机开关→从工具栏中选择叉车、硬枕木，支撑设备→从工具栏中选择拔销器，取出大拖板和定位销→从工具栏中选择内六角扳手，拧出紧固螺钉→拆下快速电机的电线→从工具栏中选择一字螺丝刀，拆下开合螺母限位螺钉→取下塞铁→取下开合螺母→从工具栏中选择一字螺丝刀，取下手轮紧固螺钉与垫片、手轮→从工具栏中选择内六角扳手，取下紧固螺钉，取下刻度盘座与刻度盘→从工具栏中选择锤子、冲头，取下圆锥销→从工具栏中选择锤子、铜棒，取出半圆键、齿轮轴、齿 </w:t>
            </w:r>
          </w:p>
          <w:p>
            <w:pPr>
              <w:jc w:val="left"/>
              <w:rPr>
                <w:rFonts w:ascii="仿宋" w:hAnsi="仿宋" w:eastAsia="仿宋" w:cs="仿宋"/>
                <w:bCs/>
                <w:kern w:val="0"/>
                <w:szCs w:val="21"/>
              </w:rPr>
            </w:pPr>
            <w:r>
              <w:rPr>
                <w:rFonts w:hint="eastAsia" w:ascii="仿宋" w:hAnsi="仿宋" w:eastAsia="仿宋" w:cs="仿宋"/>
                <w:bCs/>
                <w:kern w:val="0"/>
                <w:szCs w:val="21"/>
              </w:rPr>
              <w:t xml:space="preserve">轮，拆卸完成。 </w:t>
            </w:r>
          </w:p>
          <w:p>
            <w:pPr>
              <w:jc w:val="left"/>
              <w:rPr>
                <w:rFonts w:ascii="仿宋" w:hAnsi="仿宋" w:eastAsia="仿宋" w:cs="仿宋"/>
                <w:bCs/>
                <w:kern w:val="0"/>
                <w:szCs w:val="21"/>
              </w:rPr>
            </w:pPr>
            <w:r>
              <w:rPr>
                <w:rFonts w:hint="eastAsia" w:ascii="仿宋" w:hAnsi="仿宋" w:eastAsia="仿宋" w:cs="仿宋"/>
                <w:bCs/>
                <w:kern w:val="0"/>
                <w:szCs w:val="21"/>
              </w:rPr>
              <w:t>装配</w:t>
            </w:r>
          </w:p>
          <w:p>
            <w:pPr>
              <w:jc w:val="left"/>
              <w:rPr>
                <w:rFonts w:ascii="仿宋" w:hAnsi="仿宋" w:eastAsia="仿宋" w:cs="仿宋"/>
                <w:bCs/>
                <w:kern w:val="0"/>
                <w:szCs w:val="21"/>
              </w:rPr>
            </w:pPr>
            <w:r>
              <w:rPr>
                <w:rFonts w:hint="eastAsia" w:ascii="仿宋" w:hAnsi="仿宋" w:eastAsia="仿宋" w:cs="仿宋"/>
                <w:bCs/>
                <w:kern w:val="0"/>
                <w:szCs w:val="21"/>
              </w:rPr>
              <w:t xml:space="preserve">学生从工作台中，依次选择相应零件、从工具栏中选择相对应的设备，系统以三维动画的形式自动模拟安装状态。主要安装步骤包括：齿轮轴、大齿轮、半圆键、小齿轮、圆锥销、刻度座组合件、螺钉、手轮、垫片、开合螺母、塞铁、上限位螺钉、主电机开关、操纵杠、左端定位圈、左端操纵手柄、右面定位圈的紧定螺钉、丝杠、圆锥销、光杠、圆锥销、后支架、定位销、紧固螺钉。 </w:t>
            </w:r>
          </w:p>
          <w:p>
            <w:pPr>
              <w:jc w:val="left"/>
              <w:rPr>
                <w:rFonts w:ascii="仿宋" w:hAnsi="仿宋" w:eastAsia="仿宋" w:cs="仿宋"/>
                <w:bCs/>
                <w:kern w:val="0"/>
                <w:szCs w:val="21"/>
              </w:rPr>
            </w:pPr>
            <w:r>
              <w:rPr>
                <w:rFonts w:hint="eastAsia" w:ascii="仿宋" w:hAnsi="仿宋" w:eastAsia="仿宋" w:cs="仿宋"/>
                <w:bCs/>
                <w:kern w:val="0"/>
                <w:szCs w:val="21"/>
              </w:rPr>
              <w:t xml:space="preserve">3、进给箱拆装 </w:t>
            </w:r>
          </w:p>
          <w:p>
            <w:pPr>
              <w:jc w:val="left"/>
              <w:rPr>
                <w:rFonts w:ascii="仿宋" w:hAnsi="仿宋" w:eastAsia="仿宋" w:cs="仿宋"/>
                <w:bCs/>
                <w:kern w:val="0"/>
                <w:szCs w:val="21"/>
              </w:rPr>
            </w:pPr>
            <w:r>
              <w:rPr>
                <w:rFonts w:hint="eastAsia" w:ascii="仿宋" w:hAnsi="仿宋" w:eastAsia="仿宋" w:cs="仿宋"/>
                <w:bCs/>
                <w:kern w:val="0"/>
                <w:szCs w:val="21"/>
              </w:rPr>
              <w:t>拆卸</w:t>
            </w:r>
          </w:p>
          <w:p>
            <w:pPr>
              <w:jc w:val="left"/>
              <w:rPr>
                <w:rFonts w:ascii="仿宋" w:hAnsi="仿宋" w:eastAsia="仿宋" w:cs="仿宋"/>
                <w:bCs/>
                <w:kern w:val="0"/>
                <w:szCs w:val="21"/>
              </w:rPr>
            </w:pPr>
            <w:r>
              <w:rPr>
                <w:rFonts w:hint="eastAsia" w:ascii="仿宋" w:hAnsi="仿宋" w:eastAsia="仿宋" w:cs="仿宋"/>
                <w:bCs/>
                <w:kern w:val="0"/>
                <w:szCs w:val="21"/>
              </w:rPr>
              <w:t xml:space="preserve">根据语音文字提示，拧松惰轮轴→取下开口垫片→拆下惰轮→拧松螺钉→取下开口垫片→取下挂轮→拧出固紧螺母，取下挂轮支承板，取下惰轮轴和螺母→从工具箱中选择拔销器，取出定位销→从工具箱中选择内六角扳手，取下螺钉→移出进给箱→拆除前盖→拆除后盖，拆卸结束。 </w:t>
            </w:r>
          </w:p>
          <w:p>
            <w:pPr>
              <w:jc w:val="left"/>
              <w:rPr>
                <w:rFonts w:ascii="仿宋" w:hAnsi="仿宋" w:eastAsia="仿宋" w:cs="仿宋"/>
                <w:bCs/>
                <w:kern w:val="0"/>
                <w:szCs w:val="21"/>
              </w:rPr>
            </w:pPr>
            <w:r>
              <w:rPr>
                <w:rFonts w:hint="eastAsia" w:ascii="仿宋" w:hAnsi="仿宋" w:eastAsia="仿宋" w:cs="仿宋"/>
                <w:bCs/>
                <w:kern w:val="0"/>
                <w:szCs w:val="21"/>
              </w:rPr>
              <w:t>装配</w:t>
            </w:r>
          </w:p>
          <w:p>
            <w:pPr>
              <w:jc w:val="left"/>
              <w:rPr>
                <w:rFonts w:ascii="仿宋" w:hAnsi="仿宋" w:eastAsia="仿宋" w:cs="仿宋"/>
                <w:bCs/>
                <w:kern w:val="0"/>
                <w:szCs w:val="21"/>
              </w:rPr>
            </w:pPr>
            <w:r>
              <w:rPr>
                <w:rFonts w:hint="eastAsia" w:ascii="仿宋" w:hAnsi="仿宋" w:eastAsia="仿宋" w:cs="仿宋"/>
                <w:bCs/>
                <w:kern w:val="0"/>
                <w:szCs w:val="21"/>
              </w:rPr>
              <w:t>学生从工作台中，依次选择相应零件、从工具栏中选择相对应的设备，系统以三维动画的形式自动模拟安装状态。主要安装步骤包括：后盖、前盖、螺钉、定位销、支承板、挂轮、开口垫片、挂轮轴螺钉、惰轮、惰轮轴。</w:t>
            </w:r>
          </w:p>
          <w:p>
            <w:pPr>
              <w:jc w:val="left"/>
              <w:rPr>
                <w:rFonts w:ascii="仿宋" w:hAnsi="仿宋" w:eastAsia="仿宋" w:cs="仿宋"/>
                <w:szCs w:val="21"/>
              </w:rPr>
            </w:pPr>
            <w:r>
              <w:rPr>
                <w:rFonts w:hint="eastAsia" w:ascii="仿宋" w:hAnsi="仿宋" w:eastAsia="仿宋" w:cs="仿宋"/>
                <w:b/>
                <w:kern w:val="0"/>
                <w:szCs w:val="21"/>
              </w:rPr>
              <w:t>(现场演示车床三箱拆装软件的操作</w:t>
            </w:r>
            <w:r>
              <w:rPr>
                <w:rFonts w:hint="eastAsia" w:ascii="仿宋" w:hAnsi="仿宋" w:eastAsia="仿宋" w:cs="仿宋"/>
                <w:b/>
                <w:kern w:val="0"/>
                <w:szCs w:val="21"/>
                <w:highlight w:val="red"/>
              </w:rPr>
              <w:t>视频</w:t>
            </w:r>
            <w:r>
              <w:rPr>
                <w:rFonts w:hint="eastAsia" w:ascii="仿宋" w:hAnsi="仿宋" w:eastAsia="仿宋" w:cs="仿宋"/>
                <w:b/>
                <w:kern w:val="0"/>
                <w:szCs w:val="21"/>
              </w:rPr>
              <w:t>)</w:t>
            </w:r>
          </w:p>
        </w:tc>
        <w:tc>
          <w:tcPr>
            <w:tcW w:w="566" w:type="dxa"/>
            <w:vAlign w:val="center"/>
          </w:tcPr>
          <w:p>
            <w:pP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647" w:type="dxa"/>
            <w:vAlign w:val="center"/>
          </w:tcPr>
          <w:p>
            <w:pPr>
              <w:pStyle w:val="20"/>
              <w:rPr>
                <w:rFonts w:ascii="仿宋" w:hAnsi="仿宋" w:eastAsia="仿宋" w:cs="仿宋"/>
              </w:rPr>
            </w:pPr>
            <w:r>
              <w:rPr>
                <w:rFonts w:hint="eastAsia" w:ascii="仿宋" w:hAnsi="仿宋" w:eastAsia="仿宋" w:cs="仿宋"/>
              </w:rPr>
              <w:t>4</w:t>
            </w:r>
          </w:p>
        </w:tc>
        <w:tc>
          <w:tcPr>
            <w:tcW w:w="1274" w:type="dxa"/>
            <w:vAlign w:val="center"/>
          </w:tcPr>
          <w:p>
            <w:pPr>
              <w:jc w:val="left"/>
              <w:rPr>
                <w:rFonts w:ascii="仿宋" w:hAnsi="仿宋" w:eastAsia="仿宋" w:cs="仿宋"/>
              </w:rPr>
            </w:pPr>
            <w:r>
              <w:rPr>
                <w:rFonts w:hint="eastAsia" w:ascii="仿宋" w:hAnsi="仿宋" w:eastAsia="仿宋" w:cs="仿宋"/>
              </w:rPr>
              <w:t>汽修</w:t>
            </w:r>
          </w:p>
        </w:tc>
        <w:tc>
          <w:tcPr>
            <w:tcW w:w="11454" w:type="dxa"/>
            <w:vAlign w:val="center"/>
          </w:tcPr>
          <w:p>
            <w:pPr>
              <w:jc w:val="left"/>
              <w:rPr>
                <w:rFonts w:ascii="仿宋" w:hAnsi="仿宋" w:eastAsia="仿宋" w:cs="仿宋"/>
                <w:szCs w:val="21"/>
              </w:rPr>
            </w:pPr>
            <w:r>
              <w:rPr>
                <w:rFonts w:hint="eastAsia" w:ascii="仿宋" w:hAnsi="仿宋" w:eastAsia="仿宋" w:cs="仿宋"/>
                <w:szCs w:val="21"/>
              </w:rPr>
              <w:t>汽车发动机拆装</w:t>
            </w:r>
          </w:p>
        </w:tc>
        <w:tc>
          <w:tcPr>
            <w:tcW w:w="566" w:type="dxa"/>
            <w:vAlign w:val="center"/>
          </w:tcPr>
          <w:p>
            <w:pP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647" w:type="dxa"/>
            <w:vAlign w:val="center"/>
          </w:tcPr>
          <w:p>
            <w:pPr>
              <w:pStyle w:val="20"/>
              <w:rPr>
                <w:rFonts w:ascii="仿宋" w:hAnsi="仿宋" w:eastAsia="仿宋" w:cs="仿宋"/>
              </w:rPr>
            </w:pPr>
            <w:r>
              <w:rPr>
                <w:rFonts w:hint="eastAsia" w:ascii="仿宋" w:hAnsi="仿宋" w:eastAsia="仿宋" w:cs="仿宋"/>
              </w:rPr>
              <w:t>5</w:t>
            </w:r>
          </w:p>
        </w:tc>
        <w:tc>
          <w:tcPr>
            <w:tcW w:w="1274" w:type="dxa"/>
            <w:vAlign w:val="center"/>
          </w:tcPr>
          <w:p>
            <w:pPr>
              <w:jc w:val="left"/>
              <w:rPr>
                <w:rFonts w:ascii="仿宋" w:hAnsi="仿宋" w:eastAsia="仿宋" w:cs="仿宋"/>
              </w:rPr>
            </w:pPr>
            <w:r>
              <w:rPr>
                <w:rFonts w:hint="eastAsia" w:ascii="仿宋" w:hAnsi="仿宋" w:eastAsia="仿宋" w:cs="仿宋"/>
              </w:rPr>
              <w:t>汽车大发现</w:t>
            </w:r>
          </w:p>
        </w:tc>
        <w:tc>
          <w:tcPr>
            <w:tcW w:w="11454" w:type="dxa"/>
            <w:vAlign w:val="center"/>
          </w:tcPr>
          <w:p>
            <w:pPr>
              <w:pStyle w:val="16"/>
              <w:spacing w:before="0"/>
              <w:jc w:val="left"/>
              <w:rPr>
                <w:rFonts w:ascii="仿宋" w:hAnsi="仿宋" w:eastAsia="仿宋" w:cs="仿宋"/>
                <w:sz w:val="21"/>
                <w:szCs w:val="21"/>
              </w:rPr>
            </w:pPr>
            <w:r>
              <w:rPr>
                <w:rFonts w:hint="eastAsia" w:ascii="仿宋" w:hAnsi="仿宋" w:eastAsia="仿宋" w:cs="仿宋"/>
                <w:sz w:val="21"/>
                <w:szCs w:val="21"/>
              </w:rPr>
              <w:t>探索雪佛兰艾尔卡米诺acme no汽车的行驶和传动系统，包含发动机、悬架、空气分配箱、空调压缩机和转向系统</w:t>
            </w:r>
          </w:p>
        </w:tc>
        <w:tc>
          <w:tcPr>
            <w:tcW w:w="566" w:type="dxa"/>
            <w:vAlign w:val="center"/>
          </w:tcPr>
          <w:p>
            <w:pP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647" w:type="dxa"/>
            <w:vAlign w:val="center"/>
          </w:tcPr>
          <w:p>
            <w:pPr>
              <w:pStyle w:val="20"/>
              <w:rPr>
                <w:rFonts w:ascii="仿宋" w:hAnsi="仿宋" w:eastAsia="仿宋" w:cs="仿宋"/>
              </w:rPr>
            </w:pPr>
            <w:r>
              <w:rPr>
                <w:rFonts w:hint="eastAsia" w:ascii="仿宋" w:hAnsi="仿宋" w:eastAsia="仿宋" w:cs="仿宋"/>
              </w:rPr>
              <w:t>6</w:t>
            </w:r>
          </w:p>
        </w:tc>
        <w:tc>
          <w:tcPr>
            <w:tcW w:w="1274" w:type="dxa"/>
            <w:vAlign w:val="center"/>
          </w:tcPr>
          <w:p>
            <w:pPr>
              <w:jc w:val="left"/>
              <w:rPr>
                <w:rFonts w:ascii="仿宋" w:hAnsi="仿宋" w:eastAsia="仿宋" w:cs="仿宋"/>
              </w:rPr>
            </w:pPr>
            <w:r>
              <w:rPr>
                <w:rFonts w:hint="eastAsia" w:ascii="仿宋" w:hAnsi="仿宋" w:eastAsia="仿宋" w:cs="仿宋"/>
              </w:rPr>
              <w:t>引擎大发现</w:t>
            </w:r>
          </w:p>
        </w:tc>
        <w:tc>
          <w:tcPr>
            <w:tcW w:w="11454" w:type="dxa"/>
            <w:vAlign w:val="center"/>
          </w:tcPr>
          <w:p>
            <w:pPr>
              <w:pStyle w:val="16"/>
              <w:spacing w:before="0"/>
              <w:jc w:val="left"/>
              <w:rPr>
                <w:rFonts w:ascii="仿宋" w:hAnsi="仿宋" w:eastAsia="仿宋" w:cs="仿宋"/>
                <w:sz w:val="21"/>
                <w:szCs w:val="21"/>
              </w:rPr>
            </w:pPr>
            <w:r>
              <w:rPr>
                <w:rFonts w:hint="eastAsia" w:ascii="仿宋" w:hAnsi="仿宋" w:eastAsia="仿宋" w:cs="仿宋"/>
                <w:sz w:val="21"/>
                <w:szCs w:val="21"/>
              </w:rPr>
              <w:t>空客A320系列飞机动力装置，起飞推力可达32000磅，他是涡轮风扇发动机，权重两千三百八十一千克，2.14米长1.97米宽。</w:t>
            </w:r>
          </w:p>
        </w:tc>
        <w:tc>
          <w:tcPr>
            <w:tcW w:w="566" w:type="dxa"/>
            <w:vAlign w:val="center"/>
          </w:tcPr>
          <w:p>
            <w:pP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647" w:type="dxa"/>
            <w:vAlign w:val="center"/>
          </w:tcPr>
          <w:p>
            <w:pPr>
              <w:pStyle w:val="20"/>
              <w:rPr>
                <w:rFonts w:ascii="仿宋" w:hAnsi="仿宋" w:eastAsia="仿宋" w:cs="仿宋"/>
              </w:rPr>
            </w:pPr>
            <w:r>
              <w:rPr>
                <w:rFonts w:hint="eastAsia" w:ascii="仿宋" w:hAnsi="仿宋" w:eastAsia="仿宋" w:cs="仿宋"/>
              </w:rPr>
              <w:t>7</w:t>
            </w:r>
          </w:p>
        </w:tc>
        <w:tc>
          <w:tcPr>
            <w:tcW w:w="1274" w:type="dxa"/>
            <w:vAlign w:val="center"/>
          </w:tcPr>
          <w:p>
            <w:pPr>
              <w:jc w:val="left"/>
              <w:rPr>
                <w:rFonts w:ascii="仿宋" w:hAnsi="仿宋" w:eastAsia="仿宋" w:cs="仿宋"/>
              </w:rPr>
            </w:pPr>
            <w:r>
              <w:rPr>
                <w:rFonts w:hint="eastAsia" w:ascii="仿宋" w:hAnsi="仿宋" w:eastAsia="仿宋" w:cs="仿宋"/>
              </w:rPr>
              <w:t>安格拉火箭</w:t>
            </w:r>
          </w:p>
        </w:tc>
        <w:tc>
          <w:tcPr>
            <w:tcW w:w="11454" w:type="dxa"/>
            <w:vAlign w:val="center"/>
          </w:tcPr>
          <w:p>
            <w:pPr>
              <w:jc w:val="left"/>
              <w:rPr>
                <w:rFonts w:ascii="仿宋" w:hAnsi="仿宋" w:eastAsia="仿宋" w:cs="仿宋"/>
                <w:szCs w:val="21"/>
              </w:rPr>
            </w:pPr>
            <w:r>
              <w:rPr>
                <w:rFonts w:hint="eastAsia" w:ascii="仿宋" w:hAnsi="仿宋" w:eastAsia="仿宋" w:cs="仿宋"/>
                <w:szCs w:val="21"/>
              </w:rPr>
              <w:t>安格拉A5运载火箭，它的近地轨道的运载能力为24.5吨，地球同步轨道的最大有效载荷为7.3吨；A5型号为三级运载火箭，箭体高度为55.4米，最大发射重量为759吨。</w:t>
            </w:r>
          </w:p>
        </w:tc>
        <w:tc>
          <w:tcPr>
            <w:tcW w:w="566" w:type="dxa"/>
            <w:vAlign w:val="center"/>
          </w:tcPr>
          <w:p>
            <w:pPr>
              <w:rPr>
                <w:rFonts w:ascii="仿宋" w:hAnsi="仿宋" w:eastAsia="仿宋" w:cs="仿宋"/>
              </w:rPr>
            </w:pPr>
          </w:p>
        </w:tc>
      </w:tr>
    </w:tbl>
    <w:p>
      <w:pPr>
        <w:rPr>
          <w:rFonts w:ascii="仿宋" w:hAnsi="仿宋" w:eastAsia="仿宋" w:cs="仿宋"/>
        </w:rPr>
      </w:pPr>
      <w:r>
        <w:rPr>
          <w:rFonts w:hint="eastAsia" w:ascii="仿宋" w:hAnsi="仿宋" w:eastAsia="仿宋" w:cs="仿宋"/>
        </w:rPr>
        <w:br w:type="page"/>
      </w:r>
    </w:p>
    <w:p>
      <w:pPr>
        <w:pStyle w:val="20"/>
        <w:rPr>
          <w:rFonts w:ascii="仿宋" w:hAnsi="仿宋" w:eastAsia="仿宋" w:cs="仿宋"/>
        </w:rPr>
        <w:sectPr>
          <w:pgSz w:w="16838" w:h="11906" w:orient="landscape"/>
          <w:pgMar w:top="1800" w:right="1440" w:bottom="1800" w:left="1440" w:header="851" w:footer="992" w:gutter="0"/>
          <w:pgNumType w:start="1"/>
          <w:cols w:space="425" w:num="1"/>
          <w:docGrid w:type="lines" w:linePitch="312" w:charSpace="0"/>
        </w:sectPr>
      </w:pPr>
    </w:p>
    <w:p>
      <w:pPr>
        <w:pStyle w:val="20"/>
        <w:rPr>
          <w:rFonts w:ascii="仿宋" w:hAnsi="仿宋" w:eastAsia="仿宋" w:cs="仿宋"/>
        </w:rPr>
      </w:pPr>
    </w:p>
    <w:p>
      <w:pPr>
        <w:pStyle w:val="21"/>
        <w:tabs>
          <w:tab w:val="left" w:pos="0"/>
        </w:tabs>
        <w:spacing w:line="240" w:lineRule="auto"/>
        <w:ind w:left="0" w:leftChars="0" w:firstLine="0" w:firstLineChars="0"/>
        <w:jc w:val="center"/>
        <w:outlineLvl w:val="0"/>
        <w:rPr>
          <w:rFonts w:asciiTheme="minorEastAsia" w:hAnsiTheme="minorEastAsia" w:eastAsiaTheme="minorEastAsia" w:cstheme="minorEastAsia"/>
          <w:b/>
          <w:color w:val="000000" w:themeColor="text1"/>
          <w:sz w:val="36"/>
          <w14:textFill>
            <w14:solidFill>
              <w14:schemeClr w14:val="tx1"/>
            </w14:solidFill>
          </w14:textFill>
        </w:rPr>
      </w:pPr>
      <w:bookmarkStart w:id="83" w:name="_Toc2110"/>
      <w:r>
        <w:rPr>
          <w:rFonts w:hint="eastAsia" w:asciiTheme="minorEastAsia" w:hAnsiTheme="minorEastAsia" w:eastAsiaTheme="minorEastAsia" w:cstheme="minorEastAsia"/>
          <w:b/>
          <w:color w:val="000000" w:themeColor="text1"/>
          <w:sz w:val="36"/>
          <w14:textFill>
            <w14:solidFill>
              <w14:schemeClr w14:val="tx1"/>
            </w14:solidFill>
          </w14:textFill>
        </w:rPr>
        <w:t>第四部分   评审方法（综合评分法）</w:t>
      </w:r>
      <w:bookmarkEnd w:id="83"/>
    </w:p>
    <w:p>
      <w:pPr>
        <w:spacing w:line="360" w:lineRule="auto"/>
        <w:ind w:firstLine="480" w:firstLineChars="200"/>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本项目评审方法见招标文件第二部分“投标人须知前附表”中第21项的规定。</w:t>
      </w:r>
      <w:r>
        <w:rPr>
          <w:rFonts w:hint="eastAsia" w:asciiTheme="minorEastAsia" w:hAnsiTheme="minorEastAsia" w:eastAsiaTheme="minorEastAsia" w:cstheme="minorEastAsia"/>
          <w:color w:val="000000" w:themeColor="text1"/>
          <w:kern w:val="0"/>
          <w:sz w:val="24"/>
          <w14:textFill>
            <w14:solidFill>
              <w14:schemeClr w14:val="tx1"/>
            </w14:solidFill>
          </w14:textFill>
        </w:rPr>
        <w:t>如果采用综合评分法，评分细则如下：</w:t>
      </w:r>
    </w:p>
    <w:tbl>
      <w:tblPr>
        <w:tblStyle w:val="38"/>
        <w:tblW w:w="99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02"/>
        <w:gridCol w:w="1016"/>
        <w:gridCol w:w="1789"/>
        <w:gridCol w:w="4762"/>
        <w:gridCol w:w="591"/>
        <w:gridCol w:w="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 w:hRule="atLeast"/>
          <w:jc w:val="center"/>
        </w:trPr>
        <w:tc>
          <w:tcPr>
            <w:tcW w:w="2218" w:type="dxa"/>
            <w:gridSpan w:val="2"/>
            <w:vMerge w:val="restart"/>
            <w:vAlign w:val="center"/>
          </w:tcPr>
          <w:p>
            <w:pPr>
              <w:spacing w:line="500" w:lineRule="exact"/>
              <w:jc w:val="center"/>
              <w:rPr>
                <w:rFonts w:asciiTheme="minorEastAsia" w:hAnsiTheme="minorEastAsia" w:eastAsiaTheme="minorEastAsia" w:cstheme="minorEastAsia"/>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Cs/>
                <w:color w:val="000000" w:themeColor="text1"/>
                <w:sz w:val="24"/>
                <w:szCs w:val="24"/>
                <w14:textFill>
                  <w14:solidFill>
                    <w14:schemeClr w14:val="tx1"/>
                  </w14:solidFill>
                </w14:textFill>
              </w:rPr>
              <w:t>评分因素</w:t>
            </w:r>
          </w:p>
        </w:tc>
        <w:tc>
          <w:tcPr>
            <w:tcW w:w="1789" w:type="dxa"/>
            <w:vMerge w:val="restart"/>
            <w:vAlign w:val="center"/>
          </w:tcPr>
          <w:p>
            <w:pPr>
              <w:spacing w:line="500" w:lineRule="exact"/>
              <w:jc w:val="center"/>
              <w:rPr>
                <w:rFonts w:asciiTheme="minorEastAsia" w:hAnsiTheme="minorEastAsia" w:eastAsiaTheme="minorEastAsia" w:cstheme="minorEastAsia"/>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Cs/>
                <w:color w:val="000000" w:themeColor="text1"/>
                <w:sz w:val="24"/>
                <w:szCs w:val="24"/>
                <w14:textFill>
                  <w14:solidFill>
                    <w14:schemeClr w14:val="tx1"/>
                  </w14:solidFill>
                </w14:textFill>
              </w:rPr>
              <w:t>评分点</w:t>
            </w:r>
          </w:p>
        </w:tc>
        <w:tc>
          <w:tcPr>
            <w:tcW w:w="4762" w:type="dxa"/>
            <w:vMerge w:val="restart"/>
            <w:vAlign w:val="center"/>
          </w:tcPr>
          <w:p>
            <w:pPr>
              <w:spacing w:line="500" w:lineRule="exact"/>
              <w:jc w:val="center"/>
              <w:rPr>
                <w:rFonts w:asciiTheme="minorEastAsia" w:hAnsiTheme="minorEastAsia" w:eastAsiaTheme="minorEastAsia" w:cstheme="minorEastAsia"/>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Cs/>
                <w:color w:val="000000" w:themeColor="text1"/>
                <w:sz w:val="24"/>
                <w:szCs w:val="24"/>
                <w14:textFill>
                  <w14:solidFill>
                    <w14:schemeClr w14:val="tx1"/>
                  </w14:solidFill>
                </w14:textFill>
              </w:rPr>
              <w:t>评分标准</w:t>
            </w:r>
          </w:p>
        </w:tc>
        <w:tc>
          <w:tcPr>
            <w:tcW w:w="1221" w:type="dxa"/>
            <w:gridSpan w:val="2"/>
            <w:vAlign w:val="center"/>
          </w:tcPr>
          <w:p>
            <w:pPr>
              <w:spacing w:line="500" w:lineRule="exact"/>
              <w:jc w:val="center"/>
              <w:rPr>
                <w:rFonts w:asciiTheme="minorEastAsia" w:hAnsiTheme="minorEastAsia" w:eastAsiaTheme="minorEastAsia" w:cstheme="minorEastAsia"/>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Cs/>
                <w:color w:val="000000" w:themeColor="text1"/>
                <w:sz w:val="24"/>
                <w:szCs w:val="24"/>
                <w14:textFill>
                  <w14:solidFill>
                    <w14:schemeClr w14:val="tx1"/>
                  </w14:solidFill>
                </w14:textFill>
              </w:rPr>
              <w:t>评审意见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 w:hRule="atLeast"/>
          <w:jc w:val="center"/>
        </w:trPr>
        <w:tc>
          <w:tcPr>
            <w:tcW w:w="2218" w:type="dxa"/>
            <w:gridSpan w:val="2"/>
            <w:vMerge w:val="continue"/>
            <w:vAlign w:val="center"/>
          </w:tcPr>
          <w:p>
            <w:pPr>
              <w:spacing w:line="500" w:lineRule="exact"/>
              <w:rPr>
                <w:rFonts w:asciiTheme="minorEastAsia" w:hAnsiTheme="minorEastAsia" w:eastAsiaTheme="minorEastAsia" w:cstheme="minorEastAsia"/>
                <w:bCs/>
                <w:color w:val="000000" w:themeColor="text1"/>
                <w:sz w:val="24"/>
                <w:szCs w:val="24"/>
                <w14:textFill>
                  <w14:solidFill>
                    <w14:schemeClr w14:val="tx1"/>
                  </w14:solidFill>
                </w14:textFill>
              </w:rPr>
            </w:pPr>
          </w:p>
        </w:tc>
        <w:tc>
          <w:tcPr>
            <w:tcW w:w="1789" w:type="dxa"/>
            <w:vMerge w:val="continue"/>
            <w:vAlign w:val="center"/>
          </w:tcPr>
          <w:p>
            <w:pPr>
              <w:spacing w:line="500" w:lineRule="exact"/>
              <w:rPr>
                <w:rFonts w:asciiTheme="minorEastAsia" w:hAnsiTheme="minorEastAsia" w:eastAsiaTheme="minorEastAsia" w:cstheme="minorEastAsia"/>
                <w:bCs/>
                <w:color w:val="000000" w:themeColor="text1"/>
                <w:sz w:val="24"/>
                <w:szCs w:val="24"/>
                <w14:textFill>
                  <w14:solidFill>
                    <w14:schemeClr w14:val="tx1"/>
                  </w14:solidFill>
                </w14:textFill>
              </w:rPr>
            </w:pPr>
          </w:p>
        </w:tc>
        <w:tc>
          <w:tcPr>
            <w:tcW w:w="4762" w:type="dxa"/>
            <w:vMerge w:val="continue"/>
            <w:vAlign w:val="center"/>
          </w:tcPr>
          <w:p>
            <w:pPr>
              <w:spacing w:line="500" w:lineRule="exact"/>
              <w:rPr>
                <w:rFonts w:asciiTheme="minorEastAsia" w:hAnsiTheme="minorEastAsia" w:eastAsiaTheme="minorEastAsia" w:cstheme="minorEastAsia"/>
                <w:bCs/>
                <w:color w:val="000000" w:themeColor="text1"/>
                <w:sz w:val="24"/>
                <w:szCs w:val="24"/>
                <w14:textFill>
                  <w14:solidFill>
                    <w14:schemeClr w14:val="tx1"/>
                  </w14:solidFill>
                </w14:textFill>
              </w:rPr>
            </w:pPr>
          </w:p>
        </w:tc>
        <w:tc>
          <w:tcPr>
            <w:tcW w:w="591" w:type="dxa"/>
            <w:vAlign w:val="center"/>
          </w:tcPr>
          <w:p>
            <w:pPr>
              <w:spacing w:line="500" w:lineRule="exact"/>
              <w:jc w:val="center"/>
              <w:rPr>
                <w:rFonts w:asciiTheme="minorEastAsia" w:hAnsiTheme="minorEastAsia" w:eastAsiaTheme="minorEastAsia" w:cstheme="minorEastAsia"/>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Cs/>
                <w:color w:val="000000" w:themeColor="text1"/>
                <w:sz w:val="24"/>
                <w:szCs w:val="24"/>
                <w14:textFill>
                  <w14:solidFill>
                    <w14:schemeClr w14:val="tx1"/>
                  </w14:solidFill>
                </w14:textFill>
              </w:rPr>
              <w:t>是</w:t>
            </w:r>
          </w:p>
        </w:tc>
        <w:tc>
          <w:tcPr>
            <w:tcW w:w="630" w:type="dxa"/>
            <w:vAlign w:val="center"/>
          </w:tcPr>
          <w:p>
            <w:pPr>
              <w:spacing w:line="500" w:lineRule="exact"/>
              <w:jc w:val="center"/>
              <w:rPr>
                <w:rFonts w:asciiTheme="minorEastAsia" w:hAnsiTheme="minorEastAsia" w:eastAsiaTheme="minorEastAsia" w:cstheme="minorEastAsia"/>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Cs/>
                <w:color w:val="000000" w:themeColor="text1"/>
                <w:sz w:val="24"/>
                <w:szCs w:val="24"/>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202" w:type="dxa"/>
            <w:vMerge w:val="restart"/>
            <w:vAlign w:val="center"/>
          </w:tcPr>
          <w:p>
            <w:pPr>
              <w:spacing w:line="500" w:lineRule="exact"/>
              <w:rPr>
                <w:rFonts w:asciiTheme="minorEastAsia" w:hAnsiTheme="minorEastAsia" w:eastAsiaTheme="minorEastAsia" w:cstheme="minorEastAsia"/>
                <w:bCs/>
                <w:color w:val="000000" w:themeColor="text1"/>
                <w:sz w:val="24"/>
                <w:szCs w:val="24"/>
                <w14:textFill>
                  <w14:solidFill>
                    <w14:schemeClr w14:val="tx1"/>
                  </w14:solidFill>
                </w14:textFill>
              </w:rPr>
            </w:pPr>
          </w:p>
          <w:p>
            <w:pPr>
              <w:spacing w:line="500" w:lineRule="exact"/>
              <w:rPr>
                <w:rFonts w:asciiTheme="minorEastAsia" w:hAnsiTheme="minorEastAsia" w:eastAsiaTheme="minorEastAsia" w:cstheme="minorEastAsia"/>
                <w:bCs/>
                <w:color w:val="000000" w:themeColor="text1"/>
                <w:sz w:val="24"/>
                <w:szCs w:val="24"/>
                <w14:textFill>
                  <w14:solidFill>
                    <w14:schemeClr w14:val="tx1"/>
                  </w14:solidFill>
                </w14:textFill>
              </w:rPr>
            </w:pPr>
          </w:p>
          <w:p>
            <w:pPr>
              <w:spacing w:line="500" w:lineRule="exact"/>
              <w:rPr>
                <w:rFonts w:asciiTheme="minorEastAsia" w:hAnsiTheme="minorEastAsia" w:eastAsiaTheme="minorEastAsia" w:cstheme="minorEastAsia"/>
                <w:bCs/>
                <w:color w:val="000000" w:themeColor="text1"/>
                <w:sz w:val="24"/>
                <w:szCs w:val="24"/>
                <w14:textFill>
                  <w14:solidFill>
                    <w14:schemeClr w14:val="tx1"/>
                  </w14:solidFill>
                </w14:textFill>
              </w:rPr>
            </w:pPr>
          </w:p>
          <w:p>
            <w:pPr>
              <w:spacing w:line="500" w:lineRule="exact"/>
              <w:jc w:val="center"/>
              <w:rPr>
                <w:rFonts w:asciiTheme="minorEastAsia" w:hAnsiTheme="minorEastAsia" w:eastAsiaTheme="minorEastAsia" w:cstheme="minorEastAsia"/>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Cs/>
                <w:color w:val="000000" w:themeColor="text1"/>
                <w:sz w:val="24"/>
                <w:szCs w:val="24"/>
                <w14:textFill>
                  <w14:solidFill>
                    <w14:schemeClr w14:val="tx1"/>
                  </w14:solidFill>
                </w14:textFill>
              </w:rPr>
              <w:t>初步评审</w:t>
            </w:r>
          </w:p>
        </w:tc>
        <w:tc>
          <w:tcPr>
            <w:tcW w:w="1016" w:type="dxa"/>
            <w:vMerge w:val="restart"/>
            <w:vAlign w:val="center"/>
          </w:tcPr>
          <w:p>
            <w:pPr>
              <w:spacing w:line="500" w:lineRule="exact"/>
              <w:jc w:val="center"/>
              <w:rPr>
                <w:rFonts w:asciiTheme="minorEastAsia" w:hAnsiTheme="minorEastAsia" w:eastAsiaTheme="minorEastAsia" w:cstheme="minorEastAsia"/>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Cs/>
                <w:color w:val="000000" w:themeColor="text1"/>
                <w:sz w:val="24"/>
                <w:szCs w:val="24"/>
                <w14:textFill>
                  <w14:solidFill>
                    <w14:schemeClr w14:val="tx1"/>
                  </w14:solidFill>
                </w14:textFill>
              </w:rPr>
              <w:t>资格性审查</w:t>
            </w:r>
          </w:p>
        </w:tc>
        <w:tc>
          <w:tcPr>
            <w:tcW w:w="1789" w:type="dxa"/>
            <w:vMerge w:val="restart"/>
            <w:vAlign w:val="center"/>
          </w:tcPr>
          <w:p>
            <w:pPr>
              <w:spacing w:line="500" w:lineRule="exact"/>
              <w:rPr>
                <w:rFonts w:asciiTheme="minorEastAsia" w:hAnsiTheme="minorEastAsia" w:eastAsiaTheme="minorEastAsia" w:cstheme="minorEastAsia"/>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Cs/>
                <w:color w:val="000000" w:themeColor="text1"/>
                <w:sz w:val="24"/>
                <w:szCs w:val="24"/>
                <w14:textFill>
                  <w14:solidFill>
                    <w14:schemeClr w14:val="tx1"/>
                  </w14:solidFill>
                </w14:textFill>
              </w:rPr>
              <w:t>中华人民共和国政府采购法第二十二条规定</w:t>
            </w:r>
          </w:p>
        </w:tc>
        <w:tc>
          <w:tcPr>
            <w:tcW w:w="4762" w:type="dxa"/>
            <w:vAlign w:val="center"/>
          </w:tcPr>
          <w:p>
            <w:pPr>
              <w:spacing w:line="500" w:lineRule="exact"/>
              <w:rPr>
                <w:rFonts w:asciiTheme="minorEastAsia" w:hAnsiTheme="minorEastAsia" w:eastAsiaTheme="minorEastAsia" w:cstheme="minorEastAsia"/>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Cs/>
                <w:color w:val="000000" w:themeColor="text1"/>
                <w:sz w:val="24"/>
                <w:szCs w:val="24"/>
                <w14:textFill>
                  <w14:solidFill>
                    <w14:schemeClr w14:val="tx1"/>
                  </w14:solidFill>
                </w14:textFill>
              </w:rPr>
              <w:t>具有独立承担民事责任的能力，须提供相关证明材料，详见响应文件格式。</w:t>
            </w:r>
          </w:p>
        </w:tc>
        <w:tc>
          <w:tcPr>
            <w:tcW w:w="591" w:type="dxa"/>
            <w:vAlign w:val="center"/>
          </w:tcPr>
          <w:p>
            <w:pPr>
              <w:spacing w:line="500" w:lineRule="exact"/>
              <w:rPr>
                <w:rFonts w:asciiTheme="minorEastAsia" w:hAnsiTheme="minorEastAsia" w:eastAsiaTheme="minorEastAsia" w:cstheme="minorEastAsia"/>
                <w:bCs/>
                <w:color w:val="000000" w:themeColor="text1"/>
                <w:sz w:val="24"/>
                <w:szCs w:val="24"/>
                <w14:textFill>
                  <w14:solidFill>
                    <w14:schemeClr w14:val="tx1"/>
                  </w14:solidFill>
                </w14:textFill>
              </w:rPr>
            </w:pPr>
          </w:p>
        </w:tc>
        <w:tc>
          <w:tcPr>
            <w:tcW w:w="630" w:type="dxa"/>
            <w:vAlign w:val="center"/>
          </w:tcPr>
          <w:p>
            <w:pPr>
              <w:spacing w:line="500" w:lineRule="exact"/>
              <w:rPr>
                <w:rFonts w:asciiTheme="minorEastAsia" w:hAnsiTheme="minorEastAsia" w:eastAsiaTheme="minorEastAsia" w:cstheme="minorEastAsia"/>
                <w:bCs/>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202" w:type="dxa"/>
            <w:vMerge w:val="continue"/>
            <w:vAlign w:val="center"/>
          </w:tcPr>
          <w:p>
            <w:pPr>
              <w:spacing w:line="500" w:lineRule="exact"/>
              <w:rPr>
                <w:rFonts w:asciiTheme="minorEastAsia" w:hAnsiTheme="minorEastAsia" w:eastAsiaTheme="minorEastAsia" w:cstheme="minorEastAsia"/>
                <w:bCs/>
                <w:color w:val="000000" w:themeColor="text1"/>
                <w:sz w:val="24"/>
                <w:szCs w:val="24"/>
                <w14:textFill>
                  <w14:solidFill>
                    <w14:schemeClr w14:val="tx1"/>
                  </w14:solidFill>
                </w14:textFill>
              </w:rPr>
            </w:pPr>
          </w:p>
        </w:tc>
        <w:tc>
          <w:tcPr>
            <w:tcW w:w="1016" w:type="dxa"/>
            <w:vMerge w:val="continue"/>
            <w:vAlign w:val="center"/>
          </w:tcPr>
          <w:p>
            <w:pPr>
              <w:spacing w:line="500" w:lineRule="exact"/>
              <w:rPr>
                <w:rFonts w:asciiTheme="minorEastAsia" w:hAnsiTheme="minorEastAsia" w:eastAsiaTheme="minorEastAsia" w:cstheme="minorEastAsia"/>
                <w:bCs/>
                <w:color w:val="000000" w:themeColor="text1"/>
                <w:sz w:val="24"/>
                <w:szCs w:val="24"/>
                <w14:textFill>
                  <w14:solidFill>
                    <w14:schemeClr w14:val="tx1"/>
                  </w14:solidFill>
                </w14:textFill>
              </w:rPr>
            </w:pPr>
          </w:p>
        </w:tc>
        <w:tc>
          <w:tcPr>
            <w:tcW w:w="1789" w:type="dxa"/>
            <w:vMerge w:val="continue"/>
            <w:vAlign w:val="center"/>
          </w:tcPr>
          <w:p>
            <w:pPr>
              <w:spacing w:line="500" w:lineRule="exact"/>
              <w:rPr>
                <w:rFonts w:asciiTheme="minorEastAsia" w:hAnsiTheme="minorEastAsia" w:eastAsiaTheme="minorEastAsia" w:cstheme="minorEastAsia"/>
                <w:bCs/>
                <w:color w:val="000000" w:themeColor="text1"/>
                <w:sz w:val="24"/>
                <w:szCs w:val="24"/>
                <w14:textFill>
                  <w14:solidFill>
                    <w14:schemeClr w14:val="tx1"/>
                  </w14:solidFill>
                </w14:textFill>
              </w:rPr>
            </w:pPr>
          </w:p>
        </w:tc>
        <w:tc>
          <w:tcPr>
            <w:tcW w:w="4762" w:type="dxa"/>
            <w:vAlign w:val="center"/>
          </w:tcPr>
          <w:p>
            <w:pPr>
              <w:spacing w:line="500" w:lineRule="exact"/>
              <w:rPr>
                <w:rFonts w:asciiTheme="minorEastAsia" w:hAnsiTheme="minorEastAsia" w:eastAsiaTheme="minorEastAsia" w:cstheme="minorEastAsia"/>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Cs/>
                <w:color w:val="000000" w:themeColor="text1"/>
                <w:sz w:val="24"/>
                <w:szCs w:val="24"/>
                <w14:textFill>
                  <w14:solidFill>
                    <w14:schemeClr w14:val="tx1"/>
                  </w14:solidFill>
                </w14:textFill>
              </w:rPr>
              <w:t>具有良好的商业信誉和健全的财务会计制度，须提供相关证明材料，详见响应文件格式。</w:t>
            </w:r>
          </w:p>
        </w:tc>
        <w:tc>
          <w:tcPr>
            <w:tcW w:w="591" w:type="dxa"/>
            <w:vAlign w:val="center"/>
          </w:tcPr>
          <w:p>
            <w:pPr>
              <w:spacing w:line="500" w:lineRule="exact"/>
              <w:rPr>
                <w:rFonts w:asciiTheme="minorEastAsia" w:hAnsiTheme="minorEastAsia" w:eastAsiaTheme="minorEastAsia" w:cstheme="minorEastAsia"/>
                <w:bCs/>
                <w:color w:val="000000" w:themeColor="text1"/>
                <w:sz w:val="24"/>
                <w:szCs w:val="24"/>
                <w14:textFill>
                  <w14:solidFill>
                    <w14:schemeClr w14:val="tx1"/>
                  </w14:solidFill>
                </w14:textFill>
              </w:rPr>
            </w:pPr>
          </w:p>
        </w:tc>
        <w:tc>
          <w:tcPr>
            <w:tcW w:w="630" w:type="dxa"/>
            <w:vAlign w:val="center"/>
          </w:tcPr>
          <w:p>
            <w:pPr>
              <w:spacing w:line="500" w:lineRule="exact"/>
              <w:rPr>
                <w:rFonts w:asciiTheme="minorEastAsia" w:hAnsiTheme="minorEastAsia" w:eastAsiaTheme="minorEastAsia" w:cstheme="minorEastAsia"/>
                <w:bCs/>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202" w:type="dxa"/>
            <w:vMerge w:val="continue"/>
            <w:vAlign w:val="center"/>
          </w:tcPr>
          <w:p>
            <w:pPr>
              <w:spacing w:line="500" w:lineRule="exact"/>
              <w:rPr>
                <w:rFonts w:asciiTheme="minorEastAsia" w:hAnsiTheme="minorEastAsia" w:eastAsiaTheme="minorEastAsia" w:cstheme="minorEastAsia"/>
                <w:bCs/>
                <w:color w:val="000000" w:themeColor="text1"/>
                <w:sz w:val="24"/>
                <w:szCs w:val="24"/>
                <w14:textFill>
                  <w14:solidFill>
                    <w14:schemeClr w14:val="tx1"/>
                  </w14:solidFill>
                </w14:textFill>
              </w:rPr>
            </w:pPr>
          </w:p>
        </w:tc>
        <w:tc>
          <w:tcPr>
            <w:tcW w:w="1016" w:type="dxa"/>
            <w:vMerge w:val="continue"/>
            <w:vAlign w:val="center"/>
          </w:tcPr>
          <w:p>
            <w:pPr>
              <w:spacing w:line="500" w:lineRule="exact"/>
              <w:rPr>
                <w:rFonts w:asciiTheme="minorEastAsia" w:hAnsiTheme="minorEastAsia" w:eastAsiaTheme="minorEastAsia" w:cstheme="minorEastAsia"/>
                <w:bCs/>
                <w:color w:val="000000" w:themeColor="text1"/>
                <w:sz w:val="24"/>
                <w:szCs w:val="24"/>
                <w14:textFill>
                  <w14:solidFill>
                    <w14:schemeClr w14:val="tx1"/>
                  </w14:solidFill>
                </w14:textFill>
              </w:rPr>
            </w:pPr>
          </w:p>
        </w:tc>
        <w:tc>
          <w:tcPr>
            <w:tcW w:w="1789" w:type="dxa"/>
            <w:vMerge w:val="continue"/>
            <w:vAlign w:val="center"/>
          </w:tcPr>
          <w:p>
            <w:pPr>
              <w:spacing w:line="500" w:lineRule="exact"/>
              <w:rPr>
                <w:rFonts w:asciiTheme="minorEastAsia" w:hAnsiTheme="minorEastAsia" w:eastAsiaTheme="minorEastAsia" w:cstheme="minorEastAsia"/>
                <w:bCs/>
                <w:color w:val="000000" w:themeColor="text1"/>
                <w:sz w:val="24"/>
                <w:szCs w:val="24"/>
                <w14:textFill>
                  <w14:solidFill>
                    <w14:schemeClr w14:val="tx1"/>
                  </w14:solidFill>
                </w14:textFill>
              </w:rPr>
            </w:pPr>
          </w:p>
        </w:tc>
        <w:tc>
          <w:tcPr>
            <w:tcW w:w="4762" w:type="dxa"/>
            <w:vAlign w:val="center"/>
          </w:tcPr>
          <w:p>
            <w:pPr>
              <w:spacing w:line="500" w:lineRule="exact"/>
              <w:rPr>
                <w:rFonts w:asciiTheme="minorEastAsia" w:hAnsiTheme="minorEastAsia" w:eastAsiaTheme="minorEastAsia" w:cstheme="minorEastAsia"/>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Cs/>
                <w:color w:val="000000" w:themeColor="text1"/>
                <w:sz w:val="24"/>
                <w:szCs w:val="24"/>
                <w:lang w:val="zh-CN"/>
                <w14:textFill>
                  <w14:solidFill>
                    <w14:schemeClr w14:val="tx1"/>
                  </w14:solidFill>
                </w14:textFill>
              </w:rPr>
              <w:t>具有履行合同所必须的设备和专业技术能力，</w:t>
            </w:r>
            <w:r>
              <w:rPr>
                <w:rFonts w:hint="eastAsia" w:asciiTheme="minorEastAsia" w:hAnsiTheme="minorEastAsia" w:eastAsiaTheme="minorEastAsia" w:cstheme="minorEastAsia"/>
                <w:bCs/>
                <w:color w:val="000000" w:themeColor="text1"/>
                <w:sz w:val="24"/>
                <w:szCs w:val="24"/>
                <w14:textFill>
                  <w14:solidFill>
                    <w14:schemeClr w14:val="tx1"/>
                  </w14:solidFill>
                </w14:textFill>
              </w:rPr>
              <w:t>须提供相关证明材料，详见响应文件格式。</w:t>
            </w:r>
          </w:p>
        </w:tc>
        <w:tc>
          <w:tcPr>
            <w:tcW w:w="591" w:type="dxa"/>
            <w:vAlign w:val="center"/>
          </w:tcPr>
          <w:p>
            <w:pPr>
              <w:spacing w:line="500" w:lineRule="exact"/>
              <w:rPr>
                <w:rFonts w:asciiTheme="minorEastAsia" w:hAnsiTheme="minorEastAsia" w:eastAsiaTheme="minorEastAsia" w:cstheme="minorEastAsia"/>
                <w:bCs/>
                <w:color w:val="000000" w:themeColor="text1"/>
                <w:sz w:val="24"/>
                <w:szCs w:val="24"/>
                <w14:textFill>
                  <w14:solidFill>
                    <w14:schemeClr w14:val="tx1"/>
                  </w14:solidFill>
                </w14:textFill>
              </w:rPr>
            </w:pPr>
          </w:p>
        </w:tc>
        <w:tc>
          <w:tcPr>
            <w:tcW w:w="630" w:type="dxa"/>
            <w:vAlign w:val="center"/>
          </w:tcPr>
          <w:p>
            <w:pPr>
              <w:spacing w:line="500" w:lineRule="exact"/>
              <w:rPr>
                <w:rFonts w:asciiTheme="minorEastAsia" w:hAnsiTheme="minorEastAsia" w:eastAsiaTheme="minorEastAsia" w:cstheme="minorEastAsia"/>
                <w:bCs/>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202" w:type="dxa"/>
            <w:vMerge w:val="continue"/>
            <w:vAlign w:val="center"/>
          </w:tcPr>
          <w:p>
            <w:pPr>
              <w:spacing w:line="500" w:lineRule="exact"/>
              <w:rPr>
                <w:rFonts w:asciiTheme="minorEastAsia" w:hAnsiTheme="minorEastAsia" w:eastAsiaTheme="minorEastAsia" w:cstheme="minorEastAsia"/>
                <w:bCs/>
                <w:color w:val="000000" w:themeColor="text1"/>
                <w:sz w:val="24"/>
                <w:szCs w:val="24"/>
                <w14:textFill>
                  <w14:solidFill>
                    <w14:schemeClr w14:val="tx1"/>
                  </w14:solidFill>
                </w14:textFill>
              </w:rPr>
            </w:pPr>
          </w:p>
        </w:tc>
        <w:tc>
          <w:tcPr>
            <w:tcW w:w="1016" w:type="dxa"/>
            <w:vMerge w:val="continue"/>
            <w:vAlign w:val="center"/>
          </w:tcPr>
          <w:p>
            <w:pPr>
              <w:spacing w:line="500" w:lineRule="exact"/>
              <w:rPr>
                <w:rFonts w:asciiTheme="minorEastAsia" w:hAnsiTheme="minorEastAsia" w:eastAsiaTheme="minorEastAsia" w:cstheme="minorEastAsia"/>
                <w:bCs/>
                <w:color w:val="000000" w:themeColor="text1"/>
                <w:sz w:val="24"/>
                <w:szCs w:val="24"/>
                <w14:textFill>
                  <w14:solidFill>
                    <w14:schemeClr w14:val="tx1"/>
                  </w14:solidFill>
                </w14:textFill>
              </w:rPr>
            </w:pPr>
          </w:p>
        </w:tc>
        <w:tc>
          <w:tcPr>
            <w:tcW w:w="1789" w:type="dxa"/>
            <w:vMerge w:val="continue"/>
            <w:vAlign w:val="center"/>
          </w:tcPr>
          <w:p>
            <w:pPr>
              <w:spacing w:line="500" w:lineRule="exact"/>
              <w:rPr>
                <w:rFonts w:asciiTheme="minorEastAsia" w:hAnsiTheme="minorEastAsia" w:eastAsiaTheme="minorEastAsia" w:cstheme="minorEastAsia"/>
                <w:bCs/>
                <w:color w:val="000000" w:themeColor="text1"/>
                <w:sz w:val="24"/>
                <w:szCs w:val="24"/>
                <w:lang w:val="zh-CN"/>
                <w14:textFill>
                  <w14:solidFill>
                    <w14:schemeClr w14:val="tx1"/>
                  </w14:solidFill>
                </w14:textFill>
              </w:rPr>
            </w:pPr>
          </w:p>
        </w:tc>
        <w:tc>
          <w:tcPr>
            <w:tcW w:w="4762" w:type="dxa"/>
            <w:vAlign w:val="center"/>
          </w:tcPr>
          <w:p>
            <w:pPr>
              <w:spacing w:line="500" w:lineRule="exact"/>
              <w:rPr>
                <w:rFonts w:asciiTheme="minorEastAsia" w:hAnsiTheme="minorEastAsia" w:eastAsiaTheme="minorEastAsia" w:cstheme="minorEastAsia"/>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Cs/>
                <w:color w:val="000000" w:themeColor="text1"/>
                <w:sz w:val="24"/>
                <w:szCs w:val="24"/>
                <w:lang w:val="zh-CN"/>
                <w14:textFill>
                  <w14:solidFill>
                    <w14:schemeClr w14:val="tx1"/>
                  </w14:solidFill>
                </w14:textFill>
              </w:rPr>
              <w:t>有依法缴纳税收和社会保障金的良好记录，</w:t>
            </w:r>
            <w:r>
              <w:rPr>
                <w:rFonts w:hint="eastAsia" w:asciiTheme="minorEastAsia" w:hAnsiTheme="minorEastAsia" w:eastAsiaTheme="minorEastAsia" w:cstheme="minorEastAsia"/>
                <w:bCs/>
                <w:color w:val="000000" w:themeColor="text1"/>
                <w:sz w:val="24"/>
                <w:szCs w:val="24"/>
                <w14:textFill>
                  <w14:solidFill>
                    <w14:schemeClr w14:val="tx1"/>
                  </w14:solidFill>
                </w14:textFill>
              </w:rPr>
              <w:t>须提供相关证明材料，详见响应文件格式。</w:t>
            </w:r>
          </w:p>
        </w:tc>
        <w:tc>
          <w:tcPr>
            <w:tcW w:w="591" w:type="dxa"/>
            <w:vAlign w:val="center"/>
          </w:tcPr>
          <w:p>
            <w:pPr>
              <w:spacing w:line="500" w:lineRule="exact"/>
              <w:rPr>
                <w:rFonts w:asciiTheme="minorEastAsia" w:hAnsiTheme="minorEastAsia" w:eastAsiaTheme="minorEastAsia" w:cstheme="minorEastAsia"/>
                <w:bCs/>
                <w:color w:val="000000" w:themeColor="text1"/>
                <w:sz w:val="24"/>
                <w:szCs w:val="24"/>
                <w14:textFill>
                  <w14:solidFill>
                    <w14:schemeClr w14:val="tx1"/>
                  </w14:solidFill>
                </w14:textFill>
              </w:rPr>
            </w:pPr>
          </w:p>
        </w:tc>
        <w:tc>
          <w:tcPr>
            <w:tcW w:w="630" w:type="dxa"/>
            <w:vAlign w:val="center"/>
          </w:tcPr>
          <w:p>
            <w:pPr>
              <w:spacing w:line="500" w:lineRule="exact"/>
              <w:rPr>
                <w:rFonts w:asciiTheme="minorEastAsia" w:hAnsiTheme="minorEastAsia" w:eastAsiaTheme="minorEastAsia" w:cstheme="minorEastAsia"/>
                <w:bCs/>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202" w:type="dxa"/>
            <w:vMerge w:val="continue"/>
            <w:vAlign w:val="center"/>
          </w:tcPr>
          <w:p>
            <w:pPr>
              <w:spacing w:line="500" w:lineRule="exact"/>
              <w:rPr>
                <w:rFonts w:asciiTheme="minorEastAsia" w:hAnsiTheme="minorEastAsia" w:eastAsiaTheme="minorEastAsia" w:cstheme="minorEastAsia"/>
                <w:bCs/>
                <w:color w:val="000000" w:themeColor="text1"/>
                <w:sz w:val="24"/>
                <w:szCs w:val="24"/>
                <w14:textFill>
                  <w14:solidFill>
                    <w14:schemeClr w14:val="tx1"/>
                  </w14:solidFill>
                </w14:textFill>
              </w:rPr>
            </w:pPr>
          </w:p>
        </w:tc>
        <w:tc>
          <w:tcPr>
            <w:tcW w:w="1016" w:type="dxa"/>
            <w:vMerge w:val="continue"/>
            <w:vAlign w:val="center"/>
          </w:tcPr>
          <w:p>
            <w:pPr>
              <w:spacing w:line="500" w:lineRule="exact"/>
              <w:rPr>
                <w:rFonts w:asciiTheme="minorEastAsia" w:hAnsiTheme="minorEastAsia" w:eastAsiaTheme="minorEastAsia" w:cstheme="minorEastAsia"/>
                <w:bCs/>
                <w:color w:val="000000" w:themeColor="text1"/>
                <w:sz w:val="24"/>
                <w:szCs w:val="24"/>
                <w14:textFill>
                  <w14:solidFill>
                    <w14:schemeClr w14:val="tx1"/>
                  </w14:solidFill>
                </w14:textFill>
              </w:rPr>
            </w:pPr>
          </w:p>
        </w:tc>
        <w:tc>
          <w:tcPr>
            <w:tcW w:w="1789" w:type="dxa"/>
            <w:vMerge w:val="continue"/>
            <w:vAlign w:val="center"/>
          </w:tcPr>
          <w:p>
            <w:pPr>
              <w:spacing w:line="500" w:lineRule="exact"/>
              <w:rPr>
                <w:rFonts w:asciiTheme="minorEastAsia" w:hAnsiTheme="minorEastAsia" w:eastAsiaTheme="minorEastAsia" w:cstheme="minorEastAsia"/>
                <w:bCs/>
                <w:color w:val="000000" w:themeColor="text1"/>
                <w:sz w:val="24"/>
                <w:szCs w:val="24"/>
                <w:lang w:val="zh-CN"/>
                <w14:textFill>
                  <w14:solidFill>
                    <w14:schemeClr w14:val="tx1"/>
                  </w14:solidFill>
                </w14:textFill>
              </w:rPr>
            </w:pPr>
          </w:p>
        </w:tc>
        <w:tc>
          <w:tcPr>
            <w:tcW w:w="4762" w:type="dxa"/>
            <w:vAlign w:val="center"/>
          </w:tcPr>
          <w:p>
            <w:pPr>
              <w:spacing w:line="500" w:lineRule="exact"/>
              <w:rPr>
                <w:rFonts w:asciiTheme="minorEastAsia" w:hAnsiTheme="minorEastAsia" w:eastAsiaTheme="minorEastAsia" w:cstheme="minorEastAsia"/>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Cs/>
                <w:color w:val="000000" w:themeColor="text1"/>
                <w:sz w:val="24"/>
                <w:szCs w:val="24"/>
                <w:lang w:val="zh-CN"/>
                <w14:textFill>
                  <w14:solidFill>
                    <w14:schemeClr w14:val="tx1"/>
                  </w14:solidFill>
                </w14:textFill>
              </w:rPr>
              <w:t>参加政府采购活动近3年内，在经营活动中没有重大违法记录，</w:t>
            </w:r>
            <w:r>
              <w:rPr>
                <w:rFonts w:hint="eastAsia" w:asciiTheme="minorEastAsia" w:hAnsiTheme="minorEastAsia" w:eastAsiaTheme="minorEastAsia" w:cstheme="minorEastAsia"/>
                <w:bCs/>
                <w:color w:val="000000" w:themeColor="text1"/>
                <w:sz w:val="24"/>
                <w:szCs w:val="24"/>
                <w14:textFill>
                  <w14:solidFill>
                    <w14:schemeClr w14:val="tx1"/>
                  </w14:solidFill>
                </w14:textFill>
              </w:rPr>
              <w:t>须提供相关证明材料，详见响应文件格式。</w:t>
            </w:r>
          </w:p>
        </w:tc>
        <w:tc>
          <w:tcPr>
            <w:tcW w:w="591" w:type="dxa"/>
            <w:vAlign w:val="center"/>
          </w:tcPr>
          <w:p>
            <w:pPr>
              <w:spacing w:line="500" w:lineRule="exact"/>
              <w:rPr>
                <w:rFonts w:asciiTheme="minorEastAsia" w:hAnsiTheme="minorEastAsia" w:eastAsiaTheme="minorEastAsia" w:cstheme="minorEastAsia"/>
                <w:bCs/>
                <w:color w:val="000000" w:themeColor="text1"/>
                <w:sz w:val="24"/>
                <w:szCs w:val="24"/>
                <w14:textFill>
                  <w14:solidFill>
                    <w14:schemeClr w14:val="tx1"/>
                  </w14:solidFill>
                </w14:textFill>
              </w:rPr>
            </w:pPr>
          </w:p>
        </w:tc>
        <w:tc>
          <w:tcPr>
            <w:tcW w:w="630" w:type="dxa"/>
            <w:vAlign w:val="center"/>
          </w:tcPr>
          <w:p>
            <w:pPr>
              <w:spacing w:line="500" w:lineRule="exact"/>
              <w:rPr>
                <w:rFonts w:asciiTheme="minorEastAsia" w:hAnsiTheme="minorEastAsia" w:eastAsiaTheme="minorEastAsia" w:cstheme="minorEastAsia"/>
                <w:bCs/>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202" w:type="dxa"/>
            <w:vMerge w:val="continue"/>
            <w:vAlign w:val="center"/>
          </w:tcPr>
          <w:p>
            <w:pPr>
              <w:spacing w:line="500" w:lineRule="exact"/>
              <w:rPr>
                <w:rFonts w:asciiTheme="minorEastAsia" w:hAnsiTheme="minorEastAsia" w:eastAsiaTheme="minorEastAsia" w:cstheme="minorEastAsia"/>
                <w:bCs/>
                <w:color w:val="000000" w:themeColor="text1"/>
                <w:sz w:val="24"/>
                <w:szCs w:val="24"/>
                <w14:textFill>
                  <w14:solidFill>
                    <w14:schemeClr w14:val="tx1"/>
                  </w14:solidFill>
                </w14:textFill>
              </w:rPr>
            </w:pPr>
          </w:p>
        </w:tc>
        <w:tc>
          <w:tcPr>
            <w:tcW w:w="1016" w:type="dxa"/>
            <w:vMerge w:val="continue"/>
            <w:vAlign w:val="center"/>
          </w:tcPr>
          <w:p>
            <w:pPr>
              <w:spacing w:line="500" w:lineRule="exact"/>
              <w:rPr>
                <w:rFonts w:asciiTheme="minorEastAsia" w:hAnsiTheme="minorEastAsia" w:eastAsiaTheme="minorEastAsia" w:cstheme="minorEastAsia"/>
                <w:bCs/>
                <w:color w:val="000000" w:themeColor="text1"/>
                <w:sz w:val="24"/>
                <w:szCs w:val="24"/>
                <w14:textFill>
                  <w14:solidFill>
                    <w14:schemeClr w14:val="tx1"/>
                  </w14:solidFill>
                </w14:textFill>
              </w:rPr>
            </w:pPr>
          </w:p>
        </w:tc>
        <w:tc>
          <w:tcPr>
            <w:tcW w:w="1789" w:type="dxa"/>
            <w:vAlign w:val="center"/>
          </w:tcPr>
          <w:p>
            <w:pPr>
              <w:spacing w:line="500" w:lineRule="exact"/>
              <w:rPr>
                <w:rFonts w:asciiTheme="minorEastAsia" w:hAnsiTheme="minorEastAsia" w:eastAsiaTheme="minorEastAsia" w:cstheme="minorEastAsia"/>
                <w:bCs/>
                <w:color w:val="000000" w:themeColor="text1"/>
                <w:sz w:val="24"/>
                <w:szCs w:val="24"/>
                <w:lang w:val="zh-CN"/>
                <w14:textFill>
                  <w14:solidFill>
                    <w14:schemeClr w14:val="tx1"/>
                  </w14:solidFill>
                </w14:textFill>
              </w:rPr>
            </w:pPr>
            <w:r>
              <w:rPr>
                <w:rFonts w:hint="eastAsia" w:asciiTheme="minorEastAsia" w:hAnsiTheme="minorEastAsia" w:eastAsiaTheme="minorEastAsia" w:cstheme="minorEastAsia"/>
                <w:bCs/>
                <w:color w:val="000000" w:themeColor="text1"/>
                <w:sz w:val="24"/>
                <w:szCs w:val="24"/>
                <w14:textFill>
                  <w14:solidFill>
                    <w14:schemeClr w14:val="tx1"/>
                  </w14:solidFill>
                </w14:textFill>
              </w:rPr>
              <w:t>投标文件的格式</w:t>
            </w:r>
          </w:p>
        </w:tc>
        <w:tc>
          <w:tcPr>
            <w:tcW w:w="4762" w:type="dxa"/>
            <w:vAlign w:val="center"/>
          </w:tcPr>
          <w:p>
            <w:pPr>
              <w:spacing w:line="500" w:lineRule="exact"/>
              <w:rPr>
                <w:rFonts w:asciiTheme="minorEastAsia" w:hAnsiTheme="minorEastAsia" w:eastAsiaTheme="minorEastAsia" w:cstheme="minorEastAsia"/>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Cs/>
                <w:color w:val="000000" w:themeColor="text1"/>
                <w:sz w:val="24"/>
                <w:szCs w:val="24"/>
                <w14:textFill>
                  <w14:solidFill>
                    <w14:schemeClr w14:val="tx1"/>
                  </w14:solidFill>
                </w14:textFill>
              </w:rPr>
              <w:t>投标文件按招标文件规定格式完整提供，内容不全或关键字迹模糊、无法辨认的</w:t>
            </w:r>
          </w:p>
        </w:tc>
        <w:tc>
          <w:tcPr>
            <w:tcW w:w="591" w:type="dxa"/>
            <w:vAlign w:val="center"/>
          </w:tcPr>
          <w:p>
            <w:pPr>
              <w:spacing w:line="500" w:lineRule="exact"/>
              <w:rPr>
                <w:rFonts w:asciiTheme="minorEastAsia" w:hAnsiTheme="minorEastAsia" w:eastAsiaTheme="minorEastAsia" w:cstheme="minorEastAsia"/>
                <w:bCs/>
                <w:color w:val="000000" w:themeColor="text1"/>
                <w:sz w:val="24"/>
                <w:szCs w:val="24"/>
                <w14:textFill>
                  <w14:solidFill>
                    <w14:schemeClr w14:val="tx1"/>
                  </w14:solidFill>
                </w14:textFill>
              </w:rPr>
            </w:pPr>
          </w:p>
        </w:tc>
        <w:tc>
          <w:tcPr>
            <w:tcW w:w="630" w:type="dxa"/>
            <w:vAlign w:val="center"/>
          </w:tcPr>
          <w:p>
            <w:pPr>
              <w:spacing w:line="500" w:lineRule="exact"/>
              <w:rPr>
                <w:rFonts w:asciiTheme="minorEastAsia" w:hAnsiTheme="minorEastAsia" w:eastAsiaTheme="minorEastAsia" w:cstheme="minorEastAsia"/>
                <w:bCs/>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202" w:type="dxa"/>
            <w:vMerge w:val="continue"/>
            <w:vAlign w:val="center"/>
          </w:tcPr>
          <w:p>
            <w:pPr>
              <w:spacing w:line="500" w:lineRule="exact"/>
              <w:rPr>
                <w:rFonts w:asciiTheme="minorEastAsia" w:hAnsiTheme="minorEastAsia" w:eastAsiaTheme="minorEastAsia" w:cstheme="minorEastAsia"/>
                <w:bCs/>
                <w:color w:val="000000" w:themeColor="text1"/>
                <w:sz w:val="24"/>
                <w:szCs w:val="24"/>
                <w14:textFill>
                  <w14:solidFill>
                    <w14:schemeClr w14:val="tx1"/>
                  </w14:solidFill>
                </w14:textFill>
              </w:rPr>
            </w:pPr>
          </w:p>
        </w:tc>
        <w:tc>
          <w:tcPr>
            <w:tcW w:w="1016" w:type="dxa"/>
            <w:vMerge w:val="continue"/>
            <w:vAlign w:val="center"/>
          </w:tcPr>
          <w:p>
            <w:pPr>
              <w:spacing w:line="500" w:lineRule="exact"/>
              <w:rPr>
                <w:rFonts w:asciiTheme="minorEastAsia" w:hAnsiTheme="minorEastAsia" w:eastAsiaTheme="minorEastAsia" w:cstheme="minorEastAsia"/>
                <w:bCs/>
                <w:color w:val="000000" w:themeColor="text1"/>
                <w:sz w:val="24"/>
                <w:szCs w:val="24"/>
                <w14:textFill>
                  <w14:solidFill>
                    <w14:schemeClr w14:val="tx1"/>
                  </w14:solidFill>
                </w14:textFill>
              </w:rPr>
            </w:pPr>
          </w:p>
        </w:tc>
        <w:tc>
          <w:tcPr>
            <w:tcW w:w="1789" w:type="dxa"/>
            <w:vAlign w:val="center"/>
          </w:tcPr>
          <w:p>
            <w:pPr>
              <w:spacing w:line="500" w:lineRule="exact"/>
              <w:rPr>
                <w:rFonts w:asciiTheme="minorEastAsia" w:hAnsiTheme="minorEastAsia" w:eastAsiaTheme="minorEastAsia" w:cstheme="minorEastAsia"/>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Cs/>
                <w:color w:val="000000" w:themeColor="text1"/>
                <w:sz w:val="24"/>
                <w:szCs w:val="24"/>
                <w14:textFill>
                  <w14:solidFill>
                    <w14:schemeClr w14:val="tx1"/>
                  </w14:solidFill>
                </w14:textFill>
              </w:rPr>
              <w:t>投标保证金</w:t>
            </w:r>
          </w:p>
        </w:tc>
        <w:tc>
          <w:tcPr>
            <w:tcW w:w="4762" w:type="dxa"/>
            <w:vAlign w:val="center"/>
          </w:tcPr>
          <w:p>
            <w:pPr>
              <w:spacing w:line="500" w:lineRule="exact"/>
              <w:rPr>
                <w:rFonts w:asciiTheme="minorEastAsia" w:hAnsiTheme="minorEastAsia" w:eastAsiaTheme="minorEastAsia" w:cstheme="minorEastAsia"/>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Cs/>
                <w:color w:val="000000" w:themeColor="text1"/>
                <w:sz w:val="24"/>
                <w:szCs w:val="24"/>
                <w14:textFill>
                  <w14:solidFill>
                    <w14:schemeClr w14:val="tx1"/>
                  </w14:solidFill>
                </w14:textFill>
              </w:rPr>
              <w:t>符合本招标文件关于投标保证金的</w:t>
            </w:r>
            <w:r>
              <w:rPr>
                <w:rFonts w:hint="eastAsia" w:asciiTheme="minorEastAsia" w:hAnsiTheme="minorEastAsia" w:eastAsiaTheme="minorEastAsia" w:cstheme="minorEastAsia"/>
                <w:bCs/>
                <w:color w:val="000000" w:themeColor="text1"/>
                <w:sz w:val="24"/>
                <w:szCs w:val="24"/>
                <w:lang w:val="zh-CN"/>
                <w14:textFill>
                  <w14:solidFill>
                    <w14:schemeClr w14:val="tx1"/>
                  </w14:solidFill>
                </w14:textFill>
              </w:rPr>
              <w:t>规定</w:t>
            </w:r>
          </w:p>
        </w:tc>
        <w:tc>
          <w:tcPr>
            <w:tcW w:w="591" w:type="dxa"/>
            <w:vAlign w:val="center"/>
          </w:tcPr>
          <w:p>
            <w:pPr>
              <w:spacing w:line="500" w:lineRule="exact"/>
              <w:rPr>
                <w:rFonts w:asciiTheme="minorEastAsia" w:hAnsiTheme="minorEastAsia" w:eastAsiaTheme="minorEastAsia" w:cstheme="minorEastAsia"/>
                <w:bCs/>
                <w:color w:val="000000" w:themeColor="text1"/>
                <w:sz w:val="24"/>
                <w:szCs w:val="24"/>
                <w14:textFill>
                  <w14:solidFill>
                    <w14:schemeClr w14:val="tx1"/>
                  </w14:solidFill>
                </w14:textFill>
              </w:rPr>
            </w:pPr>
          </w:p>
        </w:tc>
        <w:tc>
          <w:tcPr>
            <w:tcW w:w="630" w:type="dxa"/>
            <w:vAlign w:val="center"/>
          </w:tcPr>
          <w:p>
            <w:pPr>
              <w:spacing w:line="500" w:lineRule="exact"/>
              <w:rPr>
                <w:rFonts w:asciiTheme="minorEastAsia" w:hAnsiTheme="minorEastAsia" w:eastAsiaTheme="minorEastAsia" w:cstheme="minorEastAsia"/>
                <w:bCs/>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202" w:type="dxa"/>
            <w:vMerge w:val="continue"/>
            <w:vAlign w:val="center"/>
          </w:tcPr>
          <w:p>
            <w:pPr>
              <w:spacing w:line="500" w:lineRule="exact"/>
              <w:rPr>
                <w:rFonts w:asciiTheme="minorEastAsia" w:hAnsiTheme="minorEastAsia" w:eastAsiaTheme="minorEastAsia" w:cstheme="minorEastAsia"/>
                <w:bCs/>
                <w:color w:val="000000" w:themeColor="text1"/>
                <w:sz w:val="24"/>
                <w:szCs w:val="24"/>
                <w14:textFill>
                  <w14:solidFill>
                    <w14:schemeClr w14:val="tx1"/>
                  </w14:solidFill>
                </w14:textFill>
              </w:rPr>
            </w:pPr>
          </w:p>
        </w:tc>
        <w:tc>
          <w:tcPr>
            <w:tcW w:w="1016" w:type="dxa"/>
            <w:vMerge w:val="restart"/>
            <w:vAlign w:val="center"/>
          </w:tcPr>
          <w:p>
            <w:pPr>
              <w:spacing w:line="500" w:lineRule="exact"/>
              <w:jc w:val="center"/>
              <w:rPr>
                <w:rFonts w:asciiTheme="minorEastAsia" w:hAnsiTheme="minorEastAsia" w:eastAsiaTheme="minorEastAsia" w:cstheme="minorEastAsia"/>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Cs/>
                <w:color w:val="000000" w:themeColor="text1"/>
                <w:sz w:val="24"/>
                <w:szCs w:val="24"/>
                <w14:textFill>
                  <w14:solidFill>
                    <w14:schemeClr w14:val="tx1"/>
                  </w14:solidFill>
                </w14:textFill>
              </w:rPr>
              <w:t>符合性检查</w:t>
            </w:r>
          </w:p>
        </w:tc>
        <w:tc>
          <w:tcPr>
            <w:tcW w:w="1789" w:type="dxa"/>
            <w:vAlign w:val="center"/>
          </w:tcPr>
          <w:p>
            <w:pPr>
              <w:spacing w:line="500" w:lineRule="exact"/>
              <w:rPr>
                <w:rFonts w:asciiTheme="minorEastAsia" w:hAnsiTheme="minorEastAsia" w:eastAsiaTheme="minorEastAsia" w:cstheme="minorEastAsia"/>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Cs/>
                <w:color w:val="000000" w:themeColor="text1"/>
                <w:sz w:val="24"/>
                <w:szCs w:val="24"/>
                <w14:textFill>
                  <w14:solidFill>
                    <w14:schemeClr w14:val="tx1"/>
                  </w14:solidFill>
                </w14:textFill>
              </w:rPr>
              <w:t>投标人名称</w:t>
            </w:r>
          </w:p>
        </w:tc>
        <w:tc>
          <w:tcPr>
            <w:tcW w:w="4762" w:type="dxa"/>
            <w:vAlign w:val="center"/>
          </w:tcPr>
          <w:p>
            <w:pPr>
              <w:spacing w:line="500" w:lineRule="exact"/>
              <w:rPr>
                <w:rFonts w:asciiTheme="minorEastAsia" w:hAnsiTheme="minorEastAsia" w:eastAsiaTheme="minorEastAsia" w:cstheme="minorEastAsia"/>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Cs/>
                <w:color w:val="000000" w:themeColor="text1"/>
                <w:sz w:val="24"/>
                <w:szCs w:val="24"/>
                <w14:textFill>
                  <w14:solidFill>
                    <w14:schemeClr w14:val="tx1"/>
                  </w14:solidFill>
                </w14:textFill>
              </w:rPr>
              <w:t>是否与营业执照、税务登记证、资质证书一致</w:t>
            </w:r>
          </w:p>
        </w:tc>
        <w:tc>
          <w:tcPr>
            <w:tcW w:w="591" w:type="dxa"/>
            <w:vAlign w:val="center"/>
          </w:tcPr>
          <w:p>
            <w:pPr>
              <w:spacing w:line="500" w:lineRule="exact"/>
              <w:rPr>
                <w:rFonts w:asciiTheme="minorEastAsia" w:hAnsiTheme="minorEastAsia" w:eastAsiaTheme="minorEastAsia" w:cstheme="minorEastAsia"/>
                <w:bCs/>
                <w:color w:val="000000" w:themeColor="text1"/>
                <w:sz w:val="24"/>
                <w:szCs w:val="24"/>
                <w14:textFill>
                  <w14:solidFill>
                    <w14:schemeClr w14:val="tx1"/>
                  </w14:solidFill>
                </w14:textFill>
              </w:rPr>
            </w:pPr>
          </w:p>
        </w:tc>
        <w:tc>
          <w:tcPr>
            <w:tcW w:w="630" w:type="dxa"/>
            <w:vAlign w:val="center"/>
          </w:tcPr>
          <w:p>
            <w:pPr>
              <w:spacing w:line="500" w:lineRule="exact"/>
              <w:rPr>
                <w:rFonts w:asciiTheme="minorEastAsia" w:hAnsiTheme="minorEastAsia" w:eastAsiaTheme="minorEastAsia" w:cstheme="minorEastAsia"/>
                <w:bCs/>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202" w:type="dxa"/>
            <w:vMerge w:val="continue"/>
            <w:vAlign w:val="center"/>
          </w:tcPr>
          <w:p>
            <w:pPr>
              <w:spacing w:line="500" w:lineRule="exact"/>
              <w:rPr>
                <w:rFonts w:asciiTheme="minorEastAsia" w:hAnsiTheme="minorEastAsia" w:eastAsiaTheme="minorEastAsia" w:cstheme="minorEastAsia"/>
                <w:bCs/>
                <w:color w:val="000000" w:themeColor="text1"/>
                <w:sz w:val="24"/>
                <w:szCs w:val="24"/>
                <w14:textFill>
                  <w14:solidFill>
                    <w14:schemeClr w14:val="tx1"/>
                  </w14:solidFill>
                </w14:textFill>
              </w:rPr>
            </w:pPr>
          </w:p>
        </w:tc>
        <w:tc>
          <w:tcPr>
            <w:tcW w:w="1016" w:type="dxa"/>
            <w:vMerge w:val="continue"/>
            <w:vAlign w:val="center"/>
          </w:tcPr>
          <w:p>
            <w:pPr>
              <w:spacing w:line="500" w:lineRule="exact"/>
              <w:rPr>
                <w:rFonts w:asciiTheme="minorEastAsia" w:hAnsiTheme="minorEastAsia" w:eastAsiaTheme="minorEastAsia" w:cstheme="minorEastAsia"/>
                <w:bCs/>
                <w:color w:val="000000" w:themeColor="text1"/>
                <w:sz w:val="24"/>
                <w:szCs w:val="24"/>
                <w14:textFill>
                  <w14:solidFill>
                    <w14:schemeClr w14:val="tx1"/>
                  </w14:solidFill>
                </w14:textFill>
              </w:rPr>
            </w:pPr>
          </w:p>
        </w:tc>
        <w:tc>
          <w:tcPr>
            <w:tcW w:w="1789" w:type="dxa"/>
            <w:vAlign w:val="center"/>
          </w:tcPr>
          <w:p>
            <w:pPr>
              <w:spacing w:line="500" w:lineRule="exact"/>
              <w:rPr>
                <w:rFonts w:asciiTheme="minorEastAsia" w:hAnsiTheme="minorEastAsia" w:eastAsiaTheme="minorEastAsia" w:cstheme="minorEastAsia"/>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Cs/>
                <w:color w:val="000000" w:themeColor="text1"/>
                <w:sz w:val="24"/>
                <w:szCs w:val="24"/>
                <w14:textFill>
                  <w14:solidFill>
                    <w14:schemeClr w14:val="tx1"/>
                  </w14:solidFill>
                </w14:textFill>
              </w:rPr>
              <w:t>投标函</w:t>
            </w:r>
          </w:p>
        </w:tc>
        <w:tc>
          <w:tcPr>
            <w:tcW w:w="4762" w:type="dxa"/>
            <w:vAlign w:val="center"/>
          </w:tcPr>
          <w:p>
            <w:pPr>
              <w:spacing w:line="500" w:lineRule="exact"/>
              <w:rPr>
                <w:rFonts w:asciiTheme="minorEastAsia" w:hAnsiTheme="minorEastAsia" w:eastAsiaTheme="minorEastAsia" w:cstheme="minorEastAsia"/>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Cs/>
                <w:color w:val="000000" w:themeColor="text1"/>
                <w:sz w:val="24"/>
                <w:szCs w:val="24"/>
                <w14:textFill>
                  <w14:solidFill>
                    <w14:schemeClr w14:val="tx1"/>
                  </w14:solidFill>
                </w14:textFill>
              </w:rPr>
              <w:t>是否按招标文件规定格式提供投标函</w:t>
            </w:r>
          </w:p>
        </w:tc>
        <w:tc>
          <w:tcPr>
            <w:tcW w:w="591" w:type="dxa"/>
            <w:vAlign w:val="center"/>
          </w:tcPr>
          <w:p>
            <w:pPr>
              <w:spacing w:line="500" w:lineRule="exact"/>
              <w:rPr>
                <w:rFonts w:asciiTheme="minorEastAsia" w:hAnsiTheme="minorEastAsia" w:eastAsiaTheme="minorEastAsia" w:cstheme="minorEastAsia"/>
                <w:bCs/>
                <w:color w:val="000000" w:themeColor="text1"/>
                <w:sz w:val="24"/>
                <w:szCs w:val="24"/>
                <w14:textFill>
                  <w14:solidFill>
                    <w14:schemeClr w14:val="tx1"/>
                  </w14:solidFill>
                </w14:textFill>
              </w:rPr>
            </w:pPr>
          </w:p>
        </w:tc>
        <w:tc>
          <w:tcPr>
            <w:tcW w:w="630" w:type="dxa"/>
            <w:vAlign w:val="center"/>
          </w:tcPr>
          <w:p>
            <w:pPr>
              <w:spacing w:line="500" w:lineRule="exact"/>
              <w:rPr>
                <w:rFonts w:asciiTheme="minorEastAsia" w:hAnsiTheme="minorEastAsia" w:eastAsiaTheme="minorEastAsia" w:cstheme="minorEastAsia"/>
                <w:bCs/>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202" w:type="dxa"/>
            <w:vMerge w:val="continue"/>
            <w:vAlign w:val="center"/>
          </w:tcPr>
          <w:p>
            <w:pPr>
              <w:spacing w:line="500" w:lineRule="exact"/>
              <w:rPr>
                <w:rFonts w:asciiTheme="minorEastAsia" w:hAnsiTheme="minorEastAsia" w:eastAsiaTheme="minorEastAsia" w:cstheme="minorEastAsia"/>
                <w:bCs/>
                <w:color w:val="000000" w:themeColor="text1"/>
                <w:sz w:val="24"/>
                <w:szCs w:val="24"/>
                <w14:textFill>
                  <w14:solidFill>
                    <w14:schemeClr w14:val="tx1"/>
                  </w14:solidFill>
                </w14:textFill>
              </w:rPr>
            </w:pPr>
          </w:p>
        </w:tc>
        <w:tc>
          <w:tcPr>
            <w:tcW w:w="1016" w:type="dxa"/>
            <w:vMerge w:val="continue"/>
            <w:vAlign w:val="center"/>
          </w:tcPr>
          <w:p>
            <w:pPr>
              <w:spacing w:line="500" w:lineRule="exact"/>
              <w:rPr>
                <w:rFonts w:asciiTheme="minorEastAsia" w:hAnsiTheme="minorEastAsia" w:eastAsiaTheme="minorEastAsia" w:cstheme="minorEastAsia"/>
                <w:bCs/>
                <w:color w:val="000000" w:themeColor="text1"/>
                <w:sz w:val="24"/>
                <w:szCs w:val="24"/>
                <w14:textFill>
                  <w14:solidFill>
                    <w14:schemeClr w14:val="tx1"/>
                  </w14:solidFill>
                </w14:textFill>
              </w:rPr>
            </w:pPr>
          </w:p>
        </w:tc>
        <w:tc>
          <w:tcPr>
            <w:tcW w:w="1789" w:type="dxa"/>
            <w:vAlign w:val="center"/>
          </w:tcPr>
          <w:p>
            <w:pPr>
              <w:spacing w:line="500" w:lineRule="exact"/>
              <w:rPr>
                <w:rFonts w:asciiTheme="minorEastAsia" w:hAnsiTheme="minorEastAsia" w:eastAsiaTheme="minorEastAsia" w:cstheme="minorEastAsia"/>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Cs/>
                <w:color w:val="000000" w:themeColor="text1"/>
                <w:sz w:val="24"/>
                <w:szCs w:val="24"/>
                <w14:textFill>
                  <w14:solidFill>
                    <w14:schemeClr w14:val="tx1"/>
                  </w14:solidFill>
                </w14:textFill>
              </w:rPr>
              <w:t>签字盖章</w:t>
            </w:r>
          </w:p>
        </w:tc>
        <w:tc>
          <w:tcPr>
            <w:tcW w:w="4762" w:type="dxa"/>
            <w:vAlign w:val="center"/>
          </w:tcPr>
          <w:p>
            <w:pPr>
              <w:spacing w:line="500" w:lineRule="exact"/>
              <w:rPr>
                <w:rFonts w:asciiTheme="minorEastAsia" w:hAnsiTheme="minorEastAsia" w:eastAsiaTheme="minorEastAsia" w:cstheme="minorEastAsia"/>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Cs/>
                <w:color w:val="000000" w:themeColor="text1"/>
                <w:sz w:val="24"/>
                <w:szCs w:val="24"/>
                <w14:textFill>
                  <w14:solidFill>
                    <w14:schemeClr w14:val="tx1"/>
                  </w14:solidFill>
                </w14:textFill>
              </w:rPr>
              <w:t>是否按招标文件格式要求提供单位盖章及法定代表人或法定代表人授权的代理人签字或盖章的</w:t>
            </w:r>
          </w:p>
        </w:tc>
        <w:tc>
          <w:tcPr>
            <w:tcW w:w="591" w:type="dxa"/>
            <w:vAlign w:val="center"/>
          </w:tcPr>
          <w:p>
            <w:pPr>
              <w:spacing w:line="500" w:lineRule="exact"/>
              <w:rPr>
                <w:rFonts w:asciiTheme="minorEastAsia" w:hAnsiTheme="minorEastAsia" w:eastAsiaTheme="minorEastAsia" w:cstheme="minorEastAsia"/>
                <w:bCs/>
                <w:color w:val="000000" w:themeColor="text1"/>
                <w:sz w:val="24"/>
                <w:szCs w:val="24"/>
                <w14:textFill>
                  <w14:solidFill>
                    <w14:schemeClr w14:val="tx1"/>
                  </w14:solidFill>
                </w14:textFill>
              </w:rPr>
            </w:pPr>
          </w:p>
        </w:tc>
        <w:tc>
          <w:tcPr>
            <w:tcW w:w="630" w:type="dxa"/>
            <w:vAlign w:val="center"/>
          </w:tcPr>
          <w:p>
            <w:pPr>
              <w:spacing w:line="500" w:lineRule="exact"/>
              <w:rPr>
                <w:rFonts w:asciiTheme="minorEastAsia" w:hAnsiTheme="minorEastAsia" w:eastAsiaTheme="minorEastAsia" w:cstheme="minorEastAsia"/>
                <w:bCs/>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202" w:type="dxa"/>
            <w:vMerge w:val="continue"/>
            <w:vAlign w:val="center"/>
          </w:tcPr>
          <w:p>
            <w:pPr>
              <w:spacing w:line="500" w:lineRule="exact"/>
              <w:rPr>
                <w:rFonts w:asciiTheme="minorEastAsia" w:hAnsiTheme="minorEastAsia" w:eastAsiaTheme="minorEastAsia" w:cstheme="minorEastAsia"/>
                <w:bCs/>
                <w:color w:val="000000" w:themeColor="text1"/>
                <w:sz w:val="24"/>
                <w:szCs w:val="24"/>
                <w14:textFill>
                  <w14:solidFill>
                    <w14:schemeClr w14:val="tx1"/>
                  </w14:solidFill>
                </w14:textFill>
              </w:rPr>
            </w:pPr>
          </w:p>
        </w:tc>
        <w:tc>
          <w:tcPr>
            <w:tcW w:w="1016" w:type="dxa"/>
            <w:vMerge w:val="continue"/>
            <w:vAlign w:val="center"/>
          </w:tcPr>
          <w:p>
            <w:pPr>
              <w:spacing w:line="500" w:lineRule="exact"/>
              <w:rPr>
                <w:rFonts w:asciiTheme="minorEastAsia" w:hAnsiTheme="minorEastAsia" w:eastAsiaTheme="minorEastAsia" w:cstheme="minorEastAsia"/>
                <w:bCs/>
                <w:color w:val="000000" w:themeColor="text1"/>
                <w:sz w:val="24"/>
                <w:szCs w:val="24"/>
                <w14:textFill>
                  <w14:solidFill>
                    <w14:schemeClr w14:val="tx1"/>
                  </w14:solidFill>
                </w14:textFill>
              </w:rPr>
            </w:pPr>
          </w:p>
        </w:tc>
        <w:tc>
          <w:tcPr>
            <w:tcW w:w="1789" w:type="dxa"/>
            <w:vAlign w:val="center"/>
          </w:tcPr>
          <w:p>
            <w:pPr>
              <w:spacing w:line="500" w:lineRule="exact"/>
              <w:rPr>
                <w:rFonts w:asciiTheme="minorEastAsia" w:hAnsiTheme="minorEastAsia" w:eastAsiaTheme="minorEastAsia" w:cstheme="minorEastAsia"/>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Cs/>
                <w:color w:val="000000" w:themeColor="text1"/>
                <w:sz w:val="24"/>
                <w:szCs w:val="24"/>
                <w14:textFill>
                  <w14:solidFill>
                    <w14:schemeClr w14:val="tx1"/>
                  </w14:solidFill>
                </w14:textFill>
              </w:rPr>
              <w:t>投标文件份数</w:t>
            </w:r>
          </w:p>
        </w:tc>
        <w:tc>
          <w:tcPr>
            <w:tcW w:w="4762" w:type="dxa"/>
            <w:vAlign w:val="center"/>
          </w:tcPr>
          <w:p>
            <w:pPr>
              <w:spacing w:line="500" w:lineRule="exact"/>
              <w:rPr>
                <w:rFonts w:asciiTheme="minorEastAsia" w:hAnsiTheme="minorEastAsia" w:eastAsiaTheme="minorEastAsia" w:cstheme="minorEastAsia"/>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Cs/>
                <w:color w:val="000000" w:themeColor="text1"/>
                <w:sz w:val="24"/>
                <w:szCs w:val="24"/>
                <w14:textFill>
                  <w14:solidFill>
                    <w14:schemeClr w14:val="tx1"/>
                  </w14:solidFill>
                </w14:textFill>
              </w:rPr>
              <w:t>是否按规定提交响应文件份数</w:t>
            </w:r>
          </w:p>
        </w:tc>
        <w:tc>
          <w:tcPr>
            <w:tcW w:w="591" w:type="dxa"/>
            <w:vAlign w:val="center"/>
          </w:tcPr>
          <w:p>
            <w:pPr>
              <w:spacing w:line="500" w:lineRule="exact"/>
              <w:rPr>
                <w:rFonts w:asciiTheme="minorEastAsia" w:hAnsiTheme="minorEastAsia" w:eastAsiaTheme="minorEastAsia" w:cstheme="minorEastAsia"/>
                <w:bCs/>
                <w:color w:val="000000" w:themeColor="text1"/>
                <w:sz w:val="24"/>
                <w:szCs w:val="24"/>
                <w14:textFill>
                  <w14:solidFill>
                    <w14:schemeClr w14:val="tx1"/>
                  </w14:solidFill>
                </w14:textFill>
              </w:rPr>
            </w:pPr>
          </w:p>
        </w:tc>
        <w:tc>
          <w:tcPr>
            <w:tcW w:w="630" w:type="dxa"/>
            <w:vAlign w:val="center"/>
          </w:tcPr>
          <w:p>
            <w:pPr>
              <w:spacing w:line="500" w:lineRule="exact"/>
              <w:rPr>
                <w:rFonts w:asciiTheme="minorEastAsia" w:hAnsiTheme="minorEastAsia" w:eastAsiaTheme="minorEastAsia" w:cstheme="minorEastAsia"/>
                <w:bCs/>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202" w:type="dxa"/>
            <w:vMerge w:val="continue"/>
            <w:vAlign w:val="center"/>
          </w:tcPr>
          <w:p>
            <w:pPr>
              <w:spacing w:line="500" w:lineRule="exact"/>
              <w:rPr>
                <w:rFonts w:asciiTheme="minorEastAsia" w:hAnsiTheme="minorEastAsia" w:eastAsiaTheme="minorEastAsia" w:cstheme="minorEastAsia"/>
                <w:bCs/>
                <w:color w:val="000000" w:themeColor="text1"/>
                <w:sz w:val="24"/>
                <w:szCs w:val="24"/>
                <w14:textFill>
                  <w14:solidFill>
                    <w14:schemeClr w14:val="tx1"/>
                  </w14:solidFill>
                </w14:textFill>
              </w:rPr>
            </w:pPr>
          </w:p>
        </w:tc>
        <w:tc>
          <w:tcPr>
            <w:tcW w:w="1016" w:type="dxa"/>
            <w:vMerge w:val="continue"/>
            <w:vAlign w:val="center"/>
          </w:tcPr>
          <w:p>
            <w:pPr>
              <w:spacing w:line="500" w:lineRule="exact"/>
              <w:rPr>
                <w:rFonts w:asciiTheme="minorEastAsia" w:hAnsiTheme="minorEastAsia" w:eastAsiaTheme="minorEastAsia" w:cstheme="minorEastAsia"/>
                <w:bCs/>
                <w:color w:val="000000" w:themeColor="text1"/>
                <w:sz w:val="24"/>
                <w:szCs w:val="24"/>
                <w14:textFill>
                  <w14:solidFill>
                    <w14:schemeClr w14:val="tx1"/>
                  </w14:solidFill>
                </w14:textFill>
              </w:rPr>
            </w:pPr>
          </w:p>
        </w:tc>
        <w:tc>
          <w:tcPr>
            <w:tcW w:w="1789" w:type="dxa"/>
            <w:vAlign w:val="center"/>
          </w:tcPr>
          <w:p>
            <w:pPr>
              <w:spacing w:line="500" w:lineRule="exact"/>
              <w:rPr>
                <w:rFonts w:asciiTheme="minorEastAsia" w:hAnsiTheme="minorEastAsia" w:eastAsiaTheme="minorEastAsia" w:cstheme="minorEastAsia"/>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Cs/>
                <w:color w:val="000000" w:themeColor="text1"/>
                <w:sz w:val="24"/>
                <w:szCs w:val="24"/>
                <w14:textFill>
                  <w14:solidFill>
                    <w14:schemeClr w14:val="tx1"/>
                  </w14:solidFill>
                </w14:textFill>
              </w:rPr>
              <w:t>投标有效期</w:t>
            </w:r>
          </w:p>
        </w:tc>
        <w:tc>
          <w:tcPr>
            <w:tcW w:w="4762" w:type="dxa"/>
            <w:vAlign w:val="center"/>
          </w:tcPr>
          <w:p>
            <w:pPr>
              <w:spacing w:line="500" w:lineRule="exact"/>
              <w:rPr>
                <w:rFonts w:asciiTheme="minorEastAsia" w:hAnsiTheme="minorEastAsia" w:eastAsiaTheme="minorEastAsia" w:cstheme="minorEastAsia"/>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Cs/>
                <w:color w:val="000000" w:themeColor="text1"/>
                <w:sz w:val="24"/>
                <w:szCs w:val="24"/>
                <w14:textFill>
                  <w14:solidFill>
                    <w14:schemeClr w14:val="tx1"/>
                  </w14:solidFill>
                </w14:textFill>
              </w:rPr>
              <w:t>投标有效期是否满足招标文件要求的</w:t>
            </w:r>
          </w:p>
        </w:tc>
        <w:tc>
          <w:tcPr>
            <w:tcW w:w="591" w:type="dxa"/>
            <w:vAlign w:val="center"/>
          </w:tcPr>
          <w:p>
            <w:pPr>
              <w:spacing w:line="500" w:lineRule="exact"/>
              <w:rPr>
                <w:rFonts w:asciiTheme="minorEastAsia" w:hAnsiTheme="minorEastAsia" w:eastAsiaTheme="minorEastAsia" w:cstheme="minorEastAsia"/>
                <w:bCs/>
                <w:color w:val="000000" w:themeColor="text1"/>
                <w:sz w:val="24"/>
                <w:szCs w:val="24"/>
                <w14:textFill>
                  <w14:solidFill>
                    <w14:schemeClr w14:val="tx1"/>
                  </w14:solidFill>
                </w14:textFill>
              </w:rPr>
            </w:pPr>
          </w:p>
        </w:tc>
        <w:tc>
          <w:tcPr>
            <w:tcW w:w="630" w:type="dxa"/>
            <w:vAlign w:val="center"/>
          </w:tcPr>
          <w:p>
            <w:pPr>
              <w:spacing w:line="500" w:lineRule="exact"/>
              <w:rPr>
                <w:rFonts w:asciiTheme="minorEastAsia" w:hAnsiTheme="minorEastAsia" w:eastAsiaTheme="minorEastAsia" w:cstheme="minorEastAsia"/>
                <w:bCs/>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202" w:type="dxa"/>
            <w:vMerge w:val="continue"/>
            <w:vAlign w:val="center"/>
          </w:tcPr>
          <w:p>
            <w:pPr>
              <w:spacing w:line="500" w:lineRule="exact"/>
              <w:rPr>
                <w:rFonts w:asciiTheme="minorEastAsia" w:hAnsiTheme="minorEastAsia" w:eastAsiaTheme="minorEastAsia" w:cstheme="minorEastAsia"/>
                <w:bCs/>
                <w:color w:val="000000" w:themeColor="text1"/>
                <w:sz w:val="24"/>
                <w:szCs w:val="24"/>
                <w14:textFill>
                  <w14:solidFill>
                    <w14:schemeClr w14:val="tx1"/>
                  </w14:solidFill>
                </w14:textFill>
              </w:rPr>
            </w:pPr>
          </w:p>
        </w:tc>
        <w:tc>
          <w:tcPr>
            <w:tcW w:w="1016" w:type="dxa"/>
            <w:vMerge w:val="continue"/>
            <w:vAlign w:val="center"/>
          </w:tcPr>
          <w:p>
            <w:pPr>
              <w:spacing w:line="500" w:lineRule="exact"/>
              <w:rPr>
                <w:rFonts w:asciiTheme="minorEastAsia" w:hAnsiTheme="minorEastAsia" w:eastAsiaTheme="minorEastAsia" w:cstheme="minorEastAsia"/>
                <w:bCs/>
                <w:color w:val="000000" w:themeColor="text1"/>
                <w:sz w:val="24"/>
                <w:szCs w:val="24"/>
                <w14:textFill>
                  <w14:solidFill>
                    <w14:schemeClr w14:val="tx1"/>
                  </w14:solidFill>
                </w14:textFill>
              </w:rPr>
            </w:pPr>
          </w:p>
        </w:tc>
        <w:tc>
          <w:tcPr>
            <w:tcW w:w="1789" w:type="dxa"/>
            <w:vAlign w:val="center"/>
          </w:tcPr>
          <w:p>
            <w:pPr>
              <w:spacing w:line="500" w:lineRule="exact"/>
              <w:rPr>
                <w:rFonts w:asciiTheme="minorEastAsia" w:hAnsiTheme="minorEastAsia" w:eastAsiaTheme="minorEastAsia" w:cstheme="minorEastAsia"/>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Cs/>
                <w:color w:val="000000" w:themeColor="text1"/>
                <w:sz w:val="24"/>
                <w:szCs w:val="24"/>
                <w14:textFill>
                  <w14:solidFill>
                    <w14:schemeClr w14:val="tx1"/>
                  </w14:solidFill>
                </w14:textFill>
              </w:rPr>
              <w:t>质保期、</w:t>
            </w:r>
            <w:r>
              <w:rPr>
                <w:rFonts w:hint="eastAsia" w:asciiTheme="minorEastAsia" w:hAnsiTheme="minorEastAsia" w:eastAsiaTheme="minorEastAsia" w:cstheme="minorEastAsia"/>
                <w:bCs/>
                <w:color w:val="000000" w:themeColor="text1"/>
                <w:kern w:val="0"/>
                <w:sz w:val="24"/>
                <w:szCs w:val="24"/>
                <w14:textFill>
                  <w14:solidFill>
                    <w14:schemeClr w14:val="tx1"/>
                  </w14:solidFill>
                </w14:textFill>
              </w:rPr>
              <w:t>供货周期</w:t>
            </w:r>
          </w:p>
        </w:tc>
        <w:tc>
          <w:tcPr>
            <w:tcW w:w="4762" w:type="dxa"/>
            <w:vAlign w:val="center"/>
          </w:tcPr>
          <w:p>
            <w:pPr>
              <w:spacing w:line="500" w:lineRule="exact"/>
              <w:rPr>
                <w:rFonts w:asciiTheme="minorEastAsia" w:hAnsiTheme="minorEastAsia" w:eastAsiaTheme="minorEastAsia" w:cstheme="minorEastAsia"/>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Cs/>
                <w:color w:val="000000" w:themeColor="text1"/>
                <w:sz w:val="24"/>
                <w:szCs w:val="24"/>
                <w14:textFill>
                  <w14:solidFill>
                    <w14:schemeClr w14:val="tx1"/>
                  </w14:solidFill>
                </w14:textFill>
              </w:rPr>
              <w:t>投标人所报质保期、</w:t>
            </w:r>
            <w:r>
              <w:rPr>
                <w:rFonts w:hint="eastAsia" w:asciiTheme="minorEastAsia" w:hAnsiTheme="minorEastAsia" w:eastAsiaTheme="minorEastAsia" w:cstheme="minorEastAsia"/>
                <w:bCs/>
                <w:color w:val="000000" w:themeColor="text1"/>
                <w:kern w:val="0"/>
                <w:sz w:val="24"/>
                <w:szCs w:val="24"/>
                <w14:textFill>
                  <w14:solidFill>
                    <w14:schemeClr w14:val="tx1"/>
                  </w14:solidFill>
                </w14:textFill>
              </w:rPr>
              <w:t>供货周期</w:t>
            </w:r>
            <w:r>
              <w:rPr>
                <w:rFonts w:hint="eastAsia" w:asciiTheme="minorEastAsia" w:hAnsiTheme="minorEastAsia" w:eastAsiaTheme="minorEastAsia" w:cstheme="minorEastAsia"/>
                <w:bCs/>
                <w:color w:val="000000" w:themeColor="text1"/>
                <w:sz w:val="24"/>
                <w:szCs w:val="24"/>
                <w14:textFill>
                  <w14:solidFill>
                    <w14:schemeClr w14:val="tx1"/>
                  </w14:solidFill>
                </w14:textFill>
              </w:rPr>
              <w:t>是否满足招标文件规定期限的</w:t>
            </w:r>
          </w:p>
        </w:tc>
        <w:tc>
          <w:tcPr>
            <w:tcW w:w="591" w:type="dxa"/>
            <w:vAlign w:val="center"/>
          </w:tcPr>
          <w:p>
            <w:pPr>
              <w:spacing w:line="500" w:lineRule="exact"/>
              <w:rPr>
                <w:rFonts w:asciiTheme="minorEastAsia" w:hAnsiTheme="minorEastAsia" w:eastAsiaTheme="minorEastAsia" w:cstheme="minorEastAsia"/>
                <w:bCs/>
                <w:color w:val="000000" w:themeColor="text1"/>
                <w:sz w:val="24"/>
                <w:szCs w:val="24"/>
                <w14:textFill>
                  <w14:solidFill>
                    <w14:schemeClr w14:val="tx1"/>
                  </w14:solidFill>
                </w14:textFill>
              </w:rPr>
            </w:pPr>
          </w:p>
        </w:tc>
        <w:tc>
          <w:tcPr>
            <w:tcW w:w="630" w:type="dxa"/>
            <w:vAlign w:val="center"/>
          </w:tcPr>
          <w:p>
            <w:pPr>
              <w:spacing w:line="500" w:lineRule="exact"/>
              <w:rPr>
                <w:rFonts w:asciiTheme="minorEastAsia" w:hAnsiTheme="minorEastAsia" w:eastAsiaTheme="minorEastAsia" w:cstheme="minorEastAsia"/>
                <w:bCs/>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202" w:type="dxa"/>
            <w:vMerge w:val="continue"/>
            <w:vAlign w:val="center"/>
          </w:tcPr>
          <w:p>
            <w:pPr>
              <w:spacing w:line="500" w:lineRule="exact"/>
              <w:rPr>
                <w:rFonts w:asciiTheme="minorEastAsia" w:hAnsiTheme="minorEastAsia" w:eastAsiaTheme="minorEastAsia" w:cstheme="minorEastAsia"/>
                <w:bCs/>
                <w:color w:val="000000" w:themeColor="text1"/>
                <w:sz w:val="24"/>
                <w:szCs w:val="24"/>
                <w14:textFill>
                  <w14:solidFill>
                    <w14:schemeClr w14:val="tx1"/>
                  </w14:solidFill>
                </w14:textFill>
              </w:rPr>
            </w:pPr>
          </w:p>
        </w:tc>
        <w:tc>
          <w:tcPr>
            <w:tcW w:w="1016" w:type="dxa"/>
            <w:vMerge w:val="continue"/>
            <w:vAlign w:val="center"/>
          </w:tcPr>
          <w:p>
            <w:pPr>
              <w:spacing w:line="500" w:lineRule="exact"/>
              <w:rPr>
                <w:rFonts w:asciiTheme="minorEastAsia" w:hAnsiTheme="minorEastAsia" w:eastAsiaTheme="minorEastAsia" w:cstheme="minorEastAsia"/>
                <w:bCs/>
                <w:color w:val="000000" w:themeColor="text1"/>
                <w:sz w:val="24"/>
                <w:szCs w:val="24"/>
                <w14:textFill>
                  <w14:solidFill>
                    <w14:schemeClr w14:val="tx1"/>
                  </w14:solidFill>
                </w14:textFill>
              </w:rPr>
            </w:pPr>
          </w:p>
        </w:tc>
        <w:tc>
          <w:tcPr>
            <w:tcW w:w="1789" w:type="dxa"/>
            <w:vAlign w:val="center"/>
          </w:tcPr>
          <w:p>
            <w:pPr>
              <w:spacing w:line="500" w:lineRule="exact"/>
              <w:rPr>
                <w:rFonts w:asciiTheme="minorEastAsia" w:hAnsiTheme="minorEastAsia" w:eastAsiaTheme="minorEastAsia" w:cstheme="minorEastAsia"/>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Cs/>
                <w:color w:val="000000" w:themeColor="text1"/>
                <w:sz w:val="24"/>
                <w:szCs w:val="24"/>
                <w14:textFill>
                  <w14:solidFill>
                    <w14:schemeClr w14:val="tx1"/>
                  </w14:solidFill>
                </w14:textFill>
              </w:rPr>
              <w:t>投标报价</w:t>
            </w:r>
          </w:p>
        </w:tc>
        <w:tc>
          <w:tcPr>
            <w:tcW w:w="4762" w:type="dxa"/>
            <w:vAlign w:val="center"/>
          </w:tcPr>
          <w:p>
            <w:pPr>
              <w:spacing w:line="500" w:lineRule="exact"/>
              <w:rPr>
                <w:rFonts w:asciiTheme="minorEastAsia" w:hAnsiTheme="minorEastAsia" w:eastAsiaTheme="minorEastAsia" w:cstheme="minorEastAsia"/>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Cs/>
                <w:color w:val="000000" w:themeColor="text1"/>
                <w:sz w:val="24"/>
                <w:szCs w:val="24"/>
                <w14:textFill>
                  <w14:solidFill>
                    <w14:schemeClr w14:val="tx1"/>
                  </w14:solidFill>
                </w14:textFill>
              </w:rPr>
              <w:t>投标人投标报价是否超过预算价</w:t>
            </w:r>
          </w:p>
        </w:tc>
        <w:tc>
          <w:tcPr>
            <w:tcW w:w="591" w:type="dxa"/>
            <w:vAlign w:val="center"/>
          </w:tcPr>
          <w:p>
            <w:pPr>
              <w:spacing w:line="500" w:lineRule="exact"/>
              <w:rPr>
                <w:rFonts w:asciiTheme="minorEastAsia" w:hAnsiTheme="minorEastAsia" w:eastAsiaTheme="minorEastAsia" w:cstheme="minorEastAsia"/>
                <w:bCs/>
                <w:color w:val="000000" w:themeColor="text1"/>
                <w:sz w:val="24"/>
                <w:szCs w:val="24"/>
                <w14:textFill>
                  <w14:solidFill>
                    <w14:schemeClr w14:val="tx1"/>
                  </w14:solidFill>
                </w14:textFill>
              </w:rPr>
            </w:pPr>
          </w:p>
        </w:tc>
        <w:tc>
          <w:tcPr>
            <w:tcW w:w="630" w:type="dxa"/>
            <w:vAlign w:val="center"/>
          </w:tcPr>
          <w:p>
            <w:pPr>
              <w:spacing w:line="500" w:lineRule="exact"/>
              <w:rPr>
                <w:rFonts w:asciiTheme="minorEastAsia" w:hAnsiTheme="minorEastAsia" w:eastAsiaTheme="minorEastAsia" w:cstheme="minorEastAsia"/>
                <w:bCs/>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202" w:type="dxa"/>
            <w:vMerge w:val="continue"/>
            <w:vAlign w:val="center"/>
          </w:tcPr>
          <w:p>
            <w:pPr>
              <w:spacing w:line="500" w:lineRule="exact"/>
              <w:rPr>
                <w:rFonts w:asciiTheme="minorEastAsia" w:hAnsiTheme="minorEastAsia" w:eastAsiaTheme="minorEastAsia" w:cstheme="minorEastAsia"/>
                <w:bCs/>
                <w:color w:val="000000" w:themeColor="text1"/>
                <w:sz w:val="24"/>
                <w:szCs w:val="24"/>
                <w14:textFill>
                  <w14:solidFill>
                    <w14:schemeClr w14:val="tx1"/>
                  </w14:solidFill>
                </w14:textFill>
              </w:rPr>
            </w:pPr>
          </w:p>
        </w:tc>
        <w:tc>
          <w:tcPr>
            <w:tcW w:w="1016" w:type="dxa"/>
            <w:vMerge w:val="continue"/>
            <w:vAlign w:val="center"/>
          </w:tcPr>
          <w:p>
            <w:pPr>
              <w:spacing w:line="500" w:lineRule="exact"/>
              <w:rPr>
                <w:rFonts w:asciiTheme="minorEastAsia" w:hAnsiTheme="minorEastAsia" w:eastAsiaTheme="minorEastAsia" w:cstheme="minorEastAsia"/>
                <w:bCs/>
                <w:color w:val="000000" w:themeColor="text1"/>
                <w:sz w:val="24"/>
                <w:szCs w:val="24"/>
                <w14:textFill>
                  <w14:solidFill>
                    <w14:schemeClr w14:val="tx1"/>
                  </w14:solidFill>
                </w14:textFill>
              </w:rPr>
            </w:pPr>
          </w:p>
        </w:tc>
        <w:tc>
          <w:tcPr>
            <w:tcW w:w="1789" w:type="dxa"/>
            <w:vMerge w:val="restart"/>
            <w:vAlign w:val="center"/>
          </w:tcPr>
          <w:p>
            <w:pPr>
              <w:spacing w:line="500" w:lineRule="exact"/>
              <w:rPr>
                <w:rFonts w:asciiTheme="minorEastAsia" w:hAnsiTheme="minorEastAsia" w:eastAsiaTheme="minorEastAsia" w:cstheme="minorEastAsia"/>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Cs/>
                <w:color w:val="000000" w:themeColor="text1"/>
                <w:sz w:val="24"/>
                <w:szCs w:val="24"/>
                <w14:textFill>
                  <w14:solidFill>
                    <w14:schemeClr w14:val="tx1"/>
                  </w14:solidFill>
                </w14:textFill>
              </w:rPr>
              <w:t>其余</w:t>
            </w:r>
          </w:p>
        </w:tc>
        <w:tc>
          <w:tcPr>
            <w:tcW w:w="4762" w:type="dxa"/>
            <w:vAlign w:val="center"/>
          </w:tcPr>
          <w:p>
            <w:pPr>
              <w:spacing w:line="500" w:lineRule="exact"/>
              <w:rPr>
                <w:rFonts w:asciiTheme="minorEastAsia" w:hAnsiTheme="minorEastAsia" w:eastAsiaTheme="minorEastAsia" w:cstheme="minorEastAsia"/>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Cs/>
                <w:color w:val="000000" w:themeColor="text1"/>
                <w:sz w:val="24"/>
                <w:szCs w:val="24"/>
                <w14:textFill>
                  <w14:solidFill>
                    <w14:schemeClr w14:val="tx1"/>
                  </w14:solidFill>
                </w14:textFill>
              </w:rPr>
              <w:t>响应文件是否附有招标人不能接受的条件</w:t>
            </w:r>
          </w:p>
        </w:tc>
        <w:tc>
          <w:tcPr>
            <w:tcW w:w="591" w:type="dxa"/>
            <w:vAlign w:val="center"/>
          </w:tcPr>
          <w:p>
            <w:pPr>
              <w:spacing w:line="500" w:lineRule="exact"/>
              <w:rPr>
                <w:rFonts w:asciiTheme="minorEastAsia" w:hAnsiTheme="minorEastAsia" w:eastAsiaTheme="minorEastAsia" w:cstheme="minorEastAsia"/>
                <w:bCs/>
                <w:color w:val="000000" w:themeColor="text1"/>
                <w:sz w:val="24"/>
                <w:szCs w:val="24"/>
                <w14:textFill>
                  <w14:solidFill>
                    <w14:schemeClr w14:val="tx1"/>
                  </w14:solidFill>
                </w14:textFill>
              </w:rPr>
            </w:pPr>
          </w:p>
        </w:tc>
        <w:tc>
          <w:tcPr>
            <w:tcW w:w="630" w:type="dxa"/>
            <w:vAlign w:val="center"/>
          </w:tcPr>
          <w:p>
            <w:pPr>
              <w:spacing w:line="500" w:lineRule="exact"/>
              <w:rPr>
                <w:rFonts w:asciiTheme="minorEastAsia" w:hAnsiTheme="minorEastAsia" w:eastAsiaTheme="minorEastAsia" w:cstheme="minorEastAsia"/>
                <w:bCs/>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202" w:type="dxa"/>
            <w:vMerge w:val="continue"/>
            <w:vAlign w:val="center"/>
          </w:tcPr>
          <w:p>
            <w:pPr>
              <w:spacing w:line="500" w:lineRule="exact"/>
              <w:rPr>
                <w:rFonts w:asciiTheme="minorEastAsia" w:hAnsiTheme="minorEastAsia" w:eastAsiaTheme="minorEastAsia" w:cstheme="minorEastAsia"/>
                <w:bCs/>
                <w:color w:val="000000" w:themeColor="text1"/>
                <w:sz w:val="24"/>
                <w:szCs w:val="24"/>
                <w14:textFill>
                  <w14:solidFill>
                    <w14:schemeClr w14:val="tx1"/>
                  </w14:solidFill>
                </w14:textFill>
              </w:rPr>
            </w:pPr>
          </w:p>
        </w:tc>
        <w:tc>
          <w:tcPr>
            <w:tcW w:w="1016" w:type="dxa"/>
            <w:vMerge w:val="continue"/>
            <w:vAlign w:val="center"/>
          </w:tcPr>
          <w:p>
            <w:pPr>
              <w:spacing w:line="500" w:lineRule="exact"/>
              <w:rPr>
                <w:rFonts w:asciiTheme="minorEastAsia" w:hAnsiTheme="minorEastAsia" w:eastAsiaTheme="minorEastAsia" w:cstheme="minorEastAsia"/>
                <w:bCs/>
                <w:color w:val="000000" w:themeColor="text1"/>
                <w:sz w:val="24"/>
                <w:szCs w:val="24"/>
                <w14:textFill>
                  <w14:solidFill>
                    <w14:schemeClr w14:val="tx1"/>
                  </w14:solidFill>
                </w14:textFill>
              </w:rPr>
            </w:pPr>
          </w:p>
        </w:tc>
        <w:tc>
          <w:tcPr>
            <w:tcW w:w="1789" w:type="dxa"/>
            <w:vMerge w:val="continue"/>
            <w:vAlign w:val="center"/>
          </w:tcPr>
          <w:p>
            <w:pPr>
              <w:spacing w:line="500" w:lineRule="exact"/>
              <w:rPr>
                <w:rFonts w:asciiTheme="minorEastAsia" w:hAnsiTheme="minorEastAsia" w:eastAsiaTheme="minorEastAsia" w:cstheme="minorEastAsia"/>
                <w:bCs/>
                <w:color w:val="000000" w:themeColor="text1"/>
                <w:sz w:val="24"/>
                <w:szCs w:val="24"/>
                <w14:textFill>
                  <w14:solidFill>
                    <w14:schemeClr w14:val="tx1"/>
                  </w14:solidFill>
                </w14:textFill>
              </w:rPr>
            </w:pPr>
          </w:p>
        </w:tc>
        <w:tc>
          <w:tcPr>
            <w:tcW w:w="4762" w:type="dxa"/>
            <w:vAlign w:val="center"/>
          </w:tcPr>
          <w:p>
            <w:pPr>
              <w:spacing w:line="500" w:lineRule="exact"/>
              <w:rPr>
                <w:rFonts w:asciiTheme="minorEastAsia" w:hAnsiTheme="minorEastAsia" w:eastAsiaTheme="minorEastAsia" w:cstheme="minorEastAsia"/>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Cs/>
                <w:color w:val="000000" w:themeColor="text1"/>
                <w:sz w:val="24"/>
                <w:szCs w:val="24"/>
                <w14:textFill>
                  <w14:solidFill>
                    <w14:schemeClr w14:val="tx1"/>
                  </w14:solidFill>
                </w14:textFill>
              </w:rPr>
              <w:t>是否有不符合招标文件中规定的其他实质性要求</w:t>
            </w:r>
          </w:p>
        </w:tc>
        <w:tc>
          <w:tcPr>
            <w:tcW w:w="591" w:type="dxa"/>
            <w:vAlign w:val="center"/>
          </w:tcPr>
          <w:p>
            <w:pPr>
              <w:spacing w:line="500" w:lineRule="exact"/>
              <w:rPr>
                <w:rFonts w:asciiTheme="minorEastAsia" w:hAnsiTheme="minorEastAsia" w:eastAsiaTheme="minorEastAsia" w:cstheme="minorEastAsia"/>
                <w:bCs/>
                <w:color w:val="000000" w:themeColor="text1"/>
                <w:sz w:val="24"/>
                <w:szCs w:val="24"/>
                <w14:textFill>
                  <w14:solidFill>
                    <w14:schemeClr w14:val="tx1"/>
                  </w14:solidFill>
                </w14:textFill>
              </w:rPr>
            </w:pPr>
          </w:p>
        </w:tc>
        <w:tc>
          <w:tcPr>
            <w:tcW w:w="630" w:type="dxa"/>
            <w:vAlign w:val="center"/>
          </w:tcPr>
          <w:p>
            <w:pPr>
              <w:spacing w:line="500" w:lineRule="exact"/>
              <w:rPr>
                <w:rFonts w:asciiTheme="minorEastAsia" w:hAnsiTheme="minorEastAsia" w:eastAsiaTheme="minorEastAsia" w:cstheme="minorEastAsia"/>
                <w:bCs/>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202" w:type="dxa"/>
            <w:vMerge w:val="continue"/>
            <w:vAlign w:val="center"/>
          </w:tcPr>
          <w:p>
            <w:pPr>
              <w:spacing w:line="500" w:lineRule="exact"/>
              <w:rPr>
                <w:rFonts w:asciiTheme="minorEastAsia" w:hAnsiTheme="minorEastAsia" w:eastAsiaTheme="minorEastAsia" w:cstheme="minorEastAsia"/>
                <w:bCs/>
                <w:color w:val="000000" w:themeColor="text1"/>
                <w:sz w:val="24"/>
                <w:szCs w:val="24"/>
                <w14:textFill>
                  <w14:solidFill>
                    <w14:schemeClr w14:val="tx1"/>
                  </w14:solidFill>
                </w14:textFill>
              </w:rPr>
            </w:pPr>
          </w:p>
        </w:tc>
        <w:tc>
          <w:tcPr>
            <w:tcW w:w="1016" w:type="dxa"/>
            <w:vMerge w:val="continue"/>
            <w:vAlign w:val="center"/>
          </w:tcPr>
          <w:p>
            <w:pPr>
              <w:spacing w:line="500" w:lineRule="exact"/>
              <w:rPr>
                <w:rFonts w:asciiTheme="minorEastAsia" w:hAnsiTheme="minorEastAsia" w:eastAsiaTheme="minorEastAsia" w:cstheme="minorEastAsia"/>
                <w:bCs/>
                <w:color w:val="000000" w:themeColor="text1"/>
                <w:sz w:val="24"/>
                <w:szCs w:val="24"/>
                <w14:textFill>
                  <w14:solidFill>
                    <w14:schemeClr w14:val="tx1"/>
                  </w14:solidFill>
                </w14:textFill>
              </w:rPr>
            </w:pPr>
          </w:p>
        </w:tc>
        <w:tc>
          <w:tcPr>
            <w:tcW w:w="1789" w:type="dxa"/>
            <w:vMerge w:val="continue"/>
            <w:vAlign w:val="center"/>
          </w:tcPr>
          <w:p>
            <w:pPr>
              <w:spacing w:line="500" w:lineRule="exact"/>
              <w:rPr>
                <w:rFonts w:asciiTheme="minorEastAsia" w:hAnsiTheme="minorEastAsia" w:eastAsiaTheme="minorEastAsia" w:cstheme="minorEastAsia"/>
                <w:bCs/>
                <w:color w:val="000000" w:themeColor="text1"/>
                <w:sz w:val="24"/>
                <w:szCs w:val="24"/>
                <w14:textFill>
                  <w14:solidFill>
                    <w14:schemeClr w14:val="tx1"/>
                  </w14:solidFill>
                </w14:textFill>
              </w:rPr>
            </w:pPr>
          </w:p>
        </w:tc>
        <w:tc>
          <w:tcPr>
            <w:tcW w:w="4762" w:type="dxa"/>
            <w:vAlign w:val="center"/>
          </w:tcPr>
          <w:p>
            <w:pPr>
              <w:spacing w:line="500" w:lineRule="exact"/>
              <w:rPr>
                <w:rFonts w:asciiTheme="minorEastAsia" w:hAnsiTheme="minorEastAsia" w:eastAsiaTheme="minorEastAsia" w:cstheme="minorEastAsia"/>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Cs/>
                <w:color w:val="000000" w:themeColor="text1"/>
                <w:sz w:val="24"/>
                <w:szCs w:val="24"/>
                <w14:textFill>
                  <w14:solidFill>
                    <w14:schemeClr w14:val="tx1"/>
                  </w14:solidFill>
                </w14:textFill>
              </w:rPr>
              <w:t>投标人是否有违法招标投标纪律的</w:t>
            </w:r>
          </w:p>
        </w:tc>
        <w:tc>
          <w:tcPr>
            <w:tcW w:w="591" w:type="dxa"/>
            <w:vAlign w:val="center"/>
          </w:tcPr>
          <w:p>
            <w:pPr>
              <w:spacing w:line="500" w:lineRule="exact"/>
              <w:rPr>
                <w:rFonts w:asciiTheme="minorEastAsia" w:hAnsiTheme="minorEastAsia" w:eastAsiaTheme="minorEastAsia" w:cstheme="minorEastAsia"/>
                <w:bCs/>
                <w:color w:val="000000" w:themeColor="text1"/>
                <w:sz w:val="24"/>
                <w:szCs w:val="24"/>
                <w14:textFill>
                  <w14:solidFill>
                    <w14:schemeClr w14:val="tx1"/>
                  </w14:solidFill>
                </w14:textFill>
              </w:rPr>
            </w:pPr>
          </w:p>
        </w:tc>
        <w:tc>
          <w:tcPr>
            <w:tcW w:w="630" w:type="dxa"/>
            <w:vAlign w:val="center"/>
          </w:tcPr>
          <w:p>
            <w:pPr>
              <w:spacing w:line="500" w:lineRule="exact"/>
              <w:rPr>
                <w:rFonts w:asciiTheme="minorEastAsia" w:hAnsiTheme="minorEastAsia" w:eastAsiaTheme="minorEastAsia" w:cstheme="minorEastAsia"/>
                <w:bCs/>
                <w:color w:val="000000" w:themeColor="text1"/>
                <w:sz w:val="24"/>
                <w:szCs w:val="24"/>
                <w14:textFill>
                  <w14:solidFill>
                    <w14:schemeClr w14:val="tx1"/>
                  </w14:solidFill>
                </w14:textFill>
              </w:rPr>
            </w:pPr>
          </w:p>
        </w:tc>
      </w:tr>
    </w:tbl>
    <w:p>
      <w:pPr>
        <w:pStyle w:val="2"/>
        <w:rPr>
          <w:rFonts w:ascii="宋体" w:hAnsi="宋体" w:cs="宋体"/>
          <w:b/>
          <w:bCs/>
          <w:color w:val="000000" w:themeColor="text1"/>
          <w:sz w:val="24"/>
          <w14:textFill>
            <w14:solidFill>
              <w14:schemeClr w14:val="tx1"/>
            </w14:solidFill>
          </w14:textFill>
        </w:rPr>
      </w:pPr>
      <w:bookmarkStart w:id="84" w:name="EBa48645eff2ee4582a36f886367fb689c"/>
      <w:bookmarkEnd w:id="84"/>
    </w:p>
    <w:p>
      <w:pPr>
        <w:pStyle w:val="2"/>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评分细则</w:t>
      </w:r>
    </w:p>
    <w:tbl>
      <w:tblPr>
        <w:tblStyle w:val="38"/>
        <w:tblpPr w:leftFromText="180" w:rightFromText="180" w:vertAnchor="text" w:horzAnchor="margin" w:tblpXSpec="center" w:tblpY="36"/>
        <w:tblW w:w="98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
        <w:gridCol w:w="792"/>
        <w:gridCol w:w="851"/>
        <w:gridCol w:w="851"/>
        <w:gridCol w:w="64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920" w:type="dxa"/>
            <w:vAlign w:val="center"/>
          </w:tcPr>
          <w:p>
            <w:pPr>
              <w:widowControl/>
              <w:spacing w:line="500" w:lineRule="exact"/>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b/>
                <w:bCs/>
                <w:color w:val="000000" w:themeColor="text1"/>
                <w:kern w:val="0"/>
                <w:sz w:val="24"/>
                <w:szCs w:val="24"/>
                <w14:textFill>
                  <w14:solidFill>
                    <w14:schemeClr w14:val="tx1"/>
                  </w14:solidFill>
                </w14:textFill>
              </w:rPr>
              <w:t>序号</w:t>
            </w:r>
          </w:p>
        </w:tc>
        <w:tc>
          <w:tcPr>
            <w:tcW w:w="1643" w:type="dxa"/>
            <w:gridSpan w:val="2"/>
          </w:tcPr>
          <w:p>
            <w:pPr>
              <w:widowControl/>
              <w:spacing w:line="500" w:lineRule="exact"/>
              <w:jc w:val="center"/>
              <w:rPr>
                <w:rFonts w:ascii="宋体" w:hAnsi="宋体" w:cs="宋体"/>
                <w:b/>
                <w:bCs/>
                <w:color w:val="000000" w:themeColor="text1"/>
                <w:kern w:val="0"/>
                <w:sz w:val="24"/>
                <w:szCs w:val="24"/>
                <w14:textFill>
                  <w14:solidFill>
                    <w14:schemeClr w14:val="tx1"/>
                  </w14:solidFill>
                </w14:textFill>
              </w:rPr>
            </w:pPr>
            <w:r>
              <w:rPr>
                <w:rFonts w:hint="eastAsia" w:ascii="宋体" w:hAnsi="宋体" w:cs="宋体"/>
                <w:b/>
                <w:bCs/>
                <w:color w:val="000000" w:themeColor="text1"/>
                <w:kern w:val="0"/>
                <w:sz w:val="24"/>
                <w:szCs w:val="24"/>
                <w14:textFill>
                  <w14:solidFill>
                    <w14:schemeClr w14:val="tx1"/>
                  </w14:solidFill>
                </w14:textFill>
              </w:rPr>
              <w:t>评审内容</w:t>
            </w:r>
          </w:p>
        </w:tc>
        <w:tc>
          <w:tcPr>
            <w:tcW w:w="851" w:type="dxa"/>
            <w:vAlign w:val="center"/>
          </w:tcPr>
          <w:p>
            <w:pPr>
              <w:widowControl/>
              <w:spacing w:line="500" w:lineRule="exact"/>
              <w:jc w:val="center"/>
              <w:rPr>
                <w:rFonts w:ascii="宋体" w:hAnsi="宋体" w:cs="宋体"/>
                <w:b/>
                <w:bCs/>
                <w:color w:val="000000" w:themeColor="text1"/>
                <w:kern w:val="0"/>
                <w:sz w:val="24"/>
                <w:szCs w:val="24"/>
                <w14:textFill>
                  <w14:solidFill>
                    <w14:schemeClr w14:val="tx1"/>
                  </w14:solidFill>
                </w14:textFill>
              </w:rPr>
            </w:pPr>
            <w:r>
              <w:rPr>
                <w:rFonts w:hint="eastAsia" w:ascii="宋体" w:hAnsi="宋体" w:cs="宋体"/>
                <w:b/>
                <w:bCs/>
                <w:color w:val="000000" w:themeColor="text1"/>
                <w:kern w:val="0"/>
                <w:sz w:val="24"/>
                <w:szCs w:val="24"/>
                <w14:textFill>
                  <w14:solidFill>
                    <w14:schemeClr w14:val="tx1"/>
                  </w14:solidFill>
                </w14:textFill>
              </w:rPr>
              <w:t>分值</w:t>
            </w:r>
          </w:p>
        </w:tc>
        <w:tc>
          <w:tcPr>
            <w:tcW w:w="6407" w:type="dxa"/>
            <w:vAlign w:val="center"/>
          </w:tcPr>
          <w:p>
            <w:pPr>
              <w:widowControl/>
              <w:spacing w:line="500" w:lineRule="exact"/>
              <w:jc w:val="center"/>
              <w:rPr>
                <w:rFonts w:ascii="宋体" w:hAnsi="宋体" w:cs="宋体"/>
                <w:b/>
                <w:bCs/>
                <w:color w:val="000000" w:themeColor="text1"/>
                <w:kern w:val="0"/>
                <w:sz w:val="24"/>
                <w:szCs w:val="24"/>
                <w14:textFill>
                  <w14:solidFill>
                    <w14:schemeClr w14:val="tx1"/>
                  </w14:solidFill>
                </w14:textFill>
              </w:rPr>
            </w:pPr>
            <w:r>
              <w:rPr>
                <w:rFonts w:hint="eastAsia" w:ascii="宋体" w:hAnsi="宋体" w:cs="宋体"/>
                <w:b/>
                <w:bCs/>
                <w:color w:val="000000" w:themeColor="text1"/>
                <w:kern w:val="0"/>
                <w:sz w:val="24"/>
                <w:szCs w:val="24"/>
                <w14:textFill>
                  <w14:solidFill>
                    <w14:schemeClr w14:val="tx1"/>
                  </w14:solidFill>
                </w14:textFill>
              </w:rPr>
              <w:t>评审细则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9" w:hRule="atLeast"/>
        </w:trPr>
        <w:tc>
          <w:tcPr>
            <w:tcW w:w="920" w:type="dxa"/>
            <w:vAlign w:val="center"/>
          </w:tcPr>
          <w:p>
            <w:pPr>
              <w:widowControl/>
              <w:spacing w:line="500" w:lineRule="exact"/>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w:t>
            </w:r>
          </w:p>
        </w:tc>
        <w:tc>
          <w:tcPr>
            <w:tcW w:w="792" w:type="dxa"/>
            <w:vMerge w:val="restart"/>
            <w:vAlign w:val="center"/>
          </w:tcPr>
          <w:p>
            <w:pPr>
              <w:tabs>
                <w:tab w:val="left" w:pos="420"/>
                <w:tab w:val="left" w:pos="840"/>
                <w:tab w:val="left" w:pos="1260"/>
                <w:tab w:val="left" w:pos="1680"/>
                <w:tab w:val="left" w:pos="2100"/>
                <w:tab w:val="left" w:pos="2520"/>
              </w:tabs>
              <w:adjustRightInd w:val="0"/>
              <w:snapToGrid w:val="0"/>
              <w:spacing w:line="500" w:lineRule="exact"/>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商务</w:t>
            </w:r>
          </w:p>
        </w:tc>
        <w:tc>
          <w:tcPr>
            <w:tcW w:w="851" w:type="dxa"/>
            <w:vAlign w:val="center"/>
          </w:tcPr>
          <w:p>
            <w:pPr>
              <w:tabs>
                <w:tab w:val="left" w:pos="420"/>
                <w:tab w:val="left" w:pos="840"/>
                <w:tab w:val="left" w:pos="1260"/>
                <w:tab w:val="left" w:pos="1680"/>
                <w:tab w:val="left" w:pos="2100"/>
                <w:tab w:val="left" w:pos="2520"/>
              </w:tabs>
              <w:adjustRightInd w:val="0"/>
              <w:snapToGrid w:val="0"/>
              <w:spacing w:line="500" w:lineRule="exact"/>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综合实力</w:t>
            </w:r>
          </w:p>
        </w:tc>
        <w:tc>
          <w:tcPr>
            <w:tcW w:w="851" w:type="dxa"/>
            <w:vAlign w:val="center"/>
          </w:tcPr>
          <w:p>
            <w:pPr>
              <w:widowControl/>
              <w:spacing w:line="500" w:lineRule="exact"/>
              <w:jc w:val="center"/>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14:textFill>
                  <w14:solidFill>
                    <w14:schemeClr w14:val="tx1"/>
                  </w14:solidFill>
                </w14:textFill>
              </w:rPr>
              <w:t>6</w:t>
            </w:r>
            <w:r>
              <w:rPr>
                <w:rFonts w:hint="eastAsia" w:ascii="宋体" w:hAnsi="宋体" w:cs="宋体"/>
                <w:color w:val="000000" w:themeColor="text1"/>
                <w:sz w:val="24"/>
                <w:szCs w:val="24"/>
                <w14:textFill>
                  <w14:solidFill>
                    <w14:schemeClr w14:val="tx1"/>
                  </w14:solidFill>
                </w14:textFill>
              </w:rPr>
              <w:t>分</w:t>
            </w:r>
          </w:p>
        </w:tc>
        <w:tc>
          <w:tcPr>
            <w:tcW w:w="6407" w:type="dxa"/>
            <w:vAlign w:val="center"/>
          </w:tcPr>
          <w:p>
            <w:pPr>
              <w:pStyle w:val="171"/>
              <w:snapToGrid w:val="0"/>
              <w:spacing w:line="500" w:lineRule="exac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投标人通过“ISO9001”质量管理体系认证、“ISO14001”环境管理体系认证、“OHSAS18001”职业健康安全管理体系认证的，每项得1分，最高得3分，不提供不得分；（证书复印件加盖公章）（总计3分）</w:t>
            </w:r>
          </w:p>
          <w:p>
            <w:pPr>
              <w:pStyle w:val="171"/>
              <w:snapToGrid w:val="0"/>
              <w:spacing w:line="500" w:lineRule="exac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第三方出具企业AAA认证，每提供一项得1分，最高得3分（证书复印件加盖公章）（总计3分）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9" w:hRule="atLeast"/>
        </w:trPr>
        <w:tc>
          <w:tcPr>
            <w:tcW w:w="920" w:type="dxa"/>
            <w:vAlign w:val="center"/>
          </w:tcPr>
          <w:p>
            <w:pPr>
              <w:widowControl/>
              <w:spacing w:line="500" w:lineRule="exact"/>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2</w:t>
            </w:r>
          </w:p>
        </w:tc>
        <w:tc>
          <w:tcPr>
            <w:tcW w:w="792" w:type="dxa"/>
            <w:vMerge w:val="continue"/>
          </w:tcPr>
          <w:p>
            <w:pPr>
              <w:tabs>
                <w:tab w:val="left" w:pos="420"/>
                <w:tab w:val="left" w:pos="840"/>
                <w:tab w:val="left" w:pos="1260"/>
                <w:tab w:val="left" w:pos="1680"/>
                <w:tab w:val="left" w:pos="2100"/>
                <w:tab w:val="left" w:pos="2520"/>
              </w:tabs>
              <w:adjustRightInd w:val="0"/>
              <w:snapToGrid w:val="0"/>
              <w:spacing w:line="500" w:lineRule="exact"/>
              <w:jc w:val="center"/>
              <w:rPr>
                <w:rFonts w:ascii="宋体" w:hAnsi="宋体" w:cs="宋体"/>
                <w:color w:val="000000" w:themeColor="text1"/>
                <w:sz w:val="24"/>
                <w:szCs w:val="24"/>
                <w14:textFill>
                  <w14:solidFill>
                    <w14:schemeClr w14:val="tx1"/>
                  </w14:solidFill>
                </w14:textFill>
              </w:rPr>
            </w:pPr>
          </w:p>
        </w:tc>
        <w:tc>
          <w:tcPr>
            <w:tcW w:w="851" w:type="dxa"/>
            <w:vAlign w:val="center"/>
          </w:tcPr>
          <w:p>
            <w:pPr>
              <w:tabs>
                <w:tab w:val="left" w:pos="420"/>
                <w:tab w:val="left" w:pos="840"/>
                <w:tab w:val="left" w:pos="1260"/>
                <w:tab w:val="left" w:pos="1680"/>
                <w:tab w:val="left" w:pos="2100"/>
                <w:tab w:val="left" w:pos="2520"/>
              </w:tabs>
              <w:adjustRightInd w:val="0"/>
              <w:snapToGrid w:val="0"/>
              <w:spacing w:line="500" w:lineRule="exact"/>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业绩</w:t>
            </w:r>
          </w:p>
        </w:tc>
        <w:tc>
          <w:tcPr>
            <w:tcW w:w="851" w:type="dxa"/>
            <w:vAlign w:val="center"/>
          </w:tcPr>
          <w:p>
            <w:pPr>
              <w:widowControl/>
              <w:spacing w:line="500" w:lineRule="exact"/>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12</w:t>
            </w:r>
            <w:r>
              <w:rPr>
                <w:rFonts w:hint="eastAsia" w:ascii="宋体" w:hAnsi="宋体" w:cs="宋体"/>
                <w:color w:val="000000" w:themeColor="text1"/>
                <w:sz w:val="24"/>
                <w:szCs w:val="24"/>
                <w14:textFill>
                  <w14:solidFill>
                    <w14:schemeClr w14:val="tx1"/>
                  </w14:solidFill>
                </w14:textFill>
              </w:rPr>
              <w:t>分</w:t>
            </w:r>
          </w:p>
        </w:tc>
        <w:tc>
          <w:tcPr>
            <w:tcW w:w="6407" w:type="dxa"/>
            <w:vAlign w:val="center"/>
          </w:tcPr>
          <w:p>
            <w:pPr>
              <w:pStyle w:val="171"/>
              <w:snapToGrid w:val="0"/>
              <w:spacing w:line="500" w:lineRule="exac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14:textFill>
                  <w14:solidFill>
                    <w14:schemeClr w14:val="tx1"/>
                  </w14:solidFill>
                </w14:textFill>
              </w:rPr>
              <w:t>投标人业绩：提供近</w:t>
            </w:r>
            <w:r>
              <w:rPr>
                <w:rFonts w:hint="eastAsia" w:ascii="宋体" w:hAnsi="宋体" w:cs="宋体"/>
                <w:color w:val="auto"/>
              </w:rPr>
              <w:t>三年（2019年1月至今）投标人具有相关实训室项目业绩，每提供一个有效业绩得2分</w:t>
            </w:r>
            <w:r>
              <w:rPr>
                <w:rFonts w:hint="eastAsia" w:ascii="宋体" w:hAnsi="宋体" w:cs="宋体"/>
                <w:color w:val="000000" w:themeColor="text1"/>
                <w14:textFill>
                  <w14:solidFill>
                    <w14:schemeClr w14:val="tx1"/>
                  </w14:solidFill>
                </w14:textFill>
              </w:rPr>
              <w:t>，最多得12分。（业绩必须提供合同首页、盖章页、设备清单、中标通知书，加盖投标人公章）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920" w:type="dxa"/>
            <w:vAlign w:val="center"/>
          </w:tcPr>
          <w:p>
            <w:pPr>
              <w:widowControl/>
              <w:spacing w:line="500" w:lineRule="exact"/>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3</w:t>
            </w:r>
          </w:p>
        </w:tc>
        <w:tc>
          <w:tcPr>
            <w:tcW w:w="792" w:type="dxa"/>
            <w:vMerge w:val="restart"/>
            <w:vAlign w:val="center"/>
          </w:tcPr>
          <w:p>
            <w:pPr>
              <w:tabs>
                <w:tab w:val="left" w:pos="420"/>
                <w:tab w:val="left" w:pos="840"/>
                <w:tab w:val="left" w:pos="1260"/>
                <w:tab w:val="left" w:pos="1680"/>
                <w:tab w:val="left" w:pos="2100"/>
                <w:tab w:val="left" w:pos="2520"/>
              </w:tabs>
              <w:adjustRightInd w:val="0"/>
              <w:snapToGrid w:val="0"/>
              <w:spacing w:line="500" w:lineRule="exact"/>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技术</w:t>
            </w:r>
          </w:p>
        </w:tc>
        <w:tc>
          <w:tcPr>
            <w:tcW w:w="851" w:type="dxa"/>
            <w:vAlign w:val="center"/>
          </w:tcPr>
          <w:p>
            <w:pPr>
              <w:tabs>
                <w:tab w:val="left" w:pos="420"/>
                <w:tab w:val="left" w:pos="840"/>
                <w:tab w:val="left" w:pos="1260"/>
                <w:tab w:val="left" w:pos="1680"/>
                <w:tab w:val="left" w:pos="2100"/>
                <w:tab w:val="left" w:pos="2520"/>
              </w:tabs>
              <w:adjustRightInd w:val="0"/>
              <w:snapToGrid w:val="0"/>
              <w:spacing w:line="500" w:lineRule="exact"/>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技术方案</w:t>
            </w:r>
          </w:p>
        </w:tc>
        <w:tc>
          <w:tcPr>
            <w:tcW w:w="851" w:type="dxa"/>
            <w:vAlign w:val="center"/>
          </w:tcPr>
          <w:p>
            <w:pPr>
              <w:widowControl/>
              <w:spacing w:line="500" w:lineRule="exact"/>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w:t>
            </w:r>
            <w:r>
              <w:rPr>
                <w:rFonts w:hint="eastAsia" w:ascii="宋体" w:hAnsi="宋体" w:cs="宋体"/>
                <w:color w:val="000000" w:themeColor="text1"/>
                <w:sz w:val="24"/>
                <w:szCs w:val="24"/>
                <w:lang w:val="en-US" w:eastAsia="zh-CN"/>
                <w14:textFill>
                  <w14:solidFill>
                    <w14:schemeClr w14:val="tx1"/>
                  </w14:solidFill>
                </w14:textFill>
              </w:rPr>
              <w:t>3</w:t>
            </w:r>
            <w:r>
              <w:rPr>
                <w:rFonts w:hint="eastAsia" w:ascii="宋体" w:hAnsi="宋体" w:cs="宋体"/>
                <w:color w:val="000000" w:themeColor="text1"/>
                <w:sz w:val="24"/>
                <w:szCs w:val="24"/>
                <w14:textFill>
                  <w14:solidFill>
                    <w14:schemeClr w14:val="tx1"/>
                  </w14:solidFill>
                </w14:textFill>
              </w:rPr>
              <w:t>分</w:t>
            </w:r>
          </w:p>
        </w:tc>
        <w:tc>
          <w:tcPr>
            <w:tcW w:w="6407" w:type="dxa"/>
            <w:vAlign w:val="center"/>
          </w:tcPr>
          <w:p>
            <w:pPr>
              <w:pStyle w:val="13"/>
              <w:spacing w:line="500" w:lineRule="exact"/>
              <w:ind w:firstLine="0" w:firstLineChars="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提供的方案完整，设计开发方案有合理的保障机制，项目实施方案中具有完整的项目实施流程和细则，计划安排与保障措施，方案中风险分析与控制得当，能够充分满足采购人需求，具备可行性，有利于推动校企合作，有推动创新创业思路的建议内容编写充分完善1</w:t>
            </w:r>
            <w:r>
              <w:rPr>
                <w:rFonts w:hint="eastAsia" w:ascii="宋体" w:hAnsi="宋体" w:cs="宋体"/>
                <w:color w:val="000000" w:themeColor="text1"/>
                <w:sz w:val="24"/>
                <w:szCs w:val="24"/>
                <w:lang w:val="en-US" w:eastAsia="zh-CN"/>
                <w14:textFill>
                  <w14:solidFill>
                    <w14:schemeClr w14:val="tx1"/>
                  </w14:solidFill>
                </w14:textFill>
              </w:rPr>
              <w:t>3</w:t>
            </w:r>
            <w:r>
              <w:rPr>
                <w:rFonts w:hint="eastAsia" w:ascii="宋体" w:hAnsi="宋体" w:cs="宋体"/>
                <w:color w:val="000000" w:themeColor="text1"/>
                <w:sz w:val="24"/>
                <w:szCs w:val="24"/>
                <w14:textFill>
                  <w14:solidFill>
                    <w14:schemeClr w14:val="tx1"/>
                  </w14:solidFill>
                </w14:textFill>
              </w:rPr>
              <w:t>分；</w:t>
            </w:r>
          </w:p>
          <w:p>
            <w:pPr>
              <w:pStyle w:val="13"/>
              <w:spacing w:line="500" w:lineRule="exact"/>
              <w:ind w:firstLine="0" w:firstLineChars="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（2）提供的方案合理、针对性强，基本满足采购人需求得</w:t>
            </w:r>
            <w:r>
              <w:rPr>
                <w:rFonts w:hint="eastAsia" w:ascii="宋体" w:hAnsi="宋体" w:cs="宋体"/>
                <w:color w:val="000000" w:themeColor="text1"/>
                <w:sz w:val="24"/>
                <w:szCs w:val="24"/>
                <w:lang w:val="en-US" w:eastAsia="zh-CN"/>
                <w14:textFill>
                  <w14:solidFill>
                    <w14:schemeClr w14:val="tx1"/>
                  </w14:solidFill>
                </w14:textFill>
              </w:rPr>
              <w:t>7</w:t>
            </w:r>
            <w:r>
              <w:rPr>
                <w:rFonts w:hint="eastAsia" w:ascii="宋体" w:hAnsi="宋体" w:cs="宋体"/>
                <w:color w:val="000000" w:themeColor="text1"/>
                <w:sz w:val="24"/>
                <w:szCs w:val="24"/>
                <w14:textFill>
                  <w14:solidFill>
                    <w14:schemeClr w14:val="tx1"/>
                  </w14:solidFill>
                </w14:textFill>
              </w:rPr>
              <w:t>分；</w:t>
            </w:r>
          </w:p>
          <w:p>
            <w:pPr>
              <w:pStyle w:val="13"/>
              <w:spacing w:line="500" w:lineRule="exact"/>
              <w:ind w:firstLine="0" w:firstLineChars="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（3）提供的方案合理，可行性尚需要研究得</w:t>
            </w:r>
            <w:r>
              <w:rPr>
                <w:rFonts w:hint="eastAsia" w:ascii="宋体" w:hAnsi="宋体" w:cs="宋体"/>
                <w:color w:val="000000" w:themeColor="text1"/>
                <w:sz w:val="24"/>
                <w:szCs w:val="24"/>
                <w:lang w:val="en-US" w:eastAsia="zh-CN"/>
                <w14:textFill>
                  <w14:solidFill>
                    <w14:schemeClr w14:val="tx1"/>
                  </w14:solidFill>
                </w14:textFill>
              </w:rPr>
              <w:t>3</w:t>
            </w:r>
            <w:r>
              <w:rPr>
                <w:rFonts w:hint="eastAsia" w:ascii="宋体" w:hAnsi="宋体" w:cs="宋体"/>
                <w:color w:val="000000" w:themeColor="text1"/>
                <w:sz w:val="24"/>
                <w:szCs w:val="24"/>
                <w14:textFill>
                  <w14:solidFill>
                    <w14:schemeClr w14:val="tx1"/>
                  </w14:solidFill>
                </w14:textFill>
              </w:rPr>
              <w:t>分；</w:t>
            </w:r>
          </w:p>
          <w:p>
            <w:pPr>
              <w:pStyle w:val="171"/>
              <w:snapToGrid w:val="0"/>
              <w:spacing w:line="500" w:lineRule="exac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（4）未提供不得分。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920" w:type="dxa"/>
            <w:vAlign w:val="center"/>
          </w:tcPr>
          <w:p>
            <w:pPr>
              <w:widowControl/>
              <w:spacing w:line="500" w:lineRule="exact"/>
              <w:jc w:val="center"/>
              <w:rPr>
                <w:rFonts w:ascii="宋体" w:hAnsi="宋体" w:cs="宋体"/>
                <w:color w:val="000000" w:themeColor="text1"/>
                <w:kern w:val="0"/>
                <w:sz w:val="24"/>
                <w:szCs w:val="24"/>
                <w14:textFill>
                  <w14:solidFill>
                    <w14:schemeClr w14:val="tx1"/>
                  </w14:solidFill>
                </w14:textFill>
              </w:rPr>
            </w:pPr>
            <w:r>
              <w:rPr>
                <w:rFonts w:ascii="宋体" w:hAnsi="宋体" w:cs="宋体"/>
                <w:color w:val="000000" w:themeColor="text1"/>
                <w:kern w:val="0"/>
                <w:sz w:val="24"/>
                <w:szCs w:val="24"/>
                <w14:textFill>
                  <w14:solidFill>
                    <w14:schemeClr w14:val="tx1"/>
                  </w14:solidFill>
                </w14:textFill>
              </w:rPr>
              <w:t>4</w:t>
            </w:r>
          </w:p>
        </w:tc>
        <w:tc>
          <w:tcPr>
            <w:tcW w:w="792" w:type="dxa"/>
            <w:vMerge w:val="continue"/>
          </w:tcPr>
          <w:p>
            <w:pPr>
              <w:tabs>
                <w:tab w:val="left" w:pos="420"/>
                <w:tab w:val="left" w:pos="840"/>
                <w:tab w:val="left" w:pos="1260"/>
                <w:tab w:val="left" w:pos="1680"/>
                <w:tab w:val="left" w:pos="2100"/>
                <w:tab w:val="left" w:pos="2520"/>
              </w:tabs>
              <w:adjustRightInd w:val="0"/>
              <w:snapToGrid w:val="0"/>
              <w:spacing w:line="500" w:lineRule="exact"/>
              <w:jc w:val="center"/>
              <w:rPr>
                <w:rFonts w:ascii="宋体" w:hAnsi="宋体" w:cs="宋体"/>
                <w:color w:val="000000" w:themeColor="text1"/>
                <w:kern w:val="0"/>
                <w:sz w:val="24"/>
                <w:szCs w:val="24"/>
                <w14:textFill>
                  <w14:solidFill>
                    <w14:schemeClr w14:val="tx1"/>
                  </w14:solidFill>
                </w14:textFill>
              </w:rPr>
            </w:pPr>
          </w:p>
        </w:tc>
        <w:tc>
          <w:tcPr>
            <w:tcW w:w="851" w:type="dxa"/>
            <w:vAlign w:val="center"/>
          </w:tcPr>
          <w:p>
            <w:pPr>
              <w:tabs>
                <w:tab w:val="left" w:pos="420"/>
                <w:tab w:val="left" w:pos="840"/>
                <w:tab w:val="left" w:pos="1260"/>
                <w:tab w:val="left" w:pos="1680"/>
                <w:tab w:val="left" w:pos="2100"/>
                <w:tab w:val="left" w:pos="2520"/>
              </w:tabs>
              <w:adjustRightInd w:val="0"/>
              <w:snapToGrid w:val="0"/>
              <w:spacing w:line="500" w:lineRule="exact"/>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参数符合程度</w:t>
            </w:r>
          </w:p>
        </w:tc>
        <w:tc>
          <w:tcPr>
            <w:tcW w:w="851" w:type="dxa"/>
            <w:vAlign w:val="center"/>
          </w:tcPr>
          <w:p>
            <w:pPr>
              <w:pStyle w:val="37"/>
              <w:spacing w:after="0" w:line="500" w:lineRule="exact"/>
              <w:ind w:firstLine="0" w:firstLineChars="0"/>
              <w:jc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20分</w:t>
            </w:r>
          </w:p>
        </w:tc>
        <w:tc>
          <w:tcPr>
            <w:tcW w:w="6407" w:type="dxa"/>
            <w:vAlign w:val="center"/>
          </w:tcPr>
          <w:p>
            <w:pPr>
              <w:tabs>
                <w:tab w:val="left" w:pos="432"/>
                <w:tab w:val="left" w:pos="840"/>
                <w:tab w:val="left" w:pos="1260"/>
                <w:tab w:val="left" w:pos="1680"/>
                <w:tab w:val="left" w:pos="2100"/>
                <w:tab w:val="left" w:pos="2520"/>
                <w:tab w:val="left" w:pos="2940"/>
                <w:tab w:val="left" w:pos="3360"/>
                <w:tab w:val="left" w:pos="3780"/>
                <w:tab w:val="left" w:pos="4200"/>
              </w:tabs>
              <w:adjustRightInd w:val="0"/>
              <w:snapToGrid w:val="0"/>
              <w:spacing w:line="500" w:lineRule="exac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针对技术参数要求，投标文件能体现投标方对本项目中涉及的各类性能参数要求一致，满分20分。每有一项负偏离扣2分。（扣完为止）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920" w:type="dxa"/>
            <w:vAlign w:val="center"/>
          </w:tcPr>
          <w:p>
            <w:pPr>
              <w:widowControl/>
              <w:spacing w:line="500" w:lineRule="exact"/>
              <w:jc w:val="center"/>
              <w:rPr>
                <w:rFonts w:ascii="宋体" w:hAnsi="宋体" w:cs="宋体"/>
                <w:color w:val="000000" w:themeColor="text1"/>
                <w:kern w:val="0"/>
                <w:sz w:val="24"/>
                <w:szCs w:val="24"/>
                <w14:textFill>
                  <w14:solidFill>
                    <w14:schemeClr w14:val="tx1"/>
                  </w14:solidFill>
                </w14:textFill>
              </w:rPr>
            </w:pPr>
            <w:r>
              <w:rPr>
                <w:rFonts w:ascii="宋体" w:hAnsi="宋体" w:cs="宋体"/>
                <w:color w:val="000000" w:themeColor="text1"/>
                <w:kern w:val="0"/>
                <w:sz w:val="24"/>
                <w:szCs w:val="24"/>
                <w14:textFill>
                  <w14:solidFill>
                    <w14:schemeClr w14:val="tx1"/>
                  </w14:solidFill>
                </w14:textFill>
              </w:rPr>
              <w:t>5</w:t>
            </w:r>
          </w:p>
        </w:tc>
        <w:tc>
          <w:tcPr>
            <w:tcW w:w="792" w:type="dxa"/>
            <w:vMerge w:val="continue"/>
          </w:tcPr>
          <w:p>
            <w:pPr>
              <w:tabs>
                <w:tab w:val="left" w:pos="420"/>
                <w:tab w:val="left" w:pos="840"/>
                <w:tab w:val="left" w:pos="1260"/>
                <w:tab w:val="left" w:pos="1680"/>
                <w:tab w:val="left" w:pos="2100"/>
                <w:tab w:val="left" w:pos="2520"/>
              </w:tabs>
              <w:adjustRightInd w:val="0"/>
              <w:snapToGrid w:val="0"/>
              <w:spacing w:line="500" w:lineRule="exact"/>
              <w:jc w:val="center"/>
              <w:rPr>
                <w:rFonts w:ascii="宋体" w:hAnsi="宋体" w:cs="宋体"/>
                <w:color w:val="000000" w:themeColor="text1"/>
                <w:kern w:val="0"/>
                <w:sz w:val="24"/>
                <w:szCs w:val="24"/>
                <w14:textFill>
                  <w14:solidFill>
                    <w14:schemeClr w14:val="tx1"/>
                  </w14:solidFill>
                </w14:textFill>
              </w:rPr>
            </w:pPr>
          </w:p>
        </w:tc>
        <w:tc>
          <w:tcPr>
            <w:tcW w:w="851" w:type="dxa"/>
            <w:vAlign w:val="center"/>
          </w:tcPr>
          <w:p>
            <w:pPr>
              <w:tabs>
                <w:tab w:val="left" w:pos="420"/>
                <w:tab w:val="left" w:pos="840"/>
                <w:tab w:val="left" w:pos="1260"/>
                <w:tab w:val="left" w:pos="1680"/>
                <w:tab w:val="left" w:pos="2100"/>
                <w:tab w:val="left" w:pos="2520"/>
              </w:tabs>
              <w:adjustRightInd w:val="0"/>
              <w:snapToGrid w:val="0"/>
              <w:spacing w:line="500" w:lineRule="exact"/>
              <w:jc w:val="center"/>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培训方案</w:t>
            </w:r>
          </w:p>
        </w:tc>
        <w:tc>
          <w:tcPr>
            <w:tcW w:w="851" w:type="dxa"/>
            <w:vAlign w:val="center"/>
          </w:tcPr>
          <w:p>
            <w:pPr>
              <w:pStyle w:val="37"/>
              <w:spacing w:after="0" w:line="500" w:lineRule="exact"/>
              <w:ind w:firstLine="0" w:firstLineChars="0"/>
              <w:jc w:val="center"/>
              <w:rPr>
                <w:rFonts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8</w:t>
            </w:r>
            <w:r>
              <w:rPr>
                <w:rFonts w:hint="eastAsia" w:ascii="宋体" w:hAnsi="宋体" w:eastAsia="宋体" w:cs="宋体"/>
                <w:color w:val="000000" w:themeColor="text1"/>
                <w:sz w:val="24"/>
                <w14:textFill>
                  <w14:solidFill>
                    <w14:schemeClr w14:val="tx1"/>
                  </w14:solidFill>
                </w14:textFill>
              </w:rPr>
              <w:t>分</w:t>
            </w:r>
          </w:p>
        </w:tc>
        <w:tc>
          <w:tcPr>
            <w:tcW w:w="6407" w:type="dxa"/>
            <w:vAlign w:val="center"/>
          </w:tcPr>
          <w:p>
            <w:pPr>
              <w:pStyle w:val="16"/>
              <w:spacing w:before="0" w:line="500" w:lineRule="exact"/>
              <w:jc w:val="left"/>
              <w:rPr>
                <w:rFonts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根据用户情况，分批、分层次、分人员提供</w:t>
            </w:r>
            <w:r>
              <w:rPr>
                <w:rFonts w:ascii="宋体" w:hAnsi="宋体" w:cs="宋体"/>
                <w:color w:val="000000" w:themeColor="text1"/>
                <w:szCs w:val="24"/>
                <w14:textFill>
                  <w14:solidFill>
                    <w14:schemeClr w14:val="tx1"/>
                  </w14:solidFill>
                </w14:textFill>
              </w:rPr>
              <w:t>有合理的培训计划，明确给出培训目标、内容、时长，地点等，培训计划内容编写充分完善：得</w:t>
            </w:r>
            <w:r>
              <w:rPr>
                <w:rFonts w:hint="eastAsia" w:ascii="宋体" w:hAnsi="宋体" w:cs="宋体"/>
                <w:color w:val="000000" w:themeColor="text1"/>
                <w:szCs w:val="24"/>
                <w14:textFill>
                  <w14:solidFill>
                    <w14:schemeClr w14:val="tx1"/>
                  </w14:solidFill>
                </w14:textFill>
              </w:rPr>
              <w:t>8</w:t>
            </w:r>
            <w:r>
              <w:rPr>
                <w:rFonts w:ascii="宋体" w:hAnsi="宋体" w:cs="宋体"/>
                <w:color w:val="000000" w:themeColor="text1"/>
                <w:szCs w:val="24"/>
                <w14:textFill>
                  <w14:solidFill>
                    <w14:schemeClr w14:val="tx1"/>
                  </w14:solidFill>
                </w14:textFill>
              </w:rPr>
              <w:t>分；</w:t>
            </w:r>
          </w:p>
          <w:p>
            <w:pPr>
              <w:pStyle w:val="16"/>
              <w:spacing w:before="0" w:line="500" w:lineRule="exact"/>
              <w:jc w:val="left"/>
              <w:rPr>
                <w:rFonts w:ascii="宋体" w:hAnsi="宋体" w:cs="宋体"/>
                <w:color w:val="000000" w:themeColor="text1"/>
                <w:szCs w:val="24"/>
                <w14:textFill>
                  <w14:solidFill>
                    <w14:schemeClr w14:val="tx1"/>
                  </w14:solidFill>
                </w14:textFill>
              </w:rPr>
            </w:pPr>
            <w:r>
              <w:rPr>
                <w:rFonts w:ascii="宋体" w:hAnsi="宋体" w:cs="宋体"/>
                <w:color w:val="000000" w:themeColor="text1"/>
                <w:szCs w:val="24"/>
                <w14:textFill>
                  <w14:solidFill>
                    <w14:schemeClr w14:val="tx1"/>
                  </w14:solidFill>
                </w14:textFill>
              </w:rPr>
              <w:t>编写内容有部分未完善：得</w:t>
            </w:r>
            <w:r>
              <w:rPr>
                <w:rFonts w:hint="eastAsia" w:ascii="宋体" w:hAnsi="宋体" w:cs="宋体"/>
                <w:color w:val="000000" w:themeColor="text1"/>
                <w:szCs w:val="24"/>
                <w14:textFill>
                  <w14:solidFill>
                    <w14:schemeClr w14:val="tx1"/>
                  </w14:solidFill>
                </w14:textFill>
              </w:rPr>
              <w:t>5</w:t>
            </w:r>
            <w:r>
              <w:rPr>
                <w:rFonts w:ascii="宋体" w:hAnsi="宋体" w:cs="宋体"/>
                <w:color w:val="000000" w:themeColor="text1"/>
                <w:szCs w:val="24"/>
                <w14:textFill>
                  <w14:solidFill>
                    <w14:schemeClr w14:val="tx1"/>
                  </w14:solidFill>
                </w14:textFill>
              </w:rPr>
              <w:t>分；</w:t>
            </w:r>
          </w:p>
          <w:p>
            <w:pPr>
              <w:pStyle w:val="16"/>
              <w:spacing w:before="0" w:line="500" w:lineRule="exact"/>
              <w:jc w:val="left"/>
              <w:rPr>
                <w:rFonts w:ascii="宋体" w:hAnsi="宋体" w:cs="宋体"/>
                <w:color w:val="000000" w:themeColor="text1"/>
                <w:szCs w:val="24"/>
                <w14:textFill>
                  <w14:solidFill>
                    <w14:schemeClr w14:val="tx1"/>
                  </w14:solidFill>
                </w14:textFill>
              </w:rPr>
            </w:pPr>
            <w:r>
              <w:rPr>
                <w:rFonts w:ascii="宋体" w:hAnsi="宋体" w:cs="宋体"/>
                <w:color w:val="000000" w:themeColor="text1"/>
                <w:szCs w:val="24"/>
                <w14:textFill>
                  <w14:solidFill>
                    <w14:schemeClr w14:val="tx1"/>
                  </w14:solidFill>
                </w14:textFill>
              </w:rPr>
              <w:t>无培训计划不得分</w:t>
            </w:r>
            <w:r>
              <w:rPr>
                <w:rFonts w:hint="eastAsia" w:ascii="宋体" w:hAnsi="宋体" w:cs="宋体"/>
                <w:color w:val="000000" w:themeColor="text1"/>
                <w:szCs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920" w:type="dxa"/>
            <w:vAlign w:val="center"/>
          </w:tcPr>
          <w:p>
            <w:pPr>
              <w:widowControl/>
              <w:spacing w:line="500" w:lineRule="exact"/>
              <w:jc w:val="center"/>
              <w:rPr>
                <w:rFonts w:ascii="宋体" w:hAnsi="宋体" w:cs="宋体"/>
                <w:color w:val="000000" w:themeColor="text1"/>
                <w:kern w:val="0"/>
                <w:sz w:val="24"/>
                <w:szCs w:val="24"/>
                <w14:textFill>
                  <w14:solidFill>
                    <w14:schemeClr w14:val="tx1"/>
                  </w14:solidFill>
                </w14:textFill>
              </w:rPr>
            </w:pPr>
            <w:r>
              <w:rPr>
                <w:rFonts w:ascii="宋体" w:hAnsi="宋体" w:cs="宋体"/>
                <w:color w:val="000000" w:themeColor="text1"/>
                <w:kern w:val="0"/>
                <w:sz w:val="24"/>
                <w:szCs w:val="24"/>
                <w14:textFill>
                  <w14:solidFill>
                    <w14:schemeClr w14:val="tx1"/>
                  </w14:solidFill>
                </w14:textFill>
              </w:rPr>
              <w:t>6</w:t>
            </w:r>
          </w:p>
        </w:tc>
        <w:tc>
          <w:tcPr>
            <w:tcW w:w="792" w:type="dxa"/>
            <w:vAlign w:val="center"/>
          </w:tcPr>
          <w:p>
            <w:pPr>
              <w:tabs>
                <w:tab w:val="left" w:pos="420"/>
                <w:tab w:val="left" w:pos="840"/>
                <w:tab w:val="left" w:pos="1260"/>
                <w:tab w:val="left" w:pos="1680"/>
                <w:tab w:val="left" w:pos="2100"/>
                <w:tab w:val="left" w:pos="2520"/>
              </w:tabs>
              <w:adjustRightInd w:val="0"/>
              <w:snapToGrid w:val="0"/>
              <w:spacing w:line="500" w:lineRule="exact"/>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售后</w:t>
            </w:r>
          </w:p>
        </w:tc>
        <w:tc>
          <w:tcPr>
            <w:tcW w:w="851" w:type="dxa"/>
            <w:vAlign w:val="center"/>
          </w:tcPr>
          <w:p>
            <w:pPr>
              <w:tabs>
                <w:tab w:val="left" w:pos="420"/>
                <w:tab w:val="left" w:pos="840"/>
                <w:tab w:val="left" w:pos="1260"/>
                <w:tab w:val="left" w:pos="1680"/>
                <w:tab w:val="left" w:pos="2100"/>
                <w:tab w:val="left" w:pos="2520"/>
              </w:tabs>
              <w:adjustRightInd w:val="0"/>
              <w:snapToGrid w:val="0"/>
              <w:spacing w:line="500" w:lineRule="exact"/>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售后服务</w:t>
            </w:r>
          </w:p>
        </w:tc>
        <w:tc>
          <w:tcPr>
            <w:tcW w:w="851" w:type="dxa"/>
            <w:vAlign w:val="center"/>
          </w:tcPr>
          <w:p>
            <w:pPr>
              <w:pStyle w:val="37"/>
              <w:spacing w:after="0" w:line="500" w:lineRule="exact"/>
              <w:ind w:firstLine="0" w:firstLineChars="0"/>
              <w:jc w:val="center"/>
              <w:rPr>
                <w:rFonts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6</w:t>
            </w:r>
            <w:r>
              <w:rPr>
                <w:rFonts w:hint="eastAsia" w:ascii="宋体" w:hAnsi="宋体" w:eastAsia="宋体" w:cs="宋体"/>
                <w:color w:val="000000" w:themeColor="text1"/>
                <w:sz w:val="24"/>
                <w14:textFill>
                  <w14:solidFill>
                    <w14:schemeClr w14:val="tx1"/>
                  </w14:solidFill>
                </w14:textFill>
              </w:rPr>
              <w:t>分</w:t>
            </w:r>
          </w:p>
        </w:tc>
        <w:tc>
          <w:tcPr>
            <w:tcW w:w="6407" w:type="dxa"/>
            <w:vAlign w:val="center"/>
          </w:tcPr>
          <w:p>
            <w:pPr>
              <w:numPr>
                <w:ilvl w:val="0"/>
                <w:numId w:val="16"/>
              </w:numPr>
              <w:adjustRightInd w:val="0"/>
              <w:snapToGrid w:val="0"/>
              <w:spacing w:line="500" w:lineRule="exact"/>
              <w:ind w:firstLine="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投标人提供的售后服务体系完善，能够充分满足采购人需求，针对性强科学合理，投标人提供本地化服务方案，提供地址、联系电话、办公场所的租房合同或房产证等证明材料，得6分。</w:t>
            </w:r>
          </w:p>
          <w:p>
            <w:pPr>
              <w:numPr>
                <w:ilvl w:val="0"/>
                <w:numId w:val="16"/>
              </w:numPr>
              <w:adjustRightInd w:val="0"/>
              <w:snapToGrid w:val="0"/>
              <w:spacing w:line="500" w:lineRule="exact"/>
              <w:ind w:firstLine="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（2）投标人提供的售后服务体系完善较为完善得4分；</w:t>
            </w:r>
          </w:p>
          <w:p>
            <w:pPr>
              <w:numPr>
                <w:ilvl w:val="0"/>
                <w:numId w:val="16"/>
              </w:numPr>
              <w:tabs>
                <w:tab w:val="left" w:pos="420"/>
                <w:tab w:val="left" w:pos="840"/>
                <w:tab w:val="left" w:pos="1260"/>
                <w:tab w:val="left" w:pos="1680"/>
                <w:tab w:val="left" w:pos="2100"/>
                <w:tab w:val="left" w:pos="2520"/>
                <w:tab w:val="left" w:pos="2940"/>
                <w:tab w:val="left" w:pos="3360"/>
                <w:tab w:val="left" w:pos="3780"/>
                <w:tab w:val="left" w:pos="4200"/>
              </w:tabs>
              <w:adjustRightInd w:val="0"/>
              <w:snapToGrid w:val="0"/>
              <w:spacing w:line="500" w:lineRule="exact"/>
              <w:ind w:firstLine="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（3）提供售后服务体系内容不清晰得2分；</w:t>
            </w:r>
          </w:p>
          <w:p>
            <w:pPr>
              <w:numPr>
                <w:ilvl w:val="0"/>
                <w:numId w:val="16"/>
              </w:numPr>
              <w:tabs>
                <w:tab w:val="left" w:pos="420"/>
                <w:tab w:val="left" w:pos="840"/>
                <w:tab w:val="left" w:pos="1260"/>
                <w:tab w:val="left" w:pos="1680"/>
                <w:tab w:val="left" w:pos="2100"/>
                <w:tab w:val="left" w:pos="2520"/>
                <w:tab w:val="left" w:pos="2940"/>
                <w:tab w:val="left" w:pos="3360"/>
                <w:tab w:val="left" w:pos="3780"/>
                <w:tab w:val="left" w:pos="4200"/>
              </w:tabs>
              <w:adjustRightInd w:val="0"/>
              <w:snapToGrid w:val="0"/>
              <w:spacing w:line="500" w:lineRule="exact"/>
              <w:ind w:firstLine="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920" w:type="dxa"/>
            <w:vAlign w:val="center"/>
          </w:tcPr>
          <w:p>
            <w:pPr>
              <w:widowControl/>
              <w:spacing w:line="500" w:lineRule="exact"/>
              <w:jc w:val="center"/>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7</w:t>
            </w:r>
          </w:p>
        </w:tc>
        <w:tc>
          <w:tcPr>
            <w:tcW w:w="1643" w:type="dxa"/>
            <w:gridSpan w:val="2"/>
            <w:vAlign w:val="center"/>
          </w:tcPr>
          <w:p>
            <w:pPr>
              <w:tabs>
                <w:tab w:val="left" w:pos="420"/>
                <w:tab w:val="left" w:pos="840"/>
                <w:tab w:val="left" w:pos="1260"/>
                <w:tab w:val="left" w:pos="1680"/>
                <w:tab w:val="left" w:pos="2100"/>
                <w:tab w:val="left" w:pos="2520"/>
              </w:tabs>
              <w:adjustRightInd w:val="0"/>
              <w:snapToGrid w:val="0"/>
              <w:spacing w:line="500" w:lineRule="exact"/>
              <w:jc w:val="center"/>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技术演示</w:t>
            </w:r>
          </w:p>
        </w:tc>
        <w:tc>
          <w:tcPr>
            <w:tcW w:w="851" w:type="dxa"/>
            <w:vAlign w:val="center"/>
          </w:tcPr>
          <w:p>
            <w:pPr>
              <w:pStyle w:val="37"/>
              <w:spacing w:after="0" w:line="500" w:lineRule="exact"/>
              <w:ind w:firstLine="0" w:firstLineChars="0"/>
              <w:jc w:val="center"/>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5分</w:t>
            </w:r>
          </w:p>
        </w:tc>
        <w:tc>
          <w:tcPr>
            <w:tcW w:w="6407" w:type="dxa"/>
            <w:vAlign w:val="center"/>
          </w:tcPr>
          <w:p>
            <w:pPr>
              <w:pStyle w:val="34"/>
              <w:keepNext w:val="0"/>
              <w:keepLines w:val="0"/>
              <w:pageBreakBefore w:val="0"/>
              <w:kinsoku/>
              <w:wordWrap/>
              <w:overflowPunct/>
              <w:topLinePunct w:val="0"/>
              <w:autoSpaceDE/>
              <w:autoSpaceDN/>
              <w:bidi w:val="0"/>
              <w:adjustRightInd w:val="0"/>
              <w:snapToGrid w:val="0"/>
              <w:spacing w:beforeAutospacing="0" w:after="0" w:afterAutospacing="0" w:line="500" w:lineRule="exact"/>
              <w:jc w:val="both"/>
              <w:textAlignment w:val="auto"/>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1、工业机器人拆装多人协同操作视频、2、车床三箱拆装软件操作视频</w:t>
            </w:r>
          </w:p>
          <w:p>
            <w:pPr>
              <w:pStyle w:val="34"/>
              <w:keepNext w:val="0"/>
              <w:keepLines w:val="0"/>
              <w:pageBreakBefore w:val="0"/>
              <w:kinsoku/>
              <w:wordWrap/>
              <w:overflowPunct/>
              <w:topLinePunct w:val="0"/>
              <w:autoSpaceDE/>
              <w:autoSpaceDN/>
              <w:bidi w:val="0"/>
              <w:adjustRightInd w:val="0"/>
              <w:snapToGrid w:val="0"/>
              <w:spacing w:beforeAutospacing="0" w:after="0" w:afterAutospacing="0" w:line="500" w:lineRule="exact"/>
              <w:jc w:val="both"/>
              <w:textAlignment w:val="auto"/>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（1）提供的演示，科学、合理、针对性强，能够充分满足采购人需求的得5分</w:t>
            </w:r>
          </w:p>
          <w:p>
            <w:pPr>
              <w:pStyle w:val="34"/>
              <w:keepNext w:val="0"/>
              <w:keepLines w:val="0"/>
              <w:pageBreakBefore w:val="0"/>
              <w:kinsoku/>
              <w:wordWrap/>
              <w:overflowPunct/>
              <w:topLinePunct w:val="0"/>
              <w:autoSpaceDE/>
              <w:autoSpaceDN/>
              <w:bidi w:val="0"/>
              <w:adjustRightInd w:val="0"/>
              <w:snapToGrid w:val="0"/>
              <w:spacing w:beforeAutospacing="0" w:after="0" w:afterAutospacing="0" w:line="500" w:lineRule="exact"/>
              <w:jc w:val="both"/>
              <w:textAlignment w:val="auto"/>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（2）提供的演示较科学、合理、针对性较强，较能够充分满足采购人需求的得3分</w:t>
            </w:r>
          </w:p>
          <w:p>
            <w:pPr>
              <w:pStyle w:val="34"/>
              <w:keepNext w:val="0"/>
              <w:keepLines w:val="0"/>
              <w:pageBreakBefore w:val="0"/>
              <w:kinsoku/>
              <w:wordWrap/>
              <w:overflowPunct/>
              <w:topLinePunct w:val="0"/>
              <w:autoSpaceDE/>
              <w:autoSpaceDN/>
              <w:bidi w:val="0"/>
              <w:adjustRightInd w:val="0"/>
              <w:snapToGrid w:val="0"/>
              <w:spacing w:beforeAutospacing="0" w:after="0" w:afterAutospacing="0" w:line="500" w:lineRule="exact"/>
              <w:jc w:val="both"/>
              <w:textAlignment w:val="auto"/>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（3）供应商提供的演示一般科学、合理，无针对性，不能充分满足采购人需求的得1分，</w:t>
            </w:r>
          </w:p>
          <w:p>
            <w:pPr>
              <w:numPr>
                <w:ilvl w:val="0"/>
                <w:numId w:val="0"/>
              </w:numPr>
              <w:tabs>
                <w:tab w:val="left" w:pos="420"/>
                <w:tab w:val="left" w:pos="840"/>
                <w:tab w:val="left" w:pos="1260"/>
                <w:tab w:val="left" w:pos="1680"/>
                <w:tab w:val="left" w:pos="2100"/>
                <w:tab w:val="left" w:pos="2520"/>
                <w:tab w:val="left" w:pos="2940"/>
                <w:tab w:val="left" w:pos="3360"/>
                <w:tab w:val="left" w:pos="3780"/>
                <w:tab w:val="left" w:pos="4200"/>
              </w:tabs>
              <w:adjustRightInd w:val="0"/>
              <w:snapToGrid w:val="0"/>
              <w:spacing w:line="500" w:lineRule="exact"/>
              <w:ind w:leftChars="0"/>
              <w:jc w:val="left"/>
              <w:rPr>
                <w:rFonts w:hint="eastAsia" w:ascii="宋体" w:hAnsi="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（4）未提供或不符合演示要求则不得分。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920" w:type="dxa"/>
            <w:vAlign w:val="center"/>
          </w:tcPr>
          <w:p>
            <w:pPr>
              <w:widowControl/>
              <w:spacing w:line="500" w:lineRule="exact"/>
              <w:jc w:val="center"/>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8</w:t>
            </w:r>
          </w:p>
        </w:tc>
        <w:tc>
          <w:tcPr>
            <w:tcW w:w="1643" w:type="dxa"/>
            <w:gridSpan w:val="2"/>
            <w:vAlign w:val="center"/>
          </w:tcPr>
          <w:p>
            <w:pPr>
              <w:tabs>
                <w:tab w:val="left" w:pos="420"/>
                <w:tab w:val="left" w:pos="840"/>
                <w:tab w:val="left" w:pos="1260"/>
                <w:tab w:val="left" w:pos="1680"/>
                <w:tab w:val="left" w:pos="2100"/>
                <w:tab w:val="left" w:pos="2520"/>
              </w:tabs>
              <w:adjustRightInd w:val="0"/>
              <w:snapToGrid w:val="0"/>
              <w:spacing w:line="500" w:lineRule="exact"/>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价格</w:t>
            </w:r>
          </w:p>
        </w:tc>
        <w:tc>
          <w:tcPr>
            <w:tcW w:w="851" w:type="dxa"/>
            <w:vAlign w:val="center"/>
          </w:tcPr>
          <w:p>
            <w:pPr>
              <w:pStyle w:val="37"/>
              <w:spacing w:after="0" w:line="500" w:lineRule="exact"/>
              <w:ind w:firstLine="0" w:firstLineChars="0"/>
              <w:jc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w:t>
            </w:r>
            <w:r>
              <w:rPr>
                <w:rFonts w:ascii="宋体" w:hAnsi="宋体" w:eastAsia="宋体" w:cs="宋体"/>
                <w:color w:val="000000" w:themeColor="text1"/>
                <w:sz w:val="24"/>
                <w14:textFill>
                  <w14:solidFill>
                    <w14:schemeClr w14:val="tx1"/>
                  </w14:solidFill>
                </w14:textFill>
              </w:rPr>
              <w:t>0</w:t>
            </w:r>
            <w:r>
              <w:rPr>
                <w:rFonts w:hint="eastAsia" w:ascii="宋体" w:hAnsi="宋体" w:eastAsia="宋体" w:cs="宋体"/>
                <w:color w:val="000000" w:themeColor="text1"/>
                <w:sz w:val="24"/>
                <w14:textFill>
                  <w14:solidFill>
                    <w14:schemeClr w14:val="tx1"/>
                  </w14:solidFill>
                </w14:textFill>
              </w:rPr>
              <w:t>分</w:t>
            </w:r>
          </w:p>
        </w:tc>
        <w:tc>
          <w:tcPr>
            <w:tcW w:w="6407" w:type="dxa"/>
            <w:vAlign w:val="center"/>
          </w:tcPr>
          <w:p>
            <w:pPr>
              <w:tabs>
                <w:tab w:val="left" w:pos="420"/>
                <w:tab w:val="left" w:pos="840"/>
                <w:tab w:val="left" w:pos="1260"/>
                <w:tab w:val="left" w:pos="1680"/>
                <w:tab w:val="left" w:pos="2100"/>
                <w:tab w:val="left" w:pos="2520"/>
                <w:tab w:val="left" w:pos="2940"/>
                <w:tab w:val="left" w:pos="3360"/>
                <w:tab w:val="left" w:pos="3780"/>
                <w:tab w:val="left" w:pos="4200"/>
              </w:tabs>
              <w:adjustRightInd w:val="0"/>
              <w:snapToGrid w:val="0"/>
              <w:spacing w:line="500" w:lineRule="exac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评标基准价=有效投标报价的最低值，有效投标报价等于基准值的得满分，投标报价得分=（评标基准价/投标报价）×30。有效投标报价为通过初步审查的投标人的投标报价。</w:t>
            </w:r>
          </w:p>
        </w:tc>
      </w:tr>
    </w:tbl>
    <w:p>
      <w:pPr>
        <w:pStyle w:val="2"/>
        <w:rPr>
          <w:rFonts w:ascii="宋体" w:hAnsi="宋体" w:cs="宋体"/>
          <w:bCs/>
          <w:color w:val="000000" w:themeColor="text1"/>
          <w:sz w:val="24"/>
          <w14:textFill>
            <w14:solidFill>
              <w14:schemeClr w14:val="tx1"/>
            </w14:solidFill>
          </w14:textFill>
        </w:rPr>
      </w:pPr>
    </w:p>
    <w:p>
      <w:pPr>
        <w:pStyle w:val="2"/>
        <w:rPr>
          <w:rFonts w:ascii="宋体" w:hAnsi="宋体" w:cs="宋体"/>
          <w:bCs/>
          <w:color w:val="000000" w:themeColor="text1"/>
          <w:sz w:val="24"/>
          <w:highlight w:val="yellow"/>
          <w14:textFill>
            <w14:solidFill>
              <w14:schemeClr w14:val="tx1"/>
            </w14:solidFill>
          </w14:textFill>
        </w:rPr>
      </w:pPr>
    </w:p>
    <w:p>
      <w:pPr>
        <w:numPr>
          <w:ilvl w:val="0"/>
          <w:numId w:val="17"/>
        </w:numPr>
        <w:tabs>
          <w:tab w:val="left" w:pos="0"/>
        </w:tabs>
        <w:adjustRightInd w:val="0"/>
        <w:snapToGrid w:val="0"/>
        <w:spacing w:line="500" w:lineRule="exact"/>
        <w:rPr>
          <w:rFonts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评标委员会将根据政府采购政策支持中小企业政策、节能产品及环保产品对报价进行价格折扣，折扣的价格将作为评审价格。</w:t>
      </w:r>
    </w:p>
    <w:p>
      <w:pPr>
        <w:numPr>
          <w:ilvl w:val="0"/>
          <w:numId w:val="17"/>
        </w:numPr>
        <w:tabs>
          <w:tab w:val="left" w:pos="0"/>
        </w:tabs>
        <w:adjustRightInd w:val="0"/>
        <w:snapToGrid w:val="0"/>
        <w:spacing w:line="500" w:lineRule="exact"/>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（1）节能产品及环保产品</w:t>
      </w:r>
      <w:r>
        <w:rPr>
          <w:rFonts w:hint="eastAsia" w:asciiTheme="minorEastAsia" w:hAnsiTheme="minorEastAsia" w:eastAsiaTheme="minorEastAsia" w:cstheme="minorEastAsia"/>
          <w:color w:val="000000" w:themeColor="text1"/>
          <w:sz w:val="24"/>
          <w:szCs w:val="24"/>
          <w14:textFill>
            <w14:solidFill>
              <w14:schemeClr w14:val="tx1"/>
            </w14:solidFill>
          </w14:textFill>
        </w:rPr>
        <w:t>价格折扣比例及方法</w:t>
      </w:r>
    </w:p>
    <w:tbl>
      <w:tblPr>
        <w:tblStyle w:val="38"/>
        <w:tblW w:w="10378"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4" w:space="0"/>
        </w:tblBorders>
        <w:tblLayout w:type="fixed"/>
        <w:tblCellMar>
          <w:top w:w="0" w:type="dxa"/>
          <w:left w:w="108" w:type="dxa"/>
          <w:bottom w:w="0" w:type="dxa"/>
          <w:right w:w="108" w:type="dxa"/>
        </w:tblCellMar>
      </w:tblPr>
      <w:tblGrid>
        <w:gridCol w:w="844"/>
        <w:gridCol w:w="1807"/>
        <w:gridCol w:w="7727"/>
      </w:tblGrid>
      <w:tr>
        <w:tblPrEx>
          <w:tblBorders>
            <w:top w:val="single" w:color="auto" w:sz="4" w:space="0"/>
            <w:left w:val="single" w:color="auto" w:sz="4" w:space="0"/>
            <w:bottom w:val="single" w:color="auto" w:sz="4" w:space="0"/>
            <w:right w:val="single" w:color="auto" w:sz="4" w:space="0"/>
            <w:insideH w:val="single" w:color="auto" w:sz="6" w:space="0"/>
            <w:insideV w:val="single" w:color="auto" w:sz="4" w:space="0"/>
          </w:tblBorders>
          <w:tblCellMar>
            <w:top w:w="0" w:type="dxa"/>
            <w:left w:w="108" w:type="dxa"/>
            <w:bottom w:w="0" w:type="dxa"/>
            <w:right w:w="108" w:type="dxa"/>
          </w:tblCellMar>
        </w:tblPrEx>
        <w:trPr>
          <w:trHeight w:val="420" w:hRule="atLeast"/>
          <w:jc w:val="center"/>
        </w:trPr>
        <w:tc>
          <w:tcPr>
            <w:tcW w:w="844" w:type="dxa"/>
            <w:tcBorders>
              <w:top w:val="single" w:color="auto" w:sz="4" w:space="0"/>
            </w:tcBorders>
            <w:vAlign w:val="center"/>
          </w:tcPr>
          <w:p>
            <w:pPr>
              <w:adjustRightInd w:val="0"/>
              <w:snapToGrid w:val="0"/>
              <w:spacing w:line="500" w:lineRule="exact"/>
              <w:jc w:val="center"/>
              <w:rPr>
                <w:rFonts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z w:val="24"/>
                <w:szCs w:val="24"/>
                <w14:textFill>
                  <w14:solidFill>
                    <w14:schemeClr w14:val="tx1"/>
                  </w14:solidFill>
                </w14:textFill>
              </w:rPr>
              <w:t>序号</w:t>
            </w:r>
          </w:p>
        </w:tc>
        <w:tc>
          <w:tcPr>
            <w:tcW w:w="1807" w:type="dxa"/>
            <w:tcBorders>
              <w:top w:val="single" w:color="auto" w:sz="4" w:space="0"/>
            </w:tcBorders>
            <w:vAlign w:val="center"/>
          </w:tcPr>
          <w:p>
            <w:pPr>
              <w:adjustRightInd w:val="0"/>
              <w:snapToGrid w:val="0"/>
              <w:spacing w:line="500" w:lineRule="exact"/>
              <w:jc w:val="center"/>
              <w:rPr>
                <w:rFonts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z w:val="24"/>
                <w:szCs w:val="24"/>
                <w14:textFill>
                  <w14:solidFill>
                    <w14:schemeClr w14:val="tx1"/>
                  </w14:solidFill>
                </w14:textFill>
              </w:rPr>
              <w:t>项目</w:t>
            </w:r>
          </w:p>
        </w:tc>
        <w:tc>
          <w:tcPr>
            <w:tcW w:w="7727" w:type="dxa"/>
            <w:tcBorders>
              <w:top w:val="single" w:color="auto" w:sz="4" w:space="0"/>
            </w:tcBorders>
            <w:vAlign w:val="center"/>
          </w:tcPr>
          <w:p>
            <w:pPr>
              <w:adjustRightInd w:val="0"/>
              <w:snapToGrid w:val="0"/>
              <w:spacing w:line="500" w:lineRule="exact"/>
              <w:jc w:val="center"/>
              <w:rPr>
                <w:rFonts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z w:val="24"/>
                <w:szCs w:val="24"/>
                <w14:textFill>
                  <w14:solidFill>
                    <w14:schemeClr w14:val="tx1"/>
                  </w14:solidFill>
                </w14:textFill>
              </w:rPr>
              <w:t>折扣比例及方法</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4" w:space="0"/>
          </w:tblBorders>
          <w:tblCellMar>
            <w:top w:w="0" w:type="dxa"/>
            <w:left w:w="108" w:type="dxa"/>
            <w:bottom w:w="0" w:type="dxa"/>
            <w:right w:w="108" w:type="dxa"/>
          </w:tblCellMar>
        </w:tblPrEx>
        <w:trPr>
          <w:trHeight w:val="493" w:hRule="atLeast"/>
          <w:jc w:val="center"/>
        </w:trPr>
        <w:tc>
          <w:tcPr>
            <w:tcW w:w="844" w:type="dxa"/>
            <w:vAlign w:val="center"/>
          </w:tcPr>
          <w:p>
            <w:pPr>
              <w:adjustRightInd w:val="0"/>
              <w:snapToGrid w:val="0"/>
              <w:spacing w:line="500" w:lineRule="exact"/>
              <w:jc w:val="center"/>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w:t>
            </w:r>
          </w:p>
        </w:tc>
        <w:tc>
          <w:tcPr>
            <w:tcW w:w="1807" w:type="dxa"/>
            <w:vAlign w:val="center"/>
          </w:tcPr>
          <w:p>
            <w:pPr>
              <w:adjustRightInd w:val="0"/>
              <w:snapToGrid w:val="0"/>
              <w:spacing w:line="500" w:lineRule="exact"/>
              <w:jc w:val="center"/>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节能产品</w:t>
            </w:r>
          </w:p>
        </w:tc>
        <w:tc>
          <w:tcPr>
            <w:tcW w:w="7727" w:type="dxa"/>
            <w:vAlign w:val="center"/>
          </w:tcPr>
          <w:p>
            <w:pPr>
              <w:spacing w:line="500" w:lineRule="exact"/>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折扣金额=（节能清单部分产品的价格/总报价）×3%×总报价</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4" w:space="0"/>
          </w:tblBorders>
          <w:tblCellMar>
            <w:top w:w="0" w:type="dxa"/>
            <w:left w:w="108" w:type="dxa"/>
            <w:bottom w:w="0" w:type="dxa"/>
            <w:right w:w="108" w:type="dxa"/>
          </w:tblCellMar>
        </w:tblPrEx>
        <w:trPr>
          <w:trHeight w:val="613" w:hRule="atLeast"/>
          <w:jc w:val="center"/>
        </w:trPr>
        <w:tc>
          <w:tcPr>
            <w:tcW w:w="844" w:type="dxa"/>
            <w:vAlign w:val="center"/>
          </w:tcPr>
          <w:p>
            <w:pPr>
              <w:adjustRightInd w:val="0"/>
              <w:snapToGrid w:val="0"/>
              <w:spacing w:line="500" w:lineRule="exact"/>
              <w:jc w:val="center"/>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w:t>
            </w:r>
          </w:p>
        </w:tc>
        <w:tc>
          <w:tcPr>
            <w:tcW w:w="1807" w:type="dxa"/>
            <w:vAlign w:val="center"/>
          </w:tcPr>
          <w:p>
            <w:pPr>
              <w:adjustRightInd w:val="0"/>
              <w:snapToGrid w:val="0"/>
              <w:spacing w:line="500" w:lineRule="exact"/>
              <w:jc w:val="center"/>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环保产品</w:t>
            </w:r>
          </w:p>
        </w:tc>
        <w:tc>
          <w:tcPr>
            <w:tcW w:w="7727" w:type="dxa"/>
            <w:vAlign w:val="center"/>
          </w:tcPr>
          <w:p>
            <w:pPr>
              <w:spacing w:line="500" w:lineRule="exact"/>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折扣金额=（环境清单部分产品的价格/总报价）×3%×总报价</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4" w:space="0"/>
          </w:tblBorders>
          <w:tblCellMar>
            <w:top w:w="0" w:type="dxa"/>
            <w:left w:w="108" w:type="dxa"/>
            <w:bottom w:w="0" w:type="dxa"/>
            <w:right w:w="108" w:type="dxa"/>
          </w:tblCellMar>
        </w:tblPrEx>
        <w:trPr>
          <w:trHeight w:val="420" w:hRule="atLeast"/>
          <w:jc w:val="center"/>
        </w:trPr>
        <w:tc>
          <w:tcPr>
            <w:tcW w:w="844" w:type="dxa"/>
            <w:tcBorders>
              <w:bottom w:val="single" w:color="auto" w:sz="4" w:space="0"/>
            </w:tcBorders>
            <w:vAlign w:val="center"/>
          </w:tcPr>
          <w:p>
            <w:pPr>
              <w:adjustRightInd w:val="0"/>
              <w:snapToGrid w:val="0"/>
              <w:spacing w:line="500" w:lineRule="exact"/>
              <w:jc w:val="center"/>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3</w:t>
            </w:r>
          </w:p>
        </w:tc>
        <w:tc>
          <w:tcPr>
            <w:tcW w:w="1807" w:type="dxa"/>
            <w:tcBorders>
              <w:bottom w:val="single" w:color="auto" w:sz="4" w:space="0"/>
            </w:tcBorders>
            <w:vAlign w:val="center"/>
          </w:tcPr>
          <w:p>
            <w:pPr>
              <w:adjustRightInd w:val="0"/>
              <w:snapToGrid w:val="0"/>
              <w:spacing w:line="500" w:lineRule="exact"/>
              <w:jc w:val="center"/>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证明材料说明</w:t>
            </w:r>
          </w:p>
        </w:tc>
        <w:tc>
          <w:tcPr>
            <w:tcW w:w="7727" w:type="dxa"/>
            <w:tcBorders>
              <w:bottom w:val="single" w:color="auto" w:sz="4" w:space="0"/>
            </w:tcBorders>
            <w:vAlign w:val="center"/>
          </w:tcPr>
          <w:p>
            <w:pPr>
              <w:spacing w:line="500" w:lineRule="exact"/>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1、须提供</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最新一期</w:t>
            </w:r>
            <w:r>
              <w:rPr>
                <w:rFonts w:hint="eastAsia" w:asciiTheme="minorEastAsia" w:hAnsiTheme="minorEastAsia" w:eastAsiaTheme="minorEastAsia" w:cstheme="minorEastAsia"/>
                <w:color w:val="000000" w:themeColor="text1"/>
                <w:sz w:val="24"/>
                <w:szCs w:val="24"/>
                <w14:textFill>
                  <w14:solidFill>
                    <w14:schemeClr w14:val="tx1"/>
                  </w14:solidFill>
                </w14:textFill>
              </w:rPr>
              <w:t>《节能产品政府采购清单》关于产品当前页的打印件；</w:t>
            </w:r>
          </w:p>
          <w:p>
            <w:pPr>
              <w:spacing w:line="500" w:lineRule="exact"/>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2、须提供</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最新一期</w:t>
            </w:r>
            <w:r>
              <w:rPr>
                <w:rFonts w:hint="eastAsia" w:asciiTheme="minorEastAsia" w:hAnsiTheme="minorEastAsia" w:eastAsiaTheme="minorEastAsia" w:cstheme="minorEastAsia"/>
                <w:color w:val="000000" w:themeColor="text1"/>
                <w:sz w:val="24"/>
                <w:szCs w:val="24"/>
                <w14:textFill>
                  <w14:solidFill>
                    <w14:schemeClr w14:val="tx1"/>
                  </w14:solidFill>
                </w14:textFill>
              </w:rPr>
              <w:t>《环境标志产品政府采购清单》关于产品当前页的打印件；</w:t>
            </w:r>
          </w:p>
        </w:tc>
      </w:tr>
    </w:tbl>
    <w:p>
      <w:pPr>
        <w:tabs>
          <w:tab w:val="left" w:pos="0"/>
        </w:tabs>
        <w:adjustRightInd w:val="0"/>
        <w:snapToGrid w:val="0"/>
        <w:spacing w:line="500" w:lineRule="exact"/>
        <w:rPr>
          <w:rFonts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说明：如有多种产品符合此项政策时，折扣价格为每种产品的折扣金额汇总。</w:t>
      </w:r>
    </w:p>
    <w:p>
      <w:pPr>
        <w:tabs>
          <w:tab w:val="left" w:pos="0"/>
        </w:tabs>
        <w:adjustRightInd w:val="0"/>
        <w:snapToGrid w:val="0"/>
        <w:spacing w:line="500" w:lineRule="exact"/>
        <w:rPr>
          <w:rFonts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（2）中小企业价格折扣比例及方法</w:t>
      </w:r>
    </w:p>
    <w:tbl>
      <w:tblPr>
        <w:tblStyle w:val="38"/>
        <w:tblW w:w="1039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39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3" w:hRule="atLeast"/>
          <w:jc w:val="center"/>
        </w:trPr>
        <w:tc>
          <w:tcPr>
            <w:tcW w:w="10392" w:type="dxa"/>
            <w:tcBorders>
              <w:top w:val="single" w:color="auto" w:sz="4" w:space="0"/>
              <w:bottom w:val="single" w:color="auto" w:sz="4" w:space="0"/>
            </w:tcBorders>
            <w:vAlign w:val="center"/>
          </w:tcPr>
          <w:p>
            <w:pPr>
              <w:snapToGrid w:val="0"/>
              <w:spacing w:line="500" w:lineRule="exact"/>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根据中华人民共和国财政部、中华人民共和国工业和信息化部《政府采购促进中小企业发展管理办法》（财库〔2020〕46号）文件的规定，</w:t>
            </w:r>
            <w:r>
              <w:rPr>
                <w:rFonts w:hint="eastAsia" w:asciiTheme="minorEastAsia" w:hAnsiTheme="minorEastAsia" w:eastAsiaTheme="minorEastAsia" w:cstheme="minorEastAsia"/>
                <w:bCs/>
                <w:color w:val="000000" w:themeColor="text1"/>
                <w:sz w:val="24"/>
                <w:szCs w:val="24"/>
                <w14:textFill>
                  <w14:solidFill>
                    <w14:schemeClr w14:val="tx1"/>
                  </w14:solidFill>
                </w14:textFill>
              </w:rPr>
              <w:t>属于中小企业</w:t>
            </w:r>
            <w:r>
              <w:rPr>
                <w:rFonts w:hint="eastAsia" w:asciiTheme="minorEastAsia" w:hAnsiTheme="minorEastAsia" w:eastAsiaTheme="minorEastAsia" w:cstheme="minorEastAsia"/>
                <w:color w:val="000000" w:themeColor="text1"/>
                <w:sz w:val="24"/>
                <w:szCs w:val="24"/>
                <w14:textFill>
                  <w14:solidFill>
                    <w14:schemeClr w14:val="tx1"/>
                  </w14:solidFill>
                </w14:textFill>
              </w:rPr>
              <w:t>评审优惠内容及幅度如下：</w:t>
            </w:r>
          </w:p>
          <w:p>
            <w:pPr>
              <w:snapToGrid w:val="0"/>
              <w:spacing w:line="500" w:lineRule="exact"/>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z w:val="24"/>
                <w:szCs w:val="24"/>
                <w14:textFill>
                  <w14:solidFill>
                    <w14:schemeClr w14:val="tx1"/>
                  </w14:solidFill>
                </w14:textFill>
              </w:rPr>
              <w:t>（一）</w:t>
            </w:r>
            <w:r>
              <w:rPr>
                <w:rFonts w:hint="eastAsia" w:asciiTheme="minorEastAsia" w:hAnsiTheme="minorEastAsia" w:eastAsiaTheme="minorEastAsia" w:cstheme="minorEastAsia"/>
                <w:color w:val="000000" w:themeColor="text1"/>
                <w:sz w:val="24"/>
                <w:szCs w:val="24"/>
                <w14:textFill>
                  <w14:solidFill>
                    <w14:schemeClr w14:val="tx1"/>
                  </w14:solidFill>
                </w14:textFill>
              </w:rPr>
              <w:t>中小企业（含中型、小型、微型企业）应当</w:t>
            </w:r>
            <w:r>
              <w:rPr>
                <w:rFonts w:hint="eastAsia" w:asciiTheme="minorEastAsia" w:hAnsiTheme="minorEastAsia" w:eastAsiaTheme="minorEastAsia" w:cstheme="minorEastAsia"/>
                <w:b/>
                <w:color w:val="000000" w:themeColor="text1"/>
                <w:sz w:val="24"/>
                <w:szCs w:val="24"/>
                <w14:textFill>
                  <w14:solidFill>
                    <w14:schemeClr w14:val="tx1"/>
                  </w14:solidFill>
                </w14:textFill>
              </w:rPr>
              <w:t>同时符合</w:t>
            </w:r>
            <w:r>
              <w:rPr>
                <w:rFonts w:hint="eastAsia" w:asciiTheme="minorEastAsia" w:hAnsiTheme="minorEastAsia" w:eastAsiaTheme="minorEastAsia" w:cstheme="minorEastAsia"/>
                <w:color w:val="000000" w:themeColor="text1"/>
                <w:sz w:val="24"/>
                <w:szCs w:val="24"/>
                <w14:textFill>
                  <w14:solidFill>
                    <w14:schemeClr w14:val="tx1"/>
                  </w14:solidFill>
                </w14:textFill>
              </w:rPr>
              <w:t>以下条件：</w:t>
            </w:r>
          </w:p>
          <w:p>
            <w:pPr>
              <w:pStyle w:val="153"/>
              <w:spacing w:line="500" w:lineRule="exact"/>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①符合中小企业划分标准（按《关于印发中小企业划型标准规定的通知》（工信部联企业〔2011〕300号）执行）；</w:t>
            </w:r>
          </w:p>
          <w:p>
            <w:pPr>
              <w:pStyle w:val="153"/>
              <w:spacing w:line="500" w:lineRule="exact"/>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②提供本企业制造的货物、承担的项目或者服务，或者提供其他中小企业制造的货物。本项所称货物不包括使用大型企业注册商标的货物；</w:t>
            </w:r>
          </w:p>
          <w:p>
            <w:pPr>
              <w:pStyle w:val="153"/>
              <w:spacing w:line="500" w:lineRule="exact"/>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③小型、微型企业提供中型企业制造的货物的，视同为中型企业。</w:t>
            </w:r>
          </w:p>
          <w:p>
            <w:pPr>
              <w:snapToGrid w:val="0"/>
              <w:spacing w:line="500" w:lineRule="exact"/>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z w:val="24"/>
                <w:szCs w:val="24"/>
                <w14:textFill>
                  <w14:solidFill>
                    <w14:schemeClr w14:val="tx1"/>
                  </w14:solidFill>
                </w14:textFill>
              </w:rPr>
              <w:t>（二）</w:t>
            </w:r>
            <w:r>
              <w:rPr>
                <w:rFonts w:hint="eastAsia" w:asciiTheme="minorEastAsia" w:hAnsiTheme="minorEastAsia" w:eastAsiaTheme="minorEastAsia" w:cstheme="minorEastAsia"/>
                <w:color w:val="000000" w:themeColor="text1"/>
                <w:sz w:val="24"/>
                <w:szCs w:val="24"/>
                <w14:textFill>
                  <w14:solidFill>
                    <w14:schemeClr w14:val="tx1"/>
                  </w14:solidFill>
                </w14:textFill>
              </w:rPr>
              <w:t>价格扣除办法：</w:t>
            </w:r>
          </w:p>
          <w:p>
            <w:pPr>
              <w:pStyle w:val="153"/>
              <w:spacing w:line="500" w:lineRule="exact"/>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fldChar w:fldCharType="begin"/>
            </w:r>
            <w:r>
              <w:rPr>
                <w:rFonts w:hint="eastAsia" w:asciiTheme="minorEastAsia" w:hAnsiTheme="minorEastAsia" w:eastAsiaTheme="minorEastAsia" w:cstheme="minorEastAsia"/>
                <w:color w:val="000000" w:themeColor="text1"/>
                <w:sz w:val="24"/>
                <w14:textFill>
                  <w14:solidFill>
                    <w14:schemeClr w14:val="tx1"/>
                  </w14:solidFill>
                </w14:textFill>
              </w:rPr>
              <w:instrText xml:space="preserve"> = 1 \* GB3 </w:instrText>
            </w:r>
            <w:r>
              <w:rPr>
                <w:rFonts w:hint="eastAsia" w:asciiTheme="minorEastAsia" w:hAnsiTheme="minorEastAsia" w:eastAsiaTheme="minorEastAsia" w:cstheme="minorEastAsia"/>
                <w:color w:val="000000" w:themeColor="text1"/>
                <w:sz w:val="24"/>
                <w14:textFill>
                  <w14:solidFill>
                    <w14:schemeClr w14:val="tx1"/>
                  </w14:solidFill>
                </w14:textFill>
              </w:rPr>
              <w:fldChar w:fldCharType="separate"/>
            </w:r>
            <w:r>
              <w:rPr>
                <w:rFonts w:hint="eastAsia" w:asciiTheme="minorEastAsia" w:hAnsiTheme="minorEastAsia" w:eastAsiaTheme="minorEastAsia" w:cstheme="minorEastAsia"/>
                <w:color w:val="000000" w:themeColor="text1"/>
                <w:sz w:val="24"/>
                <w14:textFill>
                  <w14:solidFill>
                    <w14:schemeClr w14:val="tx1"/>
                  </w14:solidFill>
                </w14:textFill>
              </w:rPr>
              <w:t>①</w:t>
            </w:r>
            <w:r>
              <w:rPr>
                <w:rFonts w:hint="eastAsia" w:asciiTheme="minorEastAsia" w:hAnsiTheme="minorEastAsia" w:eastAsiaTheme="minorEastAsia" w:cstheme="minorEastAsia"/>
                <w:color w:val="000000" w:themeColor="text1"/>
                <w:sz w:val="24"/>
                <w14:textFill>
                  <w14:solidFill>
                    <w14:schemeClr w14:val="tx1"/>
                  </w14:solidFill>
                </w14:textFill>
              </w:rPr>
              <w:fldChar w:fldCharType="end"/>
            </w:r>
            <w:r>
              <w:rPr>
                <w:rFonts w:hint="eastAsia" w:asciiTheme="minorEastAsia" w:hAnsiTheme="minorEastAsia" w:eastAsiaTheme="minorEastAsia" w:cstheme="minorEastAsia"/>
                <w:color w:val="000000" w:themeColor="text1"/>
                <w:sz w:val="24"/>
                <w14:textFill>
                  <w14:solidFill>
                    <w14:schemeClr w14:val="tx1"/>
                  </w14:solidFill>
                </w14:textFill>
              </w:rPr>
              <w:t>对于非专门面向中小企业的项目，对小型和微型企业（或联合体各方均为小型、微型企业的，残疾人福利性单位、监狱企业视为小微企业）产品的价格给予6%的扣除，用扣除后的价格参与价格的评审。</w:t>
            </w:r>
          </w:p>
          <w:p>
            <w:pPr>
              <w:snapToGrid w:val="0"/>
              <w:spacing w:line="500" w:lineRule="exact"/>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z w:val="24"/>
                <w:szCs w:val="24"/>
                <w14:textFill>
                  <w14:solidFill>
                    <w14:schemeClr w14:val="tx1"/>
                  </w14:solidFill>
                </w14:textFill>
              </w:rPr>
              <w:t>（三）</w:t>
            </w:r>
            <w:r>
              <w:rPr>
                <w:rFonts w:hint="eastAsia" w:asciiTheme="minorEastAsia" w:hAnsiTheme="minorEastAsia" w:eastAsiaTheme="minorEastAsia" w:cstheme="minorEastAsia"/>
                <w:color w:val="000000" w:themeColor="text1"/>
                <w:sz w:val="24"/>
                <w:szCs w:val="24"/>
                <w14:textFill>
                  <w14:solidFill>
                    <w14:schemeClr w14:val="tx1"/>
                  </w14:solidFill>
                </w14:textFill>
              </w:rPr>
              <w:t>小型和微型企业适用价格扣除办法时应提供的相关资料：</w:t>
            </w:r>
          </w:p>
          <w:p>
            <w:pPr>
              <w:pStyle w:val="153"/>
              <w:spacing w:line="500" w:lineRule="exact"/>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fldChar w:fldCharType="begin"/>
            </w:r>
            <w:r>
              <w:rPr>
                <w:rFonts w:hint="eastAsia" w:asciiTheme="minorEastAsia" w:hAnsiTheme="minorEastAsia" w:eastAsiaTheme="minorEastAsia" w:cstheme="minorEastAsia"/>
                <w:color w:val="000000" w:themeColor="text1"/>
                <w:sz w:val="24"/>
                <w14:textFill>
                  <w14:solidFill>
                    <w14:schemeClr w14:val="tx1"/>
                  </w14:solidFill>
                </w14:textFill>
              </w:rPr>
              <w:instrText xml:space="preserve"> = 1 \* GB3 </w:instrText>
            </w:r>
            <w:r>
              <w:rPr>
                <w:rFonts w:hint="eastAsia" w:asciiTheme="minorEastAsia" w:hAnsiTheme="minorEastAsia" w:eastAsiaTheme="minorEastAsia" w:cstheme="minorEastAsia"/>
                <w:color w:val="000000" w:themeColor="text1"/>
                <w:sz w:val="24"/>
                <w14:textFill>
                  <w14:solidFill>
                    <w14:schemeClr w14:val="tx1"/>
                  </w14:solidFill>
                </w14:textFill>
              </w:rPr>
              <w:fldChar w:fldCharType="separate"/>
            </w:r>
            <w:r>
              <w:rPr>
                <w:rFonts w:hint="eastAsia" w:asciiTheme="minorEastAsia" w:hAnsiTheme="minorEastAsia" w:eastAsiaTheme="minorEastAsia" w:cstheme="minorEastAsia"/>
                <w:color w:val="000000" w:themeColor="text1"/>
                <w:sz w:val="24"/>
                <w14:textFill>
                  <w14:solidFill>
                    <w14:schemeClr w14:val="tx1"/>
                  </w14:solidFill>
                </w14:textFill>
              </w:rPr>
              <w:t>①</w:t>
            </w:r>
            <w:r>
              <w:rPr>
                <w:rFonts w:hint="eastAsia" w:asciiTheme="minorEastAsia" w:hAnsiTheme="minorEastAsia" w:eastAsiaTheme="minorEastAsia" w:cstheme="minorEastAsia"/>
                <w:color w:val="000000" w:themeColor="text1"/>
                <w:sz w:val="24"/>
                <w14:textFill>
                  <w14:solidFill>
                    <w14:schemeClr w14:val="tx1"/>
                  </w14:solidFill>
                </w14:textFill>
              </w:rPr>
              <w:fldChar w:fldCharType="end"/>
            </w:r>
            <w:r>
              <w:rPr>
                <w:rFonts w:hint="eastAsia" w:asciiTheme="minorEastAsia" w:hAnsiTheme="minorEastAsia" w:eastAsiaTheme="minorEastAsia" w:cstheme="minorEastAsia"/>
                <w:color w:val="000000" w:themeColor="text1"/>
                <w:sz w:val="24"/>
                <w14:textFill>
                  <w14:solidFill>
                    <w14:schemeClr w14:val="tx1"/>
                  </w14:solidFill>
                </w14:textFill>
              </w:rPr>
              <w:t>、投标人《中小企业声明函》或残疾人福利性单位声明函；</w:t>
            </w:r>
          </w:p>
          <w:p>
            <w:pPr>
              <w:pStyle w:val="153"/>
              <w:spacing w:line="500" w:lineRule="exact"/>
              <w:rPr>
                <w:rFonts w:asciiTheme="minorEastAsia" w:hAnsiTheme="minorEastAsia" w:eastAsiaTheme="minorEastAsia" w:cstheme="minorEastAsia"/>
                <w:b/>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投标人应提供以上材料，否则将不给予价格扣除。若所供应产品为进口产品的，不适用《政府采购促进中小企业发展管理办法》。残疾人福利性单位、监狱企业仅需提供声明函，不须要提供其他证明材料。</w:t>
            </w:r>
          </w:p>
        </w:tc>
      </w:tr>
    </w:tbl>
    <w:p>
      <w:pPr>
        <w:spacing w:line="500" w:lineRule="exact"/>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评标委员会应当执行连续评标的原则完成全部评标工作。只有发生不可抗力导致评标工作无法继续时，评标活动方可暂停。发生评标暂停情况时，评标委员会应当封存全部投标文件和评标记录，待不可抗力的影响结束且具备继续评标的条件时，由原评标委员会继续评标。</w:t>
      </w:r>
    </w:p>
    <w:p>
      <w:pPr>
        <w:spacing w:line="500" w:lineRule="exact"/>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3、除非发生下列情况之一，评标委员会成员不得在评标中途更换：(1)因不可抗拒的客观原因，不能到场或需在评标中途退出评标活动；(2)根据法律法规规定，某个或某几个评标委员会成员需要回避。退出评标的评标委员会成员，其已完成的评标行为无效。根据本招标文件规定的评标委员会成员产生方式另行确定替代者进行评标。</w:t>
      </w:r>
    </w:p>
    <w:p>
      <w:pPr>
        <w:spacing w:line="500" w:lineRule="exact"/>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4、在任何评标环节中，需评标委员会就某项评审结论做出表决的，由评标委员会全体成员按照少数服从多数的原则，以记名投票方式表决。</w:t>
      </w:r>
    </w:p>
    <w:p>
      <w:pPr>
        <w:spacing w:line="500" w:lineRule="exact"/>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5、定标原则</w:t>
      </w:r>
    </w:p>
    <w:p>
      <w:pPr>
        <w:spacing w:line="500" w:lineRule="exact"/>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5.1、评标委员会以投标人总分由高到低排序，得分最高为第一中标候选人，如果出现投标人最终得分相同的情况，投标报价低者排名顺序优先在前，以此类推，确定出前三名作为中标候选人推荐给招标人，招标人从三名中标候选人中确定出最终的中标人。</w:t>
      </w:r>
    </w:p>
    <w:p>
      <w:pPr>
        <w:spacing w:line="500" w:lineRule="exact"/>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5.2、招标人确定中标人的原则：国有资金占控股或者主导地位的依法必须进行招标的项目，招标人应当确定排名第一的中标候选人为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 </w:t>
      </w:r>
    </w:p>
    <w:p>
      <w:pPr>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bookmarkStart w:id="85" w:name="EBeba6c8bebe3f4c21be55c1d97db8c8aa"/>
      <w:r>
        <w:rPr>
          <w:rFonts w:hint="eastAsia" w:asciiTheme="minorEastAsia" w:hAnsiTheme="minorEastAsia" w:eastAsiaTheme="minorEastAsia" w:cstheme="minorEastAsia"/>
          <w:color w:val="000000" w:themeColor="text1"/>
          <w:sz w:val="24"/>
          <w14:textFill>
            <w14:solidFill>
              <w14:schemeClr w14:val="tx1"/>
            </w14:solidFill>
          </w14:textFill>
        </w:rPr>
        <w:t xml:space="preserve"> </w:t>
      </w:r>
      <w:bookmarkEnd w:id="85"/>
      <w:bookmarkStart w:id="86" w:name="EB4893741502564d04b2d404c47c5fa523"/>
      <w:r>
        <w:rPr>
          <w:rFonts w:hint="eastAsia" w:asciiTheme="minorEastAsia" w:hAnsiTheme="minorEastAsia" w:eastAsiaTheme="minorEastAsia" w:cstheme="minorEastAsia"/>
          <w:color w:val="000000" w:themeColor="text1"/>
          <w:sz w:val="24"/>
          <w14:textFill>
            <w14:solidFill>
              <w14:schemeClr w14:val="tx1"/>
            </w14:solidFill>
          </w14:textFill>
        </w:rPr>
        <w:t xml:space="preserve"> </w:t>
      </w:r>
      <w:bookmarkEnd w:id="86"/>
    </w:p>
    <w:p>
      <w:pPr>
        <w:rPr>
          <w:rFonts w:asciiTheme="minorEastAsia" w:hAnsiTheme="minorEastAsia" w:eastAsiaTheme="minorEastAsia" w:cstheme="minorEastAsia"/>
          <w:color w:val="000000" w:themeColor="text1"/>
          <w14:textFill>
            <w14:solidFill>
              <w14:schemeClr w14:val="tx1"/>
            </w14:solidFill>
          </w14:textFill>
        </w:rPr>
      </w:pPr>
    </w:p>
    <w:p>
      <w:pPr>
        <w:rPr>
          <w:rFonts w:asciiTheme="minorEastAsia" w:hAnsiTheme="minorEastAsia" w:eastAsiaTheme="minorEastAsia" w:cstheme="minorEastAsia"/>
          <w:b/>
          <w:color w:val="000000" w:themeColor="text1"/>
          <w:sz w:val="36"/>
          <w14:textFill>
            <w14:solidFill>
              <w14:schemeClr w14:val="tx1"/>
            </w14:solidFill>
          </w14:textFill>
        </w:rPr>
      </w:pPr>
      <w:bookmarkStart w:id="87" w:name="_Toc22459"/>
      <w:r>
        <w:rPr>
          <w:rFonts w:hint="eastAsia" w:asciiTheme="minorEastAsia" w:hAnsiTheme="minorEastAsia" w:eastAsiaTheme="minorEastAsia" w:cstheme="minorEastAsia"/>
          <w:b/>
          <w:color w:val="000000" w:themeColor="text1"/>
          <w:sz w:val="36"/>
          <w14:textFill>
            <w14:solidFill>
              <w14:schemeClr w14:val="tx1"/>
            </w14:solidFill>
          </w14:textFill>
        </w:rPr>
        <w:br w:type="page"/>
      </w:r>
    </w:p>
    <w:p>
      <w:pPr>
        <w:pStyle w:val="21"/>
        <w:tabs>
          <w:tab w:val="left" w:pos="0"/>
        </w:tabs>
        <w:spacing w:line="360" w:lineRule="auto"/>
        <w:ind w:left="0" w:leftChars="0" w:firstLine="0" w:firstLineChars="0"/>
        <w:jc w:val="center"/>
        <w:outlineLvl w:val="0"/>
        <w:rPr>
          <w:rFonts w:asciiTheme="minorEastAsia" w:hAnsiTheme="minorEastAsia" w:eastAsiaTheme="minorEastAsia" w:cstheme="minorEastAsia"/>
          <w:b/>
          <w:color w:val="000000" w:themeColor="text1"/>
          <w:sz w:val="36"/>
          <w14:textFill>
            <w14:solidFill>
              <w14:schemeClr w14:val="tx1"/>
            </w14:solidFill>
          </w14:textFill>
        </w:rPr>
      </w:pPr>
      <w:r>
        <w:rPr>
          <w:rFonts w:hint="eastAsia" w:asciiTheme="minorEastAsia" w:hAnsiTheme="minorEastAsia" w:eastAsiaTheme="minorEastAsia" w:cstheme="minorEastAsia"/>
          <w:b/>
          <w:color w:val="000000" w:themeColor="text1"/>
          <w:sz w:val="36"/>
          <w14:textFill>
            <w14:solidFill>
              <w14:schemeClr w14:val="tx1"/>
            </w14:solidFill>
          </w14:textFill>
        </w:rPr>
        <w:t>第五部分   政府采购合同</w:t>
      </w:r>
      <w:bookmarkEnd w:id="87"/>
    </w:p>
    <w:p>
      <w:pPr>
        <w:rPr>
          <w:rFonts w:asciiTheme="minorEastAsia" w:hAnsiTheme="minorEastAsia" w:eastAsiaTheme="minorEastAsia" w:cstheme="minorEastAsia"/>
          <w:color w:val="000000" w:themeColor="text1"/>
          <w14:textFill>
            <w14:solidFill>
              <w14:schemeClr w14:val="tx1"/>
            </w14:solidFill>
          </w14:textFill>
        </w:rPr>
      </w:pPr>
      <w:bookmarkStart w:id="88" w:name="EB835308aa585640bcbdb7859c5d572516"/>
    </w:p>
    <w:p>
      <w:pPr>
        <w:pStyle w:val="116"/>
        <w:rPr>
          <w:rFonts w:asciiTheme="minorEastAsia" w:hAnsiTheme="minorEastAsia" w:eastAsiaTheme="minorEastAsia" w:cstheme="minorEastAsia"/>
          <w:color w:val="000000" w:themeColor="text1"/>
          <w14:textFill>
            <w14:solidFill>
              <w14:schemeClr w14:val="tx1"/>
            </w14:solidFill>
          </w14:textFill>
        </w:rPr>
      </w:pPr>
    </w:p>
    <w:p>
      <w:pPr>
        <w:pStyle w:val="102"/>
        <w:rPr>
          <w:rFonts w:asciiTheme="minorEastAsia" w:hAnsiTheme="minorEastAsia" w:eastAsiaTheme="minorEastAsia" w:cstheme="minorEastAsia"/>
          <w:b/>
          <w:color w:val="000000" w:themeColor="text1"/>
          <w:sz w:val="24"/>
          <w14:textFill>
            <w14:solidFill>
              <w14:schemeClr w14:val="tx1"/>
            </w14:solidFill>
          </w14:textFill>
        </w:rPr>
      </w:pPr>
      <w:r>
        <w:rPr>
          <w:rFonts w:hint="eastAsia" w:asciiTheme="minorEastAsia" w:hAnsiTheme="minorEastAsia" w:eastAsiaTheme="minorEastAsia" w:cstheme="minorEastAsia"/>
          <w:b/>
          <w:color w:val="000000" w:themeColor="text1"/>
          <w:sz w:val="24"/>
          <w14:textFill>
            <w14:solidFill>
              <w14:schemeClr w14:val="tx1"/>
            </w14:solidFill>
          </w14:textFill>
        </w:rPr>
        <w:t>一、合同格式（以最终签订为准）</w:t>
      </w:r>
    </w:p>
    <w:p>
      <w:pPr>
        <w:pStyle w:val="102"/>
        <w:jc w:val="center"/>
        <w:rPr>
          <w:rFonts w:asciiTheme="minorEastAsia" w:hAnsiTheme="minorEastAsia" w:eastAsiaTheme="minorEastAsia" w:cstheme="minorEastAsia"/>
          <w:b/>
          <w:color w:val="000000" w:themeColor="text1"/>
          <w:sz w:val="52"/>
          <w:szCs w:val="52"/>
          <w14:textFill>
            <w14:solidFill>
              <w14:schemeClr w14:val="tx1"/>
            </w14:solidFill>
          </w14:textFill>
        </w:rPr>
      </w:pPr>
    </w:p>
    <w:p>
      <w:pPr>
        <w:pStyle w:val="102"/>
        <w:jc w:val="center"/>
        <w:rPr>
          <w:rFonts w:asciiTheme="minorEastAsia" w:hAnsiTheme="minorEastAsia" w:eastAsiaTheme="minorEastAsia" w:cstheme="minorEastAsia"/>
          <w:b/>
          <w:color w:val="000000" w:themeColor="text1"/>
          <w:sz w:val="52"/>
          <w:szCs w:val="52"/>
          <w14:textFill>
            <w14:solidFill>
              <w14:schemeClr w14:val="tx1"/>
            </w14:solidFill>
          </w14:textFill>
        </w:rPr>
      </w:pPr>
      <w:r>
        <w:rPr>
          <w:rFonts w:hint="eastAsia" w:asciiTheme="minorEastAsia" w:hAnsiTheme="minorEastAsia" w:eastAsiaTheme="minorEastAsia" w:cstheme="minorEastAsia"/>
          <w:b/>
          <w:color w:val="000000" w:themeColor="text1"/>
          <w:sz w:val="52"/>
          <w:szCs w:val="52"/>
          <w14:textFill>
            <w14:solidFill>
              <w14:schemeClr w14:val="tx1"/>
            </w14:solidFill>
          </w14:textFill>
        </w:rPr>
        <w:t>政府采购合同</w:t>
      </w:r>
    </w:p>
    <w:p>
      <w:pPr>
        <w:pStyle w:val="102"/>
        <w:jc w:val="center"/>
        <w:rPr>
          <w:rFonts w:asciiTheme="minorEastAsia" w:hAnsiTheme="minorEastAsia" w:eastAsiaTheme="minorEastAsia" w:cstheme="minorEastAsia"/>
          <w:b/>
          <w:color w:val="000000" w:themeColor="text1"/>
          <w:sz w:val="52"/>
          <w:szCs w:val="52"/>
          <w14:textFill>
            <w14:solidFill>
              <w14:schemeClr w14:val="tx1"/>
            </w14:solidFill>
          </w14:textFill>
        </w:rPr>
      </w:pPr>
    </w:p>
    <w:p>
      <w:pPr>
        <w:pStyle w:val="102"/>
        <w:jc w:val="center"/>
        <w:rPr>
          <w:rFonts w:asciiTheme="minorEastAsia" w:hAnsiTheme="minorEastAsia" w:eastAsiaTheme="minorEastAsia" w:cstheme="minorEastAsia"/>
          <w:b/>
          <w:color w:val="000000" w:themeColor="text1"/>
          <w:sz w:val="52"/>
          <w:szCs w:val="52"/>
          <w14:textFill>
            <w14:solidFill>
              <w14:schemeClr w14:val="tx1"/>
            </w14:solidFill>
          </w14:textFill>
        </w:rPr>
      </w:pPr>
    </w:p>
    <w:p>
      <w:pPr>
        <w:pStyle w:val="102"/>
        <w:jc w:val="center"/>
        <w:rPr>
          <w:rFonts w:asciiTheme="minorEastAsia" w:hAnsiTheme="minorEastAsia" w:eastAsiaTheme="minorEastAsia" w:cstheme="minorEastAsia"/>
          <w:b/>
          <w:color w:val="000000" w:themeColor="text1"/>
          <w:sz w:val="52"/>
          <w:szCs w:val="52"/>
          <w14:textFill>
            <w14:solidFill>
              <w14:schemeClr w14:val="tx1"/>
            </w14:solidFill>
          </w14:textFill>
        </w:rPr>
      </w:pPr>
    </w:p>
    <w:p>
      <w:pPr>
        <w:pStyle w:val="102"/>
        <w:ind w:firstLine="1597" w:firstLineChars="497"/>
        <w:rPr>
          <w:rFonts w:asciiTheme="minorEastAsia" w:hAnsiTheme="minorEastAsia" w:eastAsiaTheme="minorEastAsia" w:cstheme="minorEastAsia"/>
          <w:b/>
          <w:color w:val="000000" w:themeColor="text1"/>
          <w:sz w:val="32"/>
          <w:szCs w:val="32"/>
          <w14:textFill>
            <w14:solidFill>
              <w14:schemeClr w14:val="tx1"/>
            </w14:solidFill>
          </w14:textFill>
        </w:rPr>
      </w:pPr>
      <w:r>
        <w:rPr>
          <w:rFonts w:hint="eastAsia" w:asciiTheme="minorEastAsia" w:hAnsiTheme="minorEastAsia" w:eastAsiaTheme="minorEastAsia" w:cstheme="minorEastAsia"/>
          <w:b/>
          <w:color w:val="000000" w:themeColor="text1"/>
          <w:sz w:val="32"/>
          <w:szCs w:val="32"/>
          <w14:textFill>
            <w14:solidFill>
              <w14:schemeClr w14:val="tx1"/>
            </w14:solidFill>
          </w14:textFill>
        </w:rPr>
        <w:t>项目名称:</w:t>
      </w:r>
      <w:r>
        <w:rPr>
          <w:rFonts w:hint="eastAsia" w:asciiTheme="minorEastAsia" w:hAnsiTheme="minorEastAsia" w:eastAsiaTheme="minorEastAsia" w:cstheme="minorEastAsia"/>
          <w:b/>
          <w:color w:val="000000" w:themeColor="text1"/>
          <w:sz w:val="32"/>
          <w:szCs w:val="32"/>
          <w:u w:val="single"/>
          <w14:textFill>
            <w14:solidFill>
              <w14:schemeClr w14:val="tx1"/>
            </w14:solidFill>
          </w14:textFill>
        </w:rPr>
        <w:t xml:space="preserve">                    </w:t>
      </w:r>
    </w:p>
    <w:p>
      <w:pPr>
        <w:pStyle w:val="102"/>
        <w:spacing w:before="312" w:beforeLines="100"/>
        <w:ind w:firstLine="1597" w:firstLineChars="497"/>
        <w:rPr>
          <w:rFonts w:asciiTheme="minorEastAsia" w:hAnsiTheme="minorEastAsia" w:eastAsiaTheme="minorEastAsia" w:cstheme="minorEastAsia"/>
          <w:b/>
          <w:color w:val="000000" w:themeColor="text1"/>
          <w:sz w:val="32"/>
          <w:szCs w:val="32"/>
          <w:u w:val="single"/>
          <w14:textFill>
            <w14:solidFill>
              <w14:schemeClr w14:val="tx1"/>
            </w14:solidFill>
          </w14:textFill>
        </w:rPr>
      </w:pPr>
      <w:r>
        <w:rPr>
          <w:rFonts w:hint="eastAsia" w:asciiTheme="minorEastAsia" w:hAnsiTheme="minorEastAsia" w:eastAsiaTheme="minorEastAsia" w:cstheme="minorEastAsia"/>
          <w:b/>
          <w:color w:val="000000" w:themeColor="text1"/>
          <w:sz w:val="32"/>
          <w:szCs w:val="32"/>
          <w14:textFill>
            <w14:solidFill>
              <w14:schemeClr w14:val="tx1"/>
            </w14:solidFill>
          </w14:textFill>
        </w:rPr>
        <w:t>项目编号:</w:t>
      </w:r>
      <w:r>
        <w:rPr>
          <w:rFonts w:hint="eastAsia" w:asciiTheme="minorEastAsia" w:hAnsiTheme="minorEastAsia" w:eastAsiaTheme="minorEastAsia" w:cstheme="minorEastAsia"/>
          <w:b/>
          <w:color w:val="000000" w:themeColor="text1"/>
          <w:sz w:val="32"/>
          <w:szCs w:val="32"/>
          <w:u w:val="single"/>
          <w14:textFill>
            <w14:solidFill>
              <w14:schemeClr w14:val="tx1"/>
            </w14:solidFill>
          </w14:textFill>
        </w:rPr>
        <w:t xml:space="preserve">                    </w:t>
      </w:r>
    </w:p>
    <w:p>
      <w:pPr>
        <w:pStyle w:val="102"/>
        <w:spacing w:before="312" w:beforeLines="100"/>
        <w:ind w:firstLine="1597" w:firstLineChars="497"/>
        <w:rPr>
          <w:rFonts w:asciiTheme="minorEastAsia" w:hAnsiTheme="minorEastAsia" w:eastAsiaTheme="minorEastAsia" w:cstheme="minorEastAsia"/>
          <w:b/>
          <w:color w:val="000000" w:themeColor="text1"/>
          <w:sz w:val="32"/>
          <w:szCs w:val="32"/>
          <w:u w:val="single"/>
          <w14:textFill>
            <w14:solidFill>
              <w14:schemeClr w14:val="tx1"/>
            </w14:solidFill>
          </w14:textFill>
        </w:rPr>
      </w:pPr>
      <w:r>
        <w:rPr>
          <w:rFonts w:hint="eastAsia" w:asciiTheme="minorEastAsia" w:hAnsiTheme="minorEastAsia" w:eastAsiaTheme="minorEastAsia" w:cstheme="minorEastAsia"/>
          <w:b/>
          <w:bCs/>
          <w:color w:val="000000" w:themeColor="text1"/>
          <w:kern w:val="0"/>
          <w:sz w:val="32"/>
          <w:szCs w:val="32"/>
          <w14:textFill>
            <w14:solidFill>
              <w14:schemeClr w14:val="tx1"/>
            </w14:solidFill>
          </w14:textFill>
        </w:rPr>
        <w:t>合同编号:</w:t>
      </w:r>
      <w:r>
        <w:rPr>
          <w:rFonts w:hint="eastAsia" w:asciiTheme="minorEastAsia" w:hAnsiTheme="minorEastAsia" w:eastAsiaTheme="minorEastAsia" w:cstheme="minorEastAsia"/>
          <w:b/>
          <w:color w:val="000000" w:themeColor="text1"/>
          <w:sz w:val="32"/>
          <w:szCs w:val="32"/>
          <w:u w:val="single"/>
          <w14:textFill>
            <w14:solidFill>
              <w14:schemeClr w14:val="tx1"/>
            </w14:solidFill>
          </w14:textFill>
        </w:rPr>
        <w:t xml:space="preserve">                    </w:t>
      </w:r>
    </w:p>
    <w:p>
      <w:pPr>
        <w:pStyle w:val="102"/>
        <w:spacing w:before="312" w:beforeLines="100"/>
        <w:jc w:val="center"/>
        <w:rPr>
          <w:rFonts w:asciiTheme="minorEastAsia" w:hAnsiTheme="minorEastAsia" w:eastAsiaTheme="minorEastAsia" w:cstheme="minorEastAsia"/>
          <w:b/>
          <w:color w:val="000000" w:themeColor="text1"/>
          <w:sz w:val="32"/>
          <w:szCs w:val="32"/>
          <w:u w:val="single"/>
          <w14:textFill>
            <w14:solidFill>
              <w14:schemeClr w14:val="tx1"/>
            </w14:solidFill>
          </w14:textFill>
        </w:rPr>
      </w:pPr>
    </w:p>
    <w:p>
      <w:pPr>
        <w:pStyle w:val="102"/>
        <w:spacing w:before="312" w:beforeLines="100"/>
        <w:jc w:val="center"/>
        <w:rPr>
          <w:rFonts w:asciiTheme="minorEastAsia" w:hAnsiTheme="minorEastAsia" w:eastAsiaTheme="minorEastAsia" w:cstheme="minorEastAsia"/>
          <w:b/>
          <w:color w:val="000000" w:themeColor="text1"/>
          <w:sz w:val="32"/>
          <w:szCs w:val="32"/>
          <w:u w:val="single"/>
          <w14:textFill>
            <w14:solidFill>
              <w14:schemeClr w14:val="tx1"/>
            </w14:solidFill>
          </w14:textFill>
        </w:rPr>
      </w:pPr>
    </w:p>
    <w:p>
      <w:pPr>
        <w:pStyle w:val="102"/>
        <w:spacing w:before="312" w:beforeLines="100"/>
        <w:jc w:val="center"/>
        <w:rPr>
          <w:rFonts w:asciiTheme="minorEastAsia" w:hAnsiTheme="minorEastAsia" w:eastAsiaTheme="minorEastAsia" w:cstheme="minorEastAsia"/>
          <w:b/>
          <w:color w:val="000000" w:themeColor="text1"/>
          <w:sz w:val="32"/>
          <w:szCs w:val="32"/>
          <w:u w:val="single"/>
          <w14:textFill>
            <w14:solidFill>
              <w14:schemeClr w14:val="tx1"/>
            </w14:solidFill>
          </w14:textFill>
        </w:rPr>
      </w:pPr>
    </w:p>
    <w:p>
      <w:pPr>
        <w:pStyle w:val="102"/>
        <w:spacing w:before="312" w:beforeLines="100"/>
        <w:jc w:val="center"/>
        <w:rPr>
          <w:rFonts w:asciiTheme="minorEastAsia" w:hAnsiTheme="minorEastAsia" w:eastAsiaTheme="minorEastAsia" w:cstheme="minorEastAsia"/>
          <w:b/>
          <w:color w:val="000000" w:themeColor="text1"/>
          <w:sz w:val="32"/>
          <w:szCs w:val="32"/>
          <w:u w:val="single"/>
          <w14:textFill>
            <w14:solidFill>
              <w14:schemeClr w14:val="tx1"/>
            </w14:solidFill>
          </w14:textFill>
        </w:rPr>
      </w:pPr>
    </w:p>
    <w:p>
      <w:pPr>
        <w:pStyle w:val="102"/>
        <w:ind w:firstLine="1606" w:firstLineChars="500"/>
        <w:rPr>
          <w:rFonts w:asciiTheme="minorEastAsia" w:hAnsiTheme="minorEastAsia" w:eastAsiaTheme="minorEastAsia" w:cstheme="minorEastAsia"/>
          <w:b/>
          <w:color w:val="000000" w:themeColor="text1"/>
          <w:sz w:val="32"/>
          <w:szCs w:val="32"/>
          <w14:textFill>
            <w14:solidFill>
              <w14:schemeClr w14:val="tx1"/>
            </w14:solidFill>
          </w14:textFill>
        </w:rPr>
      </w:pPr>
      <w:r>
        <w:rPr>
          <w:rFonts w:hint="eastAsia" w:asciiTheme="minorEastAsia" w:hAnsiTheme="minorEastAsia" w:eastAsiaTheme="minorEastAsia" w:cstheme="minorEastAsia"/>
          <w:b/>
          <w:color w:val="000000" w:themeColor="text1"/>
          <w:sz w:val="32"/>
          <w:szCs w:val="32"/>
          <w14:textFill>
            <w14:solidFill>
              <w14:schemeClr w14:val="tx1"/>
            </w14:solidFill>
          </w14:textFill>
        </w:rPr>
        <w:t>甲    方:</w:t>
      </w:r>
      <w:r>
        <w:rPr>
          <w:rFonts w:hint="eastAsia" w:asciiTheme="minorEastAsia" w:hAnsiTheme="minorEastAsia" w:eastAsiaTheme="minorEastAsia" w:cstheme="minorEastAsia"/>
          <w:b/>
          <w:color w:val="000000" w:themeColor="text1"/>
          <w:sz w:val="32"/>
          <w:szCs w:val="32"/>
          <w:u w:val="single"/>
          <w14:textFill>
            <w14:solidFill>
              <w14:schemeClr w14:val="tx1"/>
            </w14:solidFill>
          </w14:textFill>
        </w:rPr>
        <w:t xml:space="preserve">                    </w:t>
      </w:r>
    </w:p>
    <w:p>
      <w:pPr>
        <w:pStyle w:val="102"/>
        <w:spacing w:before="312" w:beforeLines="100"/>
        <w:ind w:firstLine="1606" w:firstLineChars="500"/>
        <w:rPr>
          <w:rFonts w:asciiTheme="minorEastAsia" w:hAnsiTheme="minorEastAsia" w:eastAsiaTheme="minorEastAsia" w:cstheme="minorEastAsia"/>
          <w:b/>
          <w:color w:val="000000" w:themeColor="text1"/>
          <w:sz w:val="32"/>
          <w:szCs w:val="32"/>
          <w:u w:val="single"/>
          <w14:textFill>
            <w14:solidFill>
              <w14:schemeClr w14:val="tx1"/>
            </w14:solidFill>
          </w14:textFill>
        </w:rPr>
      </w:pPr>
      <w:r>
        <w:rPr>
          <w:rFonts w:hint="eastAsia" w:asciiTheme="minorEastAsia" w:hAnsiTheme="minorEastAsia" w:eastAsiaTheme="minorEastAsia" w:cstheme="minorEastAsia"/>
          <w:b/>
          <w:color w:val="000000" w:themeColor="text1"/>
          <w:sz w:val="32"/>
          <w:szCs w:val="32"/>
          <w14:textFill>
            <w14:solidFill>
              <w14:schemeClr w14:val="tx1"/>
            </w14:solidFill>
          </w14:textFill>
        </w:rPr>
        <w:t>乙    方:</w:t>
      </w:r>
      <w:r>
        <w:rPr>
          <w:rFonts w:hint="eastAsia" w:asciiTheme="minorEastAsia" w:hAnsiTheme="minorEastAsia" w:eastAsiaTheme="minorEastAsia" w:cstheme="minorEastAsia"/>
          <w:b/>
          <w:color w:val="000000" w:themeColor="text1"/>
          <w:sz w:val="32"/>
          <w:szCs w:val="32"/>
          <w:u w:val="single"/>
          <w14:textFill>
            <w14:solidFill>
              <w14:schemeClr w14:val="tx1"/>
            </w14:solidFill>
          </w14:textFill>
        </w:rPr>
        <w:t xml:space="preserve">                    </w:t>
      </w:r>
    </w:p>
    <w:p>
      <w:pPr>
        <w:pStyle w:val="102"/>
        <w:widowControl/>
        <w:snapToGrid w:val="0"/>
        <w:spacing w:line="360" w:lineRule="auto"/>
        <w:ind w:firstLine="480" w:firstLineChars="200"/>
        <w:jc w:val="left"/>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sz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sz w:val="24"/>
          <w14:textFill>
            <w14:solidFill>
              <w14:schemeClr w14:val="tx1"/>
            </w14:solidFill>
          </w14:textFill>
        </w:rPr>
        <w:t>（甲方）所需</w:t>
      </w:r>
      <w:r>
        <w:rPr>
          <w:rFonts w:hint="eastAsia" w:asciiTheme="minorEastAsia" w:hAnsiTheme="minorEastAsia" w:eastAsiaTheme="minorEastAsia" w:cstheme="minorEastAsia"/>
          <w:color w:val="000000" w:themeColor="text1"/>
          <w:kern w:val="0"/>
          <w:sz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sz w:val="24"/>
          <w14:textFill>
            <w14:solidFill>
              <w14:schemeClr w14:val="tx1"/>
            </w14:solidFill>
          </w14:textFill>
        </w:rPr>
        <w:t>(项目名称)经</w:t>
      </w:r>
      <w:r>
        <w:rPr>
          <w:rFonts w:hint="eastAsia" w:asciiTheme="minorEastAsia" w:hAnsiTheme="minorEastAsia" w:eastAsiaTheme="minorEastAsia" w:cstheme="minorEastAsia"/>
          <w:color w:val="000000" w:themeColor="text1"/>
          <w:kern w:val="0"/>
          <w:sz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sz w:val="24"/>
          <w14:textFill>
            <w14:solidFill>
              <w14:schemeClr w14:val="tx1"/>
            </w14:solidFill>
          </w14:textFill>
        </w:rPr>
        <w:t>以</w:t>
      </w:r>
      <w:r>
        <w:rPr>
          <w:rFonts w:hint="eastAsia" w:asciiTheme="minorEastAsia" w:hAnsiTheme="minorEastAsia" w:eastAsiaTheme="minorEastAsia" w:cstheme="minorEastAsia"/>
          <w:color w:val="000000" w:themeColor="text1"/>
          <w:kern w:val="0"/>
          <w:sz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sz w:val="24"/>
          <w14:textFill>
            <w14:solidFill>
              <w14:schemeClr w14:val="tx1"/>
            </w14:solidFill>
          </w14:textFill>
        </w:rPr>
        <w:t>（项目编号）招标文件在国内以公开招标方式进行采购。经评标委员会确定</w:t>
      </w:r>
      <w:r>
        <w:rPr>
          <w:rFonts w:hint="eastAsia" w:asciiTheme="minorEastAsia" w:hAnsiTheme="minorEastAsia" w:eastAsiaTheme="minorEastAsia" w:cstheme="minorEastAsia"/>
          <w:color w:val="000000" w:themeColor="text1"/>
          <w:kern w:val="0"/>
          <w:sz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sz w:val="24"/>
          <w14:textFill>
            <w14:solidFill>
              <w14:schemeClr w14:val="tx1"/>
            </w14:solidFill>
          </w14:textFill>
        </w:rPr>
        <w:t>（乙方）为中标人。甲、乙双方根据《中华人民共和国政府采购法》、《中华人民共和国民法典》等相关法律以及本项目招标文件的规定，经平等协商达成合同如下：</w:t>
      </w:r>
    </w:p>
    <w:p>
      <w:pPr>
        <w:pStyle w:val="102"/>
        <w:widowControl/>
        <w:snapToGrid w:val="0"/>
        <w:spacing w:line="360" w:lineRule="auto"/>
        <w:ind w:firstLine="482" w:firstLineChars="200"/>
        <w:jc w:val="left"/>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b/>
          <w:bCs/>
          <w:color w:val="000000" w:themeColor="text1"/>
          <w:sz w:val="24"/>
          <w14:textFill>
            <w14:solidFill>
              <w14:schemeClr w14:val="tx1"/>
            </w14:solidFill>
          </w14:textFill>
        </w:rPr>
        <w:t>一、合同文件</w:t>
      </w:r>
    </w:p>
    <w:p>
      <w:pPr>
        <w:pStyle w:val="102"/>
        <w:widowControl/>
        <w:snapToGrid w:val="0"/>
        <w:spacing w:line="360" w:lineRule="auto"/>
        <w:ind w:firstLine="480" w:firstLineChars="200"/>
        <w:jc w:val="left"/>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本合同所附下列文件是构成本合同不可分割的部分：</w:t>
      </w:r>
    </w:p>
    <w:p>
      <w:pPr>
        <w:pStyle w:val="102"/>
        <w:widowControl/>
        <w:snapToGrid w:val="0"/>
        <w:spacing w:line="360" w:lineRule="auto"/>
        <w:ind w:firstLine="480" w:firstLineChars="200"/>
        <w:jc w:val="left"/>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（一）本项目招标文件</w:t>
      </w:r>
    </w:p>
    <w:p>
      <w:pPr>
        <w:pStyle w:val="102"/>
        <w:widowControl/>
        <w:snapToGrid w:val="0"/>
        <w:spacing w:line="360" w:lineRule="auto"/>
        <w:ind w:firstLine="480" w:firstLineChars="200"/>
        <w:jc w:val="left"/>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（二）中标人投标文件</w:t>
      </w:r>
    </w:p>
    <w:p>
      <w:pPr>
        <w:pStyle w:val="102"/>
        <w:widowControl/>
        <w:snapToGrid w:val="0"/>
        <w:spacing w:line="360" w:lineRule="auto"/>
        <w:ind w:firstLine="480" w:firstLineChars="200"/>
        <w:jc w:val="left"/>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（三）合同格式、合同条款</w:t>
      </w:r>
    </w:p>
    <w:p>
      <w:pPr>
        <w:pStyle w:val="102"/>
        <w:widowControl/>
        <w:snapToGrid w:val="0"/>
        <w:spacing w:line="360" w:lineRule="auto"/>
        <w:ind w:firstLine="480" w:firstLineChars="200"/>
        <w:jc w:val="left"/>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（四）中标人在评标过程中做出的有关澄清、说明或者补正文件</w:t>
      </w:r>
    </w:p>
    <w:p>
      <w:pPr>
        <w:pStyle w:val="102"/>
        <w:widowControl/>
        <w:snapToGrid w:val="0"/>
        <w:spacing w:line="360" w:lineRule="auto"/>
        <w:ind w:firstLine="480" w:firstLineChars="200"/>
        <w:jc w:val="left"/>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（五）中标通知书</w:t>
      </w:r>
    </w:p>
    <w:p>
      <w:pPr>
        <w:pStyle w:val="102"/>
        <w:widowControl/>
        <w:snapToGrid w:val="0"/>
        <w:spacing w:line="360" w:lineRule="auto"/>
        <w:ind w:firstLine="480" w:firstLineChars="200"/>
        <w:jc w:val="left"/>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（六）本合同附件</w:t>
      </w:r>
    </w:p>
    <w:p>
      <w:pPr>
        <w:pStyle w:val="102"/>
        <w:widowControl/>
        <w:snapToGrid w:val="0"/>
        <w:spacing w:line="360" w:lineRule="auto"/>
        <w:ind w:firstLine="482" w:firstLineChars="200"/>
        <w:jc w:val="left"/>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b/>
          <w:bCs/>
          <w:color w:val="000000" w:themeColor="text1"/>
          <w:sz w:val="24"/>
          <w14:textFill>
            <w14:solidFill>
              <w14:schemeClr w14:val="tx1"/>
            </w14:solidFill>
          </w14:textFill>
        </w:rPr>
        <w:t>二、合同的范围和条件</w:t>
      </w:r>
    </w:p>
    <w:p>
      <w:pPr>
        <w:pStyle w:val="102"/>
        <w:widowControl/>
        <w:snapToGrid w:val="0"/>
        <w:spacing w:line="360" w:lineRule="auto"/>
        <w:ind w:firstLine="480" w:firstLineChars="200"/>
        <w:jc w:val="left"/>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本合同的范围和条件应与上述合同文件的规定相一致。</w:t>
      </w:r>
    </w:p>
    <w:p>
      <w:pPr>
        <w:pStyle w:val="102"/>
        <w:widowControl/>
        <w:snapToGrid w:val="0"/>
        <w:spacing w:line="360" w:lineRule="auto"/>
        <w:ind w:firstLine="482" w:firstLineChars="200"/>
        <w:jc w:val="left"/>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b/>
          <w:bCs/>
          <w:color w:val="000000" w:themeColor="text1"/>
          <w:sz w:val="24"/>
          <w14:textFill>
            <w14:solidFill>
              <w14:schemeClr w14:val="tx1"/>
            </w14:solidFill>
          </w14:textFill>
        </w:rPr>
        <w:t>三、货物、数量及规格</w:t>
      </w:r>
    </w:p>
    <w:p>
      <w:pPr>
        <w:pStyle w:val="102"/>
        <w:widowControl/>
        <w:snapToGrid w:val="0"/>
        <w:spacing w:line="360" w:lineRule="auto"/>
        <w:ind w:firstLine="480" w:firstLineChars="200"/>
        <w:jc w:val="left"/>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本合同所提供的货物、数量及规格详见合同货物清单（附件一）（同投标文件中报价明细表，下同）。</w:t>
      </w:r>
    </w:p>
    <w:p>
      <w:pPr>
        <w:pStyle w:val="102"/>
        <w:widowControl/>
        <w:snapToGrid w:val="0"/>
        <w:spacing w:line="360" w:lineRule="auto"/>
        <w:ind w:firstLine="482" w:firstLineChars="200"/>
        <w:jc w:val="left"/>
        <w:rPr>
          <w:rFonts w:asciiTheme="minorEastAsia" w:hAnsiTheme="minorEastAsia" w:eastAsiaTheme="minorEastAsia" w:cstheme="minorEastAsia"/>
          <w:b/>
          <w:bCs/>
          <w:color w:val="000000" w:themeColor="text1"/>
          <w:sz w:val="24"/>
          <w14:textFill>
            <w14:solidFill>
              <w14:schemeClr w14:val="tx1"/>
            </w14:solidFill>
          </w14:textFill>
        </w:rPr>
      </w:pPr>
      <w:r>
        <w:rPr>
          <w:rFonts w:hint="eastAsia" w:asciiTheme="minorEastAsia" w:hAnsiTheme="minorEastAsia" w:eastAsiaTheme="minorEastAsia" w:cstheme="minorEastAsia"/>
          <w:b/>
          <w:bCs/>
          <w:color w:val="000000" w:themeColor="text1"/>
          <w:sz w:val="24"/>
          <w14:textFill>
            <w14:solidFill>
              <w14:schemeClr w14:val="tx1"/>
            </w14:solidFill>
          </w14:textFill>
        </w:rPr>
        <w:t>四、合同金额</w:t>
      </w:r>
    </w:p>
    <w:p>
      <w:pPr>
        <w:pStyle w:val="102"/>
        <w:widowControl/>
        <w:snapToGrid w:val="0"/>
        <w:spacing w:line="360" w:lineRule="auto"/>
        <w:ind w:firstLine="480" w:firstLineChars="200"/>
        <w:jc w:val="left"/>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根据上述合同文件要求，合同金额为人民币</w:t>
      </w:r>
      <w:r>
        <w:rPr>
          <w:rFonts w:hint="eastAsia" w:asciiTheme="minorEastAsia" w:hAnsiTheme="minorEastAsia" w:eastAsiaTheme="minorEastAsia" w:cstheme="minorEastAsia"/>
          <w:color w:val="000000" w:themeColor="text1"/>
          <w:sz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14:textFill>
            <w14:solidFill>
              <w14:schemeClr w14:val="tx1"/>
            </w14:solidFill>
          </w14:textFill>
        </w:rPr>
        <w:t>元，大写：</w:t>
      </w:r>
      <w:r>
        <w:rPr>
          <w:rFonts w:hint="eastAsia" w:asciiTheme="minorEastAsia" w:hAnsiTheme="minorEastAsia" w:eastAsiaTheme="minorEastAsia" w:cstheme="minorEastAsia"/>
          <w:color w:val="000000" w:themeColor="text1"/>
          <w:sz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14:textFill>
            <w14:solidFill>
              <w14:schemeClr w14:val="tx1"/>
            </w14:solidFill>
          </w14:textFill>
        </w:rPr>
        <w:t>。（分项价格详见合同货物清单）。</w:t>
      </w:r>
    </w:p>
    <w:p>
      <w:pPr>
        <w:pStyle w:val="102"/>
        <w:widowControl/>
        <w:snapToGrid w:val="0"/>
        <w:spacing w:line="360" w:lineRule="auto"/>
        <w:ind w:firstLine="480" w:firstLineChars="200"/>
        <w:jc w:val="left"/>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乙方开户单位：</w:t>
      </w:r>
    </w:p>
    <w:p>
      <w:pPr>
        <w:pStyle w:val="102"/>
        <w:widowControl/>
        <w:snapToGrid w:val="0"/>
        <w:spacing w:line="360" w:lineRule="auto"/>
        <w:ind w:firstLine="480" w:firstLineChars="200"/>
        <w:jc w:val="left"/>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开户银行：                           帐号：</w:t>
      </w:r>
    </w:p>
    <w:p>
      <w:pPr>
        <w:pStyle w:val="102"/>
        <w:widowControl/>
        <w:snapToGrid w:val="0"/>
        <w:spacing w:line="360" w:lineRule="auto"/>
        <w:ind w:firstLine="482" w:firstLineChars="200"/>
        <w:jc w:val="left"/>
        <w:rPr>
          <w:rFonts w:asciiTheme="minorEastAsia" w:hAnsiTheme="minorEastAsia" w:eastAsiaTheme="minorEastAsia" w:cstheme="minorEastAsia"/>
          <w:b/>
          <w:bCs/>
          <w:color w:val="000000" w:themeColor="text1"/>
          <w:sz w:val="24"/>
          <w14:textFill>
            <w14:solidFill>
              <w14:schemeClr w14:val="tx1"/>
            </w14:solidFill>
          </w14:textFill>
        </w:rPr>
      </w:pPr>
      <w:r>
        <w:rPr>
          <w:rFonts w:hint="eastAsia" w:asciiTheme="minorEastAsia" w:hAnsiTheme="minorEastAsia" w:eastAsiaTheme="minorEastAsia" w:cstheme="minorEastAsia"/>
          <w:b/>
          <w:bCs/>
          <w:color w:val="000000" w:themeColor="text1"/>
          <w:sz w:val="24"/>
          <w14:textFill>
            <w14:solidFill>
              <w14:schemeClr w14:val="tx1"/>
            </w14:solidFill>
          </w14:textFill>
        </w:rPr>
        <w:t>五、付款途径</w:t>
      </w:r>
    </w:p>
    <w:p>
      <w:pPr>
        <w:pStyle w:val="102"/>
        <w:widowControl/>
        <w:snapToGrid w:val="0"/>
        <w:spacing w:line="360" w:lineRule="auto"/>
        <w:ind w:firstLine="480" w:firstLineChars="200"/>
        <w:jc w:val="left"/>
        <w:rPr>
          <w:rFonts w:asciiTheme="minorEastAsia" w:hAnsiTheme="minorEastAsia" w:eastAsiaTheme="minorEastAsia" w:cstheme="minorEastAsia"/>
          <w:b/>
          <w:bCs/>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 国库集中支付   □甲方支付    □ 国库与甲方共同支付</w:t>
      </w:r>
    </w:p>
    <w:p>
      <w:pPr>
        <w:pStyle w:val="102"/>
        <w:widowControl/>
        <w:snapToGrid w:val="0"/>
        <w:spacing w:line="360" w:lineRule="auto"/>
        <w:ind w:firstLine="480" w:firstLineChars="200"/>
        <w:jc w:val="left"/>
        <w:rPr>
          <w:rFonts w:asciiTheme="minorEastAsia" w:hAnsiTheme="minorEastAsia" w:eastAsiaTheme="minorEastAsia" w:cstheme="minorEastAsia"/>
          <w:b/>
          <w:bCs/>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 财政性资金</w:t>
      </w:r>
      <w:r>
        <w:rPr>
          <w:rFonts w:hint="eastAsia" w:asciiTheme="minorEastAsia" w:hAnsiTheme="minorEastAsia" w:eastAsiaTheme="minorEastAsia" w:cstheme="minorEastAsia"/>
          <w:color w:val="000000" w:themeColor="text1"/>
          <w:sz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14:textFill>
            <w14:solidFill>
              <w14:schemeClr w14:val="tx1"/>
            </w14:solidFill>
          </w14:textFill>
        </w:rPr>
        <w:t>元          □ 自筹性资金</w:t>
      </w:r>
      <w:r>
        <w:rPr>
          <w:rFonts w:hint="eastAsia" w:asciiTheme="minorEastAsia" w:hAnsiTheme="minorEastAsia" w:eastAsiaTheme="minorEastAsia" w:cstheme="minorEastAsia"/>
          <w:color w:val="000000" w:themeColor="text1"/>
          <w:sz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14:textFill>
            <w14:solidFill>
              <w14:schemeClr w14:val="tx1"/>
            </w14:solidFill>
          </w14:textFill>
        </w:rPr>
        <w:t>元</w:t>
      </w:r>
    </w:p>
    <w:p>
      <w:pPr>
        <w:pStyle w:val="102"/>
        <w:widowControl/>
        <w:snapToGrid w:val="0"/>
        <w:spacing w:line="360" w:lineRule="auto"/>
        <w:ind w:firstLine="482" w:firstLineChars="200"/>
        <w:jc w:val="left"/>
        <w:rPr>
          <w:rFonts w:asciiTheme="minorEastAsia" w:hAnsiTheme="minorEastAsia" w:eastAsiaTheme="minorEastAsia" w:cstheme="minorEastAsia"/>
          <w:b/>
          <w:bCs/>
          <w:color w:val="000000" w:themeColor="text1"/>
          <w:sz w:val="24"/>
          <w14:textFill>
            <w14:solidFill>
              <w14:schemeClr w14:val="tx1"/>
            </w14:solidFill>
          </w14:textFill>
        </w:rPr>
      </w:pPr>
      <w:r>
        <w:rPr>
          <w:rFonts w:hint="eastAsia" w:asciiTheme="minorEastAsia" w:hAnsiTheme="minorEastAsia" w:eastAsiaTheme="minorEastAsia" w:cstheme="minorEastAsia"/>
          <w:b/>
          <w:bCs/>
          <w:color w:val="000000" w:themeColor="text1"/>
          <w:sz w:val="24"/>
          <w14:textFill>
            <w14:solidFill>
              <w14:schemeClr w14:val="tx1"/>
            </w14:solidFill>
          </w14:textFill>
        </w:rPr>
        <w:t>六、付款方式</w:t>
      </w:r>
    </w:p>
    <w:p>
      <w:pPr>
        <w:pStyle w:val="102"/>
        <w:spacing w:line="360" w:lineRule="auto"/>
        <w:ind w:firstLine="480" w:firstLineChars="200"/>
        <w:rPr>
          <w:rFonts w:asciiTheme="minorEastAsia" w:hAnsiTheme="minorEastAsia" w:eastAsiaTheme="minorEastAsia" w:cstheme="minorEastAsia"/>
          <w:bCs/>
          <w:color w:val="000000" w:themeColor="text1"/>
          <w:sz w:val="24"/>
          <w14:textFill>
            <w14:solidFill>
              <w14:schemeClr w14:val="tx1"/>
            </w14:solidFill>
          </w14:textFill>
        </w:rPr>
      </w:pPr>
      <w:r>
        <w:rPr>
          <w:rFonts w:hint="eastAsia" w:asciiTheme="minorEastAsia" w:hAnsiTheme="minorEastAsia" w:eastAsiaTheme="minorEastAsia" w:cstheme="minorEastAsia"/>
          <w:bCs/>
          <w:color w:val="000000" w:themeColor="text1"/>
          <w:sz w:val="24"/>
          <w14:textFill>
            <w14:solidFill>
              <w14:schemeClr w14:val="tx1"/>
            </w14:solidFill>
          </w14:textFill>
        </w:rPr>
        <w:t>付款方式：</w:t>
      </w:r>
    </w:p>
    <w:p>
      <w:pPr>
        <w:pStyle w:val="102"/>
        <w:spacing w:line="360" w:lineRule="auto"/>
        <w:ind w:firstLine="482" w:firstLineChars="200"/>
        <w:rPr>
          <w:rFonts w:asciiTheme="minorEastAsia" w:hAnsiTheme="minorEastAsia" w:eastAsiaTheme="minorEastAsia" w:cstheme="minorEastAsia"/>
          <w:b/>
          <w:bCs/>
          <w:color w:val="000000" w:themeColor="text1"/>
          <w:sz w:val="24"/>
          <w14:textFill>
            <w14:solidFill>
              <w14:schemeClr w14:val="tx1"/>
            </w14:solidFill>
          </w14:textFill>
        </w:rPr>
      </w:pPr>
      <w:r>
        <w:rPr>
          <w:rFonts w:hint="eastAsia" w:asciiTheme="minorEastAsia" w:hAnsiTheme="minorEastAsia" w:eastAsiaTheme="minorEastAsia" w:cstheme="minorEastAsia"/>
          <w:b/>
          <w:bCs/>
          <w:color w:val="000000" w:themeColor="text1"/>
          <w:sz w:val="24"/>
          <w14:textFill>
            <w14:solidFill>
              <w14:schemeClr w14:val="tx1"/>
            </w14:solidFill>
          </w14:textFill>
        </w:rPr>
        <w:t>七、供货周期、地点</w:t>
      </w:r>
    </w:p>
    <w:p>
      <w:pPr>
        <w:pStyle w:val="102"/>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1、供货周期：合同生效之日起</w:t>
      </w:r>
      <w:r>
        <w:rPr>
          <w:rFonts w:hint="eastAsia" w:asciiTheme="minorEastAsia" w:hAnsiTheme="minorEastAsia" w:eastAsiaTheme="minorEastAsia" w:cstheme="minorEastAsia"/>
          <w:color w:val="000000" w:themeColor="text1"/>
          <w:sz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14:textFill>
            <w14:solidFill>
              <w14:schemeClr w14:val="tx1"/>
            </w14:solidFill>
          </w14:textFill>
        </w:rPr>
        <w:t>日内交付。</w:t>
      </w:r>
    </w:p>
    <w:p>
      <w:pPr>
        <w:pStyle w:val="102"/>
        <w:tabs>
          <w:tab w:val="left" w:pos="955"/>
        </w:tabs>
        <w:spacing w:line="360" w:lineRule="auto"/>
        <w:ind w:firstLine="480" w:firstLineChars="200"/>
        <w:rPr>
          <w:rFonts w:asciiTheme="minorEastAsia" w:hAnsiTheme="minorEastAsia" w:eastAsiaTheme="minorEastAsia" w:cstheme="minorEastAsia"/>
          <w:color w:val="000000" w:themeColor="text1"/>
          <w:sz w:val="24"/>
          <w:u w:val="single"/>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2、交付地点：</w:t>
      </w:r>
      <w:r>
        <w:rPr>
          <w:rFonts w:hint="eastAsia" w:asciiTheme="minorEastAsia" w:hAnsiTheme="minorEastAsia" w:eastAsiaTheme="minorEastAsia" w:cstheme="minorEastAsia"/>
          <w:color w:val="000000" w:themeColor="text1"/>
          <w:sz w:val="24"/>
          <w:u w:val="single"/>
          <w14:textFill>
            <w14:solidFill>
              <w14:schemeClr w14:val="tx1"/>
            </w14:solidFill>
          </w14:textFill>
        </w:rPr>
        <w:t xml:space="preserve">                                                 </w:t>
      </w:r>
    </w:p>
    <w:p>
      <w:pPr>
        <w:pStyle w:val="102"/>
        <w:spacing w:line="360" w:lineRule="auto"/>
        <w:ind w:firstLine="482" w:firstLineChars="200"/>
        <w:rPr>
          <w:rFonts w:asciiTheme="minorEastAsia" w:hAnsiTheme="minorEastAsia" w:eastAsiaTheme="minorEastAsia" w:cstheme="minorEastAsia"/>
          <w:b/>
          <w:bCs/>
          <w:color w:val="000000" w:themeColor="text1"/>
          <w:sz w:val="24"/>
          <w14:textFill>
            <w14:solidFill>
              <w14:schemeClr w14:val="tx1"/>
            </w14:solidFill>
          </w14:textFill>
        </w:rPr>
      </w:pPr>
      <w:r>
        <w:rPr>
          <w:rFonts w:hint="eastAsia" w:asciiTheme="minorEastAsia" w:hAnsiTheme="minorEastAsia" w:eastAsiaTheme="minorEastAsia" w:cstheme="minorEastAsia"/>
          <w:b/>
          <w:bCs/>
          <w:color w:val="000000" w:themeColor="text1"/>
          <w:sz w:val="24"/>
          <w14:textFill>
            <w14:solidFill>
              <w14:schemeClr w14:val="tx1"/>
            </w14:solidFill>
          </w14:textFill>
        </w:rPr>
        <w:t>八、履约保证金</w:t>
      </w:r>
    </w:p>
    <w:p>
      <w:pPr>
        <w:pStyle w:val="102"/>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履约保证金在项目交付验收合格无质量问题后20个工作日内退还。</w:t>
      </w:r>
    </w:p>
    <w:p>
      <w:pPr>
        <w:pStyle w:val="102"/>
        <w:spacing w:line="360" w:lineRule="auto"/>
        <w:ind w:firstLine="482" w:firstLineChars="200"/>
        <w:rPr>
          <w:rFonts w:asciiTheme="minorEastAsia" w:hAnsiTheme="minorEastAsia" w:eastAsiaTheme="minorEastAsia" w:cstheme="minorEastAsia"/>
          <w:b/>
          <w:bCs/>
          <w:color w:val="000000" w:themeColor="text1"/>
          <w:sz w:val="24"/>
          <w14:textFill>
            <w14:solidFill>
              <w14:schemeClr w14:val="tx1"/>
            </w14:solidFill>
          </w14:textFill>
        </w:rPr>
      </w:pPr>
      <w:r>
        <w:rPr>
          <w:rFonts w:hint="eastAsia" w:asciiTheme="minorEastAsia" w:hAnsiTheme="minorEastAsia" w:eastAsiaTheme="minorEastAsia" w:cstheme="minorEastAsia"/>
          <w:b/>
          <w:bCs/>
          <w:color w:val="000000" w:themeColor="text1"/>
          <w:sz w:val="24"/>
          <w14:textFill>
            <w14:solidFill>
              <w14:schemeClr w14:val="tx1"/>
            </w14:solidFill>
          </w14:textFill>
        </w:rPr>
        <w:t>九、合同生效</w:t>
      </w:r>
    </w:p>
    <w:p>
      <w:pPr>
        <w:pStyle w:val="102"/>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本合同经甲乙双方签字盖章后生效。</w:t>
      </w:r>
    </w:p>
    <w:p>
      <w:pPr>
        <w:pStyle w:val="102"/>
        <w:spacing w:line="360" w:lineRule="auto"/>
        <w:ind w:firstLine="482" w:firstLineChars="200"/>
        <w:rPr>
          <w:rFonts w:asciiTheme="minorEastAsia" w:hAnsiTheme="minorEastAsia" w:eastAsiaTheme="minorEastAsia" w:cstheme="minorEastAsia"/>
          <w:b/>
          <w:bCs/>
          <w:color w:val="000000" w:themeColor="text1"/>
          <w:sz w:val="24"/>
          <w14:textFill>
            <w14:solidFill>
              <w14:schemeClr w14:val="tx1"/>
            </w14:solidFill>
          </w14:textFill>
        </w:rPr>
      </w:pPr>
      <w:r>
        <w:rPr>
          <w:rFonts w:hint="eastAsia" w:asciiTheme="minorEastAsia" w:hAnsiTheme="minorEastAsia" w:eastAsiaTheme="minorEastAsia" w:cstheme="minorEastAsia"/>
          <w:b/>
          <w:bCs/>
          <w:color w:val="000000" w:themeColor="text1"/>
          <w:sz w:val="24"/>
          <w14:textFill>
            <w14:solidFill>
              <w14:schemeClr w14:val="tx1"/>
            </w14:solidFill>
          </w14:textFill>
        </w:rPr>
        <w:t>十、合同保存</w:t>
      </w:r>
    </w:p>
    <w:p>
      <w:pPr>
        <w:pStyle w:val="102"/>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本合同一式四份，甲方二份，乙方二份。</w:t>
      </w:r>
    </w:p>
    <w:p>
      <w:pPr>
        <w:pStyle w:val="102"/>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p>
    <w:p>
      <w:pPr>
        <w:pStyle w:val="102"/>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p>
    <w:p>
      <w:pPr>
        <w:pStyle w:val="102"/>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p>
    <w:p>
      <w:pPr>
        <w:pStyle w:val="102"/>
        <w:spacing w:line="360" w:lineRule="auto"/>
        <w:rPr>
          <w:rFonts w:asciiTheme="minorEastAsia" w:hAnsiTheme="minorEastAsia" w:eastAsiaTheme="minorEastAsia" w:cstheme="minorEastAsia"/>
          <w:b/>
          <w:color w:val="000000" w:themeColor="text1"/>
          <w:sz w:val="24"/>
          <w14:textFill>
            <w14:solidFill>
              <w14:schemeClr w14:val="tx1"/>
            </w14:solidFill>
          </w14:textFill>
        </w:rPr>
      </w:pPr>
      <w:r>
        <w:rPr>
          <w:rFonts w:hint="eastAsia" w:asciiTheme="minorEastAsia" w:hAnsiTheme="minorEastAsia" w:eastAsiaTheme="minorEastAsia" w:cstheme="minorEastAsia"/>
          <w:b/>
          <w:color w:val="000000" w:themeColor="text1"/>
          <w:sz w:val="24"/>
          <w14:textFill>
            <w14:solidFill>
              <w14:schemeClr w14:val="tx1"/>
            </w14:solidFill>
          </w14:textFill>
        </w:rPr>
        <w:t>甲    方：                            乙    方：</w:t>
      </w:r>
    </w:p>
    <w:p>
      <w:pPr>
        <w:pStyle w:val="102"/>
        <w:spacing w:line="360" w:lineRule="auto"/>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单位名称(公章)：                      单位名称(公章)：</w:t>
      </w:r>
    </w:p>
    <w:p>
      <w:pPr>
        <w:pStyle w:val="102"/>
        <w:spacing w:line="360" w:lineRule="auto"/>
        <w:rPr>
          <w:rFonts w:asciiTheme="minorEastAsia" w:hAnsiTheme="minorEastAsia" w:eastAsiaTheme="minorEastAsia" w:cstheme="minorEastAsia"/>
          <w:color w:val="000000" w:themeColor="text1"/>
          <w:sz w:val="24"/>
          <w14:textFill>
            <w14:solidFill>
              <w14:schemeClr w14:val="tx1"/>
            </w14:solidFill>
          </w14:textFill>
        </w:rPr>
      </w:pPr>
    </w:p>
    <w:p>
      <w:pPr>
        <w:pStyle w:val="102"/>
        <w:spacing w:line="360" w:lineRule="auto"/>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法定代表人或授权代理人：（签字）       法定代表人或授权代理人：（签字）</w:t>
      </w:r>
    </w:p>
    <w:p>
      <w:pPr>
        <w:pStyle w:val="102"/>
        <w:spacing w:line="360" w:lineRule="auto"/>
        <w:rPr>
          <w:rFonts w:asciiTheme="minorEastAsia" w:hAnsiTheme="minorEastAsia" w:eastAsiaTheme="minorEastAsia" w:cstheme="minorEastAsia"/>
          <w:color w:val="000000" w:themeColor="text1"/>
          <w:sz w:val="24"/>
          <w14:textFill>
            <w14:solidFill>
              <w14:schemeClr w14:val="tx1"/>
            </w14:solidFill>
          </w14:textFill>
        </w:rPr>
      </w:pPr>
    </w:p>
    <w:p>
      <w:pPr>
        <w:pStyle w:val="102"/>
        <w:spacing w:line="360" w:lineRule="auto"/>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电    话：                            电    话：</w:t>
      </w:r>
    </w:p>
    <w:p>
      <w:pPr>
        <w:pStyle w:val="102"/>
        <w:spacing w:line="360" w:lineRule="auto"/>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签订日期：                            签订日期：</w:t>
      </w:r>
    </w:p>
    <w:p>
      <w:pPr>
        <w:pStyle w:val="102"/>
        <w:spacing w:line="360" w:lineRule="auto"/>
        <w:rPr>
          <w:rFonts w:asciiTheme="minorEastAsia" w:hAnsiTheme="minorEastAsia" w:eastAsiaTheme="minorEastAsia" w:cstheme="minorEastAsia"/>
          <w:b/>
          <w:color w:val="000000" w:themeColor="text1"/>
          <w:sz w:val="24"/>
          <w14:textFill>
            <w14:solidFill>
              <w14:schemeClr w14:val="tx1"/>
            </w14:solidFill>
          </w14:textFill>
        </w:rPr>
      </w:pPr>
    </w:p>
    <w:p>
      <w:pPr>
        <w:pStyle w:val="102"/>
        <w:spacing w:line="360" w:lineRule="auto"/>
        <w:rPr>
          <w:rFonts w:asciiTheme="minorEastAsia" w:hAnsiTheme="minorEastAsia" w:eastAsiaTheme="minorEastAsia" w:cstheme="minorEastAsia"/>
          <w:b/>
          <w:color w:val="000000" w:themeColor="text1"/>
          <w:sz w:val="24"/>
          <w14:textFill>
            <w14:solidFill>
              <w14:schemeClr w14:val="tx1"/>
            </w14:solidFill>
          </w14:textFill>
        </w:rPr>
      </w:pPr>
      <w:r>
        <w:rPr>
          <w:rFonts w:hint="eastAsia" w:asciiTheme="minorEastAsia" w:hAnsiTheme="minorEastAsia" w:eastAsiaTheme="minorEastAsia" w:cstheme="minorEastAsia"/>
          <w:b/>
          <w:color w:val="000000" w:themeColor="text1"/>
          <w:kern w:val="0"/>
          <w:sz w:val="24"/>
          <w14:textFill>
            <w14:solidFill>
              <w14:schemeClr w14:val="tx1"/>
            </w14:solidFill>
          </w14:textFill>
        </w:rPr>
        <w:br w:type="page"/>
      </w:r>
      <w:r>
        <w:rPr>
          <w:rFonts w:hint="eastAsia" w:asciiTheme="minorEastAsia" w:hAnsiTheme="minorEastAsia" w:eastAsiaTheme="minorEastAsia" w:cstheme="minorEastAsia"/>
          <w:b/>
          <w:color w:val="000000" w:themeColor="text1"/>
          <w:sz w:val="24"/>
          <w14:textFill>
            <w14:solidFill>
              <w14:schemeClr w14:val="tx1"/>
            </w14:solidFill>
          </w14:textFill>
        </w:rPr>
        <w:t>二、合同条款</w:t>
      </w:r>
    </w:p>
    <w:p>
      <w:pPr>
        <w:pStyle w:val="102"/>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甲方在本项目中所需货物和服务由</w:t>
      </w:r>
      <w:r>
        <w:rPr>
          <w:rFonts w:hint="eastAsia" w:asciiTheme="minorEastAsia" w:hAnsiTheme="minorEastAsia" w:eastAsiaTheme="minorEastAsia" w:cstheme="minorEastAsia"/>
          <w:color w:val="000000" w:themeColor="text1"/>
          <w:kern w:val="0"/>
          <w:sz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14:textFill>
            <w14:solidFill>
              <w14:schemeClr w14:val="tx1"/>
            </w14:solidFill>
          </w14:textFill>
        </w:rPr>
        <w:t xml:space="preserve">在国内进行公开招标，经评标委员会评定，确定乙方为中标人。甲乙双方根据《中华人民共和国政府采购法》、《中华人民共和国民法典》等相关法律法规以及本项目招标文件的规定，经平等协商达成合同如下： </w:t>
      </w:r>
      <w:bookmarkStart w:id="89" w:name="_Toc175644041"/>
      <w:bookmarkStart w:id="90" w:name="_Toc86202594"/>
    </w:p>
    <w:p>
      <w:pPr>
        <w:pStyle w:val="102"/>
        <w:spacing w:line="360" w:lineRule="auto"/>
        <w:ind w:firstLine="482" w:firstLineChars="200"/>
        <w:rPr>
          <w:rFonts w:asciiTheme="minorEastAsia" w:hAnsiTheme="minorEastAsia" w:eastAsiaTheme="minorEastAsia" w:cstheme="minorEastAsia"/>
          <w:b/>
          <w:color w:val="000000" w:themeColor="text1"/>
          <w:sz w:val="24"/>
          <w14:textFill>
            <w14:solidFill>
              <w14:schemeClr w14:val="tx1"/>
            </w14:solidFill>
          </w14:textFill>
        </w:rPr>
      </w:pPr>
      <w:r>
        <w:rPr>
          <w:rFonts w:hint="eastAsia" w:asciiTheme="minorEastAsia" w:hAnsiTheme="minorEastAsia" w:eastAsiaTheme="minorEastAsia" w:cstheme="minorEastAsia"/>
          <w:b/>
          <w:color w:val="000000" w:themeColor="text1"/>
          <w:sz w:val="24"/>
          <w14:textFill>
            <w14:solidFill>
              <w14:schemeClr w14:val="tx1"/>
            </w14:solidFill>
          </w14:textFill>
        </w:rPr>
        <w:t>一、定义</w:t>
      </w:r>
      <w:bookmarkEnd w:id="89"/>
      <w:bookmarkEnd w:id="90"/>
    </w:p>
    <w:p>
      <w:pPr>
        <w:pStyle w:val="102"/>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除非另有特别解释或说明，在本合同及与本合同相关的，双方另行签署的其他文件（包括但不限于本合同的附件）中，下述词语均依如下定义进行解释：</w:t>
      </w:r>
    </w:p>
    <w:p>
      <w:pPr>
        <w:pStyle w:val="102"/>
        <w:tabs>
          <w:tab w:val="left" w:pos="360"/>
          <w:tab w:val="left" w:pos="2011"/>
        </w:tabs>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1、“合同”指甲乙双方签署的，与本项目相关的协议、附件、附录和其他一切文件，还包括招标文件、投标文件中的相关内容及其有效补充文件。</w:t>
      </w:r>
    </w:p>
    <w:p>
      <w:pPr>
        <w:pStyle w:val="102"/>
        <w:tabs>
          <w:tab w:val="left" w:pos="360"/>
          <w:tab w:val="left" w:pos="2011"/>
        </w:tabs>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2、“附件”是指与本合同的订立、履行有关的，经甲乙双方认可的，对本合同约定的内容进行细化、补充、修改、变更的文件、图纸、音像制品等资料。</w:t>
      </w:r>
    </w:p>
    <w:p>
      <w:pPr>
        <w:pStyle w:val="102"/>
        <w:tabs>
          <w:tab w:val="left" w:pos="360"/>
          <w:tab w:val="left" w:pos="2011"/>
        </w:tabs>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3、“货物”指合同货物清单（附件1）（同投标文件中货物明细表，下同）中所规定的硬件、软件、安装材料、备件及专用器具、文件资料等内容。</w:t>
      </w:r>
    </w:p>
    <w:p>
      <w:pPr>
        <w:pStyle w:val="102"/>
        <w:tabs>
          <w:tab w:val="left" w:pos="360"/>
          <w:tab w:val="left" w:pos="2011"/>
        </w:tabs>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4、“服务”指根据合同规定乙方应承担的与供货有关的辅助服务，包括（但不限于）合同货物的乙方付费办妥清关、乙方付费运输、保险、安装、测试、调试、培训、维修、提供技术指导和支持、保修期外的维护以及其他类似的义务。</w:t>
      </w:r>
    </w:p>
    <w:p>
      <w:pPr>
        <w:pStyle w:val="102"/>
        <w:tabs>
          <w:tab w:val="left" w:pos="360"/>
          <w:tab w:val="left" w:pos="2011"/>
        </w:tabs>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5、“检验”指按照本合同约定的标准对合同货物进行的检测与查验。</w:t>
      </w:r>
    </w:p>
    <w:p>
      <w:pPr>
        <w:pStyle w:val="102"/>
        <w:tabs>
          <w:tab w:val="left" w:pos="360"/>
          <w:tab w:val="left" w:pos="2011"/>
        </w:tabs>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6、“政府采购项目验收单”指甲、乙双方验收完成后由合同双方签署的最终验收确认书。</w:t>
      </w:r>
    </w:p>
    <w:p>
      <w:pPr>
        <w:pStyle w:val="102"/>
        <w:tabs>
          <w:tab w:val="left" w:pos="360"/>
          <w:tab w:val="left" w:pos="2011"/>
        </w:tabs>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7、“技术资料”指安装、调试、使用、维修合同货物所应具备的产品使用说明书和／或使用指南、操作手册、维修指南、服务手册、电路图、产品演示等文件。</w:t>
      </w:r>
    </w:p>
    <w:p>
      <w:pPr>
        <w:pStyle w:val="102"/>
        <w:tabs>
          <w:tab w:val="left" w:pos="360"/>
          <w:tab w:val="left" w:pos="1413"/>
        </w:tabs>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8、“保修期”指自验收单签署之日起，乙方免费对所卖给甲方货物更换整件或零部件，维修、保养及技术支持、产品升级并以自担费用方式保证项目正常运行的时期。</w:t>
      </w:r>
    </w:p>
    <w:p>
      <w:pPr>
        <w:pStyle w:val="102"/>
        <w:tabs>
          <w:tab w:val="left" w:pos="360"/>
          <w:tab w:val="left" w:pos="2011"/>
        </w:tabs>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9、“第三人”是指本合同双方以外的任何中国境内、外的自然人、法人或其他经济组织。</w:t>
      </w:r>
    </w:p>
    <w:p>
      <w:pPr>
        <w:pStyle w:val="102"/>
        <w:tabs>
          <w:tab w:val="left" w:pos="480"/>
          <w:tab w:val="left" w:pos="2011"/>
        </w:tabs>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10、“法律、法规”是指由中国有关部门制定的法律、行政法规、地方性法规、规章及其他规范性文件以及经全国人民代表大会常务委员会批准的中国缔结、参加的国际条（公）约的有关规定。</w:t>
      </w:r>
    </w:p>
    <w:p>
      <w:pPr>
        <w:pStyle w:val="102"/>
        <w:tabs>
          <w:tab w:val="left" w:pos="480"/>
          <w:tab w:val="left" w:pos="2011"/>
        </w:tabs>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11、“招标文件”指采购代理机构发布的本项目招标文件。</w:t>
      </w:r>
    </w:p>
    <w:p>
      <w:pPr>
        <w:pStyle w:val="102"/>
        <w:tabs>
          <w:tab w:val="left" w:pos="480"/>
          <w:tab w:val="left" w:pos="2011"/>
        </w:tabs>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12、“投标文件”指乙方按照本项目招标文件的要求编制和投递，并最终经采购代理机构接收的投标文件。</w:t>
      </w:r>
    </w:p>
    <w:p>
      <w:pPr>
        <w:pStyle w:val="102"/>
        <w:spacing w:line="360" w:lineRule="auto"/>
        <w:ind w:firstLine="501" w:firstLineChars="208"/>
        <w:rPr>
          <w:rFonts w:asciiTheme="minorEastAsia" w:hAnsiTheme="minorEastAsia" w:eastAsiaTheme="minorEastAsia" w:cstheme="minorEastAsia"/>
          <w:b/>
          <w:bCs/>
          <w:color w:val="000000" w:themeColor="text1"/>
          <w:sz w:val="24"/>
          <w14:textFill>
            <w14:solidFill>
              <w14:schemeClr w14:val="tx1"/>
            </w14:solidFill>
          </w14:textFill>
        </w:rPr>
      </w:pPr>
      <w:bookmarkStart w:id="91" w:name="_Toc175644043"/>
      <w:bookmarkStart w:id="92" w:name="_Toc86202595"/>
      <w:r>
        <w:rPr>
          <w:rFonts w:hint="eastAsia" w:asciiTheme="minorEastAsia" w:hAnsiTheme="minorEastAsia" w:eastAsiaTheme="minorEastAsia" w:cstheme="minorEastAsia"/>
          <w:b/>
          <w:bCs/>
          <w:color w:val="000000" w:themeColor="text1"/>
          <w:sz w:val="24"/>
          <w14:textFill>
            <w14:solidFill>
              <w14:schemeClr w14:val="tx1"/>
            </w14:solidFill>
          </w14:textFill>
        </w:rPr>
        <w:t>二、货物、数量及规格</w:t>
      </w:r>
    </w:p>
    <w:p>
      <w:pPr>
        <w:pStyle w:val="102"/>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本合同所提供的货物、数量及规格详见合同货物清单（附件一）（同投标文件中报价明细表）。</w:t>
      </w:r>
    </w:p>
    <w:p>
      <w:pPr>
        <w:pStyle w:val="102"/>
        <w:tabs>
          <w:tab w:val="left" w:pos="480"/>
          <w:tab w:val="left" w:pos="1413"/>
        </w:tabs>
        <w:spacing w:line="360" w:lineRule="auto"/>
        <w:ind w:firstLine="482" w:firstLineChars="200"/>
        <w:rPr>
          <w:rFonts w:asciiTheme="minorEastAsia" w:hAnsiTheme="minorEastAsia" w:eastAsiaTheme="minorEastAsia" w:cstheme="minorEastAsia"/>
          <w:b/>
          <w:color w:val="000000" w:themeColor="text1"/>
          <w:sz w:val="24"/>
          <w14:textFill>
            <w14:solidFill>
              <w14:schemeClr w14:val="tx1"/>
            </w14:solidFill>
          </w14:textFill>
        </w:rPr>
      </w:pPr>
      <w:r>
        <w:rPr>
          <w:rFonts w:hint="eastAsia" w:asciiTheme="minorEastAsia" w:hAnsiTheme="minorEastAsia" w:eastAsiaTheme="minorEastAsia" w:cstheme="minorEastAsia"/>
          <w:b/>
          <w:color w:val="000000" w:themeColor="text1"/>
          <w:sz w:val="24"/>
          <w14:textFill>
            <w14:solidFill>
              <w14:schemeClr w14:val="tx1"/>
            </w14:solidFill>
          </w14:textFill>
        </w:rPr>
        <w:t>三、合同价格</w:t>
      </w:r>
      <w:bookmarkEnd w:id="91"/>
      <w:bookmarkEnd w:id="92"/>
    </w:p>
    <w:p>
      <w:pPr>
        <w:pStyle w:val="102"/>
        <w:tabs>
          <w:tab w:val="left" w:pos="360"/>
          <w:tab w:val="left" w:pos="480"/>
          <w:tab w:val="left" w:pos="1413"/>
        </w:tabs>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1、合同金额详见合同格式。</w:t>
      </w:r>
    </w:p>
    <w:p>
      <w:pPr>
        <w:pStyle w:val="102"/>
        <w:tabs>
          <w:tab w:val="left" w:pos="360"/>
          <w:tab w:val="left" w:pos="480"/>
          <w:tab w:val="left" w:pos="1413"/>
        </w:tabs>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2、除有另行规定外，本合同价格包括设备金额及运输、财产保险及第三方损害赔偿保险、安装、调试、及安装位置调整布置、使用环境形成或恢复以及相关服务等费用，是在项目交付前、交付时所发生或引起的本合同相关的全部成本、费用等，以及依约在交付后所需承担的维修、保养、技术支持、产品升级等售后服务价格的总和，且为完税后价格。</w:t>
      </w:r>
    </w:p>
    <w:p>
      <w:pPr>
        <w:pStyle w:val="102"/>
        <w:tabs>
          <w:tab w:val="left" w:pos="360"/>
          <w:tab w:val="left" w:pos="480"/>
          <w:tab w:val="left" w:pos="1413"/>
        </w:tabs>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3、合同货物详细目录及销售价格详见合同格式附件1合同货物清单（同投标文件中报价明细表）。</w:t>
      </w:r>
      <w:bookmarkStart w:id="93" w:name="_Toc86202596"/>
      <w:bookmarkStart w:id="94" w:name="_Toc175644044"/>
    </w:p>
    <w:p>
      <w:pPr>
        <w:pStyle w:val="102"/>
        <w:tabs>
          <w:tab w:val="left" w:pos="480"/>
          <w:tab w:val="left" w:pos="1413"/>
        </w:tabs>
        <w:spacing w:line="360" w:lineRule="auto"/>
        <w:ind w:firstLine="482" w:firstLineChars="200"/>
        <w:rPr>
          <w:rFonts w:asciiTheme="minorEastAsia" w:hAnsiTheme="minorEastAsia" w:eastAsiaTheme="minorEastAsia" w:cstheme="minorEastAsia"/>
          <w:b/>
          <w:color w:val="000000" w:themeColor="text1"/>
          <w:sz w:val="24"/>
          <w14:textFill>
            <w14:solidFill>
              <w14:schemeClr w14:val="tx1"/>
            </w14:solidFill>
          </w14:textFill>
        </w:rPr>
      </w:pPr>
      <w:r>
        <w:rPr>
          <w:rFonts w:hint="eastAsia" w:asciiTheme="minorEastAsia" w:hAnsiTheme="minorEastAsia" w:eastAsiaTheme="minorEastAsia" w:cstheme="minorEastAsia"/>
          <w:b/>
          <w:color w:val="000000" w:themeColor="text1"/>
          <w:sz w:val="24"/>
          <w14:textFill>
            <w14:solidFill>
              <w14:schemeClr w14:val="tx1"/>
            </w14:solidFill>
          </w14:textFill>
        </w:rPr>
        <w:t>四、</w:t>
      </w:r>
      <w:bookmarkEnd w:id="93"/>
      <w:bookmarkEnd w:id="94"/>
      <w:r>
        <w:rPr>
          <w:rFonts w:hint="eastAsia" w:asciiTheme="minorEastAsia" w:hAnsiTheme="minorEastAsia" w:eastAsiaTheme="minorEastAsia" w:cstheme="minorEastAsia"/>
          <w:b/>
          <w:color w:val="000000" w:themeColor="text1"/>
          <w:sz w:val="24"/>
          <w14:textFill>
            <w14:solidFill>
              <w14:schemeClr w14:val="tx1"/>
            </w14:solidFill>
          </w14:textFill>
        </w:rPr>
        <w:t>付款</w:t>
      </w:r>
    </w:p>
    <w:p>
      <w:pPr>
        <w:pStyle w:val="102"/>
        <w:tabs>
          <w:tab w:val="left" w:pos="360"/>
          <w:tab w:val="left" w:pos="480"/>
          <w:tab w:val="left" w:pos="840"/>
          <w:tab w:val="left" w:pos="1413"/>
        </w:tabs>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1、双方因本合同发生的一切费用均以人民币结算及支付。</w:t>
      </w:r>
    </w:p>
    <w:p>
      <w:pPr>
        <w:pStyle w:val="102"/>
        <w:tabs>
          <w:tab w:val="left" w:pos="360"/>
          <w:tab w:val="left" w:pos="480"/>
          <w:tab w:val="left" w:pos="840"/>
          <w:tab w:val="left" w:pos="1413"/>
        </w:tabs>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2、双方的帐户名称、开户银行及帐号以本合同提供的为准。</w:t>
      </w:r>
    </w:p>
    <w:p>
      <w:pPr>
        <w:pStyle w:val="102"/>
        <w:tabs>
          <w:tab w:val="left" w:pos="360"/>
          <w:tab w:val="left" w:pos="480"/>
          <w:tab w:val="left" w:pos="840"/>
          <w:tab w:val="left" w:pos="1413"/>
        </w:tabs>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3、付款途径：按照招标文件第二</w:t>
      </w:r>
      <w:r>
        <w:rPr>
          <w:rFonts w:hint="eastAsia" w:asciiTheme="minorEastAsia" w:hAnsiTheme="minorEastAsia" w:eastAsiaTheme="minorEastAsia" w:cstheme="minorEastAsia"/>
          <w:bCs/>
          <w:color w:val="000000" w:themeColor="text1"/>
          <w:sz w:val="24"/>
          <w14:textFill>
            <w14:solidFill>
              <w14:schemeClr w14:val="tx1"/>
            </w14:solidFill>
          </w14:textFill>
        </w:rPr>
        <w:t>部分“投标人须知前附表”第27项的规定。</w:t>
      </w:r>
    </w:p>
    <w:p>
      <w:pPr>
        <w:pStyle w:val="101"/>
        <w:spacing w:after="0"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4、付款方式：按照招标文件第二</w:t>
      </w:r>
      <w:r>
        <w:rPr>
          <w:rFonts w:hint="eastAsia" w:asciiTheme="minorEastAsia" w:hAnsiTheme="minorEastAsia" w:eastAsiaTheme="minorEastAsia" w:cstheme="minorEastAsia"/>
          <w:bCs/>
          <w:color w:val="000000" w:themeColor="text1"/>
          <w:sz w:val="24"/>
          <w14:textFill>
            <w14:solidFill>
              <w14:schemeClr w14:val="tx1"/>
            </w14:solidFill>
          </w14:textFill>
        </w:rPr>
        <w:t>部分“投标人须知前附表”第28项的规定。</w:t>
      </w:r>
    </w:p>
    <w:p>
      <w:pPr>
        <w:pStyle w:val="102"/>
        <w:tabs>
          <w:tab w:val="left" w:pos="360"/>
          <w:tab w:val="left" w:pos="480"/>
          <w:tab w:val="left" w:pos="840"/>
          <w:tab w:val="left" w:pos="1413"/>
        </w:tabs>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bookmarkStart w:id="95" w:name="_Toc86202597"/>
      <w:r>
        <w:rPr>
          <w:rFonts w:hint="eastAsia" w:asciiTheme="minorEastAsia" w:hAnsiTheme="minorEastAsia" w:eastAsiaTheme="minorEastAsia" w:cstheme="minorEastAsia"/>
          <w:color w:val="000000" w:themeColor="text1"/>
          <w:sz w:val="24"/>
          <w14:textFill>
            <w14:solidFill>
              <w14:schemeClr w14:val="tx1"/>
            </w14:solidFill>
          </w14:textFill>
        </w:rPr>
        <w:t>5、如乙方根据本合同约定有责任向甲方支付违约金、赔偿金时，甲方有权直接从上述付款中扣除该等款项并于事后通知乙方，该情形下应当视为甲方已经依约履行了合同义务，而所扣乙方的款项金额未达到乙方依照其责任所应当向甲方支付的金额时，乙方仍应向甲方补足。同时，若乙方对甲方的扣款有异议而不能协商解决时，乙方应依照本合同关于解决争议的约定方式解决。但存在或解决相关争议的期间，乙方不得停滞或减缓其合同的履行，否则对因停滞或减缓合同的履行所引起的任何及所有责任均应当全部给予赔偿。</w:t>
      </w:r>
    </w:p>
    <w:p>
      <w:pPr>
        <w:pStyle w:val="102"/>
        <w:tabs>
          <w:tab w:val="left" w:pos="360"/>
          <w:tab w:val="left" w:pos="480"/>
          <w:tab w:val="left" w:pos="840"/>
          <w:tab w:val="left" w:pos="1413"/>
        </w:tabs>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6、甲方直接与乙方付款结算，采购代理机构不对其付款承担连带责任或任何其它责任，在任何情形下乙方亦只能直接向甲方追索而不应当向采购代理机构追索。</w:t>
      </w:r>
    </w:p>
    <w:p>
      <w:pPr>
        <w:pStyle w:val="102"/>
        <w:tabs>
          <w:tab w:val="left" w:pos="480"/>
          <w:tab w:val="left" w:pos="1413"/>
        </w:tabs>
        <w:spacing w:line="360" w:lineRule="auto"/>
        <w:ind w:firstLine="482" w:firstLineChars="200"/>
        <w:rPr>
          <w:rFonts w:asciiTheme="minorEastAsia" w:hAnsiTheme="minorEastAsia" w:eastAsiaTheme="minorEastAsia" w:cstheme="minorEastAsia"/>
          <w:b/>
          <w:color w:val="000000" w:themeColor="text1"/>
          <w:sz w:val="24"/>
          <w14:textFill>
            <w14:solidFill>
              <w14:schemeClr w14:val="tx1"/>
            </w14:solidFill>
          </w14:textFill>
        </w:rPr>
      </w:pPr>
      <w:bookmarkStart w:id="96" w:name="_Toc175644045"/>
      <w:r>
        <w:rPr>
          <w:rFonts w:hint="eastAsia" w:asciiTheme="minorEastAsia" w:hAnsiTheme="minorEastAsia" w:eastAsiaTheme="minorEastAsia" w:cstheme="minorEastAsia"/>
          <w:b/>
          <w:color w:val="000000" w:themeColor="text1"/>
          <w:sz w:val="24"/>
          <w14:textFill>
            <w14:solidFill>
              <w14:schemeClr w14:val="tx1"/>
            </w14:solidFill>
          </w14:textFill>
        </w:rPr>
        <w:t>五、</w:t>
      </w:r>
      <w:bookmarkEnd w:id="95"/>
      <w:bookmarkEnd w:id="96"/>
      <w:r>
        <w:rPr>
          <w:rFonts w:hint="eastAsia" w:asciiTheme="minorEastAsia" w:hAnsiTheme="minorEastAsia" w:eastAsiaTheme="minorEastAsia" w:cstheme="minorEastAsia"/>
          <w:b/>
          <w:color w:val="000000" w:themeColor="text1"/>
          <w:sz w:val="24"/>
          <w14:textFill>
            <w14:solidFill>
              <w14:schemeClr w14:val="tx1"/>
            </w14:solidFill>
          </w14:textFill>
        </w:rPr>
        <w:t>交付</w:t>
      </w:r>
    </w:p>
    <w:p>
      <w:pPr>
        <w:pStyle w:val="102"/>
        <w:tabs>
          <w:tab w:val="left" w:pos="360"/>
          <w:tab w:val="left" w:pos="480"/>
          <w:tab w:val="left" w:pos="1413"/>
        </w:tabs>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1、乙方负责办理运输和保险，将货物运抵交货地点。有关运输、保险和装卸等一切相关的费用由乙方承担。</w:t>
      </w:r>
    </w:p>
    <w:p>
      <w:pPr>
        <w:pStyle w:val="102"/>
        <w:tabs>
          <w:tab w:val="left" w:pos="360"/>
          <w:tab w:val="left" w:pos="480"/>
          <w:tab w:val="left" w:pos="1413"/>
        </w:tabs>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2、货物应运至甲方指定地点，并卸至甲方指定位置，开箱清点及初步检验时双方应派人员参加。</w:t>
      </w:r>
    </w:p>
    <w:p>
      <w:pPr>
        <w:pStyle w:val="102"/>
        <w:tabs>
          <w:tab w:val="left" w:pos="360"/>
          <w:tab w:val="left" w:pos="480"/>
          <w:tab w:val="left" w:pos="1413"/>
        </w:tabs>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3、所有货物运抵现场并且安装完毕经检验合格交付甲方，该日期为供货周期。双方签署交付收货单后为交付完毕。交付完毕货物所有权发生转移，此前货物毁坏的风险由乙方承担。</w:t>
      </w:r>
    </w:p>
    <w:p>
      <w:pPr>
        <w:pStyle w:val="102"/>
        <w:tabs>
          <w:tab w:val="left" w:pos="360"/>
          <w:tab w:val="left" w:pos="480"/>
          <w:tab w:val="left" w:pos="1413"/>
        </w:tabs>
        <w:spacing w:line="360" w:lineRule="auto"/>
        <w:ind w:firstLine="480" w:firstLineChars="200"/>
        <w:rPr>
          <w:rFonts w:asciiTheme="minorEastAsia" w:hAnsiTheme="minorEastAsia" w:eastAsiaTheme="minorEastAsia" w:cstheme="minorEastAsia"/>
          <w:bCs/>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4、供货周期：按照招标文件第二</w:t>
      </w:r>
      <w:r>
        <w:rPr>
          <w:rFonts w:hint="eastAsia" w:asciiTheme="minorEastAsia" w:hAnsiTheme="minorEastAsia" w:eastAsiaTheme="minorEastAsia" w:cstheme="minorEastAsia"/>
          <w:bCs/>
          <w:color w:val="000000" w:themeColor="text1"/>
          <w:sz w:val="24"/>
          <w14:textFill>
            <w14:solidFill>
              <w14:schemeClr w14:val="tx1"/>
            </w14:solidFill>
          </w14:textFill>
        </w:rPr>
        <w:t>部分“投标人须知前附表”第29项的规定。</w:t>
      </w:r>
    </w:p>
    <w:p>
      <w:pPr>
        <w:pStyle w:val="102"/>
        <w:tabs>
          <w:tab w:val="left" w:pos="360"/>
          <w:tab w:val="left" w:pos="480"/>
          <w:tab w:val="left" w:pos="1413"/>
        </w:tabs>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5、交付地点</w:t>
      </w:r>
      <w:bookmarkStart w:id="97" w:name="_Toc86202598"/>
      <w:bookmarkStart w:id="98" w:name="_Toc175644046"/>
      <w:r>
        <w:rPr>
          <w:rFonts w:hint="eastAsia" w:asciiTheme="minorEastAsia" w:hAnsiTheme="minorEastAsia" w:eastAsiaTheme="minorEastAsia" w:cstheme="minorEastAsia"/>
          <w:color w:val="000000" w:themeColor="text1"/>
          <w:sz w:val="24"/>
          <w14:textFill>
            <w14:solidFill>
              <w14:schemeClr w14:val="tx1"/>
            </w14:solidFill>
          </w14:textFill>
        </w:rPr>
        <w:t>：按照招标文件第二</w:t>
      </w:r>
      <w:r>
        <w:rPr>
          <w:rFonts w:hint="eastAsia" w:asciiTheme="minorEastAsia" w:hAnsiTheme="minorEastAsia" w:eastAsiaTheme="minorEastAsia" w:cstheme="minorEastAsia"/>
          <w:bCs/>
          <w:color w:val="000000" w:themeColor="text1"/>
          <w:sz w:val="24"/>
          <w14:textFill>
            <w14:solidFill>
              <w14:schemeClr w14:val="tx1"/>
            </w14:solidFill>
          </w14:textFill>
        </w:rPr>
        <w:t>部分“投标人须知前附表”第30项的规定。</w:t>
      </w:r>
    </w:p>
    <w:p>
      <w:pPr>
        <w:pStyle w:val="102"/>
        <w:tabs>
          <w:tab w:val="left" w:pos="360"/>
          <w:tab w:val="left" w:pos="480"/>
          <w:tab w:val="left" w:pos="1413"/>
        </w:tabs>
        <w:spacing w:line="360" w:lineRule="auto"/>
        <w:ind w:firstLine="482" w:firstLineChars="200"/>
        <w:rPr>
          <w:rFonts w:asciiTheme="minorEastAsia" w:hAnsiTheme="minorEastAsia" w:eastAsiaTheme="minorEastAsia" w:cstheme="minorEastAsia"/>
          <w:b/>
          <w:color w:val="000000" w:themeColor="text1"/>
          <w:sz w:val="24"/>
          <w14:textFill>
            <w14:solidFill>
              <w14:schemeClr w14:val="tx1"/>
            </w14:solidFill>
          </w14:textFill>
        </w:rPr>
      </w:pPr>
      <w:r>
        <w:rPr>
          <w:rFonts w:hint="eastAsia" w:asciiTheme="minorEastAsia" w:hAnsiTheme="minorEastAsia" w:eastAsiaTheme="minorEastAsia" w:cstheme="minorEastAsia"/>
          <w:b/>
          <w:color w:val="000000" w:themeColor="text1"/>
          <w:sz w:val="24"/>
          <w14:textFill>
            <w14:solidFill>
              <w14:schemeClr w14:val="tx1"/>
            </w14:solidFill>
          </w14:textFill>
        </w:rPr>
        <w:t>六、包装和标记</w:t>
      </w:r>
      <w:bookmarkEnd w:id="97"/>
      <w:bookmarkEnd w:id="98"/>
    </w:p>
    <w:p>
      <w:pPr>
        <w:pStyle w:val="102"/>
        <w:tabs>
          <w:tab w:val="left" w:pos="360"/>
          <w:tab w:val="left" w:pos="480"/>
          <w:tab w:val="left" w:pos="1413"/>
        </w:tabs>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1、乙方交付的所有合同货物应具有适于运输的坚固包装，并且乙方应根据合同货物的不同特性和要求采取防潮、防雨、防锈、防震、防腐等保护措施，以确保合同货物安全无损地送达交货地点。</w:t>
      </w:r>
    </w:p>
    <w:p>
      <w:pPr>
        <w:pStyle w:val="102"/>
        <w:tabs>
          <w:tab w:val="left" w:pos="360"/>
          <w:tab w:val="left" w:pos="480"/>
          <w:tab w:val="left" w:pos="1413"/>
        </w:tabs>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2、凡由于乙方对合同货物包装不善、标记不明、防护措施不当或在合同货物装箱前保管不良，致使合同货物遭到损坏或丢失，乙方应负责免费修理或更换，并承担由此给甲方造成的一切损失。</w:t>
      </w:r>
      <w:bookmarkStart w:id="99" w:name="_Toc86202599"/>
      <w:bookmarkStart w:id="100" w:name="_Toc175644047"/>
    </w:p>
    <w:p>
      <w:pPr>
        <w:pStyle w:val="102"/>
        <w:tabs>
          <w:tab w:val="left" w:pos="360"/>
          <w:tab w:val="left" w:pos="480"/>
          <w:tab w:val="left" w:pos="1413"/>
        </w:tabs>
        <w:spacing w:line="360" w:lineRule="auto"/>
        <w:ind w:firstLine="482" w:firstLineChars="200"/>
        <w:rPr>
          <w:rFonts w:asciiTheme="minorEastAsia" w:hAnsiTheme="minorEastAsia" w:eastAsiaTheme="minorEastAsia" w:cstheme="minorEastAsia"/>
          <w:b/>
          <w:color w:val="000000" w:themeColor="text1"/>
          <w:sz w:val="24"/>
          <w14:textFill>
            <w14:solidFill>
              <w14:schemeClr w14:val="tx1"/>
            </w14:solidFill>
          </w14:textFill>
        </w:rPr>
      </w:pPr>
      <w:r>
        <w:rPr>
          <w:rFonts w:hint="eastAsia" w:asciiTheme="minorEastAsia" w:hAnsiTheme="minorEastAsia" w:eastAsiaTheme="minorEastAsia" w:cstheme="minorEastAsia"/>
          <w:b/>
          <w:color w:val="000000" w:themeColor="text1"/>
          <w:sz w:val="24"/>
          <w14:textFill>
            <w14:solidFill>
              <w14:schemeClr w14:val="tx1"/>
            </w14:solidFill>
          </w14:textFill>
        </w:rPr>
        <w:t>七、质量标准和检验</w:t>
      </w:r>
      <w:bookmarkEnd w:id="99"/>
      <w:r>
        <w:rPr>
          <w:rFonts w:hint="eastAsia" w:asciiTheme="minorEastAsia" w:hAnsiTheme="minorEastAsia" w:eastAsiaTheme="minorEastAsia" w:cstheme="minorEastAsia"/>
          <w:b/>
          <w:color w:val="000000" w:themeColor="text1"/>
          <w:sz w:val="24"/>
          <w14:textFill>
            <w14:solidFill>
              <w14:schemeClr w14:val="tx1"/>
            </w14:solidFill>
          </w14:textFill>
        </w:rPr>
        <w:t>方式</w:t>
      </w:r>
      <w:bookmarkEnd w:id="100"/>
    </w:p>
    <w:p>
      <w:pPr>
        <w:pStyle w:val="102"/>
        <w:tabs>
          <w:tab w:val="left" w:pos="360"/>
          <w:tab w:val="left" w:pos="480"/>
          <w:tab w:val="left" w:pos="1413"/>
        </w:tabs>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1、乙方应保证提供给甲方的合同货物是货物生产厂商原造的，全新、未使用过的，是用一流的工艺和优质材料制造而成的，并完全符合本项目招标文件规定的质量、性能和规格的要求。</w:t>
      </w:r>
    </w:p>
    <w:p>
      <w:pPr>
        <w:pStyle w:val="102"/>
        <w:tabs>
          <w:tab w:val="left" w:pos="360"/>
          <w:tab w:val="left" w:pos="480"/>
          <w:tab w:val="left" w:pos="1413"/>
        </w:tabs>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2、乙方提供给甲方的合同货物应通过货物制造厂商的出厂检验，并提供质量合格证书。乙方承诺提供给甲方的合同货物的技术规范应与本项目招标文件中《项目说明》部分中的规定及投标文件中《货物技术规范偏离表》(如果被采购人接受) 相一致，同时，乙方提供的货物质量应符合中华人民共和国相关标准及相应的技术规范、本次采购相关文件中的全部相关要求及相关标准及相应的技术规范中之较高者。</w:t>
      </w:r>
    </w:p>
    <w:p>
      <w:pPr>
        <w:pStyle w:val="102"/>
        <w:tabs>
          <w:tab w:val="left" w:pos="360"/>
          <w:tab w:val="left" w:pos="480"/>
          <w:tab w:val="left" w:pos="1413"/>
        </w:tabs>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3、乙方保证提供的货物、服务符合中华人民共和国国家及行业的安全质量标准、环保标准中之较高者；若货物、服务来源于中华人民共和国境外，还要同时符合货物来源国的官方、行业及生产厂商的安全质量标准、环保标准中之较高者。上述标准为已发布的且在货物、服务交付时有效的最新版本的标准；当货物来源于中华人民共和国境外时，产品必须附有原产地证明、中华人民共和国商检机构的检验证明、合法进货渠道证明及海关完税证明，此外，有关技术资料中须附有全文翻译的中文文本。</w:t>
      </w:r>
    </w:p>
    <w:p>
      <w:pPr>
        <w:pStyle w:val="102"/>
        <w:tabs>
          <w:tab w:val="left" w:pos="360"/>
          <w:tab w:val="left" w:pos="480"/>
          <w:tab w:val="left" w:pos="1413"/>
        </w:tabs>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4、乙方应保证所提供的货物经正确安装、合理操作和维护保养在其使用寿命期内具有令甲方满意的性能，并对由于合同货物的设计、工艺或材料的缺陷而发生的任何故障负责。</w:t>
      </w:r>
    </w:p>
    <w:p>
      <w:pPr>
        <w:pStyle w:val="102"/>
        <w:tabs>
          <w:tab w:val="left" w:pos="360"/>
          <w:tab w:val="left" w:pos="480"/>
          <w:tab w:val="left" w:pos="1413"/>
        </w:tabs>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5、乙方提供的货物抵达甲方指定地点后的开箱清点及初步检验，应依据乙方提供的开箱要求和环境要求进行。乙方应在收到甲方的验货通知后到现场参加开箱清点及初步检验，开箱清点及初步检验时双方均应派员参加，并签署《政府采购项目验收单》，以此作为乙方履约进度的依据。</w:t>
      </w:r>
    </w:p>
    <w:p>
      <w:pPr>
        <w:pStyle w:val="102"/>
        <w:tabs>
          <w:tab w:val="left" w:pos="360"/>
          <w:tab w:val="left" w:pos="480"/>
          <w:tab w:val="left" w:pos="1413"/>
        </w:tabs>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6、甲方对合同货物的数量、规格和质量的检验，应依据本项目招标文件中的有关规定进行。</w:t>
      </w:r>
    </w:p>
    <w:p>
      <w:pPr>
        <w:pStyle w:val="102"/>
        <w:tabs>
          <w:tab w:val="left" w:pos="360"/>
          <w:tab w:val="left" w:pos="480"/>
          <w:tab w:val="left" w:pos="1413"/>
        </w:tabs>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7、若检验时发现货物数量不足、规格与合同要求不符或开箱时虽然货物外包装完好无损，但箱内货物短缺或损伤，双方应签署书面形式证明，乙方应根据该证明及时补足或更换。</w:t>
      </w:r>
    </w:p>
    <w:p>
      <w:pPr>
        <w:pStyle w:val="102"/>
        <w:tabs>
          <w:tab w:val="left" w:pos="360"/>
          <w:tab w:val="left" w:pos="480"/>
          <w:tab w:val="left" w:pos="1413"/>
        </w:tabs>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8、本合同各相关条款中凡与乙方责任或义务相关及由乙方原因所引起涉及各项货物、零件、部件、配件及资料的更、换、补、退等情形，所发生相关的任何价款、成本、费用，包括但不限于运输、安装、服务、维修、调试等，以及保险、税、费等，均应当由乙方承担。</w:t>
      </w:r>
    </w:p>
    <w:p>
      <w:pPr>
        <w:pStyle w:val="102"/>
        <w:tabs>
          <w:tab w:val="left" w:pos="360"/>
          <w:tab w:val="left" w:pos="480"/>
          <w:tab w:val="left" w:pos="1413"/>
        </w:tabs>
        <w:spacing w:line="360" w:lineRule="auto"/>
        <w:ind w:firstLine="482" w:firstLineChars="200"/>
        <w:rPr>
          <w:rFonts w:asciiTheme="minorEastAsia" w:hAnsiTheme="minorEastAsia" w:eastAsiaTheme="minorEastAsia" w:cstheme="minorEastAsia"/>
          <w:b/>
          <w:color w:val="000000" w:themeColor="text1"/>
          <w:sz w:val="24"/>
          <w14:textFill>
            <w14:solidFill>
              <w14:schemeClr w14:val="tx1"/>
            </w14:solidFill>
          </w14:textFill>
        </w:rPr>
      </w:pPr>
      <w:bookmarkStart w:id="101" w:name="_Toc175644048"/>
      <w:bookmarkStart w:id="102" w:name="_Toc86202601"/>
      <w:r>
        <w:rPr>
          <w:rFonts w:hint="eastAsia" w:asciiTheme="minorEastAsia" w:hAnsiTheme="minorEastAsia" w:eastAsiaTheme="minorEastAsia" w:cstheme="minorEastAsia"/>
          <w:b/>
          <w:color w:val="000000" w:themeColor="text1"/>
          <w:sz w:val="24"/>
          <w14:textFill>
            <w14:solidFill>
              <w14:schemeClr w14:val="tx1"/>
            </w14:solidFill>
          </w14:textFill>
        </w:rPr>
        <w:t>八、技术服务和保修责任</w:t>
      </w:r>
      <w:bookmarkEnd w:id="101"/>
      <w:bookmarkEnd w:id="102"/>
    </w:p>
    <w:p>
      <w:pPr>
        <w:pStyle w:val="102"/>
        <w:tabs>
          <w:tab w:val="left" w:pos="360"/>
          <w:tab w:val="left" w:pos="480"/>
          <w:tab w:val="left" w:pos="1413"/>
        </w:tabs>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1、乙方对合同货物、服务的保修期按照招标文件第二</w:t>
      </w:r>
      <w:r>
        <w:rPr>
          <w:rFonts w:hint="eastAsia" w:asciiTheme="minorEastAsia" w:hAnsiTheme="minorEastAsia" w:eastAsiaTheme="minorEastAsia" w:cstheme="minorEastAsia"/>
          <w:bCs/>
          <w:color w:val="000000" w:themeColor="text1"/>
          <w:sz w:val="24"/>
          <w14:textFill>
            <w14:solidFill>
              <w14:schemeClr w14:val="tx1"/>
            </w14:solidFill>
          </w14:textFill>
        </w:rPr>
        <w:t>部分“投标人须知前附表”第25项的规定</w:t>
      </w:r>
      <w:r>
        <w:rPr>
          <w:rFonts w:hint="eastAsia" w:asciiTheme="minorEastAsia" w:hAnsiTheme="minorEastAsia" w:eastAsiaTheme="minorEastAsia" w:cstheme="minorEastAsia"/>
          <w:color w:val="000000" w:themeColor="text1"/>
          <w:sz w:val="24"/>
          <w14:textFill>
            <w14:solidFill>
              <w14:schemeClr w14:val="tx1"/>
            </w14:solidFill>
          </w14:textFill>
        </w:rPr>
        <w:t>。若厂家规定的保修期或合同货物主要部件的保修期长于本合同保修期，应适用其保修期。(在本次采购文件所规定的期限中，若有不同期限自动适用其中期限较长者)。本合同项下货物的免费保修期或与质量相关的其它期限均自按照本合同约定方式完成最终验收并由甲方签署了项目验收单之日起算。</w:t>
      </w:r>
    </w:p>
    <w:p>
      <w:pPr>
        <w:pStyle w:val="102"/>
        <w:tabs>
          <w:tab w:val="left" w:pos="360"/>
          <w:tab w:val="left" w:pos="480"/>
          <w:tab w:val="left" w:pos="1413"/>
        </w:tabs>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2、如因甲方在使用中自行变更货物的硬件或软件而引起的缺陷，或因甲方人员维护不当而损坏的货物或零部件，乙方不负保修责任，乙方应按照或比照本合同相关条款规定提供更换或修理服务，由此引起的合理费用由甲方负担。</w:t>
      </w:r>
    </w:p>
    <w:p>
      <w:pPr>
        <w:pStyle w:val="102"/>
        <w:tabs>
          <w:tab w:val="left" w:pos="360"/>
          <w:tab w:val="left" w:pos="480"/>
          <w:tab w:val="left" w:pos="1413"/>
        </w:tabs>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3、如因乙方提供的货物硬件或软件有缺陷、服务达不到要求，或乙方提供的技术资料有错误，或乙方在现场的技术人员指导有错误而使合同货物不能达到合同规定的指标和技术性能，乙方应负责按本合同相关条款规定修理或更换，使货物运行指标和技术性能以及相关服务达到合同规定,由此引起的全部费用由乙方承担。若以上原因导致或引起甲方损失及导致或引起第三方受到损害的，全部赔偿责任均应由乙方承担。</w:t>
      </w:r>
    </w:p>
    <w:p>
      <w:pPr>
        <w:pStyle w:val="102"/>
        <w:tabs>
          <w:tab w:val="left" w:pos="360"/>
          <w:tab w:val="left" w:pos="480"/>
          <w:tab w:val="left" w:pos="1413"/>
        </w:tabs>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4、在免费保修期内，如果由于乙方更换、修理和续补货物或更换服务，而造成本合同不得不停止运行，保修期应依照停止运行的实际时间加以延长，如因此给甲方造成损失，乙方应负责赔偿。</w:t>
      </w:r>
    </w:p>
    <w:p>
      <w:pPr>
        <w:pStyle w:val="102"/>
        <w:tabs>
          <w:tab w:val="left" w:pos="360"/>
          <w:tab w:val="left" w:pos="480"/>
          <w:tab w:val="left" w:pos="1413"/>
        </w:tabs>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5、在免费保修期届满后，乙方保证继续为甲方提供设备的维修服务，甲方应按乙方提供的不差于任何第三方的优惠价格向乙方支付相关费用，乙方保证在合同货物使用期内以不高于本合同货物、相关配件及服务的价格，并且不差于任何第三方的优惠价格，向甲方提供备品、备件及维修服务。</w:t>
      </w:r>
    </w:p>
    <w:p>
      <w:pPr>
        <w:pStyle w:val="102"/>
        <w:tabs>
          <w:tab w:val="left" w:pos="360"/>
          <w:tab w:val="left" w:pos="480"/>
          <w:tab w:val="left" w:pos="1413"/>
        </w:tabs>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6、本合同签订后及货物使用中，如涉及增加或改进安全性的软件升级问题，无论甲方是否知晓或是否向乙方提出，乙方均应当在其刚开始应用该等软件时的第一时间内，立即主动地、无条件地给与免费更新并调试完好。</w:t>
      </w:r>
    </w:p>
    <w:p>
      <w:pPr>
        <w:pStyle w:val="102"/>
        <w:tabs>
          <w:tab w:val="left" w:pos="360"/>
          <w:tab w:val="left" w:pos="480"/>
          <w:tab w:val="left" w:pos="1413"/>
        </w:tabs>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7、若由于甲方提出增加并不涉及安全性的新功能而引起的软件升级，但在项目整体质保期内，相关成本费由乙方承担。</w:t>
      </w:r>
    </w:p>
    <w:p>
      <w:pPr>
        <w:pStyle w:val="102"/>
        <w:tabs>
          <w:tab w:val="left" w:pos="360"/>
          <w:tab w:val="left" w:pos="480"/>
          <w:tab w:val="left" w:pos="1413"/>
        </w:tabs>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8、乙方保证，乙方依据本合同提供的货物、服务及相关的软件和技术资料，乙方均已得到有关知识产权的权利人的合法授权，如发生涉及到专利权、著作权、商标权等争议，乙方负责处理，并承担由此引起的全部法律及经济责任。</w:t>
      </w:r>
    </w:p>
    <w:p>
      <w:pPr>
        <w:pStyle w:val="102"/>
        <w:tabs>
          <w:tab w:val="left" w:pos="360"/>
          <w:tab w:val="left" w:pos="480"/>
          <w:tab w:val="left" w:pos="1413"/>
        </w:tabs>
        <w:spacing w:line="360" w:lineRule="auto"/>
        <w:ind w:firstLine="482" w:firstLineChars="200"/>
        <w:rPr>
          <w:rFonts w:asciiTheme="minorEastAsia" w:hAnsiTheme="minorEastAsia" w:eastAsiaTheme="minorEastAsia" w:cstheme="minorEastAsia"/>
          <w:b/>
          <w:color w:val="000000" w:themeColor="text1"/>
          <w:sz w:val="24"/>
          <w14:textFill>
            <w14:solidFill>
              <w14:schemeClr w14:val="tx1"/>
            </w14:solidFill>
          </w14:textFill>
        </w:rPr>
      </w:pPr>
      <w:bookmarkStart w:id="103" w:name="_Toc175644049"/>
      <w:bookmarkStart w:id="104" w:name="_Toc86202602"/>
      <w:r>
        <w:rPr>
          <w:rFonts w:hint="eastAsia" w:asciiTheme="minorEastAsia" w:hAnsiTheme="minorEastAsia" w:eastAsiaTheme="minorEastAsia" w:cstheme="minorEastAsia"/>
          <w:b/>
          <w:color w:val="000000" w:themeColor="text1"/>
          <w:sz w:val="24"/>
          <w14:textFill>
            <w14:solidFill>
              <w14:schemeClr w14:val="tx1"/>
            </w14:solidFill>
          </w14:textFill>
        </w:rPr>
        <w:t>九、违约责任</w:t>
      </w:r>
      <w:bookmarkEnd w:id="103"/>
      <w:bookmarkEnd w:id="104"/>
    </w:p>
    <w:p>
      <w:pPr>
        <w:pStyle w:val="102"/>
        <w:tabs>
          <w:tab w:val="left" w:pos="360"/>
          <w:tab w:val="left" w:pos="480"/>
          <w:tab w:val="left" w:pos="1413"/>
        </w:tabs>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1、对本合同的任何违反均构成违约。当一方认为对方的违约属于严重违约时，若按照相关法律规定或按照通常的理解或认识，确属对合同的履行有重大影响，则应当被认为属于严重违约。若双方对某一违约是否属于严重违约仍有争议，可以由争议解决机构裁决认定。</w:t>
      </w:r>
    </w:p>
    <w:p>
      <w:pPr>
        <w:pStyle w:val="102"/>
        <w:tabs>
          <w:tab w:val="left" w:pos="360"/>
          <w:tab w:val="left" w:pos="480"/>
          <w:tab w:val="left" w:pos="1413"/>
        </w:tabs>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2、若乙方未如期按照合同约定交付合同货物或提供服务、补足或更换货物，或乙方未能履行合同规定的任何其他义务时，甲方有权直接向乙方发出违约通知书，乙方应按照甲方选择的下列一种或多种方式承担赔偿责任及违约责任：</w:t>
      </w:r>
    </w:p>
    <w:p>
      <w:pPr>
        <w:pStyle w:val="102"/>
        <w:tabs>
          <w:tab w:val="left" w:pos="360"/>
          <w:tab w:val="left" w:pos="480"/>
          <w:tab w:val="left" w:pos="1413"/>
        </w:tabs>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1）在甲方同意延长的期限内交付全部货物、提供服务并承担由此给甲方造成的直接损失及甲方因此产生的对第三方的责任。</w:t>
      </w:r>
    </w:p>
    <w:p>
      <w:pPr>
        <w:pStyle w:val="102"/>
        <w:tabs>
          <w:tab w:val="left" w:pos="360"/>
          <w:tab w:val="left" w:pos="480"/>
          <w:tab w:val="left" w:pos="1413"/>
        </w:tabs>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2）在甲方规定的时间内，用符合合同规定的规格、质量和性能要求的新零件、部件或货物来更换有缺陷的零件、部件和货物，或修补缺陷部分以达到合同规定的要求，乙方应承担由此发生的相关费用并承担由此给甲方造成的直接损失及甲方因此产生的对第三方的责任。此时，相关货物的质量保修期也应相应延长。</w:t>
      </w:r>
    </w:p>
    <w:p>
      <w:pPr>
        <w:pStyle w:val="102"/>
        <w:tabs>
          <w:tab w:val="left" w:pos="360"/>
          <w:tab w:val="left" w:pos="480"/>
          <w:tab w:val="left" w:pos="1413"/>
        </w:tabs>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3）根据货物、服务低劣程度、损坏程度以及使甲方所遭受的损失及甲方因此产生的对第三方的责任，经双方商定降低货物、服务的价格或赔偿甲方所遭受的损失及甲方因此产生的对第三方的责任。</w:t>
      </w:r>
    </w:p>
    <w:p>
      <w:pPr>
        <w:pStyle w:val="102"/>
        <w:tabs>
          <w:tab w:val="left" w:pos="360"/>
          <w:tab w:val="left" w:pos="480"/>
          <w:tab w:val="left" w:pos="1413"/>
        </w:tabs>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4）按合同规定的同种货币将甲方所退货物已支付的货款全部退还给甲方，并承担由此发生的直接损失和相关费用及甲方因此产生的对第三方的责任。</w:t>
      </w:r>
    </w:p>
    <w:p>
      <w:pPr>
        <w:pStyle w:val="102"/>
        <w:tabs>
          <w:tab w:val="left" w:pos="360"/>
          <w:tab w:val="left" w:pos="480"/>
          <w:tab w:val="left" w:pos="1413"/>
        </w:tabs>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5）甲方有权部分或全部解除合同并要求乙方赔偿由此造成的损失及甲方因此产生的对第三方的责任。此时甲方可采取必要的补救措施，相关费用由乙方承担。</w:t>
      </w:r>
    </w:p>
    <w:p>
      <w:pPr>
        <w:pStyle w:val="102"/>
        <w:tabs>
          <w:tab w:val="left" w:pos="360"/>
          <w:tab w:val="left" w:pos="480"/>
          <w:tab w:val="left" w:pos="1413"/>
        </w:tabs>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6）此外，上述情形下甲方为采取必要的补救措施或因防止损失扩大而支出的合理费用应由乙方承担。</w:t>
      </w:r>
    </w:p>
    <w:p>
      <w:pPr>
        <w:pStyle w:val="102"/>
        <w:tabs>
          <w:tab w:val="left" w:pos="360"/>
          <w:tab w:val="left" w:pos="480"/>
          <w:tab w:val="left" w:pos="1413"/>
        </w:tabs>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3、如果乙方在收到甲方的违约通知书5个工作日内未作答复也没有按照甲方选择的方式承担违约责任，则甲方有权从尚未支付的合同价款中扣回相当于甲方选择的方式计算的索赔金额。如果这些金额不足以补偿，甲方有权向乙方提出不足部分的赔偿要求。</w:t>
      </w:r>
    </w:p>
    <w:p>
      <w:pPr>
        <w:pStyle w:val="102"/>
        <w:tabs>
          <w:tab w:val="left" w:pos="360"/>
          <w:tab w:val="left" w:pos="480"/>
          <w:tab w:val="left" w:pos="1413"/>
        </w:tabs>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4、除有另行约定外，甲方如延期付款，每逾期1日，按应付金额0.3‰支付违约金；乙方如延期交付，每延迟1日，按应交付货物总额0.3‰支付违约金。</w:t>
      </w:r>
    </w:p>
    <w:p>
      <w:pPr>
        <w:pStyle w:val="102"/>
        <w:tabs>
          <w:tab w:val="left" w:pos="360"/>
          <w:tab w:val="left" w:pos="480"/>
          <w:tab w:val="left" w:pos="1413"/>
        </w:tabs>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bookmarkStart w:id="105" w:name="_Toc86202603"/>
      <w:r>
        <w:rPr>
          <w:rFonts w:hint="eastAsia" w:asciiTheme="minorEastAsia" w:hAnsiTheme="minorEastAsia" w:eastAsiaTheme="minorEastAsia" w:cstheme="minorEastAsia"/>
          <w:color w:val="000000" w:themeColor="text1"/>
          <w:sz w:val="24"/>
          <w14:textFill>
            <w14:solidFill>
              <w14:schemeClr w14:val="tx1"/>
            </w14:solidFill>
          </w14:textFill>
        </w:rPr>
        <w:t>5、当违约行为给对方造成损失时，若违约金不足以弥补全部损失，违约方还应当赔偿对方因此所受全部损失。当构成严重违约时，对方可以单方面决定解除或终止合同履行，违约方同时还应当承担违约或赔偿责任。</w:t>
      </w:r>
    </w:p>
    <w:p>
      <w:pPr>
        <w:pStyle w:val="102"/>
        <w:tabs>
          <w:tab w:val="left" w:pos="360"/>
          <w:tab w:val="left" w:pos="480"/>
          <w:tab w:val="left" w:pos="1413"/>
        </w:tabs>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7、以上各项交付的违约金并不影响违约方履行合同的各项义务。</w:t>
      </w:r>
    </w:p>
    <w:p>
      <w:pPr>
        <w:pStyle w:val="102"/>
        <w:tabs>
          <w:tab w:val="left" w:pos="360"/>
          <w:tab w:val="left" w:pos="480"/>
          <w:tab w:val="left" w:pos="1413"/>
        </w:tabs>
        <w:spacing w:line="360" w:lineRule="auto"/>
        <w:ind w:firstLine="482" w:firstLineChars="200"/>
        <w:rPr>
          <w:rFonts w:asciiTheme="minorEastAsia" w:hAnsiTheme="minorEastAsia" w:eastAsiaTheme="minorEastAsia" w:cstheme="minorEastAsia"/>
          <w:b/>
          <w:color w:val="000000" w:themeColor="text1"/>
          <w:sz w:val="24"/>
          <w14:textFill>
            <w14:solidFill>
              <w14:schemeClr w14:val="tx1"/>
            </w14:solidFill>
          </w14:textFill>
        </w:rPr>
      </w:pPr>
      <w:bookmarkStart w:id="106" w:name="_Toc175644050"/>
      <w:r>
        <w:rPr>
          <w:rFonts w:hint="eastAsia" w:asciiTheme="minorEastAsia" w:hAnsiTheme="minorEastAsia" w:eastAsiaTheme="minorEastAsia" w:cstheme="minorEastAsia"/>
          <w:b/>
          <w:color w:val="000000" w:themeColor="text1"/>
          <w:sz w:val="24"/>
          <w14:textFill>
            <w14:solidFill>
              <w14:schemeClr w14:val="tx1"/>
            </w14:solidFill>
          </w14:textFill>
        </w:rPr>
        <w:t>十、不可抗力</w:t>
      </w:r>
      <w:bookmarkEnd w:id="105"/>
      <w:bookmarkEnd w:id="106"/>
    </w:p>
    <w:p>
      <w:pPr>
        <w:pStyle w:val="102"/>
        <w:tabs>
          <w:tab w:val="left" w:pos="360"/>
          <w:tab w:val="left" w:pos="480"/>
          <w:tab w:val="left" w:pos="1413"/>
        </w:tabs>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1、不可抗力指下列事件：战争、动乱、瘟疫、严重火灾、洪水、地震、风暴或其他自然灾害，以及本合同各方不可预见、不可防止并不能避免或克服的一切其他因素及事件。</w:t>
      </w:r>
    </w:p>
    <w:p>
      <w:pPr>
        <w:pStyle w:val="102"/>
        <w:tabs>
          <w:tab w:val="left" w:pos="360"/>
          <w:tab w:val="left" w:pos="480"/>
          <w:tab w:val="left" w:pos="1413"/>
        </w:tabs>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2、任何一方因不可抗力不能履行本合同规定的全部或部分义务，该方应尽快通知另一方，并须在不可抗力发生后三日内以书面形式向另一方提供详细情况报告及不可抗力对履行本合同的影响程度的说明。就上述不可抗力的发生须由受到不可抗力影响的一方负责同时提供由公证机关做出的公证证明。</w:t>
      </w:r>
    </w:p>
    <w:p>
      <w:pPr>
        <w:pStyle w:val="102"/>
        <w:tabs>
          <w:tab w:val="left" w:pos="360"/>
          <w:tab w:val="left" w:pos="480"/>
          <w:tab w:val="left" w:pos="1413"/>
        </w:tabs>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3、发生不可抗力事件，任何一方均不对因不可抗力无法履行或迟延履行本合同义务而使另一方蒙受的任何损失承担责任。但遭受不可抗力影响的一方有责任尽可能及时采取适当或必要措施减少或消除不可抗力的影响。遭受不可抗力影响的一方对因未尽本项责任而造成的相关损失承担责任。</w:t>
      </w:r>
    </w:p>
    <w:p>
      <w:pPr>
        <w:pStyle w:val="102"/>
        <w:tabs>
          <w:tab w:val="left" w:pos="360"/>
          <w:tab w:val="left" w:pos="480"/>
          <w:tab w:val="left" w:pos="1413"/>
          <w:tab w:val="left" w:pos="1531"/>
          <w:tab w:val="left" w:pos="1951"/>
        </w:tabs>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4、合同各方应根据不可抗力对本合同履行的影响程度，协商确定是否终止本合同，或是继续履行本合同。</w:t>
      </w:r>
      <w:bookmarkStart w:id="107" w:name="_Toc86202604"/>
      <w:bookmarkStart w:id="108" w:name="_Toc175644051"/>
    </w:p>
    <w:p>
      <w:pPr>
        <w:pStyle w:val="102"/>
        <w:tabs>
          <w:tab w:val="left" w:pos="360"/>
          <w:tab w:val="left" w:pos="480"/>
          <w:tab w:val="left" w:pos="1413"/>
        </w:tabs>
        <w:spacing w:line="360" w:lineRule="auto"/>
        <w:ind w:firstLine="482" w:firstLineChars="200"/>
        <w:rPr>
          <w:rFonts w:asciiTheme="minorEastAsia" w:hAnsiTheme="minorEastAsia" w:eastAsiaTheme="minorEastAsia" w:cstheme="minorEastAsia"/>
          <w:b/>
          <w:color w:val="000000" w:themeColor="text1"/>
          <w:sz w:val="24"/>
          <w14:textFill>
            <w14:solidFill>
              <w14:schemeClr w14:val="tx1"/>
            </w14:solidFill>
          </w14:textFill>
        </w:rPr>
      </w:pPr>
      <w:r>
        <w:rPr>
          <w:rFonts w:hint="eastAsia" w:asciiTheme="minorEastAsia" w:hAnsiTheme="minorEastAsia" w:eastAsiaTheme="minorEastAsia" w:cstheme="minorEastAsia"/>
          <w:b/>
          <w:color w:val="000000" w:themeColor="text1"/>
          <w:sz w:val="24"/>
          <w14:textFill>
            <w14:solidFill>
              <w14:schemeClr w14:val="tx1"/>
            </w14:solidFill>
          </w14:textFill>
        </w:rPr>
        <w:t>十一、联系方式</w:t>
      </w:r>
      <w:bookmarkEnd w:id="107"/>
      <w:bookmarkEnd w:id="108"/>
    </w:p>
    <w:p>
      <w:pPr>
        <w:pStyle w:val="102"/>
        <w:tabs>
          <w:tab w:val="left" w:pos="360"/>
          <w:tab w:val="left" w:pos="480"/>
          <w:tab w:val="left" w:pos="1413"/>
        </w:tabs>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1、合同双方发出与本合同有关的通知或回复，应以专人送递、传真或特快专递方式发出；如果以专人送递或特快专递发送，以送达至对方的住所地或通讯联络地为送达；如果以传真方式发送，发件人在收到传真报告后视为送达；如果采用电话或电子邮件的方式，则应在发送后由对方以书面方式予以确认。</w:t>
      </w:r>
    </w:p>
    <w:p>
      <w:pPr>
        <w:pStyle w:val="102"/>
        <w:tabs>
          <w:tab w:val="left" w:pos="360"/>
          <w:tab w:val="left" w:pos="480"/>
          <w:tab w:val="left" w:pos="1413"/>
        </w:tabs>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2、合同双方发出的与本合同有关的通知或回复均应发至招标文件与投标文件中的通讯地址，一方变更通讯地址或帐号，应自变更之日起3个工作日内，将变更后的地址通知对方。变更方不履行通知义务的，应对此造成的一切后果承担法律责任。</w:t>
      </w:r>
    </w:p>
    <w:p>
      <w:pPr>
        <w:pStyle w:val="102"/>
        <w:tabs>
          <w:tab w:val="left" w:pos="360"/>
          <w:tab w:val="left" w:pos="480"/>
          <w:tab w:val="left" w:pos="1413"/>
        </w:tabs>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3、上述发出通知、回复的费用由发出一方承担。</w:t>
      </w:r>
    </w:p>
    <w:p>
      <w:pPr>
        <w:pStyle w:val="102"/>
        <w:tabs>
          <w:tab w:val="left" w:pos="360"/>
          <w:tab w:val="left" w:pos="480"/>
          <w:tab w:val="left" w:pos="1413"/>
        </w:tabs>
        <w:spacing w:line="360" w:lineRule="auto"/>
        <w:ind w:firstLine="482" w:firstLineChars="200"/>
        <w:rPr>
          <w:rFonts w:asciiTheme="minorEastAsia" w:hAnsiTheme="minorEastAsia" w:eastAsiaTheme="minorEastAsia" w:cstheme="minorEastAsia"/>
          <w:b/>
          <w:color w:val="000000" w:themeColor="text1"/>
          <w:sz w:val="24"/>
          <w14:textFill>
            <w14:solidFill>
              <w14:schemeClr w14:val="tx1"/>
            </w14:solidFill>
          </w14:textFill>
        </w:rPr>
      </w:pPr>
      <w:bookmarkStart w:id="109" w:name="_Toc175644052"/>
      <w:bookmarkStart w:id="110" w:name="_Toc86202605"/>
      <w:r>
        <w:rPr>
          <w:rFonts w:hint="eastAsia" w:asciiTheme="minorEastAsia" w:hAnsiTheme="minorEastAsia" w:eastAsiaTheme="minorEastAsia" w:cstheme="minorEastAsia"/>
          <w:b/>
          <w:color w:val="000000" w:themeColor="text1"/>
          <w:sz w:val="24"/>
          <w14:textFill>
            <w14:solidFill>
              <w14:schemeClr w14:val="tx1"/>
            </w14:solidFill>
          </w14:textFill>
        </w:rPr>
        <w:t>十二、保密条款</w:t>
      </w:r>
      <w:bookmarkEnd w:id="109"/>
      <w:bookmarkEnd w:id="110"/>
    </w:p>
    <w:p>
      <w:pPr>
        <w:pStyle w:val="102"/>
        <w:tabs>
          <w:tab w:val="left" w:pos="360"/>
          <w:tab w:val="left" w:pos="480"/>
          <w:tab w:val="left" w:pos="1413"/>
        </w:tabs>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1、任何一方对其获知的本合同及附件中其他各方的商业秘密和国家秘密负有保密义务。</w:t>
      </w:r>
    </w:p>
    <w:p>
      <w:pPr>
        <w:pStyle w:val="102"/>
        <w:tabs>
          <w:tab w:val="left" w:pos="360"/>
          <w:tab w:val="left" w:pos="480"/>
          <w:tab w:val="left" w:pos="1413"/>
        </w:tabs>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bookmarkStart w:id="111" w:name="_Toc86202606"/>
      <w:r>
        <w:rPr>
          <w:rFonts w:hint="eastAsia" w:asciiTheme="minorEastAsia" w:hAnsiTheme="minorEastAsia" w:eastAsiaTheme="minorEastAsia" w:cstheme="minorEastAsia"/>
          <w:color w:val="000000" w:themeColor="text1"/>
          <w:sz w:val="24"/>
          <w14:textFill>
            <w14:solidFill>
              <w14:schemeClr w14:val="tx1"/>
            </w14:solidFill>
          </w14:textFill>
        </w:rPr>
        <w:t>2、在下列情形下：当发布中标公告和其他公告时，当国家机关调查、审查、审计时，以及其他符合法律规定的情形下，无须事先征求乙方同意而可以披露关于采购过程、合同文本、签署情况的资料、乙方的名称及地址、采购内容的有关信息以及补充条款等，但应当在合理的必要范围内。对任何已经公布过的内容或与之内容相同的资料，以及乙方已经泄露或公开的，无须再承担保密责任。</w:t>
      </w:r>
    </w:p>
    <w:p>
      <w:pPr>
        <w:pStyle w:val="102"/>
        <w:tabs>
          <w:tab w:val="left" w:pos="360"/>
          <w:tab w:val="left" w:pos="480"/>
          <w:tab w:val="left" w:pos="1413"/>
        </w:tabs>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3、此外的其他情形下，除非法律、法规另有规定或得到本合同之其他各方的书面许可，任何一方不得向第三人泄露前款规定的商业秘密和国家秘密。保密期限自任何一方获知该商业秘密和国家秘密之日起至本条规定的秘密成为公众信息之日止。</w:t>
      </w:r>
    </w:p>
    <w:p>
      <w:pPr>
        <w:pStyle w:val="102"/>
        <w:tabs>
          <w:tab w:val="left" w:pos="360"/>
          <w:tab w:val="left" w:pos="480"/>
          <w:tab w:val="left" w:pos="1413"/>
        </w:tabs>
        <w:spacing w:line="360" w:lineRule="auto"/>
        <w:ind w:firstLine="482" w:firstLineChars="200"/>
        <w:rPr>
          <w:rFonts w:asciiTheme="minorEastAsia" w:hAnsiTheme="minorEastAsia" w:eastAsiaTheme="minorEastAsia" w:cstheme="minorEastAsia"/>
          <w:b/>
          <w:color w:val="000000" w:themeColor="text1"/>
          <w:sz w:val="24"/>
          <w14:textFill>
            <w14:solidFill>
              <w14:schemeClr w14:val="tx1"/>
            </w14:solidFill>
          </w14:textFill>
        </w:rPr>
      </w:pPr>
      <w:bookmarkStart w:id="112" w:name="_Toc175644053"/>
      <w:r>
        <w:rPr>
          <w:rFonts w:hint="eastAsia" w:asciiTheme="minorEastAsia" w:hAnsiTheme="minorEastAsia" w:eastAsiaTheme="minorEastAsia" w:cstheme="minorEastAsia"/>
          <w:b/>
          <w:color w:val="000000" w:themeColor="text1"/>
          <w:sz w:val="24"/>
          <w14:textFill>
            <w14:solidFill>
              <w14:schemeClr w14:val="tx1"/>
            </w14:solidFill>
          </w14:textFill>
        </w:rPr>
        <w:t>十三、合同的解释</w:t>
      </w:r>
      <w:bookmarkEnd w:id="111"/>
      <w:bookmarkEnd w:id="112"/>
    </w:p>
    <w:p>
      <w:pPr>
        <w:pStyle w:val="102"/>
        <w:tabs>
          <w:tab w:val="left" w:pos="360"/>
          <w:tab w:val="left" w:pos="480"/>
          <w:tab w:val="left" w:pos="1413"/>
        </w:tabs>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1、任何一方对本合同及其附件的解释均应遵循诚实信用原则,依照本合同签订时有效的中国法律、法规以及通常的理解进行。</w:t>
      </w:r>
    </w:p>
    <w:p>
      <w:pPr>
        <w:pStyle w:val="102"/>
        <w:tabs>
          <w:tab w:val="left" w:pos="360"/>
          <w:tab w:val="left" w:pos="480"/>
          <w:tab w:val="left" w:pos="1413"/>
        </w:tabs>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2、本合同标题仅供查阅方便，并非对本合同的诠释或解释；本合同中以日表述的时间期限均指自然日。</w:t>
      </w:r>
    </w:p>
    <w:p>
      <w:pPr>
        <w:pStyle w:val="102"/>
        <w:tabs>
          <w:tab w:val="left" w:pos="360"/>
          <w:tab w:val="left" w:pos="480"/>
          <w:tab w:val="left" w:pos="1413"/>
        </w:tabs>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3、对本合同的任何解释均应以书面做出。</w:t>
      </w:r>
    </w:p>
    <w:p>
      <w:pPr>
        <w:pStyle w:val="102"/>
        <w:tabs>
          <w:tab w:val="left" w:pos="360"/>
          <w:tab w:val="left" w:pos="480"/>
          <w:tab w:val="left" w:pos="1413"/>
        </w:tabs>
        <w:spacing w:line="360" w:lineRule="auto"/>
        <w:ind w:firstLine="482" w:firstLineChars="200"/>
        <w:rPr>
          <w:rFonts w:asciiTheme="minorEastAsia" w:hAnsiTheme="minorEastAsia" w:eastAsiaTheme="minorEastAsia" w:cstheme="minorEastAsia"/>
          <w:b/>
          <w:color w:val="000000" w:themeColor="text1"/>
          <w:sz w:val="24"/>
          <w14:textFill>
            <w14:solidFill>
              <w14:schemeClr w14:val="tx1"/>
            </w14:solidFill>
          </w14:textFill>
        </w:rPr>
      </w:pPr>
      <w:bookmarkStart w:id="113" w:name="_Toc86202607"/>
      <w:bookmarkStart w:id="114" w:name="_Toc175644054"/>
      <w:r>
        <w:rPr>
          <w:rFonts w:hint="eastAsia" w:asciiTheme="minorEastAsia" w:hAnsiTheme="minorEastAsia" w:eastAsiaTheme="minorEastAsia" w:cstheme="minorEastAsia"/>
          <w:b/>
          <w:color w:val="000000" w:themeColor="text1"/>
          <w:sz w:val="24"/>
          <w14:textFill>
            <w14:solidFill>
              <w14:schemeClr w14:val="tx1"/>
            </w14:solidFill>
          </w14:textFill>
        </w:rPr>
        <w:t>十四、合同的终止</w:t>
      </w:r>
      <w:bookmarkEnd w:id="113"/>
      <w:bookmarkEnd w:id="114"/>
    </w:p>
    <w:p>
      <w:pPr>
        <w:pStyle w:val="102"/>
        <w:tabs>
          <w:tab w:val="left" w:pos="360"/>
          <w:tab w:val="left" w:pos="480"/>
          <w:tab w:val="left" w:pos="1413"/>
        </w:tabs>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1、本合同因下列原因而终止：</w:t>
      </w:r>
    </w:p>
    <w:p>
      <w:pPr>
        <w:pStyle w:val="102"/>
        <w:tabs>
          <w:tab w:val="left" w:pos="360"/>
          <w:tab w:val="left" w:pos="480"/>
          <w:tab w:val="left" w:pos="1413"/>
        </w:tabs>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1）本合同正常履行完毕；</w:t>
      </w:r>
    </w:p>
    <w:p>
      <w:pPr>
        <w:pStyle w:val="102"/>
        <w:tabs>
          <w:tab w:val="left" w:pos="360"/>
          <w:tab w:val="left" w:pos="480"/>
          <w:tab w:val="left" w:pos="1413"/>
        </w:tabs>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2）合同双方协议终止本合同的履行；</w:t>
      </w:r>
    </w:p>
    <w:p>
      <w:pPr>
        <w:pStyle w:val="102"/>
        <w:tabs>
          <w:tab w:val="left" w:pos="360"/>
          <w:tab w:val="left" w:pos="480"/>
          <w:tab w:val="left" w:pos="1413"/>
        </w:tabs>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3）不可抗力事件导致本合同无法履行或履行不必要；</w:t>
      </w:r>
    </w:p>
    <w:p>
      <w:pPr>
        <w:pStyle w:val="102"/>
        <w:tabs>
          <w:tab w:val="left" w:pos="360"/>
          <w:tab w:val="left" w:pos="480"/>
          <w:tab w:val="left" w:pos="1413"/>
        </w:tabs>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4）任何一方行使解除权，解除本合同。</w:t>
      </w:r>
    </w:p>
    <w:p>
      <w:pPr>
        <w:pStyle w:val="102"/>
        <w:tabs>
          <w:tab w:val="left" w:pos="360"/>
          <w:tab w:val="left" w:pos="480"/>
          <w:tab w:val="left" w:pos="1413"/>
        </w:tabs>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2、对本合同终止有过错的一方应赔偿另一方因合同终止而受到的损失。对合同终止双方均无过错的，则各自承担所受到的损失。</w:t>
      </w:r>
    </w:p>
    <w:p>
      <w:pPr>
        <w:pStyle w:val="102"/>
        <w:tabs>
          <w:tab w:val="left" w:pos="360"/>
          <w:tab w:val="left" w:pos="480"/>
          <w:tab w:val="left" w:pos="1413"/>
        </w:tabs>
        <w:spacing w:line="360" w:lineRule="auto"/>
        <w:ind w:firstLine="482" w:firstLineChars="200"/>
        <w:rPr>
          <w:rFonts w:asciiTheme="minorEastAsia" w:hAnsiTheme="minorEastAsia" w:eastAsiaTheme="minorEastAsia" w:cstheme="minorEastAsia"/>
          <w:b/>
          <w:color w:val="000000" w:themeColor="text1"/>
          <w:sz w:val="24"/>
          <w14:textFill>
            <w14:solidFill>
              <w14:schemeClr w14:val="tx1"/>
            </w14:solidFill>
          </w14:textFill>
        </w:rPr>
      </w:pPr>
      <w:bookmarkStart w:id="115" w:name="_Toc175644055"/>
      <w:bookmarkStart w:id="116" w:name="_Toc86202608"/>
      <w:r>
        <w:rPr>
          <w:rFonts w:hint="eastAsia" w:asciiTheme="minorEastAsia" w:hAnsiTheme="minorEastAsia" w:eastAsiaTheme="minorEastAsia" w:cstheme="minorEastAsia"/>
          <w:b/>
          <w:color w:val="000000" w:themeColor="text1"/>
          <w:sz w:val="24"/>
          <w14:textFill>
            <w14:solidFill>
              <w14:schemeClr w14:val="tx1"/>
            </w14:solidFill>
          </w14:textFill>
        </w:rPr>
        <w:t>十五、法律适用</w:t>
      </w:r>
      <w:bookmarkEnd w:id="115"/>
    </w:p>
    <w:p>
      <w:pPr>
        <w:pStyle w:val="102"/>
        <w:tabs>
          <w:tab w:val="left" w:pos="360"/>
          <w:tab w:val="left" w:pos="480"/>
          <w:tab w:val="left" w:pos="1413"/>
        </w:tabs>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1、本合同及附件的订立、效力、解释、履行、争议的解决等适用本合同签订时有效的中华人民共和国法律、法规的有关规定。</w:t>
      </w:r>
    </w:p>
    <w:p>
      <w:pPr>
        <w:pStyle w:val="102"/>
        <w:tabs>
          <w:tab w:val="left" w:pos="360"/>
          <w:tab w:val="left" w:pos="480"/>
          <w:tab w:val="left" w:pos="1413"/>
        </w:tabs>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2、在本合同履行期间，因中华人民共和国法律、法规、政策的变化致使本合同的部分条款相冲突、无效或失去可强制执行效力时，双方同意将密切合作，尽快修改本合同中相冲突或无效或失去强制执行效力的有关条款。</w:t>
      </w:r>
    </w:p>
    <w:p>
      <w:pPr>
        <w:pStyle w:val="102"/>
        <w:tabs>
          <w:tab w:val="left" w:pos="360"/>
          <w:tab w:val="left" w:pos="480"/>
          <w:tab w:val="left" w:pos="1413"/>
        </w:tabs>
        <w:spacing w:line="360" w:lineRule="auto"/>
        <w:ind w:firstLine="482" w:firstLineChars="200"/>
        <w:rPr>
          <w:rFonts w:asciiTheme="minorEastAsia" w:hAnsiTheme="minorEastAsia" w:eastAsiaTheme="minorEastAsia" w:cstheme="minorEastAsia"/>
          <w:b/>
          <w:color w:val="000000" w:themeColor="text1"/>
          <w:sz w:val="24"/>
          <w14:textFill>
            <w14:solidFill>
              <w14:schemeClr w14:val="tx1"/>
            </w14:solidFill>
          </w14:textFill>
        </w:rPr>
      </w:pPr>
      <w:bookmarkStart w:id="117" w:name="_Toc175644056"/>
      <w:r>
        <w:rPr>
          <w:rFonts w:hint="eastAsia" w:asciiTheme="minorEastAsia" w:hAnsiTheme="minorEastAsia" w:eastAsiaTheme="minorEastAsia" w:cstheme="minorEastAsia"/>
          <w:b/>
          <w:color w:val="000000" w:themeColor="text1"/>
          <w:sz w:val="24"/>
          <w14:textFill>
            <w14:solidFill>
              <w14:schemeClr w14:val="tx1"/>
            </w14:solidFill>
          </w14:textFill>
        </w:rPr>
        <w:t>十六、权利的保留</w:t>
      </w:r>
      <w:bookmarkEnd w:id="116"/>
      <w:bookmarkEnd w:id="117"/>
    </w:p>
    <w:p>
      <w:pPr>
        <w:pStyle w:val="102"/>
        <w:tabs>
          <w:tab w:val="left" w:pos="360"/>
          <w:tab w:val="left" w:pos="480"/>
          <w:tab w:val="left" w:pos="1413"/>
        </w:tabs>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1、任何一方没有行使其权利或没有就违约方的违约行为采取任何行动，不应被视为是对其权利的放弃或对追究另一方违约责任权利的放弃。任何一方放弃针对违约方的某种权利，或放弃追究违约方的某种责任，不应视为对其他权利或追究其他责任的放弃。</w:t>
      </w:r>
    </w:p>
    <w:p>
      <w:pPr>
        <w:pStyle w:val="102"/>
        <w:tabs>
          <w:tab w:val="left" w:pos="360"/>
          <w:tab w:val="left" w:pos="480"/>
          <w:tab w:val="left" w:pos="1413"/>
        </w:tabs>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2、如果本合同部分条款依据现行有关法律、法规被确认为无效或无法履行，且该部分无效或无法履行的条款不影响本合同其他条款效力的，本合同其他条款继续有效；同时，合同双方应根据现行有关法律、法规对该部分无效或无法履行的条款进行调整，使其依法成为有效条款，并尽量符合本合同所体现的原则和精神。</w:t>
      </w:r>
    </w:p>
    <w:p>
      <w:pPr>
        <w:pStyle w:val="102"/>
        <w:tabs>
          <w:tab w:val="left" w:pos="360"/>
          <w:tab w:val="left" w:pos="480"/>
          <w:tab w:val="left" w:pos="1413"/>
        </w:tabs>
        <w:spacing w:line="360" w:lineRule="auto"/>
        <w:ind w:firstLine="482" w:firstLineChars="200"/>
        <w:rPr>
          <w:rFonts w:asciiTheme="minorEastAsia" w:hAnsiTheme="minorEastAsia" w:eastAsiaTheme="minorEastAsia" w:cstheme="minorEastAsia"/>
          <w:b/>
          <w:color w:val="000000" w:themeColor="text1"/>
          <w:sz w:val="24"/>
          <w14:textFill>
            <w14:solidFill>
              <w14:schemeClr w14:val="tx1"/>
            </w14:solidFill>
          </w14:textFill>
        </w:rPr>
      </w:pPr>
      <w:bookmarkStart w:id="118" w:name="_Toc175644057"/>
      <w:bookmarkStart w:id="119" w:name="_Toc86202609"/>
      <w:r>
        <w:rPr>
          <w:rFonts w:hint="eastAsia" w:asciiTheme="minorEastAsia" w:hAnsiTheme="minorEastAsia" w:eastAsiaTheme="minorEastAsia" w:cstheme="minorEastAsia"/>
          <w:b/>
          <w:color w:val="000000" w:themeColor="text1"/>
          <w:sz w:val="24"/>
          <w14:textFill>
            <w14:solidFill>
              <w14:schemeClr w14:val="tx1"/>
            </w14:solidFill>
          </w14:textFill>
        </w:rPr>
        <w:t>十七、争议的解决</w:t>
      </w:r>
      <w:bookmarkEnd w:id="118"/>
      <w:bookmarkEnd w:id="119"/>
    </w:p>
    <w:p>
      <w:pPr>
        <w:pStyle w:val="102"/>
        <w:tabs>
          <w:tab w:val="left" w:pos="360"/>
          <w:tab w:val="left" w:pos="480"/>
          <w:tab w:val="left" w:pos="1413"/>
        </w:tabs>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1、合同双方应通过友好协商解决因解释﹑执行本合同所发生的和本合同有关的一切争议。如果经协商不能达成协议，可以采用以下方式解决：</w:t>
      </w:r>
    </w:p>
    <w:p>
      <w:pPr>
        <w:pStyle w:val="102"/>
        <w:tabs>
          <w:tab w:val="left" w:pos="360"/>
          <w:tab w:val="left" w:pos="480"/>
          <w:tab w:val="left" w:pos="1413"/>
        </w:tabs>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（1）提交仲裁委员会仲裁；</w:t>
      </w:r>
    </w:p>
    <w:p>
      <w:pPr>
        <w:pStyle w:val="102"/>
        <w:tabs>
          <w:tab w:val="left" w:pos="360"/>
          <w:tab w:val="left" w:pos="480"/>
          <w:tab w:val="left" w:pos="1413"/>
        </w:tabs>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（2）向甲方所在地人民法院起诉。</w:t>
      </w:r>
    </w:p>
    <w:p>
      <w:pPr>
        <w:pStyle w:val="102"/>
        <w:tabs>
          <w:tab w:val="left" w:pos="360"/>
          <w:tab w:val="left" w:pos="480"/>
          <w:tab w:val="left" w:pos="1413"/>
        </w:tabs>
        <w:spacing w:line="360" w:lineRule="auto"/>
        <w:ind w:firstLine="360" w:firstLineChars="15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 xml:space="preserve"> 2、本合同甲、乙双方一致认为，本合同仅属于甲、乙双方之间的协议，任何争议均只应当按照本合同的约定方式处理，任何情形下采购代理机构均不应当成为该等争议的当事人，无论该等仲裁或诉讼均不得针对采购代理机构提起。</w:t>
      </w:r>
    </w:p>
    <w:p>
      <w:pPr>
        <w:pStyle w:val="102"/>
        <w:tabs>
          <w:tab w:val="left" w:pos="360"/>
          <w:tab w:val="left" w:pos="480"/>
          <w:tab w:val="left" w:pos="1413"/>
        </w:tabs>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3、在争议解决期间，除了诉讼或仲裁进行过程中正在解决的那部分问题外，合同其余部分应继续履行。</w:t>
      </w:r>
    </w:p>
    <w:p>
      <w:pPr>
        <w:pStyle w:val="102"/>
        <w:tabs>
          <w:tab w:val="left" w:pos="360"/>
          <w:tab w:val="left" w:pos="480"/>
          <w:tab w:val="left" w:pos="1413"/>
        </w:tabs>
        <w:spacing w:line="360" w:lineRule="auto"/>
        <w:ind w:firstLine="482" w:firstLineChars="200"/>
        <w:rPr>
          <w:rFonts w:asciiTheme="minorEastAsia" w:hAnsiTheme="minorEastAsia" w:eastAsiaTheme="minorEastAsia" w:cstheme="minorEastAsia"/>
          <w:b/>
          <w:color w:val="000000" w:themeColor="text1"/>
          <w:sz w:val="24"/>
          <w14:textFill>
            <w14:solidFill>
              <w14:schemeClr w14:val="tx1"/>
            </w14:solidFill>
          </w14:textFill>
        </w:rPr>
      </w:pPr>
      <w:bookmarkStart w:id="120" w:name="_Toc86202611"/>
      <w:bookmarkStart w:id="121" w:name="_Toc175644059"/>
      <w:r>
        <w:rPr>
          <w:rFonts w:hint="eastAsia" w:asciiTheme="minorEastAsia" w:hAnsiTheme="minorEastAsia" w:eastAsiaTheme="minorEastAsia" w:cstheme="minorEastAsia"/>
          <w:b/>
          <w:color w:val="000000" w:themeColor="text1"/>
          <w:sz w:val="24"/>
          <w14:textFill>
            <w14:solidFill>
              <w14:schemeClr w14:val="tx1"/>
            </w14:solidFill>
          </w14:textFill>
        </w:rPr>
        <w:t>十八、合同的生效</w:t>
      </w:r>
      <w:bookmarkEnd w:id="120"/>
      <w:bookmarkEnd w:id="121"/>
    </w:p>
    <w:p>
      <w:pPr>
        <w:pStyle w:val="102"/>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本合同经甲乙双方法定代表人或授权代理人签字加盖单位公章，乙方按时、足额提交履约保证金后生效。</w:t>
      </w:r>
    </w:p>
    <w:p>
      <w:pPr>
        <w:pStyle w:val="102"/>
        <w:tabs>
          <w:tab w:val="left" w:pos="360"/>
          <w:tab w:val="left" w:pos="480"/>
          <w:tab w:val="left" w:pos="1413"/>
        </w:tabs>
        <w:spacing w:line="360" w:lineRule="auto"/>
        <w:ind w:firstLine="482" w:firstLineChars="200"/>
        <w:rPr>
          <w:rFonts w:asciiTheme="minorEastAsia" w:hAnsiTheme="minorEastAsia" w:eastAsiaTheme="minorEastAsia" w:cstheme="minorEastAsia"/>
          <w:b/>
          <w:color w:val="000000" w:themeColor="text1"/>
          <w:sz w:val="24"/>
          <w14:textFill>
            <w14:solidFill>
              <w14:schemeClr w14:val="tx1"/>
            </w14:solidFill>
          </w14:textFill>
        </w:rPr>
      </w:pPr>
      <w:bookmarkStart w:id="122" w:name="_Toc86202612"/>
      <w:bookmarkStart w:id="123" w:name="_Toc175644060"/>
      <w:r>
        <w:rPr>
          <w:rFonts w:hint="eastAsia" w:asciiTheme="minorEastAsia" w:hAnsiTheme="minorEastAsia" w:eastAsiaTheme="minorEastAsia" w:cstheme="minorEastAsia"/>
          <w:b/>
          <w:color w:val="000000" w:themeColor="text1"/>
          <w:sz w:val="24"/>
          <w14:textFill>
            <w14:solidFill>
              <w14:schemeClr w14:val="tx1"/>
            </w14:solidFill>
          </w14:textFill>
        </w:rPr>
        <w:t>十九、其他约定事项</w:t>
      </w:r>
      <w:bookmarkEnd w:id="122"/>
      <w:bookmarkEnd w:id="123"/>
    </w:p>
    <w:p>
      <w:pPr>
        <w:pStyle w:val="102"/>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1、本合同中的附件均为本合同不可分割的部分，与本合同具有相同的法律效力。</w:t>
      </w:r>
    </w:p>
    <w:p>
      <w:pPr>
        <w:pStyle w:val="102"/>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2、不得将合同转让给第三人，有关分包事项或服务委托等须事先取得甲方和采购代理机构书面同意并且须遵守相关法律、法规；有关联合投标须在本次招标允许的情况下并须符合本次招标的全部规定。</w:t>
      </w:r>
    </w:p>
    <w:p>
      <w:pPr>
        <w:pStyle w:val="102"/>
        <w:tabs>
          <w:tab w:val="left" w:pos="360"/>
          <w:tab w:val="left" w:pos="480"/>
          <w:tab w:val="left" w:pos="1413"/>
        </w:tabs>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3、本合同一式四份，具有同等法律效力。</w:t>
      </w:r>
    </w:p>
    <w:bookmarkEnd w:id="88"/>
    <w:p>
      <w:pPr>
        <w:pStyle w:val="116"/>
        <w:rPr>
          <w:rFonts w:asciiTheme="minorEastAsia" w:hAnsiTheme="minorEastAsia" w:eastAsiaTheme="minorEastAsia" w:cstheme="minorEastAsia"/>
          <w:color w:val="000000" w:themeColor="text1"/>
          <w:sz w:val="20"/>
          <w14:textFill>
            <w14:solidFill>
              <w14:schemeClr w14:val="tx1"/>
            </w14:solidFill>
          </w14:textFill>
        </w:rPr>
      </w:pPr>
    </w:p>
    <w:p>
      <w:pPr>
        <w:pStyle w:val="116"/>
        <w:rPr>
          <w:rFonts w:asciiTheme="minorEastAsia" w:hAnsiTheme="minorEastAsia" w:eastAsiaTheme="minorEastAsia" w:cstheme="minorEastAsia"/>
          <w:color w:val="000000" w:themeColor="text1"/>
          <w14:textFill>
            <w14:solidFill>
              <w14:schemeClr w14:val="tx1"/>
            </w14:solidFill>
          </w14:textFill>
        </w:rPr>
      </w:pPr>
    </w:p>
    <w:p>
      <w:pPr>
        <w:rPr>
          <w:rFonts w:asciiTheme="minorEastAsia" w:hAnsiTheme="minorEastAsia" w:eastAsiaTheme="minorEastAsia" w:cstheme="minorEastAsia"/>
          <w:color w:val="000000" w:themeColor="text1"/>
          <w:sz w:val="20"/>
          <w14:textFill>
            <w14:solidFill>
              <w14:schemeClr w14:val="tx1"/>
            </w14:solidFill>
          </w14:textFill>
        </w:rPr>
      </w:pPr>
    </w:p>
    <w:p>
      <w:pPr>
        <w:tabs>
          <w:tab w:val="left" w:pos="360"/>
          <w:tab w:val="left" w:pos="480"/>
          <w:tab w:val="left" w:pos="1413"/>
        </w:tabs>
        <w:spacing w:line="360" w:lineRule="auto"/>
        <w:ind w:firstLine="482"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b/>
          <w:color w:val="000000" w:themeColor="text1"/>
          <w:sz w:val="24"/>
          <w14:textFill>
            <w14:solidFill>
              <w14:schemeClr w14:val="tx1"/>
            </w14:solidFill>
          </w14:textFill>
        </w:rPr>
        <w:br w:type="page"/>
      </w:r>
    </w:p>
    <w:p>
      <w:pPr>
        <w:pStyle w:val="21"/>
        <w:tabs>
          <w:tab w:val="left" w:pos="0"/>
        </w:tabs>
        <w:spacing w:line="360" w:lineRule="auto"/>
        <w:ind w:left="0" w:leftChars="0" w:firstLine="0" w:firstLineChars="0"/>
        <w:jc w:val="center"/>
        <w:outlineLvl w:val="0"/>
        <w:rPr>
          <w:rFonts w:asciiTheme="minorEastAsia" w:hAnsiTheme="minorEastAsia" w:eastAsiaTheme="minorEastAsia" w:cstheme="minorEastAsia"/>
          <w:b/>
          <w:color w:val="000000" w:themeColor="text1"/>
          <w:sz w:val="36"/>
          <w14:textFill>
            <w14:solidFill>
              <w14:schemeClr w14:val="tx1"/>
            </w14:solidFill>
          </w14:textFill>
        </w:rPr>
      </w:pPr>
      <w:bookmarkStart w:id="124" w:name="_Toc21049"/>
      <w:r>
        <w:rPr>
          <w:rFonts w:hint="eastAsia" w:asciiTheme="minorEastAsia" w:hAnsiTheme="minorEastAsia" w:eastAsiaTheme="minorEastAsia" w:cstheme="minorEastAsia"/>
          <w:b/>
          <w:color w:val="000000" w:themeColor="text1"/>
          <w:sz w:val="36"/>
          <w14:textFill>
            <w14:solidFill>
              <w14:schemeClr w14:val="tx1"/>
            </w14:solidFill>
          </w14:textFill>
        </w:rPr>
        <w:t>第六部分   投标文件格式</w:t>
      </w:r>
      <w:bookmarkEnd w:id="124"/>
    </w:p>
    <w:p>
      <w:pPr>
        <w:rPr>
          <w:rFonts w:asciiTheme="minorEastAsia" w:hAnsiTheme="minorEastAsia" w:eastAsiaTheme="minorEastAsia" w:cstheme="minorEastAsia"/>
          <w:color w:val="000000" w:themeColor="text1"/>
          <w14:textFill>
            <w14:solidFill>
              <w14:schemeClr w14:val="tx1"/>
            </w14:solidFill>
          </w14:textFill>
        </w:rPr>
      </w:pPr>
      <w:bookmarkStart w:id="125" w:name="EBa6563f599c41462c9a1a5775fbb6dec3"/>
    </w:p>
    <w:p>
      <w:pPr>
        <w:pStyle w:val="106"/>
        <w:outlineLvl w:val="2"/>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br w:type="page"/>
      </w:r>
      <w:bookmarkStart w:id="126" w:name="_Toc25358"/>
      <w:r>
        <w:rPr>
          <w:rFonts w:hint="eastAsia" w:asciiTheme="minorEastAsia" w:hAnsiTheme="minorEastAsia" w:eastAsiaTheme="minorEastAsia" w:cstheme="minorEastAsia"/>
          <w:color w:val="000000" w:themeColor="text1"/>
          <w14:textFill>
            <w14:solidFill>
              <w14:schemeClr w14:val="tx1"/>
            </w14:solidFill>
          </w14:textFill>
        </w:rPr>
        <w:t>投标文件封面</w:t>
      </w:r>
      <w:bookmarkEnd w:id="126"/>
    </w:p>
    <w:p>
      <w:pPr>
        <w:pStyle w:val="82"/>
        <w:spacing w:line="360" w:lineRule="auto"/>
        <w:rPr>
          <w:rFonts w:asciiTheme="minorEastAsia" w:hAnsiTheme="minorEastAsia" w:eastAsiaTheme="minorEastAsia" w:cstheme="minorEastAsia"/>
          <w:b/>
          <w:color w:val="000000" w:themeColor="text1"/>
          <w:sz w:val="24"/>
          <w14:textFill>
            <w14:solidFill>
              <w14:schemeClr w14:val="tx1"/>
            </w14:solidFill>
          </w14:textFill>
        </w:rPr>
      </w:pPr>
    </w:p>
    <w:p>
      <w:pPr>
        <w:pStyle w:val="82"/>
        <w:spacing w:line="360" w:lineRule="auto"/>
        <w:jc w:val="center"/>
        <w:rPr>
          <w:rFonts w:asciiTheme="minorEastAsia" w:hAnsiTheme="minorEastAsia" w:eastAsiaTheme="minorEastAsia" w:cstheme="minorEastAsia"/>
          <w:color w:val="000000" w:themeColor="text1"/>
          <w:sz w:val="24"/>
          <w14:textFill>
            <w14:solidFill>
              <w14:schemeClr w14:val="tx1"/>
            </w14:solidFill>
          </w14:textFill>
        </w:rPr>
      </w:pPr>
    </w:p>
    <w:p>
      <w:pPr>
        <w:pStyle w:val="82"/>
        <w:spacing w:line="360" w:lineRule="auto"/>
        <w:rPr>
          <w:rFonts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 xml:space="preserve">                </w:t>
      </w:r>
      <w:r>
        <w:rPr>
          <w:rFonts w:hint="eastAsia" w:asciiTheme="minorEastAsia" w:hAnsiTheme="minorEastAsia" w:eastAsiaTheme="minorEastAsia" w:cstheme="minorEastAsia"/>
          <w:color w:val="000000" w:themeColor="text1"/>
          <w:sz w:val="28"/>
          <w:szCs w:val="28"/>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8"/>
          <w:szCs w:val="28"/>
          <w14:textFill>
            <w14:solidFill>
              <w14:schemeClr w14:val="tx1"/>
            </w14:solidFill>
          </w14:textFill>
        </w:rPr>
        <w:t>（项目名称）</w:t>
      </w:r>
    </w:p>
    <w:p>
      <w:pPr>
        <w:pStyle w:val="82"/>
        <w:spacing w:line="360" w:lineRule="auto"/>
        <w:jc w:val="center"/>
        <w:rPr>
          <w:rFonts w:asciiTheme="minorEastAsia" w:hAnsiTheme="minorEastAsia" w:eastAsiaTheme="minorEastAsia" w:cstheme="minorEastAsia"/>
          <w:color w:val="000000" w:themeColor="text1"/>
          <w:sz w:val="28"/>
          <w:szCs w:val="28"/>
          <w14:textFill>
            <w14:solidFill>
              <w14:schemeClr w14:val="tx1"/>
            </w14:solidFill>
          </w14:textFill>
        </w:rPr>
      </w:pPr>
    </w:p>
    <w:p>
      <w:pPr>
        <w:pStyle w:val="82"/>
        <w:spacing w:line="360" w:lineRule="auto"/>
        <w:jc w:val="center"/>
        <w:rPr>
          <w:rFonts w:asciiTheme="minorEastAsia" w:hAnsiTheme="minorEastAsia" w:eastAsiaTheme="minorEastAsia" w:cstheme="minorEastAsia"/>
          <w:color w:val="000000" w:themeColor="text1"/>
          <w:sz w:val="24"/>
          <w14:textFill>
            <w14:solidFill>
              <w14:schemeClr w14:val="tx1"/>
            </w14:solidFill>
          </w14:textFill>
        </w:rPr>
      </w:pPr>
    </w:p>
    <w:p>
      <w:pPr>
        <w:pStyle w:val="82"/>
        <w:spacing w:line="360" w:lineRule="auto"/>
        <w:jc w:val="center"/>
        <w:rPr>
          <w:rFonts w:asciiTheme="minorEastAsia" w:hAnsiTheme="minorEastAsia" w:eastAsiaTheme="minorEastAsia" w:cstheme="minorEastAsia"/>
          <w:color w:val="000000" w:themeColor="text1"/>
          <w:sz w:val="24"/>
          <w14:textFill>
            <w14:solidFill>
              <w14:schemeClr w14:val="tx1"/>
            </w14:solidFill>
          </w14:textFill>
        </w:rPr>
      </w:pPr>
    </w:p>
    <w:p>
      <w:pPr>
        <w:pStyle w:val="82"/>
        <w:spacing w:line="360" w:lineRule="auto"/>
        <w:jc w:val="center"/>
        <w:rPr>
          <w:rFonts w:asciiTheme="minorEastAsia" w:hAnsiTheme="minorEastAsia" w:eastAsiaTheme="minorEastAsia" w:cstheme="minorEastAsia"/>
          <w:b/>
          <w:color w:val="000000" w:themeColor="text1"/>
          <w:sz w:val="72"/>
          <w:szCs w:val="72"/>
          <w14:textFill>
            <w14:solidFill>
              <w14:schemeClr w14:val="tx1"/>
            </w14:solidFill>
          </w14:textFill>
        </w:rPr>
      </w:pPr>
      <w:r>
        <w:rPr>
          <w:rFonts w:hint="eastAsia" w:asciiTheme="minorEastAsia" w:hAnsiTheme="minorEastAsia" w:eastAsiaTheme="minorEastAsia" w:cstheme="minorEastAsia"/>
          <w:b/>
          <w:color w:val="000000" w:themeColor="text1"/>
          <w:sz w:val="72"/>
          <w:szCs w:val="72"/>
          <w14:textFill>
            <w14:solidFill>
              <w14:schemeClr w14:val="tx1"/>
            </w14:solidFill>
          </w14:textFill>
        </w:rPr>
        <w:t>投标文件</w:t>
      </w:r>
    </w:p>
    <w:p>
      <w:pPr>
        <w:pStyle w:val="82"/>
        <w:spacing w:line="360" w:lineRule="auto"/>
        <w:jc w:val="center"/>
        <w:rPr>
          <w:rFonts w:asciiTheme="minorEastAsia" w:hAnsiTheme="minorEastAsia" w:eastAsiaTheme="minorEastAsia" w:cstheme="minorEastAsia"/>
          <w:color w:val="000000" w:themeColor="text1"/>
          <w:sz w:val="24"/>
          <w14:textFill>
            <w14:solidFill>
              <w14:schemeClr w14:val="tx1"/>
            </w14:solidFill>
          </w14:textFill>
        </w:rPr>
      </w:pPr>
    </w:p>
    <w:p>
      <w:pPr>
        <w:pStyle w:val="82"/>
        <w:spacing w:line="360" w:lineRule="auto"/>
        <w:jc w:val="center"/>
        <w:rPr>
          <w:rFonts w:asciiTheme="minorEastAsia" w:hAnsiTheme="minorEastAsia" w:eastAsiaTheme="minorEastAsia" w:cstheme="minorEastAsia"/>
          <w:color w:val="000000" w:themeColor="text1"/>
          <w:sz w:val="24"/>
          <w14:textFill>
            <w14:solidFill>
              <w14:schemeClr w14:val="tx1"/>
            </w14:solidFill>
          </w14:textFill>
        </w:rPr>
      </w:pPr>
    </w:p>
    <w:p>
      <w:pPr>
        <w:pStyle w:val="82"/>
        <w:spacing w:line="360" w:lineRule="auto"/>
        <w:jc w:val="center"/>
        <w:rPr>
          <w:rFonts w:asciiTheme="minorEastAsia" w:hAnsiTheme="minorEastAsia" w:eastAsiaTheme="minorEastAsia" w:cstheme="minorEastAsia"/>
          <w:b/>
          <w:color w:val="000000" w:themeColor="text1"/>
          <w:sz w:val="24"/>
          <w14:textFill>
            <w14:solidFill>
              <w14:schemeClr w14:val="tx1"/>
            </w14:solidFill>
          </w14:textFill>
        </w:rPr>
      </w:pPr>
    </w:p>
    <w:p>
      <w:pPr>
        <w:pStyle w:val="82"/>
        <w:spacing w:line="360" w:lineRule="auto"/>
        <w:jc w:val="center"/>
        <w:rPr>
          <w:rFonts w:asciiTheme="minorEastAsia" w:hAnsiTheme="minorEastAsia" w:eastAsiaTheme="minorEastAsia" w:cstheme="minorEastAsia"/>
          <w:b/>
          <w:color w:val="000000" w:themeColor="text1"/>
          <w:sz w:val="24"/>
          <w14:textFill>
            <w14:solidFill>
              <w14:schemeClr w14:val="tx1"/>
            </w14:solidFill>
          </w14:textFill>
        </w:rPr>
      </w:pPr>
    </w:p>
    <w:p>
      <w:pPr>
        <w:pStyle w:val="82"/>
        <w:spacing w:line="360" w:lineRule="auto"/>
        <w:jc w:val="center"/>
        <w:rPr>
          <w:rFonts w:asciiTheme="minorEastAsia" w:hAnsiTheme="minorEastAsia" w:eastAsiaTheme="minorEastAsia" w:cstheme="minorEastAsia"/>
          <w:b/>
          <w:color w:val="000000" w:themeColor="text1"/>
          <w:sz w:val="24"/>
          <w14:textFill>
            <w14:solidFill>
              <w14:schemeClr w14:val="tx1"/>
            </w14:solidFill>
          </w14:textFill>
        </w:rPr>
      </w:pPr>
    </w:p>
    <w:p>
      <w:pPr>
        <w:pStyle w:val="82"/>
        <w:spacing w:line="360" w:lineRule="auto"/>
        <w:jc w:val="center"/>
        <w:rPr>
          <w:rFonts w:asciiTheme="minorEastAsia" w:hAnsiTheme="minorEastAsia" w:eastAsiaTheme="minorEastAsia" w:cstheme="minorEastAsia"/>
          <w:b/>
          <w:color w:val="000000" w:themeColor="text1"/>
          <w:sz w:val="24"/>
          <w14:textFill>
            <w14:solidFill>
              <w14:schemeClr w14:val="tx1"/>
            </w14:solidFill>
          </w14:textFill>
        </w:rPr>
      </w:pPr>
    </w:p>
    <w:p>
      <w:pPr>
        <w:pStyle w:val="82"/>
        <w:spacing w:line="360" w:lineRule="auto"/>
        <w:jc w:val="center"/>
        <w:rPr>
          <w:rFonts w:asciiTheme="minorEastAsia" w:hAnsiTheme="minorEastAsia" w:eastAsiaTheme="minorEastAsia" w:cstheme="minorEastAsia"/>
          <w:b/>
          <w:color w:val="000000" w:themeColor="text1"/>
          <w:sz w:val="24"/>
          <w14:textFill>
            <w14:solidFill>
              <w14:schemeClr w14:val="tx1"/>
            </w14:solidFill>
          </w14:textFill>
        </w:rPr>
      </w:pPr>
    </w:p>
    <w:p>
      <w:pPr>
        <w:pStyle w:val="82"/>
        <w:spacing w:line="360" w:lineRule="auto"/>
        <w:jc w:val="center"/>
        <w:rPr>
          <w:rFonts w:asciiTheme="minorEastAsia" w:hAnsiTheme="minorEastAsia" w:eastAsiaTheme="minorEastAsia" w:cstheme="minorEastAsia"/>
          <w:b/>
          <w:color w:val="000000" w:themeColor="text1"/>
          <w:sz w:val="24"/>
          <w14:textFill>
            <w14:solidFill>
              <w14:schemeClr w14:val="tx1"/>
            </w14:solidFill>
          </w14:textFill>
        </w:rPr>
      </w:pPr>
    </w:p>
    <w:p>
      <w:pPr>
        <w:pStyle w:val="82"/>
        <w:spacing w:line="360" w:lineRule="auto"/>
        <w:rPr>
          <w:rFonts w:asciiTheme="minorEastAsia" w:hAnsiTheme="minorEastAsia" w:eastAsiaTheme="minorEastAsia" w:cstheme="minorEastAsia"/>
          <w:color w:val="000000" w:themeColor="text1"/>
          <w:sz w:val="28"/>
          <w:szCs w:val="28"/>
          <w:u w:val="single"/>
          <w14:textFill>
            <w14:solidFill>
              <w14:schemeClr w14:val="tx1"/>
            </w14:solidFill>
          </w14:textFill>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投标人：</w:t>
      </w:r>
      <w:r>
        <w:rPr>
          <w:rFonts w:hint="eastAsia" w:asciiTheme="minorEastAsia" w:hAnsiTheme="minorEastAsia" w:eastAsiaTheme="minorEastAsia" w:cstheme="minorEastAsia"/>
          <w:color w:val="000000" w:themeColor="text1"/>
          <w:sz w:val="28"/>
          <w:szCs w:val="28"/>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8"/>
          <w:szCs w:val="28"/>
          <w14:textFill>
            <w14:solidFill>
              <w14:schemeClr w14:val="tx1"/>
            </w14:solidFill>
          </w14:textFill>
        </w:rPr>
        <w:t>（盖章）</w:t>
      </w:r>
    </w:p>
    <w:p>
      <w:pPr>
        <w:pStyle w:val="82"/>
        <w:spacing w:line="360" w:lineRule="auto"/>
        <w:rPr>
          <w:rFonts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法定代表人或委托代理人：</w:t>
      </w:r>
      <w:r>
        <w:rPr>
          <w:rFonts w:hint="eastAsia" w:asciiTheme="minorEastAsia" w:hAnsiTheme="minorEastAsia" w:eastAsiaTheme="minorEastAsia" w:cstheme="minorEastAsia"/>
          <w:color w:val="000000" w:themeColor="text1"/>
          <w:sz w:val="28"/>
          <w:szCs w:val="28"/>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8"/>
          <w:szCs w:val="28"/>
          <w14:textFill>
            <w14:solidFill>
              <w14:schemeClr w14:val="tx1"/>
            </w14:solidFill>
          </w14:textFill>
        </w:rPr>
        <w:t>（签字或盖章）</w:t>
      </w:r>
    </w:p>
    <w:p>
      <w:pPr>
        <w:pStyle w:val="82"/>
        <w:spacing w:line="360" w:lineRule="auto"/>
        <w:rPr>
          <w:rFonts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联系人：</w:t>
      </w:r>
      <w:r>
        <w:rPr>
          <w:rFonts w:hint="eastAsia" w:asciiTheme="minorEastAsia" w:hAnsiTheme="minorEastAsia" w:eastAsiaTheme="minorEastAsia" w:cstheme="minorEastAsia"/>
          <w:color w:val="000000" w:themeColor="text1"/>
          <w:sz w:val="28"/>
          <w:szCs w:val="28"/>
          <w:u w:val="single"/>
          <w14:textFill>
            <w14:solidFill>
              <w14:schemeClr w14:val="tx1"/>
            </w14:solidFill>
          </w14:textFill>
        </w:rPr>
        <w:t xml:space="preserve">                     </w:t>
      </w:r>
    </w:p>
    <w:p>
      <w:pPr>
        <w:pStyle w:val="82"/>
        <w:spacing w:line="360" w:lineRule="auto"/>
        <w:rPr>
          <w:rFonts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联系电话：</w:t>
      </w:r>
      <w:r>
        <w:rPr>
          <w:rFonts w:hint="eastAsia" w:asciiTheme="minorEastAsia" w:hAnsiTheme="minorEastAsia" w:eastAsiaTheme="minorEastAsia" w:cstheme="minorEastAsia"/>
          <w:color w:val="000000" w:themeColor="text1"/>
          <w:sz w:val="28"/>
          <w:szCs w:val="28"/>
          <w:u w:val="single"/>
          <w14:textFill>
            <w14:solidFill>
              <w14:schemeClr w14:val="tx1"/>
            </w14:solidFill>
          </w14:textFill>
        </w:rPr>
        <w:t xml:space="preserve">                     </w:t>
      </w:r>
    </w:p>
    <w:p>
      <w:pPr>
        <w:pStyle w:val="82"/>
        <w:spacing w:line="360" w:lineRule="auto"/>
        <w:rPr>
          <w:rFonts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联系地址：</w:t>
      </w:r>
      <w:r>
        <w:rPr>
          <w:rFonts w:hint="eastAsia" w:asciiTheme="minorEastAsia" w:hAnsiTheme="minorEastAsia" w:eastAsiaTheme="minorEastAsia" w:cstheme="minorEastAsia"/>
          <w:color w:val="000000" w:themeColor="text1"/>
          <w:sz w:val="28"/>
          <w:szCs w:val="28"/>
          <w:u w:val="single"/>
          <w14:textFill>
            <w14:solidFill>
              <w14:schemeClr w14:val="tx1"/>
            </w14:solidFill>
          </w14:textFill>
        </w:rPr>
        <w:t xml:space="preserve">                     </w:t>
      </w:r>
    </w:p>
    <w:p>
      <w:pPr>
        <w:pStyle w:val="82"/>
        <w:spacing w:line="360" w:lineRule="auto"/>
        <w:jc w:val="center"/>
        <w:rPr>
          <w:rFonts w:asciiTheme="minorEastAsia" w:hAnsiTheme="minorEastAsia" w:eastAsiaTheme="minorEastAsia" w:cstheme="minorEastAsia"/>
          <w:color w:val="000000" w:themeColor="text1"/>
          <w:sz w:val="28"/>
          <w:szCs w:val="28"/>
          <w:u w:val="single"/>
          <w14:textFill>
            <w14:solidFill>
              <w14:schemeClr w14:val="tx1"/>
            </w14:solidFill>
          </w14:textFill>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日期</w:t>
      </w:r>
      <w:r>
        <w:rPr>
          <w:rFonts w:hint="eastAsia" w:asciiTheme="minorEastAsia" w:hAnsiTheme="minorEastAsia" w:eastAsiaTheme="minorEastAsia" w:cstheme="minorEastAsia"/>
          <w:color w:val="000000" w:themeColor="text1"/>
          <w:sz w:val="28"/>
          <w:szCs w:val="28"/>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8"/>
          <w:szCs w:val="28"/>
          <w14:textFill>
            <w14:solidFill>
              <w14:schemeClr w14:val="tx1"/>
            </w14:solidFill>
          </w14:textFill>
        </w:rPr>
        <w:t>（年/月/日）</w:t>
      </w:r>
    </w:p>
    <w:p>
      <w:pPr>
        <w:pStyle w:val="82"/>
        <w:spacing w:line="360" w:lineRule="auto"/>
        <w:jc w:val="center"/>
        <w:rPr>
          <w:rFonts w:asciiTheme="minorEastAsia" w:hAnsiTheme="minorEastAsia" w:eastAsiaTheme="minorEastAsia" w:cstheme="minorEastAsia"/>
          <w:color w:val="000000" w:themeColor="text1"/>
          <w:sz w:val="28"/>
          <w:szCs w:val="28"/>
          <w14:textFill>
            <w14:solidFill>
              <w14:schemeClr w14:val="tx1"/>
            </w14:solidFill>
          </w14:textFill>
        </w:rPr>
      </w:pPr>
    </w:p>
    <w:p>
      <w:pPr>
        <w:pStyle w:val="81"/>
        <w:tabs>
          <w:tab w:val="left" w:pos="0"/>
        </w:tabs>
        <w:spacing w:line="360" w:lineRule="auto"/>
        <w:ind w:left="0" w:leftChars="0" w:firstLine="0" w:firstLineChars="0"/>
        <w:rPr>
          <w:rFonts w:asciiTheme="minorEastAsia" w:hAnsiTheme="minorEastAsia" w:eastAsiaTheme="minorEastAsia" w:cstheme="minorEastAsia"/>
          <w:b/>
          <w:color w:val="000000" w:themeColor="text1"/>
          <w:sz w:val="36"/>
          <w14:textFill>
            <w14:solidFill>
              <w14:schemeClr w14:val="tx1"/>
            </w14:solidFill>
          </w14:textFill>
        </w:rPr>
      </w:pPr>
    </w:p>
    <w:p>
      <w:pPr>
        <w:pStyle w:val="130"/>
        <w:jc w:val="center"/>
        <w:outlineLvl w:val="1"/>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br w:type="page"/>
      </w:r>
      <w:bookmarkStart w:id="127" w:name="_Toc15886"/>
      <w:r>
        <w:rPr>
          <w:rFonts w:hint="eastAsia" w:asciiTheme="minorEastAsia" w:hAnsiTheme="minorEastAsia" w:eastAsiaTheme="minorEastAsia" w:cstheme="minorEastAsia"/>
          <w:color w:val="000000" w:themeColor="text1"/>
          <w14:textFill>
            <w14:solidFill>
              <w14:schemeClr w14:val="tx1"/>
            </w14:solidFill>
          </w14:textFill>
        </w:rPr>
        <w:t>目录</w:t>
      </w:r>
      <w:bookmarkEnd w:id="127"/>
    </w:p>
    <w:p>
      <w:pPr>
        <w:pStyle w:val="130"/>
        <w:outlineLvl w:val="1"/>
        <w:rPr>
          <w:rFonts w:asciiTheme="minorEastAsia" w:hAnsiTheme="minorEastAsia" w:eastAsiaTheme="minorEastAsia" w:cstheme="minorEastAsia"/>
          <w:b w:val="0"/>
          <w:bCs/>
          <w:color w:val="000000" w:themeColor="text1"/>
          <w:sz w:val="24"/>
          <w14:textFill>
            <w14:solidFill>
              <w14:schemeClr w14:val="tx1"/>
            </w14:solidFill>
          </w14:textFill>
        </w:rPr>
      </w:pPr>
      <w:bookmarkStart w:id="128" w:name="_Toc6470"/>
      <w:r>
        <w:rPr>
          <w:rFonts w:hint="eastAsia" w:asciiTheme="minorEastAsia" w:hAnsiTheme="minorEastAsia" w:eastAsiaTheme="minorEastAsia" w:cstheme="minorEastAsia"/>
          <w:b w:val="0"/>
          <w:bCs/>
          <w:color w:val="000000" w:themeColor="text1"/>
          <w:sz w:val="24"/>
          <w14:textFill>
            <w14:solidFill>
              <w14:schemeClr w14:val="tx1"/>
            </w14:solidFill>
          </w14:textFill>
        </w:rPr>
        <w:t>一、资格审查材料</w:t>
      </w:r>
      <w:bookmarkEnd w:id="128"/>
    </w:p>
    <w:p>
      <w:pPr>
        <w:pStyle w:val="130"/>
        <w:outlineLvl w:val="1"/>
        <w:rPr>
          <w:rFonts w:asciiTheme="minorEastAsia" w:hAnsiTheme="minorEastAsia" w:eastAsiaTheme="minorEastAsia" w:cstheme="minorEastAsia"/>
          <w:b w:val="0"/>
          <w:bCs/>
          <w:color w:val="000000" w:themeColor="text1"/>
          <w:sz w:val="24"/>
          <w14:textFill>
            <w14:solidFill>
              <w14:schemeClr w14:val="tx1"/>
            </w14:solidFill>
          </w14:textFill>
        </w:rPr>
      </w:pPr>
      <w:bookmarkStart w:id="129" w:name="_Toc17638"/>
      <w:r>
        <w:rPr>
          <w:rFonts w:hint="eastAsia" w:asciiTheme="minorEastAsia" w:hAnsiTheme="minorEastAsia" w:eastAsiaTheme="minorEastAsia" w:cstheme="minorEastAsia"/>
          <w:b w:val="0"/>
          <w:bCs/>
          <w:color w:val="000000" w:themeColor="text1"/>
          <w:sz w:val="24"/>
          <w14:textFill>
            <w14:solidFill>
              <w14:schemeClr w14:val="tx1"/>
            </w14:solidFill>
          </w14:textFill>
        </w:rPr>
        <w:t>1.1中华人民共和国政府采购法第二十二条规定</w:t>
      </w:r>
      <w:bookmarkEnd w:id="129"/>
    </w:p>
    <w:p>
      <w:pPr>
        <w:pStyle w:val="130"/>
        <w:outlineLvl w:val="1"/>
        <w:rPr>
          <w:rFonts w:asciiTheme="minorEastAsia" w:hAnsiTheme="minorEastAsia" w:eastAsiaTheme="minorEastAsia" w:cstheme="minorEastAsia"/>
          <w:b w:val="0"/>
          <w:bCs/>
          <w:color w:val="000000" w:themeColor="text1"/>
          <w:sz w:val="24"/>
          <w14:textFill>
            <w14:solidFill>
              <w14:schemeClr w14:val="tx1"/>
            </w14:solidFill>
          </w14:textFill>
        </w:rPr>
      </w:pPr>
      <w:bookmarkStart w:id="130" w:name="_Toc17500"/>
      <w:r>
        <w:rPr>
          <w:rFonts w:hint="eastAsia" w:asciiTheme="minorEastAsia" w:hAnsiTheme="minorEastAsia" w:eastAsiaTheme="minorEastAsia" w:cstheme="minorEastAsia"/>
          <w:b w:val="0"/>
          <w:bCs/>
          <w:color w:val="000000" w:themeColor="text1"/>
          <w:sz w:val="24"/>
          <w14:textFill>
            <w14:solidFill>
              <w14:schemeClr w14:val="tx1"/>
            </w14:solidFill>
          </w14:textFill>
        </w:rPr>
        <w:t>1.2☆法定代表人身份证明及授权委托书</w:t>
      </w:r>
      <w:bookmarkEnd w:id="130"/>
    </w:p>
    <w:p>
      <w:pPr>
        <w:pStyle w:val="130"/>
        <w:outlineLvl w:val="1"/>
        <w:rPr>
          <w:rFonts w:asciiTheme="minorEastAsia" w:hAnsiTheme="minorEastAsia" w:eastAsiaTheme="minorEastAsia" w:cstheme="minorEastAsia"/>
          <w:b w:val="0"/>
          <w:bCs/>
          <w:color w:val="000000" w:themeColor="text1"/>
          <w:sz w:val="24"/>
          <w14:textFill>
            <w14:solidFill>
              <w14:schemeClr w14:val="tx1"/>
            </w14:solidFill>
          </w14:textFill>
        </w:rPr>
      </w:pPr>
      <w:bookmarkStart w:id="131" w:name="_Toc20586"/>
      <w:r>
        <w:rPr>
          <w:rFonts w:hint="eastAsia" w:asciiTheme="minorEastAsia" w:hAnsiTheme="minorEastAsia" w:eastAsiaTheme="minorEastAsia" w:cstheme="minorEastAsia"/>
          <w:b w:val="0"/>
          <w:bCs/>
          <w:color w:val="000000" w:themeColor="text1"/>
          <w:sz w:val="24"/>
          <w14:textFill>
            <w14:solidFill>
              <w14:schemeClr w14:val="tx1"/>
            </w14:solidFill>
          </w14:textFill>
        </w:rPr>
        <w:t>1.3☆投标保证金</w:t>
      </w:r>
      <w:bookmarkEnd w:id="131"/>
    </w:p>
    <w:p>
      <w:pPr>
        <w:pStyle w:val="130"/>
        <w:outlineLvl w:val="1"/>
        <w:rPr>
          <w:rFonts w:asciiTheme="minorEastAsia" w:hAnsiTheme="minorEastAsia" w:eastAsiaTheme="minorEastAsia" w:cstheme="minorEastAsia"/>
          <w:b w:val="0"/>
          <w:bCs/>
          <w:color w:val="000000" w:themeColor="text1"/>
          <w:sz w:val="24"/>
          <w14:textFill>
            <w14:solidFill>
              <w14:schemeClr w14:val="tx1"/>
            </w14:solidFill>
          </w14:textFill>
        </w:rPr>
      </w:pPr>
      <w:bookmarkStart w:id="132" w:name="_Toc6084"/>
      <w:r>
        <w:rPr>
          <w:rFonts w:hint="eastAsia" w:asciiTheme="minorEastAsia" w:hAnsiTheme="minorEastAsia" w:eastAsiaTheme="minorEastAsia" w:cstheme="minorEastAsia"/>
          <w:b w:val="0"/>
          <w:bCs/>
          <w:color w:val="000000" w:themeColor="text1"/>
          <w:sz w:val="24"/>
          <w14:textFill>
            <w14:solidFill>
              <w14:schemeClr w14:val="tx1"/>
            </w14:solidFill>
          </w14:textFill>
        </w:rPr>
        <w:t>二、商务文件</w:t>
      </w:r>
      <w:bookmarkEnd w:id="132"/>
    </w:p>
    <w:p>
      <w:pPr>
        <w:pStyle w:val="130"/>
        <w:outlineLvl w:val="1"/>
        <w:rPr>
          <w:rFonts w:asciiTheme="minorEastAsia" w:hAnsiTheme="minorEastAsia" w:eastAsiaTheme="minorEastAsia" w:cstheme="minorEastAsia"/>
          <w:b w:val="0"/>
          <w:bCs/>
          <w:color w:val="000000" w:themeColor="text1"/>
          <w:sz w:val="24"/>
          <w14:textFill>
            <w14:solidFill>
              <w14:schemeClr w14:val="tx1"/>
            </w14:solidFill>
          </w14:textFill>
        </w:rPr>
      </w:pPr>
      <w:bookmarkStart w:id="133" w:name="_Toc31795"/>
      <w:r>
        <w:rPr>
          <w:rFonts w:hint="eastAsia" w:asciiTheme="minorEastAsia" w:hAnsiTheme="minorEastAsia" w:eastAsiaTheme="minorEastAsia" w:cstheme="minorEastAsia"/>
          <w:b w:val="0"/>
          <w:bCs/>
          <w:color w:val="000000" w:themeColor="text1"/>
          <w:sz w:val="24"/>
          <w14:textFill>
            <w14:solidFill>
              <w14:schemeClr w14:val="tx1"/>
            </w14:solidFill>
          </w14:textFill>
        </w:rPr>
        <w:t>2.1☆投标函</w:t>
      </w:r>
      <w:bookmarkEnd w:id="133"/>
    </w:p>
    <w:p>
      <w:pPr>
        <w:pStyle w:val="130"/>
        <w:outlineLvl w:val="1"/>
        <w:rPr>
          <w:rFonts w:asciiTheme="minorEastAsia" w:hAnsiTheme="minorEastAsia" w:eastAsiaTheme="minorEastAsia" w:cstheme="minorEastAsia"/>
          <w:b w:val="0"/>
          <w:bCs/>
          <w:color w:val="000000" w:themeColor="text1"/>
          <w:sz w:val="24"/>
          <w14:textFill>
            <w14:solidFill>
              <w14:schemeClr w14:val="tx1"/>
            </w14:solidFill>
          </w14:textFill>
        </w:rPr>
      </w:pPr>
      <w:bookmarkStart w:id="134" w:name="_Toc11731"/>
      <w:r>
        <w:rPr>
          <w:rFonts w:hint="eastAsia" w:asciiTheme="minorEastAsia" w:hAnsiTheme="minorEastAsia" w:eastAsiaTheme="minorEastAsia" w:cstheme="minorEastAsia"/>
          <w:b w:val="0"/>
          <w:bCs/>
          <w:color w:val="000000" w:themeColor="text1"/>
          <w:sz w:val="24"/>
          <w14:textFill>
            <w14:solidFill>
              <w14:schemeClr w14:val="tx1"/>
            </w14:solidFill>
          </w14:textFill>
        </w:rPr>
        <w:t>2.2企业基本情况表、项目负责人简历表、拟投入本项目主要成员表</w:t>
      </w:r>
      <w:bookmarkEnd w:id="134"/>
    </w:p>
    <w:p>
      <w:pPr>
        <w:pStyle w:val="130"/>
        <w:outlineLvl w:val="1"/>
        <w:rPr>
          <w:rFonts w:asciiTheme="minorEastAsia" w:hAnsiTheme="minorEastAsia" w:eastAsiaTheme="minorEastAsia" w:cstheme="minorEastAsia"/>
          <w:b w:val="0"/>
          <w:bCs/>
          <w:color w:val="000000" w:themeColor="text1"/>
          <w:sz w:val="24"/>
          <w14:textFill>
            <w14:solidFill>
              <w14:schemeClr w14:val="tx1"/>
            </w14:solidFill>
          </w14:textFill>
        </w:rPr>
      </w:pPr>
      <w:bookmarkStart w:id="135" w:name="_Toc11997"/>
      <w:r>
        <w:rPr>
          <w:rFonts w:hint="eastAsia" w:asciiTheme="minorEastAsia" w:hAnsiTheme="minorEastAsia" w:eastAsiaTheme="minorEastAsia" w:cstheme="minorEastAsia"/>
          <w:b w:val="0"/>
          <w:bCs/>
          <w:color w:val="000000" w:themeColor="text1"/>
          <w:sz w:val="24"/>
          <w14:textFill>
            <w14:solidFill>
              <w14:schemeClr w14:val="tx1"/>
            </w14:solidFill>
          </w14:textFill>
        </w:rPr>
        <w:t>2.3近三年经营业绩表</w:t>
      </w:r>
      <w:bookmarkEnd w:id="135"/>
    </w:p>
    <w:p>
      <w:pPr>
        <w:pStyle w:val="130"/>
        <w:outlineLvl w:val="1"/>
        <w:rPr>
          <w:rFonts w:asciiTheme="minorEastAsia" w:hAnsiTheme="minorEastAsia" w:eastAsiaTheme="minorEastAsia" w:cstheme="minorEastAsia"/>
          <w:b w:val="0"/>
          <w:bCs/>
          <w:color w:val="000000" w:themeColor="text1"/>
          <w:sz w:val="24"/>
          <w14:textFill>
            <w14:solidFill>
              <w14:schemeClr w14:val="tx1"/>
            </w14:solidFill>
          </w14:textFill>
        </w:rPr>
      </w:pPr>
      <w:bookmarkStart w:id="136" w:name="_Toc4594"/>
      <w:r>
        <w:rPr>
          <w:rFonts w:hint="eastAsia" w:asciiTheme="minorEastAsia" w:hAnsiTheme="minorEastAsia" w:eastAsiaTheme="minorEastAsia" w:cstheme="minorEastAsia"/>
          <w:b w:val="0"/>
          <w:bCs/>
          <w:color w:val="000000" w:themeColor="text1"/>
          <w:sz w:val="24"/>
          <w14:textFill>
            <w14:solidFill>
              <w14:schemeClr w14:val="tx1"/>
            </w14:solidFill>
          </w14:textFill>
        </w:rPr>
        <w:t>2.4☆开标一览表</w:t>
      </w:r>
      <w:bookmarkEnd w:id="136"/>
    </w:p>
    <w:p>
      <w:pPr>
        <w:pStyle w:val="130"/>
        <w:outlineLvl w:val="1"/>
        <w:rPr>
          <w:rFonts w:asciiTheme="minorEastAsia" w:hAnsiTheme="minorEastAsia" w:eastAsiaTheme="minorEastAsia" w:cstheme="minorEastAsia"/>
          <w:b w:val="0"/>
          <w:bCs/>
          <w:color w:val="000000" w:themeColor="text1"/>
          <w:sz w:val="24"/>
          <w14:textFill>
            <w14:solidFill>
              <w14:schemeClr w14:val="tx1"/>
            </w14:solidFill>
          </w14:textFill>
        </w:rPr>
      </w:pPr>
      <w:bookmarkStart w:id="137" w:name="_Toc32327"/>
      <w:r>
        <w:rPr>
          <w:rFonts w:hint="eastAsia" w:asciiTheme="minorEastAsia" w:hAnsiTheme="minorEastAsia" w:eastAsiaTheme="minorEastAsia" w:cstheme="minorEastAsia"/>
          <w:b w:val="0"/>
          <w:bCs/>
          <w:color w:val="000000" w:themeColor="text1"/>
          <w:sz w:val="24"/>
          <w14:textFill>
            <w14:solidFill>
              <w14:schemeClr w14:val="tx1"/>
            </w14:solidFill>
          </w14:textFill>
        </w:rPr>
        <w:t>2.5☆投标报价明细表</w:t>
      </w:r>
      <w:bookmarkEnd w:id="137"/>
    </w:p>
    <w:p>
      <w:pPr>
        <w:pStyle w:val="130"/>
        <w:outlineLvl w:val="1"/>
        <w:rPr>
          <w:rFonts w:asciiTheme="minorEastAsia" w:hAnsiTheme="minorEastAsia" w:eastAsiaTheme="minorEastAsia" w:cstheme="minorEastAsia"/>
          <w:b w:val="0"/>
          <w:bCs/>
          <w:color w:val="000000" w:themeColor="text1"/>
          <w:sz w:val="24"/>
          <w14:textFill>
            <w14:solidFill>
              <w14:schemeClr w14:val="tx1"/>
            </w14:solidFill>
          </w14:textFill>
        </w:rPr>
      </w:pPr>
      <w:bookmarkStart w:id="138" w:name="_Toc20580"/>
      <w:r>
        <w:rPr>
          <w:rFonts w:hint="eastAsia" w:asciiTheme="minorEastAsia" w:hAnsiTheme="minorEastAsia" w:eastAsiaTheme="minorEastAsia" w:cstheme="minorEastAsia"/>
          <w:b w:val="0"/>
          <w:bCs/>
          <w:color w:val="000000" w:themeColor="text1"/>
          <w:sz w:val="24"/>
          <w14:textFill>
            <w14:solidFill>
              <w14:schemeClr w14:val="tx1"/>
            </w14:solidFill>
          </w14:textFill>
        </w:rPr>
        <w:t>2.6商务条款偏离说明表</w:t>
      </w:r>
      <w:bookmarkEnd w:id="138"/>
    </w:p>
    <w:p>
      <w:pPr>
        <w:pStyle w:val="130"/>
        <w:outlineLvl w:val="1"/>
        <w:rPr>
          <w:rFonts w:asciiTheme="minorEastAsia" w:hAnsiTheme="minorEastAsia" w:eastAsiaTheme="minorEastAsia" w:cstheme="minorEastAsia"/>
          <w:b w:val="0"/>
          <w:bCs/>
          <w:color w:val="000000" w:themeColor="text1"/>
          <w:sz w:val="24"/>
          <w14:textFill>
            <w14:solidFill>
              <w14:schemeClr w14:val="tx1"/>
            </w14:solidFill>
          </w14:textFill>
        </w:rPr>
      </w:pPr>
      <w:bookmarkStart w:id="139" w:name="_Toc24960"/>
      <w:r>
        <w:rPr>
          <w:rFonts w:hint="eastAsia" w:asciiTheme="minorEastAsia" w:hAnsiTheme="minorEastAsia" w:eastAsiaTheme="minorEastAsia" w:cstheme="minorEastAsia"/>
          <w:b w:val="0"/>
          <w:bCs/>
          <w:color w:val="000000" w:themeColor="text1"/>
          <w:sz w:val="24"/>
          <w14:textFill>
            <w14:solidFill>
              <w14:schemeClr w14:val="tx1"/>
            </w14:solidFill>
          </w14:textFill>
        </w:rPr>
        <w:t>2.7投标人认为有必要提供的声明及文件资料</w:t>
      </w:r>
      <w:bookmarkEnd w:id="139"/>
    </w:p>
    <w:p>
      <w:pPr>
        <w:pStyle w:val="130"/>
        <w:outlineLvl w:val="1"/>
        <w:rPr>
          <w:rFonts w:asciiTheme="minorEastAsia" w:hAnsiTheme="minorEastAsia" w:eastAsiaTheme="minorEastAsia" w:cstheme="minorEastAsia"/>
          <w:b w:val="0"/>
          <w:bCs/>
          <w:color w:val="000000" w:themeColor="text1"/>
          <w:sz w:val="24"/>
          <w14:textFill>
            <w14:solidFill>
              <w14:schemeClr w14:val="tx1"/>
            </w14:solidFill>
          </w14:textFill>
        </w:rPr>
      </w:pPr>
      <w:bookmarkStart w:id="140" w:name="_Toc24182"/>
      <w:r>
        <w:rPr>
          <w:rFonts w:hint="eastAsia" w:asciiTheme="minorEastAsia" w:hAnsiTheme="minorEastAsia" w:eastAsiaTheme="minorEastAsia" w:cstheme="minorEastAsia"/>
          <w:b w:val="0"/>
          <w:bCs/>
          <w:color w:val="000000" w:themeColor="text1"/>
          <w:sz w:val="24"/>
          <w14:textFill>
            <w14:solidFill>
              <w14:schemeClr w14:val="tx1"/>
            </w14:solidFill>
          </w14:textFill>
        </w:rPr>
        <w:t>三、技术文件</w:t>
      </w:r>
      <w:bookmarkEnd w:id="140"/>
    </w:p>
    <w:p>
      <w:pPr>
        <w:pStyle w:val="130"/>
        <w:outlineLvl w:val="1"/>
        <w:rPr>
          <w:rFonts w:asciiTheme="minorEastAsia" w:hAnsiTheme="minorEastAsia" w:eastAsiaTheme="minorEastAsia" w:cstheme="minorEastAsia"/>
          <w:b w:val="0"/>
          <w:bCs/>
          <w:color w:val="000000" w:themeColor="text1"/>
          <w:sz w:val="24"/>
          <w14:textFill>
            <w14:solidFill>
              <w14:schemeClr w14:val="tx1"/>
            </w14:solidFill>
          </w14:textFill>
        </w:rPr>
      </w:pPr>
      <w:bookmarkStart w:id="141" w:name="_Toc4384"/>
      <w:r>
        <w:rPr>
          <w:rFonts w:hint="eastAsia" w:asciiTheme="minorEastAsia" w:hAnsiTheme="minorEastAsia" w:eastAsiaTheme="minorEastAsia" w:cstheme="minorEastAsia"/>
          <w:b w:val="0"/>
          <w:bCs/>
          <w:color w:val="000000" w:themeColor="text1"/>
          <w:sz w:val="24"/>
          <w14:textFill>
            <w14:solidFill>
              <w14:schemeClr w14:val="tx1"/>
            </w14:solidFill>
          </w14:textFill>
        </w:rPr>
        <w:t>3.1技术规范偏离表：</w:t>
      </w:r>
      <w:bookmarkEnd w:id="141"/>
    </w:p>
    <w:p>
      <w:pPr>
        <w:pStyle w:val="130"/>
        <w:outlineLvl w:val="1"/>
        <w:rPr>
          <w:rFonts w:asciiTheme="minorEastAsia" w:hAnsiTheme="minorEastAsia" w:eastAsiaTheme="minorEastAsia" w:cstheme="minorEastAsia"/>
          <w:b w:val="0"/>
          <w:bCs/>
          <w:color w:val="000000" w:themeColor="text1"/>
          <w:sz w:val="24"/>
          <w14:textFill>
            <w14:solidFill>
              <w14:schemeClr w14:val="tx1"/>
            </w14:solidFill>
          </w14:textFill>
        </w:rPr>
      </w:pPr>
      <w:bookmarkStart w:id="142" w:name="_Toc3374"/>
      <w:r>
        <w:rPr>
          <w:rFonts w:hint="eastAsia" w:asciiTheme="minorEastAsia" w:hAnsiTheme="minorEastAsia" w:eastAsiaTheme="minorEastAsia" w:cstheme="minorEastAsia"/>
          <w:b w:val="0"/>
          <w:bCs/>
          <w:color w:val="000000" w:themeColor="text1"/>
          <w:sz w:val="24"/>
          <w14:textFill>
            <w14:solidFill>
              <w14:schemeClr w14:val="tx1"/>
            </w14:solidFill>
          </w14:textFill>
        </w:rPr>
        <w:t>3.2主要技术指标和运行性能；</w:t>
      </w:r>
      <w:bookmarkEnd w:id="142"/>
    </w:p>
    <w:p>
      <w:pPr>
        <w:pStyle w:val="130"/>
        <w:outlineLvl w:val="1"/>
        <w:rPr>
          <w:rFonts w:asciiTheme="minorEastAsia" w:hAnsiTheme="minorEastAsia" w:eastAsiaTheme="minorEastAsia" w:cstheme="minorEastAsia"/>
          <w:b w:val="0"/>
          <w:bCs/>
          <w:color w:val="000000" w:themeColor="text1"/>
          <w:sz w:val="24"/>
          <w14:textFill>
            <w14:solidFill>
              <w14:schemeClr w14:val="tx1"/>
            </w14:solidFill>
          </w14:textFill>
        </w:rPr>
      </w:pPr>
      <w:bookmarkStart w:id="143" w:name="_Toc27348"/>
      <w:r>
        <w:rPr>
          <w:rFonts w:hint="eastAsia" w:asciiTheme="minorEastAsia" w:hAnsiTheme="minorEastAsia" w:eastAsiaTheme="minorEastAsia" w:cstheme="minorEastAsia"/>
          <w:b w:val="0"/>
          <w:bCs/>
          <w:color w:val="000000" w:themeColor="text1"/>
          <w:sz w:val="24"/>
          <w14:textFill>
            <w14:solidFill>
              <w14:schemeClr w14:val="tx1"/>
            </w14:solidFill>
          </w14:textFill>
        </w:rPr>
        <w:t>3.3技术方案</w:t>
      </w:r>
      <w:bookmarkEnd w:id="143"/>
      <w:r>
        <w:rPr>
          <w:rFonts w:hint="eastAsia" w:asciiTheme="minorEastAsia" w:hAnsiTheme="minorEastAsia" w:eastAsiaTheme="minorEastAsia" w:cstheme="minorEastAsia"/>
          <w:b w:val="0"/>
          <w:bCs/>
          <w:color w:val="000000" w:themeColor="text1"/>
          <w:sz w:val="24"/>
          <w14:textFill>
            <w14:solidFill>
              <w14:schemeClr w14:val="tx1"/>
            </w14:solidFill>
          </w14:textFill>
        </w:rPr>
        <w:t>（格式自拟）；</w:t>
      </w:r>
    </w:p>
    <w:p>
      <w:pPr>
        <w:pStyle w:val="130"/>
        <w:outlineLvl w:val="1"/>
        <w:rPr>
          <w:rFonts w:asciiTheme="minorEastAsia" w:hAnsiTheme="minorEastAsia" w:eastAsiaTheme="minorEastAsia" w:cstheme="minorEastAsia"/>
          <w:b w:val="0"/>
          <w:bCs/>
          <w:color w:val="000000" w:themeColor="text1"/>
          <w:sz w:val="24"/>
          <w14:textFill>
            <w14:solidFill>
              <w14:schemeClr w14:val="tx1"/>
            </w14:solidFill>
          </w14:textFill>
        </w:rPr>
      </w:pPr>
      <w:bookmarkStart w:id="144" w:name="_Toc29345"/>
      <w:r>
        <w:rPr>
          <w:rFonts w:hint="eastAsia" w:asciiTheme="minorEastAsia" w:hAnsiTheme="minorEastAsia" w:eastAsiaTheme="minorEastAsia" w:cstheme="minorEastAsia"/>
          <w:b w:val="0"/>
          <w:bCs/>
          <w:color w:val="000000" w:themeColor="text1"/>
          <w:sz w:val="24"/>
          <w14:textFill>
            <w14:solidFill>
              <w14:schemeClr w14:val="tx1"/>
            </w14:solidFill>
          </w14:textFill>
        </w:rPr>
        <w:t>3.3</w:t>
      </w:r>
      <w:bookmarkEnd w:id="144"/>
      <w:r>
        <w:rPr>
          <w:rFonts w:hint="eastAsia" w:asciiTheme="minorEastAsia" w:hAnsiTheme="minorEastAsia" w:eastAsiaTheme="minorEastAsia" w:cstheme="minorEastAsia"/>
          <w:b w:val="0"/>
          <w:bCs/>
          <w:color w:val="000000" w:themeColor="text1"/>
          <w:sz w:val="24"/>
          <w14:textFill>
            <w14:solidFill>
              <w14:schemeClr w14:val="tx1"/>
            </w14:solidFill>
          </w14:textFill>
        </w:rPr>
        <w:t>培训方案（格式自拟）；</w:t>
      </w:r>
    </w:p>
    <w:p>
      <w:pPr>
        <w:pStyle w:val="130"/>
        <w:outlineLvl w:val="1"/>
        <w:rPr>
          <w:rFonts w:asciiTheme="minorEastAsia" w:hAnsiTheme="minorEastAsia" w:eastAsiaTheme="minorEastAsia" w:cstheme="minorEastAsia"/>
          <w:b w:val="0"/>
          <w:bCs/>
          <w:color w:val="000000" w:themeColor="text1"/>
          <w:sz w:val="24"/>
          <w14:textFill>
            <w14:solidFill>
              <w14:schemeClr w14:val="tx1"/>
            </w14:solidFill>
          </w14:textFill>
        </w:rPr>
      </w:pPr>
      <w:bookmarkStart w:id="145" w:name="_Toc30313"/>
      <w:r>
        <w:rPr>
          <w:rFonts w:hint="eastAsia" w:asciiTheme="minorEastAsia" w:hAnsiTheme="minorEastAsia" w:eastAsiaTheme="minorEastAsia" w:cstheme="minorEastAsia"/>
          <w:b w:val="0"/>
          <w:bCs/>
          <w:color w:val="000000" w:themeColor="text1"/>
          <w:sz w:val="24"/>
          <w14:textFill>
            <w14:solidFill>
              <w14:schemeClr w14:val="tx1"/>
            </w14:solidFill>
          </w14:textFill>
        </w:rPr>
        <w:t>四、服务文件</w:t>
      </w:r>
      <w:bookmarkEnd w:id="145"/>
    </w:p>
    <w:p>
      <w:pPr>
        <w:pStyle w:val="130"/>
        <w:outlineLvl w:val="1"/>
        <w:rPr>
          <w:rFonts w:asciiTheme="minorEastAsia" w:hAnsiTheme="minorEastAsia" w:eastAsiaTheme="minorEastAsia" w:cstheme="minorEastAsia"/>
          <w:b w:val="0"/>
          <w:bCs/>
          <w:color w:val="000000" w:themeColor="text1"/>
          <w:sz w:val="24"/>
          <w14:textFill>
            <w14:solidFill>
              <w14:schemeClr w14:val="tx1"/>
            </w14:solidFill>
          </w14:textFill>
        </w:rPr>
      </w:pPr>
      <w:bookmarkStart w:id="146" w:name="_Toc24887"/>
      <w:r>
        <w:rPr>
          <w:rFonts w:hint="eastAsia" w:asciiTheme="minorEastAsia" w:hAnsiTheme="minorEastAsia" w:eastAsiaTheme="minorEastAsia" w:cstheme="minorEastAsia"/>
          <w:b w:val="0"/>
          <w:bCs/>
          <w:color w:val="000000" w:themeColor="text1"/>
          <w:sz w:val="24"/>
          <w14:textFill>
            <w14:solidFill>
              <w14:schemeClr w14:val="tx1"/>
            </w14:solidFill>
          </w14:textFill>
        </w:rPr>
        <w:t>4.1货物售后服务</w:t>
      </w:r>
      <w:bookmarkEnd w:id="146"/>
      <w:r>
        <w:rPr>
          <w:rFonts w:hint="eastAsia" w:asciiTheme="minorEastAsia" w:hAnsiTheme="minorEastAsia" w:eastAsiaTheme="minorEastAsia" w:cstheme="minorEastAsia"/>
          <w:b w:val="0"/>
          <w:bCs/>
          <w:color w:val="000000" w:themeColor="text1"/>
          <w:sz w:val="24"/>
          <w14:textFill>
            <w14:solidFill>
              <w14:schemeClr w14:val="tx1"/>
            </w14:solidFill>
          </w14:textFill>
        </w:rPr>
        <w:t>；</w:t>
      </w:r>
    </w:p>
    <w:p>
      <w:pPr>
        <w:pStyle w:val="130"/>
        <w:outlineLvl w:val="1"/>
        <w:rPr>
          <w:rFonts w:asciiTheme="minorEastAsia" w:hAnsiTheme="minorEastAsia" w:eastAsiaTheme="minorEastAsia" w:cstheme="minorEastAsia"/>
          <w:b w:val="0"/>
          <w:bCs/>
          <w:color w:val="000000" w:themeColor="text1"/>
          <w:sz w:val="24"/>
          <w14:textFill>
            <w14:solidFill>
              <w14:schemeClr w14:val="tx1"/>
            </w14:solidFill>
          </w14:textFill>
        </w:rPr>
      </w:pPr>
      <w:bookmarkStart w:id="147" w:name="_Toc10061"/>
      <w:r>
        <w:rPr>
          <w:rFonts w:hint="eastAsia" w:asciiTheme="minorEastAsia" w:hAnsiTheme="minorEastAsia" w:eastAsiaTheme="minorEastAsia" w:cstheme="minorEastAsia"/>
          <w:b w:val="0"/>
          <w:bCs/>
          <w:color w:val="000000" w:themeColor="text1"/>
          <w:sz w:val="24"/>
          <w14:textFill>
            <w14:solidFill>
              <w14:schemeClr w14:val="tx1"/>
            </w14:solidFill>
          </w14:textFill>
        </w:rPr>
        <w:t>4.2售后服务网点明细表（包括联系人、详细地址、电话、传真）及本地化服务情况一览表</w:t>
      </w:r>
      <w:bookmarkEnd w:id="147"/>
    </w:p>
    <w:p>
      <w:pPr>
        <w:rPr>
          <w:rFonts w:asciiTheme="minorEastAsia" w:hAnsiTheme="minorEastAsia" w:eastAsiaTheme="minorEastAsia" w:cstheme="minorEastAsia"/>
          <w:bCs/>
          <w:color w:val="000000" w:themeColor="text1"/>
          <w14:textFill>
            <w14:solidFill>
              <w14:schemeClr w14:val="tx1"/>
            </w14:solidFill>
          </w14:textFill>
        </w:rPr>
      </w:pPr>
    </w:p>
    <w:p>
      <w:pPr>
        <w:rPr>
          <w:rFonts w:asciiTheme="minorEastAsia" w:hAnsiTheme="minorEastAsia" w:eastAsiaTheme="minorEastAsia" w:cstheme="minorEastAsia"/>
          <w:color w:val="000000" w:themeColor="text1"/>
          <w14:textFill>
            <w14:solidFill>
              <w14:schemeClr w14:val="tx1"/>
            </w14:solidFill>
          </w14:textFill>
        </w:rPr>
      </w:pPr>
    </w:p>
    <w:p>
      <w:pPr>
        <w:rPr>
          <w:rFonts w:asciiTheme="minorEastAsia" w:hAnsiTheme="minorEastAsia" w:eastAsiaTheme="minorEastAsia" w:cstheme="minorEastAsia"/>
          <w:color w:val="000000" w:themeColor="text1"/>
          <w14:textFill>
            <w14:solidFill>
              <w14:schemeClr w14:val="tx1"/>
            </w14:solidFill>
          </w14:textFill>
        </w:rPr>
      </w:pPr>
    </w:p>
    <w:p>
      <w:pPr>
        <w:rPr>
          <w:rFonts w:asciiTheme="minorEastAsia" w:hAnsiTheme="minorEastAsia" w:eastAsiaTheme="minorEastAsia" w:cstheme="minorEastAsia"/>
          <w:color w:val="000000" w:themeColor="text1"/>
          <w14:textFill>
            <w14:solidFill>
              <w14:schemeClr w14:val="tx1"/>
            </w14:solidFill>
          </w14:textFill>
        </w:rPr>
      </w:pPr>
    </w:p>
    <w:p>
      <w:pPr>
        <w:rPr>
          <w:rFonts w:asciiTheme="minorEastAsia" w:hAnsiTheme="minorEastAsia" w:eastAsiaTheme="minorEastAsia" w:cstheme="minorEastAsia"/>
          <w:color w:val="000000" w:themeColor="text1"/>
          <w14:textFill>
            <w14:solidFill>
              <w14:schemeClr w14:val="tx1"/>
            </w14:solidFill>
          </w14:textFill>
        </w:rPr>
      </w:pPr>
    </w:p>
    <w:p>
      <w:pPr>
        <w:rPr>
          <w:rFonts w:asciiTheme="minorEastAsia" w:hAnsiTheme="minorEastAsia" w:eastAsiaTheme="minorEastAsia" w:cstheme="minorEastAsia"/>
          <w:color w:val="000000" w:themeColor="text1"/>
          <w14:textFill>
            <w14:solidFill>
              <w14:schemeClr w14:val="tx1"/>
            </w14:solidFill>
          </w14:textFill>
        </w:rPr>
      </w:pPr>
    </w:p>
    <w:p>
      <w:pPr>
        <w:rPr>
          <w:rFonts w:asciiTheme="minorEastAsia" w:hAnsiTheme="minorEastAsia" w:eastAsiaTheme="minorEastAsia" w:cstheme="minorEastAsia"/>
          <w:color w:val="000000" w:themeColor="text1"/>
          <w14:textFill>
            <w14:solidFill>
              <w14:schemeClr w14:val="tx1"/>
            </w14:solidFill>
          </w14:textFill>
        </w:rPr>
      </w:pPr>
    </w:p>
    <w:p>
      <w:pPr>
        <w:rPr>
          <w:rFonts w:asciiTheme="minorEastAsia" w:hAnsiTheme="minorEastAsia" w:eastAsiaTheme="minorEastAsia" w:cstheme="minorEastAsia"/>
          <w:color w:val="000000" w:themeColor="text1"/>
          <w14:textFill>
            <w14:solidFill>
              <w14:schemeClr w14:val="tx1"/>
            </w14:solidFill>
          </w14:textFill>
        </w:rPr>
      </w:pPr>
    </w:p>
    <w:p>
      <w:pPr>
        <w:rPr>
          <w:rFonts w:asciiTheme="minorEastAsia" w:hAnsiTheme="minorEastAsia" w:eastAsiaTheme="minorEastAsia" w:cstheme="minorEastAsia"/>
          <w:color w:val="000000" w:themeColor="text1"/>
          <w14:textFill>
            <w14:solidFill>
              <w14:schemeClr w14:val="tx1"/>
            </w14:solidFill>
          </w14:textFill>
        </w:rPr>
      </w:pPr>
    </w:p>
    <w:p>
      <w:pPr>
        <w:rPr>
          <w:rFonts w:asciiTheme="minorEastAsia" w:hAnsiTheme="minorEastAsia" w:eastAsiaTheme="minorEastAsia" w:cstheme="minorEastAsia"/>
          <w:color w:val="000000" w:themeColor="text1"/>
          <w14:textFill>
            <w14:solidFill>
              <w14:schemeClr w14:val="tx1"/>
            </w14:solidFill>
          </w14:textFill>
        </w:rPr>
      </w:pPr>
    </w:p>
    <w:p>
      <w:pPr>
        <w:rPr>
          <w:rFonts w:asciiTheme="minorEastAsia" w:hAnsiTheme="minorEastAsia" w:eastAsiaTheme="minorEastAsia" w:cstheme="minorEastAsia"/>
          <w:color w:val="000000" w:themeColor="text1"/>
          <w14:textFill>
            <w14:solidFill>
              <w14:schemeClr w14:val="tx1"/>
            </w14:solidFill>
          </w14:textFill>
        </w:rPr>
      </w:pPr>
    </w:p>
    <w:p>
      <w:pPr>
        <w:rPr>
          <w:rFonts w:asciiTheme="minorEastAsia" w:hAnsiTheme="minorEastAsia" w:eastAsiaTheme="minorEastAsia" w:cstheme="minorEastAsia"/>
          <w:color w:val="000000" w:themeColor="text1"/>
          <w14:textFill>
            <w14:solidFill>
              <w14:schemeClr w14:val="tx1"/>
            </w14:solidFill>
          </w14:textFill>
        </w:rPr>
      </w:pPr>
    </w:p>
    <w:p>
      <w:pPr>
        <w:rPr>
          <w:rFonts w:asciiTheme="minorEastAsia" w:hAnsiTheme="minorEastAsia" w:eastAsiaTheme="minorEastAsia" w:cstheme="minorEastAsia"/>
          <w:color w:val="000000" w:themeColor="text1"/>
          <w14:textFill>
            <w14:solidFill>
              <w14:schemeClr w14:val="tx1"/>
            </w14:solidFill>
          </w14:textFill>
        </w:rPr>
      </w:pPr>
    </w:p>
    <w:p>
      <w:pPr>
        <w:rPr>
          <w:rFonts w:asciiTheme="minorEastAsia" w:hAnsiTheme="minorEastAsia" w:eastAsiaTheme="minorEastAsia" w:cstheme="minorEastAsia"/>
          <w:color w:val="000000" w:themeColor="text1"/>
          <w14:textFill>
            <w14:solidFill>
              <w14:schemeClr w14:val="tx1"/>
            </w14:solidFill>
          </w14:textFill>
        </w:rPr>
      </w:pPr>
    </w:p>
    <w:p>
      <w:pPr>
        <w:rPr>
          <w:rFonts w:asciiTheme="minorEastAsia" w:hAnsiTheme="minorEastAsia" w:eastAsiaTheme="minorEastAsia" w:cstheme="minorEastAsia"/>
          <w:color w:val="000000" w:themeColor="text1"/>
          <w14:textFill>
            <w14:solidFill>
              <w14:schemeClr w14:val="tx1"/>
            </w14:solidFill>
          </w14:textFill>
        </w:rPr>
      </w:pPr>
    </w:p>
    <w:p>
      <w:pPr>
        <w:rPr>
          <w:rFonts w:asciiTheme="minorEastAsia" w:hAnsiTheme="minorEastAsia" w:eastAsiaTheme="minorEastAsia" w:cstheme="minorEastAsia"/>
          <w:color w:val="000000" w:themeColor="text1"/>
          <w14:textFill>
            <w14:solidFill>
              <w14:schemeClr w14:val="tx1"/>
            </w14:solidFill>
          </w14:textFill>
        </w:rPr>
      </w:pPr>
    </w:p>
    <w:p>
      <w:pPr>
        <w:rPr>
          <w:rFonts w:asciiTheme="minorEastAsia" w:hAnsiTheme="minorEastAsia" w:eastAsiaTheme="minorEastAsia" w:cstheme="minorEastAsia"/>
          <w:color w:val="000000" w:themeColor="text1"/>
          <w14:textFill>
            <w14:solidFill>
              <w14:schemeClr w14:val="tx1"/>
            </w14:solidFill>
          </w14:textFill>
        </w:rPr>
      </w:pPr>
    </w:p>
    <w:p>
      <w:pPr>
        <w:pStyle w:val="130"/>
        <w:outlineLvl w:val="1"/>
        <w:rPr>
          <w:rFonts w:asciiTheme="minorEastAsia" w:hAnsiTheme="minorEastAsia" w:eastAsiaTheme="minorEastAsia" w:cstheme="minorEastAsia"/>
          <w:color w:val="000000" w:themeColor="text1"/>
          <w14:textFill>
            <w14:solidFill>
              <w14:schemeClr w14:val="tx1"/>
            </w14:solidFill>
          </w14:textFill>
        </w:rPr>
      </w:pPr>
      <w:bookmarkStart w:id="148" w:name="_Toc18107"/>
    </w:p>
    <w:p>
      <w:pPr>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br w:type="page"/>
      </w:r>
    </w:p>
    <w:p>
      <w:pPr>
        <w:pStyle w:val="130"/>
        <w:widowControl w:val="0"/>
        <w:outlineLvl w:val="1"/>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一、资格审查材料</w:t>
      </w:r>
      <w:bookmarkEnd w:id="148"/>
    </w:p>
    <w:p>
      <w:pPr>
        <w:pStyle w:val="120"/>
        <w:widowControl w:val="0"/>
        <w:outlineLvl w:val="2"/>
        <w:rPr>
          <w:rFonts w:asciiTheme="minorEastAsia" w:hAnsiTheme="minorEastAsia" w:eastAsiaTheme="minorEastAsia" w:cstheme="minorEastAsia"/>
          <w:color w:val="000000" w:themeColor="text1"/>
          <w:sz w:val="24"/>
          <w14:textFill>
            <w14:solidFill>
              <w14:schemeClr w14:val="tx1"/>
            </w14:solidFill>
          </w14:textFill>
        </w:rPr>
      </w:pPr>
      <w:bookmarkStart w:id="149" w:name="_Toc17358"/>
      <w:r>
        <w:rPr>
          <w:rFonts w:hint="eastAsia" w:asciiTheme="minorEastAsia" w:hAnsiTheme="minorEastAsia" w:eastAsiaTheme="minorEastAsia" w:cstheme="minorEastAsia"/>
          <w:color w:val="000000" w:themeColor="text1"/>
          <w:sz w:val="24"/>
          <w14:textFill>
            <w14:solidFill>
              <w14:schemeClr w14:val="tx1"/>
            </w14:solidFill>
          </w14:textFill>
        </w:rPr>
        <w:t>1.1</w:t>
      </w:r>
      <w:bookmarkStart w:id="150" w:name="_Toc15736"/>
      <w:r>
        <w:rPr>
          <w:rFonts w:hint="eastAsia" w:asciiTheme="minorEastAsia" w:hAnsiTheme="minorEastAsia" w:eastAsiaTheme="minorEastAsia" w:cstheme="minorEastAsia"/>
          <w:color w:val="000000" w:themeColor="text1"/>
          <w:sz w:val="24"/>
          <w14:textFill>
            <w14:solidFill>
              <w14:schemeClr w14:val="tx1"/>
            </w14:solidFill>
          </w14:textFill>
        </w:rPr>
        <w:t>中华人民共和国政府采购法第二十二条规定</w:t>
      </w:r>
      <w:bookmarkEnd w:id="149"/>
      <w:bookmarkEnd w:id="150"/>
    </w:p>
    <w:p>
      <w:pPr>
        <w:pStyle w:val="154"/>
        <w:spacing w:line="360" w:lineRule="auto"/>
        <w:rPr>
          <w:rFonts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①具有独立承担民事责任的能力；</w:t>
      </w:r>
    </w:p>
    <w:p>
      <w:pPr>
        <w:pStyle w:val="154"/>
        <w:spacing w:line="360" w:lineRule="auto"/>
        <w:rPr>
          <w:rFonts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②具有良好的商业信誉和健全的财务会计制度；</w:t>
      </w:r>
    </w:p>
    <w:p>
      <w:pPr>
        <w:pStyle w:val="154"/>
        <w:spacing w:line="360" w:lineRule="auto"/>
        <w:rPr>
          <w:rFonts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③具有履行合同所必需的设备和专业技术能力；</w:t>
      </w:r>
    </w:p>
    <w:p>
      <w:pPr>
        <w:pStyle w:val="154"/>
        <w:spacing w:line="360" w:lineRule="auto"/>
        <w:rPr>
          <w:rFonts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④有依法缴纳税收和社会保障资金的良好记录；</w:t>
      </w:r>
    </w:p>
    <w:p>
      <w:pPr>
        <w:pStyle w:val="154"/>
        <w:spacing w:line="360" w:lineRule="auto"/>
        <w:rPr>
          <w:rFonts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⑤参加政府采购活动前三年内，在经营活动中没有重大违法记录；</w:t>
      </w:r>
    </w:p>
    <w:p>
      <w:pPr>
        <w:pStyle w:val="154"/>
        <w:spacing w:line="360" w:lineRule="auto"/>
        <w:rPr>
          <w:rFonts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⑥</w:t>
      </w:r>
      <w:r>
        <w:rPr>
          <w:rFonts w:hint="eastAsia" w:asciiTheme="minorEastAsia" w:hAnsiTheme="minorEastAsia" w:eastAsiaTheme="minorEastAsia" w:cstheme="minorEastAsia"/>
          <w:color w:val="000000" w:themeColor="text1"/>
          <w:sz w:val="24"/>
          <w:szCs w:val="24"/>
          <w14:textFill>
            <w14:solidFill>
              <w14:schemeClr w14:val="tx1"/>
            </w14:solidFill>
          </w14:textFill>
        </w:rPr>
        <w:t>法律、行政法规规定的其他条件;</w:t>
      </w:r>
    </w:p>
    <w:p>
      <w:pPr>
        <w:pStyle w:val="156"/>
        <w:rPr>
          <w:rFonts w:asciiTheme="minorEastAsia" w:hAnsiTheme="minorEastAsia" w:eastAsiaTheme="minorEastAsia" w:cstheme="minorEastAsia"/>
          <w:color w:val="000000" w:themeColor="text1"/>
          <w:sz w:val="24"/>
          <w:szCs w:val="24"/>
          <w14:textFill>
            <w14:solidFill>
              <w14:schemeClr w14:val="tx1"/>
            </w14:solidFill>
          </w14:textFill>
        </w:rPr>
      </w:pPr>
      <w:bookmarkStart w:id="151" w:name="_Toc256000026"/>
      <w:r>
        <w:rPr>
          <w:rFonts w:hint="eastAsia" w:asciiTheme="minorEastAsia" w:hAnsiTheme="minorEastAsia" w:eastAsiaTheme="minorEastAsia" w:cstheme="minorEastAsia"/>
          <w:color w:val="000000" w:themeColor="text1"/>
          <w:sz w:val="24"/>
          <w:szCs w:val="24"/>
          <w14:textFill>
            <w14:solidFill>
              <w14:schemeClr w14:val="tx1"/>
            </w14:solidFill>
          </w14:textFill>
        </w:rPr>
        <w:t>须提供以下资料：</w:t>
      </w:r>
      <w:bookmarkEnd w:id="151"/>
    </w:p>
    <w:p>
      <w:pPr>
        <w:pStyle w:val="157"/>
        <w:spacing w:line="440" w:lineRule="exact"/>
        <w:rPr>
          <w:rFonts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1、具有独立承担民事责任的能力；须提供相关证明材料，其中：</w:t>
      </w:r>
    </w:p>
    <w:p>
      <w:pPr>
        <w:pStyle w:val="158"/>
        <w:spacing w:line="440" w:lineRule="exact"/>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投标人是企业（包括合伙企业）的，</w:t>
      </w:r>
      <w:r>
        <w:rPr>
          <w:rFonts w:hint="eastAsia" w:asciiTheme="minorEastAsia" w:hAnsiTheme="minorEastAsia" w:eastAsiaTheme="minorEastAsia" w:cstheme="minorEastAsia"/>
          <w:color w:val="000000" w:themeColor="text1"/>
          <w:sz w:val="24"/>
          <w:szCs w:val="24"/>
          <w14:textFill>
            <w14:solidFill>
              <w14:schemeClr w14:val="tx1"/>
            </w14:solidFill>
          </w14:textFill>
        </w:rPr>
        <w:t>须提供其在工商部门注册的有效“营业执照”的复印件（如 “三证合一”须提供工商行政管理部门核发加载统一社会信用代码的营业执照；如未“三证合一”则须提供投标人的营业执照、税务登记证书及组织机构代码证）；</w:t>
      </w:r>
    </w:p>
    <w:p>
      <w:pPr>
        <w:pStyle w:val="158"/>
        <w:spacing w:line="440" w:lineRule="exact"/>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投标人是事业单位的</w:t>
      </w:r>
      <w:r>
        <w:rPr>
          <w:rFonts w:hint="eastAsia" w:asciiTheme="minorEastAsia" w:hAnsiTheme="minorEastAsia" w:eastAsiaTheme="minorEastAsia" w:cstheme="minorEastAsia"/>
          <w:color w:val="000000" w:themeColor="text1"/>
          <w:sz w:val="24"/>
          <w:szCs w:val="24"/>
          <w14:textFill>
            <w14:solidFill>
              <w14:schemeClr w14:val="tx1"/>
            </w14:solidFill>
          </w14:textFill>
        </w:rPr>
        <w:t>，须提供其有效的“事业单位法人证书”复印件；</w:t>
      </w:r>
    </w:p>
    <w:p>
      <w:pPr>
        <w:pStyle w:val="158"/>
        <w:spacing w:line="440" w:lineRule="exact"/>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投标人是非企业专业服务机构的，</w:t>
      </w:r>
      <w:r>
        <w:rPr>
          <w:rFonts w:hint="eastAsia" w:asciiTheme="minorEastAsia" w:hAnsiTheme="minorEastAsia" w:eastAsiaTheme="minorEastAsia" w:cstheme="minorEastAsia"/>
          <w:color w:val="000000" w:themeColor="text1"/>
          <w:sz w:val="24"/>
          <w:szCs w:val="24"/>
          <w14:textFill>
            <w14:solidFill>
              <w14:schemeClr w14:val="tx1"/>
            </w14:solidFill>
          </w14:textFill>
        </w:rPr>
        <w:t>须提供其有效的执业许可证复印件；</w:t>
      </w:r>
    </w:p>
    <w:p>
      <w:pPr>
        <w:pStyle w:val="158"/>
        <w:spacing w:line="440" w:lineRule="exact"/>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投标人是个体工商户的，</w:t>
      </w:r>
      <w:r>
        <w:rPr>
          <w:rFonts w:hint="eastAsia" w:asciiTheme="minorEastAsia" w:hAnsiTheme="minorEastAsia" w:eastAsiaTheme="minorEastAsia" w:cstheme="minorEastAsia"/>
          <w:color w:val="000000" w:themeColor="text1"/>
          <w:sz w:val="24"/>
          <w:szCs w:val="24"/>
          <w14:textFill>
            <w14:solidFill>
              <w14:schemeClr w14:val="tx1"/>
            </w14:solidFill>
          </w14:textFill>
        </w:rPr>
        <w:t>须提供其有效的“个体工商户营业执照” 复印件；</w:t>
      </w:r>
    </w:p>
    <w:p>
      <w:pPr>
        <w:pStyle w:val="158"/>
        <w:spacing w:line="440" w:lineRule="exact"/>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以上复印件须加盖投标人公章。</w:t>
      </w:r>
    </w:p>
    <w:p>
      <w:pPr>
        <w:pStyle w:val="157"/>
        <w:spacing w:line="440" w:lineRule="exact"/>
        <w:rPr>
          <w:rFonts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2、具有良好的商业信誉和健全的财务会计制度；须提供相关证明材料，其中：</w:t>
      </w:r>
    </w:p>
    <w:p>
      <w:pPr>
        <w:pStyle w:val="158"/>
        <w:spacing w:line="440" w:lineRule="exact"/>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投标人是法人的，</w:t>
      </w:r>
      <w:r>
        <w:rPr>
          <w:rFonts w:hint="eastAsia" w:asciiTheme="minorEastAsia" w:hAnsiTheme="minorEastAsia" w:eastAsiaTheme="minorEastAsia" w:cstheme="minorEastAsia"/>
          <w:color w:val="000000" w:themeColor="text1"/>
          <w:sz w:val="24"/>
          <w:szCs w:val="24"/>
          <w14:textFill>
            <w14:solidFill>
              <w14:schemeClr w14:val="tx1"/>
            </w14:solidFill>
          </w14:textFill>
        </w:rPr>
        <w:t>须提供近两年度（任意一年）经审计的财务审计报告复印件（报告中须包括资产负债表、利润表、现金流量表等），或其基本银行在开标日期前三个月内开具的资信证明（原件或该原件的复印件；复印件须加盖投标人公章；银行存款证明无效）；</w:t>
      </w:r>
    </w:p>
    <w:p>
      <w:pPr>
        <w:pStyle w:val="158"/>
        <w:spacing w:line="440" w:lineRule="exact"/>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投标人是其他组织或自然人的，</w:t>
      </w:r>
      <w:r>
        <w:rPr>
          <w:rFonts w:hint="eastAsia" w:asciiTheme="minorEastAsia" w:hAnsiTheme="minorEastAsia" w:eastAsiaTheme="minorEastAsia" w:cstheme="minorEastAsia"/>
          <w:color w:val="000000" w:themeColor="text1"/>
          <w:sz w:val="24"/>
          <w:szCs w:val="24"/>
          <w14:textFill>
            <w14:solidFill>
              <w14:schemeClr w14:val="tx1"/>
            </w14:solidFill>
          </w14:textFill>
        </w:rPr>
        <w:t>须提供银行出具的资信证明原件；</w:t>
      </w:r>
    </w:p>
    <w:p>
      <w:pPr>
        <w:pStyle w:val="157"/>
        <w:spacing w:line="440" w:lineRule="exact"/>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银行资信证明无收受人和项目的限制，银行资信证明可以是复印件，评标委员会保留审核原件的权利。资信证明的开具银行明确规定复印无效的，须提交原件；</w:t>
      </w:r>
    </w:p>
    <w:p>
      <w:pPr>
        <w:pStyle w:val="158"/>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3、具有履行合同所必需的设备和专业技术能力；须附相关证明材料或书面声明</w:t>
      </w:r>
    </w:p>
    <w:p>
      <w:pPr>
        <w:pStyle w:val="156"/>
        <w:rPr>
          <w:rFonts w:asciiTheme="minorEastAsia" w:hAnsiTheme="minorEastAsia" w:eastAsiaTheme="minorEastAsia" w:cstheme="minorEastAsia"/>
          <w:b w:val="0"/>
          <w:bCs w:val="0"/>
          <w:color w:val="000000" w:themeColor="text1"/>
          <w:sz w:val="24"/>
          <w:szCs w:val="24"/>
          <w14:textFill>
            <w14:solidFill>
              <w14:schemeClr w14:val="tx1"/>
            </w14:solidFill>
          </w14:textFill>
        </w:rPr>
      </w:pPr>
      <w:bookmarkStart w:id="152" w:name="_Toc256000029"/>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书面声明格式：</w:t>
      </w:r>
      <w:bookmarkEnd w:id="152"/>
    </w:p>
    <w:p>
      <w:pPr>
        <w:pStyle w:val="159"/>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 </w:t>
      </w:r>
    </w:p>
    <w:p>
      <w:pPr>
        <w:pStyle w:val="156"/>
        <w:rPr>
          <w:rFonts w:asciiTheme="minorEastAsia" w:hAnsiTheme="minorEastAsia" w:eastAsiaTheme="minorEastAsia" w:cstheme="minorEastAsia"/>
          <w:b w:val="0"/>
          <w:bCs w:val="0"/>
          <w:color w:val="000000" w:themeColor="text1"/>
          <w:sz w:val="24"/>
          <w:szCs w:val="24"/>
          <w14:textFill>
            <w14:solidFill>
              <w14:schemeClr w14:val="tx1"/>
            </w14:solidFill>
          </w14:textFill>
        </w:rPr>
      </w:pPr>
      <w:bookmarkStart w:id="153" w:name="_Toc256000031"/>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本投标人郑重声明：</w:t>
      </w:r>
      <w:bookmarkEnd w:id="153"/>
    </w:p>
    <w:p>
      <w:pPr>
        <w:pStyle w:val="156"/>
        <w:ind w:firstLine="480" w:firstLineChars="200"/>
        <w:rPr>
          <w:rFonts w:asciiTheme="minorEastAsia" w:hAnsiTheme="minorEastAsia" w:eastAsiaTheme="minorEastAsia" w:cstheme="minorEastAsia"/>
          <w:b w:val="0"/>
          <w:bCs w:val="0"/>
          <w:color w:val="000000" w:themeColor="text1"/>
          <w:sz w:val="24"/>
          <w:szCs w:val="24"/>
          <w14:textFill>
            <w14:solidFill>
              <w14:schemeClr w14:val="tx1"/>
            </w14:solidFill>
          </w14:textFill>
        </w:rPr>
      </w:pPr>
      <w:bookmarkStart w:id="154" w:name="_Toc256000032"/>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本公司（或单位）具备本项目履行合同所必需的设备和专业技术能力，特此声明。</w:t>
      </w:r>
      <w:bookmarkEnd w:id="154"/>
    </w:p>
    <w:p>
      <w:pPr>
        <w:pStyle w:val="157"/>
        <w:adjustRightInd w:val="0"/>
        <w:snapToGrid w:val="0"/>
        <w:spacing w:line="440" w:lineRule="exact"/>
        <w:rPr>
          <w:rFonts w:asciiTheme="minorEastAsia" w:hAnsiTheme="minorEastAsia" w:eastAsiaTheme="minorEastAsia" w:cstheme="minorEastAsia"/>
          <w:color w:val="000000" w:themeColor="text1"/>
          <w:sz w:val="24"/>
          <w:szCs w:val="24"/>
          <w:u w:val="single"/>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投标人法定代表人（或法定代表人授权代表）签字：</w:t>
      </w:r>
    </w:p>
    <w:p>
      <w:pPr>
        <w:pStyle w:val="157"/>
        <w:adjustRightInd w:val="0"/>
        <w:snapToGrid w:val="0"/>
        <w:spacing w:line="440" w:lineRule="exact"/>
        <w:rPr>
          <w:rFonts w:asciiTheme="minorEastAsia" w:hAnsiTheme="minorEastAsia" w:eastAsiaTheme="minorEastAsia" w:cstheme="minorEastAsia"/>
          <w:color w:val="000000" w:themeColor="text1"/>
          <w:sz w:val="24"/>
          <w:szCs w:val="24"/>
          <w:u w:val="single"/>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投标人名称（加盖公章）：</w:t>
      </w:r>
    </w:p>
    <w:p>
      <w:pPr>
        <w:pStyle w:val="158"/>
        <w:spacing w:line="440" w:lineRule="exact"/>
        <w:jc w:val="both"/>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日期：   年   月   日</w:t>
      </w:r>
    </w:p>
    <w:p>
      <w:pPr>
        <w:pStyle w:val="158"/>
        <w:spacing w:line="440" w:lineRule="exact"/>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4、有依法缴纳税收和社会保障资金的良好记录；须提供</w:t>
      </w:r>
      <w:r>
        <w:rPr>
          <w:rStyle w:val="150"/>
          <w:rFonts w:hint="eastAsia" w:ascii="宋体" w:hAnsi="宋体" w:cs="宋体"/>
          <w:bCs/>
          <w:color w:val="000000"/>
          <w:sz w:val="24"/>
          <w:szCs w:val="24"/>
        </w:rPr>
        <w:t>犯错【 六个月内为员工缴纳社会保障资金的证明材料（专用收据或社会保险缴纳清单）复印件加盖公章（任意一个月即可），依法不需要缴纳社会保障资金的应提供相应文件说明</w:t>
      </w: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 </w:t>
      </w:r>
    </w:p>
    <w:p>
      <w:pPr>
        <w:pStyle w:val="156"/>
        <w:rPr>
          <w:rFonts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 xml:space="preserve"> </w:t>
      </w:r>
    </w:p>
    <w:p>
      <w:pPr>
        <w:pStyle w:val="156"/>
        <w:rPr>
          <w:rFonts w:asciiTheme="minorEastAsia" w:hAnsiTheme="minorEastAsia" w:eastAsiaTheme="minorEastAsia" w:cstheme="minorEastAsia"/>
          <w:color w:val="000000" w:themeColor="text1"/>
          <w:sz w:val="24"/>
          <w:szCs w:val="24"/>
          <w14:textFill>
            <w14:solidFill>
              <w14:schemeClr w14:val="tx1"/>
            </w14:solidFill>
          </w14:textFill>
        </w:rPr>
      </w:pPr>
      <w:bookmarkStart w:id="155" w:name="_Toc256000036"/>
      <w:r>
        <w:rPr>
          <w:rFonts w:hint="eastAsia" w:asciiTheme="minorEastAsia" w:hAnsiTheme="minorEastAsia" w:eastAsiaTheme="minorEastAsia" w:cstheme="minorEastAsia"/>
          <w:color w:val="000000" w:themeColor="text1"/>
          <w:sz w:val="24"/>
          <w:szCs w:val="24"/>
          <w14:textFill>
            <w14:solidFill>
              <w14:schemeClr w14:val="tx1"/>
            </w14:solidFill>
          </w14:textFill>
        </w:rPr>
        <w:t>5、参加政府采购活动前三年内，在经营活动中没有重大违法记录；须提供书面声明</w:t>
      </w:r>
      <w:bookmarkEnd w:id="155"/>
    </w:p>
    <w:p>
      <w:pPr>
        <w:pStyle w:val="156"/>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 </w:t>
      </w:r>
    </w:p>
    <w:p>
      <w:pPr>
        <w:pStyle w:val="157"/>
        <w:spacing w:line="360" w:lineRule="auto"/>
        <w:rPr>
          <w:rFonts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 xml:space="preserve">我单位郑重声明： </w:t>
      </w:r>
    </w:p>
    <w:p>
      <w:pPr>
        <w:pStyle w:val="157"/>
        <w:spacing w:line="360" w:lineRule="auto"/>
        <w:ind w:firstLine="480" w:firstLineChars="200"/>
        <w:rPr>
          <w:rFonts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 xml:space="preserve">我单位在参加本次政府采购活动前三年内，在经营活动中没有重大违法记录，即未因违法经营受到刑事处罚或者责令停产停业、吊销许可证或者执照、较大数额罚款等行政处罚；如果因违法经营被禁止在一定期限内参加政府采购活动，期限已经届满。 </w:t>
      </w:r>
    </w:p>
    <w:p>
      <w:pPr>
        <w:pStyle w:val="157"/>
        <w:spacing w:line="360" w:lineRule="auto"/>
        <w:ind w:firstLine="480" w:firstLineChars="200"/>
        <w:rPr>
          <w:rFonts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 xml:space="preserve">如我公司声明与实际不符，我公司将承担因此引起的一切后果。 </w:t>
      </w:r>
    </w:p>
    <w:p>
      <w:pPr>
        <w:pStyle w:val="158"/>
        <w:spacing w:line="440" w:lineRule="exact"/>
        <w:ind w:firstLine="480" w:firstLineChars="200"/>
        <w:jc w:val="both"/>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 </w:t>
      </w:r>
    </w:p>
    <w:p>
      <w:pPr>
        <w:pStyle w:val="157"/>
        <w:adjustRightInd w:val="0"/>
        <w:snapToGrid w:val="0"/>
        <w:spacing w:line="440" w:lineRule="exact"/>
        <w:rPr>
          <w:rFonts w:asciiTheme="minorEastAsia" w:hAnsiTheme="minorEastAsia" w:eastAsiaTheme="minorEastAsia" w:cstheme="minorEastAsia"/>
          <w:color w:val="000000" w:themeColor="text1"/>
          <w:sz w:val="24"/>
          <w:szCs w:val="24"/>
          <w:u w:val="single"/>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投标人法定代表人（或法定代表人授权代表）签字：</w:t>
      </w:r>
    </w:p>
    <w:p>
      <w:pPr>
        <w:pStyle w:val="157"/>
        <w:adjustRightInd w:val="0"/>
        <w:snapToGrid w:val="0"/>
        <w:spacing w:line="440" w:lineRule="exact"/>
        <w:rPr>
          <w:rFonts w:asciiTheme="minorEastAsia" w:hAnsiTheme="minorEastAsia" w:eastAsiaTheme="minorEastAsia" w:cstheme="minorEastAsia"/>
          <w:color w:val="000000" w:themeColor="text1"/>
          <w:sz w:val="24"/>
          <w:szCs w:val="24"/>
          <w:u w:val="single"/>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投标人名称（加盖公章）：</w:t>
      </w:r>
    </w:p>
    <w:p>
      <w:pPr>
        <w:pStyle w:val="158"/>
        <w:spacing w:line="440" w:lineRule="exact"/>
        <w:jc w:val="both"/>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日期：   年   月   日</w:t>
      </w:r>
    </w:p>
    <w:p>
      <w:pPr>
        <w:pStyle w:val="160"/>
        <w:spacing w:line="440" w:lineRule="exact"/>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kern w:val="0"/>
          <w:sz w:val="24"/>
          <w:szCs w:val="24"/>
          <w14:textFill>
            <w14:solidFill>
              <w14:schemeClr w14:val="tx1"/>
            </w14:solidFill>
          </w14:textFill>
        </w:rPr>
        <w:t>6、法律、行政法规规定的其他条件;</w:t>
      </w:r>
    </w:p>
    <w:p>
      <w:pPr>
        <w:pStyle w:val="34"/>
        <w:spacing w:beforeAutospacing="0" w:afterAutospacing="0" w:line="360" w:lineRule="auto"/>
        <w:rPr>
          <w:rFonts w:asciiTheme="minorEastAsia" w:hAnsiTheme="minorEastAsia" w:eastAsiaTheme="minorEastAsia" w:cstheme="minorEastAsia"/>
          <w:color w:val="000000" w:themeColor="text1"/>
          <w:szCs w:val="24"/>
          <w14:textFill>
            <w14:solidFill>
              <w14:schemeClr w14:val="tx1"/>
            </w14:solidFill>
          </w14:textFill>
        </w:rPr>
      </w:pPr>
      <w:r>
        <w:rPr>
          <w:rFonts w:hint="eastAsia" w:asciiTheme="minorEastAsia" w:hAnsiTheme="minorEastAsia" w:eastAsiaTheme="minorEastAsia" w:cstheme="minorEastAsia"/>
          <w:color w:val="000000" w:themeColor="text1"/>
          <w:szCs w:val="24"/>
          <w14:textFill>
            <w14:solidFill>
              <w14:schemeClr w14:val="tx1"/>
            </w14:solidFill>
          </w14:textFill>
        </w:rPr>
        <w:t>6.1、凡拟参加本次招标项目的投标人，如在“信用中国”网站（www.creditchina.gov.vn ）、中国政府采购网（www.ccgp.gov.vn ）被列入失信被执行人、重大税收违法案件当事人名单、政府采购严重违法失信行为记录名单的（尚在处罚期内的），将拒绝其参本次政府采购活动；</w:t>
      </w:r>
    </w:p>
    <w:p>
      <w:pPr>
        <w:pStyle w:val="155"/>
        <w:rPr>
          <w:rFonts w:asciiTheme="minorEastAsia" w:hAnsiTheme="minorEastAsia" w:eastAsiaTheme="minorEastAsia" w:cstheme="minorEastAsia"/>
          <w:color w:val="000000" w:themeColor="text1"/>
          <w:sz w:val="24"/>
          <w:szCs w:val="24"/>
          <w14:textFill>
            <w14:solidFill>
              <w14:schemeClr w14:val="tx1"/>
            </w14:solidFill>
          </w14:textFill>
        </w:rPr>
      </w:pPr>
    </w:p>
    <w:p>
      <w:pPr>
        <w:pStyle w:val="128"/>
        <w:outlineLvl w:val="2"/>
        <w:rPr>
          <w:rFonts w:asciiTheme="minorEastAsia" w:hAnsiTheme="minorEastAsia" w:eastAsiaTheme="minorEastAsia" w:cstheme="minorEastAsia"/>
          <w:color w:val="000000" w:themeColor="text1"/>
          <w:sz w:val="24"/>
          <w14:textFill>
            <w14:solidFill>
              <w14:schemeClr w14:val="tx1"/>
            </w14:solidFill>
          </w14:textFill>
        </w:rPr>
      </w:pPr>
      <w:bookmarkStart w:id="156" w:name="_Toc26928"/>
      <w:r>
        <w:rPr>
          <w:rFonts w:hint="eastAsia" w:asciiTheme="minorEastAsia" w:hAnsiTheme="minorEastAsia" w:eastAsiaTheme="minorEastAsia" w:cstheme="minorEastAsia"/>
          <w:bCs/>
          <w:color w:val="000000" w:themeColor="text1"/>
          <w:sz w:val="24"/>
          <w14:textFill>
            <w14:solidFill>
              <w14:schemeClr w14:val="tx1"/>
            </w14:solidFill>
          </w14:textFill>
        </w:rPr>
        <w:t>上述投标人须提供的资格证明文件均应为有效文件并加盖本单位公章，否则评标时不予认可。上述文件为投标人必须达到的资格要求，如有任意一条未明确响应将按无效投标处理。</w:t>
      </w:r>
      <w:bookmarkEnd w:id="156"/>
    </w:p>
    <w:p>
      <w:pPr>
        <w:pStyle w:val="147"/>
        <w:outlineLvl w:val="2"/>
        <w:rPr>
          <w:rFonts w:asciiTheme="minorEastAsia" w:hAnsiTheme="minorEastAsia" w:eastAsiaTheme="minorEastAsia" w:cstheme="minorEastAsia"/>
          <w:color w:val="000000" w:themeColor="text1"/>
          <w:sz w:val="24"/>
          <w:szCs w:val="2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br w:type="page"/>
      </w:r>
      <w:bookmarkStart w:id="157" w:name="_Toc22311"/>
      <w:r>
        <w:rPr>
          <w:rFonts w:hint="eastAsia" w:asciiTheme="minorEastAsia" w:hAnsiTheme="minorEastAsia" w:eastAsiaTheme="minorEastAsia" w:cstheme="minorEastAsia"/>
          <w:color w:val="000000" w:themeColor="text1"/>
          <w:sz w:val="24"/>
          <w:szCs w:val="21"/>
          <w14:textFill>
            <w14:solidFill>
              <w14:schemeClr w14:val="tx1"/>
            </w14:solidFill>
          </w14:textFill>
        </w:rPr>
        <w:t>1.2☆法定代表人身份证明及授权委托书</w:t>
      </w:r>
      <w:bookmarkEnd w:id="157"/>
    </w:p>
    <w:p>
      <w:pPr>
        <w:pStyle w:val="90"/>
        <w:outlineLvl w:val="9"/>
        <w:rPr>
          <w:rFonts w:asciiTheme="minorEastAsia" w:hAnsiTheme="minorEastAsia" w:eastAsiaTheme="minorEastAsia" w:cstheme="minorEastAsia"/>
          <w:bCs/>
          <w:color w:val="000000" w:themeColor="text1"/>
          <w:sz w:val="24"/>
          <w:szCs w:val="24"/>
          <w14:textFill>
            <w14:solidFill>
              <w14:schemeClr w14:val="tx1"/>
            </w14:solidFill>
          </w14:textFill>
        </w:rPr>
      </w:pPr>
      <w:bookmarkStart w:id="158" w:name="_Toc480371721"/>
      <w:bookmarkStart w:id="159" w:name="_Toc480368653"/>
      <w:bookmarkStart w:id="160" w:name="_Toc468535482"/>
      <w:bookmarkStart w:id="161" w:name="_Toc480368595"/>
      <w:bookmarkStart w:id="162" w:name="_Toc5919"/>
      <w:bookmarkStart w:id="163" w:name="_Toc480368424"/>
      <w:r>
        <w:rPr>
          <w:rFonts w:hint="eastAsia" w:asciiTheme="minorEastAsia" w:hAnsiTheme="minorEastAsia" w:eastAsiaTheme="minorEastAsia" w:cstheme="minorEastAsia"/>
          <w:bCs/>
          <w:color w:val="000000" w:themeColor="text1"/>
          <w:sz w:val="24"/>
          <w:szCs w:val="24"/>
          <w14:textFill>
            <w14:solidFill>
              <w14:schemeClr w14:val="tx1"/>
            </w14:solidFill>
          </w14:textFill>
        </w:rPr>
        <w:t>法定代表人资格证明文件</w:t>
      </w:r>
      <w:bookmarkEnd w:id="158"/>
      <w:bookmarkEnd w:id="159"/>
      <w:bookmarkEnd w:id="160"/>
      <w:bookmarkEnd w:id="161"/>
      <w:bookmarkEnd w:id="162"/>
      <w:bookmarkEnd w:id="163"/>
    </w:p>
    <w:p>
      <w:pPr>
        <w:pStyle w:val="91"/>
        <w:adjustRightInd w:val="0"/>
        <w:snapToGrid w:val="0"/>
        <w:spacing w:line="500" w:lineRule="exact"/>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（代理机构名称）</w:t>
      </w:r>
      <w:r>
        <w:rPr>
          <w:rFonts w:hint="eastAsia" w:asciiTheme="minorEastAsia" w:hAnsiTheme="minorEastAsia" w:eastAsiaTheme="minorEastAsia" w:cstheme="minorEastAsia"/>
          <w:color w:val="000000" w:themeColor="text1"/>
          <w:sz w:val="24"/>
          <w:szCs w:val="24"/>
          <w14:textFill>
            <w14:solidFill>
              <w14:schemeClr w14:val="tx1"/>
            </w14:solidFill>
          </w14:textFill>
        </w:rPr>
        <w:t>：</w:t>
      </w:r>
    </w:p>
    <w:p>
      <w:pPr>
        <w:pStyle w:val="91"/>
        <w:adjustRightInd w:val="0"/>
        <w:snapToGrid w:val="0"/>
        <w:spacing w:line="500" w:lineRule="exact"/>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兹有</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14:textFill>
            <w14:solidFill>
              <w14:schemeClr w14:val="tx1"/>
            </w14:solidFill>
          </w14:textFill>
        </w:rPr>
        <w:t>同志为</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公司法定代表人，代表我公司办理一切社会公务事宜，具有法律效力。 </w:t>
      </w:r>
    </w:p>
    <w:p>
      <w:pPr>
        <w:pStyle w:val="91"/>
        <w:adjustRightInd w:val="0"/>
        <w:snapToGrid w:val="0"/>
        <w:spacing w:line="500" w:lineRule="exact"/>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附法定代表人基本情况： </w:t>
      </w:r>
    </w:p>
    <w:p>
      <w:pPr>
        <w:pStyle w:val="91"/>
        <w:adjustRightInd w:val="0"/>
        <w:snapToGrid w:val="0"/>
        <w:spacing w:line="500" w:lineRule="exact"/>
        <w:ind w:firstLine="480" w:firstLineChars="200"/>
        <w:rPr>
          <w:rFonts w:asciiTheme="minorEastAsia" w:hAnsiTheme="minorEastAsia" w:eastAsiaTheme="minorEastAsia" w:cstheme="minorEastAsia"/>
          <w:color w:val="000000" w:themeColor="text1"/>
          <w:sz w:val="24"/>
          <w:szCs w:val="24"/>
          <w:u w:val="single"/>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姓名：</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14:textFill>
            <w14:solidFill>
              <w14:schemeClr w14:val="tx1"/>
            </w14:solidFill>
          </w14:textFill>
        </w:rPr>
        <w:t>性别：</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14:textFill>
            <w14:solidFill>
              <w14:schemeClr w14:val="tx1"/>
            </w14:solidFill>
          </w14:textFill>
        </w:rPr>
        <w:t>年龄：</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14:textFill>
            <w14:solidFill>
              <w14:schemeClr w14:val="tx1"/>
            </w14:solidFill>
          </w14:textFill>
        </w:rPr>
        <w:t>职务：</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 xml:space="preserve">         </w:t>
      </w:r>
    </w:p>
    <w:p>
      <w:pPr>
        <w:pStyle w:val="91"/>
        <w:adjustRightInd w:val="0"/>
        <w:snapToGrid w:val="0"/>
        <w:spacing w:line="500" w:lineRule="exact"/>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身份证号码：</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 xml:space="preserve">                     </w:t>
      </w:r>
    </w:p>
    <w:p>
      <w:pPr>
        <w:pStyle w:val="91"/>
        <w:adjustRightInd w:val="0"/>
        <w:snapToGrid w:val="0"/>
        <w:spacing w:line="500" w:lineRule="exact"/>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通讯地址：</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 xml:space="preserve">                       </w:t>
      </w:r>
    </w:p>
    <w:p>
      <w:pPr>
        <w:pStyle w:val="91"/>
        <w:adjustRightInd w:val="0"/>
        <w:snapToGrid w:val="0"/>
        <w:spacing w:line="500" w:lineRule="exact"/>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电话号码：</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14:textFill>
            <w14:solidFill>
              <w14:schemeClr w14:val="tx1"/>
            </w14:solidFill>
          </w14:textFill>
        </w:rPr>
        <w:t>邮政编码：</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 xml:space="preserve">               </w:t>
      </w:r>
    </w:p>
    <w:p>
      <w:pPr>
        <w:spacing w:line="440" w:lineRule="exact"/>
        <w:jc w:val="center"/>
        <w:rPr>
          <w:rFonts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-340995</wp:posOffset>
                </wp:positionH>
                <wp:positionV relativeFrom="paragraph">
                  <wp:posOffset>499110</wp:posOffset>
                </wp:positionV>
                <wp:extent cx="5638800" cy="1584960"/>
                <wp:effectExtent l="4445" t="4445" r="8255" b="10795"/>
                <wp:wrapNone/>
                <wp:docPr id="5" name="Text Box 7"/>
                <wp:cNvGraphicFramePr/>
                <a:graphic xmlns:a="http://schemas.openxmlformats.org/drawingml/2006/main">
                  <a:graphicData uri="http://schemas.microsoft.com/office/word/2010/wordprocessingShape">
                    <wps:wsp>
                      <wps:cNvSpPr txBox="1"/>
                      <wps:spPr>
                        <a:xfrm>
                          <a:off x="0" y="0"/>
                          <a:ext cx="5638800" cy="1584960"/>
                        </a:xfrm>
                        <a:prstGeom prst="rect">
                          <a:avLst/>
                        </a:prstGeom>
                        <a:solidFill>
                          <a:srgbClr val="FFFFFF"/>
                        </a:solidFill>
                        <a:ln w="9525" cap="flat" cmpd="sng">
                          <a:solidFill>
                            <a:srgbClr val="000000"/>
                          </a:solidFill>
                          <a:prstDash val="sysDot"/>
                          <a:miter/>
                          <a:headEnd type="none" w="med" len="med"/>
                          <a:tailEnd type="none" w="med" len="med"/>
                        </a:ln>
                        <a:effectLst/>
                      </wps:spPr>
                      <wps:txbx>
                        <w:txbxContent>
                          <w:p>
                            <w:pPr>
                              <w:jc w:val="center"/>
                            </w:pPr>
                          </w:p>
                          <w:p>
                            <w:pPr>
                              <w:jc w:val="center"/>
                              <w:rPr>
                                <w:b/>
                              </w:rPr>
                            </w:pPr>
                          </w:p>
                          <w:p>
                            <w:pPr>
                              <w:jc w:val="center"/>
                              <w:rPr>
                                <w:rFonts w:ascii="宋体" w:hAnsi="宋体"/>
                                <w:b/>
                                <w:sz w:val="24"/>
                              </w:rPr>
                            </w:pPr>
                            <w:r>
                              <w:rPr>
                                <w:rFonts w:hint="eastAsia" w:ascii="宋体" w:hAnsi="宋体"/>
                                <w:b/>
                                <w:sz w:val="24"/>
                              </w:rPr>
                              <w:t>此处附法人身份证复印件正反面</w:t>
                            </w:r>
                          </w:p>
                        </w:txbxContent>
                      </wps:txbx>
                      <wps:bodyPr wrap="square" upright="1"/>
                    </wps:wsp>
                  </a:graphicData>
                </a:graphic>
              </wp:anchor>
            </w:drawing>
          </mc:Choice>
          <mc:Fallback>
            <w:pict>
              <v:shape id="Text Box 7" o:spid="_x0000_s1026" o:spt="202" type="#_x0000_t202" style="position:absolute;left:0pt;margin-left:-26.85pt;margin-top:39.3pt;height:124.8pt;width:444pt;z-index:251660288;mso-width-relative:page;mso-height-relative:page;" fillcolor="#FFFFFF" filled="t" stroked="t" coordsize="21600,21600" o:gfxdata="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1YQ2q9oAAAAKAQAADwAAAAAA&#10;AAABACAAAAAiAAAAZHJzL2Rvd25yZXYueG1sUEsBAhQAFAAAAAgAh07iQIoQgGARAgAAUwQAAA4A&#10;AAAAAAAAAQAgAAAAKQEAAGRycy9lMm9Eb2MueG1sUEsFBgAAAAAGAAYAWQEAAKwFAAAAAA==&#10;">
                <v:fill on="t" focussize="0,0"/>
                <v:stroke color="#000000" joinstyle="miter" dashstyle="1 1"/>
                <v:imagedata o:title=""/>
                <o:lock v:ext="edit" aspectratio="f"/>
                <v:textbox>
                  <w:txbxContent>
                    <w:p>
                      <w:pPr>
                        <w:jc w:val="center"/>
                      </w:pPr>
                    </w:p>
                    <w:p>
                      <w:pPr>
                        <w:jc w:val="center"/>
                        <w:rPr>
                          <w:b/>
                        </w:rPr>
                      </w:pPr>
                    </w:p>
                    <w:p>
                      <w:pPr>
                        <w:jc w:val="center"/>
                        <w:rPr>
                          <w:rFonts w:ascii="宋体" w:hAnsi="宋体"/>
                          <w:b/>
                          <w:sz w:val="24"/>
                        </w:rPr>
                      </w:pPr>
                      <w:r>
                        <w:rPr>
                          <w:rFonts w:hint="eastAsia" w:ascii="宋体" w:hAnsi="宋体"/>
                          <w:b/>
                          <w:sz w:val="24"/>
                        </w:rPr>
                        <w:t>此处附法人身份证复印件正反面</w:t>
                      </w:r>
                    </w:p>
                  </w:txbxContent>
                </v:textbox>
              </v:shape>
            </w:pict>
          </mc:Fallback>
        </mc:AlternateContent>
      </w:r>
    </w:p>
    <w:p>
      <w:pPr>
        <w:pStyle w:val="91"/>
        <w:adjustRightInd w:val="0"/>
        <w:snapToGrid w:val="0"/>
        <w:spacing w:line="500" w:lineRule="exact"/>
        <w:rPr>
          <w:rFonts w:asciiTheme="minorEastAsia" w:hAnsiTheme="minorEastAsia" w:eastAsiaTheme="minorEastAsia" w:cstheme="minorEastAsia"/>
          <w:color w:val="000000" w:themeColor="text1"/>
          <w:sz w:val="24"/>
          <w:szCs w:val="24"/>
          <w14:textFill>
            <w14:solidFill>
              <w14:schemeClr w14:val="tx1"/>
            </w14:solidFill>
          </w14:textFill>
        </w:rPr>
      </w:pPr>
    </w:p>
    <w:p>
      <w:pPr>
        <w:pStyle w:val="91"/>
        <w:adjustRightInd w:val="0"/>
        <w:snapToGrid w:val="0"/>
        <w:spacing w:line="500" w:lineRule="exact"/>
        <w:rPr>
          <w:rFonts w:asciiTheme="minorEastAsia" w:hAnsiTheme="minorEastAsia" w:eastAsiaTheme="minorEastAsia" w:cstheme="minorEastAsia"/>
          <w:color w:val="000000" w:themeColor="text1"/>
          <w:sz w:val="24"/>
          <w:szCs w:val="24"/>
          <w14:textFill>
            <w14:solidFill>
              <w14:schemeClr w14:val="tx1"/>
            </w14:solidFill>
          </w14:textFill>
        </w:rPr>
      </w:pPr>
    </w:p>
    <w:p>
      <w:pPr>
        <w:pStyle w:val="91"/>
        <w:adjustRightInd w:val="0"/>
        <w:snapToGrid w:val="0"/>
        <w:spacing w:line="500" w:lineRule="exact"/>
        <w:rPr>
          <w:rFonts w:asciiTheme="minorEastAsia" w:hAnsiTheme="minorEastAsia" w:eastAsiaTheme="minorEastAsia" w:cstheme="minorEastAsia"/>
          <w:color w:val="000000" w:themeColor="text1"/>
          <w:sz w:val="24"/>
          <w:szCs w:val="24"/>
          <w14:textFill>
            <w14:solidFill>
              <w14:schemeClr w14:val="tx1"/>
            </w14:solidFill>
          </w14:textFill>
        </w:rPr>
      </w:pPr>
    </w:p>
    <w:p>
      <w:pPr>
        <w:pStyle w:val="91"/>
        <w:adjustRightInd w:val="0"/>
        <w:snapToGrid w:val="0"/>
        <w:spacing w:line="500" w:lineRule="exact"/>
        <w:rPr>
          <w:rFonts w:asciiTheme="minorEastAsia" w:hAnsiTheme="minorEastAsia" w:eastAsiaTheme="minorEastAsia" w:cstheme="minorEastAsia"/>
          <w:color w:val="000000" w:themeColor="text1"/>
          <w:sz w:val="24"/>
          <w:szCs w:val="24"/>
          <w14:textFill>
            <w14:solidFill>
              <w14:schemeClr w14:val="tx1"/>
            </w14:solidFill>
          </w14:textFill>
        </w:rPr>
      </w:pPr>
    </w:p>
    <w:p>
      <w:pPr>
        <w:pStyle w:val="91"/>
        <w:adjustRightInd w:val="0"/>
        <w:snapToGrid w:val="0"/>
        <w:spacing w:line="500" w:lineRule="exact"/>
        <w:rPr>
          <w:rFonts w:asciiTheme="minorEastAsia" w:hAnsiTheme="minorEastAsia" w:eastAsiaTheme="minorEastAsia" w:cstheme="minorEastAsia"/>
          <w:color w:val="000000" w:themeColor="text1"/>
          <w:sz w:val="24"/>
          <w:szCs w:val="24"/>
          <w14:textFill>
            <w14:solidFill>
              <w14:schemeClr w14:val="tx1"/>
            </w14:solidFill>
          </w14:textFill>
        </w:rPr>
      </w:pPr>
    </w:p>
    <w:p>
      <w:pPr>
        <w:pStyle w:val="91"/>
        <w:adjustRightInd w:val="0"/>
        <w:snapToGrid w:val="0"/>
        <w:spacing w:line="500" w:lineRule="exact"/>
        <w:rPr>
          <w:rFonts w:asciiTheme="minorEastAsia" w:hAnsiTheme="minorEastAsia" w:eastAsiaTheme="minorEastAsia" w:cstheme="minorEastAsia"/>
          <w:color w:val="000000" w:themeColor="text1"/>
          <w:sz w:val="24"/>
          <w:szCs w:val="24"/>
          <w14:textFill>
            <w14:solidFill>
              <w14:schemeClr w14:val="tx1"/>
            </w14:solidFill>
          </w14:textFill>
        </w:rPr>
      </w:pPr>
    </w:p>
    <w:p>
      <w:pPr>
        <w:pStyle w:val="91"/>
        <w:adjustRightInd w:val="0"/>
        <w:snapToGrid w:val="0"/>
        <w:spacing w:line="500" w:lineRule="exact"/>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投标人名称（盖章）：</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 xml:space="preserve">           </w:t>
      </w:r>
    </w:p>
    <w:p>
      <w:pPr>
        <w:pStyle w:val="91"/>
        <w:tabs>
          <w:tab w:val="left" w:pos="750"/>
        </w:tabs>
        <w:adjustRightInd w:val="0"/>
        <w:snapToGrid w:val="0"/>
        <w:spacing w:line="500" w:lineRule="exact"/>
        <w:rPr>
          <w:rFonts w:asciiTheme="minorEastAsia" w:hAnsiTheme="minorEastAsia" w:eastAsiaTheme="minorEastAsia" w:cstheme="minorEastAsia"/>
          <w:color w:val="000000" w:themeColor="text1"/>
          <w:sz w:val="24"/>
          <w:szCs w:val="24"/>
          <w14:textFill>
            <w14:solidFill>
              <w14:schemeClr w14:val="tx1"/>
            </w14:solidFill>
          </w14:textFill>
        </w:rPr>
      </w:pPr>
    </w:p>
    <w:p>
      <w:pPr>
        <w:pStyle w:val="91"/>
        <w:tabs>
          <w:tab w:val="left" w:pos="750"/>
        </w:tabs>
        <w:adjustRightInd w:val="0"/>
        <w:snapToGrid w:val="0"/>
        <w:spacing w:line="500" w:lineRule="exact"/>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法定代表人（盖章） ：</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 xml:space="preserve">           </w:t>
      </w:r>
    </w:p>
    <w:p>
      <w:pPr>
        <w:pStyle w:val="91"/>
        <w:tabs>
          <w:tab w:val="left" w:pos="750"/>
        </w:tabs>
        <w:adjustRightInd w:val="0"/>
        <w:snapToGrid w:val="0"/>
        <w:spacing w:line="500" w:lineRule="exact"/>
        <w:rPr>
          <w:rFonts w:asciiTheme="minorEastAsia" w:hAnsiTheme="minorEastAsia" w:eastAsiaTheme="minorEastAsia" w:cstheme="minorEastAsia"/>
          <w:color w:val="000000" w:themeColor="text1"/>
          <w:sz w:val="24"/>
          <w:szCs w:val="24"/>
          <w14:textFill>
            <w14:solidFill>
              <w14:schemeClr w14:val="tx1"/>
            </w14:solidFill>
          </w14:textFill>
        </w:rPr>
      </w:pPr>
    </w:p>
    <w:p>
      <w:pPr>
        <w:pStyle w:val="91"/>
        <w:tabs>
          <w:tab w:val="left" w:pos="750"/>
        </w:tabs>
        <w:adjustRightInd w:val="0"/>
        <w:snapToGrid w:val="0"/>
        <w:spacing w:line="500" w:lineRule="exact"/>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日期：</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14:textFill>
            <w14:solidFill>
              <w14:schemeClr w14:val="tx1"/>
            </w14:solidFill>
          </w14:textFill>
        </w:rPr>
        <w:t>年</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14:textFill>
            <w14:solidFill>
              <w14:schemeClr w14:val="tx1"/>
            </w14:solidFill>
          </w14:textFill>
        </w:rPr>
        <w:t>月</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14:textFill>
            <w14:solidFill>
              <w14:schemeClr w14:val="tx1"/>
            </w14:solidFill>
          </w14:textFill>
        </w:rPr>
        <w:t>日</w:t>
      </w:r>
    </w:p>
    <w:p>
      <w:pPr>
        <w:pStyle w:val="90"/>
        <w:outlineLvl w:val="9"/>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 </w:t>
      </w:r>
      <w:bookmarkStart w:id="164" w:name="_Toc468535483"/>
    </w:p>
    <w:p>
      <w:pPr>
        <w:pStyle w:val="90"/>
        <w:outlineLvl w:val="9"/>
        <w:rPr>
          <w:rFonts w:asciiTheme="minorEastAsia" w:hAnsiTheme="minorEastAsia" w:eastAsiaTheme="minorEastAsia" w:cstheme="minorEastAsia"/>
          <w:color w:val="000000" w:themeColor="text1"/>
          <w:sz w:val="24"/>
          <w:szCs w:val="24"/>
          <w14:textFill>
            <w14:solidFill>
              <w14:schemeClr w14:val="tx1"/>
            </w14:solidFill>
          </w14:textFill>
        </w:rPr>
      </w:pPr>
    </w:p>
    <w:p>
      <w:pPr>
        <w:pStyle w:val="90"/>
        <w:outlineLvl w:val="9"/>
        <w:rPr>
          <w:rFonts w:asciiTheme="minorEastAsia" w:hAnsiTheme="minorEastAsia" w:eastAsiaTheme="minorEastAsia" w:cstheme="minorEastAsia"/>
          <w:color w:val="000000" w:themeColor="text1"/>
          <w:sz w:val="24"/>
          <w:szCs w:val="24"/>
          <w14:textFill>
            <w14:solidFill>
              <w14:schemeClr w14:val="tx1"/>
            </w14:solidFill>
          </w14:textFill>
        </w:rPr>
      </w:pPr>
    </w:p>
    <w:p>
      <w:pPr>
        <w:pStyle w:val="91"/>
        <w:rPr>
          <w:rFonts w:asciiTheme="minorEastAsia" w:hAnsiTheme="minorEastAsia" w:eastAsiaTheme="minorEastAsia" w:cstheme="minorEastAsia"/>
          <w:color w:val="000000" w:themeColor="text1"/>
          <w:sz w:val="24"/>
          <w:szCs w:val="24"/>
          <w14:textFill>
            <w14:solidFill>
              <w14:schemeClr w14:val="tx1"/>
            </w14:solidFill>
          </w14:textFill>
        </w:rPr>
      </w:pPr>
    </w:p>
    <w:p>
      <w:pPr>
        <w:pStyle w:val="91"/>
        <w:rPr>
          <w:rFonts w:asciiTheme="minorEastAsia" w:hAnsiTheme="minorEastAsia" w:eastAsiaTheme="minorEastAsia" w:cstheme="minorEastAsia"/>
          <w:color w:val="000000" w:themeColor="text1"/>
          <w:sz w:val="24"/>
          <w:szCs w:val="24"/>
          <w14:textFill>
            <w14:solidFill>
              <w14:schemeClr w14:val="tx1"/>
            </w14:solidFill>
          </w14:textFill>
        </w:rPr>
      </w:pPr>
    </w:p>
    <w:p>
      <w:pPr>
        <w:pStyle w:val="91"/>
        <w:rPr>
          <w:rFonts w:asciiTheme="minorEastAsia" w:hAnsiTheme="minorEastAsia" w:eastAsiaTheme="minorEastAsia" w:cstheme="minorEastAsia"/>
          <w:color w:val="000000" w:themeColor="text1"/>
          <w:sz w:val="24"/>
          <w:szCs w:val="24"/>
          <w14:textFill>
            <w14:solidFill>
              <w14:schemeClr w14:val="tx1"/>
            </w14:solidFill>
          </w14:textFill>
        </w:rPr>
      </w:pPr>
    </w:p>
    <w:p>
      <w:pPr>
        <w:pStyle w:val="91"/>
        <w:rPr>
          <w:rFonts w:asciiTheme="minorEastAsia" w:hAnsiTheme="minorEastAsia" w:eastAsiaTheme="minorEastAsia" w:cstheme="minorEastAsia"/>
          <w:color w:val="000000" w:themeColor="text1"/>
          <w:sz w:val="24"/>
          <w:szCs w:val="24"/>
          <w14:textFill>
            <w14:solidFill>
              <w14:schemeClr w14:val="tx1"/>
            </w14:solidFill>
          </w14:textFill>
        </w:rPr>
      </w:pPr>
    </w:p>
    <w:p>
      <w:pPr>
        <w:pStyle w:val="90"/>
        <w:outlineLvl w:val="9"/>
        <w:rPr>
          <w:rFonts w:asciiTheme="minorEastAsia" w:hAnsiTheme="minorEastAsia" w:eastAsiaTheme="minorEastAsia" w:cstheme="minorEastAsia"/>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Cs/>
          <w:color w:val="000000" w:themeColor="text1"/>
          <w:sz w:val="24"/>
          <w:szCs w:val="24"/>
          <w14:textFill>
            <w14:solidFill>
              <w14:schemeClr w14:val="tx1"/>
            </w14:solidFill>
          </w14:textFill>
        </w:rPr>
        <w:t xml:space="preserve"> </w:t>
      </w:r>
      <w:bookmarkStart w:id="165" w:name="_Toc480368596"/>
      <w:bookmarkStart w:id="166" w:name="_Toc480371722"/>
      <w:bookmarkStart w:id="167" w:name="_Toc480368425"/>
      <w:bookmarkStart w:id="168" w:name="_Toc480368654"/>
      <w:bookmarkStart w:id="169" w:name="_Toc3340"/>
      <w:r>
        <w:rPr>
          <w:rFonts w:hint="eastAsia" w:asciiTheme="minorEastAsia" w:hAnsiTheme="minorEastAsia" w:eastAsiaTheme="minorEastAsia" w:cstheme="minorEastAsia"/>
          <w:bCs/>
          <w:color w:val="000000" w:themeColor="text1"/>
          <w:sz w:val="24"/>
          <w:szCs w:val="24"/>
          <w14:textFill>
            <w14:solidFill>
              <w14:schemeClr w14:val="tx1"/>
            </w14:solidFill>
          </w14:textFill>
        </w:rPr>
        <w:t>法定代表人授权书</w:t>
      </w:r>
      <w:bookmarkEnd w:id="164"/>
      <w:bookmarkEnd w:id="165"/>
      <w:bookmarkEnd w:id="166"/>
      <w:bookmarkEnd w:id="167"/>
      <w:bookmarkEnd w:id="168"/>
      <w:bookmarkEnd w:id="169"/>
    </w:p>
    <w:p>
      <w:pPr>
        <w:autoSpaceDE w:val="0"/>
        <w:autoSpaceDN w:val="0"/>
        <w:adjustRightInd w:val="0"/>
        <w:spacing w:line="440" w:lineRule="exact"/>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本授权声明：注册于中华人民共和国的</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（投标人名称、住址）</w:t>
      </w:r>
      <w:r>
        <w:rPr>
          <w:rFonts w:hint="eastAsia" w:asciiTheme="minorEastAsia" w:hAnsiTheme="minorEastAsia" w:eastAsiaTheme="minorEastAsia" w:cstheme="minorEastAsia"/>
          <w:color w:val="000000" w:themeColor="text1"/>
          <w:sz w:val="24"/>
          <w:szCs w:val="24"/>
          <w14:textFill>
            <w14:solidFill>
              <w14:schemeClr w14:val="tx1"/>
            </w14:solidFill>
          </w14:textFill>
        </w:rPr>
        <w:t>的法人代表</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（法定代表人姓名、职务）</w:t>
      </w:r>
      <w:r>
        <w:rPr>
          <w:rFonts w:hint="eastAsia" w:asciiTheme="minorEastAsia" w:hAnsiTheme="minorEastAsia" w:eastAsiaTheme="minorEastAsia" w:cstheme="minorEastAsia"/>
          <w:color w:val="000000" w:themeColor="text1"/>
          <w:sz w:val="24"/>
          <w:szCs w:val="24"/>
          <w14:textFill>
            <w14:solidFill>
              <w14:schemeClr w14:val="tx1"/>
            </w14:solidFill>
          </w14:textFill>
        </w:rPr>
        <w:t>代表本公司授权在下面签字的</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（被授权人的姓名、职务）</w:t>
      </w:r>
      <w:r>
        <w:rPr>
          <w:rFonts w:hint="eastAsia" w:asciiTheme="minorEastAsia" w:hAnsiTheme="minorEastAsia" w:eastAsiaTheme="minorEastAsia" w:cstheme="minorEastAsia"/>
          <w:color w:val="000000" w:themeColor="text1"/>
          <w:sz w:val="24"/>
          <w:szCs w:val="24"/>
          <w14:textFill>
            <w14:solidFill>
              <w14:schemeClr w14:val="tx1"/>
            </w14:solidFill>
          </w14:textFill>
        </w:rPr>
        <w:t>为本公司的合法代理人，就此次“</w:t>
      </w:r>
      <w:r>
        <w:rPr>
          <w:rFonts w:hint="eastAsia" w:asciiTheme="minorEastAsia" w:hAnsiTheme="minorEastAsia" w:eastAsiaTheme="minorEastAsia" w:cstheme="minorEastAsia"/>
          <w:color w:val="000000" w:themeColor="text1"/>
          <w:kern w:val="0"/>
          <w:sz w:val="24"/>
          <w:szCs w:val="24"/>
          <w:u w:val="single"/>
          <w14:textFill>
            <w14:solidFill>
              <w14:schemeClr w14:val="tx1"/>
            </w14:solidFill>
          </w14:textFill>
        </w:rPr>
        <w:t>项目名称</w:t>
      </w:r>
      <w:r>
        <w:rPr>
          <w:rFonts w:hint="eastAsia" w:asciiTheme="minorEastAsia" w:hAnsiTheme="minorEastAsia" w:eastAsiaTheme="minorEastAsia" w:cstheme="minorEastAsia"/>
          <w:color w:val="000000" w:themeColor="text1"/>
          <w:sz w:val="24"/>
          <w:szCs w:val="24"/>
          <w14:textFill>
            <w14:solidFill>
              <w14:schemeClr w14:val="tx1"/>
            </w14:solidFill>
          </w14:textFill>
        </w:rPr>
        <w:t>”项目，招标编号为</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项目编号</w:t>
      </w:r>
      <w:r>
        <w:rPr>
          <w:rFonts w:hint="eastAsia" w:asciiTheme="minorEastAsia" w:hAnsiTheme="minorEastAsia" w:eastAsiaTheme="minorEastAsia" w:cstheme="minorEastAsia"/>
          <w:color w:val="000000" w:themeColor="text1"/>
          <w:sz w:val="24"/>
          <w:szCs w:val="24"/>
          <w14:textFill>
            <w14:solidFill>
              <w14:schemeClr w14:val="tx1"/>
            </w14:solidFill>
          </w14:textFill>
        </w:rPr>
        <w:t>的投标及合同的执行、完成和保修，以本公司名义处理一切与之有关的事务。</w:t>
      </w:r>
    </w:p>
    <w:p>
      <w:pPr>
        <w:autoSpaceDE w:val="0"/>
        <w:autoSpaceDN w:val="0"/>
        <w:adjustRightInd w:val="0"/>
        <w:spacing w:line="440" w:lineRule="exact"/>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本授权书于</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年月日</w:t>
      </w:r>
      <w:r>
        <w:rPr>
          <w:rFonts w:hint="eastAsia" w:asciiTheme="minorEastAsia" w:hAnsiTheme="minorEastAsia" w:eastAsiaTheme="minorEastAsia" w:cstheme="minorEastAsia"/>
          <w:color w:val="000000" w:themeColor="text1"/>
          <w:sz w:val="24"/>
          <w:szCs w:val="24"/>
          <w14:textFill>
            <w14:solidFill>
              <w14:schemeClr w14:val="tx1"/>
            </w14:solidFill>
          </w14:textFill>
        </w:rPr>
        <w:t>签字生效，特此声明。</w:t>
      </w:r>
    </w:p>
    <w:p>
      <w:pPr>
        <w:autoSpaceDE w:val="0"/>
        <w:autoSpaceDN w:val="0"/>
        <w:adjustRightInd w:val="0"/>
        <w:spacing w:line="440" w:lineRule="exact"/>
        <w:rPr>
          <w:rFonts w:asciiTheme="minorEastAsia" w:hAnsiTheme="minorEastAsia" w:eastAsiaTheme="minorEastAsia" w:cstheme="minorEastAsia"/>
          <w:color w:val="000000" w:themeColor="text1"/>
          <w:sz w:val="24"/>
          <w:szCs w:val="24"/>
          <w:u w:val="single"/>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法定代表人签字或盖章：</w:t>
      </w:r>
    </w:p>
    <w:p>
      <w:pPr>
        <w:autoSpaceDE w:val="0"/>
        <w:autoSpaceDN w:val="0"/>
        <w:adjustRightInd w:val="0"/>
        <w:spacing w:line="440" w:lineRule="exact"/>
        <w:rPr>
          <w:rFonts w:asciiTheme="minorEastAsia" w:hAnsiTheme="minorEastAsia" w:eastAsiaTheme="minorEastAsia" w:cstheme="minorEastAsia"/>
          <w:color w:val="000000" w:themeColor="text1"/>
          <w:sz w:val="24"/>
          <w:szCs w:val="24"/>
          <w:u w:val="single"/>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代理（被授权人）签字或盖章：</w:t>
      </w:r>
    </w:p>
    <w:p>
      <w:pPr>
        <w:autoSpaceDE w:val="0"/>
        <w:autoSpaceDN w:val="0"/>
        <w:adjustRightInd w:val="0"/>
        <w:spacing w:line="440" w:lineRule="exact"/>
        <w:rPr>
          <w:rFonts w:asciiTheme="minorEastAsia" w:hAnsiTheme="minorEastAsia" w:eastAsiaTheme="minorEastAsia" w:cstheme="minorEastAsia"/>
          <w:color w:val="000000" w:themeColor="text1"/>
          <w:sz w:val="24"/>
          <w:szCs w:val="24"/>
          <w:u w:val="single"/>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职务：</w:t>
      </w:r>
    </w:p>
    <w:p>
      <w:pPr>
        <w:autoSpaceDE w:val="0"/>
        <w:autoSpaceDN w:val="0"/>
        <w:adjustRightInd w:val="0"/>
        <w:spacing w:line="440" w:lineRule="exact"/>
        <w:rPr>
          <w:rFonts w:asciiTheme="minorEastAsia" w:hAnsiTheme="minorEastAsia" w:eastAsiaTheme="minorEastAsia" w:cstheme="minorEastAsia"/>
          <w:color w:val="000000" w:themeColor="text1"/>
          <w:sz w:val="24"/>
          <w:szCs w:val="24"/>
          <w:u w:val="single"/>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单位名称：</w:t>
      </w:r>
    </w:p>
    <w:p>
      <w:pPr>
        <w:spacing w:line="440" w:lineRule="exact"/>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授权日期：20</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14:textFill>
            <w14:solidFill>
              <w14:schemeClr w14:val="tx1"/>
            </w14:solidFill>
          </w14:textFill>
        </w:rPr>
        <w:t>年</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　　</w:t>
      </w:r>
      <w:r>
        <w:rPr>
          <w:rFonts w:hint="eastAsia" w:asciiTheme="minorEastAsia" w:hAnsiTheme="minorEastAsia" w:eastAsiaTheme="minorEastAsia" w:cstheme="minorEastAsia"/>
          <w:color w:val="000000" w:themeColor="text1"/>
          <w:sz w:val="24"/>
          <w:szCs w:val="24"/>
          <w14:textFill>
            <w14:solidFill>
              <w14:schemeClr w14:val="tx1"/>
            </w14:solidFill>
          </w14:textFill>
        </w:rPr>
        <w:t>月</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　　</w:t>
      </w:r>
      <w:r>
        <w:rPr>
          <w:rFonts w:hint="eastAsia" w:asciiTheme="minorEastAsia" w:hAnsiTheme="minorEastAsia" w:eastAsiaTheme="minorEastAsia" w:cstheme="minorEastAsia"/>
          <w:color w:val="000000" w:themeColor="text1"/>
          <w:sz w:val="24"/>
          <w:szCs w:val="24"/>
          <w14:textFill>
            <w14:solidFill>
              <w14:schemeClr w14:val="tx1"/>
            </w14:solidFill>
          </w14:textFill>
        </w:rPr>
        <w:t>日</w:t>
      </w:r>
    </w:p>
    <w:p>
      <w:pPr>
        <w:spacing w:line="440" w:lineRule="exact"/>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（单位公章）</w:t>
      </w:r>
    </w:p>
    <w:p>
      <w:pPr>
        <w:spacing w:line="440" w:lineRule="exact"/>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20    年    月   日</w:t>
      </w:r>
    </w:p>
    <w:p>
      <w:pPr>
        <w:spacing w:line="440" w:lineRule="exact"/>
        <w:rPr>
          <w:rFonts w:asciiTheme="minorEastAsia" w:hAnsiTheme="minorEastAsia" w:eastAsiaTheme="minorEastAsia" w:cstheme="minorEastAsia"/>
          <w:b/>
          <w:color w:val="000000" w:themeColor="text1"/>
          <w:sz w:val="24"/>
          <w:szCs w:val="24"/>
          <w:em w:val="dot"/>
          <w14:textFill>
            <w14:solidFill>
              <w14:schemeClr w14:val="tx1"/>
            </w14:solidFill>
          </w14:textFill>
        </w:rPr>
      </w:pPr>
      <w:r>
        <w:rPr>
          <w:rFonts w:hint="eastAsia" w:asciiTheme="minorEastAsia" w:hAnsiTheme="minorEastAsia" w:eastAsiaTheme="minorEastAsia" w:cstheme="minorEastAsia"/>
          <w:b/>
          <w:color w:val="000000" w:themeColor="text1"/>
          <w:sz w:val="24"/>
          <w:szCs w:val="24"/>
          <w:em w:val="dot"/>
          <w14:textFill>
            <w14:solidFill>
              <w14:schemeClr w14:val="tx1"/>
            </w14:solidFill>
          </w14:textFill>
        </w:rPr>
        <w:t>注：参加开标会议的投标人的法定代表人或其委托代理人应携带本人身份证（原件并附复印件），委托代理人还应携带《法定代表人授权委托书》原件一份，以证明其身份。</w:t>
      </w:r>
    </w:p>
    <w:p>
      <w:pPr>
        <w:spacing w:line="440" w:lineRule="exact"/>
        <w:rPr>
          <w:rFonts w:asciiTheme="minorEastAsia" w:hAnsiTheme="minorEastAsia" w:eastAsiaTheme="minorEastAsia" w:cstheme="minorEastAsia"/>
          <w:b/>
          <w:color w:val="000000" w:themeColor="text1"/>
          <w:sz w:val="24"/>
          <w:szCs w:val="24"/>
          <w:em w:val="dot"/>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-114300</wp:posOffset>
                </wp:positionH>
                <wp:positionV relativeFrom="paragraph">
                  <wp:posOffset>106045</wp:posOffset>
                </wp:positionV>
                <wp:extent cx="5638800" cy="1584960"/>
                <wp:effectExtent l="4445" t="4445" r="8255" b="10795"/>
                <wp:wrapNone/>
                <wp:docPr id="1" name="Text Box 7"/>
                <wp:cNvGraphicFramePr/>
                <a:graphic xmlns:a="http://schemas.openxmlformats.org/drawingml/2006/main">
                  <a:graphicData uri="http://schemas.microsoft.com/office/word/2010/wordprocessingShape">
                    <wps:wsp>
                      <wps:cNvSpPr txBox="1"/>
                      <wps:spPr>
                        <a:xfrm>
                          <a:off x="0" y="0"/>
                          <a:ext cx="5638800" cy="1584960"/>
                        </a:xfrm>
                        <a:prstGeom prst="rect">
                          <a:avLst/>
                        </a:prstGeom>
                        <a:solidFill>
                          <a:srgbClr val="FFFFFF"/>
                        </a:solidFill>
                        <a:ln w="9525" cap="flat" cmpd="sng">
                          <a:solidFill>
                            <a:srgbClr val="000000"/>
                          </a:solidFill>
                          <a:prstDash val="sysDot"/>
                          <a:miter/>
                          <a:headEnd type="none" w="med" len="med"/>
                          <a:tailEnd type="none" w="med" len="med"/>
                        </a:ln>
                        <a:effectLst/>
                      </wps:spPr>
                      <wps:txbx>
                        <w:txbxContent>
                          <w:p>
                            <w:pPr>
                              <w:jc w:val="center"/>
                            </w:pPr>
                          </w:p>
                          <w:p>
                            <w:pPr>
                              <w:jc w:val="center"/>
                              <w:rPr>
                                <w:b/>
                              </w:rPr>
                            </w:pPr>
                          </w:p>
                          <w:p>
                            <w:pPr>
                              <w:jc w:val="center"/>
                              <w:rPr>
                                <w:rFonts w:ascii="宋体" w:hAnsi="宋体"/>
                                <w:b/>
                                <w:sz w:val="24"/>
                              </w:rPr>
                            </w:pPr>
                            <w:r>
                              <w:rPr>
                                <w:rFonts w:hint="eastAsia" w:ascii="宋体" w:hAnsi="宋体"/>
                                <w:b/>
                                <w:sz w:val="24"/>
                              </w:rPr>
                              <w:t>此处附法人身份证复印件正反面</w:t>
                            </w:r>
                          </w:p>
                        </w:txbxContent>
                      </wps:txbx>
                      <wps:bodyPr wrap="square" upright="1"/>
                    </wps:wsp>
                  </a:graphicData>
                </a:graphic>
              </wp:anchor>
            </w:drawing>
          </mc:Choice>
          <mc:Fallback>
            <w:pict>
              <v:shape id="Text Box 7" o:spid="_x0000_s1026" o:spt="202" type="#_x0000_t202" style="position:absolute;left:0pt;margin-left:-9pt;margin-top:8.35pt;height:124.8pt;width:444pt;z-index:251661312;mso-width-relative:page;mso-height-relative:page;" fillcolor="#FFFFFF" filled="t" stroked="t" coordsize="21600,21600" o:gfxdata="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q5apftgAAAAKAQAADwAAAAAAAAAB&#10;ACAAAAAiAAAAZHJzL2Rvd25yZXYueG1sUEsBAhQAFAAAAAgAh07iQPN5eAYQAgAAUwQAAA4AAAAA&#10;AAAAAQAgAAAAJwEAAGRycy9lMm9Eb2MueG1sUEsFBgAAAAAGAAYAWQEAAKkFAAAAAA==&#10;">
                <v:fill on="t" focussize="0,0"/>
                <v:stroke color="#000000" joinstyle="miter" dashstyle="1 1"/>
                <v:imagedata o:title=""/>
                <o:lock v:ext="edit" aspectratio="f"/>
                <v:textbox>
                  <w:txbxContent>
                    <w:p>
                      <w:pPr>
                        <w:jc w:val="center"/>
                      </w:pPr>
                    </w:p>
                    <w:p>
                      <w:pPr>
                        <w:jc w:val="center"/>
                        <w:rPr>
                          <w:b/>
                        </w:rPr>
                      </w:pPr>
                    </w:p>
                    <w:p>
                      <w:pPr>
                        <w:jc w:val="center"/>
                        <w:rPr>
                          <w:rFonts w:ascii="宋体" w:hAnsi="宋体"/>
                          <w:b/>
                          <w:sz w:val="24"/>
                        </w:rPr>
                      </w:pPr>
                      <w:r>
                        <w:rPr>
                          <w:rFonts w:hint="eastAsia" w:ascii="宋体" w:hAnsi="宋体"/>
                          <w:b/>
                          <w:sz w:val="24"/>
                        </w:rPr>
                        <w:t>此处附法人身份证复印件正反面</w:t>
                      </w:r>
                    </w:p>
                  </w:txbxContent>
                </v:textbox>
              </v:shape>
            </w:pict>
          </mc:Fallback>
        </mc:AlternateContent>
      </w:r>
    </w:p>
    <w:p>
      <w:pPr>
        <w:spacing w:line="440" w:lineRule="exact"/>
        <w:rPr>
          <w:rFonts w:asciiTheme="minorEastAsia" w:hAnsiTheme="minorEastAsia" w:eastAsiaTheme="minorEastAsia" w:cstheme="minorEastAsia"/>
          <w:b/>
          <w:color w:val="000000" w:themeColor="text1"/>
          <w:sz w:val="24"/>
          <w:szCs w:val="24"/>
          <w:em w:val="dot"/>
          <w14:textFill>
            <w14:solidFill>
              <w14:schemeClr w14:val="tx1"/>
            </w14:solidFill>
          </w14:textFill>
        </w:rPr>
      </w:pPr>
    </w:p>
    <w:p>
      <w:pPr>
        <w:spacing w:line="440" w:lineRule="exact"/>
        <w:rPr>
          <w:rFonts w:asciiTheme="minorEastAsia" w:hAnsiTheme="minorEastAsia" w:eastAsiaTheme="minorEastAsia" w:cstheme="minorEastAsia"/>
          <w:b/>
          <w:color w:val="000000" w:themeColor="text1"/>
          <w:sz w:val="24"/>
          <w:szCs w:val="24"/>
          <w14:textFill>
            <w14:solidFill>
              <w14:schemeClr w14:val="tx1"/>
            </w14:solidFill>
          </w14:textFill>
        </w:rPr>
      </w:pPr>
    </w:p>
    <w:p>
      <w:pPr>
        <w:spacing w:line="440" w:lineRule="exact"/>
        <w:rPr>
          <w:rFonts w:asciiTheme="minorEastAsia" w:hAnsiTheme="minorEastAsia" w:eastAsiaTheme="minorEastAsia" w:cstheme="minorEastAsia"/>
          <w:b/>
          <w:color w:val="000000" w:themeColor="text1"/>
          <w:sz w:val="24"/>
          <w:szCs w:val="24"/>
          <w14:textFill>
            <w14:solidFill>
              <w14:schemeClr w14:val="tx1"/>
            </w14:solidFill>
          </w14:textFill>
        </w:rPr>
      </w:pPr>
    </w:p>
    <w:p>
      <w:pPr>
        <w:spacing w:line="440" w:lineRule="exact"/>
        <w:rPr>
          <w:rFonts w:asciiTheme="minorEastAsia" w:hAnsiTheme="minorEastAsia" w:eastAsiaTheme="minorEastAsia" w:cstheme="minorEastAsia"/>
          <w:b/>
          <w:color w:val="000000" w:themeColor="text1"/>
          <w:sz w:val="24"/>
          <w:szCs w:val="24"/>
          <w14:textFill>
            <w14:solidFill>
              <w14:schemeClr w14:val="tx1"/>
            </w14:solidFill>
          </w14:textFill>
        </w:rPr>
      </w:pPr>
    </w:p>
    <w:p>
      <w:pPr>
        <w:spacing w:line="440" w:lineRule="exact"/>
        <w:jc w:val="center"/>
        <w:rPr>
          <w:rFonts w:asciiTheme="minorEastAsia" w:hAnsiTheme="minorEastAsia" w:eastAsiaTheme="minorEastAsia" w:cstheme="minorEastAsia"/>
          <w:b/>
          <w:color w:val="000000" w:themeColor="text1"/>
          <w:sz w:val="24"/>
          <w:szCs w:val="24"/>
          <w14:textFill>
            <w14:solidFill>
              <w14:schemeClr w14:val="tx1"/>
            </w14:solidFill>
          </w14:textFill>
        </w:rPr>
      </w:pPr>
    </w:p>
    <w:p>
      <w:pPr>
        <w:spacing w:line="440" w:lineRule="exact"/>
        <w:jc w:val="center"/>
        <w:rPr>
          <w:rFonts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z w:val="24"/>
          <w:szCs w:val="24"/>
          <w14:textFill>
            <w14:solidFill>
              <w14:schemeClr w14:val="tx1"/>
            </w14:solidFill>
          </w14:textFill>
        </w:rPr>
        <mc:AlternateContent>
          <mc:Choice Requires="wps">
            <w:drawing>
              <wp:anchor distT="0" distB="0" distL="114300" distR="114300" simplePos="0" relativeHeight="251662336" behindDoc="0" locked="0" layoutInCell="1" allowOverlap="1">
                <wp:simplePos x="0" y="0"/>
                <wp:positionH relativeFrom="column">
                  <wp:posOffset>-114300</wp:posOffset>
                </wp:positionH>
                <wp:positionV relativeFrom="paragraph">
                  <wp:posOffset>57150</wp:posOffset>
                </wp:positionV>
                <wp:extent cx="5613400" cy="1584960"/>
                <wp:effectExtent l="4445" t="4445" r="8255" b="10795"/>
                <wp:wrapNone/>
                <wp:docPr id="6" name="Text Box 7"/>
                <wp:cNvGraphicFramePr/>
                <a:graphic xmlns:a="http://schemas.openxmlformats.org/drawingml/2006/main">
                  <a:graphicData uri="http://schemas.microsoft.com/office/word/2010/wordprocessingShape">
                    <wps:wsp>
                      <wps:cNvSpPr txBox="1"/>
                      <wps:spPr>
                        <a:xfrm>
                          <a:off x="0" y="0"/>
                          <a:ext cx="5613400" cy="1584960"/>
                        </a:xfrm>
                        <a:prstGeom prst="rect">
                          <a:avLst/>
                        </a:prstGeom>
                        <a:solidFill>
                          <a:srgbClr val="FFFFFF"/>
                        </a:solidFill>
                        <a:ln w="9525" cap="flat" cmpd="sng">
                          <a:solidFill>
                            <a:srgbClr val="000000"/>
                          </a:solidFill>
                          <a:prstDash val="sysDot"/>
                          <a:miter/>
                          <a:headEnd type="none" w="med" len="med"/>
                          <a:tailEnd type="none" w="med" len="med"/>
                        </a:ln>
                        <a:effectLst/>
                      </wps:spPr>
                      <wps:txbx>
                        <w:txbxContent>
                          <w:p>
                            <w:pPr>
                              <w:jc w:val="center"/>
                            </w:pPr>
                          </w:p>
                          <w:p>
                            <w:pPr>
                              <w:jc w:val="center"/>
                              <w:rPr>
                                <w:b/>
                              </w:rPr>
                            </w:pPr>
                          </w:p>
                          <w:p>
                            <w:pPr>
                              <w:jc w:val="center"/>
                              <w:rPr>
                                <w:rFonts w:ascii="宋体" w:hAnsi="宋体"/>
                                <w:b/>
                                <w:sz w:val="24"/>
                              </w:rPr>
                            </w:pPr>
                            <w:r>
                              <w:rPr>
                                <w:rFonts w:hint="eastAsia" w:ascii="宋体" w:hAnsi="宋体"/>
                                <w:b/>
                                <w:sz w:val="24"/>
                              </w:rPr>
                              <w:t>此处被授权人附身份证复印件正反面</w:t>
                            </w:r>
                          </w:p>
                        </w:txbxContent>
                      </wps:txbx>
                      <wps:bodyPr wrap="square" upright="1"/>
                    </wps:wsp>
                  </a:graphicData>
                </a:graphic>
              </wp:anchor>
            </w:drawing>
          </mc:Choice>
          <mc:Fallback>
            <w:pict>
              <v:shape id="Text Box 7" o:spid="_x0000_s1026" o:spt="202" type="#_x0000_t202" style="position:absolute;left:0pt;margin-left:-9pt;margin-top:4.5pt;height:124.8pt;width:442pt;z-index:251662336;mso-width-relative:page;mso-height-relative:page;" fillcolor="#FFFFFF" filled="t" stroked="t" coordsize="21600,21600" o:gfxdata="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Igx+m/YAAAACQEAAA8AAAAAAAAA&#10;AQAgAAAAIgAAAGRycy9kb3ducmV2LnhtbFBLAQIUABQAAAAIAIdO4kDXB/czEQIAAFMEAAAOAAAA&#10;AAAAAAEAIAAAACcBAABkcnMvZTJvRG9jLnhtbFBLBQYAAAAABgAGAFkBAACqBQAAAAA=&#10;">
                <v:fill on="t" focussize="0,0"/>
                <v:stroke color="#000000" joinstyle="miter" dashstyle="1 1"/>
                <v:imagedata o:title=""/>
                <o:lock v:ext="edit" aspectratio="f"/>
                <v:textbox>
                  <w:txbxContent>
                    <w:p>
                      <w:pPr>
                        <w:jc w:val="center"/>
                      </w:pPr>
                    </w:p>
                    <w:p>
                      <w:pPr>
                        <w:jc w:val="center"/>
                        <w:rPr>
                          <w:b/>
                        </w:rPr>
                      </w:pPr>
                    </w:p>
                    <w:p>
                      <w:pPr>
                        <w:jc w:val="center"/>
                        <w:rPr>
                          <w:rFonts w:ascii="宋体" w:hAnsi="宋体"/>
                          <w:b/>
                          <w:sz w:val="24"/>
                        </w:rPr>
                      </w:pPr>
                      <w:r>
                        <w:rPr>
                          <w:rFonts w:hint="eastAsia" w:ascii="宋体" w:hAnsi="宋体"/>
                          <w:b/>
                          <w:sz w:val="24"/>
                        </w:rPr>
                        <w:t>此处被授权人附身份证复印件正反面</w:t>
                      </w:r>
                    </w:p>
                  </w:txbxContent>
                </v:textbox>
              </v:shape>
            </w:pict>
          </mc:Fallback>
        </mc:AlternateContent>
      </w:r>
    </w:p>
    <w:p>
      <w:pPr>
        <w:pStyle w:val="113"/>
        <w:outlineLvl w:val="2"/>
        <w:rPr>
          <w:rFonts w:asciiTheme="minorEastAsia" w:hAnsiTheme="minorEastAsia" w:eastAsiaTheme="minorEastAsia" w:cstheme="minorEastAsia"/>
          <w:color w:val="000000" w:themeColor="text1"/>
          <w:sz w:val="24"/>
          <w:szCs w:val="21"/>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br w:type="page"/>
      </w:r>
      <w:bookmarkStart w:id="170" w:name="_Toc20340"/>
      <w:r>
        <w:rPr>
          <w:rFonts w:hint="eastAsia" w:asciiTheme="minorEastAsia" w:hAnsiTheme="minorEastAsia" w:eastAsiaTheme="minorEastAsia" w:cstheme="minorEastAsia"/>
          <w:color w:val="000000" w:themeColor="text1"/>
          <w:sz w:val="24"/>
          <w:szCs w:val="21"/>
          <w14:textFill>
            <w14:solidFill>
              <w14:schemeClr w14:val="tx1"/>
            </w14:solidFill>
          </w14:textFill>
        </w:rPr>
        <w:t>1.3☆投标保证金</w:t>
      </w:r>
      <w:bookmarkEnd w:id="170"/>
      <w:r>
        <w:rPr>
          <w:rFonts w:hint="eastAsia" w:asciiTheme="minorEastAsia" w:hAnsiTheme="minorEastAsia" w:eastAsiaTheme="minorEastAsia" w:cstheme="minorEastAsia"/>
          <w:color w:val="000000" w:themeColor="text1"/>
          <w:sz w:val="24"/>
          <w:szCs w:val="21"/>
          <w14:textFill>
            <w14:solidFill>
              <w14:schemeClr w14:val="tx1"/>
            </w14:solidFill>
          </w14:textFill>
        </w:rPr>
        <w:t>（汇款凭证或收据）</w:t>
      </w:r>
    </w:p>
    <w:p>
      <w:pPr>
        <w:pStyle w:val="120"/>
        <w:jc w:val="center"/>
        <w:outlineLvl w:val="1"/>
        <w:rPr>
          <w:rFonts w:asciiTheme="minorEastAsia" w:hAnsiTheme="minorEastAsia" w:eastAsiaTheme="minorEastAsia" w:cstheme="minorEastAsia"/>
          <w:color w:val="000000" w:themeColor="text1"/>
          <w:sz w:val="24"/>
          <w:szCs w:val="2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br w:type="page"/>
      </w:r>
      <w:bookmarkStart w:id="171" w:name="_Toc14314"/>
      <w:r>
        <w:rPr>
          <w:rFonts w:hint="eastAsia" w:asciiTheme="minorEastAsia" w:hAnsiTheme="minorEastAsia" w:eastAsiaTheme="minorEastAsia" w:cstheme="minorEastAsia"/>
          <w:color w:val="000000" w:themeColor="text1"/>
          <w:sz w:val="24"/>
          <w:szCs w:val="21"/>
          <w14:textFill>
            <w14:solidFill>
              <w14:schemeClr w14:val="tx1"/>
            </w14:solidFill>
          </w14:textFill>
        </w:rPr>
        <w:t>二、商务文件</w:t>
      </w:r>
      <w:bookmarkEnd w:id="171"/>
    </w:p>
    <w:p>
      <w:pPr>
        <w:pStyle w:val="112"/>
        <w:spacing w:line="440" w:lineRule="exact"/>
        <w:jc w:val="center"/>
        <w:outlineLvl w:val="2"/>
        <w:rPr>
          <w:rFonts w:asciiTheme="minorEastAsia" w:hAnsiTheme="minorEastAsia" w:eastAsiaTheme="minorEastAsia" w:cstheme="minorEastAsia"/>
          <w:color w:val="000000" w:themeColor="text1"/>
          <w:sz w:val="24"/>
          <w:szCs w:val="21"/>
          <w14:textFill>
            <w14:solidFill>
              <w14:schemeClr w14:val="tx1"/>
            </w14:solidFill>
          </w14:textFill>
        </w:rPr>
      </w:pPr>
      <w:bookmarkStart w:id="172" w:name="_Toc1343"/>
      <w:r>
        <w:rPr>
          <w:rFonts w:hint="eastAsia" w:asciiTheme="minorEastAsia" w:hAnsiTheme="minorEastAsia" w:eastAsiaTheme="minorEastAsia" w:cstheme="minorEastAsia"/>
          <w:color w:val="000000" w:themeColor="text1"/>
          <w:sz w:val="24"/>
          <w:szCs w:val="21"/>
          <w14:textFill>
            <w14:solidFill>
              <w14:schemeClr w14:val="tx1"/>
            </w14:solidFill>
          </w14:textFill>
        </w:rPr>
        <w:t>2.1☆投标函</w:t>
      </w:r>
      <w:bookmarkEnd w:id="172"/>
    </w:p>
    <w:p>
      <w:pPr>
        <w:pStyle w:val="63"/>
        <w:widowControl/>
        <w:spacing w:line="440" w:lineRule="exact"/>
        <w:ind w:left="0" w:leftChars="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14:textFill>
            <w14:solidFill>
              <w14:schemeClr w14:val="tx1"/>
            </w14:solidFill>
          </w14:textFill>
        </w:rPr>
        <w:t>：</w:t>
      </w:r>
    </w:p>
    <w:p>
      <w:pPr>
        <w:pStyle w:val="63"/>
        <w:widowControl/>
        <w:spacing w:line="440" w:lineRule="exact"/>
        <w:ind w:left="0" w:leftChars="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14:textFill>
            <w14:solidFill>
              <w14:schemeClr w14:val="tx1"/>
            </w14:solidFill>
          </w14:textFill>
        </w:rPr>
        <w:t xml:space="preserve"> (投标人名称)授权</w:t>
      </w:r>
      <w:r>
        <w:rPr>
          <w:rFonts w:hint="eastAsia" w:asciiTheme="minorEastAsia" w:hAnsiTheme="minorEastAsia" w:eastAsiaTheme="minorEastAsia" w:cstheme="minorEastAsia"/>
          <w:color w:val="000000" w:themeColor="text1"/>
          <w:sz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14:textFill>
            <w14:solidFill>
              <w14:schemeClr w14:val="tx1"/>
            </w14:solidFill>
          </w14:textFill>
        </w:rPr>
        <w:t>(投标人授权代理人姓名)</w:t>
      </w:r>
      <w:r>
        <w:rPr>
          <w:rFonts w:hint="eastAsia" w:asciiTheme="minorEastAsia" w:hAnsiTheme="minorEastAsia" w:eastAsiaTheme="minorEastAsia" w:cstheme="minorEastAsia"/>
          <w:color w:val="000000" w:themeColor="text1"/>
          <w:sz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14:textFill>
            <w14:solidFill>
              <w14:schemeClr w14:val="tx1"/>
            </w14:solidFill>
          </w14:textFill>
        </w:rPr>
        <w:t>(职务、职称)为我方代表，参加贵方组织的</w:t>
      </w:r>
      <w:r>
        <w:rPr>
          <w:rFonts w:hint="eastAsia" w:asciiTheme="minorEastAsia" w:hAnsiTheme="minorEastAsia" w:eastAsiaTheme="minorEastAsia" w:cstheme="minorEastAsia"/>
          <w:color w:val="000000" w:themeColor="text1"/>
          <w:sz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14:textFill>
            <w14:solidFill>
              <w14:schemeClr w14:val="tx1"/>
            </w14:solidFill>
          </w14:textFill>
        </w:rPr>
        <w:t xml:space="preserve"> (项目名称、项目编号)招标的有关活动，并对此项目进行投标。为此：</w:t>
      </w:r>
    </w:p>
    <w:p>
      <w:pPr>
        <w:pStyle w:val="63"/>
        <w:widowControl/>
        <w:spacing w:line="440" w:lineRule="exact"/>
        <w:ind w:left="0" w:leftChars="0"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1、我方同意在本项目招标文件中规定的投标有效期内遵守本投标文件中的承诺且在此期限期满之前均具有约束力。</w:t>
      </w:r>
    </w:p>
    <w:p>
      <w:pPr>
        <w:pStyle w:val="63"/>
        <w:widowControl/>
        <w:spacing w:line="440" w:lineRule="exact"/>
        <w:ind w:left="0" w:leftChars="0"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2、我方承诺已经具备《中华人民共和国政府采购法》中规定的参加政府采购活动的投标人应当具备的条件：</w:t>
      </w:r>
    </w:p>
    <w:p>
      <w:pPr>
        <w:pStyle w:val="63"/>
        <w:widowControl/>
        <w:spacing w:line="440" w:lineRule="exact"/>
        <w:ind w:left="0" w:leftChars="0"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1）具有独立承担民事责任的能力；</w:t>
      </w:r>
    </w:p>
    <w:p>
      <w:pPr>
        <w:pStyle w:val="63"/>
        <w:widowControl/>
        <w:spacing w:line="440" w:lineRule="exact"/>
        <w:ind w:left="0" w:leftChars="0"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2）具有良好的商业信誉和健全的财务会计制度；</w:t>
      </w:r>
    </w:p>
    <w:p>
      <w:pPr>
        <w:pStyle w:val="63"/>
        <w:widowControl/>
        <w:spacing w:line="440" w:lineRule="exact"/>
        <w:ind w:left="0" w:leftChars="0"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3）具有履行合同所必需的设备和专业技术能力；</w:t>
      </w:r>
    </w:p>
    <w:p>
      <w:pPr>
        <w:pStyle w:val="63"/>
        <w:widowControl/>
        <w:spacing w:line="440" w:lineRule="exact"/>
        <w:ind w:left="0" w:leftChars="0"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4）有依法缴纳税收和社会保障资金的良好记录；</w:t>
      </w:r>
    </w:p>
    <w:p>
      <w:pPr>
        <w:pStyle w:val="63"/>
        <w:widowControl/>
        <w:spacing w:line="440" w:lineRule="exact"/>
        <w:ind w:left="0" w:leftChars="0"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5）参加此项采购活动前三年内，在经营活动中没有重大违法记录；</w:t>
      </w:r>
    </w:p>
    <w:p>
      <w:pPr>
        <w:pStyle w:val="64"/>
        <w:spacing w:line="440" w:lineRule="exact"/>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6）法律、行政法规规定的其他条件。</w:t>
      </w:r>
    </w:p>
    <w:p>
      <w:pPr>
        <w:pStyle w:val="63"/>
        <w:widowControl/>
        <w:spacing w:line="440" w:lineRule="exact"/>
        <w:ind w:left="0" w:leftChars="0"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3、提供投标人须知规定的全部投标文件。</w:t>
      </w:r>
    </w:p>
    <w:p>
      <w:pPr>
        <w:pStyle w:val="63"/>
        <w:widowControl/>
        <w:spacing w:line="440" w:lineRule="exact"/>
        <w:ind w:left="0" w:leftChars="0"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4、按招标文件要求提供和交付的货物及相关服务的投标报价详见开标一览表。</w:t>
      </w:r>
    </w:p>
    <w:p>
      <w:pPr>
        <w:pStyle w:val="63"/>
        <w:widowControl/>
        <w:spacing w:line="440" w:lineRule="exact"/>
        <w:ind w:left="0" w:leftChars="0"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5、保证忠实地执行双方所签订的合同，并承担合同规定的责任和义务。</w:t>
      </w:r>
    </w:p>
    <w:p>
      <w:pPr>
        <w:pStyle w:val="63"/>
        <w:widowControl/>
        <w:spacing w:line="440" w:lineRule="exact"/>
        <w:ind w:left="0" w:leftChars="0"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6、我方承诺完全满足和响应招标文件中的各项技术和服务要求，若有偏差，已在投标文件偏离表中予以明确特别说明。</w:t>
      </w:r>
    </w:p>
    <w:p>
      <w:pPr>
        <w:pStyle w:val="63"/>
        <w:widowControl/>
        <w:spacing w:line="440" w:lineRule="exact"/>
        <w:ind w:left="0" w:leftChars="0"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7、我方承诺：完全理解投标报价若超过项目预算时，投标将被拒绝。</w:t>
      </w:r>
    </w:p>
    <w:p>
      <w:pPr>
        <w:pStyle w:val="63"/>
        <w:widowControl/>
        <w:spacing w:line="440" w:lineRule="exact"/>
        <w:ind w:left="0" w:leftChars="0"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8、我方承诺：与在本项目中设计编制技术规格的机构及其附属机构无任何直接隶属关系和利益关联。</w:t>
      </w:r>
    </w:p>
    <w:p>
      <w:pPr>
        <w:pStyle w:val="63"/>
        <w:widowControl/>
        <w:spacing w:line="440" w:lineRule="exact"/>
        <w:ind w:left="0" w:leftChars="0"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9、如果在开标后规定的投标有效期内撤回投标，我方的投标保证金可被贵方没收。</w:t>
      </w:r>
    </w:p>
    <w:p>
      <w:pPr>
        <w:pStyle w:val="63"/>
        <w:widowControl/>
        <w:spacing w:line="440" w:lineRule="exact"/>
        <w:ind w:left="0" w:leftChars="0"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10、我方完全理解贵方不一定接受最低价的投标或收到的任何投标。</w:t>
      </w:r>
    </w:p>
    <w:p>
      <w:pPr>
        <w:pStyle w:val="63"/>
        <w:widowControl/>
        <w:spacing w:line="440" w:lineRule="exact"/>
        <w:ind w:left="0" w:leftChars="0"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11、我方承诺：投标文件所提供的一切资料均真实、及时、有效。由于我方提供资料不实而造成的责任和后果由我方承担。我方同意按照贵方提出的要求，向贵方提供任何与本项投标有关的数据、情况和技术资料。若贵方需要，我方愿意提供我方作出的一切承诺的证明材料。</w:t>
      </w:r>
    </w:p>
    <w:p>
      <w:pPr>
        <w:pStyle w:val="63"/>
        <w:widowControl/>
        <w:spacing w:line="440" w:lineRule="exact"/>
        <w:ind w:left="0" w:leftChars="0"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12、我方已详细审核全部投标文件，包括投标文件修改书（如有的话）、参考资料及有关附件，确认无误。</w:t>
      </w:r>
    </w:p>
    <w:p>
      <w:pPr>
        <w:pStyle w:val="63"/>
        <w:widowControl/>
        <w:spacing w:line="440" w:lineRule="exact"/>
        <w:ind w:left="0" w:leftChars="0"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13、我方承诺：采购人若需追加采购本项目招标文件所列货物及相关服务的，在不改变合同其他实质性条款的前提下，按相同或更优惠的折扣率保证供货。</w:t>
      </w:r>
    </w:p>
    <w:p>
      <w:pPr>
        <w:pStyle w:val="63"/>
        <w:widowControl/>
        <w:spacing w:line="440" w:lineRule="exact"/>
        <w:ind w:left="0" w:leftChars="0"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14、我方承诺：如所报货物属国家强制认证产品的，均已通过认证且在有效期内，否则，由此产生的一切法律责任由我方承担。</w:t>
      </w:r>
    </w:p>
    <w:p>
      <w:pPr>
        <w:pStyle w:val="63"/>
        <w:widowControl/>
        <w:spacing w:line="440" w:lineRule="exact"/>
        <w:ind w:left="0" w:leftChars="0"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15、我方承诺：接受招标文件中的全部条款且无任何异议，保证遵守招标文件的规定。</w:t>
      </w:r>
    </w:p>
    <w:p>
      <w:pPr>
        <w:pStyle w:val="63"/>
        <w:widowControl/>
        <w:spacing w:line="440" w:lineRule="exact"/>
        <w:ind w:left="0" w:leftChars="0"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16、我方将严格遵守《中华人民共和国政府采购法》的有关规定，若有下列情形之一的，将被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pPr>
        <w:pStyle w:val="63"/>
        <w:widowControl/>
        <w:spacing w:line="440" w:lineRule="exact"/>
        <w:ind w:left="0" w:leftChars="0"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1）提供虚假材料谋取中标、成交的；</w:t>
      </w:r>
    </w:p>
    <w:p>
      <w:pPr>
        <w:pStyle w:val="63"/>
        <w:widowControl/>
        <w:spacing w:line="440" w:lineRule="exact"/>
        <w:ind w:left="0" w:leftChars="0"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2）采取不正当手段诋毁、排挤其他投标人的；</w:t>
      </w:r>
    </w:p>
    <w:p>
      <w:pPr>
        <w:pStyle w:val="63"/>
        <w:widowControl/>
        <w:spacing w:line="440" w:lineRule="exact"/>
        <w:ind w:left="0" w:leftChars="0"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3）与采购人、其他投标人或者采购代理机构工作人员恶意串通的；</w:t>
      </w:r>
    </w:p>
    <w:p>
      <w:pPr>
        <w:pStyle w:val="63"/>
        <w:widowControl/>
        <w:spacing w:line="440" w:lineRule="exact"/>
        <w:ind w:left="0" w:leftChars="0"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4）向采购人、采购代理机构工作人员行贿或者提供其他不正当利益的；</w:t>
      </w:r>
    </w:p>
    <w:p>
      <w:pPr>
        <w:pStyle w:val="63"/>
        <w:widowControl/>
        <w:spacing w:line="440" w:lineRule="exact"/>
        <w:ind w:left="0" w:leftChars="0"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5）在采购过程中与采购人进行协商谈判的；</w:t>
      </w:r>
    </w:p>
    <w:p>
      <w:pPr>
        <w:pStyle w:val="63"/>
        <w:widowControl/>
        <w:spacing w:line="440" w:lineRule="exact"/>
        <w:ind w:left="0" w:leftChars="0"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6）拒绝有关部门监督检查或提供虚假情况的。</w:t>
      </w:r>
    </w:p>
    <w:p>
      <w:pPr>
        <w:pStyle w:val="64"/>
        <w:spacing w:line="440" w:lineRule="exact"/>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 xml:space="preserve">    17、</w:t>
      </w:r>
      <w:r>
        <w:rPr>
          <w:rFonts w:hint="eastAsia" w:asciiTheme="minorEastAsia" w:hAnsiTheme="minorEastAsia" w:eastAsiaTheme="minorEastAsia" w:cstheme="minorEastAsia"/>
          <w:color w:val="000000" w:themeColor="text1"/>
          <w:sz w:val="24"/>
          <w14:textFill>
            <w14:solidFill>
              <w14:schemeClr w14:val="tx1"/>
            </w14:solidFill>
          </w14:textFill>
        </w:rPr>
        <w:t>与本投标有关的一切往来通讯请寄：</w:t>
      </w:r>
    </w:p>
    <w:p>
      <w:pPr>
        <w:pStyle w:val="63"/>
        <w:widowControl/>
        <w:spacing w:line="440" w:lineRule="exact"/>
        <w:ind w:left="0" w:leftChars="0"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地址：____________________________________________________</w:t>
      </w:r>
    </w:p>
    <w:p>
      <w:pPr>
        <w:pStyle w:val="63"/>
        <w:widowControl/>
        <w:spacing w:line="440" w:lineRule="exact"/>
        <w:ind w:left="0" w:leftChars="0"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邮编：____________　</w:t>
      </w:r>
    </w:p>
    <w:p>
      <w:pPr>
        <w:pStyle w:val="63"/>
        <w:widowControl/>
        <w:spacing w:line="440" w:lineRule="exact"/>
        <w:ind w:left="0" w:leftChars="0"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电话：____________　   传真：____________</w:t>
      </w:r>
    </w:p>
    <w:p>
      <w:pPr>
        <w:pStyle w:val="63"/>
        <w:widowControl/>
        <w:spacing w:line="440" w:lineRule="exact"/>
        <w:ind w:left="0" w:leftChars="0"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投标人法定代表人或授权代理人联系电话，e-mail：</w:t>
      </w:r>
      <w:r>
        <w:rPr>
          <w:rFonts w:hint="eastAsia" w:asciiTheme="minorEastAsia" w:hAnsiTheme="minorEastAsia" w:eastAsiaTheme="minorEastAsia" w:cstheme="minorEastAsia"/>
          <w:color w:val="000000" w:themeColor="text1"/>
          <w:sz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14:textFill>
            <w14:solidFill>
              <w14:schemeClr w14:val="tx1"/>
            </w14:solidFill>
          </w14:textFill>
        </w:rPr>
        <w:t xml:space="preserve">        </w:t>
      </w:r>
    </w:p>
    <w:p>
      <w:pPr>
        <w:pStyle w:val="63"/>
        <w:widowControl/>
        <w:spacing w:line="440" w:lineRule="exact"/>
        <w:ind w:left="0" w:leftChars="0" w:firstLine="482" w:firstLineChars="200"/>
        <w:rPr>
          <w:rFonts w:asciiTheme="minorEastAsia" w:hAnsiTheme="minorEastAsia" w:eastAsiaTheme="minorEastAsia" w:cstheme="minorEastAsia"/>
          <w:b/>
          <w:color w:val="000000" w:themeColor="text1"/>
          <w:sz w:val="24"/>
          <w14:textFill>
            <w14:solidFill>
              <w14:schemeClr w14:val="tx1"/>
            </w14:solidFill>
          </w14:textFill>
        </w:rPr>
      </w:pPr>
      <w:r>
        <w:rPr>
          <w:rFonts w:hint="eastAsia" w:asciiTheme="minorEastAsia" w:hAnsiTheme="minorEastAsia" w:eastAsiaTheme="minorEastAsia" w:cstheme="minorEastAsia"/>
          <w:b/>
          <w:color w:val="000000" w:themeColor="text1"/>
          <w:sz w:val="24"/>
          <w14:textFill>
            <w14:solidFill>
              <w14:schemeClr w14:val="tx1"/>
            </w14:solidFill>
          </w14:textFill>
        </w:rPr>
        <w:t xml:space="preserve">投标人名称（盖章）：   </w:t>
      </w:r>
      <w:r>
        <w:rPr>
          <w:rFonts w:hint="eastAsia" w:asciiTheme="minorEastAsia" w:hAnsiTheme="minorEastAsia" w:eastAsiaTheme="minorEastAsia" w:cstheme="minorEastAsia"/>
          <w:color w:val="000000" w:themeColor="text1"/>
          <w:sz w:val="24"/>
          <w:u w:val="single"/>
          <w14:textFill>
            <w14:solidFill>
              <w14:schemeClr w14:val="tx1"/>
            </w14:solidFill>
          </w14:textFill>
        </w:rPr>
        <w:t xml:space="preserve">                   </w:t>
      </w:r>
      <w:r>
        <w:rPr>
          <w:rFonts w:hint="eastAsia" w:asciiTheme="minorEastAsia" w:hAnsiTheme="minorEastAsia" w:eastAsiaTheme="minorEastAsia" w:cstheme="minorEastAsia"/>
          <w:b/>
          <w:color w:val="000000" w:themeColor="text1"/>
          <w:sz w:val="24"/>
          <w14:textFill>
            <w14:solidFill>
              <w14:schemeClr w14:val="tx1"/>
            </w14:solidFill>
          </w14:textFill>
        </w:rPr>
        <w:t xml:space="preserve">                    </w:t>
      </w:r>
    </w:p>
    <w:p>
      <w:pPr>
        <w:pStyle w:val="63"/>
        <w:widowControl/>
        <w:spacing w:line="440" w:lineRule="exact"/>
        <w:ind w:left="0" w:leftChars="0" w:firstLine="482" w:firstLineChars="200"/>
        <w:rPr>
          <w:rFonts w:asciiTheme="minorEastAsia" w:hAnsiTheme="minorEastAsia" w:eastAsiaTheme="minorEastAsia" w:cstheme="minorEastAsia"/>
          <w:b/>
          <w:color w:val="000000" w:themeColor="text1"/>
          <w:sz w:val="24"/>
          <w14:textFill>
            <w14:solidFill>
              <w14:schemeClr w14:val="tx1"/>
            </w14:solidFill>
          </w14:textFill>
        </w:rPr>
      </w:pPr>
      <w:r>
        <w:rPr>
          <w:rFonts w:hint="eastAsia" w:asciiTheme="minorEastAsia" w:hAnsiTheme="minorEastAsia" w:eastAsiaTheme="minorEastAsia" w:cstheme="minorEastAsia"/>
          <w:b/>
          <w:color w:val="000000" w:themeColor="text1"/>
          <w:sz w:val="24"/>
          <w14:textFill>
            <w14:solidFill>
              <w14:schemeClr w14:val="tx1"/>
            </w14:solidFill>
          </w14:textFill>
        </w:rPr>
        <w:t xml:space="preserve">法定代表人或被授权代理人（签字或盖章）： </w:t>
      </w:r>
      <w:r>
        <w:rPr>
          <w:rFonts w:hint="eastAsia" w:asciiTheme="minorEastAsia" w:hAnsiTheme="minorEastAsia" w:eastAsiaTheme="minorEastAsia" w:cstheme="minorEastAsia"/>
          <w:color w:val="000000" w:themeColor="text1"/>
          <w:sz w:val="24"/>
          <w:u w:val="single"/>
          <w14:textFill>
            <w14:solidFill>
              <w14:schemeClr w14:val="tx1"/>
            </w14:solidFill>
          </w14:textFill>
        </w:rPr>
        <w:t xml:space="preserve">                   </w:t>
      </w:r>
      <w:r>
        <w:rPr>
          <w:rFonts w:hint="eastAsia" w:asciiTheme="minorEastAsia" w:hAnsiTheme="minorEastAsia" w:eastAsiaTheme="minorEastAsia" w:cstheme="minorEastAsia"/>
          <w:b/>
          <w:color w:val="000000" w:themeColor="text1"/>
          <w:sz w:val="24"/>
          <w14:textFill>
            <w14:solidFill>
              <w14:schemeClr w14:val="tx1"/>
            </w14:solidFill>
          </w14:textFill>
        </w:rPr>
        <w:t xml:space="preserve">                 </w:t>
      </w:r>
    </w:p>
    <w:p>
      <w:pPr>
        <w:pStyle w:val="63"/>
        <w:widowControl/>
        <w:spacing w:line="440" w:lineRule="exact"/>
        <w:ind w:left="0" w:leftChars="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ab/>
      </w:r>
      <w:r>
        <w:rPr>
          <w:rFonts w:hint="eastAsia" w:asciiTheme="minorEastAsia" w:hAnsiTheme="minorEastAsia" w:eastAsiaTheme="minorEastAsia" w:cstheme="minorEastAsia"/>
          <w:color w:val="000000" w:themeColor="text1"/>
          <w:sz w:val="24"/>
          <w14:textFill>
            <w14:solidFill>
              <w14:schemeClr w14:val="tx1"/>
            </w14:solidFill>
          </w14:textFill>
        </w:rPr>
        <w:t xml:space="preserve"> 日　期：</w:t>
      </w:r>
    </w:p>
    <w:p>
      <w:pPr>
        <w:pStyle w:val="63"/>
        <w:widowControl/>
        <w:spacing w:line="440" w:lineRule="exact"/>
        <w:ind w:left="0" w:leftChars="0"/>
        <w:rPr>
          <w:rFonts w:asciiTheme="minorEastAsia" w:hAnsiTheme="minorEastAsia" w:eastAsiaTheme="minorEastAsia" w:cstheme="minorEastAsia"/>
          <w:b/>
          <w:color w:val="000000" w:themeColor="text1"/>
          <w:sz w:val="24"/>
          <w14:textFill>
            <w14:solidFill>
              <w14:schemeClr w14:val="tx1"/>
            </w14:solidFill>
          </w14:textFill>
        </w:rPr>
      </w:pPr>
      <w:r>
        <w:rPr>
          <w:rFonts w:hint="eastAsia" w:asciiTheme="minorEastAsia" w:hAnsiTheme="minorEastAsia" w:eastAsiaTheme="minorEastAsia" w:cstheme="minorEastAsia"/>
          <w:b/>
          <w:color w:val="000000" w:themeColor="text1"/>
          <w:sz w:val="24"/>
          <w14:textFill>
            <w14:solidFill>
              <w14:schemeClr w14:val="tx1"/>
            </w14:solidFill>
          </w14:textFill>
        </w:rPr>
        <w:t>说明：除可填报项目外，对本投标函的任何修改将被视为非实质性响应投标，从而导致该投标被拒绝。</w:t>
      </w:r>
    </w:p>
    <w:p>
      <w:pPr>
        <w:pStyle w:val="64"/>
        <w:rPr>
          <w:rFonts w:asciiTheme="minorEastAsia" w:hAnsiTheme="minorEastAsia" w:eastAsiaTheme="minorEastAsia" w:cstheme="minorEastAsia"/>
          <w:b/>
          <w:color w:val="000000" w:themeColor="text1"/>
          <w:sz w:val="24"/>
          <w14:textFill>
            <w14:solidFill>
              <w14:schemeClr w14:val="tx1"/>
            </w14:solidFill>
          </w14:textFill>
        </w:rPr>
      </w:pPr>
    </w:p>
    <w:p>
      <w:pPr>
        <w:pStyle w:val="64"/>
        <w:rPr>
          <w:rFonts w:asciiTheme="minorEastAsia" w:hAnsiTheme="minorEastAsia" w:eastAsiaTheme="minorEastAsia" w:cstheme="minorEastAsia"/>
          <w:b/>
          <w:color w:val="000000" w:themeColor="text1"/>
          <w:sz w:val="24"/>
          <w14:textFill>
            <w14:solidFill>
              <w14:schemeClr w14:val="tx1"/>
            </w14:solidFill>
          </w14:textFill>
        </w:rPr>
      </w:pPr>
    </w:p>
    <w:p>
      <w:pPr>
        <w:pStyle w:val="112"/>
        <w:outlineLvl w:val="2"/>
        <w:rPr>
          <w:rFonts w:asciiTheme="minorEastAsia" w:hAnsiTheme="minorEastAsia" w:eastAsiaTheme="minorEastAsia" w:cstheme="minorEastAsia"/>
          <w:color w:val="000000" w:themeColor="text1"/>
          <w:sz w:val="24"/>
          <w:szCs w:val="21"/>
          <w14:textFill>
            <w14:solidFill>
              <w14:schemeClr w14:val="tx1"/>
            </w14:solidFill>
          </w14:textFill>
        </w:rPr>
      </w:pPr>
      <w:bookmarkStart w:id="173" w:name="_Toc18007"/>
      <w:r>
        <w:rPr>
          <w:rFonts w:hint="eastAsia" w:asciiTheme="minorEastAsia" w:hAnsiTheme="minorEastAsia" w:eastAsiaTheme="minorEastAsia" w:cstheme="minorEastAsia"/>
          <w:color w:val="000000" w:themeColor="text1"/>
          <w:sz w:val="24"/>
          <w:szCs w:val="21"/>
          <w14:textFill>
            <w14:solidFill>
              <w14:schemeClr w14:val="tx1"/>
            </w14:solidFill>
          </w14:textFill>
        </w:rPr>
        <w:t>2.2企业基本情况表、项目负责人简历表、拟投入本项目主要成员表</w:t>
      </w:r>
      <w:bookmarkEnd w:id="173"/>
    </w:p>
    <w:p>
      <w:pPr>
        <w:spacing w:line="440" w:lineRule="exact"/>
        <w:rPr>
          <w:rFonts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z w:val="24"/>
          <w:szCs w:val="24"/>
          <w14:textFill>
            <w14:solidFill>
              <w14:schemeClr w14:val="tx1"/>
            </w14:solidFill>
          </w14:textFill>
        </w:rPr>
        <w:t>2.2.1、企业基本情况表</w:t>
      </w:r>
    </w:p>
    <w:tbl>
      <w:tblPr>
        <w:tblStyle w:val="38"/>
        <w:tblW w:w="8714" w:type="dxa"/>
        <w:jc w:val="center"/>
        <w:tblLayout w:type="fixed"/>
        <w:tblCellMar>
          <w:top w:w="0" w:type="dxa"/>
          <w:left w:w="0" w:type="dxa"/>
          <w:bottom w:w="0" w:type="dxa"/>
          <w:right w:w="0" w:type="dxa"/>
        </w:tblCellMar>
      </w:tblPr>
      <w:tblGrid>
        <w:gridCol w:w="1242"/>
        <w:gridCol w:w="1445"/>
        <w:gridCol w:w="849"/>
        <w:gridCol w:w="493"/>
        <w:gridCol w:w="655"/>
        <w:gridCol w:w="688"/>
        <w:gridCol w:w="458"/>
        <w:gridCol w:w="367"/>
        <w:gridCol w:w="552"/>
        <w:gridCol w:w="1965"/>
      </w:tblGrid>
      <w:tr>
        <w:tblPrEx>
          <w:tblCellMar>
            <w:top w:w="0" w:type="dxa"/>
            <w:left w:w="0" w:type="dxa"/>
            <w:bottom w:w="0" w:type="dxa"/>
            <w:right w:w="0" w:type="dxa"/>
          </w:tblCellMar>
        </w:tblPrEx>
        <w:trPr>
          <w:trHeight w:val="567" w:hRule="exact"/>
          <w:jc w:val="center"/>
        </w:trPr>
        <w:tc>
          <w:tcPr>
            <w:tcW w:w="1242" w:type="dxa"/>
            <w:tcBorders>
              <w:top w:val="single" w:color="000000" w:sz="4" w:space="0"/>
              <w:left w:val="single" w:color="000000" w:sz="4" w:space="0"/>
              <w:bottom w:val="single" w:color="000000" w:sz="4" w:space="0"/>
              <w:right w:val="single" w:color="000000" w:sz="4" w:space="0"/>
            </w:tcBorders>
            <w:noWrap/>
            <w:vAlign w:val="center"/>
          </w:tcPr>
          <w:p>
            <w:pPr>
              <w:pStyle w:val="164"/>
              <w:overflowPunct w:val="0"/>
              <w:snapToGrid w:val="0"/>
              <w:spacing w:line="440" w:lineRule="exact"/>
              <w:jc w:val="center"/>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单位名称</w:t>
            </w:r>
          </w:p>
        </w:tc>
        <w:tc>
          <w:tcPr>
            <w:tcW w:w="7472" w:type="dxa"/>
            <w:gridSpan w:val="9"/>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440" w:lineRule="exact"/>
              <w:jc w:val="center"/>
              <w:rPr>
                <w:rFonts w:asciiTheme="minorEastAsia" w:hAnsiTheme="minorEastAsia" w:eastAsiaTheme="minorEastAsia" w:cstheme="minorEastAsia"/>
                <w:color w:val="000000" w:themeColor="text1"/>
                <w:sz w:val="24"/>
                <w:szCs w:val="24"/>
                <w14:textFill>
                  <w14:solidFill>
                    <w14:schemeClr w14:val="tx1"/>
                  </w14:solidFill>
                </w14:textFill>
              </w:rPr>
            </w:pPr>
          </w:p>
        </w:tc>
      </w:tr>
      <w:tr>
        <w:tblPrEx>
          <w:tblCellMar>
            <w:top w:w="0" w:type="dxa"/>
            <w:left w:w="0" w:type="dxa"/>
            <w:bottom w:w="0" w:type="dxa"/>
            <w:right w:w="0" w:type="dxa"/>
          </w:tblCellMar>
        </w:tblPrEx>
        <w:trPr>
          <w:trHeight w:val="567" w:hRule="exact"/>
          <w:jc w:val="center"/>
        </w:trPr>
        <w:tc>
          <w:tcPr>
            <w:tcW w:w="1242" w:type="dxa"/>
            <w:tcBorders>
              <w:top w:val="single" w:color="000000" w:sz="4" w:space="0"/>
              <w:left w:val="single" w:color="000000" w:sz="4" w:space="0"/>
              <w:bottom w:val="single" w:color="000000" w:sz="4" w:space="0"/>
              <w:right w:val="single" w:color="000000" w:sz="4" w:space="0"/>
            </w:tcBorders>
            <w:noWrap/>
            <w:vAlign w:val="center"/>
          </w:tcPr>
          <w:p>
            <w:pPr>
              <w:pStyle w:val="164"/>
              <w:overflowPunct w:val="0"/>
              <w:snapToGrid w:val="0"/>
              <w:spacing w:line="440" w:lineRule="exact"/>
              <w:jc w:val="center"/>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单位地址</w:t>
            </w:r>
          </w:p>
        </w:tc>
        <w:tc>
          <w:tcPr>
            <w:tcW w:w="7472" w:type="dxa"/>
            <w:gridSpan w:val="9"/>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440" w:lineRule="exact"/>
              <w:jc w:val="center"/>
              <w:rPr>
                <w:rFonts w:asciiTheme="minorEastAsia" w:hAnsiTheme="minorEastAsia" w:eastAsiaTheme="minorEastAsia" w:cstheme="minorEastAsia"/>
                <w:color w:val="000000" w:themeColor="text1"/>
                <w:sz w:val="24"/>
                <w:szCs w:val="24"/>
                <w14:textFill>
                  <w14:solidFill>
                    <w14:schemeClr w14:val="tx1"/>
                  </w14:solidFill>
                </w14:textFill>
              </w:rPr>
            </w:pPr>
          </w:p>
        </w:tc>
      </w:tr>
      <w:tr>
        <w:tblPrEx>
          <w:tblCellMar>
            <w:top w:w="0" w:type="dxa"/>
            <w:left w:w="0" w:type="dxa"/>
            <w:bottom w:w="0" w:type="dxa"/>
            <w:right w:w="0" w:type="dxa"/>
          </w:tblCellMar>
        </w:tblPrEx>
        <w:trPr>
          <w:trHeight w:val="567" w:hRule="exact"/>
          <w:jc w:val="center"/>
        </w:trPr>
        <w:tc>
          <w:tcPr>
            <w:tcW w:w="1242" w:type="dxa"/>
            <w:tcBorders>
              <w:top w:val="single" w:color="000000" w:sz="4" w:space="0"/>
              <w:left w:val="single" w:color="000000" w:sz="4" w:space="0"/>
              <w:bottom w:val="single" w:color="000000" w:sz="4" w:space="0"/>
              <w:right w:val="single" w:color="000000" w:sz="4" w:space="0"/>
            </w:tcBorders>
            <w:noWrap/>
            <w:vAlign w:val="center"/>
          </w:tcPr>
          <w:p>
            <w:pPr>
              <w:pStyle w:val="164"/>
              <w:overflowPunct w:val="0"/>
              <w:snapToGrid w:val="0"/>
              <w:spacing w:line="440" w:lineRule="exact"/>
              <w:jc w:val="center"/>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主管部门</w:t>
            </w:r>
          </w:p>
        </w:tc>
        <w:tc>
          <w:tcPr>
            <w:tcW w:w="7472" w:type="dxa"/>
            <w:gridSpan w:val="9"/>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440" w:lineRule="exact"/>
              <w:jc w:val="center"/>
              <w:rPr>
                <w:rFonts w:asciiTheme="minorEastAsia" w:hAnsiTheme="minorEastAsia" w:eastAsiaTheme="minorEastAsia" w:cstheme="minorEastAsia"/>
                <w:color w:val="000000" w:themeColor="text1"/>
                <w:sz w:val="24"/>
                <w:szCs w:val="24"/>
                <w14:textFill>
                  <w14:solidFill>
                    <w14:schemeClr w14:val="tx1"/>
                  </w14:solidFill>
                </w14:textFill>
              </w:rPr>
            </w:pPr>
          </w:p>
        </w:tc>
      </w:tr>
      <w:tr>
        <w:tblPrEx>
          <w:tblCellMar>
            <w:top w:w="0" w:type="dxa"/>
            <w:left w:w="0" w:type="dxa"/>
            <w:bottom w:w="0" w:type="dxa"/>
            <w:right w:w="0" w:type="dxa"/>
          </w:tblCellMar>
        </w:tblPrEx>
        <w:trPr>
          <w:trHeight w:val="567" w:hRule="exact"/>
          <w:jc w:val="center"/>
        </w:trPr>
        <w:tc>
          <w:tcPr>
            <w:tcW w:w="1242" w:type="dxa"/>
            <w:tcBorders>
              <w:top w:val="single" w:color="000000" w:sz="4" w:space="0"/>
              <w:left w:val="single" w:color="000000" w:sz="4" w:space="0"/>
              <w:bottom w:val="single" w:color="000000" w:sz="4" w:space="0"/>
              <w:right w:val="single" w:color="000000" w:sz="4" w:space="0"/>
            </w:tcBorders>
            <w:noWrap/>
            <w:vAlign w:val="center"/>
          </w:tcPr>
          <w:p>
            <w:pPr>
              <w:pStyle w:val="164"/>
              <w:overflowPunct w:val="0"/>
              <w:snapToGrid w:val="0"/>
              <w:spacing w:line="440" w:lineRule="exact"/>
              <w:jc w:val="center"/>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成立时间</w:t>
            </w:r>
          </w:p>
        </w:tc>
        <w:tc>
          <w:tcPr>
            <w:tcW w:w="2294" w:type="dxa"/>
            <w:gridSpan w:val="2"/>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440" w:lineRule="exact"/>
              <w:jc w:val="center"/>
              <w:rPr>
                <w:rFonts w:asciiTheme="minorEastAsia" w:hAnsiTheme="minorEastAsia" w:eastAsiaTheme="minorEastAsia" w:cstheme="minorEastAsia"/>
                <w:color w:val="000000" w:themeColor="text1"/>
                <w:sz w:val="24"/>
                <w:szCs w:val="24"/>
                <w14:textFill>
                  <w14:solidFill>
                    <w14:schemeClr w14:val="tx1"/>
                  </w14:solidFill>
                </w14:textFill>
              </w:rPr>
            </w:pPr>
          </w:p>
        </w:tc>
        <w:tc>
          <w:tcPr>
            <w:tcW w:w="2294" w:type="dxa"/>
            <w:gridSpan w:val="4"/>
            <w:tcBorders>
              <w:top w:val="single" w:color="000000" w:sz="4" w:space="0"/>
              <w:left w:val="single" w:color="000000" w:sz="4" w:space="0"/>
              <w:bottom w:val="single" w:color="000000" w:sz="4" w:space="0"/>
              <w:right w:val="single" w:color="000000" w:sz="4" w:space="0"/>
            </w:tcBorders>
            <w:noWrap/>
            <w:vAlign w:val="center"/>
          </w:tcPr>
          <w:p>
            <w:pPr>
              <w:pStyle w:val="164"/>
              <w:overflowPunct w:val="0"/>
              <w:snapToGrid w:val="0"/>
              <w:spacing w:line="440" w:lineRule="exact"/>
              <w:jc w:val="center"/>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注册资金（万元）</w:t>
            </w:r>
          </w:p>
        </w:tc>
        <w:tc>
          <w:tcPr>
            <w:tcW w:w="2884" w:type="dxa"/>
            <w:gridSpan w:val="3"/>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440" w:lineRule="exact"/>
              <w:jc w:val="center"/>
              <w:rPr>
                <w:rFonts w:asciiTheme="minorEastAsia" w:hAnsiTheme="minorEastAsia" w:eastAsiaTheme="minorEastAsia" w:cstheme="minorEastAsia"/>
                <w:color w:val="000000" w:themeColor="text1"/>
                <w:sz w:val="24"/>
                <w:szCs w:val="24"/>
                <w14:textFill>
                  <w14:solidFill>
                    <w14:schemeClr w14:val="tx1"/>
                  </w14:solidFill>
                </w14:textFill>
              </w:rPr>
            </w:pPr>
          </w:p>
        </w:tc>
      </w:tr>
      <w:tr>
        <w:tblPrEx>
          <w:tblCellMar>
            <w:top w:w="0" w:type="dxa"/>
            <w:left w:w="0" w:type="dxa"/>
            <w:bottom w:w="0" w:type="dxa"/>
            <w:right w:w="0" w:type="dxa"/>
          </w:tblCellMar>
        </w:tblPrEx>
        <w:trPr>
          <w:trHeight w:val="567" w:hRule="exact"/>
          <w:jc w:val="center"/>
        </w:trPr>
        <w:tc>
          <w:tcPr>
            <w:tcW w:w="1242" w:type="dxa"/>
            <w:tcBorders>
              <w:top w:val="single" w:color="000000" w:sz="4" w:space="0"/>
              <w:left w:val="single" w:color="000000" w:sz="4" w:space="0"/>
              <w:bottom w:val="single" w:color="000000" w:sz="4" w:space="0"/>
              <w:right w:val="single" w:color="000000" w:sz="4" w:space="0"/>
            </w:tcBorders>
            <w:noWrap/>
            <w:vAlign w:val="center"/>
          </w:tcPr>
          <w:p>
            <w:pPr>
              <w:pStyle w:val="164"/>
              <w:overflowPunct w:val="0"/>
              <w:snapToGrid w:val="0"/>
              <w:spacing w:line="440" w:lineRule="exact"/>
              <w:jc w:val="center"/>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单位性质</w:t>
            </w:r>
          </w:p>
        </w:tc>
        <w:tc>
          <w:tcPr>
            <w:tcW w:w="7472" w:type="dxa"/>
            <w:gridSpan w:val="9"/>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440" w:lineRule="exact"/>
              <w:jc w:val="center"/>
              <w:rPr>
                <w:rFonts w:asciiTheme="minorEastAsia" w:hAnsiTheme="minorEastAsia" w:eastAsiaTheme="minorEastAsia" w:cstheme="minorEastAsia"/>
                <w:color w:val="000000" w:themeColor="text1"/>
                <w:sz w:val="24"/>
                <w:szCs w:val="24"/>
                <w14:textFill>
                  <w14:solidFill>
                    <w14:schemeClr w14:val="tx1"/>
                  </w14:solidFill>
                </w14:textFill>
              </w:rPr>
            </w:pPr>
          </w:p>
        </w:tc>
      </w:tr>
      <w:tr>
        <w:tblPrEx>
          <w:tblCellMar>
            <w:top w:w="0" w:type="dxa"/>
            <w:left w:w="0" w:type="dxa"/>
            <w:bottom w:w="0" w:type="dxa"/>
            <w:right w:w="0" w:type="dxa"/>
          </w:tblCellMar>
        </w:tblPrEx>
        <w:trPr>
          <w:trHeight w:val="933" w:hRule="exact"/>
          <w:jc w:val="center"/>
        </w:trPr>
        <w:tc>
          <w:tcPr>
            <w:tcW w:w="1242" w:type="dxa"/>
            <w:tcBorders>
              <w:top w:val="single" w:color="000000" w:sz="4" w:space="0"/>
              <w:left w:val="single" w:color="000000" w:sz="4" w:space="0"/>
              <w:bottom w:val="single" w:color="000000" w:sz="4" w:space="0"/>
              <w:right w:val="single" w:color="000000" w:sz="4" w:space="0"/>
            </w:tcBorders>
            <w:noWrap/>
            <w:vAlign w:val="center"/>
          </w:tcPr>
          <w:p>
            <w:pPr>
              <w:pStyle w:val="164"/>
              <w:overflowPunct w:val="0"/>
              <w:snapToGrid w:val="0"/>
              <w:spacing w:line="440" w:lineRule="exact"/>
              <w:jc w:val="center"/>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投标期间 联系人</w:t>
            </w:r>
          </w:p>
        </w:tc>
        <w:tc>
          <w:tcPr>
            <w:tcW w:w="1445"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440" w:lineRule="exact"/>
              <w:jc w:val="center"/>
              <w:rPr>
                <w:rFonts w:asciiTheme="minorEastAsia" w:hAnsiTheme="minorEastAsia" w:eastAsiaTheme="minorEastAsia" w:cstheme="minorEastAsia"/>
                <w:color w:val="000000" w:themeColor="text1"/>
                <w:sz w:val="24"/>
                <w:szCs w:val="24"/>
                <w14:textFill>
                  <w14:solidFill>
                    <w14:schemeClr w14:val="tx1"/>
                  </w14:solidFill>
                </w14:textFill>
              </w:rPr>
            </w:pPr>
          </w:p>
        </w:tc>
        <w:tc>
          <w:tcPr>
            <w:tcW w:w="1342" w:type="dxa"/>
            <w:gridSpan w:val="2"/>
            <w:tcBorders>
              <w:top w:val="single" w:color="000000" w:sz="4" w:space="0"/>
              <w:left w:val="single" w:color="000000" w:sz="4" w:space="0"/>
              <w:bottom w:val="single" w:color="000000" w:sz="4" w:space="0"/>
              <w:right w:val="single" w:color="000000" w:sz="4" w:space="0"/>
            </w:tcBorders>
            <w:noWrap/>
            <w:vAlign w:val="center"/>
          </w:tcPr>
          <w:p>
            <w:pPr>
              <w:pStyle w:val="164"/>
              <w:overflowPunct w:val="0"/>
              <w:snapToGrid w:val="0"/>
              <w:spacing w:line="440" w:lineRule="exact"/>
              <w:jc w:val="center"/>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电 话</w:t>
            </w:r>
          </w:p>
        </w:tc>
        <w:tc>
          <w:tcPr>
            <w:tcW w:w="1343" w:type="dxa"/>
            <w:gridSpan w:val="2"/>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440" w:lineRule="exact"/>
              <w:jc w:val="center"/>
              <w:rPr>
                <w:rFonts w:asciiTheme="minorEastAsia" w:hAnsiTheme="minorEastAsia" w:eastAsiaTheme="minorEastAsia" w:cstheme="minorEastAsia"/>
                <w:color w:val="000000" w:themeColor="text1"/>
                <w:sz w:val="24"/>
                <w:szCs w:val="24"/>
                <w14:textFill>
                  <w14:solidFill>
                    <w14:schemeClr w14:val="tx1"/>
                  </w14:solidFill>
                </w14:textFill>
              </w:rPr>
            </w:pPr>
          </w:p>
        </w:tc>
        <w:tc>
          <w:tcPr>
            <w:tcW w:w="1377" w:type="dxa"/>
            <w:gridSpan w:val="3"/>
            <w:tcBorders>
              <w:top w:val="single" w:color="000000" w:sz="4" w:space="0"/>
              <w:left w:val="single" w:color="000000" w:sz="4" w:space="0"/>
              <w:bottom w:val="single" w:color="000000" w:sz="4" w:space="0"/>
              <w:right w:val="single" w:color="000000" w:sz="4" w:space="0"/>
            </w:tcBorders>
            <w:noWrap/>
            <w:vAlign w:val="center"/>
          </w:tcPr>
          <w:p>
            <w:pPr>
              <w:pStyle w:val="164"/>
              <w:overflowPunct w:val="0"/>
              <w:snapToGrid w:val="0"/>
              <w:spacing w:line="440" w:lineRule="exact"/>
              <w:jc w:val="center"/>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传 真</w:t>
            </w:r>
          </w:p>
        </w:tc>
        <w:tc>
          <w:tcPr>
            <w:tcW w:w="1965"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440" w:lineRule="exact"/>
              <w:jc w:val="center"/>
              <w:rPr>
                <w:rFonts w:asciiTheme="minorEastAsia" w:hAnsiTheme="minorEastAsia" w:eastAsiaTheme="minorEastAsia" w:cstheme="minorEastAsia"/>
                <w:color w:val="000000" w:themeColor="text1"/>
                <w:sz w:val="24"/>
                <w:szCs w:val="24"/>
                <w14:textFill>
                  <w14:solidFill>
                    <w14:schemeClr w14:val="tx1"/>
                  </w14:solidFill>
                </w14:textFill>
              </w:rPr>
            </w:pPr>
          </w:p>
        </w:tc>
      </w:tr>
      <w:tr>
        <w:tblPrEx>
          <w:tblCellMar>
            <w:top w:w="0" w:type="dxa"/>
            <w:left w:w="0" w:type="dxa"/>
            <w:bottom w:w="0" w:type="dxa"/>
            <w:right w:w="0" w:type="dxa"/>
          </w:tblCellMar>
        </w:tblPrEx>
        <w:trPr>
          <w:trHeight w:val="691" w:hRule="exact"/>
          <w:jc w:val="center"/>
        </w:trPr>
        <w:tc>
          <w:tcPr>
            <w:tcW w:w="1242" w:type="dxa"/>
            <w:vMerge w:val="restart"/>
            <w:tcBorders>
              <w:top w:val="single" w:color="000000" w:sz="4" w:space="0"/>
              <w:left w:val="single" w:color="000000" w:sz="4" w:space="0"/>
              <w:bottom w:val="single" w:color="000000" w:sz="4" w:space="0"/>
              <w:right w:val="single" w:color="000000" w:sz="4" w:space="0"/>
            </w:tcBorders>
            <w:noWrap/>
            <w:vAlign w:val="center"/>
          </w:tcPr>
          <w:p>
            <w:pPr>
              <w:pStyle w:val="164"/>
              <w:overflowPunct w:val="0"/>
              <w:snapToGrid w:val="0"/>
              <w:spacing w:line="440" w:lineRule="exact"/>
              <w:jc w:val="center"/>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职工概况</w:t>
            </w:r>
          </w:p>
        </w:tc>
        <w:tc>
          <w:tcPr>
            <w:tcW w:w="1445" w:type="dxa"/>
            <w:tcBorders>
              <w:top w:val="single" w:color="000000" w:sz="4" w:space="0"/>
              <w:left w:val="single" w:color="000000" w:sz="4" w:space="0"/>
              <w:bottom w:val="single" w:color="000000" w:sz="4" w:space="0"/>
              <w:right w:val="single" w:color="000000" w:sz="4" w:space="0"/>
            </w:tcBorders>
            <w:noWrap/>
            <w:vAlign w:val="center"/>
          </w:tcPr>
          <w:p>
            <w:pPr>
              <w:pStyle w:val="164"/>
              <w:overflowPunct w:val="0"/>
              <w:snapToGrid w:val="0"/>
              <w:spacing w:line="440" w:lineRule="exact"/>
              <w:jc w:val="center"/>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职工总数</w:t>
            </w:r>
          </w:p>
        </w:tc>
        <w:tc>
          <w:tcPr>
            <w:tcW w:w="1342" w:type="dxa"/>
            <w:gridSpan w:val="2"/>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440" w:lineRule="exact"/>
              <w:jc w:val="center"/>
              <w:rPr>
                <w:rFonts w:asciiTheme="minorEastAsia" w:hAnsiTheme="minorEastAsia" w:eastAsiaTheme="minorEastAsia" w:cstheme="minorEastAsia"/>
                <w:color w:val="000000" w:themeColor="text1"/>
                <w:sz w:val="24"/>
                <w:szCs w:val="24"/>
                <w14:textFill>
                  <w14:solidFill>
                    <w14:schemeClr w14:val="tx1"/>
                  </w14:solidFill>
                </w14:textFill>
              </w:rPr>
            </w:pPr>
          </w:p>
        </w:tc>
        <w:tc>
          <w:tcPr>
            <w:tcW w:w="2168" w:type="dxa"/>
            <w:gridSpan w:val="4"/>
            <w:tcBorders>
              <w:top w:val="single" w:color="000000" w:sz="4" w:space="0"/>
              <w:left w:val="single" w:color="000000" w:sz="4" w:space="0"/>
              <w:bottom w:val="single" w:color="000000" w:sz="4" w:space="0"/>
              <w:right w:val="single" w:color="000000" w:sz="4" w:space="0"/>
            </w:tcBorders>
            <w:noWrap/>
            <w:vAlign w:val="center"/>
          </w:tcPr>
          <w:p>
            <w:pPr>
              <w:pStyle w:val="164"/>
              <w:overflowPunct w:val="0"/>
              <w:snapToGrid w:val="0"/>
              <w:spacing w:line="440" w:lineRule="exact"/>
              <w:jc w:val="center"/>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其中：技术人员数</w:t>
            </w:r>
          </w:p>
        </w:tc>
        <w:tc>
          <w:tcPr>
            <w:tcW w:w="2517" w:type="dxa"/>
            <w:gridSpan w:val="2"/>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440" w:lineRule="exact"/>
              <w:jc w:val="center"/>
              <w:rPr>
                <w:rFonts w:asciiTheme="minorEastAsia" w:hAnsiTheme="minorEastAsia" w:eastAsiaTheme="minorEastAsia" w:cstheme="minorEastAsia"/>
                <w:color w:val="000000" w:themeColor="text1"/>
                <w:sz w:val="24"/>
                <w:szCs w:val="24"/>
                <w14:textFill>
                  <w14:solidFill>
                    <w14:schemeClr w14:val="tx1"/>
                  </w14:solidFill>
                </w14:textFill>
              </w:rPr>
            </w:pPr>
          </w:p>
        </w:tc>
      </w:tr>
      <w:tr>
        <w:trPr>
          <w:trHeight w:val="691"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440" w:lineRule="exact"/>
              <w:jc w:val="center"/>
              <w:rPr>
                <w:rFonts w:asciiTheme="minorEastAsia" w:hAnsiTheme="minorEastAsia" w:eastAsiaTheme="minorEastAsia" w:cstheme="minorEastAsia"/>
                <w:color w:val="000000" w:themeColor="text1"/>
                <w:sz w:val="24"/>
                <w:szCs w:val="24"/>
                <w14:textFill>
                  <w14:solidFill>
                    <w14:schemeClr w14:val="tx1"/>
                  </w14:solidFill>
                </w14:textFill>
              </w:rPr>
            </w:pPr>
          </w:p>
        </w:tc>
        <w:tc>
          <w:tcPr>
            <w:tcW w:w="7472" w:type="dxa"/>
            <w:gridSpan w:val="9"/>
            <w:tcBorders>
              <w:top w:val="single" w:color="000000" w:sz="4" w:space="0"/>
              <w:left w:val="single" w:color="000000" w:sz="4" w:space="0"/>
              <w:bottom w:val="single" w:color="000000" w:sz="4" w:space="0"/>
              <w:right w:val="single" w:color="000000" w:sz="4" w:space="0"/>
            </w:tcBorders>
            <w:noWrap/>
            <w:vAlign w:val="center"/>
          </w:tcPr>
          <w:p>
            <w:pPr>
              <w:pStyle w:val="164"/>
              <w:overflowPunct w:val="0"/>
              <w:snapToGrid w:val="0"/>
              <w:spacing w:line="440" w:lineRule="exact"/>
              <w:jc w:val="center"/>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单位行政和技术负责人</w:t>
            </w:r>
          </w:p>
        </w:tc>
      </w:tr>
      <w:tr>
        <w:tblPrEx>
          <w:tblCellMar>
            <w:top w:w="0" w:type="dxa"/>
            <w:left w:w="0" w:type="dxa"/>
            <w:bottom w:w="0" w:type="dxa"/>
            <w:right w:w="0" w:type="dxa"/>
          </w:tblCellMar>
        </w:tblPrEx>
        <w:trPr>
          <w:trHeight w:val="691"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noWrap/>
            <w:vAlign w:val="center"/>
          </w:tcPr>
          <w:p>
            <w:pPr>
              <w:pStyle w:val="164"/>
              <w:overflowPunct w:val="0"/>
              <w:snapToGrid w:val="0"/>
              <w:spacing w:line="440" w:lineRule="exact"/>
              <w:jc w:val="center"/>
              <w:rPr>
                <w:rFonts w:asciiTheme="minorEastAsia" w:hAnsiTheme="minorEastAsia" w:eastAsiaTheme="minorEastAsia" w:cstheme="minorEastAsia"/>
                <w:color w:val="000000" w:themeColor="text1"/>
                <w14:textFill>
                  <w14:solidFill>
                    <w14:schemeClr w14:val="tx1"/>
                  </w14:solidFill>
                </w14:textFill>
              </w:rPr>
            </w:pPr>
          </w:p>
        </w:tc>
        <w:tc>
          <w:tcPr>
            <w:tcW w:w="1445" w:type="dxa"/>
            <w:tcBorders>
              <w:top w:val="single" w:color="000000" w:sz="4" w:space="0"/>
              <w:left w:val="single" w:color="000000" w:sz="4" w:space="0"/>
              <w:bottom w:val="single" w:color="000000" w:sz="4" w:space="0"/>
              <w:right w:val="single" w:color="000000" w:sz="4" w:space="0"/>
            </w:tcBorders>
            <w:noWrap/>
            <w:vAlign w:val="center"/>
          </w:tcPr>
          <w:p>
            <w:pPr>
              <w:pStyle w:val="164"/>
              <w:overflowPunct w:val="0"/>
              <w:snapToGrid w:val="0"/>
              <w:spacing w:line="440" w:lineRule="exact"/>
              <w:jc w:val="center"/>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姓名</w:t>
            </w:r>
          </w:p>
        </w:tc>
        <w:tc>
          <w:tcPr>
            <w:tcW w:w="1997" w:type="dxa"/>
            <w:gridSpan w:val="3"/>
            <w:tcBorders>
              <w:top w:val="single" w:color="000000" w:sz="4" w:space="0"/>
              <w:left w:val="single" w:color="000000" w:sz="4" w:space="0"/>
              <w:bottom w:val="single" w:color="000000" w:sz="4" w:space="0"/>
              <w:right w:val="single" w:color="000000" w:sz="4" w:space="0"/>
            </w:tcBorders>
            <w:noWrap/>
            <w:vAlign w:val="center"/>
          </w:tcPr>
          <w:p>
            <w:pPr>
              <w:pStyle w:val="164"/>
              <w:overflowPunct w:val="0"/>
              <w:snapToGrid w:val="0"/>
              <w:spacing w:line="440" w:lineRule="exact"/>
              <w:jc w:val="center"/>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职务/职称</w:t>
            </w:r>
          </w:p>
        </w:tc>
        <w:tc>
          <w:tcPr>
            <w:tcW w:w="1513" w:type="dxa"/>
            <w:gridSpan w:val="3"/>
            <w:tcBorders>
              <w:top w:val="single" w:color="000000" w:sz="4" w:space="0"/>
              <w:left w:val="single" w:color="000000" w:sz="4" w:space="0"/>
              <w:bottom w:val="single" w:color="000000" w:sz="4" w:space="0"/>
              <w:right w:val="single" w:color="000000" w:sz="4" w:space="0"/>
            </w:tcBorders>
            <w:noWrap/>
            <w:vAlign w:val="center"/>
          </w:tcPr>
          <w:p>
            <w:pPr>
              <w:pStyle w:val="164"/>
              <w:overflowPunct w:val="0"/>
              <w:snapToGrid w:val="0"/>
              <w:spacing w:line="440" w:lineRule="exact"/>
              <w:jc w:val="center"/>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年 龄</w:t>
            </w:r>
          </w:p>
        </w:tc>
        <w:tc>
          <w:tcPr>
            <w:tcW w:w="2517" w:type="dxa"/>
            <w:gridSpan w:val="2"/>
            <w:tcBorders>
              <w:top w:val="single" w:color="000000" w:sz="4" w:space="0"/>
              <w:left w:val="single" w:color="000000" w:sz="4" w:space="0"/>
              <w:bottom w:val="single" w:color="000000" w:sz="4" w:space="0"/>
              <w:right w:val="single" w:color="000000" w:sz="4" w:space="0"/>
            </w:tcBorders>
            <w:noWrap/>
            <w:vAlign w:val="center"/>
          </w:tcPr>
          <w:p>
            <w:pPr>
              <w:pStyle w:val="164"/>
              <w:tabs>
                <w:tab w:val="left" w:pos="479"/>
              </w:tabs>
              <w:overflowPunct w:val="0"/>
              <w:snapToGrid w:val="0"/>
              <w:spacing w:line="440" w:lineRule="exact"/>
              <w:jc w:val="center"/>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专</w:t>
            </w:r>
            <w:r>
              <w:rPr>
                <w:rFonts w:hint="eastAsia" w:asciiTheme="minorEastAsia" w:hAnsiTheme="minorEastAsia" w:eastAsiaTheme="minorEastAsia" w:cstheme="minorEastAsia"/>
                <w:color w:val="000000" w:themeColor="text1"/>
                <w14:textFill>
                  <w14:solidFill>
                    <w14:schemeClr w14:val="tx1"/>
                  </w14:solidFill>
                </w14:textFill>
              </w:rPr>
              <w:tab/>
            </w:r>
            <w:r>
              <w:rPr>
                <w:rFonts w:hint="eastAsia" w:asciiTheme="minorEastAsia" w:hAnsiTheme="minorEastAsia" w:eastAsiaTheme="minorEastAsia" w:cstheme="minorEastAsia"/>
                <w:color w:val="000000" w:themeColor="text1"/>
                <w14:textFill>
                  <w14:solidFill>
                    <w14:schemeClr w14:val="tx1"/>
                  </w14:solidFill>
                </w14:textFill>
              </w:rPr>
              <w:t>业</w:t>
            </w:r>
          </w:p>
        </w:tc>
      </w:tr>
      <w:tr>
        <w:tblPrEx>
          <w:tblCellMar>
            <w:top w:w="0" w:type="dxa"/>
            <w:left w:w="0" w:type="dxa"/>
            <w:bottom w:w="0" w:type="dxa"/>
            <w:right w:w="0" w:type="dxa"/>
          </w:tblCellMar>
        </w:tblPrEx>
        <w:trPr>
          <w:trHeight w:val="691"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noWrap/>
            <w:vAlign w:val="center"/>
          </w:tcPr>
          <w:p>
            <w:pPr>
              <w:pStyle w:val="164"/>
              <w:tabs>
                <w:tab w:val="left" w:pos="479"/>
              </w:tabs>
              <w:overflowPunct w:val="0"/>
              <w:snapToGrid w:val="0"/>
              <w:spacing w:line="440" w:lineRule="exact"/>
              <w:jc w:val="center"/>
              <w:rPr>
                <w:rFonts w:asciiTheme="minorEastAsia" w:hAnsiTheme="minorEastAsia" w:eastAsiaTheme="minorEastAsia" w:cstheme="minorEastAsia"/>
                <w:color w:val="000000" w:themeColor="text1"/>
                <w14:textFill>
                  <w14:solidFill>
                    <w14:schemeClr w14:val="tx1"/>
                  </w14:solidFill>
                </w14:textFill>
              </w:rPr>
            </w:pPr>
          </w:p>
        </w:tc>
        <w:tc>
          <w:tcPr>
            <w:tcW w:w="1445"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440" w:lineRule="exact"/>
              <w:jc w:val="center"/>
              <w:rPr>
                <w:rFonts w:asciiTheme="minorEastAsia" w:hAnsiTheme="minorEastAsia" w:eastAsiaTheme="minorEastAsia" w:cstheme="minorEastAsia"/>
                <w:color w:val="000000" w:themeColor="text1"/>
                <w:sz w:val="24"/>
                <w:szCs w:val="24"/>
                <w14:textFill>
                  <w14:solidFill>
                    <w14:schemeClr w14:val="tx1"/>
                  </w14:solidFill>
                </w14:textFill>
              </w:rPr>
            </w:pPr>
          </w:p>
        </w:tc>
        <w:tc>
          <w:tcPr>
            <w:tcW w:w="1997" w:type="dxa"/>
            <w:gridSpan w:val="3"/>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440" w:lineRule="exact"/>
              <w:jc w:val="center"/>
              <w:rPr>
                <w:rFonts w:asciiTheme="minorEastAsia" w:hAnsiTheme="minorEastAsia" w:eastAsiaTheme="minorEastAsia" w:cstheme="minorEastAsia"/>
                <w:color w:val="000000" w:themeColor="text1"/>
                <w:sz w:val="24"/>
                <w:szCs w:val="24"/>
                <w14:textFill>
                  <w14:solidFill>
                    <w14:schemeClr w14:val="tx1"/>
                  </w14:solidFill>
                </w14:textFill>
              </w:rPr>
            </w:pPr>
          </w:p>
        </w:tc>
        <w:tc>
          <w:tcPr>
            <w:tcW w:w="1513" w:type="dxa"/>
            <w:gridSpan w:val="3"/>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440" w:lineRule="exact"/>
              <w:jc w:val="center"/>
              <w:rPr>
                <w:rFonts w:asciiTheme="minorEastAsia" w:hAnsiTheme="minorEastAsia" w:eastAsiaTheme="minorEastAsia" w:cstheme="minorEastAsia"/>
                <w:color w:val="000000" w:themeColor="text1"/>
                <w:sz w:val="24"/>
                <w:szCs w:val="24"/>
                <w14:textFill>
                  <w14:solidFill>
                    <w14:schemeClr w14:val="tx1"/>
                  </w14:solidFill>
                </w14:textFill>
              </w:rPr>
            </w:pPr>
          </w:p>
        </w:tc>
        <w:tc>
          <w:tcPr>
            <w:tcW w:w="2517" w:type="dxa"/>
            <w:gridSpan w:val="2"/>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440" w:lineRule="exact"/>
              <w:jc w:val="center"/>
              <w:rPr>
                <w:rFonts w:asciiTheme="minorEastAsia" w:hAnsiTheme="minorEastAsia" w:eastAsiaTheme="minorEastAsia" w:cstheme="minorEastAsia"/>
                <w:color w:val="000000" w:themeColor="text1"/>
                <w:sz w:val="24"/>
                <w:szCs w:val="24"/>
                <w14:textFill>
                  <w14:solidFill>
                    <w14:schemeClr w14:val="tx1"/>
                  </w14:solidFill>
                </w14:textFill>
              </w:rPr>
            </w:pPr>
          </w:p>
        </w:tc>
      </w:tr>
      <w:tr>
        <w:tblPrEx>
          <w:tblCellMar>
            <w:top w:w="0" w:type="dxa"/>
            <w:left w:w="0" w:type="dxa"/>
            <w:bottom w:w="0" w:type="dxa"/>
            <w:right w:w="0" w:type="dxa"/>
          </w:tblCellMar>
        </w:tblPrEx>
        <w:trPr>
          <w:trHeight w:val="691"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440" w:lineRule="exact"/>
              <w:jc w:val="center"/>
              <w:rPr>
                <w:rFonts w:asciiTheme="minorEastAsia" w:hAnsiTheme="minorEastAsia" w:eastAsiaTheme="minorEastAsia" w:cstheme="minorEastAsia"/>
                <w:color w:val="000000" w:themeColor="text1"/>
                <w:sz w:val="24"/>
                <w:szCs w:val="24"/>
                <w14:textFill>
                  <w14:solidFill>
                    <w14:schemeClr w14:val="tx1"/>
                  </w14:solidFill>
                </w14:textFill>
              </w:rPr>
            </w:pPr>
          </w:p>
        </w:tc>
        <w:tc>
          <w:tcPr>
            <w:tcW w:w="1445"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440" w:lineRule="exact"/>
              <w:jc w:val="center"/>
              <w:rPr>
                <w:rFonts w:asciiTheme="minorEastAsia" w:hAnsiTheme="minorEastAsia" w:eastAsiaTheme="minorEastAsia" w:cstheme="minorEastAsia"/>
                <w:color w:val="000000" w:themeColor="text1"/>
                <w:sz w:val="24"/>
                <w:szCs w:val="24"/>
                <w14:textFill>
                  <w14:solidFill>
                    <w14:schemeClr w14:val="tx1"/>
                  </w14:solidFill>
                </w14:textFill>
              </w:rPr>
            </w:pPr>
          </w:p>
        </w:tc>
        <w:tc>
          <w:tcPr>
            <w:tcW w:w="1997" w:type="dxa"/>
            <w:gridSpan w:val="3"/>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440" w:lineRule="exact"/>
              <w:jc w:val="center"/>
              <w:rPr>
                <w:rFonts w:asciiTheme="minorEastAsia" w:hAnsiTheme="minorEastAsia" w:eastAsiaTheme="minorEastAsia" w:cstheme="minorEastAsia"/>
                <w:color w:val="000000" w:themeColor="text1"/>
                <w:sz w:val="24"/>
                <w:szCs w:val="24"/>
                <w14:textFill>
                  <w14:solidFill>
                    <w14:schemeClr w14:val="tx1"/>
                  </w14:solidFill>
                </w14:textFill>
              </w:rPr>
            </w:pPr>
          </w:p>
        </w:tc>
        <w:tc>
          <w:tcPr>
            <w:tcW w:w="1513" w:type="dxa"/>
            <w:gridSpan w:val="3"/>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440" w:lineRule="exact"/>
              <w:jc w:val="center"/>
              <w:rPr>
                <w:rFonts w:asciiTheme="minorEastAsia" w:hAnsiTheme="minorEastAsia" w:eastAsiaTheme="minorEastAsia" w:cstheme="minorEastAsia"/>
                <w:color w:val="000000" w:themeColor="text1"/>
                <w:sz w:val="24"/>
                <w:szCs w:val="24"/>
                <w14:textFill>
                  <w14:solidFill>
                    <w14:schemeClr w14:val="tx1"/>
                  </w14:solidFill>
                </w14:textFill>
              </w:rPr>
            </w:pPr>
          </w:p>
        </w:tc>
        <w:tc>
          <w:tcPr>
            <w:tcW w:w="2517" w:type="dxa"/>
            <w:gridSpan w:val="2"/>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440" w:lineRule="exact"/>
              <w:jc w:val="center"/>
              <w:rPr>
                <w:rFonts w:asciiTheme="minorEastAsia" w:hAnsiTheme="minorEastAsia" w:eastAsiaTheme="minorEastAsia" w:cstheme="minorEastAsia"/>
                <w:color w:val="000000" w:themeColor="text1"/>
                <w:sz w:val="24"/>
                <w:szCs w:val="24"/>
                <w14:textFill>
                  <w14:solidFill>
                    <w14:schemeClr w14:val="tx1"/>
                  </w14:solidFill>
                </w14:textFill>
              </w:rPr>
            </w:pPr>
          </w:p>
        </w:tc>
      </w:tr>
      <w:tr>
        <w:tblPrEx>
          <w:tblCellMar>
            <w:top w:w="0" w:type="dxa"/>
            <w:left w:w="0" w:type="dxa"/>
            <w:bottom w:w="0" w:type="dxa"/>
            <w:right w:w="0" w:type="dxa"/>
          </w:tblCellMar>
        </w:tblPrEx>
        <w:trPr>
          <w:trHeight w:val="691"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440" w:lineRule="exact"/>
              <w:jc w:val="center"/>
              <w:rPr>
                <w:rFonts w:asciiTheme="minorEastAsia" w:hAnsiTheme="minorEastAsia" w:eastAsiaTheme="minorEastAsia" w:cstheme="minorEastAsia"/>
                <w:color w:val="000000" w:themeColor="text1"/>
                <w:sz w:val="24"/>
                <w:szCs w:val="24"/>
                <w14:textFill>
                  <w14:solidFill>
                    <w14:schemeClr w14:val="tx1"/>
                  </w14:solidFill>
                </w14:textFill>
              </w:rPr>
            </w:pPr>
          </w:p>
        </w:tc>
        <w:tc>
          <w:tcPr>
            <w:tcW w:w="1445" w:type="dxa"/>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440" w:lineRule="exact"/>
              <w:jc w:val="center"/>
              <w:rPr>
                <w:rFonts w:asciiTheme="minorEastAsia" w:hAnsiTheme="minorEastAsia" w:eastAsiaTheme="minorEastAsia" w:cstheme="minorEastAsia"/>
                <w:color w:val="000000" w:themeColor="text1"/>
                <w:sz w:val="24"/>
                <w:szCs w:val="24"/>
                <w14:textFill>
                  <w14:solidFill>
                    <w14:schemeClr w14:val="tx1"/>
                  </w14:solidFill>
                </w14:textFill>
              </w:rPr>
            </w:pPr>
          </w:p>
        </w:tc>
        <w:tc>
          <w:tcPr>
            <w:tcW w:w="1997" w:type="dxa"/>
            <w:gridSpan w:val="3"/>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440" w:lineRule="exact"/>
              <w:jc w:val="center"/>
              <w:rPr>
                <w:rFonts w:asciiTheme="minorEastAsia" w:hAnsiTheme="minorEastAsia" w:eastAsiaTheme="minorEastAsia" w:cstheme="minorEastAsia"/>
                <w:color w:val="000000" w:themeColor="text1"/>
                <w:sz w:val="24"/>
                <w:szCs w:val="24"/>
                <w14:textFill>
                  <w14:solidFill>
                    <w14:schemeClr w14:val="tx1"/>
                  </w14:solidFill>
                </w14:textFill>
              </w:rPr>
            </w:pPr>
          </w:p>
        </w:tc>
        <w:tc>
          <w:tcPr>
            <w:tcW w:w="1513" w:type="dxa"/>
            <w:gridSpan w:val="3"/>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440" w:lineRule="exact"/>
              <w:jc w:val="center"/>
              <w:rPr>
                <w:rFonts w:asciiTheme="minorEastAsia" w:hAnsiTheme="minorEastAsia" w:eastAsiaTheme="minorEastAsia" w:cstheme="minorEastAsia"/>
                <w:color w:val="000000" w:themeColor="text1"/>
                <w:sz w:val="24"/>
                <w:szCs w:val="24"/>
                <w14:textFill>
                  <w14:solidFill>
                    <w14:schemeClr w14:val="tx1"/>
                  </w14:solidFill>
                </w14:textFill>
              </w:rPr>
            </w:pPr>
          </w:p>
        </w:tc>
        <w:tc>
          <w:tcPr>
            <w:tcW w:w="2517" w:type="dxa"/>
            <w:gridSpan w:val="2"/>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440" w:lineRule="exact"/>
              <w:jc w:val="center"/>
              <w:rPr>
                <w:rFonts w:asciiTheme="minorEastAsia" w:hAnsiTheme="minorEastAsia" w:eastAsiaTheme="minorEastAsia" w:cstheme="minorEastAsia"/>
                <w:color w:val="000000" w:themeColor="text1"/>
                <w:sz w:val="24"/>
                <w:szCs w:val="24"/>
                <w14:textFill>
                  <w14:solidFill>
                    <w14:schemeClr w14:val="tx1"/>
                  </w14:solidFill>
                </w14:textFill>
              </w:rPr>
            </w:pPr>
          </w:p>
        </w:tc>
      </w:tr>
      <w:tr>
        <w:tblPrEx>
          <w:tblCellMar>
            <w:top w:w="0" w:type="dxa"/>
            <w:left w:w="0" w:type="dxa"/>
            <w:bottom w:w="0" w:type="dxa"/>
            <w:right w:w="0" w:type="dxa"/>
          </w:tblCellMar>
        </w:tblPrEx>
        <w:trPr>
          <w:trHeight w:val="2563" w:hRule="exact"/>
          <w:jc w:val="center"/>
        </w:trPr>
        <w:tc>
          <w:tcPr>
            <w:tcW w:w="1242" w:type="dxa"/>
            <w:tcBorders>
              <w:top w:val="single" w:color="000000" w:sz="4" w:space="0"/>
              <w:left w:val="single" w:color="000000" w:sz="4" w:space="0"/>
              <w:bottom w:val="single" w:color="000000" w:sz="4" w:space="0"/>
              <w:right w:val="single" w:color="000000" w:sz="4" w:space="0"/>
            </w:tcBorders>
            <w:noWrap/>
            <w:vAlign w:val="center"/>
          </w:tcPr>
          <w:p>
            <w:pPr>
              <w:pStyle w:val="164"/>
              <w:overflowPunct w:val="0"/>
              <w:snapToGrid w:val="0"/>
              <w:spacing w:line="440" w:lineRule="exact"/>
              <w:jc w:val="center"/>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单位概况</w:t>
            </w:r>
          </w:p>
        </w:tc>
        <w:tc>
          <w:tcPr>
            <w:tcW w:w="7472" w:type="dxa"/>
            <w:gridSpan w:val="9"/>
            <w:tcBorders>
              <w:top w:val="single" w:color="000000" w:sz="4" w:space="0"/>
              <w:left w:val="single" w:color="000000" w:sz="4" w:space="0"/>
              <w:bottom w:val="single" w:color="000000" w:sz="4" w:space="0"/>
              <w:right w:val="single" w:color="000000" w:sz="4" w:space="0"/>
            </w:tcBorders>
            <w:noWrap/>
            <w:vAlign w:val="center"/>
          </w:tcPr>
          <w:p>
            <w:pPr>
              <w:adjustRightInd w:val="0"/>
              <w:snapToGrid w:val="0"/>
              <w:spacing w:line="440" w:lineRule="exact"/>
              <w:jc w:val="center"/>
              <w:rPr>
                <w:rFonts w:asciiTheme="minorEastAsia" w:hAnsiTheme="minorEastAsia" w:eastAsiaTheme="minorEastAsia" w:cstheme="minorEastAsia"/>
                <w:color w:val="000000" w:themeColor="text1"/>
                <w:sz w:val="24"/>
                <w:szCs w:val="24"/>
                <w14:textFill>
                  <w14:solidFill>
                    <w14:schemeClr w14:val="tx1"/>
                  </w14:solidFill>
                </w14:textFill>
              </w:rPr>
            </w:pPr>
          </w:p>
        </w:tc>
      </w:tr>
    </w:tbl>
    <w:p>
      <w:pPr>
        <w:spacing w:line="440" w:lineRule="exact"/>
        <w:rPr>
          <w:rFonts w:asciiTheme="minorEastAsia" w:hAnsiTheme="minorEastAsia" w:eastAsiaTheme="minorEastAsia" w:cstheme="minorEastAsia"/>
          <w:b/>
          <w:color w:val="000000" w:themeColor="text1"/>
          <w:sz w:val="24"/>
          <w:szCs w:val="24"/>
          <w14:textFill>
            <w14:solidFill>
              <w14:schemeClr w14:val="tx1"/>
            </w14:solidFill>
          </w14:textFill>
        </w:rPr>
      </w:pPr>
    </w:p>
    <w:p>
      <w:pPr>
        <w:pStyle w:val="37"/>
        <w:spacing w:after="0" w:line="440" w:lineRule="exact"/>
        <w:ind w:firstLine="0" w:firstLineChars="0"/>
        <w:rPr>
          <w:rFonts w:asciiTheme="minorEastAsia" w:hAnsiTheme="minorEastAsia" w:eastAsiaTheme="minorEastAsia" w:cstheme="minorEastAsia"/>
          <w:color w:val="000000" w:themeColor="text1"/>
          <w:sz w:val="24"/>
          <w14:textFill>
            <w14:solidFill>
              <w14:schemeClr w14:val="tx1"/>
            </w14:solidFill>
          </w14:textFill>
        </w:rPr>
      </w:pPr>
    </w:p>
    <w:p>
      <w:pPr>
        <w:rPr>
          <w:rFonts w:asciiTheme="minorEastAsia" w:hAnsiTheme="minorEastAsia" w:eastAsiaTheme="minorEastAsia" w:cstheme="minorEastAsia"/>
          <w:color w:val="000000" w:themeColor="text1"/>
          <w:sz w:val="24"/>
          <w:szCs w:val="24"/>
          <w14:textFill>
            <w14:solidFill>
              <w14:schemeClr w14:val="tx1"/>
            </w14:solidFill>
          </w14:textFill>
        </w:rPr>
      </w:pPr>
    </w:p>
    <w:p>
      <w:pPr>
        <w:pStyle w:val="37"/>
        <w:ind w:firstLine="24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此处后附资质证书、获奖证书等材料。</w:t>
      </w:r>
    </w:p>
    <w:p>
      <w:pPr>
        <w:pStyle w:val="37"/>
        <w:ind w:firstLine="0" w:firstLineChars="0"/>
        <w:rPr>
          <w:rFonts w:asciiTheme="minorEastAsia" w:hAnsiTheme="minorEastAsia" w:eastAsiaTheme="minorEastAsia" w:cstheme="minorEastAsia"/>
          <w:color w:val="000000" w:themeColor="text1"/>
          <w14:textFill>
            <w14:solidFill>
              <w14:schemeClr w14:val="tx1"/>
            </w14:solidFill>
          </w14:textFill>
        </w:rPr>
      </w:pPr>
    </w:p>
    <w:p>
      <w:pPr>
        <w:spacing w:line="440" w:lineRule="exact"/>
        <w:rPr>
          <w:rFonts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z w:val="24"/>
          <w:szCs w:val="24"/>
          <w14:textFill>
            <w14:solidFill>
              <w14:schemeClr w14:val="tx1"/>
            </w14:solidFill>
          </w14:textFill>
        </w:rPr>
        <w:t>2.2.2、项目负责人简历表</w:t>
      </w:r>
    </w:p>
    <w:tbl>
      <w:tblPr>
        <w:tblStyle w:val="38"/>
        <w:tblW w:w="9854" w:type="dxa"/>
        <w:jc w:val="center"/>
        <w:tblLayout w:type="fixed"/>
        <w:tblCellMar>
          <w:top w:w="0" w:type="dxa"/>
          <w:left w:w="108" w:type="dxa"/>
          <w:bottom w:w="0" w:type="dxa"/>
          <w:right w:w="108" w:type="dxa"/>
        </w:tblCellMar>
      </w:tblPr>
      <w:tblGrid>
        <w:gridCol w:w="1285"/>
        <w:gridCol w:w="2422"/>
        <w:gridCol w:w="1005"/>
        <w:gridCol w:w="1072"/>
        <w:gridCol w:w="1715"/>
        <w:gridCol w:w="2355"/>
      </w:tblGrid>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vAlign w:val="center"/>
          </w:tcPr>
          <w:p>
            <w:pPr>
              <w:spacing w:line="440" w:lineRule="exact"/>
              <w:jc w:val="center"/>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姓名</w:t>
            </w:r>
          </w:p>
        </w:tc>
        <w:tc>
          <w:tcPr>
            <w:tcW w:w="2422" w:type="dxa"/>
            <w:tcBorders>
              <w:top w:val="single" w:color="auto" w:sz="6" w:space="0"/>
              <w:left w:val="single" w:color="auto" w:sz="6" w:space="0"/>
              <w:bottom w:val="single" w:color="auto" w:sz="6" w:space="0"/>
              <w:right w:val="single" w:color="auto" w:sz="6" w:space="0"/>
            </w:tcBorders>
            <w:vAlign w:val="center"/>
          </w:tcPr>
          <w:p>
            <w:pPr>
              <w:spacing w:line="440" w:lineRule="exact"/>
              <w:jc w:val="center"/>
              <w:rPr>
                <w:rFonts w:asciiTheme="minorEastAsia" w:hAnsiTheme="minorEastAsia" w:eastAsiaTheme="minorEastAsia" w:cstheme="minorEastAsia"/>
                <w:color w:val="000000" w:themeColor="text1"/>
                <w:sz w:val="24"/>
                <w:szCs w:val="24"/>
                <w14:textFill>
                  <w14:solidFill>
                    <w14:schemeClr w14:val="tx1"/>
                  </w14:solidFill>
                </w14:textFill>
              </w:rPr>
            </w:pPr>
          </w:p>
        </w:tc>
        <w:tc>
          <w:tcPr>
            <w:tcW w:w="1005" w:type="dxa"/>
            <w:tcBorders>
              <w:top w:val="single" w:color="auto" w:sz="6" w:space="0"/>
              <w:left w:val="single" w:color="auto" w:sz="6" w:space="0"/>
              <w:bottom w:val="single" w:color="auto" w:sz="6" w:space="0"/>
              <w:right w:val="single" w:color="auto" w:sz="6" w:space="0"/>
            </w:tcBorders>
            <w:vAlign w:val="center"/>
          </w:tcPr>
          <w:p>
            <w:pPr>
              <w:spacing w:line="440" w:lineRule="exact"/>
              <w:jc w:val="center"/>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年龄</w:t>
            </w:r>
          </w:p>
        </w:tc>
        <w:tc>
          <w:tcPr>
            <w:tcW w:w="1072" w:type="dxa"/>
            <w:tcBorders>
              <w:top w:val="single" w:color="auto" w:sz="6" w:space="0"/>
              <w:left w:val="single" w:color="auto" w:sz="6" w:space="0"/>
              <w:bottom w:val="single" w:color="auto" w:sz="6" w:space="0"/>
              <w:right w:val="single" w:color="auto" w:sz="6" w:space="0"/>
            </w:tcBorders>
            <w:vAlign w:val="center"/>
          </w:tcPr>
          <w:p>
            <w:pPr>
              <w:spacing w:line="440" w:lineRule="exact"/>
              <w:jc w:val="center"/>
              <w:rPr>
                <w:rFonts w:asciiTheme="minorEastAsia" w:hAnsiTheme="minorEastAsia" w:eastAsiaTheme="minorEastAsia" w:cstheme="minorEastAsia"/>
                <w:color w:val="000000" w:themeColor="text1"/>
                <w:sz w:val="24"/>
                <w:szCs w:val="24"/>
                <w14:textFill>
                  <w14:solidFill>
                    <w14:schemeClr w14:val="tx1"/>
                  </w14:solidFill>
                </w14:textFill>
              </w:rPr>
            </w:pPr>
          </w:p>
        </w:tc>
        <w:tc>
          <w:tcPr>
            <w:tcW w:w="1715" w:type="dxa"/>
            <w:tcBorders>
              <w:top w:val="single" w:color="auto" w:sz="6" w:space="0"/>
              <w:left w:val="single" w:color="auto" w:sz="6" w:space="0"/>
              <w:bottom w:val="single" w:color="auto" w:sz="6" w:space="0"/>
              <w:right w:val="single" w:color="auto" w:sz="6" w:space="0"/>
            </w:tcBorders>
            <w:vAlign w:val="center"/>
          </w:tcPr>
          <w:p>
            <w:pPr>
              <w:spacing w:line="440" w:lineRule="exact"/>
              <w:jc w:val="center"/>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身份证号码</w:t>
            </w:r>
          </w:p>
        </w:tc>
        <w:tc>
          <w:tcPr>
            <w:tcW w:w="2355" w:type="dxa"/>
            <w:tcBorders>
              <w:top w:val="single" w:color="auto" w:sz="6" w:space="0"/>
              <w:left w:val="single" w:color="auto" w:sz="6" w:space="0"/>
              <w:bottom w:val="single" w:color="auto" w:sz="6" w:space="0"/>
              <w:right w:val="single" w:color="auto" w:sz="6" w:space="0"/>
            </w:tcBorders>
            <w:vAlign w:val="center"/>
          </w:tcPr>
          <w:p>
            <w:pPr>
              <w:spacing w:line="440" w:lineRule="exact"/>
              <w:jc w:val="center"/>
              <w:rPr>
                <w:rFonts w:asciiTheme="minorEastAsia" w:hAnsiTheme="minorEastAsia" w:eastAsiaTheme="minorEastAsia" w:cstheme="minorEastAsia"/>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vAlign w:val="center"/>
          </w:tcPr>
          <w:p>
            <w:pPr>
              <w:spacing w:line="440" w:lineRule="exact"/>
              <w:jc w:val="center"/>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毕业学校</w:t>
            </w:r>
          </w:p>
        </w:tc>
        <w:tc>
          <w:tcPr>
            <w:tcW w:w="4499" w:type="dxa"/>
            <w:gridSpan w:val="3"/>
            <w:tcBorders>
              <w:top w:val="single" w:color="auto" w:sz="6" w:space="0"/>
              <w:left w:val="single" w:color="auto" w:sz="6" w:space="0"/>
              <w:bottom w:val="single" w:color="auto" w:sz="6" w:space="0"/>
              <w:right w:val="single" w:color="auto" w:sz="6" w:space="0"/>
            </w:tcBorders>
            <w:vAlign w:val="center"/>
          </w:tcPr>
          <w:p>
            <w:pPr>
              <w:spacing w:line="440" w:lineRule="exact"/>
              <w:jc w:val="center"/>
              <w:rPr>
                <w:rFonts w:asciiTheme="minorEastAsia" w:hAnsiTheme="minorEastAsia" w:eastAsiaTheme="minorEastAsia" w:cstheme="minorEastAsia"/>
                <w:color w:val="000000" w:themeColor="text1"/>
                <w:sz w:val="24"/>
                <w:szCs w:val="24"/>
                <w14:textFill>
                  <w14:solidFill>
                    <w14:schemeClr w14:val="tx1"/>
                  </w14:solidFill>
                </w14:textFill>
              </w:rPr>
            </w:pPr>
          </w:p>
        </w:tc>
        <w:tc>
          <w:tcPr>
            <w:tcW w:w="1715" w:type="dxa"/>
            <w:tcBorders>
              <w:top w:val="single" w:color="auto" w:sz="6" w:space="0"/>
              <w:left w:val="single" w:color="auto" w:sz="6" w:space="0"/>
              <w:bottom w:val="single" w:color="auto" w:sz="6" w:space="0"/>
              <w:right w:val="single" w:color="auto" w:sz="6" w:space="0"/>
            </w:tcBorders>
            <w:vAlign w:val="center"/>
          </w:tcPr>
          <w:p>
            <w:pPr>
              <w:spacing w:line="440" w:lineRule="exact"/>
              <w:jc w:val="center"/>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专业</w:t>
            </w:r>
          </w:p>
        </w:tc>
        <w:tc>
          <w:tcPr>
            <w:tcW w:w="2355" w:type="dxa"/>
            <w:tcBorders>
              <w:top w:val="single" w:color="auto" w:sz="6" w:space="0"/>
              <w:left w:val="single" w:color="auto" w:sz="6" w:space="0"/>
              <w:bottom w:val="single" w:color="auto" w:sz="6" w:space="0"/>
              <w:right w:val="single" w:color="auto" w:sz="6" w:space="0"/>
            </w:tcBorders>
            <w:vAlign w:val="center"/>
          </w:tcPr>
          <w:p>
            <w:pPr>
              <w:spacing w:line="440" w:lineRule="exact"/>
              <w:jc w:val="center"/>
              <w:rPr>
                <w:rFonts w:asciiTheme="minorEastAsia" w:hAnsiTheme="minorEastAsia" w:eastAsiaTheme="minorEastAsia" w:cstheme="minorEastAsia"/>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vAlign w:val="center"/>
          </w:tcPr>
          <w:p>
            <w:pPr>
              <w:spacing w:line="440" w:lineRule="exact"/>
              <w:jc w:val="center"/>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学位</w:t>
            </w:r>
          </w:p>
        </w:tc>
        <w:tc>
          <w:tcPr>
            <w:tcW w:w="2422" w:type="dxa"/>
            <w:tcBorders>
              <w:top w:val="single" w:color="auto" w:sz="6" w:space="0"/>
              <w:left w:val="single" w:color="auto" w:sz="6" w:space="0"/>
              <w:bottom w:val="single" w:color="auto" w:sz="6" w:space="0"/>
              <w:right w:val="single" w:color="auto" w:sz="6" w:space="0"/>
            </w:tcBorders>
            <w:vAlign w:val="center"/>
          </w:tcPr>
          <w:p>
            <w:pPr>
              <w:spacing w:line="440" w:lineRule="exact"/>
              <w:jc w:val="center"/>
              <w:rPr>
                <w:rFonts w:asciiTheme="minorEastAsia" w:hAnsiTheme="minorEastAsia" w:eastAsiaTheme="minorEastAsia" w:cstheme="minorEastAsia"/>
                <w:color w:val="000000" w:themeColor="text1"/>
                <w:sz w:val="24"/>
                <w:szCs w:val="24"/>
                <w14:textFill>
                  <w14:solidFill>
                    <w14:schemeClr w14:val="tx1"/>
                  </w14:solidFill>
                </w14:textFill>
              </w:rPr>
            </w:pPr>
          </w:p>
        </w:tc>
        <w:tc>
          <w:tcPr>
            <w:tcW w:w="1005" w:type="dxa"/>
            <w:tcBorders>
              <w:top w:val="single" w:color="auto" w:sz="6" w:space="0"/>
              <w:left w:val="single" w:color="auto" w:sz="6" w:space="0"/>
              <w:bottom w:val="single" w:color="auto" w:sz="6" w:space="0"/>
              <w:right w:val="single" w:color="auto" w:sz="6" w:space="0"/>
            </w:tcBorders>
            <w:vAlign w:val="center"/>
          </w:tcPr>
          <w:p>
            <w:pPr>
              <w:spacing w:line="440" w:lineRule="exact"/>
              <w:jc w:val="center"/>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职称</w:t>
            </w:r>
          </w:p>
        </w:tc>
        <w:tc>
          <w:tcPr>
            <w:tcW w:w="1072" w:type="dxa"/>
            <w:tcBorders>
              <w:top w:val="single" w:color="auto" w:sz="6" w:space="0"/>
              <w:left w:val="single" w:color="auto" w:sz="6" w:space="0"/>
              <w:bottom w:val="single" w:color="auto" w:sz="6" w:space="0"/>
              <w:right w:val="single" w:color="auto" w:sz="6" w:space="0"/>
            </w:tcBorders>
            <w:vAlign w:val="center"/>
          </w:tcPr>
          <w:p>
            <w:pPr>
              <w:spacing w:line="440" w:lineRule="exact"/>
              <w:jc w:val="center"/>
              <w:rPr>
                <w:rFonts w:asciiTheme="minorEastAsia" w:hAnsiTheme="minorEastAsia" w:eastAsiaTheme="minorEastAsia" w:cstheme="minorEastAsia"/>
                <w:color w:val="000000" w:themeColor="text1"/>
                <w:sz w:val="24"/>
                <w:szCs w:val="24"/>
                <w14:textFill>
                  <w14:solidFill>
                    <w14:schemeClr w14:val="tx1"/>
                  </w14:solidFill>
                </w14:textFill>
              </w:rPr>
            </w:pPr>
          </w:p>
        </w:tc>
        <w:tc>
          <w:tcPr>
            <w:tcW w:w="1715" w:type="dxa"/>
            <w:tcBorders>
              <w:top w:val="single" w:color="auto" w:sz="6" w:space="0"/>
              <w:left w:val="single" w:color="auto" w:sz="6" w:space="0"/>
              <w:bottom w:val="single" w:color="auto" w:sz="6" w:space="0"/>
              <w:right w:val="single" w:color="auto" w:sz="6" w:space="0"/>
            </w:tcBorders>
            <w:vAlign w:val="center"/>
          </w:tcPr>
          <w:p>
            <w:pPr>
              <w:spacing w:line="440" w:lineRule="exact"/>
              <w:jc w:val="center"/>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职务</w:t>
            </w:r>
          </w:p>
        </w:tc>
        <w:tc>
          <w:tcPr>
            <w:tcW w:w="2355" w:type="dxa"/>
            <w:tcBorders>
              <w:top w:val="single" w:color="auto" w:sz="6" w:space="0"/>
              <w:left w:val="single" w:color="auto" w:sz="6" w:space="0"/>
              <w:bottom w:val="single" w:color="auto" w:sz="6" w:space="0"/>
              <w:right w:val="single" w:color="auto" w:sz="6" w:space="0"/>
            </w:tcBorders>
            <w:vAlign w:val="center"/>
          </w:tcPr>
          <w:p>
            <w:pPr>
              <w:spacing w:line="440" w:lineRule="exact"/>
              <w:jc w:val="center"/>
              <w:rPr>
                <w:rFonts w:asciiTheme="minorEastAsia" w:hAnsiTheme="minorEastAsia" w:eastAsiaTheme="minorEastAsia" w:cstheme="minorEastAsia"/>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vAlign w:val="center"/>
          </w:tcPr>
          <w:p>
            <w:pPr>
              <w:spacing w:line="440" w:lineRule="exact"/>
              <w:jc w:val="center"/>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现所在机构或部门</w:t>
            </w:r>
          </w:p>
        </w:tc>
        <w:tc>
          <w:tcPr>
            <w:tcW w:w="4499" w:type="dxa"/>
            <w:gridSpan w:val="3"/>
            <w:tcBorders>
              <w:top w:val="single" w:color="auto" w:sz="6" w:space="0"/>
              <w:left w:val="single" w:color="auto" w:sz="6" w:space="0"/>
              <w:bottom w:val="single" w:color="auto" w:sz="6" w:space="0"/>
              <w:right w:val="single" w:color="auto" w:sz="6" w:space="0"/>
            </w:tcBorders>
            <w:vAlign w:val="center"/>
          </w:tcPr>
          <w:p>
            <w:pPr>
              <w:spacing w:line="440" w:lineRule="exact"/>
              <w:jc w:val="center"/>
              <w:rPr>
                <w:rFonts w:asciiTheme="minorEastAsia" w:hAnsiTheme="minorEastAsia" w:eastAsiaTheme="minorEastAsia" w:cstheme="minorEastAsia"/>
                <w:color w:val="000000" w:themeColor="text1"/>
                <w:sz w:val="24"/>
                <w:szCs w:val="24"/>
                <w14:textFill>
                  <w14:solidFill>
                    <w14:schemeClr w14:val="tx1"/>
                  </w14:solidFill>
                </w14:textFill>
              </w:rPr>
            </w:pPr>
          </w:p>
        </w:tc>
        <w:tc>
          <w:tcPr>
            <w:tcW w:w="1715" w:type="dxa"/>
            <w:tcBorders>
              <w:top w:val="single" w:color="auto" w:sz="6" w:space="0"/>
              <w:left w:val="single" w:color="auto" w:sz="6" w:space="0"/>
              <w:bottom w:val="single" w:color="auto" w:sz="6" w:space="0"/>
              <w:right w:val="single" w:color="auto" w:sz="6" w:space="0"/>
            </w:tcBorders>
            <w:vAlign w:val="center"/>
          </w:tcPr>
          <w:p>
            <w:pPr>
              <w:spacing w:line="440" w:lineRule="exact"/>
              <w:jc w:val="center"/>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服务时间</w:t>
            </w:r>
          </w:p>
        </w:tc>
        <w:tc>
          <w:tcPr>
            <w:tcW w:w="2355" w:type="dxa"/>
            <w:tcBorders>
              <w:top w:val="single" w:color="auto" w:sz="6" w:space="0"/>
              <w:left w:val="single" w:color="auto" w:sz="6" w:space="0"/>
              <w:bottom w:val="single" w:color="auto" w:sz="6" w:space="0"/>
              <w:right w:val="single" w:color="auto" w:sz="6" w:space="0"/>
            </w:tcBorders>
            <w:vAlign w:val="center"/>
          </w:tcPr>
          <w:p>
            <w:pPr>
              <w:spacing w:line="440" w:lineRule="exact"/>
              <w:jc w:val="center"/>
              <w:rPr>
                <w:rFonts w:asciiTheme="minorEastAsia" w:hAnsiTheme="minorEastAsia" w:eastAsiaTheme="minorEastAsia" w:cstheme="minorEastAsia"/>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vAlign w:val="center"/>
          </w:tcPr>
          <w:p>
            <w:pPr>
              <w:spacing w:line="440" w:lineRule="exact"/>
              <w:jc w:val="center"/>
              <w:rPr>
                <w:rFonts w:asciiTheme="minorEastAsia" w:hAnsiTheme="minorEastAsia" w:eastAsiaTheme="minorEastAsia" w:cstheme="minorEastAsia"/>
                <w:color w:val="000000" w:themeColor="text1"/>
                <w:sz w:val="24"/>
                <w:szCs w:val="24"/>
                <w14:textFill>
                  <w14:solidFill>
                    <w14:schemeClr w14:val="tx1"/>
                  </w14:solidFill>
                </w14:textFill>
              </w:rPr>
            </w:pPr>
          </w:p>
          <w:p>
            <w:pPr>
              <w:spacing w:line="440" w:lineRule="exact"/>
              <w:jc w:val="center"/>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主要经历</w:t>
            </w:r>
          </w:p>
          <w:p>
            <w:pPr>
              <w:spacing w:line="440" w:lineRule="exact"/>
              <w:jc w:val="center"/>
              <w:rPr>
                <w:rFonts w:asciiTheme="minorEastAsia" w:hAnsiTheme="minorEastAsia" w:eastAsiaTheme="minorEastAsia" w:cstheme="minorEastAsia"/>
                <w:color w:val="000000" w:themeColor="text1"/>
                <w:sz w:val="24"/>
                <w:szCs w:val="24"/>
                <w14:textFill>
                  <w14:solidFill>
                    <w14:schemeClr w14:val="tx1"/>
                  </w14:solidFill>
                </w14:textFill>
              </w:rPr>
            </w:pPr>
          </w:p>
        </w:tc>
        <w:tc>
          <w:tcPr>
            <w:tcW w:w="8569" w:type="dxa"/>
            <w:gridSpan w:val="5"/>
            <w:tcBorders>
              <w:top w:val="single" w:color="auto" w:sz="6" w:space="0"/>
              <w:left w:val="single" w:color="auto" w:sz="6" w:space="0"/>
              <w:bottom w:val="single" w:color="auto" w:sz="6" w:space="0"/>
              <w:right w:val="single" w:color="auto" w:sz="6" w:space="0"/>
            </w:tcBorders>
            <w:vAlign w:val="center"/>
          </w:tcPr>
          <w:p>
            <w:pPr>
              <w:spacing w:line="440" w:lineRule="exact"/>
              <w:jc w:val="center"/>
              <w:rPr>
                <w:rFonts w:asciiTheme="minorEastAsia" w:hAnsiTheme="minorEastAsia" w:eastAsiaTheme="minorEastAsia" w:cstheme="minorEastAsia"/>
                <w:color w:val="000000" w:themeColor="text1"/>
                <w:sz w:val="24"/>
                <w:szCs w:val="24"/>
                <w14:textFill>
                  <w14:solidFill>
                    <w14:schemeClr w14:val="tx1"/>
                  </w14:solidFill>
                </w14:textFill>
              </w:rPr>
            </w:pPr>
          </w:p>
          <w:p>
            <w:pPr>
              <w:spacing w:line="440" w:lineRule="exact"/>
              <w:jc w:val="center"/>
              <w:rPr>
                <w:rFonts w:asciiTheme="minorEastAsia" w:hAnsiTheme="minorEastAsia" w:eastAsiaTheme="minorEastAsia" w:cstheme="minorEastAsia"/>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vAlign w:val="center"/>
          </w:tcPr>
          <w:p>
            <w:pPr>
              <w:spacing w:line="440" w:lineRule="exact"/>
              <w:jc w:val="center"/>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日期</w:t>
            </w:r>
          </w:p>
        </w:tc>
        <w:tc>
          <w:tcPr>
            <w:tcW w:w="3427" w:type="dxa"/>
            <w:gridSpan w:val="2"/>
            <w:tcBorders>
              <w:top w:val="single" w:color="auto" w:sz="6" w:space="0"/>
              <w:left w:val="single" w:color="auto" w:sz="6" w:space="0"/>
              <w:bottom w:val="single" w:color="auto" w:sz="6" w:space="0"/>
              <w:right w:val="single" w:color="auto" w:sz="6" w:space="0"/>
            </w:tcBorders>
            <w:vAlign w:val="center"/>
          </w:tcPr>
          <w:p>
            <w:pPr>
              <w:spacing w:line="440" w:lineRule="exact"/>
              <w:jc w:val="center"/>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参加过的项目名称</w:t>
            </w:r>
          </w:p>
        </w:tc>
        <w:tc>
          <w:tcPr>
            <w:tcW w:w="2787" w:type="dxa"/>
            <w:gridSpan w:val="2"/>
            <w:tcBorders>
              <w:top w:val="single" w:color="auto" w:sz="6" w:space="0"/>
              <w:left w:val="single" w:color="auto" w:sz="6" w:space="0"/>
              <w:bottom w:val="single" w:color="auto" w:sz="6" w:space="0"/>
              <w:right w:val="single" w:color="auto" w:sz="6" w:space="0"/>
            </w:tcBorders>
            <w:vAlign w:val="center"/>
          </w:tcPr>
          <w:p>
            <w:pPr>
              <w:spacing w:line="440" w:lineRule="exact"/>
              <w:jc w:val="center"/>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担任何职务</w:t>
            </w:r>
          </w:p>
        </w:tc>
        <w:tc>
          <w:tcPr>
            <w:tcW w:w="2355" w:type="dxa"/>
            <w:tcBorders>
              <w:top w:val="single" w:color="auto" w:sz="6" w:space="0"/>
              <w:left w:val="single" w:color="auto" w:sz="6" w:space="0"/>
              <w:bottom w:val="single" w:color="auto" w:sz="6" w:space="0"/>
              <w:right w:val="single" w:color="auto" w:sz="6" w:space="0"/>
            </w:tcBorders>
            <w:vAlign w:val="center"/>
          </w:tcPr>
          <w:p>
            <w:pPr>
              <w:spacing w:line="440" w:lineRule="exact"/>
              <w:jc w:val="center"/>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备注</w:t>
            </w: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vAlign w:val="center"/>
          </w:tcPr>
          <w:p>
            <w:pPr>
              <w:spacing w:line="440" w:lineRule="exact"/>
              <w:jc w:val="center"/>
              <w:rPr>
                <w:rFonts w:asciiTheme="minorEastAsia" w:hAnsiTheme="minorEastAsia" w:eastAsiaTheme="minorEastAsia" w:cstheme="minorEastAsia"/>
                <w:color w:val="000000" w:themeColor="text1"/>
                <w:sz w:val="24"/>
                <w:szCs w:val="24"/>
                <w14:textFill>
                  <w14:solidFill>
                    <w14:schemeClr w14:val="tx1"/>
                  </w14:solidFill>
                </w14:textFill>
              </w:rPr>
            </w:pPr>
          </w:p>
        </w:tc>
        <w:tc>
          <w:tcPr>
            <w:tcW w:w="3427" w:type="dxa"/>
            <w:gridSpan w:val="2"/>
            <w:tcBorders>
              <w:top w:val="single" w:color="auto" w:sz="6" w:space="0"/>
              <w:left w:val="single" w:color="auto" w:sz="6" w:space="0"/>
              <w:bottom w:val="single" w:color="auto" w:sz="6" w:space="0"/>
              <w:right w:val="single" w:color="auto" w:sz="6" w:space="0"/>
            </w:tcBorders>
            <w:vAlign w:val="center"/>
          </w:tcPr>
          <w:p>
            <w:pPr>
              <w:spacing w:line="440" w:lineRule="exact"/>
              <w:jc w:val="center"/>
              <w:rPr>
                <w:rFonts w:asciiTheme="minorEastAsia" w:hAnsiTheme="minorEastAsia" w:eastAsiaTheme="minorEastAsia" w:cstheme="minorEastAsia"/>
                <w:color w:val="000000" w:themeColor="text1"/>
                <w:sz w:val="24"/>
                <w:szCs w:val="24"/>
                <w14:textFill>
                  <w14:solidFill>
                    <w14:schemeClr w14:val="tx1"/>
                  </w14:solidFill>
                </w14:textFill>
              </w:rPr>
            </w:pPr>
          </w:p>
        </w:tc>
        <w:tc>
          <w:tcPr>
            <w:tcW w:w="2787" w:type="dxa"/>
            <w:gridSpan w:val="2"/>
            <w:tcBorders>
              <w:top w:val="single" w:color="auto" w:sz="6" w:space="0"/>
              <w:left w:val="single" w:color="auto" w:sz="6" w:space="0"/>
              <w:bottom w:val="single" w:color="auto" w:sz="6" w:space="0"/>
              <w:right w:val="single" w:color="auto" w:sz="6" w:space="0"/>
            </w:tcBorders>
            <w:vAlign w:val="center"/>
          </w:tcPr>
          <w:p>
            <w:pPr>
              <w:spacing w:line="440" w:lineRule="exact"/>
              <w:jc w:val="center"/>
              <w:rPr>
                <w:rFonts w:asciiTheme="minorEastAsia" w:hAnsiTheme="minorEastAsia" w:eastAsiaTheme="minorEastAsia" w:cstheme="minorEastAsia"/>
                <w:color w:val="000000" w:themeColor="text1"/>
                <w:sz w:val="24"/>
                <w:szCs w:val="24"/>
                <w14:textFill>
                  <w14:solidFill>
                    <w14:schemeClr w14:val="tx1"/>
                  </w14:solidFill>
                </w14:textFill>
              </w:rPr>
            </w:pPr>
          </w:p>
        </w:tc>
        <w:tc>
          <w:tcPr>
            <w:tcW w:w="2355" w:type="dxa"/>
            <w:tcBorders>
              <w:top w:val="single" w:color="auto" w:sz="6" w:space="0"/>
              <w:left w:val="single" w:color="auto" w:sz="6" w:space="0"/>
              <w:bottom w:val="single" w:color="auto" w:sz="6" w:space="0"/>
              <w:right w:val="single" w:color="auto" w:sz="6" w:space="0"/>
            </w:tcBorders>
            <w:vAlign w:val="center"/>
          </w:tcPr>
          <w:p>
            <w:pPr>
              <w:spacing w:line="440" w:lineRule="exact"/>
              <w:jc w:val="center"/>
              <w:rPr>
                <w:rFonts w:asciiTheme="minorEastAsia" w:hAnsiTheme="minorEastAsia" w:eastAsiaTheme="minorEastAsia" w:cstheme="minorEastAsia"/>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vAlign w:val="center"/>
          </w:tcPr>
          <w:p>
            <w:pPr>
              <w:spacing w:line="440" w:lineRule="exact"/>
              <w:jc w:val="center"/>
              <w:rPr>
                <w:rFonts w:asciiTheme="minorEastAsia" w:hAnsiTheme="minorEastAsia" w:eastAsiaTheme="minorEastAsia" w:cstheme="minorEastAsia"/>
                <w:color w:val="000000" w:themeColor="text1"/>
                <w:sz w:val="24"/>
                <w:szCs w:val="24"/>
                <w14:textFill>
                  <w14:solidFill>
                    <w14:schemeClr w14:val="tx1"/>
                  </w14:solidFill>
                </w14:textFill>
              </w:rPr>
            </w:pPr>
          </w:p>
        </w:tc>
        <w:tc>
          <w:tcPr>
            <w:tcW w:w="3427" w:type="dxa"/>
            <w:gridSpan w:val="2"/>
            <w:tcBorders>
              <w:top w:val="single" w:color="auto" w:sz="6" w:space="0"/>
              <w:left w:val="single" w:color="auto" w:sz="6" w:space="0"/>
              <w:bottom w:val="single" w:color="auto" w:sz="6" w:space="0"/>
              <w:right w:val="single" w:color="auto" w:sz="6" w:space="0"/>
            </w:tcBorders>
            <w:vAlign w:val="center"/>
          </w:tcPr>
          <w:p>
            <w:pPr>
              <w:spacing w:line="440" w:lineRule="exact"/>
              <w:jc w:val="center"/>
              <w:rPr>
                <w:rFonts w:asciiTheme="minorEastAsia" w:hAnsiTheme="minorEastAsia" w:eastAsiaTheme="minorEastAsia" w:cstheme="minorEastAsia"/>
                <w:color w:val="000000" w:themeColor="text1"/>
                <w:sz w:val="24"/>
                <w:szCs w:val="24"/>
                <w14:textFill>
                  <w14:solidFill>
                    <w14:schemeClr w14:val="tx1"/>
                  </w14:solidFill>
                </w14:textFill>
              </w:rPr>
            </w:pPr>
          </w:p>
        </w:tc>
        <w:tc>
          <w:tcPr>
            <w:tcW w:w="2787" w:type="dxa"/>
            <w:gridSpan w:val="2"/>
            <w:tcBorders>
              <w:top w:val="single" w:color="auto" w:sz="6" w:space="0"/>
              <w:left w:val="single" w:color="auto" w:sz="6" w:space="0"/>
              <w:bottom w:val="single" w:color="auto" w:sz="6" w:space="0"/>
              <w:right w:val="single" w:color="auto" w:sz="6" w:space="0"/>
            </w:tcBorders>
            <w:vAlign w:val="center"/>
          </w:tcPr>
          <w:p>
            <w:pPr>
              <w:spacing w:line="440" w:lineRule="exact"/>
              <w:jc w:val="center"/>
              <w:rPr>
                <w:rFonts w:asciiTheme="minorEastAsia" w:hAnsiTheme="minorEastAsia" w:eastAsiaTheme="minorEastAsia" w:cstheme="minorEastAsia"/>
                <w:color w:val="000000" w:themeColor="text1"/>
                <w:sz w:val="24"/>
                <w:szCs w:val="24"/>
                <w14:textFill>
                  <w14:solidFill>
                    <w14:schemeClr w14:val="tx1"/>
                  </w14:solidFill>
                </w14:textFill>
              </w:rPr>
            </w:pPr>
          </w:p>
        </w:tc>
        <w:tc>
          <w:tcPr>
            <w:tcW w:w="2355" w:type="dxa"/>
            <w:tcBorders>
              <w:top w:val="single" w:color="auto" w:sz="6" w:space="0"/>
              <w:left w:val="single" w:color="auto" w:sz="6" w:space="0"/>
              <w:bottom w:val="single" w:color="auto" w:sz="6" w:space="0"/>
              <w:right w:val="single" w:color="auto" w:sz="6" w:space="0"/>
            </w:tcBorders>
            <w:vAlign w:val="center"/>
          </w:tcPr>
          <w:p>
            <w:pPr>
              <w:spacing w:line="440" w:lineRule="exact"/>
              <w:jc w:val="center"/>
              <w:rPr>
                <w:rFonts w:asciiTheme="minorEastAsia" w:hAnsiTheme="minorEastAsia" w:eastAsiaTheme="minorEastAsia" w:cstheme="minorEastAsia"/>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vAlign w:val="center"/>
          </w:tcPr>
          <w:p>
            <w:pPr>
              <w:spacing w:line="440" w:lineRule="exact"/>
              <w:jc w:val="center"/>
              <w:rPr>
                <w:rFonts w:asciiTheme="minorEastAsia" w:hAnsiTheme="minorEastAsia" w:eastAsiaTheme="minorEastAsia" w:cstheme="minorEastAsia"/>
                <w:color w:val="000000" w:themeColor="text1"/>
                <w:sz w:val="24"/>
                <w:szCs w:val="24"/>
                <w14:textFill>
                  <w14:solidFill>
                    <w14:schemeClr w14:val="tx1"/>
                  </w14:solidFill>
                </w14:textFill>
              </w:rPr>
            </w:pPr>
          </w:p>
        </w:tc>
        <w:tc>
          <w:tcPr>
            <w:tcW w:w="3427" w:type="dxa"/>
            <w:gridSpan w:val="2"/>
            <w:tcBorders>
              <w:top w:val="single" w:color="auto" w:sz="6" w:space="0"/>
              <w:left w:val="single" w:color="auto" w:sz="6" w:space="0"/>
              <w:bottom w:val="single" w:color="auto" w:sz="6" w:space="0"/>
              <w:right w:val="single" w:color="auto" w:sz="6" w:space="0"/>
            </w:tcBorders>
            <w:vAlign w:val="center"/>
          </w:tcPr>
          <w:p>
            <w:pPr>
              <w:spacing w:line="440" w:lineRule="exact"/>
              <w:jc w:val="center"/>
              <w:rPr>
                <w:rFonts w:asciiTheme="minorEastAsia" w:hAnsiTheme="minorEastAsia" w:eastAsiaTheme="minorEastAsia" w:cstheme="minorEastAsia"/>
                <w:color w:val="000000" w:themeColor="text1"/>
                <w:sz w:val="24"/>
                <w:szCs w:val="24"/>
                <w14:textFill>
                  <w14:solidFill>
                    <w14:schemeClr w14:val="tx1"/>
                  </w14:solidFill>
                </w14:textFill>
              </w:rPr>
            </w:pPr>
          </w:p>
        </w:tc>
        <w:tc>
          <w:tcPr>
            <w:tcW w:w="2787" w:type="dxa"/>
            <w:gridSpan w:val="2"/>
            <w:tcBorders>
              <w:top w:val="single" w:color="auto" w:sz="6" w:space="0"/>
              <w:left w:val="single" w:color="auto" w:sz="6" w:space="0"/>
              <w:bottom w:val="single" w:color="auto" w:sz="6" w:space="0"/>
              <w:right w:val="single" w:color="auto" w:sz="6" w:space="0"/>
            </w:tcBorders>
            <w:vAlign w:val="center"/>
          </w:tcPr>
          <w:p>
            <w:pPr>
              <w:spacing w:line="440" w:lineRule="exact"/>
              <w:jc w:val="center"/>
              <w:rPr>
                <w:rFonts w:asciiTheme="minorEastAsia" w:hAnsiTheme="minorEastAsia" w:eastAsiaTheme="minorEastAsia" w:cstheme="minorEastAsia"/>
                <w:color w:val="000000" w:themeColor="text1"/>
                <w:sz w:val="24"/>
                <w:szCs w:val="24"/>
                <w14:textFill>
                  <w14:solidFill>
                    <w14:schemeClr w14:val="tx1"/>
                  </w14:solidFill>
                </w14:textFill>
              </w:rPr>
            </w:pPr>
          </w:p>
        </w:tc>
        <w:tc>
          <w:tcPr>
            <w:tcW w:w="2355" w:type="dxa"/>
            <w:tcBorders>
              <w:top w:val="single" w:color="auto" w:sz="6" w:space="0"/>
              <w:left w:val="single" w:color="auto" w:sz="6" w:space="0"/>
              <w:bottom w:val="single" w:color="auto" w:sz="6" w:space="0"/>
              <w:right w:val="single" w:color="auto" w:sz="6" w:space="0"/>
            </w:tcBorders>
            <w:vAlign w:val="center"/>
          </w:tcPr>
          <w:p>
            <w:pPr>
              <w:spacing w:line="440" w:lineRule="exact"/>
              <w:jc w:val="center"/>
              <w:rPr>
                <w:rFonts w:asciiTheme="minorEastAsia" w:hAnsiTheme="minorEastAsia" w:eastAsiaTheme="minorEastAsia" w:cstheme="minorEastAsia"/>
                <w:color w:val="000000" w:themeColor="text1"/>
                <w:sz w:val="24"/>
                <w:szCs w:val="24"/>
                <w14:textFill>
                  <w14:solidFill>
                    <w14:schemeClr w14:val="tx1"/>
                  </w14:solidFill>
                </w14:textFill>
              </w:rPr>
            </w:pPr>
          </w:p>
        </w:tc>
      </w:tr>
    </w:tbl>
    <w:p>
      <w:pPr>
        <w:autoSpaceDE w:val="0"/>
        <w:autoSpaceDN w:val="0"/>
        <w:adjustRightInd w:val="0"/>
        <w:spacing w:line="440" w:lineRule="exact"/>
        <w:rPr>
          <w:rFonts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2.2.3、拟投入本项目的主要成员表</w:t>
      </w:r>
    </w:p>
    <w:tbl>
      <w:tblPr>
        <w:tblStyle w:val="38"/>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1330"/>
        <w:gridCol w:w="2040"/>
        <w:gridCol w:w="1939"/>
        <w:gridCol w:w="1799"/>
        <w:gridCol w:w="20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740" w:type="dxa"/>
            <w:vAlign w:val="center"/>
          </w:tcPr>
          <w:p>
            <w:pPr>
              <w:spacing w:line="440" w:lineRule="exact"/>
              <w:jc w:val="center"/>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序号</w:t>
            </w:r>
          </w:p>
        </w:tc>
        <w:tc>
          <w:tcPr>
            <w:tcW w:w="1330" w:type="dxa"/>
            <w:vAlign w:val="center"/>
          </w:tcPr>
          <w:p>
            <w:pPr>
              <w:spacing w:line="440" w:lineRule="exact"/>
              <w:jc w:val="center"/>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姓名</w:t>
            </w:r>
          </w:p>
        </w:tc>
        <w:tc>
          <w:tcPr>
            <w:tcW w:w="2040" w:type="dxa"/>
            <w:vAlign w:val="center"/>
          </w:tcPr>
          <w:p>
            <w:pPr>
              <w:spacing w:line="440" w:lineRule="exact"/>
              <w:jc w:val="center"/>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性别</w:t>
            </w:r>
          </w:p>
        </w:tc>
        <w:tc>
          <w:tcPr>
            <w:tcW w:w="1939" w:type="dxa"/>
            <w:vAlign w:val="center"/>
          </w:tcPr>
          <w:p>
            <w:pPr>
              <w:spacing w:line="440" w:lineRule="exact"/>
              <w:jc w:val="center"/>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职称</w:t>
            </w:r>
          </w:p>
        </w:tc>
        <w:tc>
          <w:tcPr>
            <w:tcW w:w="1799" w:type="dxa"/>
            <w:vAlign w:val="center"/>
          </w:tcPr>
          <w:p>
            <w:pPr>
              <w:spacing w:line="440" w:lineRule="exact"/>
              <w:jc w:val="center"/>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岗位</w:t>
            </w:r>
          </w:p>
        </w:tc>
        <w:tc>
          <w:tcPr>
            <w:tcW w:w="2006" w:type="dxa"/>
            <w:vAlign w:val="center"/>
          </w:tcPr>
          <w:p>
            <w:pPr>
              <w:spacing w:line="440" w:lineRule="exact"/>
              <w:jc w:val="center"/>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从事该岗位时间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40" w:type="dxa"/>
            <w:vAlign w:val="center"/>
          </w:tcPr>
          <w:p>
            <w:pPr>
              <w:spacing w:line="440" w:lineRule="exact"/>
              <w:jc w:val="center"/>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w:t>
            </w:r>
          </w:p>
        </w:tc>
        <w:tc>
          <w:tcPr>
            <w:tcW w:w="1330" w:type="dxa"/>
            <w:vAlign w:val="center"/>
          </w:tcPr>
          <w:p>
            <w:pPr>
              <w:spacing w:line="440" w:lineRule="exact"/>
              <w:jc w:val="center"/>
              <w:rPr>
                <w:rFonts w:asciiTheme="minorEastAsia" w:hAnsiTheme="minorEastAsia" w:eastAsiaTheme="minorEastAsia" w:cstheme="minorEastAsia"/>
                <w:color w:val="000000" w:themeColor="text1"/>
                <w:sz w:val="24"/>
                <w:szCs w:val="24"/>
                <w14:textFill>
                  <w14:solidFill>
                    <w14:schemeClr w14:val="tx1"/>
                  </w14:solidFill>
                </w14:textFill>
              </w:rPr>
            </w:pPr>
          </w:p>
        </w:tc>
        <w:tc>
          <w:tcPr>
            <w:tcW w:w="2040" w:type="dxa"/>
            <w:vAlign w:val="center"/>
          </w:tcPr>
          <w:p>
            <w:pPr>
              <w:spacing w:line="440" w:lineRule="exact"/>
              <w:jc w:val="center"/>
              <w:rPr>
                <w:rFonts w:asciiTheme="minorEastAsia" w:hAnsiTheme="minorEastAsia" w:eastAsiaTheme="minorEastAsia" w:cstheme="minorEastAsia"/>
                <w:color w:val="000000" w:themeColor="text1"/>
                <w:sz w:val="24"/>
                <w:szCs w:val="24"/>
                <w14:textFill>
                  <w14:solidFill>
                    <w14:schemeClr w14:val="tx1"/>
                  </w14:solidFill>
                </w14:textFill>
              </w:rPr>
            </w:pPr>
          </w:p>
        </w:tc>
        <w:tc>
          <w:tcPr>
            <w:tcW w:w="1939" w:type="dxa"/>
            <w:vAlign w:val="center"/>
          </w:tcPr>
          <w:p>
            <w:pPr>
              <w:spacing w:line="440" w:lineRule="exact"/>
              <w:jc w:val="center"/>
              <w:rPr>
                <w:rFonts w:asciiTheme="minorEastAsia" w:hAnsiTheme="minorEastAsia" w:eastAsiaTheme="minorEastAsia" w:cstheme="minorEastAsia"/>
                <w:color w:val="000000" w:themeColor="text1"/>
                <w:sz w:val="24"/>
                <w:szCs w:val="24"/>
                <w14:textFill>
                  <w14:solidFill>
                    <w14:schemeClr w14:val="tx1"/>
                  </w14:solidFill>
                </w14:textFill>
              </w:rPr>
            </w:pPr>
          </w:p>
        </w:tc>
        <w:tc>
          <w:tcPr>
            <w:tcW w:w="1799" w:type="dxa"/>
            <w:vAlign w:val="center"/>
          </w:tcPr>
          <w:p>
            <w:pPr>
              <w:spacing w:line="440" w:lineRule="exact"/>
              <w:jc w:val="center"/>
              <w:rPr>
                <w:rFonts w:asciiTheme="minorEastAsia" w:hAnsiTheme="minorEastAsia" w:eastAsiaTheme="minorEastAsia" w:cstheme="minorEastAsia"/>
                <w:color w:val="000000" w:themeColor="text1"/>
                <w:sz w:val="24"/>
                <w:szCs w:val="24"/>
                <w14:textFill>
                  <w14:solidFill>
                    <w14:schemeClr w14:val="tx1"/>
                  </w14:solidFill>
                </w14:textFill>
              </w:rPr>
            </w:pPr>
          </w:p>
        </w:tc>
        <w:tc>
          <w:tcPr>
            <w:tcW w:w="2006" w:type="dxa"/>
            <w:vAlign w:val="center"/>
          </w:tcPr>
          <w:p>
            <w:pPr>
              <w:spacing w:line="440" w:lineRule="exact"/>
              <w:jc w:val="center"/>
              <w:rPr>
                <w:rFonts w:asciiTheme="minorEastAsia" w:hAnsiTheme="minorEastAsia" w:eastAsiaTheme="minorEastAsia" w:cstheme="minorEastAsia"/>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740" w:type="dxa"/>
            <w:vAlign w:val="center"/>
          </w:tcPr>
          <w:p>
            <w:pPr>
              <w:spacing w:line="440" w:lineRule="exact"/>
              <w:jc w:val="center"/>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w:t>
            </w:r>
          </w:p>
        </w:tc>
        <w:tc>
          <w:tcPr>
            <w:tcW w:w="1330" w:type="dxa"/>
            <w:vAlign w:val="center"/>
          </w:tcPr>
          <w:p>
            <w:pPr>
              <w:spacing w:line="440" w:lineRule="exact"/>
              <w:jc w:val="center"/>
              <w:rPr>
                <w:rFonts w:asciiTheme="minorEastAsia" w:hAnsiTheme="minorEastAsia" w:eastAsiaTheme="minorEastAsia" w:cstheme="minorEastAsia"/>
                <w:color w:val="000000" w:themeColor="text1"/>
                <w:sz w:val="24"/>
                <w:szCs w:val="24"/>
                <w14:textFill>
                  <w14:solidFill>
                    <w14:schemeClr w14:val="tx1"/>
                  </w14:solidFill>
                </w14:textFill>
              </w:rPr>
            </w:pPr>
          </w:p>
        </w:tc>
        <w:tc>
          <w:tcPr>
            <w:tcW w:w="2040" w:type="dxa"/>
            <w:vAlign w:val="center"/>
          </w:tcPr>
          <w:p>
            <w:pPr>
              <w:spacing w:line="440" w:lineRule="exact"/>
              <w:jc w:val="center"/>
              <w:rPr>
                <w:rFonts w:asciiTheme="minorEastAsia" w:hAnsiTheme="minorEastAsia" w:eastAsiaTheme="minorEastAsia" w:cstheme="minorEastAsia"/>
                <w:color w:val="000000" w:themeColor="text1"/>
                <w:sz w:val="24"/>
                <w:szCs w:val="24"/>
                <w14:textFill>
                  <w14:solidFill>
                    <w14:schemeClr w14:val="tx1"/>
                  </w14:solidFill>
                </w14:textFill>
              </w:rPr>
            </w:pPr>
          </w:p>
        </w:tc>
        <w:tc>
          <w:tcPr>
            <w:tcW w:w="1939" w:type="dxa"/>
            <w:vAlign w:val="center"/>
          </w:tcPr>
          <w:p>
            <w:pPr>
              <w:spacing w:line="440" w:lineRule="exact"/>
              <w:jc w:val="center"/>
              <w:rPr>
                <w:rFonts w:asciiTheme="minorEastAsia" w:hAnsiTheme="minorEastAsia" w:eastAsiaTheme="minorEastAsia" w:cstheme="minorEastAsia"/>
                <w:color w:val="000000" w:themeColor="text1"/>
                <w:sz w:val="24"/>
                <w:szCs w:val="24"/>
                <w14:textFill>
                  <w14:solidFill>
                    <w14:schemeClr w14:val="tx1"/>
                  </w14:solidFill>
                </w14:textFill>
              </w:rPr>
            </w:pPr>
          </w:p>
        </w:tc>
        <w:tc>
          <w:tcPr>
            <w:tcW w:w="1799" w:type="dxa"/>
            <w:vAlign w:val="center"/>
          </w:tcPr>
          <w:p>
            <w:pPr>
              <w:spacing w:line="440" w:lineRule="exact"/>
              <w:jc w:val="center"/>
              <w:rPr>
                <w:rFonts w:asciiTheme="minorEastAsia" w:hAnsiTheme="minorEastAsia" w:eastAsiaTheme="minorEastAsia" w:cstheme="minorEastAsia"/>
                <w:color w:val="000000" w:themeColor="text1"/>
                <w:sz w:val="24"/>
                <w:szCs w:val="24"/>
                <w14:textFill>
                  <w14:solidFill>
                    <w14:schemeClr w14:val="tx1"/>
                  </w14:solidFill>
                </w14:textFill>
              </w:rPr>
            </w:pPr>
          </w:p>
        </w:tc>
        <w:tc>
          <w:tcPr>
            <w:tcW w:w="2006" w:type="dxa"/>
            <w:vAlign w:val="center"/>
          </w:tcPr>
          <w:p>
            <w:pPr>
              <w:spacing w:line="440" w:lineRule="exact"/>
              <w:jc w:val="center"/>
              <w:rPr>
                <w:rFonts w:asciiTheme="minorEastAsia" w:hAnsiTheme="minorEastAsia" w:eastAsiaTheme="minorEastAsia" w:cstheme="minorEastAsia"/>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40" w:type="dxa"/>
            <w:vAlign w:val="center"/>
          </w:tcPr>
          <w:p>
            <w:pPr>
              <w:spacing w:line="440" w:lineRule="exact"/>
              <w:jc w:val="center"/>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3</w:t>
            </w:r>
          </w:p>
        </w:tc>
        <w:tc>
          <w:tcPr>
            <w:tcW w:w="1330" w:type="dxa"/>
            <w:vAlign w:val="center"/>
          </w:tcPr>
          <w:p>
            <w:pPr>
              <w:spacing w:line="440" w:lineRule="exact"/>
              <w:jc w:val="center"/>
              <w:rPr>
                <w:rFonts w:asciiTheme="minorEastAsia" w:hAnsiTheme="minorEastAsia" w:eastAsiaTheme="minorEastAsia" w:cstheme="minorEastAsia"/>
                <w:color w:val="000000" w:themeColor="text1"/>
                <w:sz w:val="24"/>
                <w:szCs w:val="24"/>
                <w14:textFill>
                  <w14:solidFill>
                    <w14:schemeClr w14:val="tx1"/>
                  </w14:solidFill>
                </w14:textFill>
              </w:rPr>
            </w:pPr>
          </w:p>
        </w:tc>
        <w:tc>
          <w:tcPr>
            <w:tcW w:w="2040" w:type="dxa"/>
            <w:vAlign w:val="center"/>
          </w:tcPr>
          <w:p>
            <w:pPr>
              <w:spacing w:line="440" w:lineRule="exact"/>
              <w:jc w:val="center"/>
              <w:rPr>
                <w:rFonts w:asciiTheme="minorEastAsia" w:hAnsiTheme="minorEastAsia" w:eastAsiaTheme="minorEastAsia" w:cstheme="minorEastAsia"/>
                <w:color w:val="000000" w:themeColor="text1"/>
                <w:sz w:val="24"/>
                <w:szCs w:val="24"/>
                <w14:textFill>
                  <w14:solidFill>
                    <w14:schemeClr w14:val="tx1"/>
                  </w14:solidFill>
                </w14:textFill>
              </w:rPr>
            </w:pPr>
          </w:p>
        </w:tc>
        <w:tc>
          <w:tcPr>
            <w:tcW w:w="1939" w:type="dxa"/>
            <w:vAlign w:val="center"/>
          </w:tcPr>
          <w:p>
            <w:pPr>
              <w:spacing w:line="440" w:lineRule="exact"/>
              <w:jc w:val="center"/>
              <w:rPr>
                <w:rFonts w:asciiTheme="minorEastAsia" w:hAnsiTheme="minorEastAsia" w:eastAsiaTheme="minorEastAsia" w:cstheme="minorEastAsia"/>
                <w:color w:val="000000" w:themeColor="text1"/>
                <w:sz w:val="24"/>
                <w:szCs w:val="24"/>
                <w14:textFill>
                  <w14:solidFill>
                    <w14:schemeClr w14:val="tx1"/>
                  </w14:solidFill>
                </w14:textFill>
              </w:rPr>
            </w:pPr>
          </w:p>
        </w:tc>
        <w:tc>
          <w:tcPr>
            <w:tcW w:w="1799" w:type="dxa"/>
            <w:vAlign w:val="center"/>
          </w:tcPr>
          <w:p>
            <w:pPr>
              <w:spacing w:line="440" w:lineRule="exact"/>
              <w:jc w:val="center"/>
              <w:rPr>
                <w:rFonts w:asciiTheme="minorEastAsia" w:hAnsiTheme="minorEastAsia" w:eastAsiaTheme="minorEastAsia" w:cstheme="minorEastAsia"/>
                <w:color w:val="000000" w:themeColor="text1"/>
                <w:sz w:val="24"/>
                <w:szCs w:val="24"/>
                <w14:textFill>
                  <w14:solidFill>
                    <w14:schemeClr w14:val="tx1"/>
                  </w14:solidFill>
                </w14:textFill>
              </w:rPr>
            </w:pPr>
          </w:p>
        </w:tc>
        <w:tc>
          <w:tcPr>
            <w:tcW w:w="2006" w:type="dxa"/>
            <w:vAlign w:val="center"/>
          </w:tcPr>
          <w:p>
            <w:pPr>
              <w:spacing w:line="440" w:lineRule="exact"/>
              <w:jc w:val="center"/>
              <w:rPr>
                <w:rFonts w:asciiTheme="minorEastAsia" w:hAnsiTheme="minorEastAsia" w:eastAsiaTheme="minorEastAsia" w:cstheme="minorEastAsia"/>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40" w:type="dxa"/>
            <w:vAlign w:val="center"/>
          </w:tcPr>
          <w:p>
            <w:pPr>
              <w:spacing w:line="440" w:lineRule="exact"/>
              <w:jc w:val="center"/>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w:t>
            </w:r>
          </w:p>
        </w:tc>
        <w:tc>
          <w:tcPr>
            <w:tcW w:w="1330" w:type="dxa"/>
            <w:vAlign w:val="center"/>
          </w:tcPr>
          <w:p>
            <w:pPr>
              <w:spacing w:line="440" w:lineRule="exact"/>
              <w:jc w:val="center"/>
              <w:rPr>
                <w:rFonts w:asciiTheme="minorEastAsia" w:hAnsiTheme="minorEastAsia" w:eastAsiaTheme="minorEastAsia" w:cstheme="minorEastAsia"/>
                <w:color w:val="000000" w:themeColor="text1"/>
                <w:sz w:val="24"/>
                <w:szCs w:val="24"/>
                <w14:textFill>
                  <w14:solidFill>
                    <w14:schemeClr w14:val="tx1"/>
                  </w14:solidFill>
                </w14:textFill>
              </w:rPr>
            </w:pPr>
          </w:p>
        </w:tc>
        <w:tc>
          <w:tcPr>
            <w:tcW w:w="2040" w:type="dxa"/>
            <w:vAlign w:val="center"/>
          </w:tcPr>
          <w:p>
            <w:pPr>
              <w:spacing w:line="440" w:lineRule="exact"/>
              <w:jc w:val="center"/>
              <w:rPr>
                <w:rFonts w:asciiTheme="minorEastAsia" w:hAnsiTheme="minorEastAsia" w:eastAsiaTheme="minorEastAsia" w:cstheme="minorEastAsia"/>
                <w:color w:val="000000" w:themeColor="text1"/>
                <w:sz w:val="24"/>
                <w:szCs w:val="24"/>
                <w14:textFill>
                  <w14:solidFill>
                    <w14:schemeClr w14:val="tx1"/>
                  </w14:solidFill>
                </w14:textFill>
              </w:rPr>
            </w:pPr>
          </w:p>
        </w:tc>
        <w:tc>
          <w:tcPr>
            <w:tcW w:w="1939" w:type="dxa"/>
            <w:vAlign w:val="center"/>
          </w:tcPr>
          <w:p>
            <w:pPr>
              <w:spacing w:line="440" w:lineRule="exact"/>
              <w:jc w:val="center"/>
              <w:rPr>
                <w:rFonts w:asciiTheme="minorEastAsia" w:hAnsiTheme="minorEastAsia" w:eastAsiaTheme="minorEastAsia" w:cstheme="minorEastAsia"/>
                <w:color w:val="000000" w:themeColor="text1"/>
                <w:sz w:val="24"/>
                <w:szCs w:val="24"/>
                <w14:textFill>
                  <w14:solidFill>
                    <w14:schemeClr w14:val="tx1"/>
                  </w14:solidFill>
                </w14:textFill>
              </w:rPr>
            </w:pPr>
          </w:p>
        </w:tc>
        <w:tc>
          <w:tcPr>
            <w:tcW w:w="1799" w:type="dxa"/>
            <w:vAlign w:val="center"/>
          </w:tcPr>
          <w:p>
            <w:pPr>
              <w:spacing w:line="440" w:lineRule="exact"/>
              <w:jc w:val="center"/>
              <w:rPr>
                <w:rFonts w:asciiTheme="minorEastAsia" w:hAnsiTheme="minorEastAsia" w:eastAsiaTheme="minorEastAsia" w:cstheme="minorEastAsia"/>
                <w:color w:val="000000" w:themeColor="text1"/>
                <w:sz w:val="24"/>
                <w:szCs w:val="24"/>
                <w14:textFill>
                  <w14:solidFill>
                    <w14:schemeClr w14:val="tx1"/>
                  </w14:solidFill>
                </w14:textFill>
              </w:rPr>
            </w:pPr>
          </w:p>
        </w:tc>
        <w:tc>
          <w:tcPr>
            <w:tcW w:w="2006" w:type="dxa"/>
            <w:vAlign w:val="center"/>
          </w:tcPr>
          <w:p>
            <w:pPr>
              <w:spacing w:line="440" w:lineRule="exact"/>
              <w:jc w:val="center"/>
              <w:rPr>
                <w:rFonts w:asciiTheme="minorEastAsia" w:hAnsiTheme="minorEastAsia" w:eastAsiaTheme="minorEastAsia" w:cstheme="minorEastAsia"/>
                <w:color w:val="000000" w:themeColor="text1"/>
                <w:sz w:val="24"/>
                <w:szCs w:val="24"/>
                <w14:textFill>
                  <w14:solidFill>
                    <w14:schemeClr w14:val="tx1"/>
                  </w14:solidFill>
                </w14:textFill>
              </w:rPr>
            </w:pPr>
          </w:p>
        </w:tc>
      </w:tr>
    </w:tbl>
    <w:p>
      <w:pPr>
        <w:spacing w:line="440" w:lineRule="exact"/>
        <w:jc w:val="left"/>
        <w:rPr>
          <w:rFonts w:asciiTheme="minorEastAsia" w:hAnsiTheme="minorEastAsia" w:eastAsiaTheme="minorEastAsia" w:cstheme="minorEastAsia"/>
          <w:color w:val="000000" w:themeColor="text1"/>
          <w:sz w:val="24"/>
          <w:szCs w:val="24"/>
          <w:u w:val="single"/>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投标人名称（公章）：</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 xml:space="preserve">　　　　　         </w:t>
      </w:r>
    </w:p>
    <w:p>
      <w:pPr>
        <w:spacing w:line="440" w:lineRule="exact"/>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投标人代表签字：</w:t>
      </w:r>
    </w:p>
    <w:p>
      <w:pPr>
        <w:spacing w:line="440" w:lineRule="exact"/>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日期：20年</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　</w:t>
      </w:r>
      <w:r>
        <w:rPr>
          <w:rFonts w:hint="eastAsia" w:asciiTheme="minorEastAsia" w:hAnsiTheme="minorEastAsia" w:eastAsiaTheme="minorEastAsia" w:cstheme="minorEastAsia"/>
          <w:color w:val="000000" w:themeColor="text1"/>
          <w:sz w:val="24"/>
          <w:szCs w:val="24"/>
          <w14:textFill>
            <w14:solidFill>
              <w14:schemeClr w14:val="tx1"/>
            </w14:solidFill>
          </w14:textFill>
        </w:rPr>
        <w:t>月</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　</w:t>
      </w:r>
      <w:r>
        <w:rPr>
          <w:rFonts w:hint="eastAsia" w:asciiTheme="minorEastAsia" w:hAnsiTheme="minorEastAsia" w:eastAsiaTheme="minorEastAsia" w:cstheme="minorEastAsia"/>
          <w:color w:val="000000" w:themeColor="text1"/>
          <w:sz w:val="24"/>
          <w:szCs w:val="24"/>
          <w14:textFill>
            <w14:solidFill>
              <w14:schemeClr w14:val="tx1"/>
            </w14:solidFill>
          </w14:textFill>
        </w:rPr>
        <w:t>日　</w:t>
      </w:r>
    </w:p>
    <w:p>
      <w:pPr>
        <w:adjustRightInd w:val="0"/>
        <w:snapToGrid w:val="0"/>
        <w:spacing w:line="440" w:lineRule="exact"/>
        <w:rPr>
          <w:rFonts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z w:val="24"/>
          <w:szCs w:val="24"/>
          <w14:textFill>
            <w14:solidFill>
              <w14:schemeClr w14:val="tx1"/>
            </w14:solidFill>
          </w14:textFill>
        </w:rPr>
        <w:t>注：后附人员相关资格证书复印件。</w:t>
      </w:r>
    </w:p>
    <w:p>
      <w:pPr>
        <w:spacing w:line="440" w:lineRule="exact"/>
        <w:rPr>
          <w:rFonts w:asciiTheme="minorEastAsia" w:hAnsiTheme="minorEastAsia" w:eastAsiaTheme="minorEastAsia" w:cstheme="minorEastAsia"/>
          <w:b/>
          <w:color w:val="000000" w:themeColor="text1"/>
          <w:kern w:val="0"/>
          <w:sz w:val="24"/>
          <w:szCs w:val="21"/>
          <w14:textFill>
            <w14:solidFill>
              <w14:schemeClr w14:val="tx1"/>
            </w14:solidFill>
          </w14:textFill>
        </w:rPr>
      </w:pPr>
    </w:p>
    <w:p>
      <w:pPr>
        <w:spacing w:line="440" w:lineRule="exact"/>
        <w:rPr>
          <w:rFonts w:asciiTheme="minorEastAsia" w:hAnsiTheme="minorEastAsia" w:eastAsiaTheme="minorEastAsia" w:cstheme="minorEastAsia"/>
          <w:b/>
          <w:color w:val="000000" w:themeColor="text1"/>
          <w:kern w:val="0"/>
          <w:sz w:val="24"/>
          <w:szCs w:val="21"/>
          <w14:textFill>
            <w14:solidFill>
              <w14:schemeClr w14:val="tx1"/>
            </w14:solidFill>
          </w14:textFill>
        </w:rPr>
      </w:pPr>
    </w:p>
    <w:p>
      <w:pPr>
        <w:spacing w:line="440" w:lineRule="exact"/>
        <w:rPr>
          <w:rFonts w:asciiTheme="minorEastAsia" w:hAnsiTheme="minorEastAsia" w:eastAsiaTheme="minorEastAsia" w:cstheme="minorEastAsia"/>
          <w:b/>
          <w:color w:val="000000" w:themeColor="text1"/>
          <w:kern w:val="0"/>
          <w:sz w:val="24"/>
          <w:szCs w:val="21"/>
          <w14:textFill>
            <w14:solidFill>
              <w14:schemeClr w14:val="tx1"/>
            </w14:solidFill>
          </w14:textFill>
        </w:rPr>
      </w:pPr>
    </w:p>
    <w:p>
      <w:pPr>
        <w:spacing w:line="440" w:lineRule="exact"/>
        <w:rPr>
          <w:rFonts w:asciiTheme="minorEastAsia" w:hAnsiTheme="minorEastAsia" w:eastAsiaTheme="minorEastAsia" w:cstheme="minorEastAsia"/>
          <w:b/>
          <w:color w:val="000000" w:themeColor="text1"/>
          <w:kern w:val="0"/>
          <w:sz w:val="24"/>
          <w:szCs w:val="21"/>
          <w14:textFill>
            <w14:solidFill>
              <w14:schemeClr w14:val="tx1"/>
            </w14:solidFill>
          </w14:textFill>
        </w:rPr>
      </w:pPr>
    </w:p>
    <w:p>
      <w:pPr>
        <w:spacing w:line="440" w:lineRule="exact"/>
        <w:rPr>
          <w:rFonts w:asciiTheme="minorEastAsia" w:hAnsiTheme="minorEastAsia" w:eastAsiaTheme="minorEastAsia" w:cstheme="minorEastAsia"/>
          <w:b/>
          <w:color w:val="000000" w:themeColor="text1"/>
          <w:kern w:val="0"/>
          <w:sz w:val="24"/>
          <w:szCs w:val="21"/>
          <w14:textFill>
            <w14:solidFill>
              <w14:schemeClr w14:val="tx1"/>
            </w14:solidFill>
          </w14:textFill>
        </w:rPr>
      </w:pPr>
    </w:p>
    <w:p>
      <w:pPr>
        <w:spacing w:line="440" w:lineRule="exact"/>
        <w:rPr>
          <w:rFonts w:asciiTheme="minorEastAsia" w:hAnsiTheme="minorEastAsia" w:eastAsiaTheme="minorEastAsia" w:cstheme="minorEastAsia"/>
          <w:b/>
          <w:color w:val="000000" w:themeColor="text1"/>
          <w:kern w:val="0"/>
          <w:sz w:val="24"/>
          <w:szCs w:val="21"/>
          <w14:textFill>
            <w14:solidFill>
              <w14:schemeClr w14:val="tx1"/>
            </w14:solidFill>
          </w14:textFill>
        </w:rPr>
      </w:pPr>
    </w:p>
    <w:p>
      <w:pPr>
        <w:spacing w:line="440" w:lineRule="exact"/>
        <w:rPr>
          <w:rFonts w:asciiTheme="minorEastAsia" w:hAnsiTheme="minorEastAsia" w:eastAsiaTheme="minorEastAsia" w:cstheme="minorEastAsia"/>
          <w:b/>
          <w:color w:val="000000" w:themeColor="text1"/>
          <w:kern w:val="0"/>
          <w:sz w:val="24"/>
          <w:szCs w:val="21"/>
          <w14:textFill>
            <w14:solidFill>
              <w14:schemeClr w14:val="tx1"/>
            </w14:solidFill>
          </w14:textFill>
        </w:rPr>
      </w:pPr>
    </w:p>
    <w:p>
      <w:pPr>
        <w:rPr>
          <w:rFonts w:asciiTheme="minorEastAsia" w:hAnsiTheme="minorEastAsia" w:eastAsiaTheme="minorEastAsia" w:cstheme="minorEastAsia"/>
          <w:color w:val="000000" w:themeColor="text1"/>
          <w14:textFill>
            <w14:solidFill>
              <w14:schemeClr w14:val="tx1"/>
            </w14:solidFill>
          </w14:textFill>
        </w:rPr>
      </w:pPr>
    </w:p>
    <w:p>
      <w:pPr>
        <w:pStyle w:val="112"/>
        <w:outlineLvl w:val="2"/>
        <w:rPr>
          <w:rFonts w:asciiTheme="minorEastAsia" w:hAnsiTheme="minorEastAsia" w:eastAsiaTheme="minorEastAsia" w:cstheme="minorEastAsia"/>
          <w:color w:val="000000" w:themeColor="text1"/>
          <w:sz w:val="24"/>
          <w:szCs w:val="21"/>
          <w14:textFill>
            <w14:solidFill>
              <w14:schemeClr w14:val="tx1"/>
            </w14:solidFill>
          </w14:textFill>
        </w:rPr>
      </w:pPr>
      <w:bookmarkStart w:id="174" w:name="_Toc31226"/>
      <w:r>
        <w:rPr>
          <w:rFonts w:hint="eastAsia" w:asciiTheme="minorEastAsia" w:hAnsiTheme="minorEastAsia" w:eastAsiaTheme="minorEastAsia" w:cstheme="minorEastAsia"/>
          <w:color w:val="000000" w:themeColor="text1"/>
          <w:sz w:val="24"/>
          <w:szCs w:val="21"/>
          <w14:textFill>
            <w14:solidFill>
              <w14:schemeClr w14:val="tx1"/>
            </w14:solidFill>
          </w14:textFill>
        </w:rPr>
        <w:t>2.3近三年经营业绩表</w:t>
      </w:r>
      <w:bookmarkEnd w:id="174"/>
    </w:p>
    <w:p>
      <w:pPr>
        <w:spacing w:line="440" w:lineRule="exact"/>
        <w:rPr>
          <w:rFonts w:asciiTheme="minorEastAsia" w:hAnsiTheme="minorEastAsia" w:eastAsiaTheme="minorEastAsia" w:cstheme="minorEastAsia"/>
          <w:color w:val="000000" w:themeColor="text1"/>
          <w:sz w:val="24"/>
          <w:szCs w:val="24"/>
          <w:u w:val="single"/>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投标人名称（公章）：</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14:textFill>
            <w14:solidFill>
              <w14:schemeClr w14:val="tx1"/>
            </w14:solidFill>
          </w14:textFill>
        </w:rPr>
        <w:t>招标编号：</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 xml:space="preserve">　　　　           </w:t>
      </w:r>
    </w:p>
    <w:tbl>
      <w:tblPr>
        <w:tblStyle w:val="38"/>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18"/>
        <w:gridCol w:w="3763"/>
        <w:gridCol w:w="2154"/>
        <w:gridCol w:w="1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218" w:type="dxa"/>
          </w:tcPr>
          <w:p>
            <w:pPr>
              <w:spacing w:line="440" w:lineRule="exact"/>
              <w:jc w:val="center"/>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地区</w:t>
            </w:r>
          </w:p>
        </w:tc>
        <w:tc>
          <w:tcPr>
            <w:tcW w:w="3763" w:type="dxa"/>
          </w:tcPr>
          <w:p>
            <w:pPr>
              <w:spacing w:line="440" w:lineRule="exact"/>
              <w:jc w:val="center"/>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项目名称</w:t>
            </w:r>
          </w:p>
        </w:tc>
        <w:tc>
          <w:tcPr>
            <w:tcW w:w="2154" w:type="dxa"/>
          </w:tcPr>
          <w:p>
            <w:pPr>
              <w:spacing w:line="440" w:lineRule="exact"/>
              <w:jc w:val="center"/>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金额</w:t>
            </w:r>
          </w:p>
        </w:tc>
        <w:tc>
          <w:tcPr>
            <w:tcW w:w="1719" w:type="dxa"/>
          </w:tcPr>
          <w:p>
            <w:pPr>
              <w:spacing w:line="440" w:lineRule="exact"/>
              <w:jc w:val="center"/>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218" w:type="dxa"/>
          </w:tcPr>
          <w:p>
            <w:pPr>
              <w:spacing w:line="440" w:lineRule="exact"/>
              <w:jc w:val="center"/>
              <w:rPr>
                <w:rFonts w:asciiTheme="minorEastAsia" w:hAnsiTheme="minorEastAsia" w:eastAsiaTheme="minorEastAsia" w:cstheme="minorEastAsia"/>
                <w:color w:val="000000" w:themeColor="text1"/>
                <w:sz w:val="24"/>
                <w:szCs w:val="24"/>
                <w14:textFill>
                  <w14:solidFill>
                    <w14:schemeClr w14:val="tx1"/>
                  </w14:solidFill>
                </w14:textFill>
              </w:rPr>
            </w:pPr>
          </w:p>
        </w:tc>
        <w:tc>
          <w:tcPr>
            <w:tcW w:w="3763" w:type="dxa"/>
          </w:tcPr>
          <w:p>
            <w:pPr>
              <w:spacing w:line="440" w:lineRule="exact"/>
              <w:jc w:val="center"/>
              <w:rPr>
                <w:rFonts w:asciiTheme="minorEastAsia" w:hAnsiTheme="minorEastAsia" w:eastAsiaTheme="minorEastAsia" w:cstheme="minorEastAsia"/>
                <w:color w:val="000000" w:themeColor="text1"/>
                <w:sz w:val="24"/>
                <w:szCs w:val="24"/>
                <w14:textFill>
                  <w14:solidFill>
                    <w14:schemeClr w14:val="tx1"/>
                  </w14:solidFill>
                </w14:textFill>
              </w:rPr>
            </w:pPr>
          </w:p>
        </w:tc>
        <w:tc>
          <w:tcPr>
            <w:tcW w:w="2154" w:type="dxa"/>
          </w:tcPr>
          <w:p>
            <w:pPr>
              <w:spacing w:line="440" w:lineRule="exact"/>
              <w:jc w:val="center"/>
              <w:rPr>
                <w:rFonts w:asciiTheme="minorEastAsia" w:hAnsiTheme="minorEastAsia" w:eastAsiaTheme="minorEastAsia" w:cstheme="minorEastAsia"/>
                <w:color w:val="000000" w:themeColor="text1"/>
                <w:sz w:val="24"/>
                <w:szCs w:val="24"/>
                <w14:textFill>
                  <w14:solidFill>
                    <w14:schemeClr w14:val="tx1"/>
                  </w14:solidFill>
                </w14:textFill>
              </w:rPr>
            </w:pPr>
          </w:p>
        </w:tc>
        <w:tc>
          <w:tcPr>
            <w:tcW w:w="1719" w:type="dxa"/>
          </w:tcPr>
          <w:p>
            <w:pPr>
              <w:spacing w:line="440" w:lineRule="exact"/>
              <w:jc w:val="center"/>
              <w:rPr>
                <w:rFonts w:asciiTheme="minorEastAsia" w:hAnsiTheme="minorEastAsia" w:eastAsiaTheme="minorEastAsia" w:cstheme="minorEastAsia"/>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218" w:type="dxa"/>
          </w:tcPr>
          <w:p>
            <w:pPr>
              <w:spacing w:line="440" w:lineRule="exact"/>
              <w:jc w:val="center"/>
              <w:rPr>
                <w:rFonts w:asciiTheme="minorEastAsia" w:hAnsiTheme="minorEastAsia" w:eastAsiaTheme="minorEastAsia" w:cstheme="minorEastAsia"/>
                <w:color w:val="000000" w:themeColor="text1"/>
                <w:sz w:val="24"/>
                <w:szCs w:val="24"/>
                <w14:textFill>
                  <w14:solidFill>
                    <w14:schemeClr w14:val="tx1"/>
                  </w14:solidFill>
                </w14:textFill>
              </w:rPr>
            </w:pPr>
          </w:p>
        </w:tc>
        <w:tc>
          <w:tcPr>
            <w:tcW w:w="3763" w:type="dxa"/>
          </w:tcPr>
          <w:p>
            <w:pPr>
              <w:spacing w:line="440" w:lineRule="exact"/>
              <w:jc w:val="center"/>
              <w:rPr>
                <w:rFonts w:asciiTheme="minorEastAsia" w:hAnsiTheme="minorEastAsia" w:eastAsiaTheme="minorEastAsia" w:cstheme="minorEastAsia"/>
                <w:color w:val="000000" w:themeColor="text1"/>
                <w:sz w:val="24"/>
                <w:szCs w:val="24"/>
                <w14:textFill>
                  <w14:solidFill>
                    <w14:schemeClr w14:val="tx1"/>
                  </w14:solidFill>
                </w14:textFill>
              </w:rPr>
            </w:pPr>
          </w:p>
        </w:tc>
        <w:tc>
          <w:tcPr>
            <w:tcW w:w="2154" w:type="dxa"/>
          </w:tcPr>
          <w:p>
            <w:pPr>
              <w:spacing w:line="440" w:lineRule="exact"/>
              <w:jc w:val="center"/>
              <w:rPr>
                <w:rFonts w:asciiTheme="minorEastAsia" w:hAnsiTheme="minorEastAsia" w:eastAsiaTheme="minorEastAsia" w:cstheme="minorEastAsia"/>
                <w:color w:val="000000" w:themeColor="text1"/>
                <w:sz w:val="24"/>
                <w:szCs w:val="24"/>
                <w14:textFill>
                  <w14:solidFill>
                    <w14:schemeClr w14:val="tx1"/>
                  </w14:solidFill>
                </w14:textFill>
              </w:rPr>
            </w:pPr>
          </w:p>
        </w:tc>
        <w:tc>
          <w:tcPr>
            <w:tcW w:w="1719" w:type="dxa"/>
          </w:tcPr>
          <w:p>
            <w:pPr>
              <w:spacing w:line="440" w:lineRule="exact"/>
              <w:jc w:val="center"/>
              <w:rPr>
                <w:rFonts w:asciiTheme="minorEastAsia" w:hAnsiTheme="minorEastAsia" w:eastAsiaTheme="minorEastAsia" w:cstheme="minorEastAsia"/>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2218" w:type="dxa"/>
          </w:tcPr>
          <w:p>
            <w:pPr>
              <w:spacing w:line="440" w:lineRule="exact"/>
              <w:jc w:val="center"/>
              <w:rPr>
                <w:rFonts w:asciiTheme="minorEastAsia" w:hAnsiTheme="minorEastAsia" w:eastAsiaTheme="minorEastAsia" w:cstheme="minorEastAsia"/>
                <w:color w:val="000000" w:themeColor="text1"/>
                <w:sz w:val="24"/>
                <w:szCs w:val="24"/>
                <w14:textFill>
                  <w14:solidFill>
                    <w14:schemeClr w14:val="tx1"/>
                  </w14:solidFill>
                </w14:textFill>
              </w:rPr>
            </w:pPr>
          </w:p>
        </w:tc>
        <w:tc>
          <w:tcPr>
            <w:tcW w:w="3763" w:type="dxa"/>
          </w:tcPr>
          <w:p>
            <w:pPr>
              <w:spacing w:line="440" w:lineRule="exact"/>
              <w:jc w:val="center"/>
              <w:rPr>
                <w:rFonts w:asciiTheme="minorEastAsia" w:hAnsiTheme="minorEastAsia" w:eastAsiaTheme="minorEastAsia" w:cstheme="minorEastAsia"/>
                <w:color w:val="000000" w:themeColor="text1"/>
                <w:sz w:val="24"/>
                <w:szCs w:val="24"/>
                <w14:textFill>
                  <w14:solidFill>
                    <w14:schemeClr w14:val="tx1"/>
                  </w14:solidFill>
                </w14:textFill>
              </w:rPr>
            </w:pPr>
          </w:p>
        </w:tc>
        <w:tc>
          <w:tcPr>
            <w:tcW w:w="2154" w:type="dxa"/>
          </w:tcPr>
          <w:p>
            <w:pPr>
              <w:spacing w:line="440" w:lineRule="exact"/>
              <w:jc w:val="center"/>
              <w:rPr>
                <w:rFonts w:asciiTheme="minorEastAsia" w:hAnsiTheme="minorEastAsia" w:eastAsiaTheme="minorEastAsia" w:cstheme="minorEastAsia"/>
                <w:color w:val="000000" w:themeColor="text1"/>
                <w:sz w:val="24"/>
                <w:szCs w:val="24"/>
                <w14:textFill>
                  <w14:solidFill>
                    <w14:schemeClr w14:val="tx1"/>
                  </w14:solidFill>
                </w14:textFill>
              </w:rPr>
            </w:pPr>
          </w:p>
        </w:tc>
        <w:tc>
          <w:tcPr>
            <w:tcW w:w="1719" w:type="dxa"/>
          </w:tcPr>
          <w:p>
            <w:pPr>
              <w:spacing w:line="440" w:lineRule="exact"/>
              <w:jc w:val="center"/>
              <w:rPr>
                <w:rFonts w:asciiTheme="minorEastAsia" w:hAnsiTheme="minorEastAsia" w:eastAsiaTheme="minorEastAsia" w:cstheme="minorEastAsia"/>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2218" w:type="dxa"/>
          </w:tcPr>
          <w:p>
            <w:pPr>
              <w:spacing w:line="440" w:lineRule="exact"/>
              <w:jc w:val="center"/>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w:t>
            </w:r>
          </w:p>
        </w:tc>
        <w:tc>
          <w:tcPr>
            <w:tcW w:w="3763" w:type="dxa"/>
          </w:tcPr>
          <w:p>
            <w:pPr>
              <w:spacing w:line="440" w:lineRule="exact"/>
              <w:jc w:val="center"/>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w:t>
            </w:r>
          </w:p>
        </w:tc>
        <w:tc>
          <w:tcPr>
            <w:tcW w:w="2154" w:type="dxa"/>
          </w:tcPr>
          <w:p>
            <w:pPr>
              <w:spacing w:line="440" w:lineRule="exact"/>
              <w:jc w:val="center"/>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w:t>
            </w:r>
          </w:p>
        </w:tc>
        <w:tc>
          <w:tcPr>
            <w:tcW w:w="1719" w:type="dxa"/>
          </w:tcPr>
          <w:p>
            <w:pPr>
              <w:spacing w:line="440" w:lineRule="exact"/>
              <w:jc w:val="center"/>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w:t>
            </w:r>
          </w:p>
        </w:tc>
      </w:tr>
    </w:tbl>
    <w:p>
      <w:pPr>
        <w:pStyle w:val="116"/>
        <w:rPr>
          <w:rFonts w:asciiTheme="minorEastAsia" w:hAnsiTheme="minorEastAsia" w:eastAsiaTheme="minorEastAsia" w:cstheme="minorEastAsia"/>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附：业绩必须提供合同首页、盖章页、设备清单、中标通知书，加盖投标人公章</w:t>
      </w:r>
    </w:p>
    <w:p>
      <w:pPr>
        <w:pStyle w:val="116"/>
        <w:rPr>
          <w:rFonts w:asciiTheme="minorEastAsia" w:hAnsiTheme="minorEastAsia" w:eastAsiaTheme="minorEastAsia" w:cstheme="minorEastAsia"/>
          <w:color w:val="000000" w:themeColor="text1"/>
          <w14:textFill>
            <w14:solidFill>
              <w14:schemeClr w14:val="tx1"/>
            </w14:solidFill>
          </w14:textFill>
        </w:rPr>
      </w:pPr>
    </w:p>
    <w:p>
      <w:pPr>
        <w:pStyle w:val="116"/>
        <w:rPr>
          <w:rFonts w:asciiTheme="minorEastAsia" w:hAnsiTheme="minorEastAsia" w:eastAsiaTheme="minorEastAsia" w:cstheme="minorEastAsia"/>
          <w:color w:val="000000" w:themeColor="text1"/>
          <w14:textFill>
            <w14:solidFill>
              <w14:schemeClr w14:val="tx1"/>
            </w14:solidFill>
          </w14:textFill>
        </w:rPr>
      </w:pPr>
    </w:p>
    <w:p>
      <w:pPr>
        <w:pStyle w:val="116"/>
        <w:rPr>
          <w:rFonts w:asciiTheme="minorEastAsia" w:hAnsiTheme="minorEastAsia" w:eastAsiaTheme="minorEastAsia" w:cstheme="minorEastAsia"/>
          <w:color w:val="000000" w:themeColor="text1"/>
          <w14:textFill>
            <w14:solidFill>
              <w14:schemeClr w14:val="tx1"/>
            </w14:solidFill>
          </w14:textFill>
        </w:rPr>
      </w:pPr>
    </w:p>
    <w:p>
      <w:pPr>
        <w:pStyle w:val="116"/>
        <w:rPr>
          <w:rFonts w:asciiTheme="minorEastAsia" w:hAnsiTheme="minorEastAsia" w:eastAsiaTheme="minorEastAsia" w:cstheme="minorEastAsia"/>
          <w:color w:val="000000" w:themeColor="text1"/>
          <w14:textFill>
            <w14:solidFill>
              <w14:schemeClr w14:val="tx1"/>
            </w14:solidFill>
          </w14:textFill>
        </w:rPr>
      </w:pPr>
    </w:p>
    <w:p>
      <w:pPr>
        <w:pStyle w:val="116"/>
        <w:rPr>
          <w:rFonts w:asciiTheme="minorEastAsia" w:hAnsiTheme="minorEastAsia" w:eastAsiaTheme="minorEastAsia" w:cstheme="minorEastAsia"/>
          <w:color w:val="000000" w:themeColor="text1"/>
          <w14:textFill>
            <w14:solidFill>
              <w14:schemeClr w14:val="tx1"/>
            </w14:solidFill>
          </w14:textFill>
        </w:rPr>
      </w:pPr>
    </w:p>
    <w:p>
      <w:pPr>
        <w:pStyle w:val="116"/>
        <w:rPr>
          <w:rFonts w:asciiTheme="minorEastAsia" w:hAnsiTheme="minorEastAsia" w:eastAsiaTheme="minorEastAsia" w:cstheme="minorEastAsia"/>
          <w:color w:val="000000" w:themeColor="text1"/>
          <w14:textFill>
            <w14:solidFill>
              <w14:schemeClr w14:val="tx1"/>
            </w14:solidFill>
          </w14:textFill>
        </w:rPr>
      </w:pPr>
    </w:p>
    <w:p>
      <w:pPr>
        <w:pStyle w:val="116"/>
        <w:rPr>
          <w:rFonts w:asciiTheme="minorEastAsia" w:hAnsiTheme="minorEastAsia" w:eastAsiaTheme="minorEastAsia" w:cstheme="minorEastAsia"/>
          <w:color w:val="000000" w:themeColor="text1"/>
          <w14:textFill>
            <w14:solidFill>
              <w14:schemeClr w14:val="tx1"/>
            </w14:solidFill>
          </w14:textFill>
        </w:rPr>
      </w:pPr>
    </w:p>
    <w:p>
      <w:pPr>
        <w:pStyle w:val="116"/>
        <w:rPr>
          <w:rFonts w:asciiTheme="minorEastAsia" w:hAnsiTheme="minorEastAsia" w:eastAsiaTheme="minorEastAsia" w:cstheme="minorEastAsia"/>
          <w:color w:val="000000" w:themeColor="text1"/>
          <w14:textFill>
            <w14:solidFill>
              <w14:schemeClr w14:val="tx1"/>
            </w14:solidFill>
          </w14:textFill>
        </w:rPr>
      </w:pPr>
    </w:p>
    <w:p>
      <w:pPr>
        <w:pStyle w:val="116"/>
        <w:rPr>
          <w:rFonts w:asciiTheme="minorEastAsia" w:hAnsiTheme="minorEastAsia" w:eastAsiaTheme="minorEastAsia" w:cstheme="minorEastAsia"/>
          <w:color w:val="000000" w:themeColor="text1"/>
          <w14:textFill>
            <w14:solidFill>
              <w14:schemeClr w14:val="tx1"/>
            </w14:solidFill>
          </w14:textFill>
        </w:rPr>
      </w:pPr>
    </w:p>
    <w:p>
      <w:pPr>
        <w:pStyle w:val="116"/>
        <w:rPr>
          <w:rFonts w:asciiTheme="minorEastAsia" w:hAnsiTheme="minorEastAsia" w:eastAsiaTheme="minorEastAsia" w:cstheme="minorEastAsia"/>
          <w:color w:val="000000" w:themeColor="text1"/>
          <w14:textFill>
            <w14:solidFill>
              <w14:schemeClr w14:val="tx1"/>
            </w14:solidFill>
          </w14:textFill>
        </w:rPr>
      </w:pPr>
    </w:p>
    <w:p>
      <w:pPr>
        <w:pStyle w:val="116"/>
        <w:rPr>
          <w:rFonts w:asciiTheme="minorEastAsia" w:hAnsiTheme="minorEastAsia" w:eastAsiaTheme="minorEastAsia" w:cstheme="minorEastAsia"/>
          <w:color w:val="000000" w:themeColor="text1"/>
          <w14:textFill>
            <w14:solidFill>
              <w14:schemeClr w14:val="tx1"/>
            </w14:solidFill>
          </w14:textFill>
        </w:rPr>
      </w:pPr>
    </w:p>
    <w:p>
      <w:pPr>
        <w:pStyle w:val="116"/>
        <w:rPr>
          <w:rFonts w:asciiTheme="minorEastAsia" w:hAnsiTheme="minorEastAsia" w:eastAsiaTheme="minorEastAsia" w:cstheme="minorEastAsia"/>
          <w:color w:val="000000" w:themeColor="text1"/>
          <w14:textFill>
            <w14:solidFill>
              <w14:schemeClr w14:val="tx1"/>
            </w14:solidFill>
          </w14:textFill>
        </w:rPr>
      </w:pPr>
    </w:p>
    <w:p>
      <w:pPr>
        <w:pStyle w:val="116"/>
        <w:rPr>
          <w:rFonts w:asciiTheme="minorEastAsia" w:hAnsiTheme="minorEastAsia" w:eastAsiaTheme="minorEastAsia" w:cstheme="minorEastAsia"/>
          <w:color w:val="000000" w:themeColor="text1"/>
          <w14:textFill>
            <w14:solidFill>
              <w14:schemeClr w14:val="tx1"/>
            </w14:solidFill>
          </w14:textFill>
        </w:rPr>
      </w:pPr>
    </w:p>
    <w:p>
      <w:pPr>
        <w:pStyle w:val="116"/>
        <w:rPr>
          <w:rFonts w:asciiTheme="minorEastAsia" w:hAnsiTheme="minorEastAsia" w:eastAsiaTheme="minorEastAsia" w:cstheme="minorEastAsia"/>
          <w:color w:val="000000" w:themeColor="text1"/>
          <w14:textFill>
            <w14:solidFill>
              <w14:schemeClr w14:val="tx1"/>
            </w14:solidFill>
          </w14:textFill>
        </w:rPr>
      </w:pPr>
    </w:p>
    <w:p>
      <w:pPr>
        <w:pStyle w:val="116"/>
        <w:rPr>
          <w:rFonts w:asciiTheme="minorEastAsia" w:hAnsiTheme="minorEastAsia" w:eastAsiaTheme="minorEastAsia" w:cstheme="minorEastAsia"/>
          <w:color w:val="000000" w:themeColor="text1"/>
          <w14:textFill>
            <w14:solidFill>
              <w14:schemeClr w14:val="tx1"/>
            </w14:solidFill>
          </w14:textFill>
        </w:rPr>
      </w:pPr>
    </w:p>
    <w:p>
      <w:pPr>
        <w:pStyle w:val="116"/>
        <w:rPr>
          <w:rFonts w:asciiTheme="minorEastAsia" w:hAnsiTheme="minorEastAsia" w:eastAsiaTheme="minorEastAsia" w:cstheme="minorEastAsia"/>
          <w:color w:val="000000" w:themeColor="text1"/>
          <w14:textFill>
            <w14:solidFill>
              <w14:schemeClr w14:val="tx1"/>
            </w14:solidFill>
          </w14:textFill>
        </w:rPr>
      </w:pPr>
    </w:p>
    <w:p>
      <w:pPr>
        <w:pStyle w:val="116"/>
        <w:rPr>
          <w:rFonts w:asciiTheme="minorEastAsia" w:hAnsiTheme="minorEastAsia" w:eastAsiaTheme="minorEastAsia" w:cstheme="minorEastAsia"/>
          <w:color w:val="000000" w:themeColor="text1"/>
          <w14:textFill>
            <w14:solidFill>
              <w14:schemeClr w14:val="tx1"/>
            </w14:solidFill>
          </w14:textFill>
        </w:rPr>
      </w:pPr>
    </w:p>
    <w:p>
      <w:pPr>
        <w:pStyle w:val="116"/>
        <w:rPr>
          <w:rFonts w:asciiTheme="minorEastAsia" w:hAnsiTheme="minorEastAsia" w:eastAsiaTheme="minorEastAsia" w:cstheme="minorEastAsia"/>
          <w:color w:val="000000" w:themeColor="text1"/>
          <w14:textFill>
            <w14:solidFill>
              <w14:schemeClr w14:val="tx1"/>
            </w14:solidFill>
          </w14:textFill>
        </w:rPr>
      </w:pPr>
    </w:p>
    <w:p>
      <w:pPr>
        <w:pStyle w:val="116"/>
        <w:rPr>
          <w:rFonts w:asciiTheme="minorEastAsia" w:hAnsiTheme="minorEastAsia" w:eastAsiaTheme="minorEastAsia" w:cstheme="minorEastAsia"/>
          <w:color w:val="000000" w:themeColor="text1"/>
          <w14:textFill>
            <w14:solidFill>
              <w14:schemeClr w14:val="tx1"/>
            </w14:solidFill>
          </w14:textFill>
        </w:rPr>
      </w:pPr>
    </w:p>
    <w:p>
      <w:pPr>
        <w:pStyle w:val="116"/>
        <w:rPr>
          <w:rFonts w:asciiTheme="minorEastAsia" w:hAnsiTheme="minorEastAsia" w:eastAsiaTheme="minorEastAsia" w:cstheme="minorEastAsia"/>
          <w:color w:val="000000" w:themeColor="text1"/>
          <w14:textFill>
            <w14:solidFill>
              <w14:schemeClr w14:val="tx1"/>
            </w14:solidFill>
          </w14:textFill>
        </w:rPr>
      </w:pPr>
    </w:p>
    <w:p>
      <w:pPr>
        <w:pStyle w:val="116"/>
        <w:rPr>
          <w:rFonts w:asciiTheme="minorEastAsia" w:hAnsiTheme="minorEastAsia" w:eastAsiaTheme="minorEastAsia" w:cstheme="minorEastAsia"/>
          <w:color w:val="000000" w:themeColor="text1"/>
          <w14:textFill>
            <w14:solidFill>
              <w14:schemeClr w14:val="tx1"/>
            </w14:solidFill>
          </w14:textFill>
        </w:rPr>
      </w:pPr>
    </w:p>
    <w:p>
      <w:pPr>
        <w:pStyle w:val="116"/>
        <w:rPr>
          <w:rFonts w:asciiTheme="minorEastAsia" w:hAnsiTheme="minorEastAsia" w:eastAsiaTheme="minorEastAsia" w:cstheme="minorEastAsia"/>
          <w:color w:val="000000" w:themeColor="text1"/>
          <w14:textFill>
            <w14:solidFill>
              <w14:schemeClr w14:val="tx1"/>
            </w14:solidFill>
          </w14:textFill>
        </w:rPr>
      </w:pPr>
    </w:p>
    <w:p>
      <w:pPr>
        <w:pStyle w:val="116"/>
        <w:rPr>
          <w:rFonts w:asciiTheme="minorEastAsia" w:hAnsiTheme="minorEastAsia" w:eastAsiaTheme="minorEastAsia" w:cstheme="minorEastAsia"/>
          <w:color w:val="000000" w:themeColor="text1"/>
          <w14:textFill>
            <w14:solidFill>
              <w14:schemeClr w14:val="tx1"/>
            </w14:solidFill>
          </w14:textFill>
        </w:rPr>
      </w:pPr>
    </w:p>
    <w:p>
      <w:pPr>
        <w:pStyle w:val="116"/>
        <w:rPr>
          <w:rFonts w:asciiTheme="minorEastAsia" w:hAnsiTheme="minorEastAsia" w:eastAsiaTheme="minorEastAsia" w:cstheme="minorEastAsia"/>
          <w:color w:val="000000" w:themeColor="text1"/>
          <w14:textFill>
            <w14:solidFill>
              <w14:schemeClr w14:val="tx1"/>
            </w14:solidFill>
          </w14:textFill>
        </w:rPr>
      </w:pPr>
    </w:p>
    <w:p>
      <w:pPr>
        <w:pStyle w:val="116"/>
        <w:rPr>
          <w:rFonts w:asciiTheme="minorEastAsia" w:hAnsiTheme="minorEastAsia" w:eastAsiaTheme="minorEastAsia" w:cstheme="minorEastAsia"/>
          <w:color w:val="000000" w:themeColor="text1"/>
          <w14:textFill>
            <w14:solidFill>
              <w14:schemeClr w14:val="tx1"/>
            </w14:solidFill>
          </w14:textFill>
        </w:rPr>
      </w:pPr>
    </w:p>
    <w:p>
      <w:pPr>
        <w:pStyle w:val="116"/>
        <w:rPr>
          <w:rFonts w:asciiTheme="minorEastAsia" w:hAnsiTheme="minorEastAsia" w:eastAsiaTheme="minorEastAsia" w:cstheme="minorEastAsia"/>
          <w:color w:val="000000" w:themeColor="text1"/>
          <w14:textFill>
            <w14:solidFill>
              <w14:schemeClr w14:val="tx1"/>
            </w14:solidFill>
          </w14:textFill>
        </w:rPr>
      </w:pPr>
    </w:p>
    <w:p>
      <w:pPr>
        <w:pStyle w:val="116"/>
        <w:rPr>
          <w:rFonts w:asciiTheme="minorEastAsia" w:hAnsiTheme="minorEastAsia" w:eastAsiaTheme="minorEastAsia" w:cstheme="minorEastAsia"/>
          <w:color w:val="000000" w:themeColor="text1"/>
          <w14:textFill>
            <w14:solidFill>
              <w14:schemeClr w14:val="tx1"/>
            </w14:solidFill>
          </w14:textFill>
        </w:rPr>
      </w:pPr>
    </w:p>
    <w:p>
      <w:pPr>
        <w:pStyle w:val="116"/>
        <w:rPr>
          <w:rFonts w:asciiTheme="minorEastAsia" w:hAnsiTheme="minorEastAsia" w:eastAsiaTheme="minorEastAsia" w:cstheme="minorEastAsia"/>
          <w:color w:val="000000" w:themeColor="text1"/>
          <w14:textFill>
            <w14:solidFill>
              <w14:schemeClr w14:val="tx1"/>
            </w14:solidFill>
          </w14:textFill>
        </w:rPr>
      </w:pPr>
    </w:p>
    <w:p>
      <w:pPr>
        <w:pStyle w:val="116"/>
        <w:rPr>
          <w:rFonts w:asciiTheme="minorEastAsia" w:hAnsiTheme="minorEastAsia" w:eastAsiaTheme="minorEastAsia" w:cstheme="minorEastAsia"/>
          <w:color w:val="000000" w:themeColor="text1"/>
          <w14:textFill>
            <w14:solidFill>
              <w14:schemeClr w14:val="tx1"/>
            </w14:solidFill>
          </w14:textFill>
        </w:rPr>
      </w:pPr>
    </w:p>
    <w:p>
      <w:pPr>
        <w:pStyle w:val="116"/>
        <w:rPr>
          <w:rFonts w:asciiTheme="minorEastAsia" w:hAnsiTheme="minorEastAsia" w:eastAsiaTheme="minorEastAsia" w:cstheme="minorEastAsia"/>
          <w:color w:val="000000" w:themeColor="text1"/>
          <w14:textFill>
            <w14:solidFill>
              <w14:schemeClr w14:val="tx1"/>
            </w14:solidFill>
          </w14:textFill>
        </w:rPr>
      </w:pPr>
    </w:p>
    <w:p>
      <w:pPr>
        <w:pStyle w:val="116"/>
        <w:rPr>
          <w:rFonts w:asciiTheme="minorEastAsia" w:hAnsiTheme="minorEastAsia" w:eastAsiaTheme="minorEastAsia" w:cstheme="minorEastAsia"/>
          <w:color w:val="000000" w:themeColor="text1"/>
          <w14:textFill>
            <w14:solidFill>
              <w14:schemeClr w14:val="tx1"/>
            </w14:solidFill>
          </w14:textFill>
        </w:rPr>
      </w:pPr>
    </w:p>
    <w:p>
      <w:pPr>
        <w:rPr>
          <w:rFonts w:asciiTheme="minorEastAsia" w:hAnsiTheme="minorEastAsia" w:eastAsiaTheme="minorEastAsia" w:cstheme="minorEastAsia"/>
          <w:color w:val="000000" w:themeColor="text1"/>
          <w14:textFill>
            <w14:solidFill>
              <w14:schemeClr w14:val="tx1"/>
            </w14:solidFill>
          </w14:textFill>
        </w:rPr>
      </w:pPr>
    </w:p>
    <w:p>
      <w:pPr>
        <w:rPr>
          <w:rFonts w:asciiTheme="minorEastAsia" w:hAnsiTheme="minorEastAsia" w:eastAsiaTheme="minorEastAsia" w:cstheme="minorEastAsia"/>
          <w:b/>
          <w:color w:val="000000" w:themeColor="text1"/>
          <w:sz w:val="24"/>
          <w:szCs w:val="21"/>
          <w14:textFill>
            <w14:solidFill>
              <w14:schemeClr w14:val="tx1"/>
            </w14:solidFill>
          </w14:textFill>
        </w:rPr>
      </w:pPr>
      <w:bookmarkStart w:id="175" w:name="_Toc25534"/>
      <w:r>
        <w:rPr>
          <w:rFonts w:hint="eastAsia" w:asciiTheme="minorEastAsia" w:hAnsiTheme="minorEastAsia" w:eastAsiaTheme="minorEastAsia" w:cstheme="minorEastAsia"/>
          <w:b/>
          <w:color w:val="000000" w:themeColor="text1"/>
          <w:sz w:val="24"/>
          <w:szCs w:val="21"/>
          <w14:textFill>
            <w14:solidFill>
              <w14:schemeClr w14:val="tx1"/>
            </w14:solidFill>
          </w14:textFill>
        </w:rPr>
        <w:br w:type="page"/>
      </w:r>
    </w:p>
    <w:p>
      <w:pPr>
        <w:pStyle w:val="112"/>
        <w:outlineLvl w:val="2"/>
        <w:rPr>
          <w:rFonts w:asciiTheme="minorEastAsia" w:hAnsiTheme="minorEastAsia" w:eastAsiaTheme="minorEastAsia" w:cstheme="minorEastAsia"/>
          <w:color w:val="000000" w:themeColor="text1"/>
          <w:sz w:val="24"/>
          <w:szCs w:val="21"/>
          <w14:textFill>
            <w14:solidFill>
              <w14:schemeClr w14:val="tx1"/>
            </w14:solidFill>
          </w14:textFill>
        </w:rPr>
      </w:pPr>
      <w:r>
        <w:rPr>
          <w:rFonts w:hint="eastAsia" w:asciiTheme="minorEastAsia" w:hAnsiTheme="minorEastAsia" w:eastAsiaTheme="minorEastAsia" w:cstheme="minorEastAsia"/>
          <w:color w:val="000000" w:themeColor="text1"/>
          <w:sz w:val="24"/>
          <w:szCs w:val="21"/>
          <w14:textFill>
            <w14:solidFill>
              <w14:schemeClr w14:val="tx1"/>
            </w14:solidFill>
          </w14:textFill>
        </w:rPr>
        <w:t>2.4☆开标一览表</w:t>
      </w:r>
      <w:bookmarkEnd w:id="175"/>
    </w:p>
    <w:tbl>
      <w:tblPr>
        <w:tblStyle w:val="38"/>
        <w:tblpPr w:leftFromText="180" w:rightFromText="180" w:vertAnchor="text" w:horzAnchor="page" w:tblpX="1129" w:tblpY="405"/>
        <w:tblOverlap w:val="never"/>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
        <w:gridCol w:w="2194"/>
        <w:gridCol w:w="6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vAlign w:val="center"/>
          </w:tcPr>
          <w:p>
            <w:pPr>
              <w:pStyle w:val="25"/>
              <w:spacing w:line="440" w:lineRule="exact"/>
              <w:jc w:val="center"/>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序号</w:t>
            </w:r>
          </w:p>
        </w:tc>
        <w:tc>
          <w:tcPr>
            <w:tcW w:w="2194" w:type="dxa"/>
            <w:vAlign w:val="center"/>
          </w:tcPr>
          <w:p>
            <w:pPr>
              <w:pStyle w:val="25"/>
              <w:spacing w:line="440" w:lineRule="exact"/>
              <w:jc w:val="center"/>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投标人名称</w:t>
            </w:r>
          </w:p>
        </w:tc>
        <w:tc>
          <w:tcPr>
            <w:tcW w:w="6700" w:type="dxa"/>
            <w:vAlign w:val="center"/>
          </w:tcPr>
          <w:p>
            <w:pPr>
              <w:pStyle w:val="25"/>
              <w:spacing w:line="440" w:lineRule="exact"/>
              <w:jc w:val="center"/>
              <w:rPr>
                <w:rFonts w:asciiTheme="minorEastAsia" w:hAnsiTheme="minorEastAsia" w:eastAsiaTheme="minorEastAsia" w:cstheme="minorEastAsia"/>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vAlign w:val="center"/>
          </w:tcPr>
          <w:p>
            <w:pPr>
              <w:pStyle w:val="25"/>
              <w:spacing w:line="440" w:lineRule="exact"/>
              <w:jc w:val="center"/>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w:t>
            </w:r>
          </w:p>
        </w:tc>
        <w:tc>
          <w:tcPr>
            <w:tcW w:w="2194" w:type="dxa"/>
            <w:vAlign w:val="center"/>
          </w:tcPr>
          <w:p>
            <w:pPr>
              <w:pStyle w:val="25"/>
              <w:spacing w:line="440" w:lineRule="exact"/>
              <w:jc w:val="center"/>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项目名称</w:t>
            </w:r>
          </w:p>
        </w:tc>
        <w:tc>
          <w:tcPr>
            <w:tcW w:w="6700" w:type="dxa"/>
            <w:vAlign w:val="center"/>
          </w:tcPr>
          <w:p>
            <w:pPr>
              <w:pStyle w:val="25"/>
              <w:spacing w:line="440" w:lineRule="exact"/>
              <w:jc w:val="center"/>
              <w:rPr>
                <w:rFonts w:asciiTheme="minorEastAsia" w:hAnsiTheme="minorEastAsia" w:eastAsiaTheme="minorEastAsia" w:cstheme="minorEastAsia"/>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vAlign w:val="center"/>
          </w:tcPr>
          <w:p>
            <w:pPr>
              <w:pStyle w:val="25"/>
              <w:spacing w:line="440" w:lineRule="exact"/>
              <w:jc w:val="center"/>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w:t>
            </w:r>
          </w:p>
        </w:tc>
        <w:tc>
          <w:tcPr>
            <w:tcW w:w="2194" w:type="dxa"/>
            <w:vAlign w:val="center"/>
          </w:tcPr>
          <w:p>
            <w:pPr>
              <w:pStyle w:val="25"/>
              <w:spacing w:line="440" w:lineRule="exact"/>
              <w:jc w:val="center"/>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招标编号</w:t>
            </w:r>
          </w:p>
        </w:tc>
        <w:tc>
          <w:tcPr>
            <w:tcW w:w="6700" w:type="dxa"/>
            <w:vAlign w:val="center"/>
          </w:tcPr>
          <w:p>
            <w:pPr>
              <w:pStyle w:val="25"/>
              <w:spacing w:line="440" w:lineRule="exact"/>
              <w:jc w:val="center"/>
              <w:rPr>
                <w:rFonts w:asciiTheme="minorEastAsia" w:hAnsiTheme="minorEastAsia" w:eastAsiaTheme="minorEastAsia" w:cstheme="minorEastAsia"/>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960" w:type="dxa"/>
            <w:vAlign w:val="center"/>
          </w:tcPr>
          <w:p>
            <w:pPr>
              <w:pStyle w:val="25"/>
              <w:spacing w:line="440" w:lineRule="exact"/>
              <w:jc w:val="center"/>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3</w:t>
            </w:r>
          </w:p>
        </w:tc>
        <w:tc>
          <w:tcPr>
            <w:tcW w:w="2194" w:type="dxa"/>
            <w:vAlign w:val="center"/>
          </w:tcPr>
          <w:p>
            <w:pPr>
              <w:pStyle w:val="25"/>
              <w:spacing w:line="440" w:lineRule="exact"/>
              <w:jc w:val="center"/>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总报价人民币</w:t>
            </w:r>
          </w:p>
        </w:tc>
        <w:tc>
          <w:tcPr>
            <w:tcW w:w="6700" w:type="dxa"/>
            <w:vAlign w:val="center"/>
          </w:tcPr>
          <w:p>
            <w:pPr>
              <w:pStyle w:val="25"/>
              <w:spacing w:line="440" w:lineRule="exact"/>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大写：人民币 ______元</w:t>
            </w:r>
          </w:p>
          <w:p>
            <w:pPr>
              <w:pStyle w:val="25"/>
              <w:spacing w:line="440" w:lineRule="exact"/>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小写：¥ ______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vAlign w:val="center"/>
          </w:tcPr>
          <w:p>
            <w:pPr>
              <w:pStyle w:val="25"/>
              <w:spacing w:line="440" w:lineRule="exact"/>
              <w:jc w:val="center"/>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4</w:t>
            </w:r>
          </w:p>
        </w:tc>
        <w:tc>
          <w:tcPr>
            <w:tcW w:w="2194" w:type="dxa"/>
            <w:vAlign w:val="center"/>
          </w:tcPr>
          <w:p>
            <w:pPr>
              <w:pStyle w:val="25"/>
              <w:spacing w:line="440" w:lineRule="exact"/>
              <w:jc w:val="center"/>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bCs/>
                <w:color w:val="000000" w:themeColor="text1"/>
                <w:kern w:val="0"/>
                <w:sz w:val="24"/>
                <w:szCs w:val="24"/>
                <w14:textFill>
                  <w14:solidFill>
                    <w14:schemeClr w14:val="tx1"/>
                  </w14:solidFill>
                </w14:textFill>
              </w:rPr>
              <w:t>供货周期</w:t>
            </w:r>
          </w:p>
        </w:tc>
        <w:tc>
          <w:tcPr>
            <w:tcW w:w="6700" w:type="dxa"/>
            <w:vAlign w:val="center"/>
          </w:tcPr>
          <w:p>
            <w:pPr>
              <w:pStyle w:val="25"/>
              <w:spacing w:line="440" w:lineRule="exact"/>
              <w:jc w:val="center"/>
              <w:rPr>
                <w:rFonts w:asciiTheme="minorEastAsia" w:hAnsiTheme="minorEastAsia" w:eastAsiaTheme="minorEastAsia" w:cstheme="minorEastAsia"/>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vAlign w:val="center"/>
          </w:tcPr>
          <w:p>
            <w:pPr>
              <w:pStyle w:val="25"/>
              <w:spacing w:line="440" w:lineRule="exact"/>
              <w:jc w:val="center"/>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5</w:t>
            </w:r>
          </w:p>
        </w:tc>
        <w:tc>
          <w:tcPr>
            <w:tcW w:w="2194" w:type="dxa"/>
            <w:vAlign w:val="center"/>
          </w:tcPr>
          <w:p>
            <w:pPr>
              <w:pStyle w:val="25"/>
              <w:spacing w:line="440" w:lineRule="exact"/>
              <w:jc w:val="center"/>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质保期</w:t>
            </w:r>
          </w:p>
        </w:tc>
        <w:tc>
          <w:tcPr>
            <w:tcW w:w="6700" w:type="dxa"/>
            <w:vAlign w:val="center"/>
          </w:tcPr>
          <w:p>
            <w:pPr>
              <w:pStyle w:val="25"/>
              <w:spacing w:line="440" w:lineRule="exact"/>
              <w:jc w:val="center"/>
              <w:rPr>
                <w:rFonts w:asciiTheme="minorEastAsia" w:hAnsiTheme="minorEastAsia" w:eastAsiaTheme="minorEastAsia" w:cstheme="minorEastAsia"/>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vAlign w:val="center"/>
          </w:tcPr>
          <w:p>
            <w:pPr>
              <w:pStyle w:val="25"/>
              <w:spacing w:line="440" w:lineRule="exact"/>
              <w:jc w:val="center"/>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6</w:t>
            </w:r>
          </w:p>
        </w:tc>
        <w:tc>
          <w:tcPr>
            <w:tcW w:w="2194" w:type="dxa"/>
            <w:vAlign w:val="center"/>
          </w:tcPr>
          <w:p>
            <w:pPr>
              <w:pStyle w:val="25"/>
              <w:spacing w:line="440" w:lineRule="exact"/>
              <w:jc w:val="center"/>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交货地点</w:t>
            </w:r>
          </w:p>
        </w:tc>
        <w:tc>
          <w:tcPr>
            <w:tcW w:w="6700" w:type="dxa"/>
            <w:vAlign w:val="center"/>
          </w:tcPr>
          <w:p>
            <w:pPr>
              <w:pStyle w:val="25"/>
              <w:spacing w:line="440" w:lineRule="exact"/>
              <w:jc w:val="center"/>
              <w:rPr>
                <w:rFonts w:asciiTheme="minorEastAsia" w:hAnsiTheme="minorEastAsia" w:eastAsiaTheme="minorEastAsia" w:cstheme="minorEastAsia"/>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vAlign w:val="center"/>
          </w:tcPr>
          <w:p>
            <w:pPr>
              <w:pStyle w:val="25"/>
              <w:spacing w:line="440" w:lineRule="exact"/>
              <w:jc w:val="center"/>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7</w:t>
            </w:r>
          </w:p>
        </w:tc>
        <w:tc>
          <w:tcPr>
            <w:tcW w:w="2194" w:type="dxa"/>
            <w:vAlign w:val="center"/>
          </w:tcPr>
          <w:p>
            <w:pPr>
              <w:pStyle w:val="25"/>
              <w:spacing w:line="440" w:lineRule="exact"/>
              <w:jc w:val="center"/>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备注</w:t>
            </w:r>
          </w:p>
        </w:tc>
        <w:tc>
          <w:tcPr>
            <w:tcW w:w="6700" w:type="dxa"/>
            <w:vAlign w:val="center"/>
          </w:tcPr>
          <w:p>
            <w:pPr>
              <w:pStyle w:val="25"/>
              <w:spacing w:line="440" w:lineRule="exact"/>
              <w:jc w:val="center"/>
              <w:rPr>
                <w:rFonts w:asciiTheme="minorEastAsia" w:hAnsiTheme="minorEastAsia" w:eastAsiaTheme="minorEastAsia" w:cstheme="minorEastAsia"/>
                <w:color w:val="000000" w:themeColor="text1"/>
                <w:sz w:val="24"/>
                <w:szCs w:val="24"/>
                <w14:textFill>
                  <w14:solidFill>
                    <w14:schemeClr w14:val="tx1"/>
                  </w14:solidFill>
                </w14:textFill>
              </w:rPr>
            </w:pPr>
          </w:p>
        </w:tc>
      </w:tr>
    </w:tbl>
    <w:p>
      <w:pPr>
        <w:pStyle w:val="161"/>
        <w:spacing w:line="440" w:lineRule="exact"/>
        <w:jc w:val="both"/>
        <w:rPr>
          <w:rFonts w:asciiTheme="minorEastAsia" w:hAnsiTheme="minorEastAsia" w:eastAsiaTheme="minorEastAsia" w:cstheme="minorEastAsia"/>
          <w:color w:val="000000" w:themeColor="text1"/>
          <w14:textFill>
            <w14:solidFill>
              <w14:schemeClr w14:val="tx1"/>
            </w14:solidFill>
          </w14:textFill>
        </w:rPr>
      </w:pPr>
    </w:p>
    <w:p>
      <w:pPr>
        <w:pStyle w:val="161"/>
        <w:spacing w:line="440" w:lineRule="exact"/>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兹声明：以上投标报价在投标有效期内一直有效。</w:t>
      </w:r>
    </w:p>
    <w:p>
      <w:pPr>
        <w:pStyle w:val="63"/>
        <w:widowControl/>
        <w:spacing w:line="360" w:lineRule="auto"/>
        <w:ind w:left="0" w:leftChars="0"/>
        <w:rPr>
          <w:rFonts w:asciiTheme="minorEastAsia" w:hAnsiTheme="minorEastAsia" w:eastAsiaTheme="minorEastAsia" w:cstheme="minorEastAsia"/>
          <w:b/>
          <w:color w:val="000000" w:themeColor="text1"/>
          <w:sz w:val="24"/>
          <w14:textFill>
            <w14:solidFill>
              <w14:schemeClr w14:val="tx1"/>
            </w14:solidFill>
          </w14:textFill>
        </w:rPr>
      </w:pPr>
      <w:r>
        <w:rPr>
          <w:rFonts w:hint="eastAsia" w:asciiTheme="minorEastAsia" w:hAnsiTheme="minorEastAsia" w:eastAsiaTheme="minorEastAsia" w:cstheme="minorEastAsia"/>
          <w:b/>
          <w:color w:val="000000" w:themeColor="text1"/>
          <w:sz w:val="24"/>
          <w14:textFill>
            <w14:solidFill>
              <w14:schemeClr w14:val="tx1"/>
            </w14:solidFill>
          </w14:textFill>
        </w:rPr>
        <w:t xml:space="preserve">投标人名称（盖章）：   </w:t>
      </w:r>
      <w:r>
        <w:rPr>
          <w:rFonts w:hint="eastAsia" w:asciiTheme="minorEastAsia" w:hAnsiTheme="minorEastAsia" w:eastAsiaTheme="minorEastAsia" w:cstheme="minorEastAsia"/>
          <w:color w:val="000000" w:themeColor="text1"/>
          <w:sz w:val="24"/>
          <w:u w:val="single"/>
          <w14:textFill>
            <w14:solidFill>
              <w14:schemeClr w14:val="tx1"/>
            </w14:solidFill>
          </w14:textFill>
        </w:rPr>
        <w:t xml:space="preserve">                   </w:t>
      </w:r>
      <w:r>
        <w:rPr>
          <w:rFonts w:hint="eastAsia" w:asciiTheme="minorEastAsia" w:hAnsiTheme="minorEastAsia" w:eastAsiaTheme="minorEastAsia" w:cstheme="minorEastAsia"/>
          <w:b/>
          <w:color w:val="000000" w:themeColor="text1"/>
          <w:sz w:val="24"/>
          <w14:textFill>
            <w14:solidFill>
              <w14:schemeClr w14:val="tx1"/>
            </w14:solidFill>
          </w14:textFill>
        </w:rPr>
        <w:t xml:space="preserve">                    </w:t>
      </w:r>
    </w:p>
    <w:p>
      <w:pPr>
        <w:pStyle w:val="162"/>
        <w:keepNext w:val="0"/>
        <w:keepLines w:val="0"/>
        <w:adjustRightInd/>
        <w:spacing w:before="0" w:line="440" w:lineRule="exact"/>
        <w:textAlignment w:val="auto"/>
        <w:outlineLvl w:val="9"/>
        <w:rPr>
          <w:rFonts w:asciiTheme="minorEastAsia" w:hAnsiTheme="minorEastAsia" w:eastAsiaTheme="minorEastAsia" w:cstheme="minorEastAsia"/>
          <w:b w:val="0"/>
          <w:color w:val="000000" w:themeColor="text1"/>
          <w:kern w:val="2"/>
          <w:sz w:val="24"/>
          <w:szCs w:val="24"/>
          <w14:textFill>
            <w14:solidFill>
              <w14:schemeClr w14:val="tx1"/>
            </w14:solidFill>
          </w14:textFill>
        </w:rPr>
      </w:pPr>
      <w:bookmarkStart w:id="176" w:name="_Toc7194"/>
      <w:r>
        <w:rPr>
          <w:rFonts w:hint="eastAsia" w:asciiTheme="minorEastAsia" w:hAnsiTheme="minorEastAsia" w:eastAsiaTheme="minorEastAsia" w:cstheme="minorEastAsia"/>
          <w:color w:val="000000" w:themeColor="text1"/>
          <w:sz w:val="24"/>
          <w14:textFill>
            <w14:solidFill>
              <w14:schemeClr w14:val="tx1"/>
            </w14:solidFill>
          </w14:textFill>
        </w:rPr>
        <w:t>法定代表人或被授权代理人（签字或盖章）：</w:t>
      </w:r>
      <w:bookmarkEnd w:id="176"/>
      <w:r>
        <w:rPr>
          <w:rFonts w:hint="eastAsia" w:asciiTheme="minorEastAsia" w:hAnsiTheme="minorEastAsia" w:eastAsiaTheme="minorEastAsia" w:cstheme="minorEastAsia"/>
          <w:color w:val="000000" w:themeColor="text1"/>
          <w:sz w:val="24"/>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u w:val="single"/>
          <w14:textFill>
            <w14:solidFill>
              <w14:schemeClr w14:val="tx1"/>
            </w14:solidFill>
          </w14:textFill>
        </w:rPr>
        <w:t xml:space="preserve">                   </w:t>
      </w:r>
    </w:p>
    <w:p>
      <w:pPr>
        <w:pStyle w:val="162"/>
        <w:keepNext w:val="0"/>
        <w:keepLines w:val="0"/>
        <w:adjustRightInd/>
        <w:spacing w:before="0" w:line="440" w:lineRule="exact"/>
        <w:textAlignment w:val="auto"/>
        <w:outlineLvl w:val="9"/>
        <w:rPr>
          <w:rFonts w:asciiTheme="minorEastAsia" w:hAnsiTheme="minorEastAsia" w:eastAsiaTheme="minorEastAsia" w:cstheme="minorEastAsia"/>
          <w:b w:val="0"/>
          <w:color w:val="000000" w:themeColor="text1"/>
          <w:kern w:val="2"/>
          <w:sz w:val="24"/>
          <w:szCs w:val="24"/>
          <w14:textFill>
            <w14:solidFill>
              <w14:schemeClr w14:val="tx1"/>
            </w14:solidFill>
          </w14:textFill>
        </w:rPr>
      </w:pPr>
      <w:bookmarkStart w:id="177" w:name="_Toc18171"/>
      <w:bookmarkStart w:id="178" w:name="_Toc16506"/>
      <w:r>
        <w:rPr>
          <w:rFonts w:hint="eastAsia" w:asciiTheme="minorEastAsia" w:hAnsiTheme="minorEastAsia" w:eastAsiaTheme="minorEastAsia" w:cstheme="minorEastAsia"/>
          <w:b w:val="0"/>
          <w:color w:val="000000" w:themeColor="text1"/>
          <w:kern w:val="2"/>
          <w:sz w:val="24"/>
          <w:szCs w:val="24"/>
          <w14:textFill>
            <w14:solidFill>
              <w14:schemeClr w14:val="tx1"/>
            </w14:solidFill>
          </w14:textFill>
        </w:rPr>
        <w:t>日期：年月日</w:t>
      </w:r>
      <w:bookmarkEnd w:id="177"/>
      <w:bookmarkEnd w:id="178"/>
    </w:p>
    <w:p>
      <w:pPr>
        <w:pStyle w:val="162"/>
        <w:keepNext w:val="0"/>
        <w:keepLines w:val="0"/>
        <w:adjustRightInd/>
        <w:spacing w:before="0" w:line="440" w:lineRule="exact"/>
        <w:textAlignment w:val="auto"/>
        <w:outlineLvl w:val="9"/>
        <w:rPr>
          <w:rFonts w:asciiTheme="minorEastAsia" w:hAnsiTheme="minorEastAsia" w:eastAsiaTheme="minorEastAsia" w:cstheme="minorEastAsia"/>
          <w:color w:val="000000" w:themeColor="text1"/>
          <w:kern w:val="2"/>
          <w:sz w:val="24"/>
          <w:szCs w:val="24"/>
          <w14:textFill>
            <w14:solidFill>
              <w14:schemeClr w14:val="tx1"/>
            </w14:solidFill>
          </w14:textFill>
        </w:rPr>
      </w:pPr>
      <w:bookmarkStart w:id="179" w:name="_Toc9899"/>
      <w:bookmarkStart w:id="180" w:name="_Toc27557"/>
      <w:r>
        <w:rPr>
          <w:rFonts w:hint="eastAsia" w:asciiTheme="minorEastAsia" w:hAnsiTheme="minorEastAsia" w:eastAsiaTheme="minorEastAsia" w:cstheme="minorEastAsia"/>
          <w:color w:val="000000" w:themeColor="text1"/>
          <w:sz w:val="24"/>
          <w:szCs w:val="24"/>
          <w14:textFill>
            <w14:solidFill>
              <w14:schemeClr w14:val="tx1"/>
            </w14:solidFill>
          </w14:textFill>
        </w:rPr>
        <w:t>注：</w:t>
      </w:r>
      <w:r>
        <w:rPr>
          <w:rFonts w:hint="eastAsia" w:asciiTheme="minorEastAsia" w:hAnsiTheme="minorEastAsia" w:eastAsiaTheme="minorEastAsia" w:cstheme="minorEastAsia"/>
          <w:b w:val="0"/>
          <w:color w:val="000000" w:themeColor="text1"/>
          <w:sz w:val="24"/>
          <w:szCs w:val="24"/>
          <w14:textFill>
            <w14:solidFill>
              <w14:schemeClr w14:val="tx1"/>
            </w14:solidFill>
          </w14:textFill>
        </w:rPr>
        <w:t>1、此表需密封后另外单独提交一份。</w:t>
      </w:r>
      <w:bookmarkEnd w:id="179"/>
      <w:bookmarkEnd w:id="180"/>
    </w:p>
    <w:p>
      <w:pPr>
        <w:pStyle w:val="161"/>
        <w:spacing w:line="440" w:lineRule="exact"/>
        <w:rPr>
          <w:rFonts w:asciiTheme="minorEastAsia" w:hAnsiTheme="minorEastAsia" w:eastAsiaTheme="minorEastAsia" w:cstheme="minorEastAsia"/>
          <w:bCs/>
          <w:color w:val="000000" w:themeColor="text1"/>
          <w:kern w:val="2"/>
          <w14:textFill>
            <w14:solidFill>
              <w14:schemeClr w14:val="tx1"/>
            </w14:solidFill>
          </w14:textFill>
        </w:rPr>
      </w:pPr>
      <w:r>
        <w:rPr>
          <w:rFonts w:hint="eastAsia" w:asciiTheme="minorEastAsia" w:hAnsiTheme="minorEastAsia" w:eastAsiaTheme="minorEastAsia" w:cstheme="minorEastAsia"/>
          <w:bCs/>
          <w:color w:val="000000" w:themeColor="text1"/>
          <w:kern w:val="2"/>
          <w14:textFill>
            <w14:solidFill>
              <w14:schemeClr w14:val="tx1"/>
            </w14:solidFill>
          </w14:textFill>
        </w:rPr>
        <w:t>2、本表格式不得更改，投标人只能按要求填报，否则将被视为无效投标。</w:t>
      </w:r>
    </w:p>
    <w:p>
      <w:pPr>
        <w:pStyle w:val="70"/>
        <w:spacing w:line="360" w:lineRule="auto"/>
        <w:rPr>
          <w:rFonts w:asciiTheme="minorEastAsia" w:hAnsiTheme="minorEastAsia" w:eastAsiaTheme="minorEastAsia" w:cstheme="minorEastAsia"/>
          <w:color w:val="000000" w:themeColor="text1"/>
          <w:sz w:val="24"/>
          <w14:textFill>
            <w14:solidFill>
              <w14:schemeClr w14:val="tx1"/>
            </w14:solidFill>
          </w14:textFill>
        </w:rPr>
      </w:pPr>
    </w:p>
    <w:p>
      <w:pPr>
        <w:pStyle w:val="70"/>
        <w:spacing w:line="360" w:lineRule="auto"/>
        <w:rPr>
          <w:rFonts w:asciiTheme="minorEastAsia" w:hAnsiTheme="minorEastAsia" w:eastAsiaTheme="minorEastAsia" w:cstheme="minorEastAsia"/>
          <w:color w:val="000000" w:themeColor="text1"/>
          <w:sz w:val="24"/>
          <w14:textFill>
            <w14:solidFill>
              <w14:schemeClr w14:val="tx1"/>
            </w14:solidFill>
          </w14:textFill>
        </w:rPr>
      </w:pPr>
    </w:p>
    <w:p>
      <w:pPr>
        <w:pStyle w:val="70"/>
        <w:spacing w:line="360" w:lineRule="auto"/>
        <w:rPr>
          <w:rFonts w:asciiTheme="minorEastAsia" w:hAnsiTheme="minorEastAsia" w:eastAsiaTheme="minorEastAsia" w:cstheme="minorEastAsia"/>
          <w:color w:val="000000" w:themeColor="text1"/>
          <w:sz w:val="24"/>
          <w14:textFill>
            <w14:solidFill>
              <w14:schemeClr w14:val="tx1"/>
            </w14:solidFill>
          </w14:textFill>
        </w:rPr>
      </w:pPr>
    </w:p>
    <w:p>
      <w:pPr>
        <w:pStyle w:val="70"/>
        <w:spacing w:line="360" w:lineRule="auto"/>
        <w:rPr>
          <w:rFonts w:asciiTheme="minorEastAsia" w:hAnsiTheme="minorEastAsia" w:eastAsiaTheme="minorEastAsia" w:cstheme="minorEastAsia"/>
          <w:color w:val="000000" w:themeColor="text1"/>
          <w:sz w:val="24"/>
          <w14:textFill>
            <w14:solidFill>
              <w14:schemeClr w14:val="tx1"/>
            </w14:solidFill>
          </w14:textFill>
        </w:rPr>
      </w:pPr>
    </w:p>
    <w:p>
      <w:pPr>
        <w:pStyle w:val="108"/>
        <w:outlineLvl w:val="2"/>
        <w:rPr>
          <w:rFonts w:asciiTheme="minorEastAsia" w:hAnsiTheme="minorEastAsia" w:eastAsiaTheme="minorEastAsia" w:cstheme="minorEastAsia"/>
          <w:color w:val="000000" w:themeColor="text1"/>
          <w:sz w:val="24"/>
          <w:szCs w:val="2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br w:type="page"/>
      </w:r>
      <w:bookmarkStart w:id="181" w:name="_Toc27186"/>
      <w:r>
        <w:rPr>
          <w:rFonts w:hint="eastAsia" w:asciiTheme="minorEastAsia" w:hAnsiTheme="minorEastAsia" w:eastAsiaTheme="minorEastAsia" w:cstheme="minorEastAsia"/>
          <w:color w:val="000000" w:themeColor="text1"/>
          <w:sz w:val="24"/>
          <w:szCs w:val="21"/>
          <w14:textFill>
            <w14:solidFill>
              <w14:schemeClr w14:val="tx1"/>
            </w14:solidFill>
          </w14:textFill>
        </w:rPr>
        <w:t>2.5☆投标报价明细表</w:t>
      </w:r>
      <w:bookmarkEnd w:id="181"/>
    </w:p>
    <w:p>
      <w:pPr>
        <w:pStyle w:val="98"/>
        <w:spacing w:line="360" w:lineRule="auto"/>
        <w:ind w:left="0" w:leftChars="0" w:firstLine="0" w:firstLineChars="0"/>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项目编号：</w:t>
      </w:r>
      <w:r>
        <w:rPr>
          <w:rFonts w:hint="eastAsia" w:asciiTheme="minorEastAsia" w:hAnsiTheme="minorEastAsia" w:eastAsiaTheme="minorEastAsia" w:cstheme="minorEastAsia"/>
          <w:color w:val="000000" w:themeColor="text1"/>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14:textFill>
            <w14:solidFill>
              <w14:schemeClr w14:val="tx1"/>
            </w14:solidFill>
          </w14:textFill>
        </w:rPr>
        <w:t xml:space="preserve">                    价格单位：元</w:t>
      </w:r>
    </w:p>
    <w:tbl>
      <w:tblPr>
        <w:tblStyle w:val="38"/>
        <w:tblW w:w="94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2"/>
        <w:gridCol w:w="2441"/>
        <w:gridCol w:w="3418"/>
        <w:gridCol w:w="955"/>
        <w:gridCol w:w="955"/>
        <w:gridCol w:w="11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52" w:type="dxa"/>
            <w:tcBorders>
              <w:top w:val="single" w:color="auto" w:sz="12" w:space="0"/>
              <w:left w:val="single" w:color="auto" w:sz="12" w:space="0"/>
              <w:bottom w:val="single" w:color="auto" w:sz="4" w:space="0"/>
            </w:tcBorders>
            <w:vAlign w:val="center"/>
          </w:tcPr>
          <w:p>
            <w:pPr>
              <w:pStyle w:val="99"/>
              <w:tabs>
                <w:tab w:val="left" w:pos="1337"/>
              </w:tabs>
              <w:spacing w:line="360" w:lineRule="auto"/>
              <w:ind w:left="-42" w:right="-42"/>
              <w:jc w:val="center"/>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项</w:t>
            </w:r>
          </w:p>
        </w:tc>
        <w:tc>
          <w:tcPr>
            <w:tcW w:w="2441" w:type="dxa"/>
            <w:tcBorders>
              <w:top w:val="single" w:color="auto" w:sz="12" w:space="0"/>
              <w:bottom w:val="single" w:color="auto" w:sz="4" w:space="0"/>
            </w:tcBorders>
            <w:vAlign w:val="center"/>
          </w:tcPr>
          <w:p>
            <w:pPr>
              <w:pStyle w:val="99"/>
              <w:tabs>
                <w:tab w:val="left" w:pos="1337"/>
              </w:tabs>
              <w:spacing w:line="360" w:lineRule="auto"/>
              <w:ind w:left="-42" w:right="-42"/>
              <w:jc w:val="center"/>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1</w:t>
            </w:r>
          </w:p>
        </w:tc>
        <w:tc>
          <w:tcPr>
            <w:tcW w:w="3418" w:type="dxa"/>
            <w:tcBorders>
              <w:top w:val="single" w:color="auto" w:sz="12" w:space="0"/>
              <w:bottom w:val="single" w:color="auto" w:sz="4" w:space="0"/>
            </w:tcBorders>
            <w:vAlign w:val="center"/>
          </w:tcPr>
          <w:p>
            <w:pPr>
              <w:pStyle w:val="99"/>
              <w:tabs>
                <w:tab w:val="left" w:pos="1337"/>
              </w:tabs>
              <w:spacing w:line="360" w:lineRule="auto"/>
              <w:ind w:right="-42"/>
              <w:jc w:val="center"/>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2</w:t>
            </w:r>
          </w:p>
        </w:tc>
        <w:tc>
          <w:tcPr>
            <w:tcW w:w="3056" w:type="dxa"/>
            <w:gridSpan w:val="3"/>
            <w:tcBorders>
              <w:top w:val="single" w:color="auto" w:sz="12" w:space="0"/>
              <w:bottom w:val="single" w:color="auto" w:sz="4" w:space="0"/>
              <w:right w:val="single" w:color="auto" w:sz="12" w:space="0"/>
            </w:tcBorders>
            <w:vAlign w:val="center"/>
          </w:tcPr>
          <w:p>
            <w:pPr>
              <w:pStyle w:val="99"/>
              <w:tabs>
                <w:tab w:val="left" w:pos="1337"/>
              </w:tabs>
              <w:spacing w:line="360" w:lineRule="auto"/>
              <w:ind w:left="-42" w:right="-42"/>
              <w:jc w:val="center"/>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52" w:type="dxa"/>
            <w:vMerge w:val="restart"/>
            <w:tcBorders>
              <w:left w:val="single" w:color="auto" w:sz="12" w:space="0"/>
            </w:tcBorders>
            <w:vAlign w:val="center"/>
          </w:tcPr>
          <w:p>
            <w:pPr>
              <w:pStyle w:val="99"/>
              <w:tabs>
                <w:tab w:val="left" w:pos="1337"/>
              </w:tabs>
              <w:spacing w:line="360" w:lineRule="auto"/>
              <w:ind w:left="-42" w:right="-42"/>
              <w:jc w:val="center"/>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序</w:t>
            </w:r>
          </w:p>
          <w:p>
            <w:pPr>
              <w:pStyle w:val="99"/>
              <w:tabs>
                <w:tab w:val="left" w:pos="1337"/>
              </w:tabs>
              <w:spacing w:line="360" w:lineRule="auto"/>
              <w:ind w:left="-42" w:right="-42"/>
              <w:jc w:val="center"/>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号</w:t>
            </w:r>
          </w:p>
        </w:tc>
        <w:tc>
          <w:tcPr>
            <w:tcW w:w="2441" w:type="dxa"/>
            <w:vMerge w:val="restart"/>
            <w:vAlign w:val="center"/>
          </w:tcPr>
          <w:p>
            <w:pPr>
              <w:pStyle w:val="99"/>
              <w:tabs>
                <w:tab w:val="left" w:pos="1337"/>
              </w:tabs>
              <w:spacing w:line="360" w:lineRule="auto"/>
              <w:jc w:val="center"/>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产品名称</w:t>
            </w:r>
          </w:p>
        </w:tc>
        <w:tc>
          <w:tcPr>
            <w:tcW w:w="3418" w:type="dxa"/>
            <w:vMerge w:val="restart"/>
            <w:vAlign w:val="center"/>
          </w:tcPr>
          <w:p>
            <w:pPr>
              <w:pStyle w:val="99"/>
              <w:tabs>
                <w:tab w:val="left" w:pos="1337"/>
              </w:tabs>
              <w:spacing w:line="360" w:lineRule="auto"/>
              <w:ind w:left="-42" w:right="-42"/>
              <w:jc w:val="center"/>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品牌、型号</w:t>
            </w:r>
          </w:p>
        </w:tc>
        <w:tc>
          <w:tcPr>
            <w:tcW w:w="3056" w:type="dxa"/>
            <w:gridSpan w:val="3"/>
            <w:tcBorders>
              <w:right w:val="single" w:color="auto" w:sz="12" w:space="0"/>
            </w:tcBorders>
            <w:vAlign w:val="center"/>
          </w:tcPr>
          <w:p>
            <w:pPr>
              <w:pStyle w:val="99"/>
              <w:spacing w:line="360" w:lineRule="auto"/>
              <w:jc w:val="center"/>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52" w:type="dxa"/>
            <w:vMerge w:val="continue"/>
            <w:tcBorders>
              <w:left w:val="single" w:color="auto" w:sz="12" w:space="0"/>
            </w:tcBorders>
            <w:vAlign w:val="center"/>
          </w:tcPr>
          <w:p>
            <w:pPr>
              <w:pStyle w:val="99"/>
              <w:tabs>
                <w:tab w:val="left" w:pos="1337"/>
              </w:tabs>
              <w:spacing w:line="360" w:lineRule="auto"/>
              <w:ind w:left="-42" w:right="-42"/>
              <w:jc w:val="center"/>
              <w:rPr>
                <w:rFonts w:asciiTheme="minorEastAsia" w:hAnsiTheme="minorEastAsia" w:eastAsiaTheme="minorEastAsia" w:cstheme="minorEastAsia"/>
                <w:color w:val="000000" w:themeColor="text1"/>
                <w:sz w:val="24"/>
                <w14:textFill>
                  <w14:solidFill>
                    <w14:schemeClr w14:val="tx1"/>
                  </w14:solidFill>
                </w14:textFill>
              </w:rPr>
            </w:pPr>
          </w:p>
        </w:tc>
        <w:tc>
          <w:tcPr>
            <w:tcW w:w="2441" w:type="dxa"/>
            <w:vMerge w:val="continue"/>
            <w:vAlign w:val="center"/>
          </w:tcPr>
          <w:p>
            <w:pPr>
              <w:pStyle w:val="99"/>
              <w:tabs>
                <w:tab w:val="left" w:pos="1337"/>
              </w:tabs>
              <w:spacing w:line="360" w:lineRule="auto"/>
              <w:ind w:left="-42" w:right="-42"/>
              <w:jc w:val="center"/>
              <w:rPr>
                <w:rFonts w:asciiTheme="minorEastAsia" w:hAnsiTheme="minorEastAsia" w:eastAsiaTheme="minorEastAsia" w:cstheme="minorEastAsia"/>
                <w:color w:val="000000" w:themeColor="text1"/>
                <w:sz w:val="24"/>
                <w14:textFill>
                  <w14:solidFill>
                    <w14:schemeClr w14:val="tx1"/>
                  </w14:solidFill>
                </w14:textFill>
              </w:rPr>
            </w:pPr>
          </w:p>
        </w:tc>
        <w:tc>
          <w:tcPr>
            <w:tcW w:w="3418" w:type="dxa"/>
            <w:vMerge w:val="continue"/>
            <w:vAlign w:val="center"/>
          </w:tcPr>
          <w:p>
            <w:pPr>
              <w:pStyle w:val="99"/>
              <w:tabs>
                <w:tab w:val="left" w:pos="1337"/>
              </w:tabs>
              <w:spacing w:line="360" w:lineRule="auto"/>
              <w:ind w:left="-42" w:right="-42"/>
              <w:jc w:val="center"/>
              <w:rPr>
                <w:rFonts w:asciiTheme="minorEastAsia" w:hAnsiTheme="minorEastAsia" w:eastAsiaTheme="minorEastAsia" w:cstheme="minorEastAsia"/>
                <w:color w:val="000000" w:themeColor="text1"/>
                <w:sz w:val="24"/>
                <w14:textFill>
                  <w14:solidFill>
                    <w14:schemeClr w14:val="tx1"/>
                  </w14:solidFill>
                </w14:textFill>
              </w:rPr>
            </w:pPr>
          </w:p>
        </w:tc>
        <w:tc>
          <w:tcPr>
            <w:tcW w:w="955" w:type="dxa"/>
            <w:vAlign w:val="center"/>
          </w:tcPr>
          <w:p>
            <w:pPr>
              <w:pStyle w:val="99"/>
              <w:tabs>
                <w:tab w:val="left" w:pos="1337"/>
              </w:tabs>
              <w:spacing w:line="360" w:lineRule="auto"/>
              <w:jc w:val="center"/>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单价</w:t>
            </w:r>
          </w:p>
        </w:tc>
        <w:tc>
          <w:tcPr>
            <w:tcW w:w="955" w:type="dxa"/>
            <w:vAlign w:val="center"/>
          </w:tcPr>
          <w:p>
            <w:pPr>
              <w:pStyle w:val="99"/>
              <w:widowControl/>
              <w:spacing w:line="360" w:lineRule="auto"/>
              <w:jc w:val="center"/>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数量</w:t>
            </w:r>
          </w:p>
        </w:tc>
        <w:tc>
          <w:tcPr>
            <w:tcW w:w="1146" w:type="dxa"/>
            <w:tcBorders>
              <w:right w:val="single" w:color="auto" w:sz="12" w:space="0"/>
            </w:tcBorders>
            <w:vAlign w:val="center"/>
          </w:tcPr>
          <w:p>
            <w:pPr>
              <w:pStyle w:val="99"/>
              <w:widowControl/>
              <w:spacing w:line="360" w:lineRule="auto"/>
              <w:jc w:val="center"/>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52" w:type="dxa"/>
            <w:tcBorders>
              <w:left w:val="single" w:color="auto" w:sz="12" w:space="0"/>
            </w:tcBorders>
            <w:vAlign w:val="center"/>
          </w:tcPr>
          <w:p>
            <w:pPr>
              <w:pStyle w:val="99"/>
              <w:tabs>
                <w:tab w:val="left" w:pos="1337"/>
              </w:tabs>
              <w:spacing w:line="360" w:lineRule="auto"/>
              <w:jc w:val="center"/>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1</w:t>
            </w:r>
          </w:p>
        </w:tc>
        <w:tc>
          <w:tcPr>
            <w:tcW w:w="2441" w:type="dxa"/>
            <w:vAlign w:val="center"/>
          </w:tcPr>
          <w:p>
            <w:pPr>
              <w:pStyle w:val="99"/>
              <w:tabs>
                <w:tab w:val="left" w:pos="1337"/>
              </w:tabs>
              <w:spacing w:line="360" w:lineRule="auto"/>
              <w:jc w:val="center"/>
              <w:rPr>
                <w:rFonts w:asciiTheme="minorEastAsia" w:hAnsiTheme="minorEastAsia" w:eastAsiaTheme="minorEastAsia" w:cstheme="minorEastAsia"/>
                <w:color w:val="000000" w:themeColor="text1"/>
                <w:sz w:val="24"/>
                <w14:textFill>
                  <w14:solidFill>
                    <w14:schemeClr w14:val="tx1"/>
                  </w14:solidFill>
                </w14:textFill>
              </w:rPr>
            </w:pPr>
          </w:p>
        </w:tc>
        <w:tc>
          <w:tcPr>
            <w:tcW w:w="3418" w:type="dxa"/>
            <w:vAlign w:val="center"/>
          </w:tcPr>
          <w:p>
            <w:pPr>
              <w:pStyle w:val="99"/>
              <w:tabs>
                <w:tab w:val="left" w:pos="1337"/>
              </w:tabs>
              <w:spacing w:line="360" w:lineRule="auto"/>
              <w:jc w:val="center"/>
              <w:rPr>
                <w:rFonts w:asciiTheme="minorEastAsia" w:hAnsiTheme="minorEastAsia" w:eastAsiaTheme="minorEastAsia" w:cstheme="minorEastAsia"/>
                <w:color w:val="000000" w:themeColor="text1"/>
                <w:sz w:val="24"/>
                <w14:textFill>
                  <w14:solidFill>
                    <w14:schemeClr w14:val="tx1"/>
                  </w14:solidFill>
                </w14:textFill>
              </w:rPr>
            </w:pPr>
          </w:p>
        </w:tc>
        <w:tc>
          <w:tcPr>
            <w:tcW w:w="955" w:type="dxa"/>
            <w:vAlign w:val="center"/>
          </w:tcPr>
          <w:p>
            <w:pPr>
              <w:pStyle w:val="99"/>
              <w:tabs>
                <w:tab w:val="left" w:pos="1337"/>
              </w:tabs>
              <w:spacing w:line="360" w:lineRule="auto"/>
              <w:jc w:val="center"/>
              <w:rPr>
                <w:rFonts w:asciiTheme="minorEastAsia" w:hAnsiTheme="minorEastAsia" w:eastAsiaTheme="minorEastAsia" w:cstheme="minorEastAsia"/>
                <w:color w:val="000000" w:themeColor="text1"/>
                <w:sz w:val="24"/>
                <w14:textFill>
                  <w14:solidFill>
                    <w14:schemeClr w14:val="tx1"/>
                  </w14:solidFill>
                </w14:textFill>
              </w:rPr>
            </w:pPr>
          </w:p>
        </w:tc>
        <w:tc>
          <w:tcPr>
            <w:tcW w:w="955" w:type="dxa"/>
            <w:vAlign w:val="center"/>
          </w:tcPr>
          <w:p>
            <w:pPr>
              <w:pStyle w:val="99"/>
              <w:tabs>
                <w:tab w:val="left" w:pos="1337"/>
              </w:tabs>
              <w:spacing w:line="360" w:lineRule="auto"/>
              <w:jc w:val="center"/>
              <w:rPr>
                <w:rFonts w:asciiTheme="minorEastAsia" w:hAnsiTheme="minorEastAsia" w:eastAsiaTheme="minorEastAsia" w:cstheme="minorEastAsia"/>
                <w:color w:val="000000" w:themeColor="text1"/>
                <w:sz w:val="24"/>
                <w14:textFill>
                  <w14:solidFill>
                    <w14:schemeClr w14:val="tx1"/>
                  </w14:solidFill>
                </w14:textFill>
              </w:rPr>
            </w:pPr>
          </w:p>
        </w:tc>
        <w:tc>
          <w:tcPr>
            <w:tcW w:w="1146" w:type="dxa"/>
            <w:tcBorders>
              <w:right w:val="single" w:color="auto" w:sz="12" w:space="0"/>
            </w:tcBorders>
            <w:vAlign w:val="center"/>
          </w:tcPr>
          <w:p>
            <w:pPr>
              <w:pStyle w:val="99"/>
              <w:tabs>
                <w:tab w:val="left" w:pos="1337"/>
              </w:tabs>
              <w:spacing w:line="360" w:lineRule="auto"/>
              <w:jc w:val="center"/>
              <w:rPr>
                <w:rFonts w:asciiTheme="minorEastAsia" w:hAnsiTheme="minorEastAsia" w:eastAsiaTheme="minorEastAsia" w:cstheme="minorEastAsia"/>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52" w:type="dxa"/>
            <w:tcBorders>
              <w:left w:val="single" w:color="auto" w:sz="12" w:space="0"/>
            </w:tcBorders>
            <w:vAlign w:val="center"/>
          </w:tcPr>
          <w:p>
            <w:pPr>
              <w:pStyle w:val="99"/>
              <w:tabs>
                <w:tab w:val="left" w:pos="1337"/>
              </w:tabs>
              <w:spacing w:line="360" w:lineRule="auto"/>
              <w:jc w:val="center"/>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2</w:t>
            </w:r>
          </w:p>
        </w:tc>
        <w:tc>
          <w:tcPr>
            <w:tcW w:w="2441" w:type="dxa"/>
            <w:vAlign w:val="center"/>
          </w:tcPr>
          <w:p>
            <w:pPr>
              <w:pStyle w:val="99"/>
              <w:tabs>
                <w:tab w:val="left" w:pos="1337"/>
              </w:tabs>
              <w:spacing w:line="360" w:lineRule="auto"/>
              <w:jc w:val="center"/>
              <w:rPr>
                <w:rFonts w:asciiTheme="minorEastAsia" w:hAnsiTheme="minorEastAsia" w:eastAsiaTheme="minorEastAsia" w:cstheme="minorEastAsia"/>
                <w:color w:val="000000" w:themeColor="text1"/>
                <w:sz w:val="24"/>
                <w14:textFill>
                  <w14:solidFill>
                    <w14:schemeClr w14:val="tx1"/>
                  </w14:solidFill>
                </w14:textFill>
              </w:rPr>
            </w:pPr>
          </w:p>
        </w:tc>
        <w:tc>
          <w:tcPr>
            <w:tcW w:w="3418" w:type="dxa"/>
          </w:tcPr>
          <w:p>
            <w:pPr>
              <w:pStyle w:val="99"/>
              <w:tabs>
                <w:tab w:val="left" w:pos="1337"/>
              </w:tabs>
              <w:spacing w:line="360" w:lineRule="auto"/>
              <w:jc w:val="center"/>
              <w:rPr>
                <w:rFonts w:asciiTheme="minorEastAsia" w:hAnsiTheme="minorEastAsia" w:eastAsiaTheme="minorEastAsia" w:cstheme="minorEastAsia"/>
                <w:color w:val="000000" w:themeColor="text1"/>
                <w:sz w:val="24"/>
                <w14:textFill>
                  <w14:solidFill>
                    <w14:schemeClr w14:val="tx1"/>
                  </w14:solidFill>
                </w14:textFill>
              </w:rPr>
            </w:pPr>
          </w:p>
        </w:tc>
        <w:tc>
          <w:tcPr>
            <w:tcW w:w="955" w:type="dxa"/>
          </w:tcPr>
          <w:p>
            <w:pPr>
              <w:pStyle w:val="99"/>
              <w:tabs>
                <w:tab w:val="left" w:pos="1337"/>
              </w:tabs>
              <w:spacing w:line="360" w:lineRule="auto"/>
              <w:jc w:val="center"/>
              <w:rPr>
                <w:rFonts w:asciiTheme="minorEastAsia" w:hAnsiTheme="minorEastAsia" w:eastAsiaTheme="minorEastAsia" w:cstheme="minorEastAsia"/>
                <w:color w:val="000000" w:themeColor="text1"/>
                <w:sz w:val="24"/>
                <w14:textFill>
                  <w14:solidFill>
                    <w14:schemeClr w14:val="tx1"/>
                  </w14:solidFill>
                </w14:textFill>
              </w:rPr>
            </w:pPr>
          </w:p>
        </w:tc>
        <w:tc>
          <w:tcPr>
            <w:tcW w:w="955" w:type="dxa"/>
          </w:tcPr>
          <w:p>
            <w:pPr>
              <w:pStyle w:val="99"/>
              <w:tabs>
                <w:tab w:val="left" w:pos="1337"/>
              </w:tabs>
              <w:spacing w:line="360" w:lineRule="auto"/>
              <w:jc w:val="center"/>
              <w:rPr>
                <w:rFonts w:asciiTheme="minorEastAsia" w:hAnsiTheme="minorEastAsia" w:eastAsiaTheme="minorEastAsia" w:cstheme="minorEastAsia"/>
                <w:color w:val="000000" w:themeColor="text1"/>
                <w:sz w:val="24"/>
                <w14:textFill>
                  <w14:solidFill>
                    <w14:schemeClr w14:val="tx1"/>
                  </w14:solidFill>
                </w14:textFill>
              </w:rPr>
            </w:pPr>
          </w:p>
        </w:tc>
        <w:tc>
          <w:tcPr>
            <w:tcW w:w="1146" w:type="dxa"/>
            <w:tcBorders>
              <w:right w:val="single" w:color="auto" w:sz="12" w:space="0"/>
            </w:tcBorders>
            <w:vAlign w:val="center"/>
          </w:tcPr>
          <w:p>
            <w:pPr>
              <w:pStyle w:val="99"/>
              <w:tabs>
                <w:tab w:val="left" w:pos="1337"/>
              </w:tabs>
              <w:spacing w:line="360" w:lineRule="auto"/>
              <w:jc w:val="center"/>
              <w:rPr>
                <w:rFonts w:asciiTheme="minorEastAsia" w:hAnsiTheme="minorEastAsia" w:eastAsiaTheme="minorEastAsia" w:cstheme="minorEastAsia"/>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52" w:type="dxa"/>
            <w:tcBorders>
              <w:left w:val="single" w:color="auto" w:sz="12" w:space="0"/>
            </w:tcBorders>
            <w:vAlign w:val="center"/>
          </w:tcPr>
          <w:p>
            <w:pPr>
              <w:pStyle w:val="99"/>
              <w:tabs>
                <w:tab w:val="left" w:pos="1337"/>
              </w:tabs>
              <w:spacing w:line="360" w:lineRule="auto"/>
              <w:jc w:val="center"/>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3</w:t>
            </w:r>
          </w:p>
        </w:tc>
        <w:tc>
          <w:tcPr>
            <w:tcW w:w="2441" w:type="dxa"/>
            <w:vAlign w:val="center"/>
          </w:tcPr>
          <w:p>
            <w:pPr>
              <w:pStyle w:val="99"/>
              <w:tabs>
                <w:tab w:val="left" w:pos="1337"/>
              </w:tabs>
              <w:spacing w:line="360" w:lineRule="auto"/>
              <w:jc w:val="center"/>
              <w:rPr>
                <w:rFonts w:asciiTheme="minorEastAsia" w:hAnsiTheme="minorEastAsia" w:eastAsiaTheme="minorEastAsia" w:cstheme="minorEastAsia"/>
                <w:color w:val="000000" w:themeColor="text1"/>
                <w:sz w:val="24"/>
                <w14:textFill>
                  <w14:solidFill>
                    <w14:schemeClr w14:val="tx1"/>
                  </w14:solidFill>
                </w14:textFill>
              </w:rPr>
            </w:pPr>
          </w:p>
        </w:tc>
        <w:tc>
          <w:tcPr>
            <w:tcW w:w="3418" w:type="dxa"/>
          </w:tcPr>
          <w:p>
            <w:pPr>
              <w:pStyle w:val="99"/>
              <w:tabs>
                <w:tab w:val="left" w:pos="1337"/>
              </w:tabs>
              <w:spacing w:line="360" w:lineRule="auto"/>
              <w:jc w:val="center"/>
              <w:rPr>
                <w:rFonts w:asciiTheme="minorEastAsia" w:hAnsiTheme="minorEastAsia" w:eastAsiaTheme="minorEastAsia" w:cstheme="minorEastAsia"/>
                <w:color w:val="000000" w:themeColor="text1"/>
                <w:sz w:val="24"/>
                <w14:textFill>
                  <w14:solidFill>
                    <w14:schemeClr w14:val="tx1"/>
                  </w14:solidFill>
                </w14:textFill>
              </w:rPr>
            </w:pPr>
          </w:p>
        </w:tc>
        <w:tc>
          <w:tcPr>
            <w:tcW w:w="955" w:type="dxa"/>
          </w:tcPr>
          <w:p>
            <w:pPr>
              <w:pStyle w:val="99"/>
              <w:tabs>
                <w:tab w:val="left" w:pos="1337"/>
              </w:tabs>
              <w:spacing w:line="360" w:lineRule="auto"/>
              <w:jc w:val="center"/>
              <w:rPr>
                <w:rFonts w:asciiTheme="minorEastAsia" w:hAnsiTheme="minorEastAsia" w:eastAsiaTheme="minorEastAsia" w:cstheme="minorEastAsia"/>
                <w:color w:val="000000" w:themeColor="text1"/>
                <w:sz w:val="24"/>
                <w14:textFill>
                  <w14:solidFill>
                    <w14:schemeClr w14:val="tx1"/>
                  </w14:solidFill>
                </w14:textFill>
              </w:rPr>
            </w:pPr>
          </w:p>
        </w:tc>
        <w:tc>
          <w:tcPr>
            <w:tcW w:w="955" w:type="dxa"/>
          </w:tcPr>
          <w:p>
            <w:pPr>
              <w:pStyle w:val="99"/>
              <w:tabs>
                <w:tab w:val="left" w:pos="1337"/>
              </w:tabs>
              <w:spacing w:line="360" w:lineRule="auto"/>
              <w:jc w:val="center"/>
              <w:rPr>
                <w:rFonts w:asciiTheme="minorEastAsia" w:hAnsiTheme="minorEastAsia" w:eastAsiaTheme="minorEastAsia" w:cstheme="minorEastAsia"/>
                <w:color w:val="000000" w:themeColor="text1"/>
                <w:sz w:val="24"/>
                <w14:textFill>
                  <w14:solidFill>
                    <w14:schemeClr w14:val="tx1"/>
                  </w14:solidFill>
                </w14:textFill>
              </w:rPr>
            </w:pPr>
          </w:p>
        </w:tc>
        <w:tc>
          <w:tcPr>
            <w:tcW w:w="1146" w:type="dxa"/>
            <w:tcBorders>
              <w:right w:val="single" w:color="auto" w:sz="12" w:space="0"/>
            </w:tcBorders>
            <w:vAlign w:val="center"/>
          </w:tcPr>
          <w:p>
            <w:pPr>
              <w:pStyle w:val="99"/>
              <w:tabs>
                <w:tab w:val="left" w:pos="1337"/>
              </w:tabs>
              <w:spacing w:line="360" w:lineRule="auto"/>
              <w:jc w:val="center"/>
              <w:rPr>
                <w:rFonts w:asciiTheme="minorEastAsia" w:hAnsiTheme="minorEastAsia" w:eastAsiaTheme="minorEastAsia" w:cstheme="minorEastAsia"/>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52" w:type="dxa"/>
            <w:tcBorders>
              <w:left w:val="single" w:color="auto" w:sz="12" w:space="0"/>
            </w:tcBorders>
            <w:vAlign w:val="center"/>
          </w:tcPr>
          <w:p>
            <w:pPr>
              <w:pStyle w:val="99"/>
              <w:tabs>
                <w:tab w:val="left" w:pos="1337"/>
              </w:tabs>
              <w:spacing w:line="360" w:lineRule="auto"/>
              <w:jc w:val="center"/>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4</w:t>
            </w:r>
          </w:p>
        </w:tc>
        <w:tc>
          <w:tcPr>
            <w:tcW w:w="2441" w:type="dxa"/>
            <w:vAlign w:val="center"/>
          </w:tcPr>
          <w:p>
            <w:pPr>
              <w:pStyle w:val="99"/>
              <w:tabs>
                <w:tab w:val="left" w:pos="1337"/>
              </w:tabs>
              <w:spacing w:line="360" w:lineRule="auto"/>
              <w:jc w:val="center"/>
              <w:rPr>
                <w:rFonts w:asciiTheme="minorEastAsia" w:hAnsiTheme="minorEastAsia" w:eastAsiaTheme="minorEastAsia" w:cstheme="minorEastAsia"/>
                <w:color w:val="000000" w:themeColor="text1"/>
                <w:sz w:val="24"/>
                <w14:textFill>
                  <w14:solidFill>
                    <w14:schemeClr w14:val="tx1"/>
                  </w14:solidFill>
                </w14:textFill>
              </w:rPr>
            </w:pPr>
          </w:p>
        </w:tc>
        <w:tc>
          <w:tcPr>
            <w:tcW w:w="3418" w:type="dxa"/>
          </w:tcPr>
          <w:p>
            <w:pPr>
              <w:pStyle w:val="99"/>
              <w:tabs>
                <w:tab w:val="left" w:pos="1337"/>
              </w:tabs>
              <w:spacing w:line="360" w:lineRule="auto"/>
              <w:jc w:val="center"/>
              <w:rPr>
                <w:rFonts w:asciiTheme="minorEastAsia" w:hAnsiTheme="minorEastAsia" w:eastAsiaTheme="minorEastAsia" w:cstheme="minorEastAsia"/>
                <w:color w:val="000000" w:themeColor="text1"/>
                <w:sz w:val="24"/>
                <w14:textFill>
                  <w14:solidFill>
                    <w14:schemeClr w14:val="tx1"/>
                  </w14:solidFill>
                </w14:textFill>
              </w:rPr>
            </w:pPr>
          </w:p>
        </w:tc>
        <w:tc>
          <w:tcPr>
            <w:tcW w:w="955" w:type="dxa"/>
          </w:tcPr>
          <w:p>
            <w:pPr>
              <w:pStyle w:val="99"/>
              <w:tabs>
                <w:tab w:val="left" w:pos="1337"/>
              </w:tabs>
              <w:spacing w:line="360" w:lineRule="auto"/>
              <w:jc w:val="center"/>
              <w:rPr>
                <w:rFonts w:asciiTheme="minorEastAsia" w:hAnsiTheme="minorEastAsia" w:eastAsiaTheme="minorEastAsia" w:cstheme="minorEastAsia"/>
                <w:color w:val="000000" w:themeColor="text1"/>
                <w:sz w:val="24"/>
                <w14:textFill>
                  <w14:solidFill>
                    <w14:schemeClr w14:val="tx1"/>
                  </w14:solidFill>
                </w14:textFill>
              </w:rPr>
            </w:pPr>
          </w:p>
        </w:tc>
        <w:tc>
          <w:tcPr>
            <w:tcW w:w="955" w:type="dxa"/>
          </w:tcPr>
          <w:p>
            <w:pPr>
              <w:pStyle w:val="99"/>
              <w:tabs>
                <w:tab w:val="left" w:pos="1337"/>
              </w:tabs>
              <w:spacing w:line="360" w:lineRule="auto"/>
              <w:jc w:val="center"/>
              <w:rPr>
                <w:rFonts w:asciiTheme="minorEastAsia" w:hAnsiTheme="minorEastAsia" w:eastAsiaTheme="minorEastAsia" w:cstheme="minorEastAsia"/>
                <w:color w:val="000000" w:themeColor="text1"/>
                <w:sz w:val="24"/>
                <w14:textFill>
                  <w14:solidFill>
                    <w14:schemeClr w14:val="tx1"/>
                  </w14:solidFill>
                </w14:textFill>
              </w:rPr>
            </w:pPr>
          </w:p>
        </w:tc>
        <w:tc>
          <w:tcPr>
            <w:tcW w:w="1146" w:type="dxa"/>
            <w:tcBorders>
              <w:right w:val="single" w:color="auto" w:sz="12" w:space="0"/>
            </w:tcBorders>
            <w:vAlign w:val="center"/>
          </w:tcPr>
          <w:p>
            <w:pPr>
              <w:pStyle w:val="99"/>
              <w:tabs>
                <w:tab w:val="left" w:pos="1337"/>
              </w:tabs>
              <w:spacing w:line="360" w:lineRule="auto"/>
              <w:jc w:val="center"/>
              <w:rPr>
                <w:rFonts w:asciiTheme="minorEastAsia" w:hAnsiTheme="minorEastAsia" w:eastAsiaTheme="minorEastAsia" w:cstheme="minorEastAsia"/>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52" w:type="dxa"/>
            <w:tcBorders>
              <w:left w:val="single" w:color="auto" w:sz="12" w:space="0"/>
            </w:tcBorders>
            <w:vAlign w:val="center"/>
          </w:tcPr>
          <w:p>
            <w:pPr>
              <w:pStyle w:val="99"/>
              <w:tabs>
                <w:tab w:val="left" w:pos="1337"/>
              </w:tabs>
              <w:spacing w:line="360" w:lineRule="auto"/>
              <w:jc w:val="center"/>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5</w:t>
            </w:r>
          </w:p>
        </w:tc>
        <w:tc>
          <w:tcPr>
            <w:tcW w:w="2441" w:type="dxa"/>
            <w:vAlign w:val="center"/>
          </w:tcPr>
          <w:p>
            <w:pPr>
              <w:pStyle w:val="99"/>
              <w:tabs>
                <w:tab w:val="left" w:pos="1337"/>
              </w:tabs>
              <w:spacing w:line="360" w:lineRule="auto"/>
              <w:jc w:val="center"/>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w:t>
            </w:r>
          </w:p>
        </w:tc>
        <w:tc>
          <w:tcPr>
            <w:tcW w:w="3418" w:type="dxa"/>
          </w:tcPr>
          <w:p>
            <w:pPr>
              <w:pStyle w:val="99"/>
              <w:tabs>
                <w:tab w:val="left" w:pos="1337"/>
              </w:tabs>
              <w:spacing w:line="360" w:lineRule="auto"/>
              <w:jc w:val="center"/>
              <w:rPr>
                <w:rFonts w:asciiTheme="minorEastAsia" w:hAnsiTheme="minorEastAsia" w:eastAsiaTheme="minorEastAsia" w:cstheme="minorEastAsia"/>
                <w:color w:val="000000" w:themeColor="text1"/>
                <w:sz w:val="24"/>
                <w14:textFill>
                  <w14:solidFill>
                    <w14:schemeClr w14:val="tx1"/>
                  </w14:solidFill>
                </w14:textFill>
              </w:rPr>
            </w:pPr>
          </w:p>
        </w:tc>
        <w:tc>
          <w:tcPr>
            <w:tcW w:w="955" w:type="dxa"/>
          </w:tcPr>
          <w:p>
            <w:pPr>
              <w:pStyle w:val="99"/>
              <w:tabs>
                <w:tab w:val="left" w:pos="1337"/>
              </w:tabs>
              <w:spacing w:line="360" w:lineRule="auto"/>
              <w:jc w:val="center"/>
              <w:rPr>
                <w:rFonts w:asciiTheme="minorEastAsia" w:hAnsiTheme="minorEastAsia" w:eastAsiaTheme="minorEastAsia" w:cstheme="minorEastAsia"/>
                <w:color w:val="000000" w:themeColor="text1"/>
                <w:sz w:val="24"/>
                <w14:textFill>
                  <w14:solidFill>
                    <w14:schemeClr w14:val="tx1"/>
                  </w14:solidFill>
                </w14:textFill>
              </w:rPr>
            </w:pPr>
          </w:p>
        </w:tc>
        <w:tc>
          <w:tcPr>
            <w:tcW w:w="955" w:type="dxa"/>
            <w:vAlign w:val="center"/>
          </w:tcPr>
          <w:p>
            <w:pPr>
              <w:pStyle w:val="99"/>
              <w:tabs>
                <w:tab w:val="left" w:pos="1337"/>
              </w:tabs>
              <w:spacing w:line="360" w:lineRule="auto"/>
              <w:jc w:val="center"/>
              <w:rPr>
                <w:rFonts w:asciiTheme="minorEastAsia" w:hAnsiTheme="minorEastAsia" w:eastAsiaTheme="minorEastAsia" w:cstheme="minorEastAsia"/>
                <w:color w:val="000000" w:themeColor="text1"/>
                <w:sz w:val="24"/>
                <w14:textFill>
                  <w14:solidFill>
                    <w14:schemeClr w14:val="tx1"/>
                  </w14:solidFill>
                </w14:textFill>
              </w:rPr>
            </w:pPr>
          </w:p>
        </w:tc>
        <w:tc>
          <w:tcPr>
            <w:tcW w:w="1146" w:type="dxa"/>
            <w:tcBorders>
              <w:right w:val="single" w:color="auto" w:sz="12" w:space="0"/>
            </w:tcBorders>
            <w:vAlign w:val="center"/>
          </w:tcPr>
          <w:p>
            <w:pPr>
              <w:pStyle w:val="99"/>
              <w:tabs>
                <w:tab w:val="left" w:pos="1337"/>
              </w:tabs>
              <w:spacing w:line="360" w:lineRule="auto"/>
              <w:jc w:val="center"/>
              <w:rPr>
                <w:rFonts w:asciiTheme="minorEastAsia" w:hAnsiTheme="minorEastAsia" w:eastAsiaTheme="minorEastAsia" w:cstheme="minorEastAsia"/>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52" w:type="dxa"/>
            <w:tcBorders>
              <w:left w:val="single" w:color="auto" w:sz="12" w:space="0"/>
              <w:bottom w:val="single" w:color="auto" w:sz="12" w:space="0"/>
            </w:tcBorders>
            <w:vAlign w:val="center"/>
          </w:tcPr>
          <w:p>
            <w:pPr>
              <w:pStyle w:val="99"/>
              <w:tabs>
                <w:tab w:val="left" w:pos="1337"/>
              </w:tabs>
              <w:spacing w:line="360" w:lineRule="auto"/>
              <w:jc w:val="center"/>
              <w:rPr>
                <w:rFonts w:asciiTheme="minorEastAsia" w:hAnsiTheme="minorEastAsia" w:eastAsiaTheme="minorEastAsia" w:cstheme="minorEastAsia"/>
                <w:color w:val="000000" w:themeColor="text1"/>
                <w:sz w:val="24"/>
                <w14:textFill>
                  <w14:solidFill>
                    <w14:schemeClr w14:val="tx1"/>
                  </w14:solidFill>
                </w14:textFill>
              </w:rPr>
            </w:pPr>
          </w:p>
        </w:tc>
        <w:tc>
          <w:tcPr>
            <w:tcW w:w="2441" w:type="dxa"/>
            <w:tcBorders>
              <w:bottom w:val="single" w:color="auto" w:sz="12" w:space="0"/>
            </w:tcBorders>
            <w:vAlign w:val="center"/>
          </w:tcPr>
          <w:p>
            <w:pPr>
              <w:pStyle w:val="99"/>
              <w:tabs>
                <w:tab w:val="left" w:pos="1337"/>
              </w:tabs>
              <w:spacing w:line="360" w:lineRule="auto"/>
              <w:jc w:val="center"/>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货物费用小计</w:t>
            </w:r>
          </w:p>
        </w:tc>
        <w:tc>
          <w:tcPr>
            <w:tcW w:w="3418" w:type="dxa"/>
            <w:tcBorders>
              <w:bottom w:val="single" w:color="auto" w:sz="12" w:space="0"/>
            </w:tcBorders>
          </w:tcPr>
          <w:p>
            <w:pPr>
              <w:pStyle w:val="99"/>
              <w:tabs>
                <w:tab w:val="left" w:pos="1337"/>
              </w:tabs>
              <w:spacing w:line="360" w:lineRule="auto"/>
              <w:jc w:val="center"/>
              <w:rPr>
                <w:rFonts w:asciiTheme="minorEastAsia" w:hAnsiTheme="minorEastAsia" w:eastAsiaTheme="minorEastAsia" w:cstheme="minorEastAsia"/>
                <w:color w:val="000000" w:themeColor="text1"/>
                <w:sz w:val="24"/>
                <w14:textFill>
                  <w14:solidFill>
                    <w14:schemeClr w14:val="tx1"/>
                  </w14:solidFill>
                </w14:textFill>
              </w:rPr>
            </w:pPr>
          </w:p>
        </w:tc>
        <w:tc>
          <w:tcPr>
            <w:tcW w:w="955" w:type="dxa"/>
            <w:tcBorders>
              <w:bottom w:val="single" w:color="auto" w:sz="12" w:space="0"/>
            </w:tcBorders>
          </w:tcPr>
          <w:p>
            <w:pPr>
              <w:pStyle w:val="99"/>
              <w:tabs>
                <w:tab w:val="left" w:pos="1337"/>
              </w:tabs>
              <w:spacing w:line="360" w:lineRule="auto"/>
              <w:jc w:val="center"/>
              <w:rPr>
                <w:rFonts w:asciiTheme="minorEastAsia" w:hAnsiTheme="minorEastAsia" w:eastAsiaTheme="minorEastAsia" w:cstheme="minorEastAsia"/>
                <w:color w:val="000000" w:themeColor="text1"/>
                <w:sz w:val="24"/>
                <w14:textFill>
                  <w14:solidFill>
                    <w14:schemeClr w14:val="tx1"/>
                  </w14:solidFill>
                </w14:textFill>
              </w:rPr>
            </w:pPr>
          </w:p>
        </w:tc>
        <w:tc>
          <w:tcPr>
            <w:tcW w:w="955" w:type="dxa"/>
            <w:tcBorders>
              <w:bottom w:val="single" w:color="auto" w:sz="12" w:space="0"/>
            </w:tcBorders>
            <w:vAlign w:val="center"/>
          </w:tcPr>
          <w:p>
            <w:pPr>
              <w:pStyle w:val="99"/>
              <w:tabs>
                <w:tab w:val="left" w:pos="1337"/>
              </w:tabs>
              <w:spacing w:line="360" w:lineRule="auto"/>
              <w:jc w:val="center"/>
              <w:rPr>
                <w:rFonts w:asciiTheme="minorEastAsia" w:hAnsiTheme="minorEastAsia" w:eastAsiaTheme="minorEastAsia" w:cstheme="minorEastAsia"/>
                <w:color w:val="000000" w:themeColor="text1"/>
                <w:sz w:val="24"/>
                <w14:textFill>
                  <w14:solidFill>
                    <w14:schemeClr w14:val="tx1"/>
                  </w14:solidFill>
                </w14:textFill>
              </w:rPr>
            </w:pPr>
          </w:p>
        </w:tc>
        <w:tc>
          <w:tcPr>
            <w:tcW w:w="1146" w:type="dxa"/>
            <w:tcBorders>
              <w:bottom w:val="single" w:color="auto" w:sz="12" w:space="0"/>
              <w:right w:val="single" w:color="auto" w:sz="12" w:space="0"/>
            </w:tcBorders>
            <w:vAlign w:val="center"/>
          </w:tcPr>
          <w:p>
            <w:pPr>
              <w:pStyle w:val="99"/>
              <w:tabs>
                <w:tab w:val="left" w:pos="1337"/>
              </w:tabs>
              <w:spacing w:line="360" w:lineRule="auto"/>
              <w:jc w:val="center"/>
              <w:rPr>
                <w:rFonts w:asciiTheme="minorEastAsia" w:hAnsiTheme="minorEastAsia" w:eastAsiaTheme="minorEastAsia" w:cstheme="minorEastAsia"/>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52" w:type="dxa"/>
            <w:tcBorders>
              <w:left w:val="single" w:color="auto" w:sz="12" w:space="0"/>
              <w:bottom w:val="single" w:color="auto" w:sz="12" w:space="0"/>
            </w:tcBorders>
            <w:vAlign w:val="center"/>
          </w:tcPr>
          <w:p>
            <w:pPr>
              <w:pStyle w:val="99"/>
              <w:tabs>
                <w:tab w:val="left" w:pos="1337"/>
              </w:tabs>
              <w:spacing w:line="360" w:lineRule="auto"/>
              <w:jc w:val="center"/>
              <w:rPr>
                <w:rFonts w:asciiTheme="minorEastAsia" w:hAnsiTheme="minorEastAsia" w:eastAsiaTheme="minorEastAsia" w:cstheme="minorEastAsia"/>
                <w:color w:val="000000" w:themeColor="text1"/>
                <w:sz w:val="24"/>
                <w14:textFill>
                  <w14:solidFill>
                    <w14:schemeClr w14:val="tx1"/>
                  </w14:solidFill>
                </w14:textFill>
              </w:rPr>
            </w:pPr>
          </w:p>
        </w:tc>
        <w:tc>
          <w:tcPr>
            <w:tcW w:w="2441" w:type="dxa"/>
            <w:tcBorders>
              <w:bottom w:val="single" w:color="auto" w:sz="12" w:space="0"/>
            </w:tcBorders>
            <w:vAlign w:val="center"/>
          </w:tcPr>
          <w:p>
            <w:pPr>
              <w:pStyle w:val="99"/>
              <w:tabs>
                <w:tab w:val="left" w:pos="1337"/>
              </w:tabs>
              <w:spacing w:line="360" w:lineRule="auto"/>
              <w:jc w:val="center"/>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安装调试费用</w:t>
            </w:r>
          </w:p>
        </w:tc>
        <w:tc>
          <w:tcPr>
            <w:tcW w:w="3418" w:type="dxa"/>
            <w:tcBorders>
              <w:bottom w:val="single" w:color="auto" w:sz="12" w:space="0"/>
            </w:tcBorders>
          </w:tcPr>
          <w:p>
            <w:pPr>
              <w:pStyle w:val="99"/>
              <w:tabs>
                <w:tab w:val="left" w:pos="1337"/>
              </w:tabs>
              <w:spacing w:line="360" w:lineRule="auto"/>
              <w:jc w:val="center"/>
              <w:rPr>
                <w:rFonts w:asciiTheme="minorEastAsia" w:hAnsiTheme="minorEastAsia" w:eastAsiaTheme="minorEastAsia" w:cstheme="minorEastAsia"/>
                <w:color w:val="000000" w:themeColor="text1"/>
                <w:sz w:val="24"/>
                <w14:textFill>
                  <w14:solidFill>
                    <w14:schemeClr w14:val="tx1"/>
                  </w14:solidFill>
                </w14:textFill>
              </w:rPr>
            </w:pPr>
          </w:p>
        </w:tc>
        <w:tc>
          <w:tcPr>
            <w:tcW w:w="955" w:type="dxa"/>
            <w:tcBorders>
              <w:bottom w:val="single" w:color="auto" w:sz="12" w:space="0"/>
            </w:tcBorders>
          </w:tcPr>
          <w:p>
            <w:pPr>
              <w:pStyle w:val="99"/>
              <w:tabs>
                <w:tab w:val="left" w:pos="1337"/>
              </w:tabs>
              <w:spacing w:line="360" w:lineRule="auto"/>
              <w:jc w:val="center"/>
              <w:rPr>
                <w:rFonts w:asciiTheme="minorEastAsia" w:hAnsiTheme="minorEastAsia" w:eastAsiaTheme="minorEastAsia" w:cstheme="minorEastAsia"/>
                <w:color w:val="000000" w:themeColor="text1"/>
                <w:sz w:val="24"/>
                <w14:textFill>
                  <w14:solidFill>
                    <w14:schemeClr w14:val="tx1"/>
                  </w14:solidFill>
                </w14:textFill>
              </w:rPr>
            </w:pPr>
          </w:p>
        </w:tc>
        <w:tc>
          <w:tcPr>
            <w:tcW w:w="955" w:type="dxa"/>
            <w:tcBorders>
              <w:bottom w:val="single" w:color="auto" w:sz="12" w:space="0"/>
            </w:tcBorders>
            <w:vAlign w:val="center"/>
          </w:tcPr>
          <w:p>
            <w:pPr>
              <w:pStyle w:val="99"/>
              <w:tabs>
                <w:tab w:val="left" w:pos="1337"/>
              </w:tabs>
              <w:spacing w:line="360" w:lineRule="auto"/>
              <w:jc w:val="center"/>
              <w:rPr>
                <w:rFonts w:asciiTheme="minorEastAsia" w:hAnsiTheme="minorEastAsia" w:eastAsiaTheme="minorEastAsia" w:cstheme="minorEastAsia"/>
                <w:color w:val="000000" w:themeColor="text1"/>
                <w:sz w:val="24"/>
                <w14:textFill>
                  <w14:solidFill>
                    <w14:schemeClr w14:val="tx1"/>
                  </w14:solidFill>
                </w14:textFill>
              </w:rPr>
            </w:pPr>
          </w:p>
        </w:tc>
        <w:tc>
          <w:tcPr>
            <w:tcW w:w="1146" w:type="dxa"/>
            <w:tcBorders>
              <w:bottom w:val="single" w:color="auto" w:sz="12" w:space="0"/>
              <w:right w:val="single" w:color="auto" w:sz="12" w:space="0"/>
            </w:tcBorders>
            <w:vAlign w:val="center"/>
          </w:tcPr>
          <w:p>
            <w:pPr>
              <w:pStyle w:val="99"/>
              <w:tabs>
                <w:tab w:val="left" w:pos="1337"/>
              </w:tabs>
              <w:spacing w:line="360" w:lineRule="auto"/>
              <w:jc w:val="center"/>
              <w:rPr>
                <w:rFonts w:asciiTheme="minorEastAsia" w:hAnsiTheme="minorEastAsia" w:eastAsiaTheme="minorEastAsia" w:cstheme="minorEastAsia"/>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52" w:type="dxa"/>
            <w:tcBorders>
              <w:left w:val="single" w:color="auto" w:sz="12" w:space="0"/>
              <w:bottom w:val="single" w:color="auto" w:sz="12" w:space="0"/>
            </w:tcBorders>
            <w:vAlign w:val="center"/>
          </w:tcPr>
          <w:p>
            <w:pPr>
              <w:pStyle w:val="99"/>
              <w:tabs>
                <w:tab w:val="left" w:pos="1337"/>
              </w:tabs>
              <w:spacing w:line="360" w:lineRule="auto"/>
              <w:jc w:val="center"/>
              <w:rPr>
                <w:rFonts w:asciiTheme="minorEastAsia" w:hAnsiTheme="minorEastAsia" w:eastAsiaTheme="minorEastAsia" w:cstheme="minorEastAsia"/>
                <w:color w:val="000000" w:themeColor="text1"/>
                <w:sz w:val="24"/>
                <w14:textFill>
                  <w14:solidFill>
                    <w14:schemeClr w14:val="tx1"/>
                  </w14:solidFill>
                </w14:textFill>
              </w:rPr>
            </w:pPr>
          </w:p>
        </w:tc>
        <w:tc>
          <w:tcPr>
            <w:tcW w:w="2441" w:type="dxa"/>
            <w:tcBorders>
              <w:bottom w:val="single" w:color="auto" w:sz="12" w:space="0"/>
            </w:tcBorders>
            <w:vAlign w:val="center"/>
          </w:tcPr>
          <w:p>
            <w:pPr>
              <w:pStyle w:val="99"/>
              <w:tabs>
                <w:tab w:val="left" w:pos="1337"/>
              </w:tabs>
              <w:spacing w:line="360" w:lineRule="auto"/>
              <w:jc w:val="center"/>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维护与技术支持费用</w:t>
            </w:r>
          </w:p>
        </w:tc>
        <w:tc>
          <w:tcPr>
            <w:tcW w:w="3418" w:type="dxa"/>
            <w:tcBorders>
              <w:bottom w:val="single" w:color="auto" w:sz="12" w:space="0"/>
            </w:tcBorders>
          </w:tcPr>
          <w:p>
            <w:pPr>
              <w:pStyle w:val="99"/>
              <w:tabs>
                <w:tab w:val="left" w:pos="1337"/>
              </w:tabs>
              <w:spacing w:line="360" w:lineRule="auto"/>
              <w:jc w:val="center"/>
              <w:rPr>
                <w:rFonts w:asciiTheme="minorEastAsia" w:hAnsiTheme="minorEastAsia" w:eastAsiaTheme="minorEastAsia" w:cstheme="minorEastAsia"/>
                <w:color w:val="000000" w:themeColor="text1"/>
                <w:sz w:val="24"/>
                <w14:textFill>
                  <w14:solidFill>
                    <w14:schemeClr w14:val="tx1"/>
                  </w14:solidFill>
                </w14:textFill>
              </w:rPr>
            </w:pPr>
          </w:p>
        </w:tc>
        <w:tc>
          <w:tcPr>
            <w:tcW w:w="955" w:type="dxa"/>
            <w:tcBorders>
              <w:bottom w:val="single" w:color="auto" w:sz="12" w:space="0"/>
            </w:tcBorders>
          </w:tcPr>
          <w:p>
            <w:pPr>
              <w:pStyle w:val="99"/>
              <w:tabs>
                <w:tab w:val="left" w:pos="1337"/>
              </w:tabs>
              <w:spacing w:line="360" w:lineRule="auto"/>
              <w:jc w:val="center"/>
              <w:rPr>
                <w:rFonts w:asciiTheme="minorEastAsia" w:hAnsiTheme="minorEastAsia" w:eastAsiaTheme="minorEastAsia" w:cstheme="minorEastAsia"/>
                <w:color w:val="000000" w:themeColor="text1"/>
                <w:sz w:val="24"/>
                <w14:textFill>
                  <w14:solidFill>
                    <w14:schemeClr w14:val="tx1"/>
                  </w14:solidFill>
                </w14:textFill>
              </w:rPr>
            </w:pPr>
          </w:p>
        </w:tc>
        <w:tc>
          <w:tcPr>
            <w:tcW w:w="955" w:type="dxa"/>
            <w:tcBorders>
              <w:bottom w:val="single" w:color="auto" w:sz="12" w:space="0"/>
            </w:tcBorders>
            <w:vAlign w:val="center"/>
          </w:tcPr>
          <w:p>
            <w:pPr>
              <w:pStyle w:val="99"/>
              <w:tabs>
                <w:tab w:val="left" w:pos="1337"/>
              </w:tabs>
              <w:spacing w:line="360" w:lineRule="auto"/>
              <w:jc w:val="center"/>
              <w:rPr>
                <w:rFonts w:asciiTheme="minorEastAsia" w:hAnsiTheme="minorEastAsia" w:eastAsiaTheme="minorEastAsia" w:cstheme="minorEastAsia"/>
                <w:color w:val="000000" w:themeColor="text1"/>
                <w:sz w:val="24"/>
                <w14:textFill>
                  <w14:solidFill>
                    <w14:schemeClr w14:val="tx1"/>
                  </w14:solidFill>
                </w14:textFill>
              </w:rPr>
            </w:pPr>
          </w:p>
        </w:tc>
        <w:tc>
          <w:tcPr>
            <w:tcW w:w="1146" w:type="dxa"/>
            <w:tcBorders>
              <w:bottom w:val="single" w:color="auto" w:sz="12" w:space="0"/>
              <w:right w:val="single" w:color="auto" w:sz="12" w:space="0"/>
            </w:tcBorders>
            <w:vAlign w:val="center"/>
          </w:tcPr>
          <w:p>
            <w:pPr>
              <w:pStyle w:val="99"/>
              <w:tabs>
                <w:tab w:val="left" w:pos="1337"/>
              </w:tabs>
              <w:spacing w:line="360" w:lineRule="auto"/>
              <w:jc w:val="center"/>
              <w:rPr>
                <w:rFonts w:asciiTheme="minorEastAsia" w:hAnsiTheme="minorEastAsia" w:eastAsiaTheme="minorEastAsia" w:cstheme="minorEastAsia"/>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52" w:type="dxa"/>
            <w:tcBorders>
              <w:left w:val="single" w:color="auto" w:sz="12" w:space="0"/>
              <w:bottom w:val="single" w:color="auto" w:sz="12" w:space="0"/>
            </w:tcBorders>
            <w:vAlign w:val="center"/>
          </w:tcPr>
          <w:p>
            <w:pPr>
              <w:pStyle w:val="99"/>
              <w:tabs>
                <w:tab w:val="left" w:pos="1337"/>
              </w:tabs>
              <w:spacing w:line="360" w:lineRule="auto"/>
              <w:jc w:val="center"/>
              <w:rPr>
                <w:rFonts w:asciiTheme="minorEastAsia" w:hAnsiTheme="minorEastAsia" w:eastAsiaTheme="minorEastAsia" w:cstheme="minorEastAsia"/>
                <w:color w:val="000000" w:themeColor="text1"/>
                <w:sz w:val="24"/>
                <w14:textFill>
                  <w14:solidFill>
                    <w14:schemeClr w14:val="tx1"/>
                  </w14:solidFill>
                </w14:textFill>
              </w:rPr>
            </w:pPr>
          </w:p>
        </w:tc>
        <w:tc>
          <w:tcPr>
            <w:tcW w:w="2441" w:type="dxa"/>
            <w:tcBorders>
              <w:bottom w:val="single" w:color="auto" w:sz="12" w:space="0"/>
            </w:tcBorders>
            <w:vAlign w:val="center"/>
          </w:tcPr>
          <w:p>
            <w:pPr>
              <w:pStyle w:val="99"/>
              <w:tabs>
                <w:tab w:val="left" w:pos="1337"/>
              </w:tabs>
              <w:spacing w:line="360" w:lineRule="auto"/>
              <w:jc w:val="center"/>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培训费用</w:t>
            </w:r>
          </w:p>
        </w:tc>
        <w:tc>
          <w:tcPr>
            <w:tcW w:w="3418" w:type="dxa"/>
            <w:tcBorders>
              <w:bottom w:val="single" w:color="auto" w:sz="12" w:space="0"/>
            </w:tcBorders>
          </w:tcPr>
          <w:p>
            <w:pPr>
              <w:pStyle w:val="99"/>
              <w:tabs>
                <w:tab w:val="left" w:pos="1337"/>
              </w:tabs>
              <w:spacing w:line="360" w:lineRule="auto"/>
              <w:jc w:val="center"/>
              <w:rPr>
                <w:rFonts w:asciiTheme="minorEastAsia" w:hAnsiTheme="minorEastAsia" w:eastAsiaTheme="minorEastAsia" w:cstheme="minorEastAsia"/>
                <w:color w:val="000000" w:themeColor="text1"/>
                <w:sz w:val="24"/>
                <w14:textFill>
                  <w14:solidFill>
                    <w14:schemeClr w14:val="tx1"/>
                  </w14:solidFill>
                </w14:textFill>
              </w:rPr>
            </w:pPr>
          </w:p>
        </w:tc>
        <w:tc>
          <w:tcPr>
            <w:tcW w:w="955" w:type="dxa"/>
            <w:tcBorders>
              <w:bottom w:val="single" w:color="auto" w:sz="12" w:space="0"/>
            </w:tcBorders>
          </w:tcPr>
          <w:p>
            <w:pPr>
              <w:pStyle w:val="99"/>
              <w:tabs>
                <w:tab w:val="left" w:pos="1337"/>
              </w:tabs>
              <w:spacing w:line="360" w:lineRule="auto"/>
              <w:jc w:val="center"/>
              <w:rPr>
                <w:rFonts w:asciiTheme="minorEastAsia" w:hAnsiTheme="minorEastAsia" w:eastAsiaTheme="minorEastAsia" w:cstheme="minorEastAsia"/>
                <w:color w:val="000000" w:themeColor="text1"/>
                <w:sz w:val="24"/>
                <w14:textFill>
                  <w14:solidFill>
                    <w14:schemeClr w14:val="tx1"/>
                  </w14:solidFill>
                </w14:textFill>
              </w:rPr>
            </w:pPr>
          </w:p>
        </w:tc>
        <w:tc>
          <w:tcPr>
            <w:tcW w:w="955" w:type="dxa"/>
            <w:tcBorders>
              <w:bottom w:val="single" w:color="auto" w:sz="12" w:space="0"/>
            </w:tcBorders>
            <w:vAlign w:val="center"/>
          </w:tcPr>
          <w:p>
            <w:pPr>
              <w:pStyle w:val="99"/>
              <w:tabs>
                <w:tab w:val="left" w:pos="1337"/>
              </w:tabs>
              <w:spacing w:line="360" w:lineRule="auto"/>
              <w:jc w:val="center"/>
              <w:rPr>
                <w:rFonts w:asciiTheme="minorEastAsia" w:hAnsiTheme="minorEastAsia" w:eastAsiaTheme="minorEastAsia" w:cstheme="minorEastAsia"/>
                <w:color w:val="000000" w:themeColor="text1"/>
                <w:sz w:val="24"/>
                <w14:textFill>
                  <w14:solidFill>
                    <w14:schemeClr w14:val="tx1"/>
                  </w14:solidFill>
                </w14:textFill>
              </w:rPr>
            </w:pPr>
          </w:p>
        </w:tc>
        <w:tc>
          <w:tcPr>
            <w:tcW w:w="1146" w:type="dxa"/>
            <w:tcBorders>
              <w:bottom w:val="single" w:color="auto" w:sz="12" w:space="0"/>
              <w:right w:val="single" w:color="auto" w:sz="12" w:space="0"/>
            </w:tcBorders>
            <w:vAlign w:val="center"/>
          </w:tcPr>
          <w:p>
            <w:pPr>
              <w:pStyle w:val="99"/>
              <w:tabs>
                <w:tab w:val="left" w:pos="1337"/>
              </w:tabs>
              <w:spacing w:line="360" w:lineRule="auto"/>
              <w:jc w:val="center"/>
              <w:rPr>
                <w:rFonts w:asciiTheme="minorEastAsia" w:hAnsiTheme="minorEastAsia" w:eastAsiaTheme="minorEastAsia" w:cstheme="minorEastAsia"/>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52" w:type="dxa"/>
            <w:tcBorders>
              <w:left w:val="single" w:color="auto" w:sz="12" w:space="0"/>
              <w:bottom w:val="single" w:color="auto" w:sz="12" w:space="0"/>
            </w:tcBorders>
            <w:vAlign w:val="center"/>
          </w:tcPr>
          <w:p>
            <w:pPr>
              <w:pStyle w:val="99"/>
              <w:tabs>
                <w:tab w:val="left" w:pos="1337"/>
              </w:tabs>
              <w:spacing w:line="360" w:lineRule="auto"/>
              <w:jc w:val="center"/>
              <w:rPr>
                <w:rFonts w:asciiTheme="minorEastAsia" w:hAnsiTheme="minorEastAsia" w:eastAsiaTheme="minorEastAsia" w:cstheme="minorEastAsia"/>
                <w:color w:val="000000" w:themeColor="text1"/>
                <w:sz w:val="24"/>
                <w14:textFill>
                  <w14:solidFill>
                    <w14:schemeClr w14:val="tx1"/>
                  </w14:solidFill>
                </w14:textFill>
              </w:rPr>
            </w:pPr>
          </w:p>
        </w:tc>
        <w:tc>
          <w:tcPr>
            <w:tcW w:w="2441" w:type="dxa"/>
            <w:tcBorders>
              <w:bottom w:val="single" w:color="auto" w:sz="12" w:space="0"/>
            </w:tcBorders>
            <w:vAlign w:val="center"/>
          </w:tcPr>
          <w:p>
            <w:pPr>
              <w:pStyle w:val="99"/>
              <w:tabs>
                <w:tab w:val="left" w:pos="1337"/>
              </w:tabs>
              <w:spacing w:line="360" w:lineRule="auto"/>
              <w:jc w:val="center"/>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备品备件费用</w:t>
            </w:r>
          </w:p>
        </w:tc>
        <w:tc>
          <w:tcPr>
            <w:tcW w:w="3418" w:type="dxa"/>
            <w:tcBorders>
              <w:bottom w:val="single" w:color="auto" w:sz="12" w:space="0"/>
            </w:tcBorders>
          </w:tcPr>
          <w:p>
            <w:pPr>
              <w:pStyle w:val="99"/>
              <w:tabs>
                <w:tab w:val="left" w:pos="1337"/>
              </w:tabs>
              <w:spacing w:line="360" w:lineRule="auto"/>
              <w:jc w:val="center"/>
              <w:rPr>
                <w:rFonts w:asciiTheme="minorEastAsia" w:hAnsiTheme="minorEastAsia" w:eastAsiaTheme="minorEastAsia" w:cstheme="minorEastAsia"/>
                <w:color w:val="000000" w:themeColor="text1"/>
                <w:sz w:val="24"/>
                <w14:textFill>
                  <w14:solidFill>
                    <w14:schemeClr w14:val="tx1"/>
                  </w14:solidFill>
                </w14:textFill>
              </w:rPr>
            </w:pPr>
          </w:p>
        </w:tc>
        <w:tc>
          <w:tcPr>
            <w:tcW w:w="955" w:type="dxa"/>
            <w:tcBorders>
              <w:bottom w:val="single" w:color="auto" w:sz="12" w:space="0"/>
            </w:tcBorders>
          </w:tcPr>
          <w:p>
            <w:pPr>
              <w:pStyle w:val="99"/>
              <w:tabs>
                <w:tab w:val="left" w:pos="1337"/>
              </w:tabs>
              <w:spacing w:line="360" w:lineRule="auto"/>
              <w:jc w:val="center"/>
              <w:rPr>
                <w:rFonts w:asciiTheme="minorEastAsia" w:hAnsiTheme="minorEastAsia" w:eastAsiaTheme="minorEastAsia" w:cstheme="minorEastAsia"/>
                <w:color w:val="000000" w:themeColor="text1"/>
                <w:sz w:val="24"/>
                <w14:textFill>
                  <w14:solidFill>
                    <w14:schemeClr w14:val="tx1"/>
                  </w14:solidFill>
                </w14:textFill>
              </w:rPr>
            </w:pPr>
          </w:p>
        </w:tc>
        <w:tc>
          <w:tcPr>
            <w:tcW w:w="955" w:type="dxa"/>
            <w:tcBorders>
              <w:bottom w:val="single" w:color="auto" w:sz="12" w:space="0"/>
            </w:tcBorders>
            <w:vAlign w:val="center"/>
          </w:tcPr>
          <w:p>
            <w:pPr>
              <w:pStyle w:val="99"/>
              <w:tabs>
                <w:tab w:val="left" w:pos="1337"/>
              </w:tabs>
              <w:spacing w:line="360" w:lineRule="auto"/>
              <w:jc w:val="center"/>
              <w:rPr>
                <w:rFonts w:asciiTheme="minorEastAsia" w:hAnsiTheme="minorEastAsia" w:eastAsiaTheme="minorEastAsia" w:cstheme="minorEastAsia"/>
                <w:color w:val="000000" w:themeColor="text1"/>
                <w:sz w:val="24"/>
                <w14:textFill>
                  <w14:solidFill>
                    <w14:schemeClr w14:val="tx1"/>
                  </w14:solidFill>
                </w14:textFill>
              </w:rPr>
            </w:pPr>
          </w:p>
        </w:tc>
        <w:tc>
          <w:tcPr>
            <w:tcW w:w="1146" w:type="dxa"/>
            <w:tcBorders>
              <w:bottom w:val="single" w:color="auto" w:sz="12" w:space="0"/>
              <w:right w:val="single" w:color="auto" w:sz="12" w:space="0"/>
            </w:tcBorders>
            <w:vAlign w:val="center"/>
          </w:tcPr>
          <w:p>
            <w:pPr>
              <w:pStyle w:val="99"/>
              <w:tabs>
                <w:tab w:val="left" w:pos="1337"/>
              </w:tabs>
              <w:spacing w:line="360" w:lineRule="auto"/>
              <w:jc w:val="center"/>
              <w:rPr>
                <w:rFonts w:asciiTheme="minorEastAsia" w:hAnsiTheme="minorEastAsia" w:eastAsiaTheme="minorEastAsia" w:cstheme="minorEastAsia"/>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52" w:type="dxa"/>
            <w:tcBorders>
              <w:left w:val="single" w:color="auto" w:sz="12" w:space="0"/>
              <w:bottom w:val="single" w:color="auto" w:sz="12" w:space="0"/>
            </w:tcBorders>
            <w:vAlign w:val="center"/>
          </w:tcPr>
          <w:p>
            <w:pPr>
              <w:pStyle w:val="99"/>
              <w:tabs>
                <w:tab w:val="left" w:pos="1337"/>
              </w:tabs>
              <w:spacing w:line="360" w:lineRule="auto"/>
              <w:jc w:val="center"/>
              <w:rPr>
                <w:rFonts w:asciiTheme="minorEastAsia" w:hAnsiTheme="minorEastAsia" w:eastAsiaTheme="minorEastAsia" w:cstheme="minorEastAsia"/>
                <w:color w:val="000000" w:themeColor="text1"/>
                <w:sz w:val="24"/>
                <w14:textFill>
                  <w14:solidFill>
                    <w14:schemeClr w14:val="tx1"/>
                  </w14:solidFill>
                </w14:textFill>
              </w:rPr>
            </w:pPr>
          </w:p>
        </w:tc>
        <w:tc>
          <w:tcPr>
            <w:tcW w:w="2441" w:type="dxa"/>
            <w:tcBorders>
              <w:bottom w:val="single" w:color="auto" w:sz="12" w:space="0"/>
            </w:tcBorders>
            <w:vAlign w:val="center"/>
          </w:tcPr>
          <w:p>
            <w:pPr>
              <w:pStyle w:val="99"/>
              <w:tabs>
                <w:tab w:val="left" w:pos="1337"/>
              </w:tabs>
              <w:spacing w:line="360" w:lineRule="auto"/>
              <w:jc w:val="center"/>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运输与保险费用</w:t>
            </w:r>
          </w:p>
        </w:tc>
        <w:tc>
          <w:tcPr>
            <w:tcW w:w="3418" w:type="dxa"/>
            <w:tcBorders>
              <w:bottom w:val="single" w:color="auto" w:sz="12" w:space="0"/>
            </w:tcBorders>
          </w:tcPr>
          <w:p>
            <w:pPr>
              <w:pStyle w:val="99"/>
              <w:tabs>
                <w:tab w:val="left" w:pos="1337"/>
              </w:tabs>
              <w:spacing w:line="360" w:lineRule="auto"/>
              <w:jc w:val="center"/>
              <w:rPr>
                <w:rFonts w:asciiTheme="minorEastAsia" w:hAnsiTheme="minorEastAsia" w:eastAsiaTheme="minorEastAsia" w:cstheme="minorEastAsia"/>
                <w:color w:val="000000" w:themeColor="text1"/>
                <w:sz w:val="24"/>
                <w14:textFill>
                  <w14:solidFill>
                    <w14:schemeClr w14:val="tx1"/>
                  </w14:solidFill>
                </w14:textFill>
              </w:rPr>
            </w:pPr>
          </w:p>
        </w:tc>
        <w:tc>
          <w:tcPr>
            <w:tcW w:w="955" w:type="dxa"/>
            <w:tcBorders>
              <w:bottom w:val="single" w:color="auto" w:sz="12" w:space="0"/>
            </w:tcBorders>
          </w:tcPr>
          <w:p>
            <w:pPr>
              <w:pStyle w:val="99"/>
              <w:tabs>
                <w:tab w:val="left" w:pos="1337"/>
              </w:tabs>
              <w:spacing w:line="360" w:lineRule="auto"/>
              <w:jc w:val="center"/>
              <w:rPr>
                <w:rFonts w:asciiTheme="minorEastAsia" w:hAnsiTheme="minorEastAsia" w:eastAsiaTheme="minorEastAsia" w:cstheme="minorEastAsia"/>
                <w:color w:val="000000" w:themeColor="text1"/>
                <w:sz w:val="24"/>
                <w14:textFill>
                  <w14:solidFill>
                    <w14:schemeClr w14:val="tx1"/>
                  </w14:solidFill>
                </w14:textFill>
              </w:rPr>
            </w:pPr>
          </w:p>
        </w:tc>
        <w:tc>
          <w:tcPr>
            <w:tcW w:w="955" w:type="dxa"/>
            <w:tcBorders>
              <w:bottom w:val="single" w:color="auto" w:sz="12" w:space="0"/>
            </w:tcBorders>
            <w:vAlign w:val="center"/>
          </w:tcPr>
          <w:p>
            <w:pPr>
              <w:pStyle w:val="99"/>
              <w:tabs>
                <w:tab w:val="left" w:pos="1337"/>
              </w:tabs>
              <w:spacing w:line="360" w:lineRule="auto"/>
              <w:jc w:val="center"/>
              <w:rPr>
                <w:rFonts w:asciiTheme="minorEastAsia" w:hAnsiTheme="minorEastAsia" w:eastAsiaTheme="minorEastAsia" w:cstheme="minorEastAsia"/>
                <w:color w:val="000000" w:themeColor="text1"/>
                <w:sz w:val="24"/>
                <w14:textFill>
                  <w14:solidFill>
                    <w14:schemeClr w14:val="tx1"/>
                  </w14:solidFill>
                </w14:textFill>
              </w:rPr>
            </w:pPr>
          </w:p>
        </w:tc>
        <w:tc>
          <w:tcPr>
            <w:tcW w:w="1146" w:type="dxa"/>
            <w:tcBorders>
              <w:bottom w:val="single" w:color="auto" w:sz="12" w:space="0"/>
              <w:right w:val="single" w:color="auto" w:sz="12" w:space="0"/>
            </w:tcBorders>
            <w:vAlign w:val="center"/>
          </w:tcPr>
          <w:p>
            <w:pPr>
              <w:pStyle w:val="99"/>
              <w:tabs>
                <w:tab w:val="left" w:pos="1337"/>
              </w:tabs>
              <w:spacing w:line="360" w:lineRule="auto"/>
              <w:jc w:val="center"/>
              <w:rPr>
                <w:rFonts w:asciiTheme="minorEastAsia" w:hAnsiTheme="minorEastAsia" w:eastAsiaTheme="minorEastAsia" w:cstheme="minorEastAsia"/>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52" w:type="dxa"/>
            <w:tcBorders>
              <w:left w:val="single" w:color="auto" w:sz="12" w:space="0"/>
              <w:bottom w:val="single" w:color="auto" w:sz="12" w:space="0"/>
            </w:tcBorders>
            <w:vAlign w:val="center"/>
          </w:tcPr>
          <w:p>
            <w:pPr>
              <w:pStyle w:val="99"/>
              <w:tabs>
                <w:tab w:val="left" w:pos="1337"/>
              </w:tabs>
              <w:spacing w:line="360" w:lineRule="auto"/>
              <w:jc w:val="center"/>
              <w:rPr>
                <w:rFonts w:asciiTheme="minorEastAsia" w:hAnsiTheme="minorEastAsia" w:eastAsiaTheme="minorEastAsia" w:cstheme="minorEastAsia"/>
                <w:color w:val="000000" w:themeColor="text1"/>
                <w:sz w:val="24"/>
                <w14:textFill>
                  <w14:solidFill>
                    <w14:schemeClr w14:val="tx1"/>
                  </w14:solidFill>
                </w14:textFill>
              </w:rPr>
            </w:pPr>
          </w:p>
        </w:tc>
        <w:tc>
          <w:tcPr>
            <w:tcW w:w="2441" w:type="dxa"/>
            <w:tcBorders>
              <w:bottom w:val="single" w:color="auto" w:sz="12" w:space="0"/>
            </w:tcBorders>
            <w:vAlign w:val="center"/>
          </w:tcPr>
          <w:p>
            <w:pPr>
              <w:pStyle w:val="99"/>
              <w:tabs>
                <w:tab w:val="left" w:pos="1337"/>
              </w:tabs>
              <w:spacing w:line="360" w:lineRule="auto"/>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其他</w:t>
            </w:r>
          </w:p>
        </w:tc>
        <w:tc>
          <w:tcPr>
            <w:tcW w:w="3418" w:type="dxa"/>
            <w:tcBorders>
              <w:bottom w:val="single" w:color="auto" w:sz="12" w:space="0"/>
            </w:tcBorders>
          </w:tcPr>
          <w:p>
            <w:pPr>
              <w:pStyle w:val="99"/>
              <w:tabs>
                <w:tab w:val="left" w:pos="1337"/>
              </w:tabs>
              <w:spacing w:line="360" w:lineRule="auto"/>
              <w:jc w:val="center"/>
              <w:rPr>
                <w:rFonts w:asciiTheme="minorEastAsia" w:hAnsiTheme="minorEastAsia" w:eastAsiaTheme="minorEastAsia" w:cstheme="minorEastAsia"/>
                <w:color w:val="000000" w:themeColor="text1"/>
                <w:sz w:val="24"/>
                <w14:textFill>
                  <w14:solidFill>
                    <w14:schemeClr w14:val="tx1"/>
                  </w14:solidFill>
                </w14:textFill>
              </w:rPr>
            </w:pPr>
          </w:p>
        </w:tc>
        <w:tc>
          <w:tcPr>
            <w:tcW w:w="955" w:type="dxa"/>
            <w:tcBorders>
              <w:bottom w:val="single" w:color="auto" w:sz="12" w:space="0"/>
            </w:tcBorders>
          </w:tcPr>
          <w:p>
            <w:pPr>
              <w:pStyle w:val="99"/>
              <w:tabs>
                <w:tab w:val="left" w:pos="1337"/>
              </w:tabs>
              <w:spacing w:line="360" w:lineRule="auto"/>
              <w:jc w:val="center"/>
              <w:rPr>
                <w:rFonts w:asciiTheme="minorEastAsia" w:hAnsiTheme="minorEastAsia" w:eastAsiaTheme="minorEastAsia" w:cstheme="minorEastAsia"/>
                <w:color w:val="000000" w:themeColor="text1"/>
                <w:sz w:val="24"/>
                <w14:textFill>
                  <w14:solidFill>
                    <w14:schemeClr w14:val="tx1"/>
                  </w14:solidFill>
                </w14:textFill>
              </w:rPr>
            </w:pPr>
          </w:p>
        </w:tc>
        <w:tc>
          <w:tcPr>
            <w:tcW w:w="955" w:type="dxa"/>
            <w:tcBorders>
              <w:bottom w:val="single" w:color="auto" w:sz="12" w:space="0"/>
            </w:tcBorders>
            <w:vAlign w:val="center"/>
          </w:tcPr>
          <w:p>
            <w:pPr>
              <w:pStyle w:val="99"/>
              <w:tabs>
                <w:tab w:val="left" w:pos="1337"/>
              </w:tabs>
              <w:spacing w:line="360" w:lineRule="auto"/>
              <w:jc w:val="center"/>
              <w:rPr>
                <w:rFonts w:asciiTheme="minorEastAsia" w:hAnsiTheme="minorEastAsia" w:eastAsiaTheme="minorEastAsia" w:cstheme="minorEastAsia"/>
                <w:color w:val="000000" w:themeColor="text1"/>
                <w:sz w:val="24"/>
                <w14:textFill>
                  <w14:solidFill>
                    <w14:schemeClr w14:val="tx1"/>
                  </w14:solidFill>
                </w14:textFill>
              </w:rPr>
            </w:pPr>
          </w:p>
        </w:tc>
        <w:tc>
          <w:tcPr>
            <w:tcW w:w="1146" w:type="dxa"/>
            <w:tcBorders>
              <w:bottom w:val="single" w:color="auto" w:sz="12" w:space="0"/>
              <w:right w:val="single" w:color="auto" w:sz="12" w:space="0"/>
            </w:tcBorders>
            <w:vAlign w:val="center"/>
          </w:tcPr>
          <w:p>
            <w:pPr>
              <w:pStyle w:val="99"/>
              <w:tabs>
                <w:tab w:val="left" w:pos="1337"/>
              </w:tabs>
              <w:spacing w:line="360" w:lineRule="auto"/>
              <w:jc w:val="center"/>
              <w:rPr>
                <w:rFonts w:asciiTheme="minorEastAsia" w:hAnsiTheme="minorEastAsia" w:eastAsiaTheme="minorEastAsia" w:cstheme="minorEastAsia"/>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52" w:type="dxa"/>
            <w:tcBorders>
              <w:left w:val="single" w:color="auto" w:sz="12" w:space="0"/>
              <w:bottom w:val="single" w:color="auto" w:sz="12" w:space="0"/>
            </w:tcBorders>
            <w:vAlign w:val="center"/>
          </w:tcPr>
          <w:p>
            <w:pPr>
              <w:pStyle w:val="99"/>
              <w:tabs>
                <w:tab w:val="left" w:pos="1337"/>
              </w:tabs>
              <w:spacing w:line="360" w:lineRule="auto"/>
              <w:jc w:val="center"/>
              <w:rPr>
                <w:rFonts w:asciiTheme="minorEastAsia" w:hAnsiTheme="minorEastAsia" w:eastAsiaTheme="minorEastAsia" w:cstheme="minorEastAsia"/>
                <w:color w:val="000000" w:themeColor="text1"/>
                <w:sz w:val="24"/>
                <w14:textFill>
                  <w14:solidFill>
                    <w14:schemeClr w14:val="tx1"/>
                  </w14:solidFill>
                </w14:textFill>
              </w:rPr>
            </w:pPr>
          </w:p>
        </w:tc>
        <w:tc>
          <w:tcPr>
            <w:tcW w:w="2441" w:type="dxa"/>
            <w:tcBorders>
              <w:bottom w:val="single" w:color="auto" w:sz="12" w:space="0"/>
            </w:tcBorders>
            <w:vAlign w:val="center"/>
          </w:tcPr>
          <w:p>
            <w:pPr>
              <w:pStyle w:val="99"/>
              <w:tabs>
                <w:tab w:val="left" w:pos="1337"/>
              </w:tabs>
              <w:spacing w:line="360" w:lineRule="auto"/>
              <w:jc w:val="center"/>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合计</w:t>
            </w:r>
          </w:p>
        </w:tc>
        <w:tc>
          <w:tcPr>
            <w:tcW w:w="3418" w:type="dxa"/>
            <w:tcBorders>
              <w:bottom w:val="single" w:color="auto" w:sz="12" w:space="0"/>
            </w:tcBorders>
          </w:tcPr>
          <w:p>
            <w:pPr>
              <w:pStyle w:val="99"/>
              <w:tabs>
                <w:tab w:val="left" w:pos="1337"/>
              </w:tabs>
              <w:spacing w:line="360" w:lineRule="auto"/>
              <w:jc w:val="center"/>
              <w:rPr>
                <w:rFonts w:asciiTheme="minorEastAsia" w:hAnsiTheme="minorEastAsia" w:eastAsiaTheme="minorEastAsia" w:cstheme="minorEastAsia"/>
                <w:color w:val="000000" w:themeColor="text1"/>
                <w:sz w:val="24"/>
                <w14:textFill>
                  <w14:solidFill>
                    <w14:schemeClr w14:val="tx1"/>
                  </w14:solidFill>
                </w14:textFill>
              </w:rPr>
            </w:pPr>
          </w:p>
        </w:tc>
        <w:tc>
          <w:tcPr>
            <w:tcW w:w="955" w:type="dxa"/>
            <w:tcBorders>
              <w:bottom w:val="single" w:color="auto" w:sz="12" w:space="0"/>
            </w:tcBorders>
          </w:tcPr>
          <w:p>
            <w:pPr>
              <w:pStyle w:val="99"/>
              <w:tabs>
                <w:tab w:val="left" w:pos="1337"/>
              </w:tabs>
              <w:spacing w:line="360" w:lineRule="auto"/>
              <w:jc w:val="center"/>
              <w:rPr>
                <w:rFonts w:asciiTheme="minorEastAsia" w:hAnsiTheme="minorEastAsia" w:eastAsiaTheme="minorEastAsia" w:cstheme="minorEastAsia"/>
                <w:color w:val="000000" w:themeColor="text1"/>
                <w:sz w:val="24"/>
                <w14:textFill>
                  <w14:solidFill>
                    <w14:schemeClr w14:val="tx1"/>
                  </w14:solidFill>
                </w14:textFill>
              </w:rPr>
            </w:pPr>
          </w:p>
        </w:tc>
        <w:tc>
          <w:tcPr>
            <w:tcW w:w="955" w:type="dxa"/>
            <w:tcBorders>
              <w:bottom w:val="single" w:color="auto" w:sz="12" w:space="0"/>
            </w:tcBorders>
            <w:vAlign w:val="center"/>
          </w:tcPr>
          <w:p>
            <w:pPr>
              <w:pStyle w:val="99"/>
              <w:tabs>
                <w:tab w:val="left" w:pos="1337"/>
              </w:tabs>
              <w:spacing w:line="360" w:lineRule="auto"/>
              <w:jc w:val="center"/>
              <w:rPr>
                <w:rFonts w:asciiTheme="minorEastAsia" w:hAnsiTheme="minorEastAsia" w:eastAsiaTheme="minorEastAsia" w:cstheme="minorEastAsia"/>
                <w:color w:val="000000" w:themeColor="text1"/>
                <w:sz w:val="24"/>
                <w14:textFill>
                  <w14:solidFill>
                    <w14:schemeClr w14:val="tx1"/>
                  </w14:solidFill>
                </w14:textFill>
              </w:rPr>
            </w:pPr>
          </w:p>
        </w:tc>
        <w:tc>
          <w:tcPr>
            <w:tcW w:w="1146" w:type="dxa"/>
            <w:tcBorders>
              <w:bottom w:val="single" w:color="auto" w:sz="12" w:space="0"/>
              <w:right w:val="single" w:color="auto" w:sz="12" w:space="0"/>
            </w:tcBorders>
            <w:vAlign w:val="center"/>
          </w:tcPr>
          <w:p>
            <w:pPr>
              <w:pStyle w:val="99"/>
              <w:tabs>
                <w:tab w:val="left" w:pos="1337"/>
              </w:tabs>
              <w:spacing w:line="360" w:lineRule="auto"/>
              <w:jc w:val="center"/>
              <w:rPr>
                <w:rFonts w:asciiTheme="minorEastAsia" w:hAnsiTheme="minorEastAsia" w:eastAsiaTheme="minorEastAsia" w:cstheme="minorEastAsia"/>
                <w:color w:val="000000" w:themeColor="text1"/>
                <w:sz w:val="24"/>
                <w14:textFill>
                  <w14:solidFill>
                    <w14:schemeClr w14:val="tx1"/>
                  </w14:solidFill>
                </w14:textFill>
              </w:rPr>
            </w:pPr>
          </w:p>
        </w:tc>
      </w:tr>
    </w:tbl>
    <w:p>
      <w:pPr>
        <w:pStyle w:val="99"/>
        <w:spacing w:line="360" w:lineRule="auto"/>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说明：</w:t>
      </w:r>
      <w:r>
        <w:rPr>
          <w:rFonts w:hint="eastAsia" w:asciiTheme="minorEastAsia" w:hAnsiTheme="minorEastAsia" w:eastAsiaTheme="minorEastAsia" w:cstheme="minorEastAsia"/>
          <w:bCs/>
          <w:color w:val="000000" w:themeColor="text1"/>
          <w:sz w:val="24"/>
          <w14:textFill>
            <w14:solidFill>
              <w14:schemeClr w14:val="tx1"/>
            </w14:solidFill>
          </w14:textFill>
        </w:rPr>
        <w:t>投标人必须填写报价明细表，否则将导致投标被拒绝。</w:t>
      </w:r>
    </w:p>
    <w:p>
      <w:pPr>
        <w:pStyle w:val="63"/>
        <w:widowControl/>
        <w:spacing w:line="360" w:lineRule="auto"/>
        <w:ind w:left="0" w:leftChars="0"/>
        <w:rPr>
          <w:rFonts w:asciiTheme="minorEastAsia" w:hAnsiTheme="minorEastAsia" w:eastAsiaTheme="minorEastAsia" w:cstheme="minorEastAsia"/>
          <w:b/>
          <w:color w:val="000000" w:themeColor="text1"/>
          <w:sz w:val="24"/>
          <w14:textFill>
            <w14:solidFill>
              <w14:schemeClr w14:val="tx1"/>
            </w14:solidFill>
          </w14:textFill>
        </w:rPr>
      </w:pPr>
      <w:r>
        <w:rPr>
          <w:rFonts w:hint="eastAsia" w:asciiTheme="minorEastAsia" w:hAnsiTheme="minorEastAsia" w:eastAsiaTheme="minorEastAsia" w:cstheme="minorEastAsia"/>
          <w:b/>
          <w:color w:val="000000" w:themeColor="text1"/>
          <w:sz w:val="24"/>
          <w14:textFill>
            <w14:solidFill>
              <w14:schemeClr w14:val="tx1"/>
            </w14:solidFill>
          </w14:textFill>
        </w:rPr>
        <w:t xml:space="preserve">投标人名称（盖章）：   </w:t>
      </w:r>
      <w:r>
        <w:rPr>
          <w:rFonts w:hint="eastAsia" w:asciiTheme="minorEastAsia" w:hAnsiTheme="minorEastAsia" w:eastAsiaTheme="minorEastAsia" w:cstheme="minorEastAsia"/>
          <w:color w:val="000000" w:themeColor="text1"/>
          <w:sz w:val="24"/>
          <w:u w:val="single"/>
          <w14:textFill>
            <w14:solidFill>
              <w14:schemeClr w14:val="tx1"/>
            </w14:solidFill>
          </w14:textFill>
        </w:rPr>
        <w:t xml:space="preserve">                   </w:t>
      </w:r>
      <w:r>
        <w:rPr>
          <w:rFonts w:hint="eastAsia" w:asciiTheme="minorEastAsia" w:hAnsiTheme="minorEastAsia" w:eastAsiaTheme="minorEastAsia" w:cstheme="minorEastAsia"/>
          <w:b/>
          <w:color w:val="000000" w:themeColor="text1"/>
          <w:sz w:val="24"/>
          <w14:textFill>
            <w14:solidFill>
              <w14:schemeClr w14:val="tx1"/>
            </w14:solidFill>
          </w14:textFill>
        </w:rPr>
        <w:t xml:space="preserve">                    </w:t>
      </w:r>
    </w:p>
    <w:p>
      <w:pPr>
        <w:pStyle w:val="99"/>
        <w:spacing w:line="360" w:lineRule="auto"/>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b/>
          <w:color w:val="000000" w:themeColor="text1"/>
          <w:sz w:val="24"/>
          <w14:textFill>
            <w14:solidFill>
              <w14:schemeClr w14:val="tx1"/>
            </w14:solidFill>
          </w14:textFill>
        </w:rPr>
        <w:t xml:space="preserve">法定代表人或被授权代理人（签字或盖章）： </w:t>
      </w:r>
      <w:r>
        <w:rPr>
          <w:rFonts w:hint="eastAsia" w:asciiTheme="minorEastAsia" w:hAnsiTheme="minorEastAsia" w:eastAsiaTheme="minorEastAsia" w:cstheme="minorEastAsia"/>
          <w:color w:val="000000" w:themeColor="text1"/>
          <w:sz w:val="24"/>
          <w:u w:val="single"/>
          <w14:textFill>
            <w14:solidFill>
              <w14:schemeClr w14:val="tx1"/>
            </w14:solidFill>
          </w14:textFill>
        </w:rPr>
        <w:t xml:space="preserve">                   </w:t>
      </w:r>
    </w:p>
    <w:p>
      <w:pPr>
        <w:pStyle w:val="99"/>
        <w:spacing w:line="360" w:lineRule="auto"/>
        <w:ind w:right="480" w:firstLine="6360" w:firstLineChars="2650"/>
        <w:rPr>
          <w:rFonts w:asciiTheme="minorEastAsia" w:hAnsiTheme="minorEastAsia" w:eastAsiaTheme="minorEastAsia" w:cstheme="minorEastAsia"/>
          <w:color w:val="000000" w:themeColor="text1"/>
          <w:sz w:val="24"/>
          <w14:textFill>
            <w14:solidFill>
              <w14:schemeClr w14:val="tx1"/>
            </w14:solidFill>
          </w14:textFill>
        </w:rPr>
      </w:pPr>
    </w:p>
    <w:p>
      <w:pPr>
        <w:pStyle w:val="99"/>
        <w:spacing w:line="360" w:lineRule="auto"/>
        <w:ind w:right="480" w:firstLine="6360" w:firstLineChars="265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 xml:space="preserve">年   月   日                                       </w:t>
      </w:r>
    </w:p>
    <w:p>
      <w:pPr>
        <w:pStyle w:val="99"/>
        <w:spacing w:line="360" w:lineRule="auto"/>
        <w:ind w:right="480"/>
        <w:rPr>
          <w:rFonts w:asciiTheme="minorEastAsia" w:hAnsiTheme="minorEastAsia" w:eastAsiaTheme="minorEastAsia" w:cstheme="minorEastAsia"/>
          <w:color w:val="000000" w:themeColor="text1"/>
          <w:szCs w:val="21"/>
          <w14:textFill>
            <w14:solidFill>
              <w14:schemeClr w14:val="tx1"/>
            </w14:solidFill>
          </w14:textFill>
        </w:rPr>
      </w:pPr>
    </w:p>
    <w:p>
      <w:pPr>
        <w:pStyle w:val="144"/>
        <w:outlineLvl w:val="2"/>
        <w:rPr>
          <w:rFonts w:asciiTheme="minorEastAsia" w:hAnsiTheme="minorEastAsia" w:eastAsiaTheme="minorEastAsia" w:cstheme="minorEastAsia"/>
          <w:color w:val="000000" w:themeColor="text1"/>
          <w:sz w:val="24"/>
          <w:szCs w:val="2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br w:type="page"/>
      </w:r>
      <w:bookmarkStart w:id="182" w:name="_Toc10277"/>
      <w:r>
        <w:rPr>
          <w:rFonts w:hint="eastAsia" w:asciiTheme="minorEastAsia" w:hAnsiTheme="minorEastAsia" w:eastAsiaTheme="minorEastAsia" w:cstheme="minorEastAsia"/>
          <w:color w:val="000000" w:themeColor="text1"/>
          <w:sz w:val="24"/>
          <w:szCs w:val="21"/>
          <w14:textFill>
            <w14:solidFill>
              <w14:schemeClr w14:val="tx1"/>
            </w14:solidFill>
          </w14:textFill>
        </w:rPr>
        <w:t>2.6商务条款偏离说明表</w:t>
      </w:r>
      <w:bookmarkEnd w:id="182"/>
    </w:p>
    <w:p>
      <w:pPr>
        <w:pStyle w:val="116"/>
        <w:rPr>
          <w:rFonts w:asciiTheme="minorEastAsia" w:hAnsiTheme="minorEastAsia" w:eastAsiaTheme="minorEastAsia" w:cstheme="minorEastAsia"/>
          <w:color w:val="000000" w:themeColor="text1"/>
          <w:sz w:val="24"/>
          <w:szCs w:val="32"/>
          <w14:textFill>
            <w14:solidFill>
              <w14:schemeClr w14:val="tx1"/>
            </w14:solidFill>
          </w14:textFill>
        </w:rPr>
      </w:pPr>
      <w:r>
        <w:rPr>
          <w:rFonts w:hint="eastAsia" w:asciiTheme="minorEastAsia" w:hAnsiTheme="minorEastAsia" w:eastAsiaTheme="minorEastAsia" w:cstheme="minorEastAsia"/>
          <w:color w:val="000000" w:themeColor="text1"/>
          <w:sz w:val="24"/>
          <w:szCs w:val="32"/>
          <w14:textFill>
            <w14:solidFill>
              <w14:schemeClr w14:val="tx1"/>
            </w14:solidFill>
          </w14:textFill>
        </w:rPr>
        <w:t>项目名称：</w:t>
      </w:r>
    </w:p>
    <w:tbl>
      <w:tblPr>
        <w:tblStyle w:val="38"/>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1602"/>
        <w:gridCol w:w="2458"/>
        <w:gridCol w:w="2885"/>
        <w:gridCol w:w="2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891" w:type="dxa"/>
            <w:vAlign w:val="center"/>
          </w:tcPr>
          <w:p>
            <w:pPr>
              <w:spacing w:line="440" w:lineRule="exact"/>
              <w:jc w:val="center"/>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序号</w:t>
            </w:r>
          </w:p>
        </w:tc>
        <w:tc>
          <w:tcPr>
            <w:tcW w:w="1602" w:type="dxa"/>
            <w:vAlign w:val="center"/>
          </w:tcPr>
          <w:p>
            <w:pPr>
              <w:spacing w:line="440" w:lineRule="exact"/>
              <w:jc w:val="center"/>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招标文件</w:t>
            </w:r>
          </w:p>
          <w:p>
            <w:pPr>
              <w:spacing w:line="440" w:lineRule="exact"/>
              <w:jc w:val="center"/>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条目号</w:t>
            </w:r>
          </w:p>
        </w:tc>
        <w:tc>
          <w:tcPr>
            <w:tcW w:w="2458" w:type="dxa"/>
            <w:vAlign w:val="center"/>
          </w:tcPr>
          <w:p>
            <w:pPr>
              <w:spacing w:line="440" w:lineRule="exact"/>
              <w:jc w:val="center"/>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招标文件的商务条款</w:t>
            </w:r>
          </w:p>
        </w:tc>
        <w:tc>
          <w:tcPr>
            <w:tcW w:w="2885" w:type="dxa"/>
            <w:vAlign w:val="center"/>
          </w:tcPr>
          <w:p>
            <w:pPr>
              <w:spacing w:line="440" w:lineRule="exact"/>
              <w:jc w:val="center"/>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投标文件的商务条款</w:t>
            </w:r>
          </w:p>
        </w:tc>
        <w:tc>
          <w:tcPr>
            <w:tcW w:w="2018" w:type="dxa"/>
            <w:vAlign w:val="center"/>
          </w:tcPr>
          <w:p>
            <w:pPr>
              <w:spacing w:line="440" w:lineRule="exact"/>
              <w:jc w:val="center"/>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91" w:type="dxa"/>
            <w:vAlign w:val="center"/>
          </w:tcPr>
          <w:p>
            <w:pPr>
              <w:spacing w:line="440" w:lineRule="exact"/>
              <w:jc w:val="center"/>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w:t>
            </w:r>
          </w:p>
        </w:tc>
        <w:tc>
          <w:tcPr>
            <w:tcW w:w="1602" w:type="dxa"/>
            <w:vAlign w:val="center"/>
          </w:tcPr>
          <w:p>
            <w:pPr>
              <w:spacing w:line="440" w:lineRule="exact"/>
              <w:jc w:val="center"/>
              <w:rPr>
                <w:rFonts w:asciiTheme="minorEastAsia" w:hAnsiTheme="minorEastAsia" w:eastAsiaTheme="minorEastAsia" w:cstheme="minorEastAsia"/>
                <w:color w:val="000000" w:themeColor="text1"/>
                <w:sz w:val="24"/>
                <w:szCs w:val="24"/>
                <w14:textFill>
                  <w14:solidFill>
                    <w14:schemeClr w14:val="tx1"/>
                  </w14:solidFill>
                </w14:textFill>
              </w:rPr>
            </w:pPr>
          </w:p>
        </w:tc>
        <w:tc>
          <w:tcPr>
            <w:tcW w:w="2458" w:type="dxa"/>
            <w:vAlign w:val="center"/>
          </w:tcPr>
          <w:p>
            <w:pPr>
              <w:spacing w:line="440" w:lineRule="exact"/>
              <w:jc w:val="center"/>
              <w:rPr>
                <w:rFonts w:asciiTheme="minorEastAsia" w:hAnsiTheme="minorEastAsia" w:eastAsiaTheme="minorEastAsia" w:cstheme="minorEastAsia"/>
                <w:color w:val="000000" w:themeColor="text1"/>
                <w:sz w:val="24"/>
                <w:szCs w:val="24"/>
                <w14:textFill>
                  <w14:solidFill>
                    <w14:schemeClr w14:val="tx1"/>
                  </w14:solidFill>
                </w14:textFill>
              </w:rPr>
            </w:pPr>
          </w:p>
        </w:tc>
        <w:tc>
          <w:tcPr>
            <w:tcW w:w="2885" w:type="dxa"/>
            <w:vAlign w:val="center"/>
          </w:tcPr>
          <w:p>
            <w:pPr>
              <w:spacing w:line="440" w:lineRule="exact"/>
              <w:jc w:val="center"/>
              <w:rPr>
                <w:rFonts w:asciiTheme="minorEastAsia" w:hAnsiTheme="minorEastAsia" w:eastAsiaTheme="minorEastAsia" w:cstheme="minorEastAsia"/>
                <w:color w:val="000000" w:themeColor="text1"/>
                <w:sz w:val="24"/>
                <w:szCs w:val="24"/>
                <w14:textFill>
                  <w14:solidFill>
                    <w14:schemeClr w14:val="tx1"/>
                  </w14:solidFill>
                </w14:textFill>
              </w:rPr>
            </w:pPr>
          </w:p>
        </w:tc>
        <w:tc>
          <w:tcPr>
            <w:tcW w:w="2018" w:type="dxa"/>
            <w:vAlign w:val="center"/>
          </w:tcPr>
          <w:p>
            <w:pPr>
              <w:spacing w:line="440" w:lineRule="exact"/>
              <w:jc w:val="center"/>
              <w:rPr>
                <w:rFonts w:asciiTheme="minorEastAsia" w:hAnsiTheme="minorEastAsia" w:eastAsiaTheme="minorEastAsia" w:cstheme="minorEastAsia"/>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891" w:type="dxa"/>
            <w:vAlign w:val="center"/>
          </w:tcPr>
          <w:p>
            <w:pPr>
              <w:spacing w:line="440" w:lineRule="exact"/>
              <w:jc w:val="center"/>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w:t>
            </w:r>
          </w:p>
        </w:tc>
        <w:tc>
          <w:tcPr>
            <w:tcW w:w="1602" w:type="dxa"/>
            <w:vAlign w:val="center"/>
          </w:tcPr>
          <w:p>
            <w:pPr>
              <w:spacing w:line="440" w:lineRule="exact"/>
              <w:jc w:val="center"/>
              <w:rPr>
                <w:rFonts w:asciiTheme="minorEastAsia" w:hAnsiTheme="minorEastAsia" w:eastAsiaTheme="minorEastAsia" w:cstheme="minorEastAsia"/>
                <w:color w:val="000000" w:themeColor="text1"/>
                <w:sz w:val="24"/>
                <w:szCs w:val="24"/>
                <w14:textFill>
                  <w14:solidFill>
                    <w14:schemeClr w14:val="tx1"/>
                  </w14:solidFill>
                </w14:textFill>
              </w:rPr>
            </w:pPr>
          </w:p>
        </w:tc>
        <w:tc>
          <w:tcPr>
            <w:tcW w:w="2458" w:type="dxa"/>
            <w:vAlign w:val="center"/>
          </w:tcPr>
          <w:p>
            <w:pPr>
              <w:spacing w:line="440" w:lineRule="exact"/>
              <w:jc w:val="center"/>
              <w:rPr>
                <w:rFonts w:asciiTheme="minorEastAsia" w:hAnsiTheme="minorEastAsia" w:eastAsiaTheme="minorEastAsia" w:cstheme="minorEastAsia"/>
                <w:color w:val="000000" w:themeColor="text1"/>
                <w:sz w:val="24"/>
                <w:szCs w:val="24"/>
                <w14:textFill>
                  <w14:solidFill>
                    <w14:schemeClr w14:val="tx1"/>
                  </w14:solidFill>
                </w14:textFill>
              </w:rPr>
            </w:pPr>
          </w:p>
        </w:tc>
        <w:tc>
          <w:tcPr>
            <w:tcW w:w="2885" w:type="dxa"/>
            <w:vAlign w:val="center"/>
          </w:tcPr>
          <w:p>
            <w:pPr>
              <w:spacing w:line="440" w:lineRule="exact"/>
              <w:jc w:val="center"/>
              <w:rPr>
                <w:rFonts w:asciiTheme="minorEastAsia" w:hAnsiTheme="minorEastAsia" w:eastAsiaTheme="minorEastAsia" w:cstheme="minorEastAsia"/>
                <w:color w:val="000000" w:themeColor="text1"/>
                <w:sz w:val="24"/>
                <w:szCs w:val="24"/>
                <w14:textFill>
                  <w14:solidFill>
                    <w14:schemeClr w14:val="tx1"/>
                  </w14:solidFill>
                </w14:textFill>
              </w:rPr>
            </w:pPr>
          </w:p>
        </w:tc>
        <w:tc>
          <w:tcPr>
            <w:tcW w:w="2018" w:type="dxa"/>
            <w:vAlign w:val="center"/>
          </w:tcPr>
          <w:p>
            <w:pPr>
              <w:spacing w:line="440" w:lineRule="exact"/>
              <w:jc w:val="center"/>
              <w:rPr>
                <w:rFonts w:asciiTheme="minorEastAsia" w:hAnsiTheme="minorEastAsia" w:eastAsiaTheme="minorEastAsia" w:cstheme="minorEastAsia"/>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91" w:type="dxa"/>
            <w:vAlign w:val="center"/>
          </w:tcPr>
          <w:p>
            <w:pPr>
              <w:spacing w:line="440" w:lineRule="exact"/>
              <w:jc w:val="center"/>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3</w:t>
            </w:r>
          </w:p>
        </w:tc>
        <w:tc>
          <w:tcPr>
            <w:tcW w:w="1602" w:type="dxa"/>
            <w:vAlign w:val="center"/>
          </w:tcPr>
          <w:p>
            <w:pPr>
              <w:spacing w:line="440" w:lineRule="exact"/>
              <w:jc w:val="center"/>
              <w:rPr>
                <w:rFonts w:asciiTheme="minorEastAsia" w:hAnsiTheme="minorEastAsia" w:eastAsiaTheme="minorEastAsia" w:cstheme="minorEastAsia"/>
                <w:color w:val="000000" w:themeColor="text1"/>
                <w:sz w:val="24"/>
                <w:szCs w:val="24"/>
                <w14:textFill>
                  <w14:solidFill>
                    <w14:schemeClr w14:val="tx1"/>
                  </w14:solidFill>
                </w14:textFill>
              </w:rPr>
            </w:pPr>
          </w:p>
        </w:tc>
        <w:tc>
          <w:tcPr>
            <w:tcW w:w="2458" w:type="dxa"/>
            <w:vAlign w:val="center"/>
          </w:tcPr>
          <w:p>
            <w:pPr>
              <w:spacing w:line="440" w:lineRule="exact"/>
              <w:jc w:val="center"/>
              <w:rPr>
                <w:rFonts w:asciiTheme="minorEastAsia" w:hAnsiTheme="minorEastAsia" w:eastAsiaTheme="minorEastAsia" w:cstheme="minorEastAsia"/>
                <w:color w:val="000000" w:themeColor="text1"/>
                <w:sz w:val="24"/>
                <w:szCs w:val="24"/>
                <w14:textFill>
                  <w14:solidFill>
                    <w14:schemeClr w14:val="tx1"/>
                  </w14:solidFill>
                </w14:textFill>
              </w:rPr>
            </w:pPr>
          </w:p>
        </w:tc>
        <w:tc>
          <w:tcPr>
            <w:tcW w:w="2885" w:type="dxa"/>
            <w:vAlign w:val="center"/>
          </w:tcPr>
          <w:p>
            <w:pPr>
              <w:spacing w:line="440" w:lineRule="exact"/>
              <w:jc w:val="center"/>
              <w:rPr>
                <w:rFonts w:asciiTheme="minorEastAsia" w:hAnsiTheme="minorEastAsia" w:eastAsiaTheme="minorEastAsia" w:cstheme="minorEastAsia"/>
                <w:color w:val="000000" w:themeColor="text1"/>
                <w:sz w:val="24"/>
                <w:szCs w:val="24"/>
                <w14:textFill>
                  <w14:solidFill>
                    <w14:schemeClr w14:val="tx1"/>
                  </w14:solidFill>
                </w14:textFill>
              </w:rPr>
            </w:pPr>
          </w:p>
        </w:tc>
        <w:tc>
          <w:tcPr>
            <w:tcW w:w="2018" w:type="dxa"/>
            <w:vAlign w:val="center"/>
          </w:tcPr>
          <w:p>
            <w:pPr>
              <w:spacing w:line="440" w:lineRule="exact"/>
              <w:jc w:val="center"/>
              <w:rPr>
                <w:rFonts w:asciiTheme="minorEastAsia" w:hAnsiTheme="minorEastAsia" w:eastAsiaTheme="minorEastAsia" w:cstheme="minorEastAsia"/>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91" w:type="dxa"/>
            <w:vAlign w:val="center"/>
          </w:tcPr>
          <w:p>
            <w:pPr>
              <w:spacing w:line="440" w:lineRule="exact"/>
              <w:jc w:val="center"/>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4</w:t>
            </w:r>
          </w:p>
        </w:tc>
        <w:tc>
          <w:tcPr>
            <w:tcW w:w="1602" w:type="dxa"/>
            <w:vAlign w:val="center"/>
          </w:tcPr>
          <w:p>
            <w:pPr>
              <w:spacing w:line="440" w:lineRule="exact"/>
              <w:jc w:val="center"/>
              <w:rPr>
                <w:rFonts w:asciiTheme="minorEastAsia" w:hAnsiTheme="minorEastAsia" w:eastAsiaTheme="minorEastAsia" w:cstheme="minorEastAsia"/>
                <w:color w:val="000000" w:themeColor="text1"/>
                <w:sz w:val="24"/>
                <w:szCs w:val="24"/>
                <w14:textFill>
                  <w14:solidFill>
                    <w14:schemeClr w14:val="tx1"/>
                  </w14:solidFill>
                </w14:textFill>
              </w:rPr>
            </w:pPr>
          </w:p>
        </w:tc>
        <w:tc>
          <w:tcPr>
            <w:tcW w:w="2458" w:type="dxa"/>
            <w:vAlign w:val="center"/>
          </w:tcPr>
          <w:p>
            <w:pPr>
              <w:pStyle w:val="163"/>
              <w:spacing w:line="440" w:lineRule="exact"/>
              <w:jc w:val="center"/>
              <w:rPr>
                <w:rFonts w:asciiTheme="minorEastAsia" w:hAnsiTheme="minorEastAsia" w:eastAsiaTheme="minorEastAsia" w:cstheme="minorEastAsia"/>
                <w:color w:val="000000" w:themeColor="text1"/>
                <w:kern w:val="2"/>
                <w14:textFill>
                  <w14:solidFill>
                    <w14:schemeClr w14:val="tx1"/>
                  </w14:solidFill>
                </w14:textFill>
              </w:rPr>
            </w:pPr>
          </w:p>
        </w:tc>
        <w:tc>
          <w:tcPr>
            <w:tcW w:w="2885" w:type="dxa"/>
            <w:vAlign w:val="center"/>
          </w:tcPr>
          <w:p>
            <w:pPr>
              <w:spacing w:line="440" w:lineRule="exact"/>
              <w:jc w:val="center"/>
              <w:rPr>
                <w:rFonts w:asciiTheme="minorEastAsia" w:hAnsiTheme="minorEastAsia" w:eastAsiaTheme="minorEastAsia" w:cstheme="minorEastAsia"/>
                <w:color w:val="000000" w:themeColor="text1"/>
                <w:sz w:val="24"/>
                <w:szCs w:val="24"/>
                <w14:textFill>
                  <w14:solidFill>
                    <w14:schemeClr w14:val="tx1"/>
                  </w14:solidFill>
                </w14:textFill>
              </w:rPr>
            </w:pPr>
          </w:p>
        </w:tc>
        <w:tc>
          <w:tcPr>
            <w:tcW w:w="2018" w:type="dxa"/>
            <w:vAlign w:val="center"/>
          </w:tcPr>
          <w:p>
            <w:pPr>
              <w:spacing w:line="440" w:lineRule="exact"/>
              <w:jc w:val="center"/>
              <w:rPr>
                <w:rFonts w:asciiTheme="minorEastAsia" w:hAnsiTheme="minorEastAsia" w:eastAsiaTheme="minorEastAsia" w:cstheme="minorEastAsia"/>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91" w:type="dxa"/>
            <w:vAlign w:val="center"/>
          </w:tcPr>
          <w:p>
            <w:pPr>
              <w:spacing w:line="440" w:lineRule="exact"/>
              <w:jc w:val="center"/>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5</w:t>
            </w:r>
          </w:p>
        </w:tc>
        <w:tc>
          <w:tcPr>
            <w:tcW w:w="1602" w:type="dxa"/>
            <w:vAlign w:val="center"/>
          </w:tcPr>
          <w:p>
            <w:pPr>
              <w:spacing w:line="440" w:lineRule="exact"/>
              <w:jc w:val="center"/>
              <w:rPr>
                <w:rFonts w:asciiTheme="minorEastAsia" w:hAnsiTheme="minorEastAsia" w:eastAsiaTheme="minorEastAsia" w:cstheme="minorEastAsia"/>
                <w:color w:val="000000" w:themeColor="text1"/>
                <w:sz w:val="24"/>
                <w:szCs w:val="24"/>
                <w14:textFill>
                  <w14:solidFill>
                    <w14:schemeClr w14:val="tx1"/>
                  </w14:solidFill>
                </w14:textFill>
              </w:rPr>
            </w:pPr>
          </w:p>
        </w:tc>
        <w:tc>
          <w:tcPr>
            <w:tcW w:w="2458" w:type="dxa"/>
            <w:vAlign w:val="center"/>
          </w:tcPr>
          <w:p>
            <w:pPr>
              <w:spacing w:line="440" w:lineRule="exact"/>
              <w:jc w:val="center"/>
              <w:rPr>
                <w:rFonts w:asciiTheme="minorEastAsia" w:hAnsiTheme="minorEastAsia" w:eastAsiaTheme="minorEastAsia" w:cstheme="minorEastAsia"/>
                <w:color w:val="000000" w:themeColor="text1"/>
                <w:sz w:val="24"/>
                <w:szCs w:val="24"/>
                <w14:textFill>
                  <w14:solidFill>
                    <w14:schemeClr w14:val="tx1"/>
                  </w14:solidFill>
                </w14:textFill>
              </w:rPr>
            </w:pPr>
          </w:p>
        </w:tc>
        <w:tc>
          <w:tcPr>
            <w:tcW w:w="2885" w:type="dxa"/>
            <w:vAlign w:val="center"/>
          </w:tcPr>
          <w:p>
            <w:pPr>
              <w:spacing w:line="440" w:lineRule="exact"/>
              <w:jc w:val="center"/>
              <w:rPr>
                <w:rFonts w:asciiTheme="minorEastAsia" w:hAnsiTheme="minorEastAsia" w:eastAsiaTheme="minorEastAsia" w:cstheme="minorEastAsia"/>
                <w:color w:val="000000" w:themeColor="text1"/>
                <w:sz w:val="24"/>
                <w:szCs w:val="24"/>
                <w14:textFill>
                  <w14:solidFill>
                    <w14:schemeClr w14:val="tx1"/>
                  </w14:solidFill>
                </w14:textFill>
              </w:rPr>
            </w:pPr>
          </w:p>
        </w:tc>
        <w:tc>
          <w:tcPr>
            <w:tcW w:w="2018" w:type="dxa"/>
            <w:vAlign w:val="center"/>
          </w:tcPr>
          <w:p>
            <w:pPr>
              <w:spacing w:line="440" w:lineRule="exact"/>
              <w:jc w:val="center"/>
              <w:rPr>
                <w:rFonts w:asciiTheme="minorEastAsia" w:hAnsiTheme="minorEastAsia" w:eastAsiaTheme="minorEastAsia" w:cstheme="minorEastAsia"/>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91" w:type="dxa"/>
            <w:vAlign w:val="center"/>
          </w:tcPr>
          <w:p>
            <w:pPr>
              <w:spacing w:line="440" w:lineRule="exact"/>
              <w:jc w:val="center"/>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6</w:t>
            </w:r>
          </w:p>
        </w:tc>
        <w:tc>
          <w:tcPr>
            <w:tcW w:w="1602" w:type="dxa"/>
            <w:vAlign w:val="center"/>
          </w:tcPr>
          <w:p>
            <w:pPr>
              <w:spacing w:line="440" w:lineRule="exact"/>
              <w:jc w:val="center"/>
              <w:rPr>
                <w:rFonts w:asciiTheme="minorEastAsia" w:hAnsiTheme="minorEastAsia" w:eastAsiaTheme="minorEastAsia" w:cstheme="minorEastAsia"/>
                <w:color w:val="000000" w:themeColor="text1"/>
                <w:sz w:val="24"/>
                <w:szCs w:val="24"/>
                <w14:textFill>
                  <w14:solidFill>
                    <w14:schemeClr w14:val="tx1"/>
                  </w14:solidFill>
                </w14:textFill>
              </w:rPr>
            </w:pPr>
          </w:p>
        </w:tc>
        <w:tc>
          <w:tcPr>
            <w:tcW w:w="2458" w:type="dxa"/>
            <w:vAlign w:val="center"/>
          </w:tcPr>
          <w:p>
            <w:pPr>
              <w:snapToGrid w:val="0"/>
              <w:spacing w:line="440" w:lineRule="exact"/>
              <w:jc w:val="center"/>
              <w:rPr>
                <w:rFonts w:asciiTheme="minorEastAsia" w:hAnsiTheme="minorEastAsia" w:eastAsiaTheme="minorEastAsia" w:cstheme="minorEastAsia"/>
                <w:color w:val="000000" w:themeColor="text1"/>
                <w:sz w:val="24"/>
                <w:szCs w:val="24"/>
                <w14:textFill>
                  <w14:solidFill>
                    <w14:schemeClr w14:val="tx1"/>
                  </w14:solidFill>
                </w14:textFill>
              </w:rPr>
            </w:pPr>
          </w:p>
        </w:tc>
        <w:tc>
          <w:tcPr>
            <w:tcW w:w="2885" w:type="dxa"/>
            <w:vAlign w:val="center"/>
          </w:tcPr>
          <w:p>
            <w:pPr>
              <w:spacing w:line="440" w:lineRule="exact"/>
              <w:jc w:val="center"/>
              <w:rPr>
                <w:rFonts w:asciiTheme="minorEastAsia" w:hAnsiTheme="minorEastAsia" w:eastAsiaTheme="minorEastAsia" w:cstheme="minorEastAsia"/>
                <w:color w:val="000000" w:themeColor="text1"/>
                <w:sz w:val="24"/>
                <w:szCs w:val="24"/>
                <w14:textFill>
                  <w14:solidFill>
                    <w14:schemeClr w14:val="tx1"/>
                  </w14:solidFill>
                </w14:textFill>
              </w:rPr>
            </w:pPr>
          </w:p>
        </w:tc>
        <w:tc>
          <w:tcPr>
            <w:tcW w:w="2018" w:type="dxa"/>
            <w:vAlign w:val="center"/>
          </w:tcPr>
          <w:p>
            <w:pPr>
              <w:spacing w:line="440" w:lineRule="exact"/>
              <w:jc w:val="center"/>
              <w:rPr>
                <w:rFonts w:asciiTheme="minorEastAsia" w:hAnsiTheme="minorEastAsia" w:eastAsiaTheme="minorEastAsia" w:cstheme="minorEastAsia"/>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91" w:type="dxa"/>
            <w:vAlign w:val="center"/>
          </w:tcPr>
          <w:p>
            <w:pPr>
              <w:spacing w:line="440" w:lineRule="exact"/>
              <w:jc w:val="center"/>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7</w:t>
            </w:r>
          </w:p>
        </w:tc>
        <w:tc>
          <w:tcPr>
            <w:tcW w:w="1602" w:type="dxa"/>
            <w:vAlign w:val="center"/>
          </w:tcPr>
          <w:p>
            <w:pPr>
              <w:spacing w:line="440" w:lineRule="exact"/>
              <w:jc w:val="center"/>
              <w:rPr>
                <w:rFonts w:asciiTheme="minorEastAsia" w:hAnsiTheme="minorEastAsia" w:eastAsiaTheme="minorEastAsia" w:cstheme="minorEastAsia"/>
                <w:color w:val="000000" w:themeColor="text1"/>
                <w:sz w:val="24"/>
                <w:szCs w:val="24"/>
                <w14:textFill>
                  <w14:solidFill>
                    <w14:schemeClr w14:val="tx1"/>
                  </w14:solidFill>
                </w14:textFill>
              </w:rPr>
            </w:pPr>
          </w:p>
        </w:tc>
        <w:tc>
          <w:tcPr>
            <w:tcW w:w="2458" w:type="dxa"/>
            <w:vAlign w:val="center"/>
          </w:tcPr>
          <w:p>
            <w:pPr>
              <w:snapToGrid w:val="0"/>
              <w:spacing w:line="440" w:lineRule="exact"/>
              <w:jc w:val="center"/>
              <w:rPr>
                <w:rFonts w:asciiTheme="minorEastAsia" w:hAnsiTheme="minorEastAsia" w:eastAsiaTheme="minorEastAsia" w:cstheme="minorEastAsia"/>
                <w:color w:val="000000" w:themeColor="text1"/>
                <w:sz w:val="24"/>
                <w:szCs w:val="24"/>
                <w14:textFill>
                  <w14:solidFill>
                    <w14:schemeClr w14:val="tx1"/>
                  </w14:solidFill>
                </w14:textFill>
              </w:rPr>
            </w:pPr>
          </w:p>
        </w:tc>
        <w:tc>
          <w:tcPr>
            <w:tcW w:w="2885" w:type="dxa"/>
            <w:vAlign w:val="center"/>
          </w:tcPr>
          <w:p>
            <w:pPr>
              <w:spacing w:line="440" w:lineRule="exact"/>
              <w:jc w:val="center"/>
              <w:rPr>
                <w:rFonts w:asciiTheme="minorEastAsia" w:hAnsiTheme="minorEastAsia" w:eastAsiaTheme="minorEastAsia" w:cstheme="minorEastAsia"/>
                <w:color w:val="000000" w:themeColor="text1"/>
                <w:sz w:val="24"/>
                <w:szCs w:val="24"/>
                <w14:textFill>
                  <w14:solidFill>
                    <w14:schemeClr w14:val="tx1"/>
                  </w14:solidFill>
                </w14:textFill>
              </w:rPr>
            </w:pPr>
          </w:p>
        </w:tc>
        <w:tc>
          <w:tcPr>
            <w:tcW w:w="2018" w:type="dxa"/>
            <w:vAlign w:val="center"/>
          </w:tcPr>
          <w:p>
            <w:pPr>
              <w:spacing w:line="440" w:lineRule="exact"/>
              <w:jc w:val="center"/>
              <w:rPr>
                <w:rFonts w:asciiTheme="minorEastAsia" w:hAnsiTheme="minorEastAsia" w:eastAsiaTheme="minorEastAsia" w:cstheme="minorEastAsia"/>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91" w:type="dxa"/>
            <w:vAlign w:val="center"/>
          </w:tcPr>
          <w:p>
            <w:pPr>
              <w:spacing w:line="440" w:lineRule="exact"/>
              <w:jc w:val="center"/>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8</w:t>
            </w:r>
          </w:p>
        </w:tc>
        <w:tc>
          <w:tcPr>
            <w:tcW w:w="1602" w:type="dxa"/>
            <w:vAlign w:val="center"/>
          </w:tcPr>
          <w:p>
            <w:pPr>
              <w:spacing w:line="440" w:lineRule="exact"/>
              <w:jc w:val="center"/>
              <w:rPr>
                <w:rFonts w:asciiTheme="minorEastAsia" w:hAnsiTheme="minorEastAsia" w:eastAsiaTheme="minorEastAsia" w:cstheme="minorEastAsia"/>
                <w:color w:val="000000" w:themeColor="text1"/>
                <w:sz w:val="24"/>
                <w:szCs w:val="24"/>
                <w14:textFill>
                  <w14:solidFill>
                    <w14:schemeClr w14:val="tx1"/>
                  </w14:solidFill>
                </w14:textFill>
              </w:rPr>
            </w:pPr>
          </w:p>
        </w:tc>
        <w:tc>
          <w:tcPr>
            <w:tcW w:w="2458" w:type="dxa"/>
            <w:vAlign w:val="center"/>
          </w:tcPr>
          <w:p>
            <w:pPr>
              <w:spacing w:line="440" w:lineRule="exact"/>
              <w:jc w:val="center"/>
              <w:rPr>
                <w:rFonts w:asciiTheme="minorEastAsia" w:hAnsiTheme="minorEastAsia" w:eastAsiaTheme="minorEastAsia" w:cstheme="minorEastAsia"/>
                <w:color w:val="000000" w:themeColor="text1"/>
                <w:sz w:val="24"/>
                <w:szCs w:val="24"/>
                <w14:textFill>
                  <w14:solidFill>
                    <w14:schemeClr w14:val="tx1"/>
                  </w14:solidFill>
                </w14:textFill>
              </w:rPr>
            </w:pPr>
          </w:p>
        </w:tc>
        <w:tc>
          <w:tcPr>
            <w:tcW w:w="2885" w:type="dxa"/>
            <w:vAlign w:val="center"/>
          </w:tcPr>
          <w:p>
            <w:pPr>
              <w:spacing w:line="440" w:lineRule="exact"/>
              <w:jc w:val="center"/>
              <w:rPr>
                <w:rFonts w:asciiTheme="minorEastAsia" w:hAnsiTheme="minorEastAsia" w:eastAsiaTheme="minorEastAsia" w:cstheme="minorEastAsia"/>
                <w:color w:val="000000" w:themeColor="text1"/>
                <w:sz w:val="24"/>
                <w:szCs w:val="24"/>
                <w14:textFill>
                  <w14:solidFill>
                    <w14:schemeClr w14:val="tx1"/>
                  </w14:solidFill>
                </w14:textFill>
              </w:rPr>
            </w:pPr>
          </w:p>
        </w:tc>
        <w:tc>
          <w:tcPr>
            <w:tcW w:w="2018" w:type="dxa"/>
            <w:vAlign w:val="center"/>
          </w:tcPr>
          <w:p>
            <w:pPr>
              <w:spacing w:line="440" w:lineRule="exact"/>
              <w:jc w:val="center"/>
              <w:rPr>
                <w:rFonts w:asciiTheme="minorEastAsia" w:hAnsiTheme="minorEastAsia" w:eastAsiaTheme="minorEastAsia" w:cstheme="minorEastAsia"/>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91" w:type="dxa"/>
            <w:vAlign w:val="center"/>
          </w:tcPr>
          <w:p>
            <w:pPr>
              <w:spacing w:line="440" w:lineRule="exact"/>
              <w:jc w:val="center"/>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9</w:t>
            </w:r>
          </w:p>
        </w:tc>
        <w:tc>
          <w:tcPr>
            <w:tcW w:w="1602" w:type="dxa"/>
            <w:vAlign w:val="center"/>
          </w:tcPr>
          <w:p>
            <w:pPr>
              <w:spacing w:line="440" w:lineRule="exact"/>
              <w:jc w:val="center"/>
              <w:rPr>
                <w:rFonts w:asciiTheme="minorEastAsia" w:hAnsiTheme="minorEastAsia" w:eastAsiaTheme="minorEastAsia" w:cstheme="minorEastAsia"/>
                <w:color w:val="000000" w:themeColor="text1"/>
                <w:sz w:val="24"/>
                <w:szCs w:val="24"/>
                <w14:textFill>
                  <w14:solidFill>
                    <w14:schemeClr w14:val="tx1"/>
                  </w14:solidFill>
                </w14:textFill>
              </w:rPr>
            </w:pPr>
          </w:p>
        </w:tc>
        <w:tc>
          <w:tcPr>
            <w:tcW w:w="2458" w:type="dxa"/>
            <w:vAlign w:val="center"/>
          </w:tcPr>
          <w:p>
            <w:pPr>
              <w:spacing w:line="440" w:lineRule="exact"/>
              <w:jc w:val="center"/>
              <w:rPr>
                <w:rFonts w:asciiTheme="minorEastAsia" w:hAnsiTheme="minorEastAsia" w:eastAsiaTheme="minorEastAsia" w:cstheme="minorEastAsia"/>
                <w:color w:val="000000" w:themeColor="text1"/>
                <w:sz w:val="24"/>
                <w:szCs w:val="24"/>
                <w14:textFill>
                  <w14:solidFill>
                    <w14:schemeClr w14:val="tx1"/>
                  </w14:solidFill>
                </w14:textFill>
              </w:rPr>
            </w:pPr>
          </w:p>
        </w:tc>
        <w:tc>
          <w:tcPr>
            <w:tcW w:w="2885" w:type="dxa"/>
            <w:vAlign w:val="center"/>
          </w:tcPr>
          <w:p>
            <w:pPr>
              <w:spacing w:line="440" w:lineRule="exact"/>
              <w:jc w:val="center"/>
              <w:rPr>
                <w:rFonts w:asciiTheme="minorEastAsia" w:hAnsiTheme="minorEastAsia" w:eastAsiaTheme="minorEastAsia" w:cstheme="minorEastAsia"/>
                <w:color w:val="000000" w:themeColor="text1"/>
                <w:sz w:val="24"/>
                <w:szCs w:val="24"/>
                <w14:textFill>
                  <w14:solidFill>
                    <w14:schemeClr w14:val="tx1"/>
                  </w14:solidFill>
                </w14:textFill>
              </w:rPr>
            </w:pPr>
          </w:p>
        </w:tc>
        <w:tc>
          <w:tcPr>
            <w:tcW w:w="2018" w:type="dxa"/>
            <w:vAlign w:val="center"/>
          </w:tcPr>
          <w:p>
            <w:pPr>
              <w:spacing w:line="440" w:lineRule="exact"/>
              <w:jc w:val="center"/>
              <w:rPr>
                <w:rFonts w:asciiTheme="minorEastAsia" w:hAnsiTheme="minorEastAsia" w:eastAsiaTheme="minorEastAsia" w:cstheme="minorEastAsia"/>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91" w:type="dxa"/>
            <w:vAlign w:val="center"/>
          </w:tcPr>
          <w:p>
            <w:pPr>
              <w:spacing w:line="440" w:lineRule="exact"/>
              <w:jc w:val="center"/>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w:t>
            </w:r>
          </w:p>
        </w:tc>
        <w:tc>
          <w:tcPr>
            <w:tcW w:w="1602" w:type="dxa"/>
            <w:vAlign w:val="center"/>
          </w:tcPr>
          <w:p>
            <w:pPr>
              <w:spacing w:line="440" w:lineRule="exact"/>
              <w:jc w:val="center"/>
              <w:rPr>
                <w:rFonts w:asciiTheme="minorEastAsia" w:hAnsiTheme="minorEastAsia" w:eastAsiaTheme="minorEastAsia" w:cstheme="minorEastAsia"/>
                <w:color w:val="000000" w:themeColor="text1"/>
                <w:sz w:val="24"/>
                <w:szCs w:val="24"/>
                <w14:textFill>
                  <w14:solidFill>
                    <w14:schemeClr w14:val="tx1"/>
                  </w14:solidFill>
                </w14:textFill>
              </w:rPr>
            </w:pPr>
          </w:p>
        </w:tc>
        <w:tc>
          <w:tcPr>
            <w:tcW w:w="2458" w:type="dxa"/>
            <w:vAlign w:val="center"/>
          </w:tcPr>
          <w:p>
            <w:pPr>
              <w:spacing w:line="440" w:lineRule="exact"/>
              <w:jc w:val="center"/>
              <w:rPr>
                <w:rFonts w:asciiTheme="minorEastAsia" w:hAnsiTheme="minorEastAsia" w:eastAsiaTheme="minorEastAsia" w:cstheme="minorEastAsia"/>
                <w:color w:val="000000" w:themeColor="text1"/>
                <w:sz w:val="24"/>
                <w:szCs w:val="24"/>
                <w14:textFill>
                  <w14:solidFill>
                    <w14:schemeClr w14:val="tx1"/>
                  </w14:solidFill>
                </w14:textFill>
              </w:rPr>
            </w:pPr>
          </w:p>
        </w:tc>
        <w:tc>
          <w:tcPr>
            <w:tcW w:w="2885" w:type="dxa"/>
            <w:vAlign w:val="center"/>
          </w:tcPr>
          <w:p>
            <w:pPr>
              <w:spacing w:line="440" w:lineRule="exact"/>
              <w:jc w:val="center"/>
              <w:rPr>
                <w:rFonts w:asciiTheme="minorEastAsia" w:hAnsiTheme="minorEastAsia" w:eastAsiaTheme="minorEastAsia" w:cstheme="minorEastAsia"/>
                <w:color w:val="000000" w:themeColor="text1"/>
                <w:sz w:val="24"/>
                <w:szCs w:val="24"/>
                <w14:textFill>
                  <w14:solidFill>
                    <w14:schemeClr w14:val="tx1"/>
                  </w14:solidFill>
                </w14:textFill>
              </w:rPr>
            </w:pPr>
          </w:p>
        </w:tc>
        <w:tc>
          <w:tcPr>
            <w:tcW w:w="2018" w:type="dxa"/>
            <w:vAlign w:val="center"/>
          </w:tcPr>
          <w:p>
            <w:pPr>
              <w:spacing w:line="440" w:lineRule="exact"/>
              <w:jc w:val="center"/>
              <w:rPr>
                <w:rFonts w:asciiTheme="minorEastAsia" w:hAnsiTheme="minorEastAsia" w:eastAsiaTheme="minorEastAsia" w:cstheme="minorEastAsia"/>
                <w:color w:val="000000" w:themeColor="text1"/>
                <w:sz w:val="24"/>
                <w:szCs w:val="24"/>
                <w14:textFill>
                  <w14:solidFill>
                    <w14:schemeClr w14:val="tx1"/>
                  </w14:solidFill>
                </w14:textFill>
              </w:rPr>
            </w:pPr>
          </w:p>
        </w:tc>
      </w:tr>
    </w:tbl>
    <w:p>
      <w:pPr>
        <w:pStyle w:val="63"/>
        <w:widowControl/>
        <w:spacing w:line="360" w:lineRule="auto"/>
        <w:ind w:left="0" w:leftChars="0"/>
        <w:rPr>
          <w:rFonts w:asciiTheme="minorEastAsia" w:hAnsiTheme="minorEastAsia" w:eastAsiaTheme="minorEastAsia" w:cstheme="minorEastAsia"/>
          <w:b/>
          <w:color w:val="000000" w:themeColor="text1"/>
          <w:sz w:val="24"/>
          <w14:textFill>
            <w14:solidFill>
              <w14:schemeClr w14:val="tx1"/>
            </w14:solidFill>
          </w14:textFill>
        </w:rPr>
      </w:pPr>
      <w:r>
        <w:rPr>
          <w:rFonts w:hint="eastAsia" w:asciiTheme="minorEastAsia" w:hAnsiTheme="minorEastAsia" w:eastAsiaTheme="minorEastAsia" w:cstheme="minorEastAsia"/>
          <w:b/>
          <w:color w:val="000000" w:themeColor="text1"/>
          <w:sz w:val="24"/>
          <w14:textFill>
            <w14:solidFill>
              <w14:schemeClr w14:val="tx1"/>
            </w14:solidFill>
          </w14:textFill>
        </w:rPr>
        <w:t xml:space="preserve">投标人名称（盖章）：   </w:t>
      </w:r>
      <w:r>
        <w:rPr>
          <w:rFonts w:hint="eastAsia" w:asciiTheme="minorEastAsia" w:hAnsiTheme="minorEastAsia" w:eastAsiaTheme="minorEastAsia" w:cstheme="minorEastAsia"/>
          <w:color w:val="000000" w:themeColor="text1"/>
          <w:sz w:val="24"/>
          <w:u w:val="single"/>
          <w14:textFill>
            <w14:solidFill>
              <w14:schemeClr w14:val="tx1"/>
            </w14:solidFill>
          </w14:textFill>
        </w:rPr>
        <w:t xml:space="preserve">                   </w:t>
      </w:r>
      <w:r>
        <w:rPr>
          <w:rFonts w:hint="eastAsia" w:asciiTheme="minorEastAsia" w:hAnsiTheme="minorEastAsia" w:eastAsiaTheme="minorEastAsia" w:cstheme="minorEastAsia"/>
          <w:b/>
          <w:color w:val="000000" w:themeColor="text1"/>
          <w:sz w:val="24"/>
          <w14:textFill>
            <w14:solidFill>
              <w14:schemeClr w14:val="tx1"/>
            </w14:solidFill>
          </w14:textFill>
        </w:rPr>
        <w:t xml:space="preserve">                    </w:t>
      </w:r>
    </w:p>
    <w:p>
      <w:pPr>
        <w:pStyle w:val="99"/>
        <w:spacing w:line="360" w:lineRule="auto"/>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b/>
          <w:color w:val="000000" w:themeColor="text1"/>
          <w:sz w:val="24"/>
          <w14:textFill>
            <w14:solidFill>
              <w14:schemeClr w14:val="tx1"/>
            </w14:solidFill>
          </w14:textFill>
        </w:rPr>
        <w:t xml:space="preserve">法定代表人或被授权代理人（签字或盖章）： </w:t>
      </w:r>
      <w:r>
        <w:rPr>
          <w:rFonts w:hint="eastAsia" w:asciiTheme="minorEastAsia" w:hAnsiTheme="minorEastAsia" w:eastAsiaTheme="minorEastAsia" w:cstheme="minorEastAsia"/>
          <w:color w:val="000000" w:themeColor="text1"/>
          <w:sz w:val="24"/>
          <w:u w:val="single"/>
          <w14:textFill>
            <w14:solidFill>
              <w14:schemeClr w14:val="tx1"/>
            </w14:solidFill>
          </w14:textFill>
        </w:rPr>
        <w:t xml:space="preserve">                   </w:t>
      </w:r>
    </w:p>
    <w:p>
      <w:pPr>
        <w:pStyle w:val="98"/>
        <w:ind w:left="1747" w:firstLine="470"/>
        <w:rPr>
          <w:rFonts w:asciiTheme="minorEastAsia" w:hAnsiTheme="minorEastAsia" w:eastAsiaTheme="minorEastAsia" w:cstheme="minorEastAsia"/>
          <w:color w:val="000000" w:themeColor="text1"/>
          <w14:textFill>
            <w14:solidFill>
              <w14:schemeClr w14:val="tx1"/>
            </w14:solidFill>
          </w14:textFill>
        </w:rPr>
      </w:pPr>
    </w:p>
    <w:p>
      <w:pPr>
        <w:pStyle w:val="98"/>
        <w:ind w:left="1747" w:firstLine="470"/>
        <w:jc w:val="right"/>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年   月   日</w:t>
      </w:r>
    </w:p>
    <w:p>
      <w:pPr>
        <w:rPr>
          <w:rFonts w:asciiTheme="minorEastAsia" w:hAnsiTheme="minorEastAsia" w:eastAsiaTheme="minorEastAsia" w:cstheme="minorEastAsia"/>
          <w:color w:val="000000" w:themeColor="text1"/>
          <w14:textFill>
            <w14:solidFill>
              <w14:schemeClr w14:val="tx1"/>
            </w14:solidFill>
          </w14:textFill>
        </w:rPr>
      </w:pPr>
    </w:p>
    <w:p>
      <w:pPr>
        <w:rPr>
          <w:rFonts w:asciiTheme="minorEastAsia" w:hAnsiTheme="minorEastAsia" w:eastAsiaTheme="minorEastAsia" w:cstheme="minorEastAsia"/>
          <w:color w:val="000000" w:themeColor="text1"/>
          <w14:textFill>
            <w14:solidFill>
              <w14:schemeClr w14:val="tx1"/>
            </w14:solidFill>
          </w14:textFill>
        </w:rPr>
      </w:pPr>
    </w:p>
    <w:p>
      <w:pPr>
        <w:rPr>
          <w:rFonts w:asciiTheme="minorEastAsia" w:hAnsiTheme="minorEastAsia" w:eastAsiaTheme="minorEastAsia" w:cstheme="minorEastAsia"/>
          <w:color w:val="000000" w:themeColor="text1"/>
          <w14:textFill>
            <w14:solidFill>
              <w14:schemeClr w14:val="tx1"/>
            </w14:solidFill>
          </w14:textFill>
        </w:rPr>
      </w:pPr>
    </w:p>
    <w:p>
      <w:pPr>
        <w:rPr>
          <w:rFonts w:asciiTheme="minorEastAsia" w:hAnsiTheme="minorEastAsia" w:eastAsiaTheme="minorEastAsia" w:cstheme="minorEastAsia"/>
          <w:color w:val="000000" w:themeColor="text1"/>
          <w14:textFill>
            <w14:solidFill>
              <w14:schemeClr w14:val="tx1"/>
            </w14:solidFill>
          </w14:textFill>
        </w:rPr>
      </w:pPr>
    </w:p>
    <w:p>
      <w:pPr>
        <w:rPr>
          <w:rFonts w:asciiTheme="minorEastAsia" w:hAnsiTheme="minorEastAsia" w:eastAsiaTheme="minorEastAsia" w:cstheme="minorEastAsia"/>
          <w:color w:val="000000" w:themeColor="text1"/>
          <w14:textFill>
            <w14:solidFill>
              <w14:schemeClr w14:val="tx1"/>
            </w14:solidFill>
          </w14:textFill>
        </w:rPr>
      </w:pPr>
    </w:p>
    <w:p>
      <w:pPr>
        <w:rPr>
          <w:rFonts w:asciiTheme="minorEastAsia" w:hAnsiTheme="minorEastAsia" w:eastAsiaTheme="minorEastAsia" w:cstheme="minorEastAsia"/>
          <w:color w:val="000000" w:themeColor="text1"/>
          <w14:textFill>
            <w14:solidFill>
              <w14:schemeClr w14:val="tx1"/>
            </w14:solidFill>
          </w14:textFill>
        </w:rPr>
      </w:pPr>
    </w:p>
    <w:p>
      <w:pPr>
        <w:rPr>
          <w:rFonts w:asciiTheme="minorEastAsia" w:hAnsiTheme="minorEastAsia" w:eastAsiaTheme="minorEastAsia" w:cstheme="minorEastAsia"/>
          <w:color w:val="000000" w:themeColor="text1"/>
          <w14:textFill>
            <w14:solidFill>
              <w14:schemeClr w14:val="tx1"/>
            </w14:solidFill>
          </w14:textFill>
        </w:rPr>
      </w:pPr>
    </w:p>
    <w:p>
      <w:pPr>
        <w:rPr>
          <w:rFonts w:asciiTheme="minorEastAsia" w:hAnsiTheme="minorEastAsia" w:eastAsiaTheme="minorEastAsia" w:cstheme="minorEastAsia"/>
          <w:color w:val="000000" w:themeColor="text1"/>
          <w14:textFill>
            <w14:solidFill>
              <w14:schemeClr w14:val="tx1"/>
            </w14:solidFill>
          </w14:textFill>
        </w:rPr>
      </w:pPr>
    </w:p>
    <w:p>
      <w:pPr>
        <w:rPr>
          <w:rFonts w:asciiTheme="minorEastAsia" w:hAnsiTheme="minorEastAsia" w:eastAsiaTheme="minorEastAsia" w:cstheme="minorEastAsia"/>
          <w:color w:val="000000" w:themeColor="text1"/>
          <w14:textFill>
            <w14:solidFill>
              <w14:schemeClr w14:val="tx1"/>
            </w14:solidFill>
          </w14:textFill>
        </w:rPr>
      </w:pPr>
    </w:p>
    <w:p>
      <w:pPr>
        <w:rPr>
          <w:rFonts w:asciiTheme="minorEastAsia" w:hAnsiTheme="minorEastAsia" w:eastAsiaTheme="minorEastAsia" w:cstheme="minorEastAsia"/>
          <w:color w:val="000000" w:themeColor="text1"/>
          <w14:textFill>
            <w14:solidFill>
              <w14:schemeClr w14:val="tx1"/>
            </w14:solidFill>
          </w14:textFill>
        </w:rPr>
      </w:pPr>
    </w:p>
    <w:p>
      <w:pPr>
        <w:rPr>
          <w:rFonts w:asciiTheme="minorEastAsia" w:hAnsiTheme="minorEastAsia" w:eastAsiaTheme="minorEastAsia" w:cstheme="minorEastAsia"/>
          <w:color w:val="000000" w:themeColor="text1"/>
          <w14:textFill>
            <w14:solidFill>
              <w14:schemeClr w14:val="tx1"/>
            </w14:solidFill>
          </w14:textFill>
        </w:rPr>
      </w:pPr>
    </w:p>
    <w:p>
      <w:pPr>
        <w:rPr>
          <w:rFonts w:asciiTheme="minorEastAsia" w:hAnsiTheme="minorEastAsia" w:eastAsiaTheme="minorEastAsia" w:cstheme="minorEastAsia"/>
          <w:color w:val="000000" w:themeColor="text1"/>
          <w14:textFill>
            <w14:solidFill>
              <w14:schemeClr w14:val="tx1"/>
            </w14:solidFill>
          </w14:textFill>
        </w:rPr>
      </w:pPr>
    </w:p>
    <w:p>
      <w:pPr>
        <w:rPr>
          <w:rFonts w:asciiTheme="minorEastAsia" w:hAnsiTheme="minorEastAsia" w:eastAsiaTheme="minorEastAsia" w:cstheme="minorEastAsia"/>
          <w:color w:val="000000" w:themeColor="text1"/>
          <w14:textFill>
            <w14:solidFill>
              <w14:schemeClr w14:val="tx1"/>
            </w14:solidFill>
          </w14:textFill>
        </w:rPr>
      </w:pPr>
    </w:p>
    <w:p>
      <w:pPr>
        <w:rPr>
          <w:rFonts w:asciiTheme="minorEastAsia" w:hAnsiTheme="minorEastAsia" w:eastAsiaTheme="minorEastAsia" w:cstheme="minorEastAsia"/>
          <w:color w:val="000000" w:themeColor="text1"/>
          <w14:textFill>
            <w14:solidFill>
              <w14:schemeClr w14:val="tx1"/>
            </w14:solidFill>
          </w14:textFill>
        </w:rPr>
      </w:pPr>
    </w:p>
    <w:p>
      <w:pPr>
        <w:rPr>
          <w:rFonts w:asciiTheme="minorEastAsia" w:hAnsiTheme="minorEastAsia" w:eastAsiaTheme="minorEastAsia" w:cstheme="minorEastAsia"/>
          <w:color w:val="000000" w:themeColor="text1"/>
          <w14:textFill>
            <w14:solidFill>
              <w14:schemeClr w14:val="tx1"/>
            </w14:solidFill>
          </w14:textFill>
        </w:rPr>
      </w:pPr>
    </w:p>
    <w:p>
      <w:pPr>
        <w:rPr>
          <w:rFonts w:asciiTheme="minorEastAsia" w:hAnsiTheme="minorEastAsia" w:eastAsiaTheme="minorEastAsia" w:cstheme="minorEastAsia"/>
          <w:color w:val="000000" w:themeColor="text1"/>
          <w14:textFill>
            <w14:solidFill>
              <w14:schemeClr w14:val="tx1"/>
            </w14:solidFill>
          </w14:textFill>
        </w:rPr>
      </w:pPr>
    </w:p>
    <w:p>
      <w:pPr>
        <w:rPr>
          <w:rFonts w:asciiTheme="minorEastAsia" w:hAnsiTheme="minorEastAsia" w:eastAsiaTheme="minorEastAsia" w:cstheme="minorEastAsia"/>
          <w:color w:val="000000" w:themeColor="text1"/>
          <w14:textFill>
            <w14:solidFill>
              <w14:schemeClr w14:val="tx1"/>
            </w14:solidFill>
          </w14:textFill>
        </w:rPr>
      </w:pPr>
    </w:p>
    <w:p>
      <w:pPr>
        <w:rPr>
          <w:rFonts w:asciiTheme="minorEastAsia" w:hAnsiTheme="minorEastAsia" w:eastAsiaTheme="minorEastAsia" w:cstheme="minorEastAsia"/>
          <w:color w:val="000000" w:themeColor="text1"/>
          <w14:textFill>
            <w14:solidFill>
              <w14:schemeClr w14:val="tx1"/>
            </w14:solidFill>
          </w14:textFill>
        </w:rPr>
      </w:pPr>
    </w:p>
    <w:p>
      <w:pPr>
        <w:rPr>
          <w:rFonts w:asciiTheme="minorEastAsia" w:hAnsiTheme="minorEastAsia" w:eastAsiaTheme="minorEastAsia" w:cstheme="minorEastAsia"/>
          <w:color w:val="000000" w:themeColor="text1"/>
          <w14:textFill>
            <w14:solidFill>
              <w14:schemeClr w14:val="tx1"/>
            </w14:solidFill>
          </w14:textFill>
        </w:rPr>
      </w:pPr>
    </w:p>
    <w:p>
      <w:pPr>
        <w:pStyle w:val="131"/>
        <w:outlineLvl w:val="2"/>
        <w:rPr>
          <w:rFonts w:asciiTheme="minorEastAsia" w:hAnsiTheme="minorEastAsia" w:eastAsiaTheme="minorEastAsia" w:cstheme="minorEastAsia"/>
          <w:b w:val="0"/>
          <w:color w:val="000000" w:themeColor="text1"/>
          <w:kern w:val="2"/>
          <w:sz w:val="24"/>
          <w14:textFill>
            <w14:solidFill>
              <w14:schemeClr w14:val="tx1"/>
            </w14:solidFill>
          </w14:textFill>
        </w:rPr>
      </w:pPr>
      <w:r>
        <w:rPr>
          <w:rFonts w:hint="eastAsia" w:asciiTheme="minorEastAsia" w:hAnsiTheme="minorEastAsia" w:eastAsiaTheme="minorEastAsia" w:cstheme="minorEastAsia"/>
          <w:b w:val="0"/>
          <w:color w:val="000000" w:themeColor="text1"/>
          <w:kern w:val="2"/>
          <w:sz w:val="24"/>
          <w14:textFill>
            <w14:solidFill>
              <w14:schemeClr w14:val="tx1"/>
            </w14:solidFill>
          </w14:textFill>
        </w:rPr>
        <w:br w:type="page"/>
      </w:r>
      <w:bookmarkStart w:id="183" w:name="_Toc30830"/>
      <w:r>
        <w:rPr>
          <w:rFonts w:hint="eastAsia" w:asciiTheme="minorEastAsia" w:hAnsiTheme="minorEastAsia" w:eastAsiaTheme="minorEastAsia" w:cstheme="minorEastAsia"/>
          <w:b w:val="0"/>
          <w:color w:val="000000" w:themeColor="text1"/>
          <w:kern w:val="2"/>
          <w:sz w:val="24"/>
          <w14:textFill>
            <w14:solidFill>
              <w14:schemeClr w14:val="tx1"/>
            </w14:solidFill>
          </w14:textFill>
        </w:rPr>
        <w:t>2.7投标人认为有必要提供的声明及文件资料</w:t>
      </w:r>
      <w:bookmarkEnd w:id="183"/>
    </w:p>
    <w:p>
      <w:pPr>
        <w:pStyle w:val="94"/>
        <w:rPr>
          <w:rFonts w:asciiTheme="minorEastAsia" w:hAnsiTheme="minorEastAsia" w:eastAsiaTheme="minorEastAsia" w:cstheme="minorEastAsia"/>
          <w:b/>
          <w:color w:val="000000" w:themeColor="text1"/>
          <w:sz w:val="24"/>
          <w14:textFill>
            <w14:solidFill>
              <w14:schemeClr w14:val="tx1"/>
            </w14:solidFill>
          </w14:textFill>
        </w:rPr>
      </w:pPr>
      <w:r>
        <w:rPr>
          <w:rFonts w:hint="eastAsia" w:asciiTheme="minorEastAsia" w:hAnsiTheme="minorEastAsia" w:eastAsiaTheme="minorEastAsia" w:cstheme="minorEastAsia"/>
          <w:b/>
          <w:color w:val="000000" w:themeColor="text1"/>
          <w:sz w:val="24"/>
          <w14:textFill>
            <w14:solidFill>
              <w14:schemeClr w14:val="tx1"/>
            </w14:solidFill>
          </w14:textFill>
        </w:rPr>
        <w:t>附：</w:t>
      </w:r>
    </w:p>
    <w:p>
      <w:pPr>
        <w:pStyle w:val="94"/>
        <w:rPr>
          <w:rFonts w:asciiTheme="minorEastAsia" w:hAnsiTheme="minorEastAsia" w:eastAsiaTheme="minorEastAsia" w:cstheme="minorEastAsia"/>
          <w:b/>
          <w:color w:val="000000" w:themeColor="text1"/>
          <w:sz w:val="24"/>
          <w14:textFill>
            <w14:solidFill>
              <w14:schemeClr w14:val="tx1"/>
            </w14:solidFill>
          </w14:textFill>
        </w:rPr>
      </w:pPr>
      <w:r>
        <w:rPr>
          <w:rFonts w:hint="eastAsia" w:asciiTheme="minorEastAsia" w:hAnsiTheme="minorEastAsia" w:eastAsiaTheme="minorEastAsia" w:cstheme="minorEastAsia"/>
          <w:b/>
          <w:color w:val="000000" w:themeColor="text1"/>
          <w:sz w:val="24"/>
          <w14:textFill>
            <w14:solidFill>
              <w14:schemeClr w14:val="tx1"/>
            </w14:solidFill>
          </w14:textFill>
        </w:rPr>
        <w:t>1）进口原装产品明细表</w:t>
      </w:r>
    </w:p>
    <w:p>
      <w:pPr>
        <w:pStyle w:val="93"/>
        <w:spacing w:line="360" w:lineRule="auto"/>
        <w:ind w:left="0" w:leftChars="0" w:firstLine="0" w:firstLineChars="0"/>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项目编号：</w:t>
      </w:r>
      <w:r>
        <w:rPr>
          <w:rFonts w:hint="eastAsia" w:asciiTheme="minorEastAsia" w:hAnsiTheme="minorEastAsia" w:eastAsiaTheme="minorEastAsia" w:cstheme="minorEastAsia"/>
          <w:color w:val="000000" w:themeColor="text1"/>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14:textFill>
            <w14:solidFill>
              <w14:schemeClr w14:val="tx1"/>
            </w14:solidFill>
          </w14:textFill>
        </w:rPr>
        <w:t xml:space="preserve">                    价格单位：元</w:t>
      </w:r>
    </w:p>
    <w:tbl>
      <w:tblPr>
        <w:tblStyle w:val="38"/>
        <w:tblW w:w="92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
        <w:gridCol w:w="1719"/>
        <w:gridCol w:w="1719"/>
        <w:gridCol w:w="2110"/>
        <w:gridCol w:w="1331"/>
        <w:gridCol w:w="15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872" w:type="dxa"/>
            <w:tcBorders>
              <w:top w:val="single" w:color="auto" w:sz="12" w:space="0"/>
              <w:left w:val="single" w:color="auto" w:sz="12" w:space="0"/>
            </w:tcBorders>
          </w:tcPr>
          <w:p>
            <w:pPr>
              <w:pStyle w:val="94"/>
              <w:spacing w:line="360" w:lineRule="auto"/>
              <w:jc w:val="center"/>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序号</w:t>
            </w:r>
          </w:p>
        </w:tc>
        <w:tc>
          <w:tcPr>
            <w:tcW w:w="1719" w:type="dxa"/>
            <w:tcBorders>
              <w:top w:val="single" w:color="auto" w:sz="12" w:space="0"/>
            </w:tcBorders>
          </w:tcPr>
          <w:p>
            <w:pPr>
              <w:pStyle w:val="94"/>
              <w:tabs>
                <w:tab w:val="center" w:pos="4777"/>
              </w:tabs>
              <w:spacing w:line="360" w:lineRule="auto"/>
              <w:ind w:right="-8440" w:rightChars="-4019" w:firstLine="240" w:firstLineChars="100"/>
              <w:jc w:val="left"/>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产品名称</w:t>
            </w:r>
            <w:r>
              <w:rPr>
                <w:rFonts w:hint="eastAsia" w:asciiTheme="minorEastAsia" w:hAnsiTheme="minorEastAsia" w:eastAsiaTheme="minorEastAsia" w:cstheme="minorEastAsia"/>
                <w:color w:val="000000" w:themeColor="text1"/>
                <w:sz w:val="24"/>
                <w14:textFill>
                  <w14:solidFill>
                    <w14:schemeClr w14:val="tx1"/>
                  </w14:solidFill>
                </w14:textFill>
              </w:rPr>
              <w:tab/>
            </w:r>
            <w:r>
              <w:rPr>
                <w:rFonts w:hint="eastAsia" w:asciiTheme="minorEastAsia" w:hAnsiTheme="minorEastAsia" w:eastAsiaTheme="minorEastAsia" w:cstheme="minorEastAsia"/>
                <w:color w:val="000000" w:themeColor="text1"/>
                <w:sz w:val="24"/>
                <w14:textFill>
                  <w14:solidFill>
                    <w14:schemeClr w14:val="tx1"/>
                  </w14:solidFill>
                </w14:textFill>
              </w:rPr>
              <w:t xml:space="preserve">  产品名称</w:t>
            </w:r>
            <w:r>
              <w:rPr>
                <w:rFonts w:hint="eastAsia" w:asciiTheme="minorEastAsia" w:hAnsiTheme="minorEastAsia" w:eastAsiaTheme="minorEastAsia" w:cstheme="minorEastAsia"/>
                <w:color w:val="000000" w:themeColor="text1"/>
                <w:sz w:val="24"/>
                <w14:textFill>
                  <w14:solidFill>
                    <w14:schemeClr w14:val="tx1"/>
                  </w14:solidFill>
                </w14:textFill>
              </w:rPr>
              <w:tab/>
            </w:r>
            <w:r>
              <w:rPr>
                <w:rFonts w:hint="eastAsia" w:asciiTheme="minorEastAsia" w:hAnsiTheme="minorEastAsia" w:eastAsiaTheme="minorEastAsia" w:cstheme="minorEastAsia"/>
                <w:color w:val="000000" w:themeColor="text1"/>
                <w:sz w:val="24"/>
                <w14:textFill>
                  <w14:solidFill>
                    <w14:schemeClr w14:val="tx1"/>
                  </w14:solidFill>
                </w14:textFill>
              </w:rPr>
              <w:t>产品名称</w:t>
            </w:r>
          </w:p>
        </w:tc>
        <w:tc>
          <w:tcPr>
            <w:tcW w:w="1719" w:type="dxa"/>
            <w:tcBorders>
              <w:top w:val="single" w:color="auto" w:sz="12" w:space="0"/>
            </w:tcBorders>
          </w:tcPr>
          <w:p>
            <w:pPr>
              <w:pStyle w:val="94"/>
              <w:spacing w:line="360" w:lineRule="auto"/>
              <w:jc w:val="center"/>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品牌型号</w:t>
            </w:r>
          </w:p>
        </w:tc>
        <w:tc>
          <w:tcPr>
            <w:tcW w:w="2110" w:type="dxa"/>
            <w:tcBorders>
              <w:top w:val="single" w:color="auto" w:sz="12" w:space="0"/>
            </w:tcBorders>
          </w:tcPr>
          <w:p>
            <w:pPr>
              <w:pStyle w:val="94"/>
              <w:spacing w:line="360" w:lineRule="auto"/>
              <w:jc w:val="center"/>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制造商</w:t>
            </w:r>
          </w:p>
        </w:tc>
        <w:tc>
          <w:tcPr>
            <w:tcW w:w="1331" w:type="dxa"/>
            <w:tcBorders>
              <w:top w:val="single" w:color="auto" w:sz="12" w:space="0"/>
            </w:tcBorders>
          </w:tcPr>
          <w:p>
            <w:pPr>
              <w:pStyle w:val="94"/>
              <w:spacing w:line="360" w:lineRule="auto"/>
              <w:jc w:val="center"/>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产地</w:t>
            </w:r>
          </w:p>
        </w:tc>
        <w:tc>
          <w:tcPr>
            <w:tcW w:w="1525" w:type="dxa"/>
            <w:tcBorders>
              <w:top w:val="single" w:color="auto" w:sz="12" w:space="0"/>
              <w:right w:val="single" w:color="auto" w:sz="12" w:space="0"/>
            </w:tcBorders>
          </w:tcPr>
          <w:p>
            <w:pPr>
              <w:pStyle w:val="94"/>
              <w:spacing w:line="360" w:lineRule="auto"/>
              <w:jc w:val="center"/>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872" w:type="dxa"/>
            <w:tcBorders>
              <w:left w:val="single" w:color="auto" w:sz="12" w:space="0"/>
            </w:tcBorders>
          </w:tcPr>
          <w:p>
            <w:pPr>
              <w:pStyle w:val="94"/>
              <w:spacing w:line="360" w:lineRule="auto"/>
              <w:ind w:right="480" w:firstLine="240" w:firstLineChars="100"/>
              <w:rPr>
                <w:rFonts w:asciiTheme="minorEastAsia" w:hAnsiTheme="minorEastAsia" w:eastAsiaTheme="minorEastAsia" w:cstheme="minorEastAsia"/>
                <w:color w:val="000000" w:themeColor="text1"/>
                <w:sz w:val="24"/>
                <w14:textFill>
                  <w14:solidFill>
                    <w14:schemeClr w14:val="tx1"/>
                  </w14:solidFill>
                </w14:textFill>
              </w:rPr>
            </w:pPr>
          </w:p>
          <w:p>
            <w:pPr>
              <w:pStyle w:val="94"/>
              <w:spacing w:line="360" w:lineRule="auto"/>
              <w:ind w:right="480" w:firstLine="240" w:firstLineChars="1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1</w:t>
            </w:r>
          </w:p>
        </w:tc>
        <w:tc>
          <w:tcPr>
            <w:tcW w:w="1719" w:type="dxa"/>
          </w:tcPr>
          <w:p>
            <w:pPr>
              <w:pStyle w:val="94"/>
              <w:spacing w:line="360" w:lineRule="auto"/>
              <w:ind w:right="480"/>
              <w:rPr>
                <w:rFonts w:asciiTheme="minorEastAsia" w:hAnsiTheme="minorEastAsia" w:eastAsiaTheme="minorEastAsia" w:cstheme="minorEastAsia"/>
                <w:color w:val="000000" w:themeColor="text1"/>
                <w:sz w:val="24"/>
                <w14:textFill>
                  <w14:solidFill>
                    <w14:schemeClr w14:val="tx1"/>
                  </w14:solidFill>
                </w14:textFill>
              </w:rPr>
            </w:pPr>
          </w:p>
        </w:tc>
        <w:tc>
          <w:tcPr>
            <w:tcW w:w="1719" w:type="dxa"/>
          </w:tcPr>
          <w:p>
            <w:pPr>
              <w:pStyle w:val="94"/>
              <w:spacing w:line="360" w:lineRule="auto"/>
              <w:ind w:right="480"/>
              <w:rPr>
                <w:rFonts w:asciiTheme="minorEastAsia" w:hAnsiTheme="minorEastAsia" w:eastAsiaTheme="minorEastAsia" w:cstheme="minorEastAsia"/>
                <w:color w:val="000000" w:themeColor="text1"/>
                <w:sz w:val="24"/>
                <w14:textFill>
                  <w14:solidFill>
                    <w14:schemeClr w14:val="tx1"/>
                  </w14:solidFill>
                </w14:textFill>
              </w:rPr>
            </w:pPr>
          </w:p>
        </w:tc>
        <w:tc>
          <w:tcPr>
            <w:tcW w:w="2110" w:type="dxa"/>
          </w:tcPr>
          <w:p>
            <w:pPr>
              <w:pStyle w:val="94"/>
              <w:spacing w:line="360" w:lineRule="auto"/>
              <w:ind w:right="480"/>
              <w:rPr>
                <w:rFonts w:asciiTheme="minorEastAsia" w:hAnsiTheme="minorEastAsia" w:eastAsiaTheme="minorEastAsia" w:cstheme="minorEastAsia"/>
                <w:color w:val="000000" w:themeColor="text1"/>
                <w:sz w:val="24"/>
                <w14:textFill>
                  <w14:solidFill>
                    <w14:schemeClr w14:val="tx1"/>
                  </w14:solidFill>
                </w14:textFill>
              </w:rPr>
            </w:pPr>
          </w:p>
        </w:tc>
        <w:tc>
          <w:tcPr>
            <w:tcW w:w="1331" w:type="dxa"/>
          </w:tcPr>
          <w:p>
            <w:pPr>
              <w:pStyle w:val="94"/>
              <w:spacing w:line="360" w:lineRule="auto"/>
              <w:ind w:right="480"/>
              <w:rPr>
                <w:rFonts w:asciiTheme="minorEastAsia" w:hAnsiTheme="minorEastAsia" w:eastAsiaTheme="minorEastAsia" w:cstheme="minorEastAsia"/>
                <w:color w:val="000000" w:themeColor="text1"/>
                <w:sz w:val="24"/>
                <w14:textFill>
                  <w14:solidFill>
                    <w14:schemeClr w14:val="tx1"/>
                  </w14:solidFill>
                </w14:textFill>
              </w:rPr>
            </w:pPr>
          </w:p>
        </w:tc>
        <w:tc>
          <w:tcPr>
            <w:tcW w:w="1525" w:type="dxa"/>
            <w:tcBorders>
              <w:right w:val="single" w:color="auto" w:sz="12" w:space="0"/>
            </w:tcBorders>
          </w:tcPr>
          <w:p>
            <w:pPr>
              <w:pStyle w:val="94"/>
              <w:spacing w:line="360" w:lineRule="auto"/>
              <w:ind w:right="480"/>
              <w:rPr>
                <w:rFonts w:asciiTheme="minorEastAsia" w:hAnsiTheme="minorEastAsia" w:eastAsiaTheme="minorEastAsia" w:cstheme="minorEastAsia"/>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872" w:type="dxa"/>
            <w:tcBorders>
              <w:left w:val="single" w:color="auto" w:sz="12" w:space="0"/>
            </w:tcBorders>
          </w:tcPr>
          <w:p>
            <w:pPr>
              <w:pStyle w:val="94"/>
              <w:spacing w:line="360" w:lineRule="auto"/>
              <w:ind w:right="480" w:firstLine="240" w:firstLineChars="100"/>
              <w:rPr>
                <w:rFonts w:asciiTheme="minorEastAsia" w:hAnsiTheme="minorEastAsia" w:eastAsiaTheme="minorEastAsia" w:cstheme="minorEastAsia"/>
                <w:color w:val="000000" w:themeColor="text1"/>
                <w:sz w:val="24"/>
                <w14:textFill>
                  <w14:solidFill>
                    <w14:schemeClr w14:val="tx1"/>
                  </w14:solidFill>
                </w14:textFill>
              </w:rPr>
            </w:pPr>
          </w:p>
          <w:p>
            <w:pPr>
              <w:pStyle w:val="94"/>
              <w:spacing w:line="360" w:lineRule="auto"/>
              <w:ind w:right="480" w:firstLine="240" w:firstLineChars="1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2</w:t>
            </w:r>
          </w:p>
        </w:tc>
        <w:tc>
          <w:tcPr>
            <w:tcW w:w="1719" w:type="dxa"/>
          </w:tcPr>
          <w:p>
            <w:pPr>
              <w:pStyle w:val="94"/>
              <w:spacing w:line="360" w:lineRule="auto"/>
              <w:ind w:right="480"/>
              <w:rPr>
                <w:rFonts w:asciiTheme="minorEastAsia" w:hAnsiTheme="minorEastAsia" w:eastAsiaTheme="minorEastAsia" w:cstheme="minorEastAsia"/>
                <w:color w:val="000000" w:themeColor="text1"/>
                <w:sz w:val="24"/>
                <w14:textFill>
                  <w14:solidFill>
                    <w14:schemeClr w14:val="tx1"/>
                  </w14:solidFill>
                </w14:textFill>
              </w:rPr>
            </w:pPr>
          </w:p>
        </w:tc>
        <w:tc>
          <w:tcPr>
            <w:tcW w:w="1719" w:type="dxa"/>
          </w:tcPr>
          <w:p>
            <w:pPr>
              <w:pStyle w:val="94"/>
              <w:spacing w:line="360" w:lineRule="auto"/>
              <w:ind w:right="480"/>
              <w:rPr>
                <w:rFonts w:asciiTheme="minorEastAsia" w:hAnsiTheme="minorEastAsia" w:eastAsiaTheme="minorEastAsia" w:cstheme="minorEastAsia"/>
                <w:color w:val="000000" w:themeColor="text1"/>
                <w:sz w:val="24"/>
                <w14:textFill>
                  <w14:solidFill>
                    <w14:schemeClr w14:val="tx1"/>
                  </w14:solidFill>
                </w14:textFill>
              </w:rPr>
            </w:pPr>
          </w:p>
        </w:tc>
        <w:tc>
          <w:tcPr>
            <w:tcW w:w="2110" w:type="dxa"/>
          </w:tcPr>
          <w:p>
            <w:pPr>
              <w:pStyle w:val="94"/>
              <w:spacing w:line="360" w:lineRule="auto"/>
              <w:ind w:right="480"/>
              <w:rPr>
                <w:rFonts w:asciiTheme="minorEastAsia" w:hAnsiTheme="minorEastAsia" w:eastAsiaTheme="minorEastAsia" w:cstheme="minorEastAsia"/>
                <w:color w:val="000000" w:themeColor="text1"/>
                <w:sz w:val="24"/>
                <w14:textFill>
                  <w14:solidFill>
                    <w14:schemeClr w14:val="tx1"/>
                  </w14:solidFill>
                </w14:textFill>
              </w:rPr>
            </w:pPr>
          </w:p>
        </w:tc>
        <w:tc>
          <w:tcPr>
            <w:tcW w:w="1331" w:type="dxa"/>
          </w:tcPr>
          <w:p>
            <w:pPr>
              <w:pStyle w:val="94"/>
              <w:spacing w:line="360" w:lineRule="auto"/>
              <w:ind w:right="480"/>
              <w:rPr>
                <w:rFonts w:asciiTheme="minorEastAsia" w:hAnsiTheme="minorEastAsia" w:eastAsiaTheme="minorEastAsia" w:cstheme="minorEastAsia"/>
                <w:color w:val="000000" w:themeColor="text1"/>
                <w:sz w:val="24"/>
                <w14:textFill>
                  <w14:solidFill>
                    <w14:schemeClr w14:val="tx1"/>
                  </w14:solidFill>
                </w14:textFill>
              </w:rPr>
            </w:pPr>
          </w:p>
        </w:tc>
        <w:tc>
          <w:tcPr>
            <w:tcW w:w="1525" w:type="dxa"/>
            <w:tcBorders>
              <w:right w:val="single" w:color="auto" w:sz="12" w:space="0"/>
            </w:tcBorders>
          </w:tcPr>
          <w:p>
            <w:pPr>
              <w:pStyle w:val="94"/>
              <w:spacing w:line="360" w:lineRule="auto"/>
              <w:ind w:right="480"/>
              <w:rPr>
                <w:rFonts w:asciiTheme="minorEastAsia" w:hAnsiTheme="minorEastAsia" w:eastAsiaTheme="minorEastAsia" w:cstheme="minorEastAsia"/>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872" w:type="dxa"/>
            <w:tcBorders>
              <w:left w:val="single" w:color="auto" w:sz="12" w:space="0"/>
            </w:tcBorders>
          </w:tcPr>
          <w:p>
            <w:pPr>
              <w:pStyle w:val="94"/>
              <w:spacing w:line="360" w:lineRule="auto"/>
              <w:ind w:right="480" w:firstLine="240" w:firstLineChars="100"/>
              <w:rPr>
                <w:rFonts w:asciiTheme="minorEastAsia" w:hAnsiTheme="minorEastAsia" w:eastAsiaTheme="minorEastAsia" w:cstheme="minorEastAsia"/>
                <w:color w:val="000000" w:themeColor="text1"/>
                <w:sz w:val="24"/>
                <w14:textFill>
                  <w14:solidFill>
                    <w14:schemeClr w14:val="tx1"/>
                  </w14:solidFill>
                </w14:textFill>
              </w:rPr>
            </w:pPr>
          </w:p>
          <w:p>
            <w:pPr>
              <w:pStyle w:val="94"/>
              <w:spacing w:line="360" w:lineRule="auto"/>
              <w:ind w:right="480" w:firstLine="240" w:firstLineChars="1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3</w:t>
            </w:r>
          </w:p>
        </w:tc>
        <w:tc>
          <w:tcPr>
            <w:tcW w:w="1719" w:type="dxa"/>
          </w:tcPr>
          <w:p>
            <w:pPr>
              <w:pStyle w:val="94"/>
              <w:spacing w:line="360" w:lineRule="auto"/>
              <w:ind w:right="480"/>
              <w:rPr>
                <w:rFonts w:asciiTheme="minorEastAsia" w:hAnsiTheme="minorEastAsia" w:eastAsiaTheme="minorEastAsia" w:cstheme="minorEastAsia"/>
                <w:color w:val="000000" w:themeColor="text1"/>
                <w:sz w:val="24"/>
                <w14:textFill>
                  <w14:solidFill>
                    <w14:schemeClr w14:val="tx1"/>
                  </w14:solidFill>
                </w14:textFill>
              </w:rPr>
            </w:pPr>
          </w:p>
          <w:p>
            <w:pPr>
              <w:pStyle w:val="94"/>
              <w:spacing w:line="360" w:lineRule="auto"/>
              <w:ind w:right="48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 xml:space="preserve">    …</w:t>
            </w:r>
          </w:p>
        </w:tc>
        <w:tc>
          <w:tcPr>
            <w:tcW w:w="1719" w:type="dxa"/>
          </w:tcPr>
          <w:p>
            <w:pPr>
              <w:pStyle w:val="94"/>
              <w:spacing w:line="360" w:lineRule="auto"/>
              <w:ind w:right="480"/>
              <w:rPr>
                <w:rFonts w:asciiTheme="minorEastAsia" w:hAnsiTheme="minorEastAsia" w:eastAsiaTheme="minorEastAsia" w:cstheme="minorEastAsia"/>
                <w:color w:val="000000" w:themeColor="text1"/>
                <w:sz w:val="24"/>
                <w14:textFill>
                  <w14:solidFill>
                    <w14:schemeClr w14:val="tx1"/>
                  </w14:solidFill>
                </w14:textFill>
              </w:rPr>
            </w:pPr>
          </w:p>
        </w:tc>
        <w:tc>
          <w:tcPr>
            <w:tcW w:w="2110" w:type="dxa"/>
          </w:tcPr>
          <w:p>
            <w:pPr>
              <w:pStyle w:val="94"/>
              <w:spacing w:line="360" w:lineRule="auto"/>
              <w:ind w:right="480"/>
              <w:rPr>
                <w:rFonts w:asciiTheme="minorEastAsia" w:hAnsiTheme="minorEastAsia" w:eastAsiaTheme="minorEastAsia" w:cstheme="minorEastAsia"/>
                <w:color w:val="000000" w:themeColor="text1"/>
                <w:sz w:val="24"/>
                <w14:textFill>
                  <w14:solidFill>
                    <w14:schemeClr w14:val="tx1"/>
                  </w14:solidFill>
                </w14:textFill>
              </w:rPr>
            </w:pPr>
          </w:p>
        </w:tc>
        <w:tc>
          <w:tcPr>
            <w:tcW w:w="1331" w:type="dxa"/>
          </w:tcPr>
          <w:p>
            <w:pPr>
              <w:pStyle w:val="94"/>
              <w:spacing w:line="360" w:lineRule="auto"/>
              <w:ind w:right="480"/>
              <w:rPr>
                <w:rFonts w:asciiTheme="minorEastAsia" w:hAnsiTheme="minorEastAsia" w:eastAsiaTheme="minorEastAsia" w:cstheme="minorEastAsia"/>
                <w:color w:val="000000" w:themeColor="text1"/>
                <w:sz w:val="24"/>
                <w14:textFill>
                  <w14:solidFill>
                    <w14:schemeClr w14:val="tx1"/>
                  </w14:solidFill>
                </w14:textFill>
              </w:rPr>
            </w:pPr>
          </w:p>
        </w:tc>
        <w:tc>
          <w:tcPr>
            <w:tcW w:w="1525" w:type="dxa"/>
            <w:tcBorders>
              <w:right w:val="single" w:color="auto" w:sz="12" w:space="0"/>
            </w:tcBorders>
          </w:tcPr>
          <w:p>
            <w:pPr>
              <w:pStyle w:val="94"/>
              <w:spacing w:line="360" w:lineRule="auto"/>
              <w:ind w:right="480"/>
              <w:rPr>
                <w:rFonts w:asciiTheme="minorEastAsia" w:hAnsiTheme="minorEastAsia" w:eastAsiaTheme="minorEastAsia" w:cstheme="minorEastAsia"/>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872" w:type="dxa"/>
            <w:tcBorders>
              <w:left w:val="single" w:color="auto" w:sz="12" w:space="0"/>
              <w:bottom w:val="single" w:color="auto" w:sz="12" w:space="0"/>
            </w:tcBorders>
          </w:tcPr>
          <w:p>
            <w:pPr>
              <w:pStyle w:val="94"/>
              <w:spacing w:line="360" w:lineRule="auto"/>
              <w:ind w:right="480" w:firstLine="240" w:firstLineChars="100"/>
              <w:rPr>
                <w:rFonts w:asciiTheme="minorEastAsia" w:hAnsiTheme="minorEastAsia" w:eastAsiaTheme="minorEastAsia" w:cstheme="minorEastAsia"/>
                <w:color w:val="000000" w:themeColor="text1"/>
                <w:sz w:val="24"/>
                <w14:textFill>
                  <w14:solidFill>
                    <w14:schemeClr w14:val="tx1"/>
                  </w14:solidFill>
                </w14:textFill>
              </w:rPr>
            </w:pPr>
          </w:p>
          <w:p>
            <w:pPr>
              <w:pStyle w:val="94"/>
              <w:spacing w:line="360" w:lineRule="auto"/>
              <w:ind w:right="480" w:firstLine="240" w:firstLineChars="1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4</w:t>
            </w:r>
          </w:p>
        </w:tc>
        <w:tc>
          <w:tcPr>
            <w:tcW w:w="1719" w:type="dxa"/>
            <w:tcBorders>
              <w:bottom w:val="single" w:color="auto" w:sz="12" w:space="0"/>
            </w:tcBorders>
            <w:vAlign w:val="center"/>
          </w:tcPr>
          <w:p>
            <w:pPr>
              <w:pStyle w:val="94"/>
              <w:spacing w:line="360" w:lineRule="auto"/>
              <w:ind w:right="154" w:firstLine="120" w:firstLineChars="50"/>
              <w:jc w:val="center"/>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合计</w:t>
            </w:r>
          </w:p>
        </w:tc>
        <w:tc>
          <w:tcPr>
            <w:tcW w:w="1719" w:type="dxa"/>
            <w:tcBorders>
              <w:bottom w:val="single" w:color="auto" w:sz="12" w:space="0"/>
            </w:tcBorders>
          </w:tcPr>
          <w:p>
            <w:pPr>
              <w:pStyle w:val="94"/>
              <w:spacing w:line="360" w:lineRule="auto"/>
              <w:ind w:right="480"/>
              <w:rPr>
                <w:rFonts w:asciiTheme="minorEastAsia" w:hAnsiTheme="minorEastAsia" w:eastAsiaTheme="minorEastAsia" w:cstheme="minorEastAsia"/>
                <w:color w:val="000000" w:themeColor="text1"/>
                <w:sz w:val="24"/>
                <w14:textFill>
                  <w14:solidFill>
                    <w14:schemeClr w14:val="tx1"/>
                  </w14:solidFill>
                </w14:textFill>
              </w:rPr>
            </w:pPr>
          </w:p>
        </w:tc>
        <w:tc>
          <w:tcPr>
            <w:tcW w:w="2110" w:type="dxa"/>
            <w:tcBorders>
              <w:bottom w:val="single" w:color="auto" w:sz="12" w:space="0"/>
            </w:tcBorders>
          </w:tcPr>
          <w:p>
            <w:pPr>
              <w:pStyle w:val="94"/>
              <w:spacing w:line="360" w:lineRule="auto"/>
              <w:ind w:right="480"/>
              <w:rPr>
                <w:rFonts w:asciiTheme="minorEastAsia" w:hAnsiTheme="minorEastAsia" w:eastAsiaTheme="minorEastAsia" w:cstheme="minorEastAsia"/>
                <w:color w:val="000000" w:themeColor="text1"/>
                <w:sz w:val="24"/>
                <w14:textFill>
                  <w14:solidFill>
                    <w14:schemeClr w14:val="tx1"/>
                  </w14:solidFill>
                </w14:textFill>
              </w:rPr>
            </w:pPr>
          </w:p>
        </w:tc>
        <w:tc>
          <w:tcPr>
            <w:tcW w:w="1331" w:type="dxa"/>
            <w:tcBorders>
              <w:bottom w:val="single" w:color="auto" w:sz="12" w:space="0"/>
            </w:tcBorders>
          </w:tcPr>
          <w:p>
            <w:pPr>
              <w:pStyle w:val="94"/>
              <w:spacing w:line="360" w:lineRule="auto"/>
              <w:ind w:right="480"/>
              <w:rPr>
                <w:rFonts w:asciiTheme="minorEastAsia" w:hAnsiTheme="minorEastAsia" w:eastAsiaTheme="minorEastAsia" w:cstheme="minorEastAsia"/>
                <w:color w:val="000000" w:themeColor="text1"/>
                <w:sz w:val="24"/>
                <w14:textFill>
                  <w14:solidFill>
                    <w14:schemeClr w14:val="tx1"/>
                  </w14:solidFill>
                </w14:textFill>
              </w:rPr>
            </w:pPr>
          </w:p>
        </w:tc>
        <w:tc>
          <w:tcPr>
            <w:tcW w:w="1525" w:type="dxa"/>
            <w:tcBorders>
              <w:bottom w:val="single" w:color="auto" w:sz="12" w:space="0"/>
              <w:right w:val="single" w:color="auto" w:sz="12" w:space="0"/>
            </w:tcBorders>
          </w:tcPr>
          <w:p>
            <w:pPr>
              <w:pStyle w:val="94"/>
              <w:spacing w:line="360" w:lineRule="auto"/>
              <w:ind w:right="480"/>
              <w:rPr>
                <w:rFonts w:asciiTheme="minorEastAsia" w:hAnsiTheme="minorEastAsia" w:eastAsiaTheme="minorEastAsia" w:cstheme="minorEastAsia"/>
                <w:color w:val="000000" w:themeColor="text1"/>
                <w:sz w:val="24"/>
                <w14:textFill>
                  <w14:solidFill>
                    <w14:schemeClr w14:val="tx1"/>
                  </w14:solidFill>
                </w14:textFill>
              </w:rPr>
            </w:pPr>
          </w:p>
        </w:tc>
      </w:tr>
    </w:tbl>
    <w:p>
      <w:pPr>
        <w:pStyle w:val="94"/>
        <w:spacing w:line="360" w:lineRule="auto"/>
        <w:ind w:left="1080" w:right="-670" w:hanging="1080" w:hangingChars="45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说明：如所投产品为进口产品，须按规定格式逐项填写。</w:t>
      </w:r>
    </w:p>
    <w:p>
      <w:pPr>
        <w:pStyle w:val="94"/>
        <w:spacing w:line="360" w:lineRule="auto"/>
        <w:ind w:left="1080" w:right="-670" w:hanging="1080" w:hangingChars="450"/>
        <w:rPr>
          <w:rFonts w:asciiTheme="minorEastAsia" w:hAnsiTheme="minorEastAsia" w:eastAsiaTheme="minorEastAsia" w:cstheme="minorEastAsia"/>
          <w:color w:val="000000" w:themeColor="text1"/>
          <w:sz w:val="24"/>
          <w14:textFill>
            <w14:solidFill>
              <w14:schemeClr w14:val="tx1"/>
            </w14:solidFill>
          </w14:textFill>
        </w:rPr>
      </w:pPr>
    </w:p>
    <w:p>
      <w:pPr>
        <w:pStyle w:val="94"/>
        <w:spacing w:line="360" w:lineRule="auto"/>
        <w:ind w:left="7560" w:right="-97" w:hanging="7560" w:hangingChars="3150"/>
        <w:jc w:val="right"/>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年   月   日</w:t>
      </w:r>
    </w:p>
    <w:p>
      <w:pPr>
        <w:pStyle w:val="94"/>
        <w:rPr>
          <w:rFonts w:asciiTheme="minorEastAsia" w:hAnsiTheme="minorEastAsia" w:eastAsiaTheme="minorEastAsia" w:cstheme="minorEastAsia"/>
          <w:b/>
          <w:color w:val="000000" w:themeColor="text1"/>
          <w:sz w:val="24"/>
          <w14:textFill>
            <w14:solidFill>
              <w14:schemeClr w14:val="tx1"/>
            </w14:solidFill>
          </w14:textFill>
        </w:rPr>
      </w:pPr>
      <w:r>
        <w:rPr>
          <w:rFonts w:hint="eastAsia" w:asciiTheme="minorEastAsia" w:hAnsiTheme="minorEastAsia" w:eastAsiaTheme="minorEastAsia" w:cstheme="minorEastAsia"/>
          <w:b/>
          <w:color w:val="000000" w:themeColor="text1"/>
          <w:szCs w:val="21"/>
          <w14:textFill>
            <w14:solidFill>
              <w14:schemeClr w14:val="tx1"/>
            </w14:solidFill>
          </w14:textFill>
        </w:rPr>
        <w:br w:type="page"/>
      </w:r>
      <w:r>
        <w:rPr>
          <w:rFonts w:hint="eastAsia" w:asciiTheme="minorEastAsia" w:hAnsiTheme="minorEastAsia" w:eastAsiaTheme="minorEastAsia" w:cstheme="minorEastAsia"/>
          <w:b/>
          <w:color w:val="000000" w:themeColor="text1"/>
          <w:szCs w:val="21"/>
          <w14:textFill>
            <w14:solidFill>
              <w14:schemeClr w14:val="tx1"/>
            </w14:solidFill>
          </w14:textFill>
        </w:rPr>
        <w:t>2）</w:t>
      </w:r>
      <w:r>
        <w:rPr>
          <w:rFonts w:hint="eastAsia" w:asciiTheme="minorEastAsia" w:hAnsiTheme="minorEastAsia" w:eastAsiaTheme="minorEastAsia" w:cstheme="minorEastAsia"/>
          <w:b/>
          <w:color w:val="000000" w:themeColor="text1"/>
          <w:sz w:val="24"/>
          <w14:textFill>
            <w14:solidFill>
              <w14:schemeClr w14:val="tx1"/>
            </w14:solidFill>
          </w14:textFill>
        </w:rPr>
        <w:t>环境标志产品明细表</w:t>
      </w:r>
    </w:p>
    <w:p>
      <w:pPr>
        <w:pStyle w:val="93"/>
        <w:spacing w:line="360" w:lineRule="auto"/>
        <w:ind w:left="0" w:leftChars="0" w:firstLine="0" w:firstLineChars="0"/>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项目编号：</w:t>
      </w:r>
      <w:r>
        <w:rPr>
          <w:rFonts w:hint="eastAsia" w:asciiTheme="minorEastAsia" w:hAnsiTheme="minorEastAsia" w:eastAsiaTheme="minorEastAsia" w:cstheme="minorEastAsia"/>
          <w:color w:val="000000" w:themeColor="text1"/>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14:textFill>
            <w14:solidFill>
              <w14:schemeClr w14:val="tx1"/>
            </w14:solidFill>
          </w14:textFill>
        </w:rPr>
        <w:t xml:space="preserve">                    价格单位：元</w:t>
      </w:r>
    </w:p>
    <w:tbl>
      <w:tblPr>
        <w:tblStyle w:val="38"/>
        <w:tblW w:w="106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1331"/>
        <w:gridCol w:w="1331"/>
        <w:gridCol w:w="1331"/>
        <w:gridCol w:w="1331"/>
        <w:gridCol w:w="1791"/>
        <w:gridCol w:w="1830"/>
        <w:gridCol w:w="9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tcBorders>
              <w:top w:val="single" w:color="auto" w:sz="12" w:space="0"/>
              <w:left w:val="single" w:color="auto" w:sz="12" w:space="0"/>
            </w:tcBorders>
          </w:tcPr>
          <w:p>
            <w:pPr>
              <w:pStyle w:val="94"/>
              <w:spacing w:line="360" w:lineRule="auto"/>
              <w:jc w:val="center"/>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序号</w:t>
            </w:r>
          </w:p>
        </w:tc>
        <w:tc>
          <w:tcPr>
            <w:tcW w:w="1331" w:type="dxa"/>
            <w:tcBorders>
              <w:top w:val="single" w:color="auto" w:sz="12" w:space="0"/>
            </w:tcBorders>
          </w:tcPr>
          <w:p>
            <w:pPr>
              <w:pStyle w:val="94"/>
              <w:tabs>
                <w:tab w:val="left" w:pos="60"/>
                <w:tab w:val="center" w:pos="4777"/>
              </w:tabs>
              <w:spacing w:line="360" w:lineRule="auto"/>
              <w:ind w:right="-8440" w:rightChars="-4019"/>
              <w:jc w:val="left"/>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ab/>
            </w:r>
            <w:r>
              <w:rPr>
                <w:rFonts w:hint="eastAsia" w:asciiTheme="minorEastAsia" w:hAnsiTheme="minorEastAsia" w:eastAsiaTheme="minorEastAsia" w:cstheme="minorEastAsia"/>
                <w:color w:val="000000" w:themeColor="text1"/>
                <w:sz w:val="24"/>
                <w14:textFill>
                  <w14:solidFill>
                    <w14:schemeClr w14:val="tx1"/>
                  </w14:solidFill>
                </w14:textFill>
              </w:rPr>
              <w:t>产品名称</w:t>
            </w:r>
            <w:r>
              <w:rPr>
                <w:rFonts w:hint="eastAsia" w:asciiTheme="minorEastAsia" w:hAnsiTheme="minorEastAsia" w:eastAsiaTheme="minorEastAsia" w:cstheme="minorEastAsia"/>
                <w:color w:val="000000" w:themeColor="text1"/>
                <w:sz w:val="24"/>
                <w14:textFill>
                  <w14:solidFill>
                    <w14:schemeClr w14:val="tx1"/>
                  </w14:solidFill>
                </w14:textFill>
              </w:rPr>
              <w:tab/>
            </w:r>
            <w:r>
              <w:rPr>
                <w:rFonts w:hint="eastAsia" w:asciiTheme="minorEastAsia" w:hAnsiTheme="minorEastAsia" w:eastAsiaTheme="minorEastAsia" w:cstheme="minorEastAsia"/>
                <w:color w:val="000000" w:themeColor="text1"/>
                <w:sz w:val="24"/>
                <w14:textFill>
                  <w14:solidFill>
                    <w14:schemeClr w14:val="tx1"/>
                  </w14:solidFill>
                </w14:textFill>
              </w:rPr>
              <w:t>产品名称</w:t>
            </w:r>
          </w:p>
        </w:tc>
        <w:tc>
          <w:tcPr>
            <w:tcW w:w="1331" w:type="dxa"/>
            <w:tcBorders>
              <w:top w:val="single" w:color="auto" w:sz="12" w:space="0"/>
            </w:tcBorders>
          </w:tcPr>
          <w:p>
            <w:pPr>
              <w:pStyle w:val="94"/>
              <w:spacing w:line="360" w:lineRule="auto"/>
              <w:jc w:val="center"/>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企业名称</w:t>
            </w:r>
          </w:p>
        </w:tc>
        <w:tc>
          <w:tcPr>
            <w:tcW w:w="1331" w:type="dxa"/>
            <w:tcBorders>
              <w:top w:val="single" w:color="auto" w:sz="12" w:space="0"/>
            </w:tcBorders>
          </w:tcPr>
          <w:p>
            <w:pPr>
              <w:pStyle w:val="94"/>
              <w:spacing w:line="360" w:lineRule="auto"/>
              <w:jc w:val="center"/>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注册商标</w:t>
            </w:r>
          </w:p>
        </w:tc>
        <w:tc>
          <w:tcPr>
            <w:tcW w:w="1331" w:type="dxa"/>
            <w:tcBorders>
              <w:top w:val="single" w:color="auto" w:sz="12" w:space="0"/>
            </w:tcBorders>
          </w:tcPr>
          <w:p>
            <w:pPr>
              <w:pStyle w:val="94"/>
              <w:spacing w:line="360" w:lineRule="auto"/>
              <w:jc w:val="center"/>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规格型号</w:t>
            </w:r>
          </w:p>
        </w:tc>
        <w:tc>
          <w:tcPr>
            <w:tcW w:w="1791" w:type="dxa"/>
            <w:tcBorders>
              <w:top w:val="single" w:color="auto" w:sz="12" w:space="0"/>
            </w:tcBorders>
          </w:tcPr>
          <w:p>
            <w:pPr>
              <w:pStyle w:val="94"/>
              <w:spacing w:line="360" w:lineRule="auto"/>
              <w:jc w:val="center"/>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中国环境标志认证证书编号</w:t>
            </w:r>
          </w:p>
        </w:tc>
        <w:tc>
          <w:tcPr>
            <w:tcW w:w="1830" w:type="dxa"/>
            <w:tcBorders>
              <w:top w:val="single" w:color="auto" w:sz="12" w:space="0"/>
            </w:tcBorders>
          </w:tcPr>
          <w:p>
            <w:pPr>
              <w:pStyle w:val="94"/>
              <w:spacing w:line="360" w:lineRule="auto"/>
              <w:jc w:val="center"/>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认证证书有效截止日期</w:t>
            </w:r>
          </w:p>
        </w:tc>
        <w:tc>
          <w:tcPr>
            <w:tcW w:w="955" w:type="dxa"/>
            <w:tcBorders>
              <w:top w:val="single" w:color="auto" w:sz="12" w:space="0"/>
              <w:right w:val="single" w:color="auto" w:sz="12" w:space="0"/>
            </w:tcBorders>
          </w:tcPr>
          <w:p>
            <w:pPr>
              <w:pStyle w:val="94"/>
              <w:spacing w:line="360" w:lineRule="auto"/>
              <w:jc w:val="center"/>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758" w:type="dxa"/>
            <w:tcBorders>
              <w:left w:val="single" w:color="auto" w:sz="12" w:space="0"/>
            </w:tcBorders>
          </w:tcPr>
          <w:p>
            <w:pPr>
              <w:pStyle w:val="94"/>
              <w:spacing w:line="360" w:lineRule="auto"/>
              <w:ind w:right="480" w:firstLine="240" w:firstLineChars="100"/>
              <w:rPr>
                <w:rFonts w:asciiTheme="minorEastAsia" w:hAnsiTheme="minorEastAsia" w:eastAsiaTheme="minorEastAsia" w:cstheme="minorEastAsia"/>
                <w:color w:val="000000" w:themeColor="text1"/>
                <w:sz w:val="24"/>
                <w14:textFill>
                  <w14:solidFill>
                    <w14:schemeClr w14:val="tx1"/>
                  </w14:solidFill>
                </w14:textFill>
              </w:rPr>
            </w:pPr>
          </w:p>
          <w:p>
            <w:pPr>
              <w:pStyle w:val="94"/>
              <w:spacing w:line="360" w:lineRule="auto"/>
              <w:ind w:right="480" w:firstLine="240" w:firstLineChars="1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1</w:t>
            </w:r>
          </w:p>
        </w:tc>
        <w:tc>
          <w:tcPr>
            <w:tcW w:w="1331" w:type="dxa"/>
          </w:tcPr>
          <w:p>
            <w:pPr>
              <w:pStyle w:val="94"/>
              <w:spacing w:line="360" w:lineRule="auto"/>
              <w:ind w:right="480"/>
              <w:rPr>
                <w:rFonts w:asciiTheme="minorEastAsia" w:hAnsiTheme="minorEastAsia" w:eastAsiaTheme="minorEastAsia" w:cstheme="minorEastAsia"/>
                <w:color w:val="000000" w:themeColor="text1"/>
                <w:sz w:val="24"/>
                <w14:textFill>
                  <w14:solidFill>
                    <w14:schemeClr w14:val="tx1"/>
                  </w14:solidFill>
                </w14:textFill>
              </w:rPr>
            </w:pPr>
          </w:p>
        </w:tc>
        <w:tc>
          <w:tcPr>
            <w:tcW w:w="1331" w:type="dxa"/>
          </w:tcPr>
          <w:p>
            <w:pPr>
              <w:pStyle w:val="94"/>
              <w:spacing w:line="360" w:lineRule="auto"/>
              <w:ind w:right="480"/>
              <w:rPr>
                <w:rFonts w:asciiTheme="minorEastAsia" w:hAnsiTheme="minorEastAsia" w:eastAsiaTheme="minorEastAsia" w:cstheme="minorEastAsia"/>
                <w:color w:val="000000" w:themeColor="text1"/>
                <w:sz w:val="24"/>
                <w14:textFill>
                  <w14:solidFill>
                    <w14:schemeClr w14:val="tx1"/>
                  </w14:solidFill>
                </w14:textFill>
              </w:rPr>
            </w:pPr>
          </w:p>
        </w:tc>
        <w:tc>
          <w:tcPr>
            <w:tcW w:w="1331" w:type="dxa"/>
          </w:tcPr>
          <w:p>
            <w:pPr>
              <w:pStyle w:val="94"/>
              <w:spacing w:line="360" w:lineRule="auto"/>
              <w:ind w:right="480"/>
              <w:rPr>
                <w:rFonts w:asciiTheme="minorEastAsia" w:hAnsiTheme="minorEastAsia" w:eastAsiaTheme="minorEastAsia" w:cstheme="minorEastAsia"/>
                <w:color w:val="000000" w:themeColor="text1"/>
                <w:sz w:val="24"/>
                <w14:textFill>
                  <w14:solidFill>
                    <w14:schemeClr w14:val="tx1"/>
                  </w14:solidFill>
                </w14:textFill>
              </w:rPr>
            </w:pPr>
          </w:p>
        </w:tc>
        <w:tc>
          <w:tcPr>
            <w:tcW w:w="1331" w:type="dxa"/>
          </w:tcPr>
          <w:p>
            <w:pPr>
              <w:pStyle w:val="94"/>
              <w:spacing w:line="360" w:lineRule="auto"/>
              <w:ind w:right="480"/>
              <w:rPr>
                <w:rFonts w:asciiTheme="minorEastAsia" w:hAnsiTheme="minorEastAsia" w:eastAsiaTheme="minorEastAsia" w:cstheme="minorEastAsia"/>
                <w:color w:val="000000" w:themeColor="text1"/>
                <w:sz w:val="24"/>
                <w14:textFill>
                  <w14:solidFill>
                    <w14:schemeClr w14:val="tx1"/>
                  </w14:solidFill>
                </w14:textFill>
              </w:rPr>
            </w:pPr>
          </w:p>
        </w:tc>
        <w:tc>
          <w:tcPr>
            <w:tcW w:w="1791" w:type="dxa"/>
          </w:tcPr>
          <w:p>
            <w:pPr>
              <w:pStyle w:val="94"/>
              <w:spacing w:line="360" w:lineRule="auto"/>
              <w:ind w:right="480"/>
              <w:rPr>
                <w:rFonts w:asciiTheme="minorEastAsia" w:hAnsiTheme="minorEastAsia" w:eastAsiaTheme="minorEastAsia" w:cstheme="minorEastAsia"/>
                <w:color w:val="000000" w:themeColor="text1"/>
                <w:sz w:val="24"/>
                <w14:textFill>
                  <w14:solidFill>
                    <w14:schemeClr w14:val="tx1"/>
                  </w14:solidFill>
                </w14:textFill>
              </w:rPr>
            </w:pPr>
          </w:p>
        </w:tc>
        <w:tc>
          <w:tcPr>
            <w:tcW w:w="1830" w:type="dxa"/>
          </w:tcPr>
          <w:p>
            <w:pPr>
              <w:pStyle w:val="94"/>
              <w:spacing w:line="360" w:lineRule="auto"/>
              <w:ind w:right="480"/>
              <w:rPr>
                <w:rFonts w:asciiTheme="minorEastAsia" w:hAnsiTheme="minorEastAsia" w:eastAsiaTheme="minorEastAsia" w:cstheme="minorEastAsia"/>
                <w:color w:val="000000" w:themeColor="text1"/>
                <w:sz w:val="24"/>
                <w14:textFill>
                  <w14:solidFill>
                    <w14:schemeClr w14:val="tx1"/>
                  </w14:solidFill>
                </w14:textFill>
              </w:rPr>
            </w:pPr>
          </w:p>
        </w:tc>
        <w:tc>
          <w:tcPr>
            <w:tcW w:w="955" w:type="dxa"/>
            <w:tcBorders>
              <w:right w:val="single" w:color="auto" w:sz="12" w:space="0"/>
            </w:tcBorders>
          </w:tcPr>
          <w:p>
            <w:pPr>
              <w:pStyle w:val="94"/>
              <w:spacing w:line="360" w:lineRule="auto"/>
              <w:ind w:right="480"/>
              <w:rPr>
                <w:rFonts w:asciiTheme="minorEastAsia" w:hAnsiTheme="minorEastAsia" w:eastAsiaTheme="minorEastAsia" w:cstheme="minorEastAsia"/>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758" w:type="dxa"/>
            <w:tcBorders>
              <w:left w:val="single" w:color="auto" w:sz="12" w:space="0"/>
            </w:tcBorders>
          </w:tcPr>
          <w:p>
            <w:pPr>
              <w:pStyle w:val="94"/>
              <w:spacing w:line="360" w:lineRule="auto"/>
              <w:ind w:right="480" w:firstLine="240" w:firstLineChars="100"/>
              <w:rPr>
                <w:rFonts w:asciiTheme="minorEastAsia" w:hAnsiTheme="minorEastAsia" w:eastAsiaTheme="minorEastAsia" w:cstheme="minorEastAsia"/>
                <w:color w:val="000000" w:themeColor="text1"/>
                <w:sz w:val="24"/>
                <w14:textFill>
                  <w14:solidFill>
                    <w14:schemeClr w14:val="tx1"/>
                  </w14:solidFill>
                </w14:textFill>
              </w:rPr>
            </w:pPr>
          </w:p>
          <w:p>
            <w:pPr>
              <w:pStyle w:val="94"/>
              <w:spacing w:line="360" w:lineRule="auto"/>
              <w:ind w:right="480" w:firstLine="240" w:firstLineChars="1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2</w:t>
            </w:r>
          </w:p>
        </w:tc>
        <w:tc>
          <w:tcPr>
            <w:tcW w:w="1331" w:type="dxa"/>
          </w:tcPr>
          <w:p>
            <w:pPr>
              <w:pStyle w:val="94"/>
              <w:spacing w:line="360" w:lineRule="auto"/>
              <w:ind w:right="480"/>
              <w:rPr>
                <w:rFonts w:asciiTheme="minorEastAsia" w:hAnsiTheme="minorEastAsia" w:eastAsiaTheme="minorEastAsia" w:cstheme="minorEastAsia"/>
                <w:color w:val="000000" w:themeColor="text1"/>
                <w:sz w:val="24"/>
                <w14:textFill>
                  <w14:solidFill>
                    <w14:schemeClr w14:val="tx1"/>
                  </w14:solidFill>
                </w14:textFill>
              </w:rPr>
            </w:pPr>
          </w:p>
        </w:tc>
        <w:tc>
          <w:tcPr>
            <w:tcW w:w="1331" w:type="dxa"/>
          </w:tcPr>
          <w:p>
            <w:pPr>
              <w:pStyle w:val="94"/>
              <w:spacing w:line="360" w:lineRule="auto"/>
              <w:ind w:right="480"/>
              <w:rPr>
                <w:rFonts w:asciiTheme="minorEastAsia" w:hAnsiTheme="minorEastAsia" w:eastAsiaTheme="minorEastAsia" w:cstheme="minorEastAsia"/>
                <w:color w:val="000000" w:themeColor="text1"/>
                <w:sz w:val="24"/>
                <w14:textFill>
                  <w14:solidFill>
                    <w14:schemeClr w14:val="tx1"/>
                  </w14:solidFill>
                </w14:textFill>
              </w:rPr>
            </w:pPr>
          </w:p>
        </w:tc>
        <w:tc>
          <w:tcPr>
            <w:tcW w:w="1331" w:type="dxa"/>
          </w:tcPr>
          <w:p>
            <w:pPr>
              <w:pStyle w:val="94"/>
              <w:spacing w:line="360" w:lineRule="auto"/>
              <w:ind w:right="480"/>
              <w:rPr>
                <w:rFonts w:asciiTheme="minorEastAsia" w:hAnsiTheme="minorEastAsia" w:eastAsiaTheme="minorEastAsia" w:cstheme="minorEastAsia"/>
                <w:color w:val="000000" w:themeColor="text1"/>
                <w:sz w:val="24"/>
                <w14:textFill>
                  <w14:solidFill>
                    <w14:schemeClr w14:val="tx1"/>
                  </w14:solidFill>
                </w14:textFill>
              </w:rPr>
            </w:pPr>
          </w:p>
        </w:tc>
        <w:tc>
          <w:tcPr>
            <w:tcW w:w="1331" w:type="dxa"/>
          </w:tcPr>
          <w:p>
            <w:pPr>
              <w:pStyle w:val="94"/>
              <w:spacing w:line="360" w:lineRule="auto"/>
              <w:ind w:right="480"/>
              <w:rPr>
                <w:rFonts w:asciiTheme="minorEastAsia" w:hAnsiTheme="minorEastAsia" w:eastAsiaTheme="minorEastAsia" w:cstheme="minorEastAsia"/>
                <w:color w:val="000000" w:themeColor="text1"/>
                <w:sz w:val="24"/>
                <w14:textFill>
                  <w14:solidFill>
                    <w14:schemeClr w14:val="tx1"/>
                  </w14:solidFill>
                </w14:textFill>
              </w:rPr>
            </w:pPr>
          </w:p>
        </w:tc>
        <w:tc>
          <w:tcPr>
            <w:tcW w:w="1791" w:type="dxa"/>
          </w:tcPr>
          <w:p>
            <w:pPr>
              <w:pStyle w:val="94"/>
              <w:spacing w:line="360" w:lineRule="auto"/>
              <w:ind w:right="480"/>
              <w:rPr>
                <w:rFonts w:asciiTheme="minorEastAsia" w:hAnsiTheme="minorEastAsia" w:eastAsiaTheme="minorEastAsia" w:cstheme="minorEastAsia"/>
                <w:color w:val="000000" w:themeColor="text1"/>
                <w:sz w:val="24"/>
                <w14:textFill>
                  <w14:solidFill>
                    <w14:schemeClr w14:val="tx1"/>
                  </w14:solidFill>
                </w14:textFill>
              </w:rPr>
            </w:pPr>
          </w:p>
        </w:tc>
        <w:tc>
          <w:tcPr>
            <w:tcW w:w="1830" w:type="dxa"/>
          </w:tcPr>
          <w:p>
            <w:pPr>
              <w:pStyle w:val="94"/>
              <w:spacing w:line="360" w:lineRule="auto"/>
              <w:ind w:right="480"/>
              <w:rPr>
                <w:rFonts w:asciiTheme="minorEastAsia" w:hAnsiTheme="minorEastAsia" w:eastAsiaTheme="minorEastAsia" w:cstheme="minorEastAsia"/>
                <w:color w:val="000000" w:themeColor="text1"/>
                <w:sz w:val="24"/>
                <w14:textFill>
                  <w14:solidFill>
                    <w14:schemeClr w14:val="tx1"/>
                  </w14:solidFill>
                </w14:textFill>
              </w:rPr>
            </w:pPr>
          </w:p>
        </w:tc>
        <w:tc>
          <w:tcPr>
            <w:tcW w:w="955" w:type="dxa"/>
            <w:tcBorders>
              <w:right w:val="single" w:color="auto" w:sz="12" w:space="0"/>
            </w:tcBorders>
          </w:tcPr>
          <w:p>
            <w:pPr>
              <w:pStyle w:val="94"/>
              <w:spacing w:line="360" w:lineRule="auto"/>
              <w:ind w:right="480"/>
              <w:rPr>
                <w:rFonts w:asciiTheme="minorEastAsia" w:hAnsiTheme="minorEastAsia" w:eastAsiaTheme="minorEastAsia" w:cstheme="minorEastAsia"/>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758" w:type="dxa"/>
            <w:tcBorders>
              <w:left w:val="single" w:color="auto" w:sz="12" w:space="0"/>
            </w:tcBorders>
          </w:tcPr>
          <w:p>
            <w:pPr>
              <w:pStyle w:val="94"/>
              <w:spacing w:line="360" w:lineRule="auto"/>
              <w:ind w:right="480" w:firstLine="240" w:firstLineChars="100"/>
              <w:rPr>
                <w:rFonts w:asciiTheme="minorEastAsia" w:hAnsiTheme="minorEastAsia" w:eastAsiaTheme="minorEastAsia" w:cstheme="minorEastAsia"/>
                <w:color w:val="000000" w:themeColor="text1"/>
                <w:sz w:val="24"/>
                <w14:textFill>
                  <w14:solidFill>
                    <w14:schemeClr w14:val="tx1"/>
                  </w14:solidFill>
                </w14:textFill>
              </w:rPr>
            </w:pPr>
          </w:p>
          <w:p>
            <w:pPr>
              <w:pStyle w:val="94"/>
              <w:spacing w:line="360" w:lineRule="auto"/>
              <w:ind w:right="480" w:firstLine="240" w:firstLineChars="1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3</w:t>
            </w:r>
          </w:p>
        </w:tc>
        <w:tc>
          <w:tcPr>
            <w:tcW w:w="1331" w:type="dxa"/>
          </w:tcPr>
          <w:p>
            <w:pPr>
              <w:pStyle w:val="94"/>
              <w:spacing w:line="360" w:lineRule="auto"/>
              <w:ind w:right="480"/>
              <w:rPr>
                <w:rFonts w:asciiTheme="minorEastAsia" w:hAnsiTheme="minorEastAsia" w:eastAsiaTheme="minorEastAsia" w:cstheme="minorEastAsia"/>
                <w:color w:val="000000" w:themeColor="text1"/>
                <w:sz w:val="24"/>
                <w14:textFill>
                  <w14:solidFill>
                    <w14:schemeClr w14:val="tx1"/>
                  </w14:solidFill>
                </w14:textFill>
              </w:rPr>
            </w:pPr>
          </w:p>
          <w:p>
            <w:pPr>
              <w:pStyle w:val="94"/>
              <w:spacing w:line="360" w:lineRule="auto"/>
              <w:ind w:right="48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 xml:space="preserve">    …</w:t>
            </w:r>
          </w:p>
        </w:tc>
        <w:tc>
          <w:tcPr>
            <w:tcW w:w="1331" w:type="dxa"/>
          </w:tcPr>
          <w:p>
            <w:pPr>
              <w:pStyle w:val="94"/>
              <w:spacing w:line="360" w:lineRule="auto"/>
              <w:ind w:right="480"/>
              <w:rPr>
                <w:rFonts w:asciiTheme="minorEastAsia" w:hAnsiTheme="minorEastAsia" w:eastAsiaTheme="minorEastAsia" w:cstheme="minorEastAsia"/>
                <w:color w:val="000000" w:themeColor="text1"/>
                <w:sz w:val="24"/>
                <w14:textFill>
                  <w14:solidFill>
                    <w14:schemeClr w14:val="tx1"/>
                  </w14:solidFill>
                </w14:textFill>
              </w:rPr>
            </w:pPr>
          </w:p>
        </w:tc>
        <w:tc>
          <w:tcPr>
            <w:tcW w:w="1331" w:type="dxa"/>
          </w:tcPr>
          <w:p>
            <w:pPr>
              <w:pStyle w:val="94"/>
              <w:spacing w:line="360" w:lineRule="auto"/>
              <w:ind w:right="480"/>
              <w:rPr>
                <w:rFonts w:asciiTheme="minorEastAsia" w:hAnsiTheme="minorEastAsia" w:eastAsiaTheme="minorEastAsia" w:cstheme="minorEastAsia"/>
                <w:color w:val="000000" w:themeColor="text1"/>
                <w:sz w:val="24"/>
                <w14:textFill>
                  <w14:solidFill>
                    <w14:schemeClr w14:val="tx1"/>
                  </w14:solidFill>
                </w14:textFill>
              </w:rPr>
            </w:pPr>
          </w:p>
        </w:tc>
        <w:tc>
          <w:tcPr>
            <w:tcW w:w="1331" w:type="dxa"/>
          </w:tcPr>
          <w:p>
            <w:pPr>
              <w:pStyle w:val="94"/>
              <w:spacing w:line="360" w:lineRule="auto"/>
              <w:ind w:right="480"/>
              <w:rPr>
                <w:rFonts w:asciiTheme="minorEastAsia" w:hAnsiTheme="minorEastAsia" w:eastAsiaTheme="minorEastAsia" w:cstheme="minorEastAsia"/>
                <w:color w:val="000000" w:themeColor="text1"/>
                <w:sz w:val="24"/>
                <w14:textFill>
                  <w14:solidFill>
                    <w14:schemeClr w14:val="tx1"/>
                  </w14:solidFill>
                </w14:textFill>
              </w:rPr>
            </w:pPr>
          </w:p>
        </w:tc>
        <w:tc>
          <w:tcPr>
            <w:tcW w:w="1791" w:type="dxa"/>
          </w:tcPr>
          <w:p>
            <w:pPr>
              <w:pStyle w:val="94"/>
              <w:spacing w:line="360" w:lineRule="auto"/>
              <w:ind w:right="480"/>
              <w:rPr>
                <w:rFonts w:asciiTheme="minorEastAsia" w:hAnsiTheme="minorEastAsia" w:eastAsiaTheme="minorEastAsia" w:cstheme="minorEastAsia"/>
                <w:color w:val="000000" w:themeColor="text1"/>
                <w:sz w:val="24"/>
                <w14:textFill>
                  <w14:solidFill>
                    <w14:schemeClr w14:val="tx1"/>
                  </w14:solidFill>
                </w14:textFill>
              </w:rPr>
            </w:pPr>
          </w:p>
        </w:tc>
        <w:tc>
          <w:tcPr>
            <w:tcW w:w="1830" w:type="dxa"/>
          </w:tcPr>
          <w:p>
            <w:pPr>
              <w:pStyle w:val="94"/>
              <w:spacing w:line="360" w:lineRule="auto"/>
              <w:ind w:right="480"/>
              <w:rPr>
                <w:rFonts w:asciiTheme="minorEastAsia" w:hAnsiTheme="minorEastAsia" w:eastAsiaTheme="minorEastAsia" w:cstheme="minorEastAsia"/>
                <w:color w:val="000000" w:themeColor="text1"/>
                <w:sz w:val="24"/>
                <w14:textFill>
                  <w14:solidFill>
                    <w14:schemeClr w14:val="tx1"/>
                  </w14:solidFill>
                </w14:textFill>
              </w:rPr>
            </w:pPr>
          </w:p>
        </w:tc>
        <w:tc>
          <w:tcPr>
            <w:tcW w:w="955" w:type="dxa"/>
            <w:tcBorders>
              <w:right w:val="single" w:color="auto" w:sz="12" w:space="0"/>
            </w:tcBorders>
          </w:tcPr>
          <w:p>
            <w:pPr>
              <w:pStyle w:val="94"/>
              <w:spacing w:line="360" w:lineRule="auto"/>
              <w:ind w:right="480"/>
              <w:rPr>
                <w:rFonts w:asciiTheme="minorEastAsia" w:hAnsiTheme="minorEastAsia" w:eastAsiaTheme="minorEastAsia" w:cstheme="minorEastAsia"/>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758" w:type="dxa"/>
            <w:tcBorders>
              <w:left w:val="single" w:color="auto" w:sz="12" w:space="0"/>
              <w:bottom w:val="single" w:color="auto" w:sz="12" w:space="0"/>
            </w:tcBorders>
          </w:tcPr>
          <w:p>
            <w:pPr>
              <w:pStyle w:val="94"/>
              <w:spacing w:line="360" w:lineRule="auto"/>
              <w:ind w:right="480" w:firstLine="240" w:firstLineChars="100"/>
              <w:rPr>
                <w:rFonts w:asciiTheme="minorEastAsia" w:hAnsiTheme="minorEastAsia" w:eastAsiaTheme="minorEastAsia" w:cstheme="minorEastAsia"/>
                <w:color w:val="000000" w:themeColor="text1"/>
                <w:sz w:val="24"/>
                <w14:textFill>
                  <w14:solidFill>
                    <w14:schemeClr w14:val="tx1"/>
                  </w14:solidFill>
                </w14:textFill>
              </w:rPr>
            </w:pPr>
          </w:p>
          <w:p>
            <w:pPr>
              <w:pStyle w:val="94"/>
              <w:spacing w:line="360" w:lineRule="auto"/>
              <w:ind w:right="480" w:firstLine="240" w:firstLineChars="1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4</w:t>
            </w:r>
          </w:p>
        </w:tc>
        <w:tc>
          <w:tcPr>
            <w:tcW w:w="1331" w:type="dxa"/>
            <w:tcBorders>
              <w:bottom w:val="single" w:color="auto" w:sz="12" w:space="0"/>
            </w:tcBorders>
            <w:vAlign w:val="center"/>
          </w:tcPr>
          <w:p>
            <w:pPr>
              <w:pStyle w:val="94"/>
              <w:spacing w:line="360" w:lineRule="auto"/>
              <w:ind w:right="154" w:firstLine="120" w:firstLineChars="50"/>
              <w:jc w:val="center"/>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合计</w:t>
            </w:r>
          </w:p>
        </w:tc>
        <w:tc>
          <w:tcPr>
            <w:tcW w:w="1331" w:type="dxa"/>
            <w:tcBorders>
              <w:bottom w:val="single" w:color="auto" w:sz="12" w:space="0"/>
            </w:tcBorders>
          </w:tcPr>
          <w:p>
            <w:pPr>
              <w:pStyle w:val="94"/>
              <w:spacing w:line="360" w:lineRule="auto"/>
              <w:ind w:right="480"/>
              <w:rPr>
                <w:rFonts w:asciiTheme="minorEastAsia" w:hAnsiTheme="minorEastAsia" w:eastAsiaTheme="minorEastAsia" w:cstheme="minorEastAsia"/>
                <w:color w:val="000000" w:themeColor="text1"/>
                <w:sz w:val="24"/>
                <w14:textFill>
                  <w14:solidFill>
                    <w14:schemeClr w14:val="tx1"/>
                  </w14:solidFill>
                </w14:textFill>
              </w:rPr>
            </w:pPr>
          </w:p>
        </w:tc>
        <w:tc>
          <w:tcPr>
            <w:tcW w:w="1331" w:type="dxa"/>
            <w:tcBorders>
              <w:bottom w:val="single" w:color="auto" w:sz="12" w:space="0"/>
            </w:tcBorders>
          </w:tcPr>
          <w:p>
            <w:pPr>
              <w:pStyle w:val="94"/>
              <w:spacing w:line="360" w:lineRule="auto"/>
              <w:ind w:right="480"/>
              <w:rPr>
                <w:rFonts w:asciiTheme="minorEastAsia" w:hAnsiTheme="minorEastAsia" w:eastAsiaTheme="minorEastAsia" w:cstheme="minorEastAsia"/>
                <w:color w:val="000000" w:themeColor="text1"/>
                <w:sz w:val="24"/>
                <w14:textFill>
                  <w14:solidFill>
                    <w14:schemeClr w14:val="tx1"/>
                  </w14:solidFill>
                </w14:textFill>
              </w:rPr>
            </w:pPr>
          </w:p>
        </w:tc>
        <w:tc>
          <w:tcPr>
            <w:tcW w:w="1331" w:type="dxa"/>
            <w:tcBorders>
              <w:bottom w:val="single" w:color="auto" w:sz="12" w:space="0"/>
            </w:tcBorders>
          </w:tcPr>
          <w:p>
            <w:pPr>
              <w:pStyle w:val="94"/>
              <w:spacing w:line="360" w:lineRule="auto"/>
              <w:ind w:right="480"/>
              <w:rPr>
                <w:rFonts w:asciiTheme="minorEastAsia" w:hAnsiTheme="minorEastAsia" w:eastAsiaTheme="minorEastAsia" w:cstheme="minorEastAsia"/>
                <w:color w:val="000000" w:themeColor="text1"/>
                <w:sz w:val="24"/>
                <w14:textFill>
                  <w14:solidFill>
                    <w14:schemeClr w14:val="tx1"/>
                  </w14:solidFill>
                </w14:textFill>
              </w:rPr>
            </w:pPr>
          </w:p>
        </w:tc>
        <w:tc>
          <w:tcPr>
            <w:tcW w:w="1791" w:type="dxa"/>
            <w:tcBorders>
              <w:bottom w:val="single" w:color="auto" w:sz="12" w:space="0"/>
            </w:tcBorders>
          </w:tcPr>
          <w:p>
            <w:pPr>
              <w:pStyle w:val="94"/>
              <w:spacing w:line="360" w:lineRule="auto"/>
              <w:ind w:right="480"/>
              <w:rPr>
                <w:rFonts w:asciiTheme="minorEastAsia" w:hAnsiTheme="minorEastAsia" w:eastAsiaTheme="minorEastAsia" w:cstheme="minorEastAsia"/>
                <w:color w:val="000000" w:themeColor="text1"/>
                <w:sz w:val="24"/>
                <w14:textFill>
                  <w14:solidFill>
                    <w14:schemeClr w14:val="tx1"/>
                  </w14:solidFill>
                </w14:textFill>
              </w:rPr>
            </w:pPr>
          </w:p>
        </w:tc>
        <w:tc>
          <w:tcPr>
            <w:tcW w:w="1830" w:type="dxa"/>
            <w:tcBorders>
              <w:bottom w:val="single" w:color="auto" w:sz="12" w:space="0"/>
            </w:tcBorders>
          </w:tcPr>
          <w:p>
            <w:pPr>
              <w:pStyle w:val="94"/>
              <w:spacing w:line="360" w:lineRule="auto"/>
              <w:ind w:right="480"/>
              <w:rPr>
                <w:rFonts w:asciiTheme="minorEastAsia" w:hAnsiTheme="minorEastAsia" w:eastAsiaTheme="minorEastAsia" w:cstheme="minorEastAsia"/>
                <w:color w:val="000000" w:themeColor="text1"/>
                <w:sz w:val="24"/>
                <w14:textFill>
                  <w14:solidFill>
                    <w14:schemeClr w14:val="tx1"/>
                  </w14:solidFill>
                </w14:textFill>
              </w:rPr>
            </w:pPr>
          </w:p>
        </w:tc>
        <w:tc>
          <w:tcPr>
            <w:tcW w:w="955" w:type="dxa"/>
            <w:tcBorders>
              <w:bottom w:val="single" w:color="auto" w:sz="12" w:space="0"/>
              <w:right w:val="single" w:color="auto" w:sz="12" w:space="0"/>
            </w:tcBorders>
          </w:tcPr>
          <w:p>
            <w:pPr>
              <w:pStyle w:val="94"/>
              <w:spacing w:line="360" w:lineRule="auto"/>
              <w:ind w:right="480"/>
              <w:rPr>
                <w:rFonts w:asciiTheme="minorEastAsia" w:hAnsiTheme="minorEastAsia" w:eastAsiaTheme="minorEastAsia" w:cstheme="minorEastAsia"/>
                <w:color w:val="000000" w:themeColor="text1"/>
                <w:sz w:val="24"/>
                <w14:textFill>
                  <w14:solidFill>
                    <w14:schemeClr w14:val="tx1"/>
                  </w14:solidFill>
                </w14:textFill>
              </w:rPr>
            </w:pPr>
          </w:p>
        </w:tc>
      </w:tr>
    </w:tbl>
    <w:p>
      <w:pPr>
        <w:pStyle w:val="94"/>
        <w:spacing w:line="360" w:lineRule="auto"/>
        <w:ind w:right="-88"/>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说明：</w:t>
      </w:r>
    </w:p>
    <w:p>
      <w:pPr>
        <w:pStyle w:val="94"/>
        <w:spacing w:line="360" w:lineRule="auto"/>
        <w:ind w:right="-613"/>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1、环境标志产品根据财政部、环境保护部最新公布的环境标志产品政府采购清单确定。</w:t>
      </w:r>
    </w:p>
    <w:p>
      <w:pPr>
        <w:pStyle w:val="94"/>
        <w:spacing w:line="360" w:lineRule="auto"/>
        <w:ind w:left="1" w:right="-97"/>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2、如所投产品为环保产品，须提供所投产品在最新公布的环境标志产品政府采购清单所在页扫描件或相关网页截图，否则评分时不予认可。</w:t>
      </w:r>
    </w:p>
    <w:p>
      <w:pPr>
        <w:pStyle w:val="94"/>
        <w:spacing w:line="360" w:lineRule="auto"/>
        <w:ind w:right="-88"/>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3、如所投产品为环保产品，须按规定格式逐项填写，否则评分时不予认可。如所投产品不是环保产品，可不填此表。</w:t>
      </w:r>
    </w:p>
    <w:p>
      <w:pPr>
        <w:pStyle w:val="94"/>
        <w:spacing w:line="360" w:lineRule="auto"/>
        <w:ind w:right="-88"/>
        <w:rPr>
          <w:rFonts w:asciiTheme="minorEastAsia" w:hAnsiTheme="minorEastAsia" w:eastAsiaTheme="minorEastAsia" w:cstheme="minorEastAsia"/>
          <w:color w:val="000000" w:themeColor="text1"/>
          <w:sz w:val="24"/>
          <w14:textFill>
            <w14:solidFill>
              <w14:schemeClr w14:val="tx1"/>
            </w14:solidFill>
          </w14:textFill>
        </w:rPr>
      </w:pPr>
    </w:p>
    <w:p>
      <w:pPr>
        <w:pStyle w:val="94"/>
        <w:spacing w:line="360" w:lineRule="auto"/>
        <w:ind w:left="7560" w:right="-97" w:hanging="7560" w:hangingChars="3150"/>
        <w:jc w:val="right"/>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年   月   日</w:t>
      </w:r>
    </w:p>
    <w:p>
      <w:pPr>
        <w:pStyle w:val="94"/>
        <w:rPr>
          <w:rFonts w:asciiTheme="minorEastAsia" w:hAnsiTheme="minorEastAsia" w:eastAsiaTheme="minorEastAsia" w:cstheme="minorEastAsia"/>
          <w:b/>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br w:type="page"/>
      </w:r>
      <w:r>
        <w:rPr>
          <w:rFonts w:hint="eastAsia" w:asciiTheme="minorEastAsia" w:hAnsiTheme="minorEastAsia" w:eastAsiaTheme="minorEastAsia" w:cstheme="minorEastAsia"/>
          <w:color w:val="000000" w:themeColor="text1"/>
          <w:sz w:val="24"/>
          <w14:textFill>
            <w14:solidFill>
              <w14:schemeClr w14:val="tx1"/>
            </w14:solidFill>
          </w14:textFill>
        </w:rPr>
        <w:t>3）</w:t>
      </w:r>
      <w:r>
        <w:rPr>
          <w:rFonts w:hint="eastAsia" w:asciiTheme="minorEastAsia" w:hAnsiTheme="minorEastAsia" w:eastAsiaTheme="minorEastAsia" w:cstheme="minorEastAsia"/>
          <w:b/>
          <w:color w:val="000000" w:themeColor="text1"/>
          <w:sz w:val="24"/>
          <w14:textFill>
            <w14:solidFill>
              <w14:schemeClr w14:val="tx1"/>
            </w14:solidFill>
          </w14:textFill>
        </w:rPr>
        <w:t>节能产品明细表</w:t>
      </w:r>
    </w:p>
    <w:p>
      <w:pPr>
        <w:pStyle w:val="93"/>
        <w:spacing w:line="360" w:lineRule="auto"/>
        <w:ind w:left="0" w:leftChars="0" w:firstLine="0" w:firstLineChars="0"/>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项目编号：</w:t>
      </w:r>
      <w:r>
        <w:rPr>
          <w:rFonts w:hint="eastAsia" w:asciiTheme="minorEastAsia" w:hAnsiTheme="minorEastAsia" w:eastAsiaTheme="minorEastAsia" w:cstheme="minorEastAsia"/>
          <w:color w:val="000000" w:themeColor="text1"/>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14:textFill>
            <w14:solidFill>
              <w14:schemeClr w14:val="tx1"/>
            </w14:solidFill>
          </w14:textFill>
        </w:rPr>
        <w:t xml:space="preserve">                    价格单位：元</w:t>
      </w:r>
    </w:p>
    <w:tbl>
      <w:tblPr>
        <w:tblStyle w:val="38"/>
        <w:tblW w:w="106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1524"/>
        <w:gridCol w:w="1337"/>
        <w:gridCol w:w="1483"/>
        <w:gridCol w:w="1791"/>
        <w:gridCol w:w="2265"/>
        <w:gridCol w:w="13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tcBorders>
              <w:top w:val="single" w:color="auto" w:sz="12" w:space="0"/>
              <w:left w:val="single" w:color="auto" w:sz="12" w:space="0"/>
            </w:tcBorders>
          </w:tcPr>
          <w:p>
            <w:pPr>
              <w:pStyle w:val="94"/>
              <w:spacing w:line="360" w:lineRule="auto"/>
              <w:jc w:val="center"/>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序号</w:t>
            </w:r>
          </w:p>
        </w:tc>
        <w:tc>
          <w:tcPr>
            <w:tcW w:w="1524" w:type="dxa"/>
            <w:tcBorders>
              <w:top w:val="single" w:color="auto" w:sz="12" w:space="0"/>
            </w:tcBorders>
          </w:tcPr>
          <w:p>
            <w:pPr>
              <w:pStyle w:val="94"/>
              <w:spacing w:line="360" w:lineRule="auto"/>
              <w:jc w:val="center"/>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产品名称</w:t>
            </w:r>
          </w:p>
        </w:tc>
        <w:tc>
          <w:tcPr>
            <w:tcW w:w="1337" w:type="dxa"/>
            <w:tcBorders>
              <w:top w:val="single" w:color="auto" w:sz="12" w:space="0"/>
            </w:tcBorders>
          </w:tcPr>
          <w:p>
            <w:pPr>
              <w:pStyle w:val="94"/>
              <w:spacing w:line="360" w:lineRule="auto"/>
              <w:jc w:val="center"/>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制造商</w:t>
            </w:r>
          </w:p>
        </w:tc>
        <w:tc>
          <w:tcPr>
            <w:tcW w:w="1483" w:type="dxa"/>
            <w:tcBorders>
              <w:top w:val="single" w:color="auto" w:sz="12" w:space="0"/>
            </w:tcBorders>
          </w:tcPr>
          <w:p>
            <w:pPr>
              <w:pStyle w:val="94"/>
              <w:spacing w:line="360" w:lineRule="auto"/>
              <w:jc w:val="center"/>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产品型号</w:t>
            </w:r>
          </w:p>
        </w:tc>
        <w:tc>
          <w:tcPr>
            <w:tcW w:w="1791" w:type="dxa"/>
            <w:tcBorders>
              <w:top w:val="single" w:color="auto" w:sz="12" w:space="0"/>
            </w:tcBorders>
          </w:tcPr>
          <w:p>
            <w:pPr>
              <w:pStyle w:val="94"/>
              <w:spacing w:line="360" w:lineRule="auto"/>
              <w:jc w:val="center"/>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节能标志认证证书号</w:t>
            </w:r>
          </w:p>
        </w:tc>
        <w:tc>
          <w:tcPr>
            <w:tcW w:w="2265" w:type="dxa"/>
            <w:tcBorders>
              <w:top w:val="single" w:color="auto" w:sz="12" w:space="0"/>
            </w:tcBorders>
          </w:tcPr>
          <w:p>
            <w:pPr>
              <w:pStyle w:val="94"/>
              <w:spacing w:line="360" w:lineRule="auto"/>
              <w:jc w:val="center"/>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节能产品认证证书有效截止日期</w:t>
            </w:r>
          </w:p>
        </w:tc>
        <w:tc>
          <w:tcPr>
            <w:tcW w:w="1337" w:type="dxa"/>
            <w:tcBorders>
              <w:top w:val="single" w:color="auto" w:sz="12" w:space="0"/>
              <w:right w:val="single" w:color="auto" w:sz="12" w:space="0"/>
            </w:tcBorders>
          </w:tcPr>
          <w:p>
            <w:pPr>
              <w:pStyle w:val="94"/>
              <w:spacing w:line="360" w:lineRule="auto"/>
              <w:jc w:val="center"/>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876" w:type="dxa"/>
            <w:tcBorders>
              <w:left w:val="single" w:color="auto" w:sz="12" w:space="0"/>
            </w:tcBorders>
          </w:tcPr>
          <w:p>
            <w:pPr>
              <w:pStyle w:val="94"/>
              <w:spacing w:line="360" w:lineRule="auto"/>
              <w:ind w:right="480" w:firstLine="240" w:firstLineChars="100"/>
              <w:rPr>
                <w:rFonts w:asciiTheme="minorEastAsia" w:hAnsiTheme="minorEastAsia" w:eastAsiaTheme="minorEastAsia" w:cstheme="minorEastAsia"/>
                <w:color w:val="000000" w:themeColor="text1"/>
                <w:sz w:val="24"/>
                <w14:textFill>
                  <w14:solidFill>
                    <w14:schemeClr w14:val="tx1"/>
                  </w14:solidFill>
                </w14:textFill>
              </w:rPr>
            </w:pPr>
          </w:p>
          <w:p>
            <w:pPr>
              <w:pStyle w:val="94"/>
              <w:spacing w:line="360" w:lineRule="auto"/>
              <w:ind w:right="480" w:firstLine="240" w:firstLineChars="1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1</w:t>
            </w:r>
          </w:p>
        </w:tc>
        <w:tc>
          <w:tcPr>
            <w:tcW w:w="1524" w:type="dxa"/>
          </w:tcPr>
          <w:p>
            <w:pPr>
              <w:pStyle w:val="94"/>
              <w:spacing w:line="360" w:lineRule="auto"/>
              <w:ind w:right="480"/>
              <w:rPr>
                <w:rFonts w:asciiTheme="minorEastAsia" w:hAnsiTheme="minorEastAsia" w:eastAsiaTheme="minorEastAsia" w:cstheme="minorEastAsia"/>
                <w:color w:val="000000" w:themeColor="text1"/>
                <w:sz w:val="24"/>
                <w14:textFill>
                  <w14:solidFill>
                    <w14:schemeClr w14:val="tx1"/>
                  </w14:solidFill>
                </w14:textFill>
              </w:rPr>
            </w:pPr>
          </w:p>
        </w:tc>
        <w:tc>
          <w:tcPr>
            <w:tcW w:w="1337" w:type="dxa"/>
          </w:tcPr>
          <w:p>
            <w:pPr>
              <w:pStyle w:val="94"/>
              <w:spacing w:line="360" w:lineRule="auto"/>
              <w:ind w:right="480"/>
              <w:rPr>
                <w:rFonts w:asciiTheme="minorEastAsia" w:hAnsiTheme="minorEastAsia" w:eastAsiaTheme="minorEastAsia" w:cstheme="minorEastAsia"/>
                <w:color w:val="000000" w:themeColor="text1"/>
                <w:sz w:val="24"/>
                <w14:textFill>
                  <w14:solidFill>
                    <w14:schemeClr w14:val="tx1"/>
                  </w14:solidFill>
                </w14:textFill>
              </w:rPr>
            </w:pPr>
          </w:p>
        </w:tc>
        <w:tc>
          <w:tcPr>
            <w:tcW w:w="1483" w:type="dxa"/>
          </w:tcPr>
          <w:p>
            <w:pPr>
              <w:pStyle w:val="94"/>
              <w:spacing w:line="360" w:lineRule="auto"/>
              <w:ind w:right="480"/>
              <w:rPr>
                <w:rFonts w:asciiTheme="minorEastAsia" w:hAnsiTheme="minorEastAsia" w:eastAsiaTheme="minorEastAsia" w:cstheme="minorEastAsia"/>
                <w:color w:val="000000" w:themeColor="text1"/>
                <w:sz w:val="24"/>
                <w14:textFill>
                  <w14:solidFill>
                    <w14:schemeClr w14:val="tx1"/>
                  </w14:solidFill>
                </w14:textFill>
              </w:rPr>
            </w:pPr>
          </w:p>
        </w:tc>
        <w:tc>
          <w:tcPr>
            <w:tcW w:w="1791" w:type="dxa"/>
          </w:tcPr>
          <w:p>
            <w:pPr>
              <w:pStyle w:val="94"/>
              <w:spacing w:line="360" w:lineRule="auto"/>
              <w:ind w:right="480"/>
              <w:rPr>
                <w:rFonts w:asciiTheme="minorEastAsia" w:hAnsiTheme="minorEastAsia" w:eastAsiaTheme="minorEastAsia" w:cstheme="minorEastAsia"/>
                <w:color w:val="000000" w:themeColor="text1"/>
                <w:sz w:val="24"/>
                <w14:textFill>
                  <w14:solidFill>
                    <w14:schemeClr w14:val="tx1"/>
                  </w14:solidFill>
                </w14:textFill>
              </w:rPr>
            </w:pPr>
          </w:p>
        </w:tc>
        <w:tc>
          <w:tcPr>
            <w:tcW w:w="2265" w:type="dxa"/>
          </w:tcPr>
          <w:p>
            <w:pPr>
              <w:pStyle w:val="94"/>
              <w:spacing w:line="360" w:lineRule="auto"/>
              <w:ind w:right="480"/>
              <w:rPr>
                <w:rFonts w:asciiTheme="minorEastAsia" w:hAnsiTheme="minorEastAsia" w:eastAsiaTheme="minorEastAsia" w:cstheme="minorEastAsia"/>
                <w:color w:val="000000" w:themeColor="text1"/>
                <w:sz w:val="24"/>
                <w14:textFill>
                  <w14:solidFill>
                    <w14:schemeClr w14:val="tx1"/>
                  </w14:solidFill>
                </w14:textFill>
              </w:rPr>
            </w:pPr>
          </w:p>
        </w:tc>
        <w:tc>
          <w:tcPr>
            <w:tcW w:w="1337" w:type="dxa"/>
            <w:tcBorders>
              <w:right w:val="single" w:color="auto" w:sz="12" w:space="0"/>
            </w:tcBorders>
          </w:tcPr>
          <w:p>
            <w:pPr>
              <w:pStyle w:val="94"/>
              <w:spacing w:line="360" w:lineRule="auto"/>
              <w:ind w:right="480"/>
              <w:rPr>
                <w:rFonts w:asciiTheme="minorEastAsia" w:hAnsiTheme="minorEastAsia" w:eastAsiaTheme="minorEastAsia" w:cstheme="minorEastAsia"/>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876" w:type="dxa"/>
            <w:tcBorders>
              <w:left w:val="single" w:color="auto" w:sz="12" w:space="0"/>
            </w:tcBorders>
          </w:tcPr>
          <w:p>
            <w:pPr>
              <w:pStyle w:val="94"/>
              <w:spacing w:line="360" w:lineRule="auto"/>
              <w:ind w:right="480" w:firstLine="240" w:firstLineChars="100"/>
              <w:rPr>
                <w:rFonts w:asciiTheme="minorEastAsia" w:hAnsiTheme="minorEastAsia" w:eastAsiaTheme="minorEastAsia" w:cstheme="minorEastAsia"/>
                <w:color w:val="000000" w:themeColor="text1"/>
                <w:sz w:val="24"/>
                <w14:textFill>
                  <w14:solidFill>
                    <w14:schemeClr w14:val="tx1"/>
                  </w14:solidFill>
                </w14:textFill>
              </w:rPr>
            </w:pPr>
          </w:p>
          <w:p>
            <w:pPr>
              <w:pStyle w:val="94"/>
              <w:spacing w:line="360" w:lineRule="auto"/>
              <w:ind w:right="480" w:firstLine="240" w:firstLineChars="1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2</w:t>
            </w:r>
          </w:p>
        </w:tc>
        <w:tc>
          <w:tcPr>
            <w:tcW w:w="1524" w:type="dxa"/>
          </w:tcPr>
          <w:p>
            <w:pPr>
              <w:pStyle w:val="94"/>
              <w:spacing w:line="360" w:lineRule="auto"/>
              <w:ind w:right="480"/>
              <w:rPr>
                <w:rFonts w:asciiTheme="minorEastAsia" w:hAnsiTheme="minorEastAsia" w:eastAsiaTheme="minorEastAsia" w:cstheme="minorEastAsia"/>
                <w:color w:val="000000" w:themeColor="text1"/>
                <w:sz w:val="24"/>
                <w14:textFill>
                  <w14:solidFill>
                    <w14:schemeClr w14:val="tx1"/>
                  </w14:solidFill>
                </w14:textFill>
              </w:rPr>
            </w:pPr>
          </w:p>
        </w:tc>
        <w:tc>
          <w:tcPr>
            <w:tcW w:w="1337" w:type="dxa"/>
          </w:tcPr>
          <w:p>
            <w:pPr>
              <w:pStyle w:val="94"/>
              <w:spacing w:line="360" w:lineRule="auto"/>
              <w:ind w:right="480"/>
              <w:rPr>
                <w:rFonts w:asciiTheme="minorEastAsia" w:hAnsiTheme="minorEastAsia" w:eastAsiaTheme="minorEastAsia" w:cstheme="minorEastAsia"/>
                <w:color w:val="000000" w:themeColor="text1"/>
                <w:sz w:val="24"/>
                <w14:textFill>
                  <w14:solidFill>
                    <w14:schemeClr w14:val="tx1"/>
                  </w14:solidFill>
                </w14:textFill>
              </w:rPr>
            </w:pPr>
          </w:p>
        </w:tc>
        <w:tc>
          <w:tcPr>
            <w:tcW w:w="1483" w:type="dxa"/>
          </w:tcPr>
          <w:p>
            <w:pPr>
              <w:pStyle w:val="94"/>
              <w:spacing w:line="360" w:lineRule="auto"/>
              <w:ind w:right="480"/>
              <w:rPr>
                <w:rFonts w:asciiTheme="minorEastAsia" w:hAnsiTheme="minorEastAsia" w:eastAsiaTheme="minorEastAsia" w:cstheme="minorEastAsia"/>
                <w:color w:val="000000" w:themeColor="text1"/>
                <w:sz w:val="24"/>
                <w14:textFill>
                  <w14:solidFill>
                    <w14:schemeClr w14:val="tx1"/>
                  </w14:solidFill>
                </w14:textFill>
              </w:rPr>
            </w:pPr>
          </w:p>
        </w:tc>
        <w:tc>
          <w:tcPr>
            <w:tcW w:w="1791" w:type="dxa"/>
          </w:tcPr>
          <w:p>
            <w:pPr>
              <w:pStyle w:val="94"/>
              <w:spacing w:line="360" w:lineRule="auto"/>
              <w:ind w:right="480"/>
              <w:rPr>
                <w:rFonts w:asciiTheme="minorEastAsia" w:hAnsiTheme="minorEastAsia" w:eastAsiaTheme="minorEastAsia" w:cstheme="minorEastAsia"/>
                <w:color w:val="000000" w:themeColor="text1"/>
                <w:sz w:val="24"/>
                <w14:textFill>
                  <w14:solidFill>
                    <w14:schemeClr w14:val="tx1"/>
                  </w14:solidFill>
                </w14:textFill>
              </w:rPr>
            </w:pPr>
          </w:p>
        </w:tc>
        <w:tc>
          <w:tcPr>
            <w:tcW w:w="2265" w:type="dxa"/>
          </w:tcPr>
          <w:p>
            <w:pPr>
              <w:pStyle w:val="94"/>
              <w:spacing w:line="360" w:lineRule="auto"/>
              <w:ind w:right="480"/>
              <w:rPr>
                <w:rFonts w:asciiTheme="minorEastAsia" w:hAnsiTheme="minorEastAsia" w:eastAsiaTheme="minorEastAsia" w:cstheme="minorEastAsia"/>
                <w:color w:val="000000" w:themeColor="text1"/>
                <w:sz w:val="24"/>
                <w14:textFill>
                  <w14:solidFill>
                    <w14:schemeClr w14:val="tx1"/>
                  </w14:solidFill>
                </w14:textFill>
              </w:rPr>
            </w:pPr>
          </w:p>
        </w:tc>
        <w:tc>
          <w:tcPr>
            <w:tcW w:w="1337" w:type="dxa"/>
            <w:tcBorders>
              <w:right w:val="single" w:color="auto" w:sz="12" w:space="0"/>
            </w:tcBorders>
          </w:tcPr>
          <w:p>
            <w:pPr>
              <w:pStyle w:val="94"/>
              <w:spacing w:line="360" w:lineRule="auto"/>
              <w:ind w:right="480"/>
              <w:rPr>
                <w:rFonts w:asciiTheme="minorEastAsia" w:hAnsiTheme="minorEastAsia" w:eastAsiaTheme="minorEastAsia" w:cstheme="minorEastAsia"/>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876" w:type="dxa"/>
            <w:tcBorders>
              <w:left w:val="single" w:color="auto" w:sz="12" w:space="0"/>
            </w:tcBorders>
          </w:tcPr>
          <w:p>
            <w:pPr>
              <w:pStyle w:val="94"/>
              <w:spacing w:line="360" w:lineRule="auto"/>
              <w:ind w:right="480" w:firstLine="240" w:firstLineChars="100"/>
              <w:rPr>
                <w:rFonts w:asciiTheme="minorEastAsia" w:hAnsiTheme="minorEastAsia" w:eastAsiaTheme="minorEastAsia" w:cstheme="minorEastAsia"/>
                <w:color w:val="000000" w:themeColor="text1"/>
                <w:sz w:val="24"/>
                <w14:textFill>
                  <w14:solidFill>
                    <w14:schemeClr w14:val="tx1"/>
                  </w14:solidFill>
                </w14:textFill>
              </w:rPr>
            </w:pPr>
          </w:p>
          <w:p>
            <w:pPr>
              <w:pStyle w:val="94"/>
              <w:spacing w:line="360" w:lineRule="auto"/>
              <w:ind w:right="480" w:firstLine="240" w:firstLineChars="1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3</w:t>
            </w:r>
          </w:p>
        </w:tc>
        <w:tc>
          <w:tcPr>
            <w:tcW w:w="1524" w:type="dxa"/>
          </w:tcPr>
          <w:p>
            <w:pPr>
              <w:pStyle w:val="94"/>
              <w:spacing w:line="360" w:lineRule="auto"/>
              <w:ind w:right="480" w:firstLine="480" w:firstLineChars="200"/>
              <w:rPr>
                <w:rFonts w:asciiTheme="minorEastAsia" w:hAnsiTheme="minorEastAsia" w:eastAsiaTheme="minorEastAsia" w:cstheme="minorEastAsia"/>
                <w:color w:val="000000" w:themeColor="text1"/>
                <w:sz w:val="24"/>
                <w14:textFill>
                  <w14:solidFill>
                    <w14:schemeClr w14:val="tx1"/>
                  </w14:solidFill>
                </w14:textFill>
              </w:rPr>
            </w:pPr>
          </w:p>
          <w:p>
            <w:pPr>
              <w:pStyle w:val="94"/>
              <w:spacing w:line="360" w:lineRule="auto"/>
              <w:ind w:right="480" w:firstLine="600" w:firstLineChars="25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w:t>
            </w:r>
          </w:p>
        </w:tc>
        <w:tc>
          <w:tcPr>
            <w:tcW w:w="1337" w:type="dxa"/>
          </w:tcPr>
          <w:p>
            <w:pPr>
              <w:pStyle w:val="94"/>
              <w:spacing w:line="360" w:lineRule="auto"/>
              <w:ind w:right="480"/>
              <w:rPr>
                <w:rFonts w:asciiTheme="minorEastAsia" w:hAnsiTheme="minorEastAsia" w:eastAsiaTheme="minorEastAsia" w:cstheme="minorEastAsia"/>
                <w:color w:val="000000" w:themeColor="text1"/>
                <w:sz w:val="24"/>
                <w14:textFill>
                  <w14:solidFill>
                    <w14:schemeClr w14:val="tx1"/>
                  </w14:solidFill>
                </w14:textFill>
              </w:rPr>
            </w:pPr>
          </w:p>
        </w:tc>
        <w:tc>
          <w:tcPr>
            <w:tcW w:w="1483" w:type="dxa"/>
          </w:tcPr>
          <w:p>
            <w:pPr>
              <w:pStyle w:val="94"/>
              <w:spacing w:line="360" w:lineRule="auto"/>
              <w:ind w:right="480"/>
              <w:rPr>
                <w:rFonts w:asciiTheme="minorEastAsia" w:hAnsiTheme="minorEastAsia" w:eastAsiaTheme="minorEastAsia" w:cstheme="minorEastAsia"/>
                <w:color w:val="000000" w:themeColor="text1"/>
                <w:sz w:val="24"/>
                <w14:textFill>
                  <w14:solidFill>
                    <w14:schemeClr w14:val="tx1"/>
                  </w14:solidFill>
                </w14:textFill>
              </w:rPr>
            </w:pPr>
          </w:p>
        </w:tc>
        <w:tc>
          <w:tcPr>
            <w:tcW w:w="1791" w:type="dxa"/>
          </w:tcPr>
          <w:p>
            <w:pPr>
              <w:pStyle w:val="94"/>
              <w:spacing w:line="360" w:lineRule="auto"/>
              <w:ind w:right="480"/>
              <w:rPr>
                <w:rFonts w:asciiTheme="minorEastAsia" w:hAnsiTheme="minorEastAsia" w:eastAsiaTheme="minorEastAsia" w:cstheme="minorEastAsia"/>
                <w:color w:val="000000" w:themeColor="text1"/>
                <w:sz w:val="24"/>
                <w14:textFill>
                  <w14:solidFill>
                    <w14:schemeClr w14:val="tx1"/>
                  </w14:solidFill>
                </w14:textFill>
              </w:rPr>
            </w:pPr>
          </w:p>
        </w:tc>
        <w:tc>
          <w:tcPr>
            <w:tcW w:w="2265" w:type="dxa"/>
          </w:tcPr>
          <w:p>
            <w:pPr>
              <w:pStyle w:val="94"/>
              <w:spacing w:line="360" w:lineRule="auto"/>
              <w:ind w:right="480"/>
              <w:rPr>
                <w:rFonts w:asciiTheme="minorEastAsia" w:hAnsiTheme="minorEastAsia" w:eastAsiaTheme="minorEastAsia" w:cstheme="minorEastAsia"/>
                <w:color w:val="000000" w:themeColor="text1"/>
                <w:sz w:val="24"/>
                <w14:textFill>
                  <w14:solidFill>
                    <w14:schemeClr w14:val="tx1"/>
                  </w14:solidFill>
                </w14:textFill>
              </w:rPr>
            </w:pPr>
          </w:p>
        </w:tc>
        <w:tc>
          <w:tcPr>
            <w:tcW w:w="1337" w:type="dxa"/>
            <w:tcBorders>
              <w:right w:val="single" w:color="auto" w:sz="12" w:space="0"/>
            </w:tcBorders>
          </w:tcPr>
          <w:p>
            <w:pPr>
              <w:pStyle w:val="94"/>
              <w:spacing w:line="360" w:lineRule="auto"/>
              <w:ind w:right="480"/>
              <w:rPr>
                <w:rFonts w:asciiTheme="minorEastAsia" w:hAnsiTheme="minorEastAsia" w:eastAsiaTheme="minorEastAsia" w:cstheme="minorEastAsia"/>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876" w:type="dxa"/>
            <w:tcBorders>
              <w:left w:val="single" w:color="auto" w:sz="12" w:space="0"/>
              <w:bottom w:val="single" w:color="auto" w:sz="12" w:space="0"/>
            </w:tcBorders>
          </w:tcPr>
          <w:p>
            <w:pPr>
              <w:pStyle w:val="94"/>
              <w:spacing w:line="360" w:lineRule="auto"/>
              <w:ind w:right="480" w:firstLine="240" w:firstLineChars="100"/>
              <w:rPr>
                <w:rFonts w:asciiTheme="minorEastAsia" w:hAnsiTheme="minorEastAsia" w:eastAsiaTheme="minorEastAsia" w:cstheme="minorEastAsia"/>
                <w:color w:val="000000" w:themeColor="text1"/>
                <w:sz w:val="24"/>
                <w14:textFill>
                  <w14:solidFill>
                    <w14:schemeClr w14:val="tx1"/>
                  </w14:solidFill>
                </w14:textFill>
              </w:rPr>
            </w:pPr>
          </w:p>
          <w:p>
            <w:pPr>
              <w:pStyle w:val="94"/>
              <w:spacing w:line="360" w:lineRule="auto"/>
              <w:ind w:right="480" w:firstLine="240" w:firstLineChars="1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4</w:t>
            </w:r>
          </w:p>
        </w:tc>
        <w:tc>
          <w:tcPr>
            <w:tcW w:w="1524" w:type="dxa"/>
            <w:tcBorders>
              <w:bottom w:val="single" w:color="auto" w:sz="12" w:space="0"/>
            </w:tcBorders>
            <w:vAlign w:val="center"/>
          </w:tcPr>
          <w:p>
            <w:pPr>
              <w:pStyle w:val="94"/>
              <w:spacing w:line="360" w:lineRule="auto"/>
              <w:ind w:right="83" w:firstLine="120" w:firstLineChars="50"/>
              <w:jc w:val="center"/>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合计</w:t>
            </w:r>
          </w:p>
        </w:tc>
        <w:tc>
          <w:tcPr>
            <w:tcW w:w="1337" w:type="dxa"/>
            <w:tcBorders>
              <w:bottom w:val="single" w:color="auto" w:sz="12" w:space="0"/>
            </w:tcBorders>
          </w:tcPr>
          <w:p>
            <w:pPr>
              <w:pStyle w:val="94"/>
              <w:spacing w:line="360" w:lineRule="auto"/>
              <w:ind w:right="480"/>
              <w:rPr>
                <w:rFonts w:asciiTheme="minorEastAsia" w:hAnsiTheme="minorEastAsia" w:eastAsiaTheme="minorEastAsia" w:cstheme="minorEastAsia"/>
                <w:color w:val="000000" w:themeColor="text1"/>
                <w:sz w:val="24"/>
                <w14:textFill>
                  <w14:solidFill>
                    <w14:schemeClr w14:val="tx1"/>
                  </w14:solidFill>
                </w14:textFill>
              </w:rPr>
            </w:pPr>
          </w:p>
        </w:tc>
        <w:tc>
          <w:tcPr>
            <w:tcW w:w="1483" w:type="dxa"/>
            <w:tcBorders>
              <w:bottom w:val="single" w:color="auto" w:sz="12" w:space="0"/>
            </w:tcBorders>
          </w:tcPr>
          <w:p>
            <w:pPr>
              <w:pStyle w:val="94"/>
              <w:spacing w:line="360" w:lineRule="auto"/>
              <w:ind w:right="480"/>
              <w:rPr>
                <w:rFonts w:asciiTheme="minorEastAsia" w:hAnsiTheme="minorEastAsia" w:eastAsiaTheme="minorEastAsia" w:cstheme="minorEastAsia"/>
                <w:color w:val="000000" w:themeColor="text1"/>
                <w:sz w:val="24"/>
                <w14:textFill>
                  <w14:solidFill>
                    <w14:schemeClr w14:val="tx1"/>
                  </w14:solidFill>
                </w14:textFill>
              </w:rPr>
            </w:pPr>
          </w:p>
        </w:tc>
        <w:tc>
          <w:tcPr>
            <w:tcW w:w="1791" w:type="dxa"/>
            <w:tcBorders>
              <w:bottom w:val="single" w:color="auto" w:sz="12" w:space="0"/>
            </w:tcBorders>
          </w:tcPr>
          <w:p>
            <w:pPr>
              <w:pStyle w:val="94"/>
              <w:spacing w:line="360" w:lineRule="auto"/>
              <w:ind w:right="480"/>
              <w:rPr>
                <w:rFonts w:asciiTheme="minorEastAsia" w:hAnsiTheme="minorEastAsia" w:eastAsiaTheme="minorEastAsia" w:cstheme="minorEastAsia"/>
                <w:color w:val="000000" w:themeColor="text1"/>
                <w:sz w:val="24"/>
                <w14:textFill>
                  <w14:solidFill>
                    <w14:schemeClr w14:val="tx1"/>
                  </w14:solidFill>
                </w14:textFill>
              </w:rPr>
            </w:pPr>
          </w:p>
        </w:tc>
        <w:tc>
          <w:tcPr>
            <w:tcW w:w="2265" w:type="dxa"/>
            <w:tcBorders>
              <w:bottom w:val="single" w:color="auto" w:sz="12" w:space="0"/>
            </w:tcBorders>
          </w:tcPr>
          <w:p>
            <w:pPr>
              <w:pStyle w:val="94"/>
              <w:spacing w:line="360" w:lineRule="auto"/>
              <w:ind w:right="480"/>
              <w:rPr>
                <w:rFonts w:asciiTheme="minorEastAsia" w:hAnsiTheme="minorEastAsia" w:eastAsiaTheme="minorEastAsia" w:cstheme="minorEastAsia"/>
                <w:color w:val="000000" w:themeColor="text1"/>
                <w:sz w:val="24"/>
                <w14:textFill>
                  <w14:solidFill>
                    <w14:schemeClr w14:val="tx1"/>
                  </w14:solidFill>
                </w14:textFill>
              </w:rPr>
            </w:pPr>
          </w:p>
        </w:tc>
        <w:tc>
          <w:tcPr>
            <w:tcW w:w="1337" w:type="dxa"/>
            <w:tcBorders>
              <w:bottom w:val="single" w:color="auto" w:sz="12" w:space="0"/>
              <w:right w:val="single" w:color="auto" w:sz="12" w:space="0"/>
            </w:tcBorders>
          </w:tcPr>
          <w:p>
            <w:pPr>
              <w:pStyle w:val="94"/>
              <w:spacing w:line="360" w:lineRule="auto"/>
              <w:ind w:right="480"/>
              <w:rPr>
                <w:rFonts w:asciiTheme="minorEastAsia" w:hAnsiTheme="minorEastAsia" w:eastAsiaTheme="minorEastAsia" w:cstheme="minorEastAsia"/>
                <w:color w:val="000000" w:themeColor="text1"/>
                <w:sz w:val="24"/>
                <w14:textFill>
                  <w14:solidFill>
                    <w14:schemeClr w14:val="tx1"/>
                  </w14:solidFill>
                </w14:textFill>
              </w:rPr>
            </w:pPr>
          </w:p>
        </w:tc>
      </w:tr>
    </w:tbl>
    <w:p>
      <w:pPr>
        <w:pStyle w:val="94"/>
        <w:spacing w:line="360" w:lineRule="auto"/>
        <w:ind w:left="1080" w:right="-96" w:hanging="1080" w:hangingChars="45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说明：</w:t>
      </w:r>
    </w:p>
    <w:p>
      <w:pPr>
        <w:pStyle w:val="94"/>
        <w:spacing w:line="360" w:lineRule="auto"/>
        <w:ind w:left="1080" w:right="-96" w:hanging="1080" w:hangingChars="45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1、节能产品根据财政部、国家发展改革委最新公布的节能产品政府采购清单确定。</w:t>
      </w:r>
    </w:p>
    <w:p>
      <w:pPr>
        <w:pStyle w:val="94"/>
        <w:spacing w:line="360" w:lineRule="auto"/>
        <w:ind w:right="-96"/>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2、如所投产品为节能产品，须提供所投产品在最新公布的节能产品政府采购清单所在页扫描件或相关网页截图，否则评分时不予认可。</w:t>
      </w:r>
    </w:p>
    <w:p>
      <w:pPr>
        <w:pStyle w:val="94"/>
        <w:spacing w:line="360" w:lineRule="auto"/>
        <w:ind w:right="-96"/>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3、如所投产品为节能产品，须按规定格式逐项填写，否则评分时不予认可。如所投产品不是节能产品，可不填此表。</w:t>
      </w:r>
    </w:p>
    <w:p>
      <w:pPr>
        <w:pStyle w:val="94"/>
        <w:spacing w:line="360" w:lineRule="auto"/>
        <w:ind w:right="-96"/>
        <w:rPr>
          <w:rFonts w:asciiTheme="minorEastAsia" w:hAnsiTheme="minorEastAsia" w:eastAsiaTheme="minorEastAsia" w:cstheme="minorEastAsia"/>
          <w:color w:val="000000" w:themeColor="text1"/>
          <w:sz w:val="24"/>
          <w14:textFill>
            <w14:solidFill>
              <w14:schemeClr w14:val="tx1"/>
            </w14:solidFill>
          </w14:textFill>
        </w:rPr>
      </w:pPr>
    </w:p>
    <w:p>
      <w:pPr>
        <w:pStyle w:val="94"/>
        <w:spacing w:line="360" w:lineRule="auto"/>
        <w:ind w:right="17"/>
        <w:jc w:val="right"/>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年   月   日</w:t>
      </w:r>
    </w:p>
    <w:p>
      <w:pPr>
        <w:pStyle w:val="94"/>
        <w:rPr>
          <w:rFonts w:asciiTheme="minorEastAsia" w:hAnsiTheme="minorEastAsia" w:eastAsiaTheme="minorEastAsia" w:cstheme="minorEastAsia"/>
          <w:b/>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br w:type="page"/>
      </w:r>
      <w:r>
        <w:rPr>
          <w:rFonts w:hint="eastAsia" w:asciiTheme="minorEastAsia" w:hAnsiTheme="minorEastAsia" w:eastAsiaTheme="minorEastAsia" w:cstheme="minorEastAsia"/>
          <w:b/>
          <w:color w:val="000000" w:themeColor="text1"/>
          <w:sz w:val="24"/>
          <w14:textFill>
            <w14:solidFill>
              <w14:schemeClr w14:val="tx1"/>
            </w14:solidFill>
          </w14:textFill>
        </w:rPr>
        <w:t>4）小、微型企业产品明细表</w:t>
      </w:r>
    </w:p>
    <w:p>
      <w:pPr>
        <w:pStyle w:val="93"/>
        <w:spacing w:line="360" w:lineRule="auto"/>
        <w:ind w:left="0" w:leftChars="0" w:firstLine="0" w:firstLineChars="0"/>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项目编号：</w:t>
      </w:r>
      <w:r>
        <w:rPr>
          <w:rFonts w:hint="eastAsia" w:asciiTheme="minorEastAsia" w:hAnsiTheme="minorEastAsia" w:eastAsiaTheme="minorEastAsia" w:cstheme="minorEastAsia"/>
          <w:color w:val="000000" w:themeColor="text1"/>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14:textFill>
            <w14:solidFill>
              <w14:schemeClr w14:val="tx1"/>
            </w14:solidFill>
          </w14:textFill>
        </w:rPr>
        <w:t xml:space="preserve">                    价格单位：元</w:t>
      </w:r>
    </w:p>
    <w:tbl>
      <w:tblPr>
        <w:tblStyle w:val="38"/>
        <w:tblW w:w="85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
        <w:gridCol w:w="1719"/>
        <w:gridCol w:w="2101"/>
        <w:gridCol w:w="1719"/>
        <w:gridCol w:w="20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955" w:type="dxa"/>
            <w:tcBorders>
              <w:top w:val="single" w:color="auto" w:sz="12" w:space="0"/>
              <w:left w:val="single" w:color="auto" w:sz="12" w:space="0"/>
            </w:tcBorders>
            <w:vAlign w:val="center"/>
          </w:tcPr>
          <w:p>
            <w:pPr>
              <w:pStyle w:val="94"/>
              <w:spacing w:line="360" w:lineRule="auto"/>
              <w:jc w:val="center"/>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序号</w:t>
            </w:r>
          </w:p>
        </w:tc>
        <w:tc>
          <w:tcPr>
            <w:tcW w:w="1719" w:type="dxa"/>
            <w:tcBorders>
              <w:top w:val="single" w:color="auto" w:sz="12" w:space="0"/>
            </w:tcBorders>
            <w:vAlign w:val="center"/>
          </w:tcPr>
          <w:p>
            <w:pPr>
              <w:pStyle w:val="94"/>
              <w:spacing w:line="360" w:lineRule="auto"/>
              <w:jc w:val="center"/>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产品名称</w:t>
            </w:r>
          </w:p>
        </w:tc>
        <w:tc>
          <w:tcPr>
            <w:tcW w:w="2101" w:type="dxa"/>
            <w:tcBorders>
              <w:top w:val="single" w:color="auto" w:sz="12" w:space="0"/>
            </w:tcBorders>
            <w:vAlign w:val="center"/>
          </w:tcPr>
          <w:p>
            <w:pPr>
              <w:pStyle w:val="94"/>
              <w:spacing w:line="360" w:lineRule="auto"/>
              <w:jc w:val="center"/>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制造商</w:t>
            </w:r>
          </w:p>
        </w:tc>
        <w:tc>
          <w:tcPr>
            <w:tcW w:w="1719" w:type="dxa"/>
            <w:tcBorders>
              <w:top w:val="single" w:color="auto" w:sz="12" w:space="0"/>
            </w:tcBorders>
            <w:vAlign w:val="center"/>
          </w:tcPr>
          <w:p>
            <w:pPr>
              <w:pStyle w:val="94"/>
              <w:spacing w:line="360" w:lineRule="auto"/>
              <w:jc w:val="center"/>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产品型号</w:t>
            </w:r>
          </w:p>
        </w:tc>
        <w:tc>
          <w:tcPr>
            <w:tcW w:w="2076" w:type="dxa"/>
            <w:tcBorders>
              <w:top w:val="single" w:color="auto" w:sz="12" w:space="0"/>
              <w:right w:val="single" w:color="auto" w:sz="12" w:space="0"/>
            </w:tcBorders>
            <w:vAlign w:val="center"/>
          </w:tcPr>
          <w:p>
            <w:pPr>
              <w:pStyle w:val="94"/>
              <w:spacing w:line="360" w:lineRule="auto"/>
              <w:jc w:val="center"/>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55" w:type="dxa"/>
            <w:tcBorders>
              <w:left w:val="single" w:color="auto" w:sz="12" w:space="0"/>
            </w:tcBorders>
          </w:tcPr>
          <w:p>
            <w:pPr>
              <w:pStyle w:val="94"/>
              <w:spacing w:line="360" w:lineRule="auto"/>
              <w:ind w:right="480" w:firstLine="240" w:firstLineChars="100"/>
              <w:rPr>
                <w:rFonts w:asciiTheme="minorEastAsia" w:hAnsiTheme="minorEastAsia" w:eastAsiaTheme="minorEastAsia" w:cstheme="minorEastAsia"/>
                <w:color w:val="000000" w:themeColor="text1"/>
                <w:sz w:val="24"/>
                <w14:textFill>
                  <w14:solidFill>
                    <w14:schemeClr w14:val="tx1"/>
                  </w14:solidFill>
                </w14:textFill>
              </w:rPr>
            </w:pPr>
          </w:p>
          <w:p>
            <w:pPr>
              <w:pStyle w:val="94"/>
              <w:spacing w:line="360" w:lineRule="auto"/>
              <w:ind w:right="480" w:firstLine="360" w:firstLineChars="15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1</w:t>
            </w:r>
          </w:p>
        </w:tc>
        <w:tc>
          <w:tcPr>
            <w:tcW w:w="1719" w:type="dxa"/>
          </w:tcPr>
          <w:p>
            <w:pPr>
              <w:pStyle w:val="94"/>
              <w:spacing w:line="360" w:lineRule="auto"/>
              <w:ind w:right="480"/>
              <w:rPr>
                <w:rFonts w:asciiTheme="minorEastAsia" w:hAnsiTheme="minorEastAsia" w:eastAsiaTheme="minorEastAsia" w:cstheme="minorEastAsia"/>
                <w:color w:val="000000" w:themeColor="text1"/>
                <w:sz w:val="24"/>
                <w14:textFill>
                  <w14:solidFill>
                    <w14:schemeClr w14:val="tx1"/>
                  </w14:solidFill>
                </w14:textFill>
              </w:rPr>
            </w:pPr>
          </w:p>
        </w:tc>
        <w:tc>
          <w:tcPr>
            <w:tcW w:w="2101" w:type="dxa"/>
          </w:tcPr>
          <w:p>
            <w:pPr>
              <w:pStyle w:val="94"/>
              <w:spacing w:line="360" w:lineRule="auto"/>
              <w:ind w:right="480"/>
              <w:rPr>
                <w:rFonts w:asciiTheme="minorEastAsia" w:hAnsiTheme="minorEastAsia" w:eastAsiaTheme="minorEastAsia" w:cstheme="minorEastAsia"/>
                <w:color w:val="000000" w:themeColor="text1"/>
                <w:sz w:val="24"/>
                <w14:textFill>
                  <w14:solidFill>
                    <w14:schemeClr w14:val="tx1"/>
                  </w14:solidFill>
                </w14:textFill>
              </w:rPr>
            </w:pPr>
          </w:p>
        </w:tc>
        <w:tc>
          <w:tcPr>
            <w:tcW w:w="1719" w:type="dxa"/>
          </w:tcPr>
          <w:p>
            <w:pPr>
              <w:pStyle w:val="94"/>
              <w:spacing w:line="360" w:lineRule="auto"/>
              <w:ind w:right="480"/>
              <w:rPr>
                <w:rFonts w:asciiTheme="minorEastAsia" w:hAnsiTheme="minorEastAsia" w:eastAsiaTheme="minorEastAsia" w:cstheme="minorEastAsia"/>
                <w:color w:val="000000" w:themeColor="text1"/>
                <w:sz w:val="24"/>
                <w14:textFill>
                  <w14:solidFill>
                    <w14:schemeClr w14:val="tx1"/>
                  </w14:solidFill>
                </w14:textFill>
              </w:rPr>
            </w:pPr>
          </w:p>
        </w:tc>
        <w:tc>
          <w:tcPr>
            <w:tcW w:w="2076" w:type="dxa"/>
            <w:tcBorders>
              <w:right w:val="single" w:color="auto" w:sz="12" w:space="0"/>
            </w:tcBorders>
          </w:tcPr>
          <w:p>
            <w:pPr>
              <w:pStyle w:val="94"/>
              <w:spacing w:line="360" w:lineRule="auto"/>
              <w:ind w:right="480"/>
              <w:rPr>
                <w:rFonts w:asciiTheme="minorEastAsia" w:hAnsiTheme="minorEastAsia" w:eastAsiaTheme="minorEastAsia" w:cstheme="minorEastAsia"/>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55" w:type="dxa"/>
            <w:tcBorders>
              <w:left w:val="single" w:color="auto" w:sz="12" w:space="0"/>
            </w:tcBorders>
          </w:tcPr>
          <w:p>
            <w:pPr>
              <w:pStyle w:val="94"/>
              <w:spacing w:line="360" w:lineRule="auto"/>
              <w:ind w:right="480" w:firstLine="360" w:firstLineChars="150"/>
              <w:rPr>
                <w:rFonts w:asciiTheme="minorEastAsia" w:hAnsiTheme="minorEastAsia" w:eastAsiaTheme="minorEastAsia" w:cstheme="minorEastAsia"/>
                <w:color w:val="000000" w:themeColor="text1"/>
                <w:sz w:val="24"/>
                <w14:textFill>
                  <w14:solidFill>
                    <w14:schemeClr w14:val="tx1"/>
                  </w14:solidFill>
                </w14:textFill>
              </w:rPr>
            </w:pPr>
          </w:p>
          <w:p>
            <w:pPr>
              <w:pStyle w:val="94"/>
              <w:spacing w:line="360" w:lineRule="auto"/>
              <w:ind w:right="480" w:firstLine="360" w:firstLineChars="15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2</w:t>
            </w:r>
          </w:p>
        </w:tc>
        <w:tc>
          <w:tcPr>
            <w:tcW w:w="1719" w:type="dxa"/>
          </w:tcPr>
          <w:p>
            <w:pPr>
              <w:pStyle w:val="94"/>
              <w:spacing w:line="360" w:lineRule="auto"/>
              <w:ind w:right="480"/>
              <w:rPr>
                <w:rFonts w:asciiTheme="minorEastAsia" w:hAnsiTheme="minorEastAsia" w:eastAsiaTheme="minorEastAsia" w:cstheme="minorEastAsia"/>
                <w:color w:val="000000" w:themeColor="text1"/>
                <w:sz w:val="24"/>
                <w14:textFill>
                  <w14:solidFill>
                    <w14:schemeClr w14:val="tx1"/>
                  </w14:solidFill>
                </w14:textFill>
              </w:rPr>
            </w:pPr>
          </w:p>
        </w:tc>
        <w:tc>
          <w:tcPr>
            <w:tcW w:w="2101" w:type="dxa"/>
          </w:tcPr>
          <w:p>
            <w:pPr>
              <w:pStyle w:val="94"/>
              <w:spacing w:line="360" w:lineRule="auto"/>
              <w:ind w:right="480"/>
              <w:rPr>
                <w:rFonts w:asciiTheme="minorEastAsia" w:hAnsiTheme="minorEastAsia" w:eastAsiaTheme="minorEastAsia" w:cstheme="minorEastAsia"/>
                <w:color w:val="000000" w:themeColor="text1"/>
                <w:sz w:val="24"/>
                <w14:textFill>
                  <w14:solidFill>
                    <w14:schemeClr w14:val="tx1"/>
                  </w14:solidFill>
                </w14:textFill>
              </w:rPr>
            </w:pPr>
          </w:p>
        </w:tc>
        <w:tc>
          <w:tcPr>
            <w:tcW w:w="1719" w:type="dxa"/>
          </w:tcPr>
          <w:p>
            <w:pPr>
              <w:pStyle w:val="94"/>
              <w:spacing w:line="360" w:lineRule="auto"/>
              <w:ind w:right="480"/>
              <w:rPr>
                <w:rFonts w:asciiTheme="minorEastAsia" w:hAnsiTheme="minorEastAsia" w:eastAsiaTheme="minorEastAsia" w:cstheme="minorEastAsia"/>
                <w:color w:val="000000" w:themeColor="text1"/>
                <w:sz w:val="24"/>
                <w14:textFill>
                  <w14:solidFill>
                    <w14:schemeClr w14:val="tx1"/>
                  </w14:solidFill>
                </w14:textFill>
              </w:rPr>
            </w:pPr>
          </w:p>
        </w:tc>
        <w:tc>
          <w:tcPr>
            <w:tcW w:w="2076" w:type="dxa"/>
            <w:tcBorders>
              <w:right w:val="single" w:color="auto" w:sz="12" w:space="0"/>
            </w:tcBorders>
          </w:tcPr>
          <w:p>
            <w:pPr>
              <w:pStyle w:val="94"/>
              <w:spacing w:line="360" w:lineRule="auto"/>
              <w:ind w:right="480"/>
              <w:rPr>
                <w:rFonts w:asciiTheme="minorEastAsia" w:hAnsiTheme="minorEastAsia" w:eastAsiaTheme="minorEastAsia" w:cstheme="minorEastAsia"/>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55" w:type="dxa"/>
            <w:tcBorders>
              <w:left w:val="single" w:color="auto" w:sz="12" w:space="0"/>
            </w:tcBorders>
          </w:tcPr>
          <w:p>
            <w:pPr>
              <w:pStyle w:val="94"/>
              <w:spacing w:line="360" w:lineRule="auto"/>
              <w:ind w:right="480" w:firstLine="360" w:firstLineChars="150"/>
              <w:rPr>
                <w:rFonts w:asciiTheme="minorEastAsia" w:hAnsiTheme="minorEastAsia" w:eastAsiaTheme="minorEastAsia" w:cstheme="minorEastAsia"/>
                <w:color w:val="000000" w:themeColor="text1"/>
                <w:sz w:val="24"/>
                <w14:textFill>
                  <w14:solidFill>
                    <w14:schemeClr w14:val="tx1"/>
                  </w14:solidFill>
                </w14:textFill>
              </w:rPr>
            </w:pPr>
          </w:p>
          <w:p>
            <w:pPr>
              <w:pStyle w:val="94"/>
              <w:spacing w:line="360" w:lineRule="auto"/>
              <w:ind w:right="480" w:firstLine="360" w:firstLineChars="15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3</w:t>
            </w:r>
          </w:p>
        </w:tc>
        <w:tc>
          <w:tcPr>
            <w:tcW w:w="1719" w:type="dxa"/>
          </w:tcPr>
          <w:p>
            <w:pPr>
              <w:pStyle w:val="94"/>
              <w:spacing w:line="360" w:lineRule="auto"/>
              <w:ind w:right="480"/>
              <w:rPr>
                <w:rFonts w:asciiTheme="minorEastAsia" w:hAnsiTheme="minorEastAsia" w:eastAsiaTheme="minorEastAsia" w:cstheme="minorEastAsia"/>
                <w:color w:val="000000" w:themeColor="text1"/>
                <w:sz w:val="24"/>
                <w14:textFill>
                  <w14:solidFill>
                    <w14:schemeClr w14:val="tx1"/>
                  </w14:solidFill>
                </w14:textFill>
              </w:rPr>
            </w:pPr>
          </w:p>
          <w:p>
            <w:pPr>
              <w:pStyle w:val="94"/>
              <w:spacing w:line="360" w:lineRule="auto"/>
              <w:ind w:right="480" w:firstLine="720" w:firstLineChars="3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w:t>
            </w:r>
          </w:p>
        </w:tc>
        <w:tc>
          <w:tcPr>
            <w:tcW w:w="2101" w:type="dxa"/>
          </w:tcPr>
          <w:p>
            <w:pPr>
              <w:pStyle w:val="94"/>
              <w:spacing w:line="360" w:lineRule="auto"/>
              <w:ind w:right="480"/>
              <w:rPr>
                <w:rFonts w:asciiTheme="minorEastAsia" w:hAnsiTheme="minorEastAsia" w:eastAsiaTheme="minorEastAsia" w:cstheme="minorEastAsia"/>
                <w:color w:val="000000" w:themeColor="text1"/>
                <w:sz w:val="24"/>
                <w14:textFill>
                  <w14:solidFill>
                    <w14:schemeClr w14:val="tx1"/>
                  </w14:solidFill>
                </w14:textFill>
              </w:rPr>
            </w:pPr>
          </w:p>
        </w:tc>
        <w:tc>
          <w:tcPr>
            <w:tcW w:w="1719" w:type="dxa"/>
          </w:tcPr>
          <w:p>
            <w:pPr>
              <w:pStyle w:val="94"/>
              <w:spacing w:line="360" w:lineRule="auto"/>
              <w:ind w:right="480"/>
              <w:rPr>
                <w:rFonts w:asciiTheme="minorEastAsia" w:hAnsiTheme="minorEastAsia" w:eastAsiaTheme="minorEastAsia" w:cstheme="minorEastAsia"/>
                <w:color w:val="000000" w:themeColor="text1"/>
                <w:sz w:val="24"/>
                <w14:textFill>
                  <w14:solidFill>
                    <w14:schemeClr w14:val="tx1"/>
                  </w14:solidFill>
                </w14:textFill>
              </w:rPr>
            </w:pPr>
          </w:p>
        </w:tc>
        <w:tc>
          <w:tcPr>
            <w:tcW w:w="2076" w:type="dxa"/>
            <w:tcBorders>
              <w:right w:val="single" w:color="auto" w:sz="12" w:space="0"/>
            </w:tcBorders>
          </w:tcPr>
          <w:p>
            <w:pPr>
              <w:pStyle w:val="94"/>
              <w:spacing w:line="360" w:lineRule="auto"/>
              <w:ind w:right="480"/>
              <w:rPr>
                <w:rFonts w:asciiTheme="minorEastAsia" w:hAnsiTheme="minorEastAsia" w:eastAsiaTheme="minorEastAsia" w:cstheme="minorEastAsia"/>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55" w:type="dxa"/>
            <w:tcBorders>
              <w:left w:val="single" w:color="auto" w:sz="12" w:space="0"/>
              <w:bottom w:val="single" w:color="auto" w:sz="12" w:space="0"/>
            </w:tcBorders>
          </w:tcPr>
          <w:p>
            <w:pPr>
              <w:pStyle w:val="94"/>
              <w:spacing w:line="360" w:lineRule="auto"/>
              <w:ind w:right="480" w:firstLine="360" w:firstLineChars="150"/>
              <w:rPr>
                <w:rFonts w:asciiTheme="minorEastAsia" w:hAnsiTheme="minorEastAsia" w:eastAsiaTheme="minorEastAsia" w:cstheme="minorEastAsia"/>
                <w:color w:val="000000" w:themeColor="text1"/>
                <w:sz w:val="24"/>
                <w14:textFill>
                  <w14:solidFill>
                    <w14:schemeClr w14:val="tx1"/>
                  </w14:solidFill>
                </w14:textFill>
              </w:rPr>
            </w:pPr>
          </w:p>
          <w:p>
            <w:pPr>
              <w:pStyle w:val="94"/>
              <w:spacing w:line="360" w:lineRule="auto"/>
              <w:ind w:right="480" w:firstLine="360" w:firstLineChars="15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4</w:t>
            </w:r>
          </w:p>
        </w:tc>
        <w:tc>
          <w:tcPr>
            <w:tcW w:w="1719" w:type="dxa"/>
            <w:tcBorders>
              <w:bottom w:val="single" w:color="auto" w:sz="12" w:space="0"/>
            </w:tcBorders>
            <w:vAlign w:val="center"/>
          </w:tcPr>
          <w:p>
            <w:pPr>
              <w:pStyle w:val="94"/>
              <w:spacing w:line="360" w:lineRule="auto"/>
              <w:ind w:right="83" w:firstLine="120" w:firstLineChars="50"/>
              <w:jc w:val="center"/>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合计</w:t>
            </w:r>
          </w:p>
        </w:tc>
        <w:tc>
          <w:tcPr>
            <w:tcW w:w="2101" w:type="dxa"/>
            <w:tcBorders>
              <w:bottom w:val="single" w:color="auto" w:sz="12" w:space="0"/>
            </w:tcBorders>
          </w:tcPr>
          <w:p>
            <w:pPr>
              <w:pStyle w:val="94"/>
              <w:spacing w:line="360" w:lineRule="auto"/>
              <w:ind w:right="480"/>
              <w:rPr>
                <w:rFonts w:asciiTheme="minorEastAsia" w:hAnsiTheme="minorEastAsia" w:eastAsiaTheme="minorEastAsia" w:cstheme="minorEastAsia"/>
                <w:color w:val="000000" w:themeColor="text1"/>
                <w:sz w:val="24"/>
                <w14:textFill>
                  <w14:solidFill>
                    <w14:schemeClr w14:val="tx1"/>
                  </w14:solidFill>
                </w14:textFill>
              </w:rPr>
            </w:pPr>
          </w:p>
        </w:tc>
        <w:tc>
          <w:tcPr>
            <w:tcW w:w="1719" w:type="dxa"/>
            <w:tcBorders>
              <w:bottom w:val="single" w:color="auto" w:sz="12" w:space="0"/>
            </w:tcBorders>
          </w:tcPr>
          <w:p>
            <w:pPr>
              <w:pStyle w:val="94"/>
              <w:spacing w:line="360" w:lineRule="auto"/>
              <w:ind w:right="480"/>
              <w:rPr>
                <w:rFonts w:asciiTheme="minorEastAsia" w:hAnsiTheme="minorEastAsia" w:eastAsiaTheme="minorEastAsia" w:cstheme="minorEastAsia"/>
                <w:color w:val="000000" w:themeColor="text1"/>
                <w:sz w:val="24"/>
                <w14:textFill>
                  <w14:solidFill>
                    <w14:schemeClr w14:val="tx1"/>
                  </w14:solidFill>
                </w14:textFill>
              </w:rPr>
            </w:pPr>
          </w:p>
        </w:tc>
        <w:tc>
          <w:tcPr>
            <w:tcW w:w="2076" w:type="dxa"/>
            <w:tcBorders>
              <w:bottom w:val="single" w:color="auto" w:sz="12" w:space="0"/>
              <w:right w:val="single" w:color="auto" w:sz="12" w:space="0"/>
            </w:tcBorders>
          </w:tcPr>
          <w:p>
            <w:pPr>
              <w:pStyle w:val="94"/>
              <w:spacing w:line="360" w:lineRule="auto"/>
              <w:ind w:right="480"/>
              <w:rPr>
                <w:rFonts w:asciiTheme="minorEastAsia" w:hAnsiTheme="minorEastAsia" w:eastAsiaTheme="minorEastAsia" w:cstheme="minorEastAsia"/>
                <w:color w:val="000000" w:themeColor="text1"/>
                <w:sz w:val="24"/>
                <w14:textFill>
                  <w14:solidFill>
                    <w14:schemeClr w14:val="tx1"/>
                  </w14:solidFill>
                </w14:textFill>
              </w:rPr>
            </w:pPr>
          </w:p>
        </w:tc>
      </w:tr>
    </w:tbl>
    <w:p>
      <w:pPr>
        <w:pStyle w:val="94"/>
        <w:spacing w:line="360" w:lineRule="auto"/>
        <w:ind w:left="1" w:right="-96"/>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说明：如所投货物为小、微型企业产品，须按规定格式逐项填写，否则评分时不予认可。</w:t>
      </w:r>
    </w:p>
    <w:p>
      <w:pPr>
        <w:pStyle w:val="94"/>
        <w:spacing w:line="360" w:lineRule="auto"/>
        <w:ind w:left="1" w:right="-96"/>
        <w:rPr>
          <w:rFonts w:asciiTheme="minorEastAsia" w:hAnsiTheme="minorEastAsia" w:eastAsiaTheme="minorEastAsia" w:cstheme="minorEastAsia"/>
          <w:color w:val="000000" w:themeColor="text1"/>
          <w:sz w:val="24"/>
          <w14:textFill>
            <w14:solidFill>
              <w14:schemeClr w14:val="tx1"/>
            </w14:solidFill>
          </w14:textFill>
        </w:rPr>
      </w:pPr>
    </w:p>
    <w:p>
      <w:pPr>
        <w:pStyle w:val="94"/>
        <w:spacing w:line="360" w:lineRule="auto"/>
        <w:ind w:right="-88"/>
        <w:jc w:val="right"/>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年   月   日</w:t>
      </w:r>
    </w:p>
    <w:p>
      <w:pPr>
        <w:pStyle w:val="94"/>
        <w:spacing w:line="360" w:lineRule="auto"/>
        <w:ind w:right="-88"/>
        <w:jc w:val="right"/>
        <w:rPr>
          <w:rFonts w:asciiTheme="minorEastAsia" w:hAnsiTheme="minorEastAsia" w:eastAsiaTheme="minorEastAsia" w:cstheme="minorEastAsia"/>
          <w:color w:val="000000" w:themeColor="text1"/>
          <w:sz w:val="24"/>
          <w14:textFill>
            <w14:solidFill>
              <w14:schemeClr w14:val="tx1"/>
            </w14:solidFill>
          </w14:textFill>
        </w:rPr>
      </w:pPr>
    </w:p>
    <w:p>
      <w:pPr>
        <w:pStyle w:val="94"/>
        <w:spacing w:line="360" w:lineRule="auto"/>
        <w:ind w:right="-88"/>
        <w:jc w:val="right"/>
        <w:rPr>
          <w:rFonts w:asciiTheme="minorEastAsia" w:hAnsiTheme="minorEastAsia" w:eastAsiaTheme="minorEastAsia" w:cstheme="minorEastAsia"/>
          <w:color w:val="000000" w:themeColor="text1"/>
          <w:sz w:val="24"/>
          <w14:textFill>
            <w14:solidFill>
              <w14:schemeClr w14:val="tx1"/>
            </w14:solidFill>
          </w14:textFill>
        </w:rPr>
      </w:pPr>
    </w:p>
    <w:p>
      <w:pPr>
        <w:pStyle w:val="94"/>
        <w:spacing w:line="360" w:lineRule="auto"/>
        <w:ind w:right="-88"/>
        <w:jc w:val="right"/>
        <w:rPr>
          <w:rFonts w:asciiTheme="minorEastAsia" w:hAnsiTheme="minorEastAsia" w:eastAsiaTheme="minorEastAsia" w:cstheme="minorEastAsia"/>
          <w:color w:val="000000" w:themeColor="text1"/>
          <w:sz w:val="24"/>
          <w14:textFill>
            <w14:solidFill>
              <w14:schemeClr w14:val="tx1"/>
            </w14:solidFill>
          </w14:textFill>
        </w:rPr>
      </w:pPr>
    </w:p>
    <w:p>
      <w:pPr>
        <w:pStyle w:val="94"/>
        <w:spacing w:line="360" w:lineRule="auto"/>
        <w:ind w:right="-88"/>
        <w:jc w:val="right"/>
        <w:rPr>
          <w:rFonts w:asciiTheme="minorEastAsia" w:hAnsiTheme="minorEastAsia" w:eastAsiaTheme="minorEastAsia" w:cstheme="minorEastAsia"/>
          <w:color w:val="000000" w:themeColor="text1"/>
          <w:sz w:val="24"/>
          <w14:textFill>
            <w14:solidFill>
              <w14:schemeClr w14:val="tx1"/>
            </w14:solidFill>
          </w14:textFill>
        </w:rPr>
      </w:pPr>
    </w:p>
    <w:p>
      <w:pPr>
        <w:pStyle w:val="94"/>
        <w:spacing w:line="360" w:lineRule="auto"/>
        <w:ind w:right="-88"/>
        <w:jc w:val="right"/>
        <w:rPr>
          <w:rFonts w:asciiTheme="minorEastAsia" w:hAnsiTheme="minorEastAsia" w:eastAsiaTheme="minorEastAsia" w:cstheme="minorEastAsia"/>
          <w:color w:val="000000" w:themeColor="text1"/>
          <w:sz w:val="24"/>
          <w14:textFill>
            <w14:solidFill>
              <w14:schemeClr w14:val="tx1"/>
            </w14:solidFill>
          </w14:textFill>
        </w:rPr>
      </w:pPr>
    </w:p>
    <w:p>
      <w:pPr>
        <w:pStyle w:val="94"/>
        <w:spacing w:line="360" w:lineRule="auto"/>
        <w:ind w:right="-88"/>
        <w:jc w:val="right"/>
        <w:rPr>
          <w:rFonts w:asciiTheme="minorEastAsia" w:hAnsiTheme="minorEastAsia" w:eastAsiaTheme="minorEastAsia" w:cstheme="minorEastAsia"/>
          <w:color w:val="000000" w:themeColor="text1"/>
          <w:sz w:val="24"/>
          <w14:textFill>
            <w14:solidFill>
              <w14:schemeClr w14:val="tx1"/>
            </w14:solidFill>
          </w14:textFill>
        </w:rPr>
      </w:pPr>
    </w:p>
    <w:p>
      <w:pPr>
        <w:pStyle w:val="94"/>
        <w:spacing w:line="360" w:lineRule="auto"/>
        <w:ind w:right="-88"/>
        <w:jc w:val="right"/>
        <w:rPr>
          <w:rFonts w:asciiTheme="minorEastAsia" w:hAnsiTheme="minorEastAsia" w:eastAsiaTheme="minorEastAsia" w:cstheme="minorEastAsia"/>
          <w:color w:val="000000" w:themeColor="text1"/>
          <w:sz w:val="24"/>
          <w14:textFill>
            <w14:solidFill>
              <w14:schemeClr w14:val="tx1"/>
            </w14:solidFill>
          </w14:textFill>
        </w:rPr>
      </w:pPr>
    </w:p>
    <w:p>
      <w:pPr>
        <w:pStyle w:val="94"/>
        <w:spacing w:line="360" w:lineRule="auto"/>
        <w:ind w:right="-88"/>
        <w:jc w:val="right"/>
        <w:rPr>
          <w:rFonts w:asciiTheme="minorEastAsia" w:hAnsiTheme="minorEastAsia" w:eastAsiaTheme="minorEastAsia" w:cstheme="minorEastAsia"/>
          <w:color w:val="000000" w:themeColor="text1"/>
          <w:sz w:val="24"/>
          <w14:textFill>
            <w14:solidFill>
              <w14:schemeClr w14:val="tx1"/>
            </w14:solidFill>
          </w14:textFill>
        </w:rPr>
      </w:pPr>
    </w:p>
    <w:p>
      <w:pPr>
        <w:pStyle w:val="94"/>
        <w:spacing w:line="360" w:lineRule="auto"/>
        <w:ind w:right="-88"/>
        <w:jc w:val="right"/>
        <w:rPr>
          <w:rFonts w:asciiTheme="minorEastAsia" w:hAnsiTheme="minorEastAsia" w:eastAsiaTheme="minorEastAsia" w:cstheme="minorEastAsia"/>
          <w:color w:val="000000" w:themeColor="text1"/>
          <w:sz w:val="24"/>
          <w14:textFill>
            <w14:solidFill>
              <w14:schemeClr w14:val="tx1"/>
            </w14:solidFill>
          </w14:textFill>
        </w:rPr>
      </w:pPr>
    </w:p>
    <w:p>
      <w:pPr>
        <w:pStyle w:val="94"/>
        <w:spacing w:line="360" w:lineRule="auto"/>
        <w:ind w:right="-88"/>
        <w:jc w:val="right"/>
        <w:rPr>
          <w:rFonts w:asciiTheme="minorEastAsia" w:hAnsiTheme="minorEastAsia" w:eastAsiaTheme="minorEastAsia" w:cstheme="minorEastAsia"/>
          <w:color w:val="000000" w:themeColor="text1"/>
          <w:sz w:val="24"/>
          <w14:textFill>
            <w14:solidFill>
              <w14:schemeClr w14:val="tx1"/>
            </w14:solidFill>
          </w14:textFill>
        </w:rPr>
      </w:pPr>
    </w:p>
    <w:p>
      <w:pPr>
        <w:pStyle w:val="94"/>
        <w:spacing w:line="360" w:lineRule="auto"/>
        <w:ind w:right="-88"/>
        <w:jc w:val="right"/>
        <w:rPr>
          <w:rFonts w:asciiTheme="minorEastAsia" w:hAnsiTheme="minorEastAsia" w:eastAsiaTheme="minorEastAsia" w:cstheme="minorEastAsia"/>
          <w:color w:val="000000" w:themeColor="text1"/>
          <w:sz w:val="24"/>
          <w14:textFill>
            <w14:solidFill>
              <w14:schemeClr w14:val="tx1"/>
            </w14:solidFill>
          </w14:textFill>
        </w:rPr>
      </w:pPr>
    </w:p>
    <w:p>
      <w:pPr>
        <w:pStyle w:val="94"/>
        <w:spacing w:line="360" w:lineRule="auto"/>
        <w:ind w:right="-88"/>
        <w:jc w:val="right"/>
        <w:rPr>
          <w:rFonts w:asciiTheme="minorEastAsia" w:hAnsiTheme="minorEastAsia" w:eastAsiaTheme="minorEastAsia" w:cstheme="minorEastAsia"/>
          <w:color w:val="000000" w:themeColor="text1"/>
          <w:sz w:val="24"/>
          <w14:textFill>
            <w14:solidFill>
              <w14:schemeClr w14:val="tx1"/>
            </w14:solidFill>
          </w14:textFill>
        </w:rPr>
      </w:pPr>
    </w:p>
    <w:p>
      <w:pPr>
        <w:pStyle w:val="94"/>
        <w:spacing w:line="360" w:lineRule="auto"/>
        <w:ind w:right="-88"/>
        <w:jc w:val="right"/>
        <w:rPr>
          <w:rFonts w:asciiTheme="minorEastAsia" w:hAnsiTheme="minorEastAsia" w:eastAsiaTheme="minorEastAsia" w:cstheme="minorEastAsia"/>
          <w:color w:val="000000" w:themeColor="text1"/>
          <w:sz w:val="24"/>
          <w14:textFill>
            <w14:solidFill>
              <w14:schemeClr w14:val="tx1"/>
            </w14:solidFill>
          </w14:textFill>
        </w:rPr>
      </w:pPr>
    </w:p>
    <w:p>
      <w:pPr>
        <w:pStyle w:val="94"/>
        <w:spacing w:line="360" w:lineRule="auto"/>
        <w:ind w:right="-88"/>
        <w:jc w:val="right"/>
        <w:rPr>
          <w:rFonts w:asciiTheme="minorEastAsia" w:hAnsiTheme="minorEastAsia" w:eastAsiaTheme="minorEastAsia" w:cstheme="minorEastAsia"/>
          <w:color w:val="000000" w:themeColor="text1"/>
          <w:sz w:val="24"/>
          <w14:textFill>
            <w14:solidFill>
              <w14:schemeClr w14:val="tx1"/>
            </w14:solidFill>
          </w14:textFill>
        </w:rPr>
      </w:pPr>
    </w:p>
    <w:p>
      <w:pPr>
        <w:spacing w:line="440" w:lineRule="exact"/>
        <w:rPr>
          <w:rFonts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
          <w:color w:val="000000" w:themeColor="text1"/>
          <w:sz w:val="24"/>
          <w:szCs w:val="24"/>
          <w14:textFill>
            <w14:solidFill>
              <w14:schemeClr w14:val="tx1"/>
            </w14:solidFill>
          </w14:textFill>
        </w:rPr>
        <w:t xml:space="preserve">5） </w:t>
      </w:r>
      <w:r>
        <w:rPr>
          <w:rFonts w:hint="eastAsia" w:asciiTheme="minorEastAsia" w:hAnsiTheme="minorEastAsia" w:eastAsiaTheme="minorEastAsia" w:cstheme="minorEastAsia"/>
          <w:b/>
          <w:color w:val="000000" w:themeColor="text1"/>
          <w:kern w:val="0"/>
          <w:sz w:val="24"/>
          <w:szCs w:val="24"/>
          <w14:textFill>
            <w14:solidFill>
              <w14:schemeClr w14:val="tx1"/>
            </w14:solidFill>
          </w14:textFill>
        </w:rPr>
        <w:t>中小微企业声明函</w:t>
      </w:r>
    </w:p>
    <w:p>
      <w:pPr>
        <w:spacing w:line="360" w:lineRule="auto"/>
        <w:ind w:firstLine="480"/>
        <w:jc w:val="center"/>
        <w:rPr>
          <w:sz w:val="28"/>
          <w:szCs w:val="28"/>
        </w:rPr>
      </w:pPr>
      <w:r>
        <w:rPr>
          <w:rFonts w:hint="eastAsia"/>
          <w:sz w:val="28"/>
          <w:szCs w:val="28"/>
        </w:rPr>
        <w:t>中小微企业声明函（投标人）</w:t>
      </w:r>
    </w:p>
    <w:p>
      <w:pPr>
        <w:jc w:val="center"/>
        <w:rPr>
          <w:b/>
          <w:sz w:val="28"/>
          <w:szCs w:val="28"/>
        </w:rPr>
      </w:pPr>
      <w:r>
        <w:rPr>
          <w:rFonts w:hint="eastAsia"/>
          <w:b/>
          <w:sz w:val="28"/>
          <w:szCs w:val="28"/>
        </w:rPr>
        <w:t>中小企业声明函</w:t>
      </w:r>
    </w:p>
    <w:p>
      <w:pPr>
        <w:spacing w:line="360" w:lineRule="auto"/>
        <w:ind w:firstLine="420" w:firstLineChars="200"/>
        <w:rPr>
          <w:szCs w:val="21"/>
        </w:rPr>
      </w:pPr>
      <w:r>
        <w:rPr>
          <w:rFonts w:hint="eastAsia"/>
          <w:szCs w:val="21"/>
        </w:rPr>
        <w:t>本公司（联合体）郑重声明，根据《政府采购促进中小企业发展管理办法》（财库〔2020〕46号）的规定，本公司（联合体）参加</w:t>
      </w:r>
      <w:r>
        <w:rPr>
          <w:rFonts w:hint="eastAsia"/>
          <w:szCs w:val="21"/>
          <w:u w:val="single"/>
        </w:rPr>
        <w:t xml:space="preserve">    （单位名称）</w:t>
      </w:r>
      <w:r>
        <w:rPr>
          <w:rFonts w:hint="eastAsia"/>
          <w:szCs w:val="21"/>
        </w:rPr>
        <w:t>的</w:t>
      </w:r>
      <w:r>
        <w:rPr>
          <w:rFonts w:hint="eastAsia"/>
          <w:szCs w:val="21"/>
          <w:u w:val="single"/>
        </w:rPr>
        <w:t>（项目名称）</w:t>
      </w:r>
      <w:r>
        <w:rPr>
          <w:rFonts w:hint="eastAsia"/>
          <w:szCs w:val="21"/>
        </w:rPr>
        <w:t>采购活动。工程的施工单位全部为符合政策要求的中小企业（或者：服务全部由符合政策要求的中小企业承接）。相关企业（含联合体中的中小企业、签订分包意向协议的中小企业）的具体情况如下：</w:t>
      </w:r>
    </w:p>
    <w:p>
      <w:pPr>
        <w:spacing w:line="360" w:lineRule="auto"/>
        <w:ind w:firstLine="420" w:firstLineChars="200"/>
        <w:rPr>
          <w:szCs w:val="21"/>
          <w:u w:val="single"/>
        </w:rPr>
      </w:pPr>
      <w:r>
        <w:rPr>
          <w:rFonts w:hint="eastAsia"/>
          <w:szCs w:val="21"/>
        </w:rPr>
        <w:t>1、</w:t>
      </w:r>
      <w:r>
        <w:rPr>
          <w:rFonts w:hint="eastAsia"/>
          <w:szCs w:val="21"/>
          <w:u w:val="single"/>
        </w:rPr>
        <w:t>（标的名称）</w:t>
      </w:r>
      <w:r>
        <w:rPr>
          <w:rFonts w:hint="eastAsia"/>
          <w:szCs w:val="21"/>
        </w:rPr>
        <w:t>，属于</w:t>
      </w:r>
      <w:r>
        <w:rPr>
          <w:rFonts w:hint="eastAsia"/>
          <w:szCs w:val="21"/>
          <w:u w:val="single"/>
        </w:rPr>
        <w:t>（采购文件中明确的所属行业）</w:t>
      </w:r>
      <w:r>
        <w:rPr>
          <w:rFonts w:hint="eastAsia"/>
          <w:szCs w:val="21"/>
        </w:rPr>
        <w:t>：承建（承接）企业为</w:t>
      </w:r>
      <w:r>
        <w:rPr>
          <w:rFonts w:hint="eastAsia"/>
          <w:szCs w:val="21"/>
          <w:u w:val="single"/>
        </w:rPr>
        <w:t>（企业名称）</w:t>
      </w:r>
      <w:r>
        <w:rPr>
          <w:rFonts w:hint="eastAsia"/>
          <w:szCs w:val="21"/>
        </w:rPr>
        <w:t>，从业人员</w:t>
      </w:r>
      <w:r>
        <w:rPr>
          <w:rFonts w:hint="eastAsia"/>
          <w:szCs w:val="21"/>
          <w:u w:val="single"/>
        </w:rPr>
        <w:t xml:space="preserve">        </w:t>
      </w:r>
      <w:r>
        <w:rPr>
          <w:rFonts w:hint="eastAsia"/>
          <w:szCs w:val="21"/>
        </w:rPr>
        <w:t>人，营业收入为</w:t>
      </w:r>
      <w:r>
        <w:rPr>
          <w:rFonts w:hint="eastAsia"/>
          <w:szCs w:val="21"/>
          <w:u w:val="single"/>
        </w:rPr>
        <w:t xml:space="preserve">     </w:t>
      </w:r>
      <w:r>
        <w:rPr>
          <w:rFonts w:hint="eastAsia"/>
          <w:szCs w:val="21"/>
        </w:rPr>
        <w:t>万元，资产总额为</w:t>
      </w:r>
      <w:r>
        <w:rPr>
          <w:rFonts w:hint="eastAsia"/>
          <w:szCs w:val="21"/>
          <w:u w:val="single"/>
        </w:rPr>
        <w:t xml:space="preserve">     </w:t>
      </w:r>
      <w:r>
        <w:rPr>
          <w:rFonts w:hint="eastAsia"/>
          <w:szCs w:val="21"/>
        </w:rPr>
        <w:t>万元 ，属于</w:t>
      </w:r>
      <w:r>
        <w:rPr>
          <w:rFonts w:hint="eastAsia"/>
          <w:szCs w:val="21"/>
          <w:u w:val="single"/>
        </w:rPr>
        <w:t>（中型企业、小型企业、微型企业</w:t>
      </w:r>
      <w:r>
        <w:rPr>
          <w:rFonts w:hint="eastAsia"/>
          <w:szCs w:val="21"/>
        </w:rPr>
        <w:t>）；</w:t>
      </w:r>
    </w:p>
    <w:p>
      <w:pPr>
        <w:spacing w:line="360" w:lineRule="auto"/>
        <w:ind w:firstLine="420" w:firstLineChars="200"/>
        <w:rPr>
          <w:szCs w:val="21"/>
        </w:rPr>
      </w:pPr>
      <w:r>
        <w:rPr>
          <w:rFonts w:hint="eastAsia"/>
          <w:szCs w:val="21"/>
        </w:rPr>
        <w:t>2、</w:t>
      </w:r>
      <w:r>
        <w:rPr>
          <w:rFonts w:hint="eastAsia"/>
          <w:szCs w:val="21"/>
          <w:u w:val="single"/>
        </w:rPr>
        <w:t>（标的名称）</w:t>
      </w:r>
      <w:r>
        <w:rPr>
          <w:rFonts w:hint="eastAsia"/>
          <w:szCs w:val="21"/>
        </w:rPr>
        <w:t>，属于</w:t>
      </w:r>
      <w:r>
        <w:rPr>
          <w:rFonts w:hint="eastAsia"/>
          <w:szCs w:val="21"/>
          <w:u w:val="single"/>
        </w:rPr>
        <w:t>（采购文件中明确的所属行业）</w:t>
      </w:r>
      <w:r>
        <w:rPr>
          <w:rFonts w:hint="eastAsia"/>
          <w:szCs w:val="21"/>
        </w:rPr>
        <w:t>：承建（承接）企业为</w:t>
      </w:r>
      <w:r>
        <w:rPr>
          <w:rFonts w:hint="eastAsia"/>
          <w:szCs w:val="21"/>
          <w:u w:val="single"/>
        </w:rPr>
        <w:t>（企业名称）</w:t>
      </w:r>
      <w:r>
        <w:rPr>
          <w:rFonts w:hint="eastAsia"/>
          <w:szCs w:val="21"/>
        </w:rPr>
        <w:t>，从业人员</w:t>
      </w:r>
      <w:r>
        <w:rPr>
          <w:rFonts w:hint="eastAsia"/>
          <w:szCs w:val="21"/>
          <w:u w:val="single"/>
        </w:rPr>
        <w:t xml:space="preserve">      </w:t>
      </w:r>
      <w:r>
        <w:rPr>
          <w:rFonts w:hint="eastAsia"/>
          <w:szCs w:val="21"/>
        </w:rPr>
        <w:t>人，营业收入为</w:t>
      </w:r>
      <w:r>
        <w:rPr>
          <w:rFonts w:hint="eastAsia"/>
          <w:szCs w:val="21"/>
          <w:u w:val="single"/>
        </w:rPr>
        <w:t xml:space="preserve">     </w:t>
      </w:r>
      <w:r>
        <w:rPr>
          <w:rFonts w:hint="eastAsia"/>
          <w:szCs w:val="21"/>
        </w:rPr>
        <w:t>万元，资产总额为</w:t>
      </w:r>
      <w:r>
        <w:rPr>
          <w:rFonts w:hint="eastAsia"/>
          <w:szCs w:val="21"/>
          <w:u w:val="single"/>
        </w:rPr>
        <w:t xml:space="preserve">    </w:t>
      </w:r>
      <w:r>
        <w:rPr>
          <w:rFonts w:hint="eastAsia"/>
          <w:szCs w:val="21"/>
        </w:rPr>
        <w:t>万元，属于</w:t>
      </w:r>
      <w:r>
        <w:rPr>
          <w:rFonts w:hint="eastAsia"/>
          <w:szCs w:val="21"/>
          <w:u w:val="single"/>
        </w:rPr>
        <w:t>（中型企业、小型企业、微型企业）</w:t>
      </w:r>
      <w:r>
        <w:rPr>
          <w:rFonts w:hint="eastAsia"/>
          <w:szCs w:val="21"/>
        </w:rPr>
        <w:t>；</w:t>
      </w:r>
    </w:p>
    <w:p>
      <w:pPr>
        <w:spacing w:line="360" w:lineRule="auto"/>
        <w:ind w:firstLine="420" w:firstLineChars="200"/>
        <w:rPr>
          <w:szCs w:val="21"/>
        </w:rPr>
      </w:pPr>
      <w:r>
        <w:rPr>
          <w:rFonts w:hint="eastAsia"/>
          <w:szCs w:val="21"/>
        </w:rPr>
        <w:t>……</w:t>
      </w:r>
    </w:p>
    <w:p>
      <w:pPr>
        <w:spacing w:line="360" w:lineRule="auto"/>
        <w:ind w:firstLine="420" w:firstLineChars="200"/>
        <w:rPr>
          <w:szCs w:val="21"/>
        </w:rPr>
      </w:pPr>
      <w:r>
        <w:rPr>
          <w:rFonts w:hint="eastAsia"/>
          <w:szCs w:val="21"/>
        </w:rPr>
        <w:t>以上企业，不属于大企业的分支机构，不存在控股股东为大企业的情形，也不存在与大企业的负责人为同一人的情形。</w:t>
      </w:r>
    </w:p>
    <w:p>
      <w:pPr>
        <w:spacing w:line="360" w:lineRule="auto"/>
        <w:ind w:firstLine="420" w:firstLineChars="200"/>
        <w:rPr>
          <w:szCs w:val="21"/>
        </w:rPr>
      </w:pPr>
      <w:r>
        <w:rPr>
          <w:rFonts w:hint="eastAsia"/>
          <w:szCs w:val="21"/>
        </w:rPr>
        <w:t>本企业对上述声明内容的真实性负责。如有虚假，将依法承担相应责任。</w:t>
      </w:r>
    </w:p>
    <w:p>
      <w:pPr>
        <w:spacing w:line="360" w:lineRule="auto"/>
        <w:ind w:firstLine="420" w:firstLineChars="200"/>
        <w:rPr>
          <w:szCs w:val="21"/>
        </w:rPr>
      </w:pPr>
      <w:r>
        <w:rPr>
          <w:rFonts w:hint="eastAsia"/>
          <w:szCs w:val="21"/>
        </w:rPr>
        <w:t>投标人（盖章）：</w:t>
      </w:r>
    </w:p>
    <w:p>
      <w:pPr>
        <w:spacing w:line="360" w:lineRule="auto"/>
        <w:ind w:firstLine="420" w:firstLineChars="200"/>
        <w:rPr>
          <w:szCs w:val="21"/>
        </w:rPr>
      </w:pPr>
      <w:r>
        <w:rPr>
          <w:rFonts w:hint="eastAsia"/>
          <w:szCs w:val="21"/>
        </w:rPr>
        <w:t>日 期：</w:t>
      </w:r>
    </w:p>
    <w:p>
      <w:pPr>
        <w:spacing w:line="360" w:lineRule="auto"/>
        <w:ind w:firstLine="420" w:firstLineChars="200"/>
        <w:rPr>
          <w:szCs w:val="21"/>
        </w:rPr>
      </w:pPr>
      <w:r>
        <w:rPr>
          <w:rFonts w:hint="eastAsia"/>
          <w:szCs w:val="21"/>
        </w:rPr>
        <w:t>注：1、从业人员、营业收入、资产总额填报上一年度数据，无上一年度数据的新成立企业可不填报。</w:t>
      </w:r>
    </w:p>
    <w:p>
      <w:pPr>
        <w:spacing w:line="360" w:lineRule="auto"/>
        <w:ind w:firstLine="420" w:firstLineChars="200"/>
        <w:rPr>
          <w:szCs w:val="21"/>
        </w:rPr>
      </w:pPr>
      <w:r>
        <w:rPr>
          <w:rFonts w:hint="eastAsia"/>
          <w:szCs w:val="21"/>
        </w:rPr>
        <w:t>2、中小企业划分标准见工业和信息化部国家统计局国家发展和改革委员财政部《关于印发中小企业划型标准规定的通知》（工信部联企业〔2011〕300号)。</w:t>
      </w:r>
    </w:p>
    <w:p>
      <w:pPr>
        <w:tabs>
          <w:tab w:val="left" w:pos="3777"/>
          <w:tab w:val="center" w:pos="4819"/>
        </w:tabs>
        <w:spacing w:line="440" w:lineRule="exact"/>
        <w:rPr>
          <w:rFonts w:asciiTheme="minorEastAsia" w:hAnsiTheme="minorEastAsia" w:eastAsiaTheme="minorEastAsia" w:cstheme="minorEastAsia"/>
          <w:b/>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
          <w:color w:val="000000" w:themeColor="text1"/>
          <w:sz w:val="24"/>
          <w:szCs w:val="24"/>
          <w14:textFill>
            <w14:solidFill>
              <w14:schemeClr w14:val="tx1"/>
            </w14:solidFill>
          </w14:textFill>
        </w:rPr>
        <w:br w:type="page"/>
      </w:r>
      <w:r>
        <w:rPr>
          <w:rFonts w:hint="eastAsia" w:asciiTheme="minorEastAsia" w:hAnsiTheme="minorEastAsia" w:eastAsiaTheme="minorEastAsia" w:cstheme="minorEastAsia"/>
          <w:b/>
          <w:color w:val="000000" w:themeColor="text1"/>
          <w:sz w:val="24"/>
          <w:szCs w:val="24"/>
          <w14:textFill>
            <w14:solidFill>
              <w14:schemeClr w14:val="tx1"/>
            </w14:solidFill>
          </w14:textFill>
        </w:rPr>
        <w:t xml:space="preserve">6） </w:t>
      </w:r>
      <w:r>
        <w:rPr>
          <w:rFonts w:hint="eastAsia" w:asciiTheme="minorEastAsia" w:hAnsiTheme="minorEastAsia" w:eastAsiaTheme="minorEastAsia" w:cstheme="minorEastAsia"/>
          <w:b/>
          <w:color w:val="000000" w:themeColor="text1"/>
          <w:kern w:val="0"/>
          <w:sz w:val="24"/>
          <w:szCs w:val="24"/>
          <w14:textFill>
            <w14:solidFill>
              <w14:schemeClr w14:val="tx1"/>
            </w14:solidFill>
          </w14:textFill>
        </w:rPr>
        <w:t>监狱企业声明函</w:t>
      </w:r>
    </w:p>
    <w:p>
      <w:pPr>
        <w:spacing w:line="440" w:lineRule="exact"/>
        <w:jc w:val="center"/>
        <w:rPr>
          <w:rFonts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（监狱企业适用）</w:t>
      </w:r>
    </w:p>
    <w:p>
      <w:pPr>
        <w:spacing w:line="440" w:lineRule="exact"/>
        <w:ind w:firstLine="480" w:firstLineChars="200"/>
        <w:rPr>
          <w:rFonts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本公司郑重声明，根据《关于政府采购支持监狱企业发展有关问题的通知》（财库[2014]68号）的规定，本公司为监狱企业。</w:t>
      </w:r>
    </w:p>
    <w:p>
      <w:pPr>
        <w:spacing w:line="440" w:lineRule="exact"/>
        <w:ind w:firstLine="480" w:firstLineChars="200"/>
        <w:rPr>
          <w:rFonts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本公司参加______单位的______项目采购活动，采购活动提供本企业（填写制造的货物，由本企业承担工程、提供服务）。</w:t>
      </w:r>
    </w:p>
    <w:p>
      <w:pPr>
        <w:spacing w:line="440" w:lineRule="exact"/>
        <w:ind w:firstLine="480" w:firstLineChars="200"/>
        <w:rPr>
          <w:rFonts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本条所称货物不包括使用大型企业注册商标的货物和服务。</w:t>
      </w:r>
    </w:p>
    <w:p>
      <w:pPr>
        <w:spacing w:line="440" w:lineRule="exact"/>
        <w:ind w:firstLine="480" w:firstLineChars="200"/>
        <w:rPr>
          <w:rFonts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本公司对上述声明的真实性负责。如有虚假，将依法承担相应责任。</w:t>
      </w:r>
    </w:p>
    <w:p>
      <w:pPr>
        <w:spacing w:line="440" w:lineRule="exact"/>
        <w:rPr>
          <w:rFonts w:asciiTheme="minorEastAsia" w:hAnsiTheme="minorEastAsia" w:eastAsiaTheme="minorEastAsia" w:cstheme="minorEastAsia"/>
          <w:color w:val="000000" w:themeColor="text1"/>
          <w:kern w:val="0"/>
          <w:sz w:val="24"/>
          <w:szCs w:val="24"/>
          <w14:textFill>
            <w14:solidFill>
              <w14:schemeClr w14:val="tx1"/>
            </w14:solidFill>
          </w14:textFill>
        </w:rPr>
      </w:pPr>
    </w:p>
    <w:p>
      <w:pPr>
        <w:spacing w:line="440" w:lineRule="exact"/>
        <w:jc w:val="right"/>
        <w:rPr>
          <w:rFonts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企业名称（盖公章）：</w:t>
      </w:r>
    </w:p>
    <w:p>
      <w:pPr>
        <w:spacing w:line="440" w:lineRule="exact"/>
        <w:jc w:val="right"/>
        <w:rPr>
          <w:rFonts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法定代表人（负责人）或其授权代表(签字)：</w:t>
      </w:r>
    </w:p>
    <w:p>
      <w:pPr>
        <w:tabs>
          <w:tab w:val="left" w:pos="2880"/>
        </w:tabs>
        <w:spacing w:line="440" w:lineRule="exact"/>
        <w:jc w:val="right"/>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日期：</w:t>
      </w:r>
    </w:p>
    <w:p>
      <w:pPr>
        <w:spacing w:line="440" w:lineRule="exact"/>
        <w:rPr>
          <w:rFonts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备注：1.监狱企业参加政府采购活动时，应当提供由省级以上监狱管理局、戒毒管理局（含新疆生产建设兵团）出具的属于监狱企业的证明文件，相关证明材料加盖投标人公章。</w:t>
      </w:r>
    </w:p>
    <w:p>
      <w:pPr>
        <w:tabs>
          <w:tab w:val="left" w:pos="3600"/>
        </w:tabs>
        <w:adjustRightInd w:val="0"/>
        <w:snapToGrid w:val="0"/>
        <w:spacing w:line="440" w:lineRule="exact"/>
        <w:jc w:val="center"/>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（若响应文件中无上述证明文件，则在评审时不考虑对监狱企业的相关优惠。）</w:t>
      </w:r>
    </w:p>
    <w:p>
      <w:pPr>
        <w:tabs>
          <w:tab w:val="left" w:pos="3600"/>
        </w:tabs>
        <w:adjustRightInd w:val="0"/>
        <w:snapToGrid w:val="0"/>
        <w:spacing w:line="440" w:lineRule="exact"/>
        <w:jc w:val="center"/>
        <w:rPr>
          <w:rFonts w:asciiTheme="minorEastAsia" w:hAnsiTheme="minorEastAsia" w:eastAsiaTheme="minorEastAsia" w:cstheme="minorEastAsia"/>
          <w:color w:val="000000" w:themeColor="text1"/>
          <w:sz w:val="24"/>
          <w:szCs w:val="24"/>
          <w14:textFill>
            <w14:solidFill>
              <w14:schemeClr w14:val="tx1"/>
            </w14:solidFill>
          </w14:textFill>
        </w:rPr>
      </w:pPr>
    </w:p>
    <w:p>
      <w:pPr>
        <w:tabs>
          <w:tab w:val="left" w:pos="3600"/>
        </w:tabs>
        <w:adjustRightInd w:val="0"/>
        <w:snapToGrid w:val="0"/>
        <w:spacing w:line="440" w:lineRule="exact"/>
        <w:rPr>
          <w:rFonts w:asciiTheme="minorEastAsia" w:hAnsiTheme="minorEastAsia" w:eastAsiaTheme="minorEastAsia" w:cstheme="minorEastAsia"/>
          <w:b/>
          <w:bCs/>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
          <w:color w:val="000000" w:themeColor="text1"/>
          <w:sz w:val="24"/>
          <w:szCs w:val="24"/>
          <w14:textFill>
            <w14:solidFill>
              <w14:schemeClr w14:val="tx1"/>
            </w14:solidFill>
          </w14:textFill>
        </w:rPr>
        <w:t>7）</w:t>
      </w:r>
      <w:r>
        <w:rPr>
          <w:rFonts w:hint="eastAsia" w:asciiTheme="minorEastAsia" w:hAnsiTheme="minorEastAsia" w:eastAsiaTheme="minorEastAsia" w:cstheme="minorEastAsia"/>
          <w:b/>
          <w:bCs/>
          <w:color w:val="000000" w:themeColor="text1"/>
          <w:kern w:val="0"/>
          <w:sz w:val="24"/>
          <w:szCs w:val="24"/>
          <w14:textFill>
            <w14:solidFill>
              <w14:schemeClr w14:val="tx1"/>
            </w14:solidFill>
          </w14:textFill>
        </w:rPr>
        <w:t>残疾人福利性单位声明函</w:t>
      </w:r>
    </w:p>
    <w:p>
      <w:pPr>
        <w:autoSpaceDE w:val="0"/>
        <w:autoSpaceDN w:val="0"/>
        <w:adjustRightInd w:val="0"/>
        <w:spacing w:line="440" w:lineRule="exact"/>
        <w:rPr>
          <w:rFonts w:asciiTheme="minorEastAsia" w:hAnsiTheme="minorEastAsia" w:eastAsiaTheme="minorEastAsia" w:cstheme="minorEastAsia"/>
          <w:b/>
          <w:bCs/>
          <w:color w:val="000000" w:themeColor="text1"/>
          <w:kern w:val="0"/>
          <w:sz w:val="24"/>
          <w:szCs w:val="24"/>
          <w14:textFill>
            <w14:solidFill>
              <w14:schemeClr w14:val="tx1"/>
            </w14:solidFill>
          </w14:textFill>
        </w:rPr>
      </w:pPr>
    </w:p>
    <w:p>
      <w:pPr>
        <w:widowControl/>
        <w:adjustRightInd w:val="0"/>
        <w:snapToGrid w:val="0"/>
        <w:spacing w:line="440" w:lineRule="exact"/>
        <w:ind w:firstLine="480" w:firstLineChars="200"/>
        <w:rPr>
          <w:rFonts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widowControl/>
        <w:adjustRightInd w:val="0"/>
        <w:snapToGrid w:val="0"/>
        <w:spacing w:line="440" w:lineRule="exact"/>
        <w:rPr>
          <w:rFonts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 xml:space="preserve">本单位对上述声明的真实性负责。如有虚假，将依法承担相应责任。 </w:t>
      </w:r>
    </w:p>
    <w:p>
      <w:pPr>
        <w:widowControl/>
        <w:adjustRightInd w:val="0"/>
        <w:snapToGrid w:val="0"/>
        <w:spacing w:line="440" w:lineRule="exact"/>
        <w:jc w:val="left"/>
        <w:rPr>
          <w:rFonts w:asciiTheme="minorEastAsia" w:hAnsiTheme="minorEastAsia" w:eastAsiaTheme="minorEastAsia" w:cstheme="minorEastAsia"/>
          <w:color w:val="000000" w:themeColor="text1"/>
          <w:kern w:val="0"/>
          <w:sz w:val="24"/>
          <w:szCs w:val="24"/>
          <w14:textFill>
            <w14:solidFill>
              <w14:schemeClr w14:val="tx1"/>
            </w14:solidFill>
          </w14:textFill>
        </w:rPr>
      </w:pPr>
    </w:p>
    <w:p>
      <w:pPr>
        <w:widowControl/>
        <w:adjustRightInd w:val="0"/>
        <w:snapToGrid w:val="0"/>
        <w:spacing w:line="440" w:lineRule="exact"/>
        <w:jc w:val="right"/>
        <w:rPr>
          <w:rFonts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单位名称（盖章）：</w:t>
      </w:r>
    </w:p>
    <w:p>
      <w:pPr>
        <w:widowControl/>
        <w:adjustRightInd w:val="0"/>
        <w:snapToGrid w:val="0"/>
        <w:spacing w:line="440" w:lineRule="exact"/>
        <w:jc w:val="right"/>
        <w:rPr>
          <w:rFonts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日  期：</w:t>
      </w:r>
    </w:p>
    <w:p>
      <w:pPr>
        <w:pStyle w:val="94"/>
        <w:spacing w:line="360" w:lineRule="auto"/>
        <w:ind w:right="-88"/>
        <w:jc w:val="right"/>
        <w:rPr>
          <w:rFonts w:asciiTheme="minorEastAsia" w:hAnsiTheme="minorEastAsia" w:eastAsiaTheme="minorEastAsia" w:cstheme="minorEastAsia"/>
          <w:color w:val="000000" w:themeColor="text1"/>
          <w:sz w:val="24"/>
          <w14:textFill>
            <w14:solidFill>
              <w14:schemeClr w14:val="tx1"/>
            </w14:solidFill>
          </w14:textFill>
        </w:rPr>
      </w:pPr>
    </w:p>
    <w:p>
      <w:pPr>
        <w:tabs>
          <w:tab w:val="left" w:pos="3600"/>
        </w:tabs>
        <w:adjustRightInd w:val="0"/>
        <w:snapToGrid w:val="0"/>
        <w:spacing w:line="440" w:lineRule="exact"/>
        <w:rPr>
          <w:rFonts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z w:val="24"/>
          <w:szCs w:val="24"/>
          <w14:textFill>
            <w14:solidFill>
              <w14:schemeClr w14:val="tx1"/>
            </w14:solidFill>
          </w14:textFill>
        </w:rPr>
        <w:t>8）招标文件中要求提交的和投标人认为需要提供的其它说明和资料</w:t>
      </w:r>
    </w:p>
    <w:p>
      <w:pPr>
        <w:pStyle w:val="116"/>
        <w:rPr>
          <w:rFonts w:asciiTheme="minorEastAsia" w:hAnsiTheme="minorEastAsia" w:eastAsiaTheme="minorEastAsia" w:cstheme="minorEastAsia"/>
          <w:b/>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注：附1）至7）项投标人根据情况自行选择，不享受相关政策的投标人无需提供。</w:t>
      </w:r>
      <w:r>
        <w:rPr>
          <w:rFonts w:hint="eastAsia" w:asciiTheme="minorEastAsia" w:hAnsiTheme="minorEastAsia" w:eastAsiaTheme="minorEastAsia" w:cstheme="minorEastAsia"/>
          <w:color w:val="000000" w:themeColor="text1"/>
          <w14:textFill>
            <w14:solidFill>
              <w14:schemeClr w14:val="tx1"/>
            </w14:solidFill>
          </w14:textFill>
        </w:rPr>
        <w:br w:type="page"/>
      </w:r>
    </w:p>
    <w:p>
      <w:pPr>
        <w:pStyle w:val="120"/>
        <w:outlineLvl w:val="1"/>
        <w:rPr>
          <w:rFonts w:asciiTheme="minorEastAsia" w:hAnsiTheme="minorEastAsia" w:eastAsiaTheme="minorEastAsia" w:cstheme="minorEastAsia"/>
          <w:color w:val="000000" w:themeColor="text1"/>
          <w14:textFill>
            <w14:solidFill>
              <w14:schemeClr w14:val="tx1"/>
            </w14:solidFill>
          </w14:textFill>
        </w:rPr>
      </w:pPr>
      <w:bookmarkStart w:id="184" w:name="_Toc23880"/>
      <w:r>
        <w:rPr>
          <w:rFonts w:hint="eastAsia" w:asciiTheme="minorEastAsia" w:hAnsiTheme="minorEastAsia" w:eastAsiaTheme="minorEastAsia" w:cstheme="minorEastAsia"/>
          <w:color w:val="000000" w:themeColor="text1"/>
          <w14:textFill>
            <w14:solidFill>
              <w14:schemeClr w14:val="tx1"/>
            </w14:solidFill>
          </w14:textFill>
        </w:rPr>
        <w:t>三、技术文件</w:t>
      </w:r>
      <w:bookmarkEnd w:id="184"/>
    </w:p>
    <w:p>
      <w:pPr>
        <w:rPr>
          <w:rFonts w:asciiTheme="minorEastAsia" w:hAnsiTheme="minorEastAsia" w:eastAsiaTheme="minorEastAsia" w:cstheme="minorEastAsia"/>
          <w:color w:val="000000" w:themeColor="text1"/>
          <w14:textFill>
            <w14:solidFill>
              <w14:schemeClr w14:val="tx1"/>
            </w14:solidFill>
          </w14:textFill>
        </w:rPr>
      </w:pPr>
    </w:p>
    <w:p>
      <w:pPr>
        <w:pStyle w:val="85"/>
        <w:spacing w:line="360" w:lineRule="auto"/>
        <w:rPr>
          <w:rFonts w:asciiTheme="minorEastAsia" w:hAnsiTheme="minorEastAsia" w:eastAsiaTheme="minorEastAsia" w:cstheme="minorEastAsia"/>
          <w:b/>
          <w:color w:val="000000" w:themeColor="text1"/>
          <w:sz w:val="24"/>
          <w14:textFill>
            <w14:solidFill>
              <w14:schemeClr w14:val="tx1"/>
            </w14:solidFill>
          </w14:textFill>
        </w:rPr>
      </w:pPr>
      <w:bookmarkStart w:id="185" w:name="_Toc12106"/>
      <w:r>
        <w:rPr>
          <w:rFonts w:hint="eastAsia" w:asciiTheme="minorEastAsia" w:hAnsiTheme="minorEastAsia" w:eastAsiaTheme="minorEastAsia" w:cstheme="minorEastAsia"/>
          <w:b/>
          <w:color w:val="000000" w:themeColor="text1"/>
          <w:sz w:val="24"/>
          <w14:textFill>
            <w14:solidFill>
              <w14:schemeClr w14:val="tx1"/>
            </w14:solidFill>
          </w14:textFill>
        </w:rPr>
        <w:t>3.1</w:t>
      </w:r>
      <w:bookmarkEnd w:id="185"/>
      <w:r>
        <w:rPr>
          <w:rFonts w:hint="eastAsia" w:asciiTheme="minorEastAsia" w:hAnsiTheme="minorEastAsia" w:eastAsiaTheme="minorEastAsia" w:cstheme="minorEastAsia"/>
          <w:b/>
          <w:color w:val="000000" w:themeColor="text1"/>
          <w:sz w:val="24"/>
          <w14:textFill>
            <w14:solidFill>
              <w14:schemeClr w14:val="tx1"/>
            </w14:solidFill>
          </w14:textFill>
        </w:rPr>
        <w:t>技术规范偏离表</w:t>
      </w:r>
    </w:p>
    <w:p>
      <w:pPr>
        <w:pStyle w:val="84"/>
        <w:spacing w:line="360" w:lineRule="auto"/>
        <w:ind w:left="0" w:leftChars="0" w:firstLine="0" w:firstLineChars="0"/>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项目编号：</w:t>
      </w:r>
      <w:r>
        <w:rPr>
          <w:rFonts w:hint="eastAsia" w:asciiTheme="minorEastAsia" w:hAnsiTheme="minorEastAsia" w:eastAsiaTheme="minorEastAsia" w:cstheme="minorEastAsia"/>
          <w:color w:val="000000" w:themeColor="text1"/>
          <w:u w:val="single"/>
          <w14:textFill>
            <w14:solidFill>
              <w14:schemeClr w14:val="tx1"/>
            </w14:solidFill>
          </w14:textFill>
        </w:rPr>
        <w:t xml:space="preserve">                     </w:t>
      </w:r>
    </w:p>
    <w:tbl>
      <w:tblPr>
        <w:tblStyle w:val="38"/>
        <w:tblW w:w="84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
        <w:gridCol w:w="2101"/>
        <w:gridCol w:w="1707"/>
        <w:gridCol w:w="1337"/>
        <w:gridCol w:w="1337"/>
        <w:gridCol w:w="9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955" w:type="dxa"/>
            <w:tcBorders>
              <w:top w:val="single" w:color="auto" w:sz="12" w:space="0"/>
              <w:left w:val="single" w:color="auto" w:sz="12" w:space="0"/>
            </w:tcBorders>
            <w:vAlign w:val="center"/>
          </w:tcPr>
          <w:p>
            <w:pPr>
              <w:pStyle w:val="85"/>
              <w:tabs>
                <w:tab w:val="left" w:pos="1337"/>
              </w:tabs>
              <w:spacing w:line="360" w:lineRule="auto"/>
              <w:jc w:val="center"/>
              <w:rPr>
                <w:rFonts w:asciiTheme="minorEastAsia" w:hAnsiTheme="minorEastAsia" w:eastAsiaTheme="minorEastAsia" w:cstheme="minorEastAsia"/>
                <w:bCs/>
                <w:color w:val="000000" w:themeColor="text1"/>
                <w:sz w:val="24"/>
                <w14:textFill>
                  <w14:solidFill>
                    <w14:schemeClr w14:val="tx1"/>
                  </w14:solidFill>
                </w14:textFill>
              </w:rPr>
            </w:pPr>
            <w:r>
              <w:rPr>
                <w:rFonts w:hint="eastAsia" w:asciiTheme="minorEastAsia" w:hAnsiTheme="minorEastAsia" w:eastAsiaTheme="minorEastAsia" w:cstheme="minorEastAsia"/>
                <w:bCs/>
                <w:color w:val="000000" w:themeColor="text1"/>
                <w:sz w:val="24"/>
                <w14:textFill>
                  <w14:solidFill>
                    <w14:schemeClr w14:val="tx1"/>
                  </w14:solidFill>
                </w14:textFill>
              </w:rPr>
              <w:t>序号</w:t>
            </w:r>
          </w:p>
        </w:tc>
        <w:tc>
          <w:tcPr>
            <w:tcW w:w="2101" w:type="dxa"/>
            <w:tcBorders>
              <w:top w:val="single" w:color="auto" w:sz="12" w:space="0"/>
            </w:tcBorders>
            <w:vAlign w:val="center"/>
          </w:tcPr>
          <w:p>
            <w:pPr>
              <w:pStyle w:val="85"/>
              <w:tabs>
                <w:tab w:val="left" w:pos="1337"/>
              </w:tabs>
              <w:spacing w:line="360" w:lineRule="auto"/>
              <w:jc w:val="center"/>
              <w:rPr>
                <w:rFonts w:asciiTheme="minorEastAsia" w:hAnsiTheme="minorEastAsia" w:eastAsiaTheme="minorEastAsia" w:cstheme="minorEastAsia"/>
                <w:bCs/>
                <w:color w:val="000000" w:themeColor="text1"/>
                <w:sz w:val="24"/>
                <w14:textFill>
                  <w14:solidFill>
                    <w14:schemeClr w14:val="tx1"/>
                  </w14:solidFill>
                </w14:textFill>
              </w:rPr>
            </w:pPr>
            <w:r>
              <w:rPr>
                <w:rFonts w:hint="eastAsia" w:asciiTheme="minorEastAsia" w:hAnsiTheme="minorEastAsia" w:eastAsiaTheme="minorEastAsia" w:cstheme="minorEastAsia"/>
                <w:bCs/>
                <w:color w:val="000000" w:themeColor="text1"/>
                <w:sz w:val="24"/>
                <w14:textFill>
                  <w14:solidFill>
                    <w14:schemeClr w14:val="tx1"/>
                  </w14:solidFill>
                </w14:textFill>
              </w:rPr>
              <w:t>名称及编号</w:t>
            </w:r>
          </w:p>
        </w:tc>
        <w:tc>
          <w:tcPr>
            <w:tcW w:w="1707" w:type="dxa"/>
            <w:tcBorders>
              <w:top w:val="single" w:color="auto" w:sz="12" w:space="0"/>
            </w:tcBorders>
            <w:vAlign w:val="center"/>
          </w:tcPr>
          <w:p>
            <w:pPr>
              <w:pStyle w:val="85"/>
              <w:tabs>
                <w:tab w:val="left" w:pos="1337"/>
              </w:tabs>
              <w:spacing w:line="360" w:lineRule="auto"/>
              <w:jc w:val="center"/>
              <w:rPr>
                <w:rFonts w:asciiTheme="minorEastAsia" w:hAnsiTheme="minorEastAsia" w:eastAsiaTheme="minorEastAsia" w:cstheme="minorEastAsia"/>
                <w:bCs/>
                <w:color w:val="000000" w:themeColor="text1"/>
                <w:sz w:val="24"/>
                <w14:textFill>
                  <w14:solidFill>
                    <w14:schemeClr w14:val="tx1"/>
                  </w14:solidFill>
                </w14:textFill>
              </w:rPr>
            </w:pPr>
            <w:r>
              <w:rPr>
                <w:rFonts w:hint="eastAsia" w:asciiTheme="minorEastAsia" w:hAnsiTheme="minorEastAsia" w:eastAsiaTheme="minorEastAsia" w:cstheme="minorEastAsia"/>
                <w:bCs/>
                <w:color w:val="000000" w:themeColor="text1"/>
                <w:sz w:val="24"/>
                <w14:textFill>
                  <w14:solidFill>
                    <w14:schemeClr w14:val="tx1"/>
                  </w14:solidFill>
                </w14:textFill>
              </w:rPr>
              <w:t>招标文件技术规范、要求</w:t>
            </w:r>
          </w:p>
        </w:tc>
        <w:tc>
          <w:tcPr>
            <w:tcW w:w="1337" w:type="dxa"/>
            <w:tcBorders>
              <w:top w:val="single" w:color="auto" w:sz="12" w:space="0"/>
            </w:tcBorders>
            <w:vAlign w:val="center"/>
          </w:tcPr>
          <w:p>
            <w:pPr>
              <w:pStyle w:val="85"/>
              <w:tabs>
                <w:tab w:val="left" w:pos="1337"/>
              </w:tabs>
              <w:spacing w:line="360" w:lineRule="auto"/>
              <w:jc w:val="center"/>
              <w:rPr>
                <w:rFonts w:asciiTheme="minorEastAsia" w:hAnsiTheme="minorEastAsia" w:eastAsiaTheme="minorEastAsia" w:cstheme="minorEastAsia"/>
                <w:bCs/>
                <w:color w:val="000000" w:themeColor="text1"/>
                <w:sz w:val="24"/>
                <w14:textFill>
                  <w14:solidFill>
                    <w14:schemeClr w14:val="tx1"/>
                  </w14:solidFill>
                </w14:textFill>
              </w:rPr>
            </w:pPr>
            <w:r>
              <w:rPr>
                <w:rFonts w:hint="eastAsia" w:asciiTheme="minorEastAsia" w:hAnsiTheme="minorEastAsia" w:eastAsiaTheme="minorEastAsia" w:cstheme="minorEastAsia"/>
                <w:bCs/>
                <w:color w:val="000000" w:themeColor="text1"/>
                <w:sz w:val="24"/>
                <w14:textFill>
                  <w14:solidFill>
                    <w14:schemeClr w14:val="tx1"/>
                  </w14:solidFill>
                </w14:textFill>
              </w:rPr>
              <w:t>投标文件对应规范</w:t>
            </w:r>
          </w:p>
        </w:tc>
        <w:tc>
          <w:tcPr>
            <w:tcW w:w="1337" w:type="dxa"/>
            <w:tcBorders>
              <w:top w:val="single" w:color="auto" w:sz="12" w:space="0"/>
            </w:tcBorders>
            <w:vAlign w:val="center"/>
          </w:tcPr>
          <w:p>
            <w:pPr>
              <w:pStyle w:val="85"/>
              <w:tabs>
                <w:tab w:val="left" w:pos="1337"/>
              </w:tabs>
              <w:spacing w:line="360" w:lineRule="auto"/>
              <w:jc w:val="center"/>
              <w:rPr>
                <w:rFonts w:asciiTheme="minorEastAsia" w:hAnsiTheme="minorEastAsia" w:eastAsiaTheme="minorEastAsia" w:cstheme="minorEastAsia"/>
                <w:bCs/>
                <w:color w:val="000000" w:themeColor="text1"/>
                <w:sz w:val="24"/>
                <w14:textFill>
                  <w14:solidFill>
                    <w14:schemeClr w14:val="tx1"/>
                  </w14:solidFill>
                </w14:textFill>
              </w:rPr>
            </w:pPr>
            <w:r>
              <w:rPr>
                <w:rFonts w:hint="eastAsia" w:asciiTheme="minorEastAsia" w:hAnsiTheme="minorEastAsia" w:eastAsiaTheme="minorEastAsia" w:cstheme="minorEastAsia"/>
                <w:bCs/>
                <w:color w:val="000000" w:themeColor="text1"/>
                <w:sz w:val="24"/>
                <w14:textFill>
                  <w14:solidFill>
                    <w14:schemeClr w14:val="tx1"/>
                  </w14:solidFill>
                </w14:textFill>
              </w:rPr>
              <w:t>偏差</w:t>
            </w:r>
          </w:p>
        </w:tc>
        <w:tc>
          <w:tcPr>
            <w:tcW w:w="977" w:type="dxa"/>
            <w:tcBorders>
              <w:top w:val="single" w:color="auto" w:sz="12" w:space="0"/>
              <w:right w:val="single" w:color="auto" w:sz="12" w:space="0"/>
            </w:tcBorders>
            <w:vAlign w:val="center"/>
          </w:tcPr>
          <w:p>
            <w:pPr>
              <w:pStyle w:val="85"/>
              <w:tabs>
                <w:tab w:val="left" w:pos="1337"/>
              </w:tabs>
              <w:spacing w:line="360" w:lineRule="auto"/>
              <w:jc w:val="center"/>
              <w:rPr>
                <w:rFonts w:asciiTheme="minorEastAsia" w:hAnsiTheme="minorEastAsia" w:eastAsiaTheme="minorEastAsia" w:cstheme="minorEastAsia"/>
                <w:bCs/>
                <w:color w:val="000000" w:themeColor="text1"/>
                <w:sz w:val="24"/>
                <w14:textFill>
                  <w14:solidFill>
                    <w14:schemeClr w14:val="tx1"/>
                  </w14:solidFill>
                </w14:textFill>
              </w:rPr>
            </w:pPr>
            <w:r>
              <w:rPr>
                <w:rFonts w:hint="eastAsia" w:asciiTheme="minorEastAsia" w:hAnsiTheme="minorEastAsia" w:eastAsiaTheme="minorEastAsia" w:cstheme="minorEastAsia"/>
                <w:bCs/>
                <w:color w:val="000000" w:themeColor="text1"/>
                <w:sz w:val="24"/>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955" w:type="dxa"/>
            <w:tcBorders>
              <w:left w:val="single" w:color="auto" w:sz="12" w:space="0"/>
            </w:tcBorders>
            <w:vAlign w:val="center"/>
          </w:tcPr>
          <w:p>
            <w:pPr>
              <w:pStyle w:val="85"/>
              <w:tabs>
                <w:tab w:val="left" w:pos="1337"/>
              </w:tabs>
              <w:spacing w:line="360" w:lineRule="auto"/>
              <w:jc w:val="center"/>
              <w:rPr>
                <w:rFonts w:asciiTheme="minorEastAsia" w:hAnsiTheme="minorEastAsia" w:eastAsiaTheme="minorEastAsia" w:cstheme="minorEastAsia"/>
                <w:color w:val="000000" w:themeColor="text1"/>
                <w:sz w:val="24"/>
                <w14:textFill>
                  <w14:solidFill>
                    <w14:schemeClr w14:val="tx1"/>
                  </w14:solidFill>
                </w14:textFill>
              </w:rPr>
            </w:pPr>
          </w:p>
        </w:tc>
        <w:tc>
          <w:tcPr>
            <w:tcW w:w="2101" w:type="dxa"/>
            <w:vAlign w:val="center"/>
          </w:tcPr>
          <w:p>
            <w:pPr>
              <w:pStyle w:val="85"/>
              <w:tabs>
                <w:tab w:val="left" w:pos="1337"/>
              </w:tabs>
              <w:spacing w:line="360" w:lineRule="auto"/>
              <w:jc w:val="center"/>
              <w:rPr>
                <w:rFonts w:asciiTheme="minorEastAsia" w:hAnsiTheme="minorEastAsia" w:eastAsiaTheme="minorEastAsia" w:cstheme="minorEastAsia"/>
                <w:color w:val="000000" w:themeColor="text1"/>
                <w:sz w:val="24"/>
                <w14:textFill>
                  <w14:solidFill>
                    <w14:schemeClr w14:val="tx1"/>
                  </w14:solidFill>
                </w14:textFill>
              </w:rPr>
            </w:pPr>
          </w:p>
        </w:tc>
        <w:tc>
          <w:tcPr>
            <w:tcW w:w="1707" w:type="dxa"/>
            <w:vAlign w:val="center"/>
          </w:tcPr>
          <w:p>
            <w:pPr>
              <w:pStyle w:val="85"/>
              <w:tabs>
                <w:tab w:val="left" w:pos="1337"/>
              </w:tabs>
              <w:spacing w:line="360" w:lineRule="auto"/>
              <w:jc w:val="center"/>
              <w:rPr>
                <w:rFonts w:asciiTheme="minorEastAsia" w:hAnsiTheme="minorEastAsia" w:eastAsiaTheme="minorEastAsia" w:cstheme="minorEastAsia"/>
                <w:color w:val="000000" w:themeColor="text1"/>
                <w:sz w:val="24"/>
                <w14:textFill>
                  <w14:solidFill>
                    <w14:schemeClr w14:val="tx1"/>
                  </w14:solidFill>
                </w14:textFill>
              </w:rPr>
            </w:pPr>
          </w:p>
        </w:tc>
        <w:tc>
          <w:tcPr>
            <w:tcW w:w="1337" w:type="dxa"/>
            <w:vAlign w:val="center"/>
          </w:tcPr>
          <w:p>
            <w:pPr>
              <w:pStyle w:val="85"/>
              <w:tabs>
                <w:tab w:val="left" w:pos="1337"/>
              </w:tabs>
              <w:spacing w:line="360" w:lineRule="auto"/>
              <w:jc w:val="center"/>
              <w:rPr>
                <w:rFonts w:asciiTheme="minorEastAsia" w:hAnsiTheme="minorEastAsia" w:eastAsiaTheme="minorEastAsia" w:cstheme="minorEastAsia"/>
                <w:color w:val="000000" w:themeColor="text1"/>
                <w:sz w:val="24"/>
                <w14:textFill>
                  <w14:solidFill>
                    <w14:schemeClr w14:val="tx1"/>
                  </w14:solidFill>
                </w14:textFill>
              </w:rPr>
            </w:pPr>
          </w:p>
        </w:tc>
        <w:tc>
          <w:tcPr>
            <w:tcW w:w="1337" w:type="dxa"/>
            <w:vAlign w:val="center"/>
          </w:tcPr>
          <w:p>
            <w:pPr>
              <w:pStyle w:val="85"/>
              <w:tabs>
                <w:tab w:val="left" w:pos="1337"/>
              </w:tabs>
              <w:spacing w:line="360" w:lineRule="auto"/>
              <w:jc w:val="center"/>
              <w:rPr>
                <w:rFonts w:asciiTheme="minorEastAsia" w:hAnsiTheme="minorEastAsia" w:eastAsiaTheme="minorEastAsia" w:cstheme="minorEastAsia"/>
                <w:color w:val="000000" w:themeColor="text1"/>
                <w:sz w:val="24"/>
                <w14:textFill>
                  <w14:solidFill>
                    <w14:schemeClr w14:val="tx1"/>
                  </w14:solidFill>
                </w14:textFill>
              </w:rPr>
            </w:pPr>
          </w:p>
        </w:tc>
        <w:tc>
          <w:tcPr>
            <w:tcW w:w="977" w:type="dxa"/>
            <w:tcBorders>
              <w:right w:val="single" w:color="auto" w:sz="12" w:space="0"/>
            </w:tcBorders>
            <w:vAlign w:val="center"/>
          </w:tcPr>
          <w:p>
            <w:pPr>
              <w:pStyle w:val="85"/>
              <w:tabs>
                <w:tab w:val="left" w:pos="1337"/>
              </w:tabs>
              <w:spacing w:line="360" w:lineRule="auto"/>
              <w:jc w:val="center"/>
              <w:rPr>
                <w:rFonts w:asciiTheme="minorEastAsia" w:hAnsiTheme="minorEastAsia" w:eastAsiaTheme="minorEastAsia" w:cstheme="minorEastAsia"/>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955" w:type="dxa"/>
            <w:tcBorders>
              <w:left w:val="single" w:color="auto" w:sz="12" w:space="0"/>
            </w:tcBorders>
            <w:vAlign w:val="center"/>
          </w:tcPr>
          <w:p>
            <w:pPr>
              <w:pStyle w:val="85"/>
              <w:tabs>
                <w:tab w:val="left" w:pos="1337"/>
              </w:tabs>
              <w:spacing w:line="360" w:lineRule="auto"/>
              <w:jc w:val="center"/>
              <w:rPr>
                <w:rFonts w:asciiTheme="minorEastAsia" w:hAnsiTheme="minorEastAsia" w:eastAsiaTheme="minorEastAsia" w:cstheme="minorEastAsia"/>
                <w:color w:val="000000" w:themeColor="text1"/>
                <w:sz w:val="24"/>
                <w14:textFill>
                  <w14:solidFill>
                    <w14:schemeClr w14:val="tx1"/>
                  </w14:solidFill>
                </w14:textFill>
              </w:rPr>
            </w:pPr>
          </w:p>
        </w:tc>
        <w:tc>
          <w:tcPr>
            <w:tcW w:w="2101" w:type="dxa"/>
            <w:vAlign w:val="center"/>
          </w:tcPr>
          <w:p>
            <w:pPr>
              <w:pStyle w:val="85"/>
              <w:tabs>
                <w:tab w:val="left" w:pos="1337"/>
              </w:tabs>
              <w:spacing w:line="360" w:lineRule="auto"/>
              <w:jc w:val="center"/>
              <w:rPr>
                <w:rFonts w:asciiTheme="minorEastAsia" w:hAnsiTheme="minorEastAsia" w:eastAsiaTheme="minorEastAsia" w:cstheme="minorEastAsia"/>
                <w:color w:val="000000" w:themeColor="text1"/>
                <w:sz w:val="24"/>
                <w14:textFill>
                  <w14:solidFill>
                    <w14:schemeClr w14:val="tx1"/>
                  </w14:solidFill>
                </w14:textFill>
              </w:rPr>
            </w:pPr>
          </w:p>
        </w:tc>
        <w:tc>
          <w:tcPr>
            <w:tcW w:w="1707" w:type="dxa"/>
            <w:vAlign w:val="center"/>
          </w:tcPr>
          <w:p>
            <w:pPr>
              <w:pStyle w:val="85"/>
              <w:tabs>
                <w:tab w:val="left" w:pos="1337"/>
              </w:tabs>
              <w:spacing w:line="360" w:lineRule="auto"/>
              <w:jc w:val="center"/>
              <w:rPr>
                <w:rFonts w:asciiTheme="minorEastAsia" w:hAnsiTheme="minorEastAsia" w:eastAsiaTheme="minorEastAsia" w:cstheme="minorEastAsia"/>
                <w:color w:val="000000" w:themeColor="text1"/>
                <w:sz w:val="24"/>
                <w14:textFill>
                  <w14:solidFill>
                    <w14:schemeClr w14:val="tx1"/>
                  </w14:solidFill>
                </w14:textFill>
              </w:rPr>
            </w:pPr>
          </w:p>
        </w:tc>
        <w:tc>
          <w:tcPr>
            <w:tcW w:w="1337" w:type="dxa"/>
            <w:vAlign w:val="center"/>
          </w:tcPr>
          <w:p>
            <w:pPr>
              <w:pStyle w:val="85"/>
              <w:tabs>
                <w:tab w:val="left" w:pos="1337"/>
              </w:tabs>
              <w:spacing w:line="360" w:lineRule="auto"/>
              <w:jc w:val="center"/>
              <w:rPr>
                <w:rFonts w:asciiTheme="minorEastAsia" w:hAnsiTheme="minorEastAsia" w:eastAsiaTheme="minorEastAsia" w:cstheme="minorEastAsia"/>
                <w:color w:val="000000" w:themeColor="text1"/>
                <w:sz w:val="24"/>
                <w14:textFill>
                  <w14:solidFill>
                    <w14:schemeClr w14:val="tx1"/>
                  </w14:solidFill>
                </w14:textFill>
              </w:rPr>
            </w:pPr>
          </w:p>
        </w:tc>
        <w:tc>
          <w:tcPr>
            <w:tcW w:w="1337" w:type="dxa"/>
            <w:vAlign w:val="center"/>
          </w:tcPr>
          <w:p>
            <w:pPr>
              <w:pStyle w:val="85"/>
              <w:tabs>
                <w:tab w:val="left" w:pos="1337"/>
              </w:tabs>
              <w:spacing w:line="360" w:lineRule="auto"/>
              <w:jc w:val="center"/>
              <w:rPr>
                <w:rFonts w:asciiTheme="minorEastAsia" w:hAnsiTheme="minorEastAsia" w:eastAsiaTheme="minorEastAsia" w:cstheme="minorEastAsia"/>
                <w:color w:val="000000" w:themeColor="text1"/>
                <w:sz w:val="24"/>
                <w14:textFill>
                  <w14:solidFill>
                    <w14:schemeClr w14:val="tx1"/>
                  </w14:solidFill>
                </w14:textFill>
              </w:rPr>
            </w:pPr>
          </w:p>
        </w:tc>
        <w:tc>
          <w:tcPr>
            <w:tcW w:w="977" w:type="dxa"/>
            <w:tcBorders>
              <w:right w:val="single" w:color="auto" w:sz="12" w:space="0"/>
            </w:tcBorders>
            <w:vAlign w:val="center"/>
          </w:tcPr>
          <w:p>
            <w:pPr>
              <w:pStyle w:val="85"/>
              <w:tabs>
                <w:tab w:val="left" w:pos="1337"/>
              </w:tabs>
              <w:spacing w:line="360" w:lineRule="auto"/>
              <w:jc w:val="center"/>
              <w:rPr>
                <w:rFonts w:asciiTheme="minorEastAsia" w:hAnsiTheme="minorEastAsia" w:eastAsiaTheme="minorEastAsia" w:cstheme="minorEastAsia"/>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955" w:type="dxa"/>
            <w:tcBorders>
              <w:left w:val="single" w:color="auto" w:sz="12" w:space="0"/>
            </w:tcBorders>
            <w:vAlign w:val="center"/>
          </w:tcPr>
          <w:p>
            <w:pPr>
              <w:pStyle w:val="85"/>
              <w:tabs>
                <w:tab w:val="left" w:pos="1337"/>
              </w:tabs>
              <w:spacing w:line="360" w:lineRule="auto"/>
              <w:jc w:val="center"/>
              <w:rPr>
                <w:rFonts w:asciiTheme="minorEastAsia" w:hAnsiTheme="minorEastAsia" w:eastAsiaTheme="minorEastAsia" w:cstheme="minorEastAsia"/>
                <w:color w:val="000000" w:themeColor="text1"/>
                <w:sz w:val="24"/>
                <w14:textFill>
                  <w14:solidFill>
                    <w14:schemeClr w14:val="tx1"/>
                  </w14:solidFill>
                </w14:textFill>
              </w:rPr>
            </w:pPr>
          </w:p>
        </w:tc>
        <w:tc>
          <w:tcPr>
            <w:tcW w:w="2101" w:type="dxa"/>
            <w:vAlign w:val="center"/>
          </w:tcPr>
          <w:p>
            <w:pPr>
              <w:pStyle w:val="85"/>
              <w:tabs>
                <w:tab w:val="left" w:pos="1337"/>
              </w:tabs>
              <w:spacing w:line="360" w:lineRule="auto"/>
              <w:jc w:val="center"/>
              <w:rPr>
                <w:rFonts w:asciiTheme="minorEastAsia" w:hAnsiTheme="minorEastAsia" w:eastAsiaTheme="minorEastAsia" w:cstheme="minorEastAsia"/>
                <w:color w:val="000000" w:themeColor="text1"/>
                <w:sz w:val="24"/>
                <w14:textFill>
                  <w14:solidFill>
                    <w14:schemeClr w14:val="tx1"/>
                  </w14:solidFill>
                </w14:textFill>
              </w:rPr>
            </w:pPr>
          </w:p>
        </w:tc>
        <w:tc>
          <w:tcPr>
            <w:tcW w:w="1707" w:type="dxa"/>
            <w:vAlign w:val="center"/>
          </w:tcPr>
          <w:p>
            <w:pPr>
              <w:pStyle w:val="85"/>
              <w:tabs>
                <w:tab w:val="left" w:pos="1337"/>
              </w:tabs>
              <w:spacing w:line="360" w:lineRule="auto"/>
              <w:jc w:val="center"/>
              <w:rPr>
                <w:rFonts w:asciiTheme="minorEastAsia" w:hAnsiTheme="minorEastAsia" w:eastAsiaTheme="minorEastAsia" w:cstheme="minorEastAsia"/>
                <w:color w:val="000000" w:themeColor="text1"/>
                <w:sz w:val="24"/>
                <w14:textFill>
                  <w14:solidFill>
                    <w14:schemeClr w14:val="tx1"/>
                  </w14:solidFill>
                </w14:textFill>
              </w:rPr>
            </w:pPr>
          </w:p>
        </w:tc>
        <w:tc>
          <w:tcPr>
            <w:tcW w:w="1337" w:type="dxa"/>
            <w:vAlign w:val="center"/>
          </w:tcPr>
          <w:p>
            <w:pPr>
              <w:pStyle w:val="85"/>
              <w:tabs>
                <w:tab w:val="left" w:pos="1337"/>
              </w:tabs>
              <w:spacing w:line="360" w:lineRule="auto"/>
              <w:jc w:val="center"/>
              <w:rPr>
                <w:rFonts w:asciiTheme="minorEastAsia" w:hAnsiTheme="minorEastAsia" w:eastAsiaTheme="minorEastAsia" w:cstheme="minorEastAsia"/>
                <w:color w:val="000000" w:themeColor="text1"/>
                <w:sz w:val="24"/>
                <w14:textFill>
                  <w14:solidFill>
                    <w14:schemeClr w14:val="tx1"/>
                  </w14:solidFill>
                </w14:textFill>
              </w:rPr>
            </w:pPr>
          </w:p>
        </w:tc>
        <w:tc>
          <w:tcPr>
            <w:tcW w:w="1337" w:type="dxa"/>
            <w:vAlign w:val="center"/>
          </w:tcPr>
          <w:p>
            <w:pPr>
              <w:pStyle w:val="85"/>
              <w:tabs>
                <w:tab w:val="left" w:pos="1337"/>
              </w:tabs>
              <w:spacing w:line="360" w:lineRule="auto"/>
              <w:jc w:val="center"/>
              <w:rPr>
                <w:rFonts w:asciiTheme="minorEastAsia" w:hAnsiTheme="minorEastAsia" w:eastAsiaTheme="minorEastAsia" w:cstheme="minorEastAsia"/>
                <w:color w:val="000000" w:themeColor="text1"/>
                <w:sz w:val="24"/>
                <w14:textFill>
                  <w14:solidFill>
                    <w14:schemeClr w14:val="tx1"/>
                  </w14:solidFill>
                </w14:textFill>
              </w:rPr>
            </w:pPr>
          </w:p>
        </w:tc>
        <w:tc>
          <w:tcPr>
            <w:tcW w:w="977" w:type="dxa"/>
            <w:tcBorders>
              <w:right w:val="single" w:color="auto" w:sz="12" w:space="0"/>
            </w:tcBorders>
            <w:vAlign w:val="center"/>
          </w:tcPr>
          <w:p>
            <w:pPr>
              <w:pStyle w:val="85"/>
              <w:tabs>
                <w:tab w:val="left" w:pos="1337"/>
              </w:tabs>
              <w:spacing w:line="360" w:lineRule="auto"/>
              <w:jc w:val="center"/>
              <w:rPr>
                <w:rFonts w:asciiTheme="minorEastAsia" w:hAnsiTheme="minorEastAsia" w:eastAsiaTheme="minorEastAsia" w:cstheme="minorEastAsia"/>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955" w:type="dxa"/>
            <w:tcBorders>
              <w:left w:val="single" w:color="auto" w:sz="12" w:space="0"/>
              <w:bottom w:val="single" w:color="auto" w:sz="12" w:space="0"/>
            </w:tcBorders>
            <w:vAlign w:val="center"/>
          </w:tcPr>
          <w:p>
            <w:pPr>
              <w:pStyle w:val="85"/>
              <w:tabs>
                <w:tab w:val="left" w:pos="1337"/>
              </w:tabs>
              <w:spacing w:line="360" w:lineRule="auto"/>
              <w:jc w:val="center"/>
              <w:rPr>
                <w:rFonts w:asciiTheme="minorEastAsia" w:hAnsiTheme="minorEastAsia" w:eastAsiaTheme="minorEastAsia" w:cstheme="minorEastAsia"/>
                <w:color w:val="000000" w:themeColor="text1"/>
                <w:sz w:val="24"/>
                <w14:textFill>
                  <w14:solidFill>
                    <w14:schemeClr w14:val="tx1"/>
                  </w14:solidFill>
                </w14:textFill>
              </w:rPr>
            </w:pPr>
          </w:p>
        </w:tc>
        <w:tc>
          <w:tcPr>
            <w:tcW w:w="2101" w:type="dxa"/>
            <w:tcBorders>
              <w:bottom w:val="single" w:color="auto" w:sz="12" w:space="0"/>
            </w:tcBorders>
            <w:vAlign w:val="center"/>
          </w:tcPr>
          <w:p>
            <w:pPr>
              <w:pStyle w:val="85"/>
              <w:tabs>
                <w:tab w:val="left" w:pos="1337"/>
              </w:tabs>
              <w:spacing w:line="360" w:lineRule="auto"/>
              <w:jc w:val="center"/>
              <w:rPr>
                <w:rFonts w:asciiTheme="minorEastAsia" w:hAnsiTheme="minorEastAsia" w:eastAsiaTheme="minorEastAsia" w:cstheme="minorEastAsia"/>
                <w:color w:val="000000" w:themeColor="text1"/>
                <w:sz w:val="24"/>
                <w14:textFill>
                  <w14:solidFill>
                    <w14:schemeClr w14:val="tx1"/>
                  </w14:solidFill>
                </w14:textFill>
              </w:rPr>
            </w:pPr>
          </w:p>
        </w:tc>
        <w:tc>
          <w:tcPr>
            <w:tcW w:w="1707" w:type="dxa"/>
            <w:tcBorders>
              <w:bottom w:val="single" w:color="auto" w:sz="12" w:space="0"/>
            </w:tcBorders>
            <w:vAlign w:val="center"/>
          </w:tcPr>
          <w:p>
            <w:pPr>
              <w:pStyle w:val="85"/>
              <w:tabs>
                <w:tab w:val="left" w:pos="1337"/>
              </w:tabs>
              <w:spacing w:line="360" w:lineRule="auto"/>
              <w:jc w:val="center"/>
              <w:rPr>
                <w:rFonts w:asciiTheme="minorEastAsia" w:hAnsiTheme="minorEastAsia" w:eastAsiaTheme="minorEastAsia" w:cstheme="minorEastAsia"/>
                <w:color w:val="000000" w:themeColor="text1"/>
                <w:sz w:val="24"/>
                <w14:textFill>
                  <w14:solidFill>
                    <w14:schemeClr w14:val="tx1"/>
                  </w14:solidFill>
                </w14:textFill>
              </w:rPr>
            </w:pPr>
          </w:p>
        </w:tc>
        <w:tc>
          <w:tcPr>
            <w:tcW w:w="1337" w:type="dxa"/>
            <w:tcBorders>
              <w:bottom w:val="single" w:color="auto" w:sz="12" w:space="0"/>
            </w:tcBorders>
            <w:vAlign w:val="center"/>
          </w:tcPr>
          <w:p>
            <w:pPr>
              <w:pStyle w:val="85"/>
              <w:tabs>
                <w:tab w:val="left" w:pos="1337"/>
              </w:tabs>
              <w:spacing w:line="360" w:lineRule="auto"/>
              <w:jc w:val="center"/>
              <w:rPr>
                <w:rFonts w:asciiTheme="minorEastAsia" w:hAnsiTheme="minorEastAsia" w:eastAsiaTheme="minorEastAsia" w:cstheme="minorEastAsia"/>
                <w:color w:val="000000" w:themeColor="text1"/>
                <w:sz w:val="24"/>
                <w14:textFill>
                  <w14:solidFill>
                    <w14:schemeClr w14:val="tx1"/>
                  </w14:solidFill>
                </w14:textFill>
              </w:rPr>
            </w:pPr>
          </w:p>
        </w:tc>
        <w:tc>
          <w:tcPr>
            <w:tcW w:w="1337" w:type="dxa"/>
            <w:tcBorders>
              <w:bottom w:val="single" w:color="auto" w:sz="12" w:space="0"/>
            </w:tcBorders>
            <w:vAlign w:val="center"/>
          </w:tcPr>
          <w:p>
            <w:pPr>
              <w:pStyle w:val="85"/>
              <w:tabs>
                <w:tab w:val="left" w:pos="1337"/>
              </w:tabs>
              <w:spacing w:line="360" w:lineRule="auto"/>
              <w:jc w:val="center"/>
              <w:rPr>
                <w:rFonts w:asciiTheme="minorEastAsia" w:hAnsiTheme="minorEastAsia" w:eastAsiaTheme="minorEastAsia" w:cstheme="minorEastAsia"/>
                <w:color w:val="000000" w:themeColor="text1"/>
                <w:sz w:val="24"/>
                <w14:textFill>
                  <w14:solidFill>
                    <w14:schemeClr w14:val="tx1"/>
                  </w14:solidFill>
                </w14:textFill>
              </w:rPr>
            </w:pPr>
          </w:p>
        </w:tc>
        <w:tc>
          <w:tcPr>
            <w:tcW w:w="977" w:type="dxa"/>
            <w:tcBorders>
              <w:bottom w:val="single" w:color="auto" w:sz="12" w:space="0"/>
              <w:right w:val="single" w:color="auto" w:sz="12" w:space="0"/>
            </w:tcBorders>
            <w:vAlign w:val="center"/>
          </w:tcPr>
          <w:p>
            <w:pPr>
              <w:pStyle w:val="85"/>
              <w:tabs>
                <w:tab w:val="left" w:pos="1337"/>
              </w:tabs>
              <w:spacing w:line="360" w:lineRule="auto"/>
              <w:jc w:val="center"/>
              <w:rPr>
                <w:rFonts w:asciiTheme="minorEastAsia" w:hAnsiTheme="minorEastAsia" w:eastAsiaTheme="minorEastAsia" w:cstheme="minorEastAsia"/>
                <w:color w:val="000000" w:themeColor="text1"/>
                <w:sz w:val="24"/>
                <w14:textFill>
                  <w14:solidFill>
                    <w14:schemeClr w14:val="tx1"/>
                  </w14:solidFill>
                </w14:textFill>
              </w:rPr>
            </w:pPr>
          </w:p>
        </w:tc>
      </w:tr>
    </w:tbl>
    <w:p>
      <w:pPr>
        <w:pStyle w:val="85"/>
        <w:spacing w:line="360" w:lineRule="auto"/>
        <w:ind w:left="2"/>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说明：如投标人提交的技术规范与招标文件的要求存在偏离，需逐项填写《技术规范偏离表》。</w:t>
      </w:r>
    </w:p>
    <w:p>
      <w:pPr>
        <w:pStyle w:val="107"/>
        <w:spacing w:before="0" w:after="0" w:line="360" w:lineRule="auto"/>
        <w:ind w:right="960"/>
        <w:rPr>
          <w:rFonts w:asciiTheme="minorEastAsia" w:hAnsiTheme="minorEastAsia" w:eastAsiaTheme="minorEastAsia" w:cstheme="minorEastAsia"/>
          <w:color w:val="000000" w:themeColor="text1"/>
          <w:sz w:val="24"/>
          <w:szCs w:val="24"/>
          <w14:textFill>
            <w14:solidFill>
              <w14:schemeClr w14:val="tx1"/>
            </w14:solidFill>
          </w14:textFill>
        </w:rPr>
      </w:pPr>
    </w:p>
    <w:p>
      <w:pPr>
        <w:pStyle w:val="107"/>
        <w:spacing w:before="0" w:after="0" w:line="360" w:lineRule="auto"/>
        <w:ind w:right="17"/>
        <w:jc w:val="right"/>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年  月  日</w:t>
      </w:r>
    </w:p>
    <w:p>
      <w:pPr>
        <w:rPr>
          <w:rFonts w:ascii="宋体" w:hAnsi="宋体" w:cs="宋体"/>
          <w:b/>
          <w:sz w:val="24"/>
          <w:szCs w:val="24"/>
        </w:rPr>
      </w:pPr>
      <w:bookmarkStart w:id="186" w:name="_Toc628"/>
      <w:r>
        <w:rPr>
          <w:rFonts w:hint="eastAsia" w:ascii="宋体" w:hAnsi="宋体" w:cs="宋体"/>
          <w:b/>
          <w:sz w:val="24"/>
          <w:szCs w:val="24"/>
        </w:rPr>
        <w:br w:type="page"/>
      </w:r>
    </w:p>
    <w:p>
      <w:pPr>
        <w:pStyle w:val="123"/>
        <w:outlineLvl w:val="2"/>
        <w:rPr>
          <w:rFonts w:ascii="宋体" w:hAnsi="宋体" w:eastAsia="宋体" w:cs="宋体"/>
          <w:sz w:val="24"/>
        </w:rPr>
      </w:pPr>
      <w:r>
        <w:rPr>
          <w:rFonts w:hint="eastAsia" w:ascii="宋体" w:hAnsi="宋体" w:eastAsia="宋体" w:cs="宋体"/>
          <w:sz w:val="24"/>
        </w:rPr>
        <w:t>3.2主要技术指标和运行性能：</w:t>
      </w:r>
      <w:bookmarkEnd w:id="186"/>
    </w:p>
    <w:p>
      <w:pPr>
        <w:pStyle w:val="85"/>
        <w:spacing w:line="360" w:lineRule="auto"/>
        <w:rPr>
          <w:rFonts w:ascii="宋体" w:hAnsi="宋体" w:cs="宋体"/>
          <w:sz w:val="24"/>
        </w:rPr>
      </w:pPr>
      <w:r>
        <w:rPr>
          <w:rFonts w:hint="eastAsia" w:ascii="宋体" w:hAnsi="宋体" w:cs="宋体"/>
          <w:kern w:val="0"/>
          <w:sz w:val="24"/>
        </w:rPr>
        <w:t>&lt;1&gt;</w:t>
      </w:r>
      <w:r>
        <w:rPr>
          <w:rFonts w:hint="eastAsia" w:ascii="宋体" w:hAnsi="宋体" w:cs="宋体"/>
          <w:b/>
          <w:kern w:val="0"/>
          <w:sz w:val="24"/>
        </w:rPr>
        <w:t>☆</w:t>
      </w:r>
      <w:r>
        <w:rPr>
          <w:rFonts w:hint="eastAsia" w:ascii="宋体" w:hAnsi="宋体" w:cs="宋体"/>
          <w:kern w:val="0"/>
          <w:sz w:val="24"/>
        </w:rPr>
        <w:t>技术明细表（详细描述技术指标及性能，包括采用的新工艺、新技术、新材料等）；</w:t>
      </w:r>
    </w:p>
    <w:p>
      <w:pPr>
        <w:pStyle w:val="84"/>
        <w:spacing w:line="360" w:lineRule="auto"/>
        <w:ind w:left="0" w:leftChars="0" w:firstLine="0" w:firstLineChars="0"/>
        <w:rPr>
          <w:rFonts w:ascii="宋体" w:hAnsi="宋体" w:cs="宋体"/>
        </w:rPr>
      </w:pPr>
      <w:r>
        <w:rPr>
          <w:rFonts w:hint="eastAsia" w:ascii="宋体" w:hAnsi="宋体" w:cs="宋体"/>
        </w:rPr>
        <w:t>项目编号：</w:t>
      </w:r>
      <w:r>
        <w:rPr>
          <w:rFonts w:hint="eastAsia" w:ascii="宋体" w:hAnsi="宋体" w:cs="宋体"/>
          <w:u w:val="single"/>
        </w:rPr>
        <w:t xml:space="preserve">                     </w:t>
      </w:r>
    </w:p>
    <w:tbl>
      <w:tblPr>
        <w:tblStyle w:val="38"/>
        <w:tblW w:w="94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2"/>
        <w:gridCol w:w="2441"/>
        <w:gridCol w:w="4725"/>
        <w:gridCol w:w="17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52" w:type="dxa"/>
            <w:tcBorders>
              <w:top w:val="single" w:color="auto" w:sz="12" w:space="0"/>
              <w:left w:val="single" w:color="auto" w:sz="12" w:space="0"/>
              <w:bottom w:val="single" w:color="auto" w:sz="4" w:space="0"/>
            </w:tcBorders>
            <w:vAlign w:val="center"/>
          </w:tcPr>
          <w:p>
            <w:pPr>
              <w:pStyle w:val="85"/>
              <w:tabs>
                <w:tab w:val="left" w:pos="1337"/>
              </w:tabs>
              <w:spacing w:line="360" w:lineRule="auto"/>
              <w:ind w:left="-42" w:right="-42"/>
              <w:jc w:val="center"/>
              <w:rPr>
                <w:rFonts w:ascii="宋体" w:hAnsi="宋体" w:cs="宋体"/>
                <w:sz w:val="24"/>
              </w:rPr>
            </w:pPr>
            <w:r>
              <w:rPr>
                <w:rFonts w:hint="eastAsia" w:ascii="宋体" w:hAnsi="宋体" w:cs="宋体"/>
                <w:sz w:val="24"/>
              </w:rPr>
              <w:t>项</w:t>
            </w:r>
          </w:p>
        </w:tc>
        <w:tc>
          <w:tcPr>
            <w:tcW w:w="2441" w:type="dxa"/>
            <w:tcBorders>
              <w:top w:val="single" w:color="auto" w:sz="12" w:space="0"/>
              <w:bottom w:val="single" w:color="auto" w:sz="4" w:space="0"/>
            </w:tcBorders>
            <w:vAlign w:val="center"/>
          </w:tcPr>
          <w:p>
            <w:pPr>
              <w:pStyle w:val="85"/>
              <w:tabs>
                <w:tab w:val="left" w:pos="1337"/>
              </w:tabs>
              <w:spacing w:line="360" w:lineRule="auto"/>
              <w:ind w:left="-42" w:right="-42"/>
              <w:jc w:val="center"/>
              <w:rPr>
                <w:rFonts w:ascii="宋体" w:hAnsi="宋体" w:cs="宋体"/>
                <w:sz w:val="24"/>
              </w:rPr>
            </w:pPr>
            <w:r>
              <w:rPr>
                <w:rFonts w:hint="eastAsia" w:ascii="宋体" w:hAnsi="宋体" w:cs="宋体"/>
                <w:sz w:val="24"/>
              </w:rPr>
              <w:t>1</w:t>
            </w:r>
          </w:p>
        </w:tc>
        <w:tc>
          <w:tcPr>
            <w:tcW w:w="4725" w:type="dxa"/>
            <w:tcBorders>
              <w:top w:val="single" w:color="auto" w:sz="12" w:space="0"/>
              <w:bottom w:val="single" w:color="auto" w:sz="4" w:space="0"/>
            </w:tcBorders>
            <w:vAlign w:val="center"/>
          </w:tcPr>
          <w:p>
            <w:pPr>
              <w:pStyle w:val="85"/>
              <w:tabs>
                <w:tab w:val="left" w:pos="1337"/>
              </w:tabs>
              <w:spacing w:line="360" w:lineRule="auto"/>
              <w:ind w:right="-42"/>
              <w:jc w:val="center"/>
              <w:rPr>
                <w:rFonts w:ascii="宋体" w:hAnsi="宋体" w:cs="宋体"/>
                <w:sz w:val="24"/>
              </w:rPr>
            </w:pPr>
            <w:r>
              <w:rPr>
                <w:rFonts w:hint="eastAsia" w:ascii="宋体" w:hAnsi="宋体" w:cs="宋体"/>
                <w:sz w:val="24"/>
              </w:rPr>
              <w:t>2</w:t>
            </w:r>
          </w:p>
        </w:tc>
        <w:tc>
          <w:tcPr>
            <w:tcW w:w="1749" w:type="dxa"/>
            <w:tcBorders>
              <w:top w:val="single" w:color="auto" w:sz="12" w:space="0"/>
              <w:bottom w:val="single" w:color="auto" w:sz="4" w:space="0"/>
              <w:right w:val="single" w:color="auto" w:sz="12" w:space="0"/>
            </w:tcBorders>
            <w:vAlign w:val="center"/>
          </w:tcPr>
          <w:p>
            <w:pPr>
              <w:pStyle w:val="85"/>
              <w:tabs>
                <w:tab w:val="left" w:pos="1337"/>
              </w:tabs>
              <w:spacing w:line="360" w:lineRule="auto"/>
              <w:ind w:left="-42" w:right="-42"/>
              <w:jc w:val="center"/>
              <w:rPr>
                <w:rFonts w:ascii="宋体" w:hAnsi="宋体" w:cs="宋体"/>
                <w:sz w:val="24"/>
              </w:rPr>
            </w:pPr>
            <w:r>
              <w:rPr>
                <w:rFonts w:hint="eastAsia" w:ascii="宋体" w:hAnsi="宋体" w:cs="宋体"/>
                <w:sz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5" w:hRule="atLeast"/>
          <w:jc w:val="center"/>
        </w:trPr>
        <w:tc>
          <w:tcPr>
            <w:tcW w:w="552" w:type="dxa"/>
            <w:tcBorders>
              <w:left w:val="single" w:color="auto" w:sz="12" w:space="0"/>
            </w:tcBorders>
            <w:vAlign w:val="center"/>
          </w:tcPr>
          <w:p>
            <w:pPr>
              <w:pStyle w:val="85"/>
              <w:tabs>
                <w:tab w:val="left" w:pos="1337"/>
              </w:tabs>
              <w:spacing w:line="360" w:lineRule="auto"/>
              <w:ind w:left="-42" w:right="-42"/>
              <w:jc w:val="center"/>
              <w:rPr>
                <w:rFonts w:ascii="宋体" w:hAnsi="宋体" w:cs="宋体"/>
                <w:sz w:val="24"/>
              </w:rPr>
            </w:pPr>
            <w:r>
              <w:rPr>
                <w:rFonts w:hint="eastAsia" w:ascii="宋体" w:hAnsi="宋体" w:cs="宋体"/>
                <w:sz w:val="24"/>
              </w:rPr>
              <w:t>序</w:t>
            </w:r>
          </w:p>
          <w:p>
            <w:pPr>
              <w:pStyle w:val="85"/>
              <w:tabs>
                <w:tab w:val="left" w:pos="1337"/>
              </w:tabs>
              <w:spacing w:line="360" w:lineRule="auto"/>
              <w:ind w:left="-42" w:right="-42"/>
              <w:jc w:val="center"/>
              <w:rPr>
                <w:rFonts w:ascii="宋体" w:hAnsi="宋体" w:cs="宋体"/>
                <w:sz w:val="24"/>
              </w:rPr>
            </w:pPr>
            <w:r>
              <w:rPr>
                <w:rFonts w:hint="eastAsia" w:ascii="宋体" w:hAnsi="宋体" w:cs="宋体"/>
                <w:sz w:val="24"/>
              </w:rPr>
              <w:t>号</w:t>
            </w:r>
          </w:p>
        </w:tc>
        <w:tc>
          <w:tcPr>
            <w:tcW w:w="2441" w:type="dxa"/>
            <w:vAlign w:val="center"/>
          </w:tcPr>
          <w:p>
            <w:pPr>
              <w:pStyle w:val="85"/>
              <w:tabs>
                <w:tab w:val="left" w:pos="1337"/>
              </w:tabs>
              <w:spacing w:line="360" w:lineRule="auto"/>
              <w:jc w:val="center"/>
              <w:rPr>
                <w:rFonts w:ascii="宋体" w:hAnsi="宋体" w:cs="宋体"/>
                <w:sz w:val="24"/>
              </w:rPr>
            </w:pPr>
            <w:r>
              <w:rPr>
                <w:rFonts w:hint="eastAsia" w:ascii="宋体" w:hAnsi="宋体" w:cs="宋体"/>
                <w:sz w:val="24"/>
              </w:rPr>
              <w:t>产品名称</w:t>
            </w:r>
          </w:p>
          <w:p>
            <w:pPr>
              <w:pStyle w:val="85"/>
              <w:tabs>
                <w:tab w:val="left" w:pos="1337"/>
              </w:tabs>
              <w:spacing w:line="360" w:lineRule="auto"/>
              <w:jc w:val="center"/>
              <w:rPr>
                <w:rFonts w:ascii="宋体" w:hAnsi="宋体" w:cs="宋体"/>
                <w:sz w:val="24"/>
              </w:rPr>
            </w:pPr>
            <w:r>
              <w:rPr>
                <w:rFonts w:hint="eastAsia" w:ascii="宋体" w:hAnsi="宋体" w:cs="宋体"/>
                <w:sz w:val="24"/>
              </w:rPr>
              <w:t>品牌、型号</w:t>
            </w:r>
          </w:p>
        </w:tc>
        <w:tc>
          <w:tcPr>
            <w:tcW w:w="4725" w:type="dxa"/>
            <w:vAlign w:val="center"/>
          </w:tcPr>
          <w:p>
            <w:pPr>
              <w:pStyle w:val="85"/>
              <w:tabs>
                <w:tab w:val="left" w:pos="1337"/>
              </w:tabs>
              <w:spacing w:line="360" w:lineRule="auto"/>
              <w:ind w:left="-42" w:right="-42"/>
              <w:jc w:val="center"/>
              <w:rPr>
                <w:rFonts w:ascii="宋体" w:hAnsi="宋体" w:cs="宋体"/>
                <w:sz w:val="24"/>
              </w:rPr>
            </w:pPr>
            <w:r>
              <w:rPr>
                <w:rFonts w:hint="eastAsia" w:ascii="宋体" w:hAnsi="宋体" w:cs="宋体"/>
                <w:sz w:val="24"/>
              </w:rPr>
              <w:t>技术规格</w:t>
            </w:r>
          </w:p>
        </w:tc>
        <w:tc>
          <w:tcPr>
            <w:tcW w:w="1749" w:type="dxa"/>
            <w:tcBorders>
              <w:right w:val="single" w:color="auto" w:sz="12" w:space="0"/>
            </w:tcBorders>
            <w:vAlign w:val="center"/>
          </w:tcPr>
          <w:p>
            <w:pPr>
              <w:pStyle w:val="85"/>
              <w:spacing w:line="360" w:lineRule="auto"/>
              <w:jc w:val="center"/>
              <w:rPr>
                <w:rFonts w:ascii="宋体" w:hAnsi="宋体" w:cs="宋体"/>
                <w:sz w:val="24"/>
              </w:rPr>
            </w:pPr>
            <w:r>
              <w:rPr>
                <w:rFonts w:hint="eastAsia" w:ascii="宋体" w:hAnsi="宋体" w:cs="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52" w:type="dxa"/>
            <w:tcBorders>
              <w:left w:val="single" w:color="auto" w:sz="12" w:space="0"/>
            </w:tcBorders>
            <w:vAlign w:val="center"/>
          </w:tcPr>
          <w:p>
            <w:pPr>
              <w:pStyle w:val="85"/>
              <w:tabs>
                <w:tab w:val="left" w:pos="1337"/>
              </w:tabs>
              <w:spacing w:line="360" w:lineRule="auto"/>
              <w:jc w:val="center"/>
              <w:rPr>
                <w:rFonts w:ascii="宋体" w:hAnsi="宋体" w:cs="宋体"/>
                <w:sz w:val="24"/>
              </w:rPr>
            </w:pPr>
            <w:r>
              <w:rPr>
                <w:rFonts w:hint="eastAsia" w:ascii="宋体" w:hAnsi="宋体" w:cs="宋体"/>
                <w:sz w:val="24"/>
              </w:rPr>
              <w:t>1</w:t>
            </w:r>
          </w:p>
        </w:tc>
        <w:tc>
          <w:tcPr>
            <w:tcW w:w="2441" w:type="dxa"/>
            <w:vAlign w:val="center"/>
          </w:tcPr>
          <w:p>
            <w:pPr>
              <w:pStyle w:val="85"/>
              <w:tabs>
                <w:tab w:val="left" w:pos="1337"/>
              </w:tabs>
              <w:spacing w:line="360" w:lineRule="auto"/>
              <w:jc w:val="center"/>
              <w:rPr>
                <w:rFonts w:ascii="宋体" w:hAnsi="宋体" w:cs="宋体"/>
                <w:sz w:val="24"/>
              </w:rPr>
            </w:pPr>
          </w:p>
        </w:tc>
        <w:tc>
          <w:tcPr>
            <w:tcW w:w="4725" w:type="dxa"/>
            <w:vAlign w:val="center"/>
          </w:tcPr>
          <w:p>
            <w:pPr>
              <w:pStyle w:val="85"/>
              <w:tabs>
                <w:tab w:val="left" w:pos="1337"/>
              </w:tabs>
              <w:spacing w:line="360" w:lineRule="auto"/>
              <w:jc w:val="center"/>
              <w:rPr>
                <w:rFonts w:ascii="宋体" w:hAnsi="宋体" w:cs="宋体"/>
                <w:sz w:val="24"/>
              </w:rPr>
            </w:pPr>
          </w:p>
        </w:tc>
        <w:tc>
          <w:tcPr>
            <w:tcW w:w="1749" w:type="dxa"/>
            <w:tcBorders>
              <w:right w:val="single" w:color="auto" w:sz="12" w:space="0"/>
            </w:tcBorders>
            <w:vAlign w:val="center"/>
          </w:tcPr>
          <w:p>
            <w:pPr>
              <w:pStyle w:val="85"/>
              <w:tabs>
                <w:tab w:val="left" w:pos="1337"/>
              </w:tabs>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52" w:type="dxa"/>
            <w:tcBorders>
              <w:left w:val="single" w:color="auto" w:sz="12" w:space="0"/>
            </w:tcBorders>
            <w:vAlign w:val="center"/>
          </w:tcPr>
          <w:p>
            <w:pPr>
              <w:pStyle w:val="85"/>
              <w:tabs>
                <w:tab w:val="left" w:pos="1337"/>
              </w:tabs>
              <w:spacing w:line="360" w:lineRule="auto"/>
              <w:jc w:val="center"/>
              <w:rPr>
                <w:rFonts w:ascii="宋体" w:hAnsi="宋体" w:cs="宋体"/>
                <w:sz w:val="24"/>
              </w:rPr>
            </w:pPr>
            <w:r>
              <w:rPr>
                <w:rFonts w:hint="eastAsia" w:ascii="宋体" w:hAnsi="宋体" w:cs="宋体"/>
                <w:sz w:val="24"/>
              </w:rPr>
              <w:t>2</w:t>
            </w:r>
          </w:p>
        </w:tc>
        <w:tc>
          <w:tcPr>
            <w:tcW w:w="2441" w:type="dxa"/>
            <w:vAlign w:val="center"/>
          </w:tcPr>
          <w:p>
            <w:pPr>
              <w:pStyle w:val="85"/>
              <w:tabs>
                <w:tab w:val="left" w:pos="1337"/>
              </w:tabs>
              <w:spacing w:line="360" w:lineRule="auto"/>
              <w:jc w:val="center"/>
              <w:rPr>
                <w:rFonts w:ascii="宋体" w:hAnsi="宋体" w:cs="宋体"/>
                <w:sz w:val="24"/>
              </w:rPr>
            </w:pPr>
          </w:p>
        </w:tc>
        <w:tc>
          <w:tcPr>
            <w:tcW w:w="4725" w:type="dxa"/>
          </w:tcPr>
          <w:p>
            <w:pPr>
              <w:pStyle w:val="85"/>
              <w:tabs>
                <w:tab w:val="left" w:pos="1337"/>
              </w:tabs>
              <w:spacing w:line="360" w:lineRule="auto"/>
              <w:jc w:val="center"/>
              <w:rPr>
                <w:rFonts w:ascii="宋体" w:hAnsi="宋体" w:cs="宋体"/>
                <w:sz w:val="24"/>
              </w:rPr>
            </w:pPr>
          </w:p>
        </w:tc>
        <w:tc>
          <w:tcPr>
            <w:tcW w:w="1749" w:type="dxa"/>
            <w:tcBorders>
              <w:right w:val="single" w:color="auto" w:sz="12" w:space="0"/>
            </w:tcBorders>
          </w:tcPr>
          <w:p>
            <w:pPr>
              <w:pStyle w:val="85"/>
              <w:tabs>
                <w:tab w:val="left" w:pos="1337"/>
              </w:tabs>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52" w:type="dxa"/>
            <w:tcBorders>
              <w:left w:val="single" w:color="auto" w:sz="12" w:space="0"/>
            </w:tcBorders>
            <w:vAlign w:val="center"/>
          </w:tcPr>
          <w:p>
            <w:pPr>
              <w:pStyle w:val="85"/>
              <w:tabs>
                <w:tab w:val="left" w:pos="1337"/>
              </w:tabs>
              <w:spacing w:line="360" w:lineRule="auto"/>
              <w:jc w:val="center"/>
              <w:rPr>
                <w:rFonts w:ascii="宋体" w:hAnsi="宋体" w:cs="宋体"/>
                <w:sz w:val="24"/>
              </w:rPr>
            </w:pPr>
            <w:r>
              <w:rPr>
                <w:rFonts w:hint="eastAsia" w:ascii="宋体" w:hAnsi="宋体" w:cs="宋体"/>
                <w:sz w:val="24"/>
              </w:rPr>
              <w:t>3</w:t>
            </w:r>
          </w:p>
        </w:tc>
        <w:tc>
          <w:tcPr>
            <w:tcW w:w="2441" w:type="dxa"/>
            <w:vAlign w:val="center"/>
          </w:tcPr>
          <w:p>
            <w:pPr>
              <w:pStyle w:val="85"/>
              <w:tabs>
                <w:tab w:val="left" w:pos="1337"/>
              </w:tabs>
              <w:spacing w:line="360" w:lineRule="auto"/>
              <w:jc w:val="center"/>
              <w:rPr>
                <w:rFonts w:ascii="宋体" w:hAnsi="宋体" w:cs="宋体"/>
                <w:sz w:val="24"/>
              </w:rPr>
            </w:pPr>
          </w:p>
        </w:tc>
        <w:tc>
          <w:tcPr>
            <w:tcW w:w="4725" w:type="dxa"/>
          </w:tcPr>
          <w:p>
            <w:pPr>
              <w:pStyle w:val="85"/>
              <w:tabs>
                <w:tab w:val="left" w:pos="1337"/>
              </w:tabs>
              <w:spacing w:line="360" w:lineRule="auto"/>
              <w:jc w:val="center"/>
              <w:rPr>
                <w:rFonts w:ascii="宋体" w:hAnsi="宋体" w:cs="宋体"/>
                <w:sz w:val="24"/>
              </w:rPr>
            </w:pPr>
          </w:p>
        </w:tc>
        <w:tc>
          <w:tcPr>
            <w:tcW w:w="1749" w:type="dxa"/>
            <w:tcBorders>
              <w:right w:val="single" w:color="auto" w:sz="12" w:space="0"/>
            </w:tcBorders>
          </w:tcPr>
          <w:p>
            <w:pPr>
              <w:pStyle w:val="85"/>
              <w:tabs>
                <w:tab w:val="left" w:pos="1337"/>
              </w:tabs>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52" w:type="dxa"/>
            <w:tcBorders>
              <w:left w:val="single" w:color="auto" w:sz="12" w:space="0"/>
            </w:tcBorders>
            <w:vAlign w:val="center"/>
          </w:tcPr>
          <w:p>
            <w:pPr>
              <w:pStyle w:val="85"/>
              <w:tabs>
                <w:tab w:val="left" w:pos="1337"/>
              </w:tabs>
              <w:spacing w:line="360" w:lineRule="auto"/>
              <w:jc w:val="center"/>
              <w:rPr>
                <w:rFonts w:ascii="宋体" w:hAnsi="宋体" w:cs="宋体"/>
                <w:sz w:val="24"/>
              </w:rPr>
            </w:pPr>
            <w:r>
              <w:rPr>
                <w:rFonts w:hint="eastAsia" w:ascii="宋体" w:hAnsi="宋体" w:cs="宋体"/>
                <w:sz w:val="24"/>
              </w:rPr>
              <w:t>4</w:t>
            </w:r>
          </w:p>
        </w:tc>
        <w:tc>
          <w:tcPr>
            <w:tcW w:w="2441" w:type="dxa"/>
            <w:vAlign w:val="center"/>
          </w:tcPr>
          <w:p>
            <w:pPr>
              <w:pStyle w:val="85"/>
              <w:tabs>
                <w:tab w:val="left" w:pos="1337"/>
              </w:tabs>
              <w:spacing w:line="360" w:lineRule="auto"/>
              <w:jc w:val="center"/>
              <w:rPr>
                <w:rFonts w:ascii="宋体" w:hAnsi="宋体" w:cs="宋体"/>
                <w:sz w:val="24"/>
              </w:rPr>
            </w:pPr>
          </w:p>
        </w:tc>
        <w:tc>
          <w:tcPr>
            <w:tcW w:w="4725" w:type="dxa"/>
          </w:tcPr>
          <w:p>
            <w:pPr>
              <w:pStyle w:val="85"/>
              <w:tabs>
                <w:tab w:val="left" w:pos="1337"/>
              </w:tabs>
              <w:spacing w:line="360" w:lineRule="auto"/>
              <w:jc w:val="center"/>
              <w:rPr>
                <w:rFonts w:ascii="宋体" w:hAnsi="宋体" w:cs="宋体"/>
                <w:sz w:val="24"/>
              </w:rPr>
            </w:pPr>
          </w:p>
        </w:tc>
        <w:tc>
          <w:tcPr>
            <w:tcW w:w="1749" w:type="dxa"/>
            <w:tcBorders>
              <w:right w:val="single" w:color="auto" w:sz="12" w:space="0"/>
            </w:tcBorders>
          </w:tcPr>
          <w:p>
            <w:pPr>
              <w:pStyle w:val="85"/>
              <w:tabs>
                <w:tab w:val="left" w:pos="1337"/>
              </w:tabs>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52" w:type="dxa"/>
            <w:tcBorders>
              <w:left w:val="single" w:color="auto" w:sz="12" w:space="0"/>
            </w:tcBorders>
            <w:vAlign w:val="center"/>
          </w:tcPr>
          <w:p>
            <w:pPr>
              <w:pStyle w:val="85"/>
              <w:tabs>
                <w:tab w:val="left" w:pos="1337"/>
              </w:tabs>
              <w:spacing w:line="360" w:lineRule="auto"/>
              <w:jc w:val="center"/>
              <w:rPr>
                <w:rFonts w:ascii="宋体" w:hAnsi="宋体" w:cs="宋体"/>
                <w:sz w:val="24"/>
              </w:rPr>
            </w:pPr>
            <w:r>
              <w:rPr>
                <w:rFonts w:hint="eastAsia" w:ascii="宋体" w:hAnsi="宋体" w:cs="宋体"/>
                <w:sz w:val="24"/>
              </w:rPr>
              <w:t>5</w:t>
            </w:r>
          </w:p>
        </w:tc>
        <w:tc>
          <w:tcPr>
            <w:tcW w:w="2441" w:type="dxa"/>
            <w:vAlign w:val="center"/>
          </w:tcPr>
          <w:p>
            <w:pPr>
              <w:pStyle w:val="85"/>
              <w:tabs>
                <w:tab w:val="left" w:pos="1337"/>
              </w:tabs>
              <w:spacing w:line="360" w:lineRule="auto"/>
              <w:jc w:val="center"/>
              <w:rPr>
                <w:rFonts w:ascii="宋体" w:hAnsi="宋体" w:cs="宋体"/>
                <w:sz w:val="24"/>
              </w:rPr>
            </w:pPr>
          </w:p>
        </w:tc>
        <w:tc>
          <w:tcPr>
            <w:tcW w:w="4725" w:type="dxa"/>
          </w:tcPr>
          <w:p>
            <w:pPr>
              <w:pStyle w:val="85"/>
              <w:tabs>
                <w:tab w:val="left" w:pos="1337"/>
              </w:tabs>
              <w:spacing w:line="360" w:lineRule="auto"/>
              <w:jc w:val="center"/>
              <w:rPr>
                <w:rFonts w:ascii="宋体" w:hAnsi="宋体" w:cs="宋体"/>
                <w:sz w:val="24"/>
              </w:rPr>
            </w:pPr>
          </w:p>
        </w:tc>
        <w:tc>
          <w:tcPr>
            <w:tcW w:w="1749" w:type="dxa"/>
            <w:tcBorders>
              <w:right w:val="single" w:color="auto" w:sz="12" w:space="0"/>
            </w:tcBorders>
          </w:tcPr>
          <w:p>
            <w:pPr>
              <w:pStyle w:val="85"/>
              <w:tabs>
                <w:tab w:val="left" w:pos="1337"/>
              </w:tabs>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52" w:type="dxa"/>
            <w:tcBorders>
              <w:left w:val="single" w:color="auto" w:sz="12" w:space="0"/>
              <w:bottom w:val="single" w:color="auto" w:sz="12" w:space="0"/>
            </w:tcBorders>
            <w:vAlign w:val="center"/>
          </w:tcPr>
          <w:p>
            <w:pPr>
              <w:pStyle w:val="85"/>
              <w:tabs>
                <w:tab w:val="left" w:pos="1337"/>
              </w:tabs>
              <w:spacing w:line="360" w:lineRule="auto"/>
              <w:jc w:val="center"/>
              <w:rPr>
                <w:rFonts w:ascii="宋体" w:hAnsi="宋体" w:cs="宋体"/>
                <w:sz w:val="24"/>
              </w:rPr>
            </w:pPr>
            <w:r>
              <w:rPr>
                <w:rFonts w:hint="eastAsia" w:ascii="宋体" w:hAnsi="宋体" w:cs="宋体"/>
                <w:sz w:val="24"/>
              </w:rPr>
              <w:t>6</w:t>
            </w:r>
          </w:p>
        </w:tc>
        <w:tc>
          <w:tcPr>
            <w:tcW w:w="2441" w:type="dxa"/>
            <w:tcBorders>
              <w:bottom w:val="single" w:color="auto" w:sz="12" w:space="0"/>
            </w:tcBorders>
            <w:vAlign w:val="center"/>
          </w:tcPr>
          <w:p>
            <w:pPr>
              <w:pStyle w:val="85"/>
              <w:tabs>
                <w:tab w:val="left" w:pos="1337"/>
              </w:tabs>
              <w:spacing w:line="360" w:lineRule="auto"/>
              <w:jc w:val="center"/>
              <w:rPr>
                <w:rFonts w:ascii="宋体" w:hAnsi="宋体" w:cs="宋体"/>
                <w:sz w:val="24"/>
              </w:rPr>
            </w:pPr>
            <w:r>
              <w:rPr>
                <w:rFonts w:hint="eastAsia" w:ascii="宋体" w:hAnsi="宋体" w:cs="宋体"/>
                <w:sz w:val="24"/>
              </w:rPr>
              <w:t>…</w:t>
            </w:r>
          </w:p>
        </w:tc>
        <w:tc>
          <w:tcPr>
            <w:tcW w:w="4725" w:type="dxa"/>
            <w:tcBorders>
              <w:bottom w:val="single" w:color="auto" w:sz="12" w:space="0"/>
            </w:tcBorders>
          </w:tcPr>
          <w:p>
            <w:pPr>
              <w:pStyle w:val="85"/>
              <w:tabs>
                <w:tab w:val="left" w:pos="1337"/>
              </w:tabs>
              <w:spacing w:line="360" w:lineRule="auto"/>
              <w:jc w:val="center"/>
              <w:rPr>
                <w:rFonts w:ascii="宋体" w:hAnsi="宋体" w:cs="宋体"/>
                <w:sz w:val="24"/>
              </w:rPr>
            </w:pPr>
          </w:p>
        </w:tc>
        <w:tc>
          <w:tcPr>
            <w:tcW w:w="1749" w:type="dxa"/>
            <w:tcBorders>
              <w:bottom w:val="single" w:color="auto" w:sz="12" w:space="0"/>
              <w:right w:val="single" w:color="auto" w:sz="12" w:space="0"/>
            </w:tcBorders>
          </w:tcPr>
          <w:p>
            <w:pPr>
              <w:pStyle w:val="85"/>
              <w:tabs>
                <w:tab w:val="left" w:pos="1337"/>
              </w:tabs>
              <w:spacing w:line="360" w:lineRule="auto"/>
              <w:jc w:val="center"/>
              <w:rPr>
                <w:rFonts w:ascii="宋体" w:hAnsi="宋体" w:cs="宋体"/>
                <w:sz w:val="24"/>
              </w:rPr>
            </w:pPr>
          </w:p>
        </w:tc>
      </w:tr>
    </w:tbl>
    <w:p>
      <w:pPr>
        <w:pStyle w:val="85"/>
        <w:spacing w:line="360" w:lineRule="auto"/>
        <w:rPr>
          <w:rFonts w:ascii="宋体" w:hAnsi="宋体" w:cs="宋体"/>
          <w:sz w:val="24"/>
        </w:rPr>
      </w:pPr>
      <w:r>
        <w:rPr>
          <w:rFonts w:hint="eastAsia" w:ascii="宋体" w:hAnsi="宋体" w:cs="宋体"/>
          <w:sz w:val="24"/>
        </w:rPr>
        <w:t>说明：1.</w:t>
      </w:r>
      <w:r>
        <w:rPr>
          <w:rFonts w:hint="eastAsia" w:ascii="宋体" w:hAnsi="宋体" w:cs="宋体"/>
          <w:bCs/>
          <w:sz w:val="24"/>
        </w:rPr>
        <w:t>投标人必须填写技术明细表。如果此表中所列内容无法满足招标文件中提出的要求或者与投标人在技术文件中提供的内容不一致，投标有可能被拒绝。</w:t>
      </w:r>
    </w:p>
    <w:p>
      <w:pPr>
        <w:pStyle w:val="85"/>
        <w:spacing w:line="360" w:lineRule="auto"/>
        <w:ind w:firstLine="720" w:firstLineChars="300"/>
        <w:rPr>
          <w:rFonts w:ascii="宋体" w:hAnsi="宋体" w:cs="宋体"/>
          <w:sz w:val="24"/>
        </w:rPr>
      </w:pPr>
      <w:r>
        <w:rPr>
          <w:rFonts w:hint="eastAsia" w:ascii="宋体" w:hAnsi="宋体" w:cs="宋体"/>
          <w:sz w:val="24"/>
        </w:rPr>
        <w:t>2.技术规格不得完全复制招标文件内容，否则按无效投标处理。</w:t>
      </w:r>
    </w:p>
    <w:p>
      <w:pPr>
        <w:pStyle w:val="107"/>
        <w:spacing w:before="0" w:after="0" w:line="360" w:lineRule="auto"/>
        <w:ind w:right="960"/>
        <w:rPr>
          <w:rFonts w:ascii="宋体" w:hAnsi="宋体" w:eastAsia="宋体" w:cs="宋体"/>
          <w:sz w:val="24"/>
          <w:szCs w:val="24"/>
        </w:rPr>
      </w:pPr>
    </w:p>
    <w:p>
      <w:pPr>
        <w:pStyle w:val="107"/>
        <w:spacing w:before="0" w:after="0" w:line="360" w:lineRule="auto"/>
        <w:ind w:right="17"/>
        <w:jc w:val="right"/>
        <w:rPr>
          <w:rFonts w:ascii="宋体" w:hAnsi="宋体" w:eastAsia="宋体" w:cs="宋体"/>
          <w:sz w:val="24"/>
          <w:szCs w:val="24"/>
        </w:rPr>
      </w:pPr>
      <w:r>
        <w:rPr>
          <w:rFonts w:hint="eastAsia" w:ascii="宋体" w:hAnsi="宋体" w:eastAsia="宋体" w:cs="宋体"/>
          <w:sz w:val="24"/>
          <w:szCs w:val="24"/>
        </w:rPr>
        <w:t>年  月  日</w:t>
      </w:r>
    </w:p>
    <w:p>
      <w:pPr>
        <w:pStyle w:val="85"/>
        <w:rPr>
          <w:rFonts w:asciiTheme="minorEastAsia" w:hAnsiTheme="minorEastAsia" w:eastAsiaTheme="minorEastAsia" w:cstheme="minorEastAsia"/>
          <w:color w:val="000000" w:themeColor="text1"/>
          <w14:textFill>
            <w14:solidFill>
              <w14:schemeClr w14:val="tx1"/>
            </w14:solidFill>
          </w14:textFill>
        </w:rPr>
      </w:pPr>
    </w:p>
    <w:p>
      <w:pPr>
        <w:pStyle w:val="85"/>
        <w:rPr>
          <w:rFonts w:asciiTheme="minorEastAsia" w:hAnsiTheme="minorEastAsia" w:eastAsiaTheme="minorEastAsia" w:cstheme="minorEastAsia"/>
          <w:color w:val="000000" w:themeColor="text1"/>
          <w14:textFill>
            <w14:solidFill>
              <w14:schemeClr w14:val="tx1"/>
            </w14:solidFill>
          </w14:textFill>
        </w:rPr>
      </w:pPr>
    </w:p>
    <w:p>
      <w:pPr>
        <w:pStyle w:val="85"/>
        <w:rPr>
          <w:rFonts w:asciiTheme="minorEastAsia" w:hAnsiTheme="minorEastAsia" w:eastAsiaTheme="minorEastAsia" w:cstheme="minorEastAsia"/>
          <w:color w:val="000000" w:themeColor="text1"/>
          <w14:textFill>
            <w14:solidFill>
              <w14:schemeClr w14:val="tx1"/>
            </w14:solidFill>
          </w14:textFill>
        </w:rPr>
      </w:pPr>
    </w:p>
    <w:p>
      <w:pPr>
        <w:rPr>
          <w:rFonts w:asciiTheme="minorEastAsia" w:hAnsiTheme="minorEastAsia" w:eastAsiaTheme="minorEastAsia" w:cstheme="minorEastAsia"/>
          <w:b/>
          <w:color w:val="000000" w:themeColor="text1"/>
          <w:sz w:val="24"/>
          <w:szCs w:val="24"/>
          <w14:textFill>
            <w14:solidFill>
              <w14:schemeClr w14:val="tx1"/>
            </w14:solidFill>
          </w14:textFill>
        </w:rPr>
      </w:pPr>
      <w:bookmarkStart w:id="187" w:name="_Toc29310"/>
      <w:r>
        <w:rPr>
          <w:rFonts w:hint="eastAsia" w:asciiTheme="minorEastAsia" w:hAnsiTheme="minorEastAsia" w:eastAsiaTheme="minorEastAsia" w:cstheme="minorEastAsia"/>
          <w:b/>
          <w:color w:val="000000" w:themeColor="text1"/>
          <w:sz w:val="24"/>
          <w:szCs w:val="24"/>
          <w14:textFill>
            <w14:solidFill>
              <w14:schemeClr w14:val="tx1"/>
            </w14:solidFill>
          </w14:textFill>
        </w:rPr>
        <w:br w:type="page"/>
      </w:r>
    </w:p>
    <w:p>
      <w:pPr>
        <w:pStyle w:val="123"/>
        <w:outlineLvl w:val="2"/>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3.3技术方案</w:t>
      </w:r>
      <w:bookmarkEnd w:id="187"/>
      <w:r>
        <w:rPr>
          <w:rFonts w:hint="eastAsia" w:asciiTheme="minorEastAsia" w:hAnsiTheme="minorEastAsia" w:eastAsiaTheme="minorEastAsia" w:cstheme="minorEastAsia"/>
          <w:color w:val="000000" w:themeColor="text1"/>
          <w:sz w:val="24"/>
          <w14:textFill>
            <w14:solidFill>
              <w14:schemeClr w14:val="tx1"/>
            </w14:solidFill>
          </w14:textFill>
        </w:rPr>
        <w:t>（格式自拟）；</w:t>
      </w:r>
    </w:p>
    <w:p>
      <w:pPr>
        <w:rPr>
          <w:rFonts w:asciiTheme="minorEastAsia" w:hAnsiTheme="minorEastAsia" w:eastAsiaTheme="minorEastAsia" w:cstheme="minorEastAsia"/>
          <w:color w:val="000000" w:themeColor="text1"/>
          <w14:textFill>
            <w14:solidFill>
              <w14:schemeClr w14:val="tx1"/>
            </w14:solidFill>
          </w14:textFill>
        </w:rPr>
      </w:pPr>
    </w:p>
    <w:p>
      <w:pPr>
        <w:rPr>
          <w:rFonts w:asciiTheme="minorEastAsia" w:hAnsiTheme="minorEastAsia" w:eastAsiaTheme="minorEastAsia" w:cstheme="minorEastAsia"/>
          <w:color w:val="000000" w:themeColor="text1"/>
          <w14:textFill>
            <w14:solidFill>
              <w14:schemeClr w14:val="tx1"/>
            </w14:solidFill>
          </w14:textFill>
        </w:rPr>
      </w:pPr>
    </w:p>
    <w:p>
      <w:pPr>
        <w:pStyle w:val="123"/>
        <w:outlineLvl w:val="2"/>
        <w:rPr>
          <w:rFonts w:asciiTheme="minorEastAsia" w:hAnsiTheme="minorEastAsia" w:eastAsiaTheme="minorEastAsia" w:cstheme="minorEastAsia"/>
          <w:color w:val="000000" w:themeColor="text1"/>
          <w:sz w:val="24"/>
          <w14:textFill>
            <w14:solidFill>
              <w14:schemeClr w14:val="tx1"/>
            </w14:solidFill>
          </w14:textFill>
        </w:rPr>
      </w:pPr>
      <w:bookmarkStart w:id="188" w:name="_Toc3172"/>
      <w:r>
        <w:rPr>
          <w:rFonts w:hint="eastAsia" w:asciiTheme="minorEastAsia" w:hAnsiTheme="minorEastAsia" w:eastAsiaTheme="minorEastAsia" w:cstheme="minorEastAsia"/>
          <w:color w:val="000000" w:themeColor="text1"/>
          <w:sz w:val="24"/>
          <w14:textFill>
            <w14:solidFill>
              <w14:schemeClr w14:val="tx1"/>
            </w14:solidFill>
          </w14:textFill>
        </w:rPr>
        <w:t>3.4培训方案</w:t>
      </w:r>
      <w:bookmarkEnd w:id="188"/>
      <w:r>
        <w:rPr>
          <w:rFonts w:hint="eastAsia" w:asciiTheme="minorEastAsia" w:hAnsiTheme="minorEastAsia" w:eastAsiaTheme="minorEastAsia" w:cstheme="minorEastAsia"/>
          <w:color w:val="000000" w:themeColor="text1"/>
          <w:sz w:val="24"/>
          <w14:textFill>
            <w14:solidFill>
              <w14:schemeClr w14:val="tx1"/>
            </w14:solidFill>
          </w14:textFill>
        </w:rPr>
        <w:t>（格式自拟）；</w:t>
      </w:r>
    </w:p>
    <w:p>
      <w:pPr>
        <w:rPr>
          <w:rFonts w:asciiTheme="minorEastAsia" w:hAnsiTheme="minorEastAsia" w:eastAsiaTheme="minorEastAsia" w:cstheme="minorEastAsia"/>
          <w:color w:val="000000" w:themeColor="text1"/>
          <w14:textFill>
            <w14:solidFill>
              <w14:schemeClr w14:val="tx1"/>
            </w14:solidFill>
          </w14:textFill>
        </w:rPr>
      </w:pPr>
    </w:p>
    <w:p>
      <w:pPr>
        <w:rPr>
          <w:rFonts w:asciiTheme="minorEastAsia" w:hAnsiTheme="minorEastAsia" w:eastAsiaTheme="minorEastAsia" w:cstheme="minorEastAsia"/>
          <w:color w:val="000000" w:themeColor="text1"/>
          <w14:textFill>
            <w14:solidFill>
              <w14:schemeClr w14:val="tx1"/>
            </w14:solidFill>
          </w14:textFill>
        </w:rPr>
      </w:pPr>
    </w:p>
    <w:p>
      <w:pPr>
        <w:pStyle w:val="123"/>
        <w:outlineLvl w:val="2"/>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br w:type="page"/>
      </w:r>
      <w:bookmarkStart w:id="189" w:name="_Toc10470"/>
      <w:r>
        <w:rPr>
          <w:rFonts w:hint="eastAsia" w:asciiTheme="minorEastAsia" w:hAnsiTheme="minorEastAsia" w:eastAsiaTheme="minorEastAsia" w:cstheme="minorEastAsia"/>
          <w:color w:val="000000" w:themeColor="text1"/>
          <w14:textFill>
            <w14:solidFill>
              <w14:schemeClr w14:val="tx1"/>
            </w14:solidFill>
          </w14:textFill>
        </w:rPr>
        <w:t>四、服务文件</w:t>
      </w:r>
      <w:bookmarkEnd w:id="189"/>
    </w:p>
    <w:p>
      <w:pPr>
        <w:pStyle w:val="79"/>
        <w:spacing w:line="360" w:lineRule="auto"/>
        <w:rPr>
          <w:rFonts w:asciiTheme="minorEastAsia" w:hAnsiTheme="minorEastAsia" w:eastAsiaTheme="minorEastAsia" w:cstheme="minorEastAsia"/>
          <w:b/>
          <w:bCs/>
          <w:color w:val="000000" w:themeColor="text1"/>
          <w:kern w:val="0"/>
          <w:sz w:val="24"/>
          <w14:textFill>
            <w14:solidFill>
              <w14:schemeClr w14:val="tx1"/>
            </w14:solidFill>
          </w14:textFill>
        </w:rPr>
      </w:pPr>
      <w:r>
        <w:rPr>
          <w:rFonts w:hint="eastAsia" w:asciiTheme="minorEastAsia" w:hAnsiTheme="minorEastAsia" w:eastAsiaTheme="minorEastAsia" w:cstheme="minorEastAsia"/>
          <w:b/>
          <w:bCs/>
          <w:color w:val="000000" w:themeColor="text1"/>
          <w:kern w:val="0"/>
          <w:sz w:val="24"/>
          <w14:textFill>
            <w14:solidFill>
              <w14:schemeClr w14:val="tx1"/>
            </w14:solidFill>
          </w14:textFill>
        </w:rPr>
        <w:t>4.1货物售后服务：</w:t>
      </w:r>
    </w:p>
    <w:p>
      <w:pPr>
        <w:pStyle w:val="79"/>
        <w:spacing w:line="360" w:lineRule="auto"/>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&lt;1&gt;货物的保修期和售后服务的程序、内容及措施；</w:t>
      </w:r>
    </w:p>
    <w:p>
      <w:pPr>
        <w:pStyle w:val="79"/>
        <w:spacing w:line="360" w:lineRule="auto"/>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&lt;2&gt;响应时间和技术支持情况；</w:t>
      </w:r>
    </w:p>
    <w:p>
      <w:pPr>
        <w:pStyle w:val="79"/>
        <w:spacing w:line="360" w:lineRule="auto"/>
        <w:rPr>
          <w:rFonts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&lt;3&gt;培训方案及内容；</w:t>
      </w:r>
    </w:p>
    <w:p>
      <w:pPr>
        <w:pStyle w:val="79"/>
        <w:spacing w:line="360" w:lineRule="auto"/>
        <w:rPr>
          <w:rFonts w:asciiTheme="minorEastAsia" w:hAnsiTheme="minorEastAsia" w:eastAsiaTheme="minorEastAsia" w:cstheme="minorEastAsia"/>
          <w:b/>
          <w:bCs/>
          <w:color w:val="000000" w:themeColor="text1"/>
          <w:sz w:val="24"/>
          <w14:textFill>
            <w14:solidFill>
              <w14:schemeClr w14:val="tx1"/>
            </w14:solidFill>
          </w14:textFill>
        </w:rPr>
      </w:pPr>
      <w:r>
        <w:rPr>
          <w:rFonts w:hint="eastAsia" w:asciiTheme="minorEastAsia" w:hAnsiTheme="minorEastAsia" w:eastAsiaTheme="minorEastAsia" w:cstheme="minorEastAsia"/>
          <w:b/>
          <w:bCs/>
          <w:color w:val="000000" w:themeColor="text1"/>
          <w:kern w:val="0"/>
          <w:sz w:val="24"/>
          <w14:textFill>
            <w14:solidFill>
              <w14:schemeClr w14:val="tx1"/>
            </w14:solidFill>
          </w14:textFill>
        </w:rPr>
        <w:t>4.2售后服务网点明细表（包括联系人、详细地址、电话、传真）及</w:t>
      </w:r>
      <w:r>
        <w:rPr>
          <w:rFonts w:hint="eastAsia" w:asciiTheme="minorEastAsia" w:hAnsiTheme="minorEastAsia" w:eastAsiaTheme="minorEastAsia" w:cstheme="minorEastAsia"/>
          <w:b/>
          <w:bCs/>
          <w:color w:val="000000" w:themeColor="text1"/>
          <w:sz w:val="24"/>
          <w14:textFill>
            <w14:solidFill>
              <w14:schemeClr w14:val="tx1"/>
            </w14:solidFill>
          </w14:textFill>
        </w:rPr>
        <w:t>本地化服务情况一览表；</w:t>
      </w:r>
    </w:p>
    <w:p>
      <w:pPr>
        <w:pStyle w:val="79"/>
        <w:spacing w:line="360" w:lineRule="auto"/>
        <w:rPr>
          <w:rFonts w:asciiTheme="minorEastAsia" w:hAnsiTheme="minorEastAsia" w:eastAsiaTheme="minorEastAsia" w:cstheme="minorEastAsia"/>
          <w:color w:val="000000" w:themeColor="text1"/>
          <w:sz w:val="24"/>
          <w14:textFill>
            <w14:solidFill>
              <w14:schemeClr w14:val="tx1"/>
            </w14:solidFill>
          </w14:textFill>
        </w:rPr>
      </w:pPr>
    </w:p>
    <w:p>
      <w:pPr>
        <w:pStyle w:val="79"/>
        <w:spacing w:line="360" w:lineRule="auto"/>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附本地化服务一览表：</w:t>
      </w:r>
    </w:p>
    <w:tbl>
      <w:tblPr>
        <w:tblStyle w:val="38"/>
        <w:tblW w:w="95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0"/>
        <w:gridCol w:w="2940"/>
        <w:gridCol w:w="2180"/>
        <w:gridCol w:w="25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0" w:type="dxa"/>
          </w:tcPr>
          <w:p>
            <w:pPr>
              <w:pStyle w:val="79"/>
              <w:spacing w:line="360" w:lineRule="auto"/>
              <w:jc w:val="center"/>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投标人名称</w:t>
            </w:r>
          </w:p>
        </w:tc>
        <w:tc>
          <w:tcPr>
            <w:tcW w:w="7691" w:type="dxa"/>
            <w:gridSpan w:val="3"/>
          </w:tcPr>
          <w:p>
            <w:pPr>
              <w:pStyle w:val="79"/>
              <w:spacing w:line="360" w:lineRule="auto"/>
              <w:rPr>
                <w:rFonts w:asciiTheme="minorEastAsia" w:hAnsiTheme="minorEastAsia" w:eastAsiaTheme="minorEastAsia" w:cstheme="minorEastAsia"/>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0" w:type="dxa"/>
            <w:vAlign w:val="center"/>
          </w:tcPr>
          <w:p>
            <w:pPr>
              <w:pStyle w:val="79"/>
              <w:spacing w:line="360" w:lineRule="auto"/>
              <w:jc w:val="center"/>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本地化服务形式</w:t>
            </w:r>
          </w:p>
        </w:tc>
        <w:tc>
          <w:tcPr>
            <w:tcW w:w="7691" w:type="dxa"/>
            <w:gridSpan w:val="3"/>
            <w:vAlign w:val="center"/>
          </w:tcPr>
          <w:p>
            <w:pPr>
              <w:pStyle w:val="79"/>
              <w:spacing w:line="360" w:lineRule="auto"/>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 在本地具有分支机构</w:t>
            </w:r>
          </w:p>
          <w:p>
            <w:pPr>
              <w:pStyle w:val="79"/>
              <w:spacing w:line="360" w:lineRule="auto"/>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 在本地具有固定的合作伙伴</w:t>
            </w:r>
          </w:p>
          <w:p>
            <w:pPr>
              <w:pStyle w:val="79"/>
              <w:spacing w:line="360" w:lineRule="auto"/>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 在本地注册成立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1" w:type="dxa"/>
            <w:gridSpan w:val="4"/>
            <w:vAlign w:val="center"/>
          </w:tcPr>
          <w:p>
            <w:pPr>
              <w:pStyle w:val="79"/>
              <w:spacing w:line="360" w:lineRule="auto"/>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以下本地注册的公司无需填写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0" w:type="dxa"/>
            <w:vAlign w:val="center"/>
          </w:tcPr>
          <w:p>
            <w:pPr>
              <w:pStyle w:val="79"/>
              <w:spacing w:line="360" w:lineRule="auto"/>
              <w:jc w:val="center"/>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本地化服务地点及联系方式</w:t>
            </w:r>
          </w:p>
        </w:tc>
        <w:tc>
          <w:tcPr>
            <w:tcW w:w="2940" w:type="dxa"/>
            <w:vAlign w:val="center"/>
          </w:tcPr>
          <w:p>
            <w:pPr>
              <w:pStyle w:val="79"/>
              <w:spacing w:line="360" w:lineRule="auto"/>
              <w:jc w:val="center"/>
              <w:rPr>
                <w:rFonts w:asciiTheme="minorEastAsia" w:hAnsiTheme="minorEastAsia" w:eastAsiaTheme="minorEastAsia" w:cstheme="minorEastAsia"/>
                <w:color w:val="000000" w:themeColor="text1"/>
                <w:sz w:val="24"/>
                <w14:textFill>
                  <w14:solidFill>
                    <w14:schemeClr w14:val="tx1"/>
                  </w14:solidFill>
                </w14:textFill>
              </w:rPr>
            </w:pPr>
          </w:p>
        </w:tc>
        <w:tc>
          <w:tcPr>
            <w:tcW w:w="2180" w:type="dxa"/>
            <w:vAlign w:val="center"/>
          </w:tcPr>
          <w:p>
            <w:pPr>
              <w:pStyle w:val="79"/>
              <w:spacing w:line="360" w:lineRule="auto"/>
              <w:jc w:val="center"/>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负责人及联系方式（附身份证号码）</w:t>
            </w:r>
          </w:p>
        </w:tc>
        <w:tc>
          <w:tcPr>
            <w:tcW w:w="2571" w:type="dxa"/>
          </w:tcPr>
          <w:p>
            <w:pPr>
              <w:pStyle w:val="79"/>
              <w:spacing w:line="360" w:lineRule="auto"/>
              <w:rPr>
                <w:rFonts w:asciiTheme="minorEastAsia" w:hAnsiTheme="minorEastAsia" w:eastAsiaTheme="minorEastAsia" w:cstheme="minorEastAsia"/>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1" w:type="dxa"/>
            <w:gridSpan w:val="4"/>
          </w:tcPr>
          <w:p>
            <w:pPr>
              <w:pStyle w:val="79"/>
              <w:spacing w:line="360" w:lineRule="auto"/>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服务人员名单及联系方式（附身份证号码）：</w:t>
            </w:r>
          </w:p>
          <w:p>
            <w:pPr>
              <w:pStyle w:val="79"/>
              <w:spacing w:line="360" w:lineRule="auto"/>
              <w:rPr>
                <w:rFonts w:asciiTheme="minorEastAsia" w:hAnsiTheme="minorEastAsia" w:eastAsiaTheme="minorEastAsia" w:cstheme="minorEastAsia"/>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1" w:type="dxa"/>
            <w:gridSpan w:val="4"/>
          </w:tcPr>
          <w:p>
            <w:pPr>
              <w:pStyle w:val="79"/>
              <w:spacing w:line="360" w:lineRule="auto"/>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其他有关证明文件说明（如营业执照等）：</w:t>
            </w:r>
          </w:p>
          <w:p>
            <w:pPr>
              <w:pStyle w:val="79"/>
              <w:spacing w:line="360" w:lineRule="auto"/>
              <w:rPr>
                <w:rFonts w:asciiTheme="minorEastAsia" w:hAnsiTheme="minorEastAsia" w:eastAsiaTheme="minorEastAsia" w:cstheme="minorEastAsia"/>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1" w:type="dxa"/>
            <w:gridSpan w:val="4"/>
          </w:tcPr>
          <w:p>
            <w:pPr>
              <w:pStyle w:val="79"/>
              <w:spacing w:line="360" w:lineRule="auto"/>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备注：1、具有合作伙伴的应填写合作伙伴的相关资料，并提供双方的合作协议以及合作伙伴的营业执照等证明文件。</w:t>
            </w:r>
          </w:p>
          <w:p>
            <w:pPr>
              <w:pStyle w:val="79"/>
              <w:spacing w:line="360" w:lineRule="auto"/>
              <w:ind w:left="2" w:leftChars="1" w:firstLine="720" w:firstLineChars="3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2、如投标人不能提供本地化服务，可不填报。</w:t>
            </w:r>
          </w:p>
        </w:tc>
      </w:tr>
    </w:tbl>
    <w:p>
      <w:pPr>
        <w:pStyle w:val="79"/>
        <w:tabs>
          <w:tab w:val="left" w:pos="6420"/>
        </w:tabs>
        <w:spacing w:line="360" w:lineRule="auto"/>
        <w:rPr>
          <w:rFonts w:asciiTheme="minorEastAsia" w:hAnsiTheme="minorEastAsia" w:eastAsiaTheme="minorEastAsia" w:cstheme="minorEastAsia"/>
          <w:color w:val="000000" w:themeColor="text1"/>
          <w:kern w:val="0"/>
          <w:sz w:val="24"/>
          <w14:textFill>
            <w14:solidFill>
              <w14:schemeClr w14:val="tx1"/>
            </w14:solidFill>
          </w14:textFill>
        </w:rPr>
      </w:pPr>
    </w:p>
    <w:bookmarkEnd w:id="125"/>
    <w:p>
      <w:pPr>
        <w:rPr>
          <w:rFonts w:asciiTheme="minorEastAsia" w:hAnsiTheme="minorEastAsia" w:eastAsiaTheme="minorEastAsia" w:cstheme="minorEastAsia"/>
          <w:color w:val="000000" w:themeColor="text1"/>
          <w:sz w:val="20"/>
          <w14:textFill>
            <w14:solidFill>
              <w14:schemeClr w14:val="tx1"/>
            </w14:solidFill>
          </w14:textFill>
        </w:rPr>
      </w:pPr>
    </w:p>
    <w:sectPr>
      <w:headerReference r:id="rId5" w:type="first"/>
      <w:footerReference r:id="rId6" w:type="first"/>
      <w:headerReference r:id="rId4" w:type="default"/>
      <w:pgSz w:w="11906" w:h="16838"/>
      <w:pgMar w:top="1440" w:right="1797" w:bottom="1440" w:left="1797"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0"/>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dobe 仿宋 Std R">
    <w:altName w:val="仿宋"/>
    <w:panose1 w:val="00000000000000000000"/>
    <w:charset w:val="7A"/>
    <w:family w:val="roman"/>
    <w:pitch w:val="default"/>
    <w:sig w:usb0="00000000" w:usb1="00000000" w:usb2="00000016" w:usb3="00000000" w:csb0="00060007"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Wingdings 2">
    <w:altName w:val="Wingdings"/>
    <w:panose1 w:val="05020102010507070707"/>
    <w:charset w:val="02"/>
    <w:family w:val="roman"/>
    <w:pitch w:val="default"/>
    <w:sig w:usb0="00000000" w:usb1="00000000" w:usb2="00000000" w:usb3="00000000" w:csb0="80000000" w:csb1="0000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9"/>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pPr>
                      <w:pStyle w:val="29"/>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right"/>
      <w:rPr>
        <w:i/>
        <w:iCs/>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9"/>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pPr>
                      <w:pStyle w:val="29"/>
                    </w:pPr>
                    <w:r>
                      <w:fldChar w:fldCharType="begin"/>
                    </w:r>
                    <w:r>
                      <w:instrText xml:space="preserve"> PAGE  \* MERGEFORMAT </w:instrText>
                    </w:r>
                    <w:r>
                      <w:fldChar w:fldCharType="separate"/>
                    </w:r>
                    <w:r>
                      <w:t>31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Bdr>
        <w:bottom w:val="none" w:color="auto" w:sz="0" w:space="1"/>
      </w:pBdr>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Bdr>
        <w:bottom w:val="none" w:color="auto" w:sz="0" w:space="1"/>
      </w:pBdr>
      <w:jc w:val="left"/>
      <w:rPr>
        <w:bCs/>
        <w:sz w:val="8"/>
        <w:szCs w:val="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5BD072"/>
    <w:multiLevelType w:val="multilevel"/>
    <w:tmpl w:val="805BD072"/>
    <w:lvl w:ilvl="0" w:tentative="0">
      <w:start w:val="1"/>
      <w:numFmt w:val="chineseCountingThousand"/>
      <w:pStyle w:val="47"/>
      <w:lvlText w:val="%1、"/>
      <w:lvlJc w:val="left"/>
      <w:pPr>
        <w:ind w:left="420" w:hanging="420"/>
      </w:pPr>
      <w:rPr>
        <w:rFonts w:hint="eastAsia" w:ascii="宋体" w:hAnsi="宋体" w:eastAsia="宋体" w:cs="宋体"/>
        <w:b/>
        <w:bCs w:val="0"/>
        <w:i w:val="0"/>
        <w:iCs w:val="0"/>
        <w:caps w:val="0"/>
        <w:smallCaps w:val="0"/>
        <w:strike w:val="0"/>
        <w:dstrike w:val="0"/>
        <w:outline w:val="0"/>
        <w:shadow w:val="0"/>
        <w:emboss w:val="0"/>
        <w:imprint w:val="0"/>
        <w:snapToGrid w:val="0"/>
        <w:vanish w:val="0"/>
        <w:color w:val="auto"/>
        <w:spacing w:val="0"/>
        <w:w w:val="0"/>
        <w:kern w:val="0"/>
        <w:position w:val="0"/>
        <w:sz w:val="24"/>
        <w:szCs w:val="24"/>
        <w:u w:val="none" w:color="000000"/>
        <w:vertAlign w:val="baseline"/>
        <w14:ligatures w14:val="none"/>
        <w14:numForm w14:val="default"/>
        <w14:numSpacing w14:val="default"/>
      </w:rPr>
    </w:lvl>
    <w:lvl w:ilvl="1" w:tentative="0">
      <w:start w:val="1"/>
      <w:numFmt w:val="decimal"/>
      <w:isLgl/>
      <w:lvlText w:val="%1.%2."/>
      <w:lvlJc w:val="left"/>
      <w:pPr>
        <w:ind w:left="840" w:hanging="420"/>
      </w:pPr>
      <w:rPr>
        <w:rFonts w:hint="eastAsia" w:eastAsia="黑体"/>
        <w:b/>
        <w:sz w:val="30"/>
      </w:rPr>
    </w:lvl>
    <w:lvl w:ilvl="2" w:tentative="0">
      <w:start w:val="1"/>
      <w:numFmt w:val="decimal"/>
      <w:isLgl/>
      <w:lvlText w:val="%1.%2.%3"/>
      <w:lvlJc w:val="left"/>
      <w:pPr>
        <w:ind w:left="1260" w:hanging="420"/>
      </w:pPr>
      <w:rPr>
        <w:rFonts w:hint="eastAsia" w:eastAsia="黑体"/>
        <w:b/>
        <w:sz w:val="24"/>
      </w:rPr>
    </w:lvl>
    <w:lvl w:ilvl="3" w:tentative="0">
      <w:start w:val="1"/>
      <w:numFmt w:val="decimal"/>
      <w:isLgl/>
      <w:lvlText w:val="%1.%2.%3.%4."/>
      <w:lvlJc w:val="left"/>
      <w:pPr>
        <w:ind w:left="1680" w:hanging="420"/>
      </w:pPr>
      <w:rPr>
        <w:rFonts w:hint="eastAsia" w:eastAsia="黑体"/>
        <w:b/>
        <w:sz w:val="24"/>
      </w:rPr>
    </w:lvl>
    <w:lvl w:ilvl="4" w:tentative="0">
      <w:start w:val="1"/>
      <w:numFmt w:val="decimal"/>
      <w:isLgl/>
      <w:lvlText w:val="%1.%2.%3.%4.%5"/>
      <w:lvlJc w:val="left"/>
      <w:pPr>
        <w:ind w:left="2100" w:hanging="420"/>
      </w:pPr>
      <w:rPr>
        <w:rFonts w:hint="eastAsia" w:eastAsia="黑体"/>
        <w:b/>
        <w:sz w:val="24"/>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
    <w:nsid w:val="81EBCBE5"/>
    <w:multiLevelType w:val="singleLevel"/>
    <w:tmpl w:val="81EBCBE5"/>
    <w:lvl w:ilvl="0" w:tentative="0">
      <w:start w:val="1"/>
      <w:numFmt w:val="decimal"/>
      <w:lvlText w:val="(%1)"/>
      <w:lvlJc w:val="left"/>
      <w:pPr>
        <w:ind w:left="425" w:hanging="425"/>
      </w:pPr>
      <w:rPr>
        <w:rFonts w:hint="default"/>
      </w:rPr>
    </w:lvl>
  </w:abstractNum>
  <w:abstractNum w:abstractNumId="2">
    <w:nsid w:val="8721B31E"/>
    <w:multiLevelType w:val="singleLevel"/>
    <w:tmpl w:val="8721B31E"/>
    <w:lvl w:ilvl="0" w:tentative="0">
      <w:start w:val="1"/>
      <w:numFmt w:val="decimalEnclosedCircleChinese"/>
      <w:suff w:val="nothing"/>
      <w:lvlText w:val="%1　"/>
      <w:lvlJc w:val="left"/>
      <w:pPr>
        <w:ind w:left="0" w:firstLine="400"/>
      </w:pPr>
      <w:rPr>
        <w:rFonts w:hint="eastAsia"/>
      </w:rPr>
    </w:lvl>
  </w:abstractNum>
  <w:abstractNum w:abstractNumId="3">
    <w:nsid w:val="8A18B08A"/>
    <w:multiLevelType w:val="singleLevel"/>
    <w:tmpl w:val="8A18B08A"/>
    <w:lvl w:ilvl="0" w:tentative="0">
      <w:start w:val="1"/>
      <w:numFmt w:val="decimal"/>
      <w:suff w:val="nothing"/>
      <w:lvlText w:val="%1、"/>
      <w:lvlJc w:val="left"/>
    </w:lvl>
  </w:abstractNum>
  <w:abstractNum w:abstractNumId="4">
    <w:nsid w:val="C7C9BE1F"/>
    <w:multiLevelType w:val="singleLevel"/>
    <w:tmpl w:val="C7C9BE1F"/>
    <w:lvl w:ilvl="0" w:tentative="0">
      <w:start w:val="1"/>
      <w:numFmt w:val="decimal"/>
      <w:lvlText w:val="%1."/>
      <w:lvlJc w:val="left"/>
      <w:pPr>
        <w:tabs>
          <w:tab w:val="left" w:pos="312"/>
        </w:tabs>
      </w:pPr>
    </w:lvl>
  </w:abstractNum>
  <w:abstractNum w:abstractNumId="5">
    <w:nsid w:val="CF092B84"/>
    <w:multiLevelType w:val="multilevel"/>
    <w:tmpl w:val="CF092B84"/>
    <w:lvl w:ilvl="0" w:tentative="0">
      <w:start w:val="1"/>
      <w:numFmt w:val="lowerLetter"/>
      <w:lvlText w:val="%1)"/>
      <w:lvlJc w:val="left"/>
      <w:pPr>
        <w:ind w:left="1892" w:hanging="415"/>
        <w:jc w:val="left"/>
      </w:pPr>
      <w:rPr>
        <w:rFonts w:hint="default" w:ascii="Calibri" w:hAnsi="Calibri" w:eastAsia="Calibri" w:cs="Calibri"/>
        <w:b w:val="0"/>
        <w:bCs w:val="0"/>
        <w:w w:val="100"/>
        <w:sz w:val="28"/>
        <w:szCs w:val="28"/>
        <w:lang w:val="en-US" w:eastAsia="en-US" w:bidi="en-US"/>
      </w:rPr>
    </w:lvl>
    <w:lvl w:ilvl="1" w:tentative="0">
      <w:start w:val="0"/>
      <w:numFmt w:val="bullet"/>
      <w:lvlText w:val="•"/>
      <w:lvlJc w:val="left"/>
      <w:pPr>
        <w:ind w:left="2890" w:hanging="415"/>
      </w:pPr>
      <w:rPr>
        <w:rFonts w:hint="default"/>
        <w:lang w:val="en-US" w:eastAsia="en-US" w:bidi="en-US"/>
      </w:rPr>
    </w:lvl>
    <w:lvl w:ilvl="2" w:tentative="0">
      <w:start w:val="0"/>
      <w:numFmt w:val="bullet"/>
      <w:lvlText w:val="•"/>
      <w:lvlJc w:val="left"/>
      <w:pPr>
        <w:ind w:left="3881" w:hanging="415"/>
      </w:pPr>
      <w:rPr>
        <w:rFonts w:hint="default"/>
        <w:lang w:val="en-US" w:eastAsia="en-US" w:bidi="en-US"/>
      </w:rPr>
    </w:lvl>
    <w:lvl w:ilvl="3" w:tentative="0">
      <w:start w:val="0"/>
      <w:numFmt w:val="bullet"/>
      <w:lvlText w:val="•"/>
      <w:lvlJc w:val="left"/>
      <w:pPr>
        <w:ind w:left="4871" w:hanging="415"/>
      </w:pPr>
      <w:rPr>
        <w:rFonts w:hint="default"/>
        <w:lang w:val="en-US" w:eastAsia="en-US" w:bidi="en-US"/>
      </w:rPr>
    </w:lvl>
    <w:lvl w:ilvl="4" w:tentative="0">
      <w:start w:val="0"/>
      <w:numFmt w:val="bullet"/>
      <w:lvlText w:val="•"/>
      <w:lvlJc w:val="left"/>
      <w:pPr>
        <w:ind w:left="5862" w:hanging="415"/>
      </w:pPr>
      <w:rPr>
        <w:rFonts w:hint="default"/>
        <w:lang w:val="en-US" w:eastAsia="en-US" w:bidi="en-US"/>
      </w:rPr>
    </w:lvl>
    <w:lvl w:ilvl="5" w:tentative="0">
      <w:start w:val="0"/>
      <w:numFmt w:val="bullet"/>
      <w:lvlText w:val="•"/>
      <w:lvlJc w:val="left"/>
      <w:pPr>
        <w:ind w:left="6852" w:hanging="415"/>
      </w:pPr>
      <w:rPr>
        <w:rFonts w:hint="default"/>
        <w:lang w:val="en-US" w:eastAsia="en-US" w:bidi="en-US"/>
      </w:rPr>
    </w:lvl>
    <w:lvl w:ilvl="6" w:tentative="0">
      <w:start w:val="0"/>
      <w:numFmt w:val="bullet"/>
      <w:lvlText w:val="•"/>
      <w:lvlJc w:val="left"/>
      <w:pPr>
        <w:ind w:left="7843" w:hanging="415"/>
      </w:pPr>
      <w:rPr>
        <w:rFonts w:hint="default"/>
        <w:lang w:val="en-US" w:eastAsia="en-US" w:bidi="en-US"/>
      </w:rPr>
    </w:lvl>
    <w:lvl w:ilvl="7" w:tentative="0">
      <w:start w:val="0"/>
      <w:numFmt w:val="bullet"/>
      <w:lvlText w:val="•"/>
      <w:lvlJc w:val="left"/>
      <w:pPr>
        <w:ind w:left="8833" w:hanging="415"/>
      </w:pPr>
      <w:rPr>
        <w:rFonts w:hint="default"/>
        <w:lang w:val="en-US" w:eastAsia="en-US" w:bidi="en-US"/>
      </w:rPr>
    </w:lvl>
    <w:lvl w:ilvl="8" w:tentative="0">
      <w:start w:val="0"/>
      <w:numFmt w:val="bullet"/>
      <w:lvlText w:val="•"/>
      <w:lvlJc w:val="left"/>
      <w:pPr>
        <w:ind w:left="9824" w:hanging="415"/>
      </w:pPr>
      <w:rPr>
        <w:rFonts w:hint="default"/>
        <w:lang w:val="en-US" w:eastAsia="en-US" w:bidi="en-US"/>
      </w:rPr>
    </w:lvl>
  </w:abstractNum>
  <w:abstractNum w:abstractNumId="6">
    <w:nsid w:val="D4FE21DA"/>
    <w:multiLevelType w:val="singleLevel"/>
    <w:tmpl w:val="D4FE21DA"/>
    <w:lvl w:ilvl="0" w:tentative="0">
      <w:start w:val="1"/>
      <w:numFmt w:val="decimalEnclosedCircleChinese"/>
      <w:suff w:val="nothing"/>
      <w:lvlText w:val="%1　"/>
      <w:lvlJc w:val="left"/>
      <w:pPr>
        <w:ind w:left="0" w:firstLine="400"/>
      </w:pPr>
      <w:rPr>
        <w:rFonts w:hint="eastAsia"/>
      </w:rPr>
    </w:lvl>
  </w:abstractNum>
  <w:abstractNum w:abstractNumId="7">
    <w:nsid w:val="00000002"/>
    <w:multiLevelType w:val="singleLevel"/>
    <w:tmpl w:val="00000002"/>
    <w:lvl w:ilvl="0" w:tentative="0">
      <w:start w:val="1"/>
      <w:numFmt w:val="decimal"/>
      <w:suff w:val="nothing"/>
      <w:lvlText w:val="%1、"/>
      <w:lvlJc w:val="left"/>
    </w:lvl>
  </w:abstractNum>
  <w:abstractNum w:abstractNumId="8">
    <w:nsid w:val="00000003"/>
    <w:multiLevelType w:val="singleLevel"/>
    <w:tmpl w:val="00000003"/>
    <w:lvl w:ilvl="0" w:tentative="0">
      <w:start w:val="1"/>
      <w:numFmt w:val="decimal"/>
      <w:lvlText w:val="%1."/>
      <w:lvlJc w:val="left"/>
      <w:pPr>
        <w:ind w:left="425" w:hanging="425"/>
      </w:pPr>
      <w:rPr>
        <w:rFonts w:hint="default"/>
      </w:rPr>
    </w:lvl>
  </w:abstractNum>
  <w:abstractNum w:abstractNumId="9">
    <w:nsid w:val="09A22A33"/>
    <w:multiLevelType w:val="multilevel"/>
    <w:tmpl w:val="09A22A33"/>
    <w:lvl w:ilvl="0" w:tentative="0">
      <w:start w:val="21"/>
      <w:numFmt w:val="decimal"/>
      <w:lvlText w:val="%1、"/>
      <w:lvlJc w:val="left"/>
      <w:pPr>
        <w:ind w:left="852" w:hanging="432"/>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0">
    <w:nsid w:val="131B6204"/>
    <w:multiLevelType w:val="singleLevel"/>
    <w:tmpl w:val="131B6204"/>
    <w:lvl w:ilvl="0" w:tentative="0">
      <w:start w:val="6"/>
      <w:numFmt w:val="chineseCounting"/>
      <w:suff w:val="nothing"/>
      <w:lvlText w:val="%1、"/>
      <w:lvlJc w:val="left"/>
      <w:rPr>
        <w:rFonts w:hint="eastAsia"/>
      </w:rPr>
    </w:lvl>
  </w:abstractNum>
  <w:abstractNum w:abstractNumId="11">
    <w:nsid w:val="16786638"/>
    <w:multiLevelType w:val="singleLevel"/>
    <w:tmpl w:val="16786638"/>
    <w:lvl w:ilvl="0" w:tentative="0">
      <w:start w:val="1"/>
      <w:numFmt w:val="decimal"/>
      <w:lvlText w:val="(%1)"/>
      <w:lvlJc w:val="left"/>
      <w:pPr>
        <w:ind w:left="425" w:hanging="425"/>
      </w:pPr>
      <w:rPr>
        <w:rFonts w:hint="default"/>
      </w:rPr>
    </w:lvl>
  </w:abstractNum>
  <w:abstractNum w:abstractNumId="12">
    <w:nsid w:val="367E4A19"/>
    <w:multiLevelType w:val="multilevel"/>
    <w:tmpl w:val="367E4A19"/>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57151AE9"/>
    <w:multiLevelType w:val="multilevel"/>
    <w:tmpl w:val="57151AE9"/>
    <w:lvl w:ilvl="0" w:tentative="0">
      <w:start w:val="1"/>
      <w:numFmt w:val="decimal"/>
      <w:suff w:val="space"/>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4">
    <w:nsid w:val="59ADCABA"/>
    <w:multiLevelType w:val="multilevel"/>
    <w:tmpl w:val="59ADCABA"/>
    <w:lvl w:ilvl="0" w:tentative="0">
      <w:start w:val="1"/>
      <w:numFmt w:val="decimal"/>
      <w:lvlText w:val="%1."/>
      <w:lvlJc w:val="left"/>
      <w:pPr>
        <w:ind w:left="425" w:hanging="425"/>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5">
    <w:nsid w:val="656D6133"/>
    <w:multiLevelType w:val="multilevel"/>
    <w:tmpl w:val="656D6133"/>
    <w:lvl w:ilvl="0" w:tentative="0">
      <w:start w:val="1"/>
      <w:numFmt w:val="chineseCountingThousand"/>
      <w:pStyle w:val="127"/>
      <w:suff w:val="nothing"/>
      <w:lvlText w:val="第%1部分"/>
      <w:lvlJc w:val="center"/>
      <w:pPr>
        <w:ind w:left="342" w:firstLine="288"/>
      </w:pPr>
      <w:rPr>
        <w:rFonts w:hint="eastAsia"/>
        <w:sz w:val="21"/>
        <w:szCs w:val="21"/>
      </w:rPr>
    </w:lvl>
    <w:lvl w:ilvl="1" w:tentative="0">
      <w:start w:val="1"/>
      <w:numFmt w:val="chineseCountingThousand"/>
      <w:pStyle w:val="4"/>
      <w:suff w:val="nothing"/>
      <w:lvlText w:val="%2、"/>
      <w:lvlJc w:val="left"/>
      <w:pPr>
        <w:ind w:left="582" w:firstLine="0"/>
      </w:pPr>
      <w:rPr>
        <w:rFonts w:hint="eastAsia" w:ascii="宋体" w:hAnsi="宋体" w:eastAsia="宋体"/>
        <w:sz w:val="24"/>
        <w:szCs w:val="24"/>
        <w:lang w:val="en-US"/>
      </w:rPr>
    </w:lvl>
    <w:lvl w:ilvl="2" w:tentative="0">
      <w:start w:val="1"/>
      <w:numFmt w:val="chineseCountingThousand"/>
      <w:pStyle w:val="5"/>
      <w:suff w:val="nothing"/>
      <w:lvlText w:val="(%3)"/>
      <w:lvlJc w:val="left"/>
      <w:pPr>
        <w:ind w:left="342" w:firstLine="0"/>
      </w:pPr>
      <w:rPr>
        <w:rFonts w:hint="default" w:ascii="Times New Roman" w:hAnsi="Times New Roman" w:eastAsia="宋体"/>
        <w:b/>
        <w:i w:val="0"/>
        <w:spacing w:val="0"/>
        <w:w w:val="100"/>
        <w:position w:val="0"/>
        <w:sz w:val="21"/>
        <w:szCs w:val="21"/>
      </w:rPr>
    </w:lvl>
    <w:lvl w:ilvl="3" w:tentative="0">
      <w:start w:val="1"/>
      <w:numFmt w:val="decimal"/>
      <w:pStyle w:val="6"/>
      <w:suff w:val="nothing"/>
      <w:lvlText w:val="%4、"/>
      <w:lvlJc w:val="left"/>
      <w:pPr>
        <w:ind w:left="342" w:firstLine="0"/>
      </w:pPr>
      <w:rPr>
        <w:rFonts w:hint="eastAsia"/>
      </w:rPr>
    </w:lvl>
    <w:lvl w:ilvl="4" w:tentative="0">
      <w:start w:val="1"/>
      <w:numFmt w:val="upperLetter"/>
      <w:pStyle w:val="7"/>
      <w:suff w:val="nothing"/>
      <w:lvlText w:val="%5、"/>
      <w:lvlJc w:val="left"/>
      <w:pPr>
        <w:ind w:left="342" w:firstLine="0"/>
      </w:pPr>
      <w:rPr>
        <w:rFonts w:hint="eastAsia"/>
      </w:rPr>
    </w:lvl>
    <w:lvl w:ilvl="5" w:tentative="0">
      <w:start w:val="1"/>
      <w:numFmt w:val="none"/>
      <w:pStyle w:val="8"/>
      <w:suff w:val="nothing"/>
      <w:lvlText w:val=""/>
      <w:lvlJc w:val="left"/>
      <w:pPr>
        <w:ind w:left="342" w:firstLine="0"/>
      </w:pPr>
      <w:rPr>
        <w:rFonts w:hint="eastAsia"/>
      </w:rPr>
    </w:lvl>
    <w:lvl w:ilvl="6" w:tentative="0">
      <w:start w:val="1"/>
      <w:numFmt w:val="none"/>
      <w:pStyle w:val="9"/>
      <w:suff w:val="nothing"/>
      <w:lvlText w:val=""/>
      <w:lvlJc w:val="left"/>
      <w:pPr>
        <w:ind w:left="342" w:firstLine="0"/>
      </w:pPr>
      <w:rPr>
        <w:rFonts w:hint="eastAsia"/>
      </w:rPr>
    </w:lvl>
    <w:lvl w:ilvl="7" w:tentative="0">
      <w:start w:val="1"/>
      <w:numFmt w:val="none"/>
      <w:pStyle w:val="10"/>
      <w:suff w:val="nothing"/>
      <w:lvlText w:val=""/>
      <w:lvlJc w:val="left"/>
      <w:pPr>
        <w:ind w:left="342" w:firstLine="0"/>
      </w:pPr>
      <w:rPr>
        <w:rFonts w:hint="eastAsia"/>
      </w:rPr>
    </w:lvl>
    <w:lvl w:ilvl="8" w:tentative="0">
      <w:start w:val="1"/>
      <w:numFmt w:val="none"/>
      <w:pStyle w:val="11"/>
      <w:suff w:val="nothing"/>
      <w:lvlText w:val=""/>
      <w:lvlJc w:val="left"/>
      <w:pPr>
        <w:ind w:left="342" w:firstLine="0"/>
      </w:pPr>
      <w:rPr>
        <w:rFonts w:hint="eastAsia"/>
      </w:rPr>
    </w:lvl>
  </w:abstractNum>
  <w:abstractNum w:abstractNumId="16">
    <w:nsid w:val="724F08C6"/>
    <w:multiLevelType w:val="multilevel"/>
    <w:tmpl w:val="724F08C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5"/>
  </w:num>
  <w:num w:numId="2">
    <w:abstractNumId w:val="0"/>
  </w:num>
  <w:num w:numId="3">
    <w:abstractNumId w:val="10"/>
  </w:num>
  <w:num w:numId="4">
    <w:abstractNumId w:val="6"/>
  </w:num>
  <w:num w:numId="5">
    <w:abstractNumId w:val="12"/>
  </w:num>
  <w:num w:numId="6">
    <w:abstractNumId w:val="5"/>
  </w:num>
  <w:num w:numId="7">
    <w:abstractNumId w:val="4"/>
  </w:num>
  <w:num w:numId="8">
    <w:abstractNumId w:val="7"/>
  </w:num>
  <w:num w:numId="9">
    <w:abstractNumId w:val="14"/>
  </w:num>
  <w:num w:numId="10">
    <w:abstractNumId w:val="8"/>
  </w:num>
  <w:num w:numId="11">
    <w:abstractNumId w:val="13"/>
  </w:num>
  <w:num w:numId="12">
    <w:abstractNumId w:val="9"/>
  </w:num>
  <w:num w:numId="13">
    <w:abstractNumId w:val="16"/>
  </w:num>
  <w:num w:numId="14">
    <w:abstractNumId w:val="1"/>
  </w:num>
  <w:num w:numId="15">
    <w:abstractNumId w:val="11"/>
  </w:num>
  <w:num w:numId="16">
    <w:abstractNumId w:val="2"/>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VlYTRjZjQ5MzQxODZlODEwNDkzM2FjMTFjNzI4MmUifQ=="/>
  </w:docVars>
  <w:rsids>
    <w:rsidRoot w:val="00587125"/>
    <w:rsid w:val="000F1120"/>
    <w:rsid w:val="00151973"/>
    <w:rsid w:val="00262FBB"/>
    <w:rsid w:val="003643A9"/>
    <w:rsid w:val="003F72F0"/>
    <w:rsid w:val="00587125"/>
    <w:rsid w:val="00997B3D"/>
    <w:rsid w:val="00AD7E19"/>
    <w:rsid w:val="00EF6DFE"/>
    <w:rsid w:val="01B70239"/>
    <w:rsid w:val="039D71E1"/>
    <w:rsid w:val="046C283D"/>
    <w:rsid w:val="053A50CF"/>
    <w:rsid w:val="054B365B"/>
    <w:rsid w:val="06477751"/>
    <w:rsid w:val="08137B93"/>
    <w:rsid w:val="082864A9"/>
    <w:rsid w:val="09927168"/>
    <w:rsid w:val="09D77D85"/>
    <w:rsid w:val="0A0030B9"/>
    <w:rsid w:val="0A4725AB"/>
    <w:rsid w:val="0DBB178E"/>
    <w:rsid w:val="0DFA5A56"/>
    <w:rsid w:val="10F23D5D"/>
    <w:rsid w:val="11904CB8"/>
    <w:rsid w:val="12C401AC"/>
    <w:rsid w:val="13164CC6"/>
    <w:rsid w:val="13E36C94"/>
    <w:rsid w:val="149D7E61"/>
    <w:rsid w:val="15215EE1"/>
    <w:rsid w:val="15366A4D"/>
    <w:rsid w:val="16DD6113"/>
    <w:rsid w:val="186036C8"/>
    <w:rsid w:val="18B970E9"/>
    <w:rsid w:val="18C24BEF"/>
    <w:rsid w:val="191711EA"/>
    <w:rsid w:val="19F936E1"/>
    <w:rsid w:val="1B4565FF"/>
    <w:rsid w:val="1B5607E3"/>
    <w:rsid w:val="1C980DE5"/>
    <w:rsid w:val="1E7E4509"/>
    <w:rsid w:val="1F9C7601"/>
    <w:rsid w:val="20180B1C"/>
    <w:rsid w:val="203821F2"/>
    <w:rsid w:val="20761D6C"/>
    <w:rsid w:val="209F098A"/>
    <w:rsid w:val="22082063"/>
    <w:rsid w:val="24100056"/>
    <w:rsid w:val="25076607"/>
    <w:rsid w:val="26EA6478"/>
    <w:rsid w:val="281735FF"/>
    <w:rsid w:val="2886146E"/>
    <w:rsid w:val="290A113F"/>
    <w:rsid w:val="294C0B66"/>
    <w:rsid w:val="297D1782"/>
    <w:rsid w:val="2A2F64DD"/>
    <w:rsid w:val="2B915C96"/>
    <w:rsid w:val="2C2E13A0"/>
    <w:rsid w:val="2C702A2C"/>
    <w:rsid w:val="2C8D01CE"/>
    <w:rsid w:val="2C9649EA"/>
    <w:rsid w:val="2ECE0E08"/>
    <w:rsid w:val="307F0E93"/>
    <w:rsid w:val="313B5AE0"/>
    <w:rsid w:val="322025F3"/>
    <w:rsid w:val="3486694A"/>
    <w:rsid w:val="35FE225B"/>
    <w:rsid w:val="381313DA"/>
    <w:rsid w:val="384605AC"/>
    <w:rsid w:val="38FE4E0D"/>
    <w:rsid w:val="394A12E5"/>
    <w:rsid w:val="39AB0F31"/>
    <w:rsid w:val="3A101C78"/>
    <w:rsid w:val="3A765880"/>
    <w:rsid w:val="3C105990"/>
    <w:rsid w:val="3C7D6108"/>
    <w:rsid w:val="3CC01575"/>
    <w:rsid w:val="3D553D9C"/>
    <w:rsid w:val="3FDC139E"/>
    <w:rsid w:val="402A5948"/>
    <w:rsid w:val="40EE0ED9"/>
    <w:rsid w:val="41266ACD"/>
    <w:rsid w:val="419253F8"/>
    <w:rsid w:val="431B6011"/>
    <w:rsid w:val="436B1E5F"/>
    <w:rsid w:val="43E246A6"/>
    <w:rsid w:val="43FC1352"/>
    <w:rsid w:val="4456105F"/>
    <w:rsid w:val="45023892"/>
    <w:rsid w:val="451E571C"/>
    <w:rsid w:val="464652EE"/>
    <w:rsid w:val="46544C20"/>
    <w:rsid w:val="48251533"/>
    <w:rsid w:val="499A3C4C"/>
    <w:rsid w:val="4A3B1D2F"/>
    <w:rsid w:val="4B9B6331"/>
    <w:rsid w:val="4BA831C0"/>
    <w:rsid w:val="4C164DF6"/>
    <w:rsid w:val="4D7D7B49"/>
    <w:rsid w:val="4EA745FB"/>
    <w:rsid w:val="4F0F37C9"/>
    <w:rsid w:val="510B62F2"/>
    <w:rsid w:val="512420FC"/>
    <w:rsid w:val="517F32AC"/>
    <w:rsid w:val="53005D80"/>
    <w:rsid w:val="531064BF"/>
    <w:rsid w:val="534C0BB5"/>
    <w:rsid w:val="57D1719B"/>
    <w:rsid w:val="598A797D"/>
    <w:rsid w:val="59CA708F"/>
    <w:rsid w:val="5A1309D0"/>
    <w:rsid w:val="5A5B45A1"/>
    <w:rsid w:val="5A9C75F4"/>
    <w:rsid w:val="5B6650BB"/>
    <w:rsid w:val="5D7E511F"/>
    <w:rsid w:val="5D8E57BA"/>
    <w:rsid w:val="5DFF0147"/>
    <w:rsid w:val="5E2121F3"/>
    <w:rsid w:val="5FBC0493"/>
    <w:rsid w:val="61132675"/>
    <w:rsid w:val="66024D16"/>
    <w:rsid w:val="66103711"/>
    <w:rsid w:val="66D6102C"/>
    <w:rsid w:val="69D30907"/>
    <w:rsid w:val="6A0945C6"/>
    <w:rsid w:val="6BBB1B63"/>
    <w:rsid w:val="6C0B0ADF"/>
    <w:rsid w:val="6C9505C3"/>
    <w:rsid w:val="6CEE7E49"/>
    <w:rsid w:val="6DCF7053"/>
    <w:rsid w:val="6E140F6B"/>
    <w:rsid w:val="6F034744"/>
    <w:rsid w:val="6F3507EB"/>
    <w:rsid w:val="6F542A1F"/>
    <w:rsid w:val="6F58149F"/>
    <w:rsid w:val="6FC16EFC"/>
    <w:rsid w:val="70057E2D"/>
    <w:rsid w:val="714A3FCA"/>
    <w:rsid w:val="73740C82"/>
    <w:rsid w:val="7377F9C1"/>
    <w:rsid w:val="73FB28E0"/>
    <w:rsid w:val="7411093F"/>
    <w:rsid w:val="743B4417"/>
    <w:rsid w:val="7442047D"/>
    <w:rsid w:val="74484BF1"/>
    <w:rsid w:val="747F0607"/>
    <w:rsid w:val="74E13E7C"/>
    <w:rsid w:val="74FA6022"/>
    <w:rsid w:val="77A00251"/>
    <w:rsid w:val="77CC3A1C"/>
    <w:rsid w:val="78B862EC"/>
    <w:rsid w:val="78EE57EB"/>
    <w:rsid w:val="7937574B"/>
    <w:rsid w:val="7AAD1FDF"/>
    <w:rsid w:val="7BBB4EA6"/>
    <w:rsid w:val="7E4A009F"/>
    <w:rsid w:val="7F9825DF"/>
    <w:rsid w:val="7FE6110F"/>
    <w:rsid w:val="7FE7E3CA"/>
    <w:rsid w:val="9FDCEB81"/>
    <w:rsid w:val="B4ED0B97"/>
    <w:rsid w:val="B7FF1D42"/>
    <w:rsid w:val="E7FF8BB7"/>
    <w:rsid w:val="F03E72F4"/>
    <w:rsid w:val="F7C1F3CD"/>
    <w:rsid w:val="FF7F8DB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48"/>
    <w:qFormat/>
    <w:uiPriority w:val="0"/>
    <w:pPr>
      <w:keepNext/>
      <w:keepLines/>
      <w:adjustRightInd w:val="0"/>
      <w:spacing w:before="340" w:after="330" w:line="578" w:lineRule="atLeast"/>
      <w:ind w:firstLine="288"/>
      <w:jc w:val="left"/>
      <w:textAlignment w:val="baseline"/>
      <w:outlineLvl w:val="0"/>
    </w:pPr>
    <w:rPr>
      <w:b/>
      <w:bCs/>
      <w:kern w:val="44"/>
      <w:sz w:val="44"/>
      <w:szCs w:val="44"/>
    </w:rPr>
  </w:style>
  <w:style w:type="paragraph" w:styleId="4">
    <w:name w:val="heading 2"/>
    <w:basedOn w:val="1"/>
    <w:next w:val="1"/>
    <w:link w:val="49"/>
    <w:qFormat/>
    <w:uiPriority w:val="0"/>
    <w:pPr>
      <w:keepNext/>
      <w:keepLines/>
      <w:numPr>
        <w:ilvl w:val="1"/>
        <w:numId w:val="1"/>
      </w:numPr>
      <w:adjustRightInd w:val="0"/>
      <w:spacing w:before="260" w:after="260" w:line="416" w:lineRule="atLeast"/>
      <w:jc w:val="left"/>
      <w:textAlignment w:val="baseline"/>
      <w:outlineLvl w:val="1"/>
    </w:pPr>
    <w:rPr>
      <w:rFonts w:ascii="Arial" w:hAnsi="Arial" w:eastAsia="黑体"/>
      <w:b/>
      <w:bCs/>
      <w:kern w:val="0"/>
      <w:sz w:val="32"/>
      <w:szCs w:val="32"/>
    </w:rPr>
  </w:style>
  <w:style w:type="paragraph" w:styleId="5">
    <w:name w:val="heading 3"/>
    <w:basedOn w:val="1"/>
    <w:next w:val="1"/>
    <w:qFormat/>
    <w:uiPriority w:val="0"/>
    <w:pPr>
      <w:keepNext/>
      <w:keepLines/>
      <w:numPr>
        <w:ilvl w:val="2"/>
        <w:numId w:val="1"/>
      </w:numPr>
      <w:adjustRightInd w:val="0"/>
      <w:spacing w:before="260" w:after="260" w:line="416" w:lineRule="atLeast"/>
      <w:jc w:val="left"/>
      <w:textAlignment w:val="baseline"/>
      <w:outlineLvl w:val="2"/>
    </w:pPr>
    <w:rPr>
      <w:b/>
      <w:bCs/>
      <w:kern w:val="0"/>
      <w:sz w:val="32"/>
      <w:szCs w:val="32"/>
    </w:rPr>
  </w:style>
  <w:style w:type="paragraph" w:styleId="6">
    <w:name w:val="heading 4"/>
    <w:basedOn w:val="1"/>
    <w:next w:val="1"/>
    <w:qFormat/>
    <w:uiPriority w:val="0"/>
    <w:pPr>
      <w:keepNext/>
      <w:keepLines/>
      <w:numPr>
        <w:ilvl w:val="3"/>
        <w:numId w:val="1"/>
      </w:numPr>
      <w:adjustRightInd w:val="0"/>
      <w:spacing w:before="280" w:after="290" w:line="376" w:lineRule="atLeast"/>
      <w:jc w:val="left"/>
      <w:textAlignment w:val="baseline"/>
      <w:outlineLvl w:val="3"/>
    </w:pPr>
    <w:rPr>
      <w:rFonts w:ascii="Arial" w:hAnsi="Arial" w:eastAsia="黑体"/>
      <w:b/>
      <w:bCs/>
      <w:kern w:val="0"/>
      <w:sz w:val="28"/>
      <w:szCs w:val="28"/>
    </w:rPr>
  </w:style>
  <w:style w:type="paragraph" w:styleId="7">
    <w:name w:val="heading 5"/>
    <w:basedOn w:val="1"/>
    <w:next w:val="1"/>
    <w:qFormat/>
    <w:uiPriority w:val="0"/>
    <w:pPr>
      <w:keepNext/>
      <w:keepLines/>
      <w:numPr>
        <w:ilvl w:val="4"/>
        <w:numId w:val="1"/>
      </w:numPr>
      <w:adjustRightInd w:val="0"/>
      <w:spacing w:before="280" w:after="290" w:line="376" w:lineRule="atLeast"/>
      <w:jc w:val="left"/>
      <w:textAlignment w:val="baseline"/>
      <w:outlineLvl w:val="4"/>
    </w:pPr>
    <w:rPr>
      <w:b/>
      <w:bCs/>
      <w:kern w:val="0"/>
      <w:sz w:val="28"/>
      <w:szCs w:val="28"/>
    </w:rPr>
  </w:style>
  <w:style w:type="paragraph" w:styleId="8">
    <w:name w:val="heading 6"/>
    <w:basedOn w:val="1"/>
    <w:next w:val="1"/>
    <w:qFormat/>
    <w:uiPriority w:val="0"/>
    <w:pPr>
      <w:keepNext/>
      <w:keepLines/>
      <w:numPr>
        <w:ilvl w:val="5"/>
        <w:numId w:val="1"/>
      </w:numPr>
      <w:adjustRightInd w:val="0"/>
      <w:spacing w:before="240" w:after="64" w:line="320" w:lineRule="atLeast"/>
      <w:jc w:val="left"/>
      <w:textAlignment w:val="baseline"/>
      <w:outlineLvl w:val="5"/>
    </w:pPr>
    <w:rPr>
      <w:rFonts w:ascii="Arial" w:hAnsi="Arial" w:eastAsia="黑体"/>
      <w:b/>
      <w:bCs/>
      <w:kern w:val="0"/>
      <w:sz w:val="24"/>
    </w:rPr>
  </w:style>
  <w:style w:type="paragraph" w:styleId="9">
    <w:name w:val="heading 7"/>
    <w:basedOn w:val="1"/>
    <w:next w:val="1"/>
    <w:qFormat/>
    <w:uiPriority w:val="0"/>
    <w:pPr>
      <w:keepNext/>
      <w:keepLines/>
      <w:numPr>
        <w:ilvl w:val="6"/>
        <w:numId w:val="1"/>
      </w:numPr>
      <w:adjustRightInd w:val="0"/>
      <w:spacing w:before="240" w:after="64" w:line="320" w:lineRule="atLeast"/>
      <w:jc w:val="left"/>
      <w:textAlignment w:val="baseline"/>
      <w:outlineLvl w:val="6"/>
    </w:pPr>
    <w:rPr>
      <w:b/>
      <w:bCs/>
      <w:kern w:val="0"/>
      <w:sz w:val="24"/>
    </w:rPr>
  </w:style>
  <w:style w:type="paragraph" w:styleId="10">
    <w:name w:val="heading 8"/>
    <w:basedOn w:val="1"/>
    <w:next w:val="1"/>
    <w:qFormat/>
    <w:uiPriority w:val="0"/>
    <w:pPr>
      <w:keepNext/>
      <w:keepLines/>
      <w:numPr>
        <w:ilvl w:val="7"/>
        <w:numId w:val="1"/>
      </w:numPr>
      <w:adjustRightInd w:val="0"/>
      <w:spacing w:before="240" w:after="64" w:line="320" w:lineRule="atLeast"/>
      <w:jc w:val="left"/>
      <w:textAlignment w:val="baseline"/>
      <w:outlineLvl w:val="7"/>
    </w:pPr>
    <w:rPr>
      <w:rFonts w:ascii="Arial" w:hAnsi="Arial" w:eastAsia="黑体"/>
      <w:kern w:val="0"/>
      <w:sz w:val="24"/>
    </w:rPr>
  </w:style>
  <w:style w:type="paragraph" w:styleId="11">
    <w:name w:val="heading 9"/>
    <w:basedOn w:val="1"/>
    <w:next w:val="1"/>
    <w:qFormat/>
    <w:uiPriority w:val="0"/>
    <w:pPr>
      <w:keepNext/>
      <w:keepLines/>
      <w:numPr>
        <w:ilvl w:val="8"/>
        <w:numId w:val="1"/>
      </w:numPr>
      <w:adjustRightInd w:val="0"/>
      <w:spacing w:before="240" w:after="64" w:line="320" w:lineRule="atLeast"/>
      <w:jc w:val="left"/>
      <w:textAlignment w:val="baseline"/>
      <w:outlineLvl w:val="8"/>
    </w:pPr>
    <w:rPr>
      <w:rFonts w:ascii="Arial" w:hAnsi="Arial" w:eastAsia="黑体"/>
      <w:kern w:val="0"/>
      <w:szCs w:val="21"/>
    </w:rPr>
  </w:style>
  <w:style w:type="character" w:default="1" w:styleId="40">
    <w:name w:val="Default Paragraph Font"/>
    <w:semiHidden/>
    <w:unhideWhenUsed/>
    <w:qFormat/>
    <w:uiPriority w:val="1"/>
  </w:style>
  <w:style w:type="table" w:default="1" w:styleId="38">
    <w:name w:val="Normal Table"/>
    <w:semiHidden/>
    <w:unhideWhenUsed/>
    <w:qFormat/>
    <w:uiPriority w:val="99"/>
    <w:tblPr>
      <w:tblCellMar>
        <w:top w:w="0" w:type="dxa"/>
        <w:left w:w="108" w:type="dxa"/>
        <w:bottom w:w="0" w:type="dxa"/>
        <w:right w:w="108" w:type="dxa"/>
      </w:tblCellMar>
    </w:tblPr>
  </w:style>
  <w:style w:type="paragraph" w:styleId="2">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styleId="12">
    <w:name w:val="List 3"/>
    <w:basedOn w:val="1"/>
    <w:qFormat/>
    <w:uiPriority w:val="0"/>
    <w:pPr>
      <w:ind w:left="100" w:leftChars="400" w:hanging="200" w:hangingChars="200"/>
    </w:pPr>
  </w:style>
  <w:style w:type="paragraph" w:styleId="13">
    <w:name w:val="Normal Indent"/>
    <w:basedOn w:val="1"/>
    <w:next w:val="1"/>
    <w:unhideWhenUsed/>
    <w:qFormat/>
    <w:uiPriority w:val="0"/>
    <w:pPr>
      <w:ind w:firstLine="420" w:firstLineChars="200"/>
    </w:pPr>
  </w:style>
  <w:style w:type="paragraph" w:styleId="14">
    <w:name w:val="caption"/>
    <w:basedOn w:val="1"/>
    <w:next w:val="1"/>
    <w:qFormat/>
    <w:uiPriority w:val="0"/>
    <w:pPr>
      <w:spacing w:before="152" w:after="160"/>
    </w:pPr>
    <w:rPr>
      <w:rFonts w:ascii="Arial" w:hAnsi="Arial" w:eastAsia="黑体" w:cs="Arial"/>
      <w:sz w:val="20"/>
      <w:szCs w:val="20"/>
    </w:rPr>
  </w:style>
  <w:style w:type="paragraph" w:styleId="15">
    <w:name w:val="Document Map"/>
    <w:basedOn w:val="1"/>
    <w:semiHidden/>
    <w:qFormat/>
    <w:uiPriority w:val="0"/>
    <w:pPr>
      <w:shd w:val="clear" w:color="auto" w:fill="000080"/>
    </w:pPr>
  </w:style>
  <w:style w:type="paragraph" w:styleId="16">
    <w:name w:val="toa heading"/>
    <w:basedOn w:val="1"/>
    <w:next w:val="1"/>
    <w:qFormat/>
    <w:uiPriority w:val="0"/>
    <w:pPr>
      <w:spacing w:before="120"/>
    </w:pPr>
    <w:rPr>
      <w:rFonts w:ascii="Cambria" w:hAnsi="Cambria"/>
      <w:sz w:val="24"/>
    </w:rPr>
  </w:style>
  <w:style w:type="paragraph" w:styleId="17">
    <w:name w:val="annotation text"/>
    <w:basedOn w:val="1"/>
    <w:link w:val="50"/>
    <w:semiHidden/>
    <w:qFormat/>
    <w:uiPriority w:val="0"/>
    <w:pPr>
      <w:jc w:val="left"/>
    </w:pPr>
    <w:rPr>
      <w:rFonts w:ascii="Times New Roman" w:hAnsi="Times New Roman"/>
      <w:szCs w:val="24"/>
    </w:rPr>
  </w:style>
  <w:style w:type="paragraph" w:styleId="18">
    <w:name w:val="Body Text 3"/>
    <w:basedOn w:val="1"/>
    <w:next w:val="1"/>
    <w:qFormat/>
    <w:uiPriority w:val="0"/>
    <w:pPr>
      <w:spacing w:after="120"/>
    </w:pPr>
    <w:rPr>
      <w:sz w:val="16"/>
      <w:szCs w:val="16"/>
    </w:rPr>
  </w:style>
  <w:style w:type="paragraph" w:styleId="19">
    <w:name w:val="Body Text"/>
    <w:basedOn w:val="1"/>
    <w:next w:val="20"/>
    <w:link w:val="51"/>
    <w:qFormat/>
    <w:uiPriority w:val="0"/>
    <w:pPr>
      <w:spacing w:after="120"/>
    </w:pPr>
    <w:rPr>
      <w:rFonts w:ascii="Times New Roman" w:hAnsi="Times New Roman"/>
      <w:szCs w:val="24"/>
    </w:rPr>
  </w:style>
  <w:style w:type="paragraph" w:customStyle="1" w:styleId="20">
    <w:name w:val="Default"/>
    <w:next w:val="1"/>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styleId="21">
    <w:name w:val="Body Text Indent"/>
    <w:basedOn w:val="1"/>
    <w:link w:val="52"/>
    <w:qFormat/>
    <w:uiPriority w:val="0"/>
    <w:pPr>
      <w:spacing w:line="500" w:lineRule="exact"/>
      <w:ind w:left="1588" w:leftChars="832" w:firstLine="433" w:firstLineChars="196"/>
    </w:pPr>
    <w:rPr>
      <w:rFonts w:ascii="Times New Roman" w:hAnsi="Times New Roman"/>
      <w:sz w:val="24"/>
      <w:szCs w:val="24"/>
    </w:rPr>
  </w:style>
  <w:style w:type="paragraph" w:styleId="22">
    <w:name w:val="List 2"/>
    <w:basedOn w:val="1"/>
    <w:qFormat/>
    <w:uiPriority w:val="0"/>
    <w:pPr>
      <w:ind w:left="100" w:leftChars="200" w:hanging="200" w:hangingChars="200"/>
    </w:pPr>
  </w:style>
  <w:style w:type="paragraph" w:styleId="23">
    <w:name w:val="index 4"/>
    <w:basedOn w:val="1"/>
    <w:next w:val="1"/>
    <w:unhideWhenUsed/>
    <w:qFormat/>
    <w:uiPriority w:val="99"/>
    <w:pPr>
      <w:autoSpaceDE w:val="0"/>
      <w:autoSpaceDN w:val="0"/>
      <w:ind w:left="600" w:leftChars="600"/>
      <w:jc w:val="left"/>
    </w:pPr>
    <w:rPr>
      <w:rFonts w:ascii="宋体" w:hAnsi="宋体" w:cs="宋体"/>
      <w:kern w:val="0"/>
      <w:sz w:val="22"/>
      <w:lang w:val="zh-CN" w:bidi="zh-CN"/>
    </w:rPr>
  </w:style>
  <w:style w:type="paragraph" w:styleId="24">
    <w:name w:val="toc 3"/>
    <w:basedOn w:val="1"/>
    <w:next w:val="1"/>
    <w:qFormat/>
    <w:uiPriority w:val="39"/>
    <w:pPr>
      <w:ind w:left="840" w:leftChars="400"/>
    </w:pPr>
  </w:style>
  <w:style w:type="paragraph" w:styleId="25">
    <w:name w:val="Plain Text"/>
    <w:basedOn w:val="1"/>
    <w:link w:val="53"/>
    <w:qFormat/>
    <w:uiPriority w:val="0"/>
    <w:rPr>
      <w:rFonts w:ascii="宋体" w:hAnsi="Courier New"/>
      <w:szCs w:val="21"/>
    </w:rPr>
  </w:style>
  <w:style w:type="paragraph" w:styleId="26">
    <w:name w:val="Date"/>
    <w:basedOn w:val="1"/>
    <w:next w:val="1"/>
    <w:qFormat/>
    <w:uiPriority w:val="0"/>
    <w:pPr>
      <w:ind w:left="100" w:leftChars="2500"/>
    </w:pPr>
  </w:style>
  <w:style w:type="paragraph" w:styleId="27">
    <w:name w:val="Body Text Indent 2"/>
    <w:basedOn w:val="1"/>
    <w:qFormat/>
    <w:uiPriority w:val="0"/>
    <w:pPr>
      <w:spacing w:after="120" w:line="480" w:lineRule="auto"/>
      <w:ind w:left="420" w:leftChars="200"/>
    </w:pPr>
  </w:style>
  <w:style w:type="paragraph" w:styleId="28">
    <w:name w:val="Balloon Text"/>
    <w:basedOn w:val="1"/>
    <w:semiHidden/>
    <w:qFormat/>
    <w:uiPriority w:val="0"/>
    <w:rPr>
      <w:sz w:val="18"/>
      <w:szCs w:val="18"/>
    </w:rPr>
  </w:style>
  <w:style w:type="paragraph" w:styleId="29">
    <w:name w:val="footer"/>
    <w:basedOn w:val="1"/>
    <w:link w:val="54"/>
    <w:qFormat/>
    <w:uiPriority w:val="99"/>
    <w:pPr>
      <w:tabs>
        <w:tab w:val="center" w:pos="4153"/>
        <w:tab w:val="right" w:pos="8306"/>
      </w:tabs>
      <w:snapToGrid w:val="0"/>
      <w:jc w:val="left"/>
    </w:pPr>
    <w:rPr>
      <w:rFonts w:ascii="Times New Roman" w:hAnsi="Times New Roman"/>
      <w:sz w:val="18"/>
      <w:szCs w:val="18"/>
    </w:rPr>
  </w:style>
  <w:style w:type="paragraph" w:styleId="3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39"/>
    <w:pPr>
      <w:tabs>
        <w:tab w:val="right" w:leader="dot" w:pos="8302"/>
      </w:tabs>
    </w:pPr>
  </w:style>
  <w:style w:type="paragraph" w:styleId="32">
    <w:name w:val="Body Text Indent 3"/>
    <w:basedOn w:val="1"/>
    <w:qFormat/>
    <w:uiPriority w:val="0"/>
    <w:pPr>
      <w:tabs>
        <w:tab w:val="left" w:pos="1134"/>
        <w:tab w:val="left" w:pos="5481"/>
        <w:tab w:val="left" w:pos="5859"/>
      </w:tabs>
      <w:spacing w:line="500" w:lineRule="exact"/>
      <w:ind w:firstLine="8275" w:firstLineChars="1200"/>
    </w:pPr>
    <w:rPr>
      <w:rFonts w:eastAsia="黑体"/>
      <w:b/>
      <w:bCs/>
      <w:sz w:val="72"/>
    </w:rPr>
  </w:style>
  <w:style w:type="paragraph" w:styleId="33">
    <w:name w:val="toc 2"/>
    <w:basedOn w:val="1"/>
    <w:next w:val="1"/>
    <w:qFormat/>
    <w:uiPriority w:val="39"/>
    <w:pPr>
      <w:ind w:left="420" w:leftChars="200"/>
    </w:pPr>
  </w:style>
  <w:style w:type="paragraph" w:styleId="34">
    <w:name w:val="Normal (Web)"/>
    <w:basedOn w:val="1"/>
    <w:next w:val="35"/>
    <w:qFormat/>
    <w:uiPriority w:val="0"/>
    <w:pPr>
      <w:spacing w:beforeAutospacing="1" w:afterAutospacing="1"/>
      <w:jc w:val="left"/>
    </w:pPr>
    <w:rPr>
      <w:kern w:val="0"/>
      <w:sz w:val="24"/>
    </w:rPr>
  </w:style>
  <w:style w:type="paragraph" w:customStyle="1" w:styleId="35">
    <w:name w:val="目录 41"/>
    <w:next w:val="1"/>
    <w:qFormat/>
    <w:uiPriority w:val="0"/>
    <w:pPr>
      <w:wordWrap w:val="0"/>
      <w:ind w:left="1275"/>
      <w:jc w:val="both"/>
    </w:pPr>
    <w:rPr>
      <w:rFonts w:ascii="Times New Roman" w:hAnsi="Times New Roman" w:eastAsia="宋体" w:cs="Times New Roman"/>
      <w:sz w:val="21"/>
      <w:lang w:val="en-US" w:eastAsia="zh-CN" w:bidi="ar-SA"/>
    </w:rPr>
  </w:style>
  <w:style w:type="paragraph" w:styleId="36">
    <w:name w:val="annotation subject"/>
    <w:basedOn w:val="17"/>
    <w:next w:val="17"/>
    <w:semiHidden/>
    <w:qFormat/>
    <w:uiPriority w:val="0"/>
    <w:rPr>
      <w:b/>
      <w:bCs/>
    </w:rPr>
  </w:style>
  <w:style w:type="paragraph" w:styleId="37">
    <w:name w:val="Body Text First Indent"/>
    <w:basedOn w:val="19"/>
    <w:next w:val="1"/>
    <w:unhideWhenUsed/>
    <w:qFormat/>
    <w:uiPriority w:val="99"/>
    <w:pPr>
      <w:spacing w:line="360" w:lineRule="auto"/>
      <w:ind w:firstLine="420" w:firstLineChars="100"/>
    </w:pPr>
    <w:rPr>
      <w:rFonts w:ascii="Calibri" w:hAnsi="Calibri" w:eastAsia="仿宋"/>
      <w:sz w:val="28"/>
    </w:rPr>
  </w:style>
  <w:style w:type="table" w:styleId="39">
    <w:name w:val="Table Grid"/>
    <w:basedOn w:val="3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1">
    <w:name w:val="Strong"/>
    <w:basedOn w:val="40"/>
    <w:qFormat/>
    <w:uiPriority w:val="0"/>
    <w:rPr>
      <w:b/>
      <w:bCs/>
    </w:rPr>
  </w:style>
  <w:style w:type="character" w:styleId="42">
    <w:name w:val="page number"/>
    <w:basedOn w:val="40"/>
    <w:qFormat/>
    <w:uiPriority w:val="0"/>
  </w:style>
  <w:style w:type="character" w:styleId="43">
    <w:name w:val="Hyperlink"/>
    <w:qFormat/>
    <w:uiPriority w:val="99"/>
    <w:rPr>
      <w:color w:val="0000FF"/>
      <w:u w:val="single"/>
    </w:rPr>
  </w:style>
  <w:style w:type="character" w:styleId="44">
    <w:name w:val="annotation reference"/>
    <w:semiHidden/>
    <w:qFormat/>
    <w:uiPriority w:val="0"/>
    <w:rPr>
      <w:sz w:val="21"/>
      <w:szCs w:val="21"/>
    </w:rPr>
  </w:style>
  <w:style w:type="paragraph" w:customStyle="1" w:styleId="45">
    <w:name w:val="BodyText1I2"/>
    <w:basedOn w:val="46"/>
    <w:next w:val="1"/>
    <w:qFormat/>
    <w:locked/>
    <w:uiPriority w:val="0"/>
    <w:pPr>
      <w:ind w:firstLine="420" w:firstLineChars="200"/>
    </w:pPr>
    <w:rPr>
      <w:rFonts w:ascii="仿宋_GB2312" w:eastAsia="仿宋_GB2312"/>
    </w:rPr>
  </w:style>
  <w:style w:type="paragraph" w:customStyle="1" w:styleId="46">
    <w:name w:val="BodyTextIndent"/>
    <w:basedOn w:val="1"/>
    <w:qFormat/>
    <w:uiPriority w:val="0"/>
    <w:pPr>
      <w:spacing w:line="500" w:lineRule="exact"/>
      <w:ind w:left="1588" w:leftChars="832" w:firstLine="433" w:firstLineChars="196"/>
      <w:textAlignment w:val="baseline"/>
    </w:pPr>
    <w:rPr>
      <w:rFonts w:ascii="Times New Roman" w:hAnsi="Times New Roman"/>
      <w:sz w:val="24"/>
      <w:szCs w:val="24"/>
    </w:rPr>
  </w:style>
  <w:style w:type="paragraph" w:customStyle="1" w:styleId="47">
    <w:name w:val="一级标书"/>
    <w:basedOn w:val="3"/>
    <w:next w:val="1"/>
    <w:qFormat/>
    <w:uiPriority w:val="0"/>
    <w:pPr>
      <w:numPr>
        <w:ilvl w:val="0"/>
        <w:numId w:val="2"/>
      </w:numPr>
      <w:spacing w:before="240" w:after="240" w:line="360" w:lineRule="auto"/>
    </w:pPr>
    <w:rPr>
      <w:rFonts w:eastAsia="黑体" w:asciiTheme="minorHAnsi" w:hAnsiTheme="minorHAnsi"/>
      <w:sz w:val="30"/>
    </w:rPr>
  </w:style>
  <w:style w:type="character" w:customStyle="1" w:styleId="48">
    <w:name w:val="标题 1 字符"/>
    <w:link w:val="3"/>
    <w:qFormat/>
    <w:uiPriority w:val="0"/>
    <w:rPr>
      <w:b/>
      <w:bCs/>
      <w:kern w:val="44"/>
      <w:sz w:val="44"/>
      <w:szCs w:val="44"/>
    </w:rPr>
  </w:style>
  <w:style w:type="character" w:customStyle="1" w:styleId="49">
    <w:name w:val="标题 2 字符"/>
    <w:link w:val="4"/>
    <w:qFormat/>
    <w:uiPriority w:val="0"/>
    <w:rPr>
      <w:rFonts w:ascii="Arial" w:hAnsi="Arial" w:eastAsia="黑体"/>
      <w:b/>
      <w:bCs/>
      <w:kern w:val="0"/>
      <w:sz w:val="32"/>
      <w:szCs w:val="32"/>
    </w:rPr>
  </w:style>
  <w:style w:type="character" w:customStyle="1" w:styleId="50">
    <w:name w:val="批注文字 字符"/>
    <w:link w:val="17"/>
    <w:qFormat/>
    <w:uiPriority w:val="0"/>
    <w:rPr>
      <w:rFonts w:eastAsia="宋体"/>
      <w:kern w:val="2"/>
      <w:sz w:val="21"/>
      <w:szCs w:val="24"/>
      <w:lang w:val="en-US" w:eastAsia="zh-CN" w:bidi="ar-SA"/>
    </w:rPr>
  </w:style>
  <w:style w:type="character" w:customStyle="1" w:styleId="51">
    <w:name w:val="正文文本 字符"/>
    <w:link w:val="19"/>
    <w:qFormat/>
    <w:uiPriority w:val="0"/>
    <w:rPr>
      <w:rFonts w:eastAsia="宋体"/>
      <w:kern w:val="2"/>
      <w:sz w:val="21"/>
      <w:szCs w:val="24"/>
      <w:lang w:val="en-US" w:eastAsia="zh-CN" w:bidi="ar-SA"/>
    </w:rPr>
  </w:style>
  <w:style w:type="character" w:customStyle="1" w:styleId="52">
    <w:name w:val="正文文本缩进 字符"/>
    <w:link w:val="21"/>
    <w:qFormat/>
    <w:uiPriority w:val="0"/>
    <w:rPr>
      <w:rFonts w:eastAsia="宋体"/>
      <w:kern w:val="2"/>
      <w:sz w:val="24"/>
      <w:szCs w:val="24"/>
      <w:lang w:val="en-US" w:eastAsia="zh-CN" w:bidi="ar-SA"/>
    </w:rPr>
  </w:style>
  <w:style w:type="character" w:customStyle="1" w:styleId="53">
    <w:name w:val="纯文本 字符"/>
    <w:link w:val="25"/>
    <w:qFormat/>
    <w:uiPriority w:val="0"/>
    <w:rPr>
      <w:rFonts w:ascii="宋体" w:hAnsi="Courier New" w:eastAsia="宋体"/>
      <w:kern w:val="2"/>
      <w:sz w:val="21"/>
      <w:szCs w:val="21"/>
      <w:lang w:val="en-US" w:eastAsia="zh-CN" w:bidi="ar-SA"/>
    </w:rPr>
  </w:style>
  <w:style w:type="character" w:customStyle="1" w:styleId="54">
    <w:name w:val="页脚 字符"/>
    <w:link w:val="29"/>
    <w:qFormat/>
    <w:uiPriority w:val="99"/>
    <w:rPr>
      <w:kern w:val="2"/>
      <w:sz w:val="18"/>
      <w:szCs w:val="18"/>
    </w:rPr>
  </w:style>
  <w:style w:type="character" w:customStyle="1" w:styleId="55">
    <w:name w:val="正文文本 Char1_0_0"/>
    <w:link w:val="56"/>
    <w:qFormat/>
    <w:uiPriority w:val="0"/>
    <w:rPr>
      <w:rFonts w:ascii="Times New Roman" w:hAnsi="Times New Roman" w:eastAsia="宋体" w:cs="Times New Roman"/>
      <w:szCs w:val="24"/>
    </w:rPr>
  </w:style>
  <w:style w:type="paragraph" w:customStyle="1" w:styleId="56">
    <w:name w:val="正文文本_0_0"/>
    <w:basedOn w:val="57"/>
    <w:link w:val="55"/>
    <w:qFormat/>
    <w:uiPriority w:val="0"/>
    <w:pPr>
      <w:spacing w:after="120"/>
    </w:pPr>
    <w:rPr>
      <w:kern w:val="0"/>
      <w:sz w:val="20"/>
    </w:rPr>
  </w:style>
  <w:style w:type="paragraph" w:customStyle="1" w:styleId="57">
    <w:name w:val="正文_4"/>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58">
    <w:name w:val="正文文本 Char1_1"/>
    <w:link w:val="59"/>
    <w:qFormat/>
    <w:uiPriority w:val="0"/>
    <w:rPr>
      <w:rFonts w:ascii="Times New Roman" w:hAnsi="Times New Roman" w:eastAsia="宋体" w:cs="Times New Roman"/>
      <w:szCs w:val="24"/>
    </w:rPr>
  </w:style>
  <w:style w:type="paragraph" w:customStyle="1" w:styleId="59">
    <w:name w:val="正文文本_1"/>
    <w:basedOn w:val="60"/>
    <w:link w:val="58"/>
    <w:qFormat/>
    <w:uiPriority w:val="0"/>
    <w:pPr>
      <w:spacing w:after="120"/>
    </w:pPr>
    <w:rPr>
      <w:kern w:val="0"/>
      <w:sz w:val="20"/>
    </w:rPr>
  </w:style>
  <w:style w:type="paragraph" w:customStyle="1" w:styleId="60">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61">
    <w:name w:val="正文_1_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62">
    <w:name w:val="日期 Char"/>
    <w:link w:val="63"/>
    <w:qFormat/>
    <w:uiPriority w:val="0"/>
    <w:rPr>
      <w:rFonts w:ascii="Times New Roman" w:hAnsi="Times New Roman" w:eastAsia="宋体" w:cs="Times New Roman"/>
      <w:szCs w:val="24"/>
    </w:rPr>
  </w:style>
  <w:style w:type="paragraph" w:customStyle="1" w:styleId="63">
    <w:name w:val="日期_0"/>
    <w:basedOn w:val="64"/>
    <w:next w:val="64"/>
    <w:link w:val="62"/>
    <w:qFormat/>
    <w:uiPriority w:val="0"/>
    <w:pPr>
      <w:ind w:left="100" w:leftChars="2500"/>
    </w:pPr>
    <w:rPr>
      <w:kern w:val="0"/>
      <w:sz w:val="20"/>
    </w:rPr>
  </w:style>
  <w:style w:type="paragraph" w:customStyle="1" w:styleId="64">
    <w:name w:val="正文_6"/>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65">
    <w:name w:val="标题 3 Char_0_0_0"/>
    <w:link w:val="66"/>
    <w:qFormat/>
    <w:uiPriority w:val="0"/>
    <w:rPr>
      <w:rFonts w:ascii="宋体" w:hAnsi="宋体" w:eastAsia="宋体" w:cs="Times New Roman"/>
      <w:b/>
      <w:sz w:val="28"/>
      <w:szCs w:val="28"/>
    </w:rPr>
  </w:style>
  <w:style w:type="paragraph" w:customStyle="1" w:styleId="66">
    <w:name w:val="标题 3_0_0_0"/>
    <w:basedOn w:val="67"/>
    <w:next w:val="67"/>
    <w:link w:val="65"/>
    <w:qFormat/>
    <w:uiPriority w:val="0"/>
    <w:pPr>
      <w:autoSpaceDE w:val="0"/>
      <w:autoSpaceDN w:val="0"/>
      <w:adjustRightInd w:val="0"/>
      <w:spacing w:line="500" w:lineRule="exact"/>
      <w:jc w:val="center"/>
      <w:outlineLvl w:val="2"/>
    </w:pPr>
    <w:rPr>
      <w:rFonts w:ascii="宋体" w:hAnsi="宋体"/>
      <w:b/>
      <w:kern w:val="0"/>
      <w:szCs w:val="28"/>
    </w:rPr>
  </w:style>
  <w:style w:type="paragraph" w:customStyle="1" w:styleId="67">
    <w:name w:val="正文_0_0_0_0"/>
    <w:qFormat/>
    <w:uiPriority w:val="0"/>
    <w:pPr>
      <w:widowControl w:val="0"/>
      <w:jc w:val="both"/>
    </w:pPr>
    <w:rPr>
      <w:rFonts w:ascii="Calibri" w:hAnsi="Calibri" w:eastAsia="宋体" w:cs="Times New Roman"/>
      <w:kern w:val="2"/>
      <w:sz w:val="28"/>
      <w:szCs w:val="22"/>
      <w:lang w:val="en-US" w:eastAsia="zh-CN" w:bidi="ar-SA"/>
    </w:rPr>
  </w:style>
  <w:style w:type="character" w:customStyle="1" w:styleId="68">
    <w:name w:val="正文文本缩进 Char_1"/>
    <w:link w:val="69"/>
    <w:qFormat/>
    <w:uiPriority w:val="0"/>
    <w:rPr>
      <w:rFonts w:ascii="Times New Roman" w:hAnsi="Times New Roman" w:eastAsia="宋体" w:cs="Times New Roman"/>
      <w:sz w:val="24"/>
      <w:szCs w:val="24"/>
    </w:rPr>
  </w:style>
  <w:style w:type="paragraph" w:customStyle="1" w:styleId="69">
    <w:name w:val="正文文本缩进_1"/>
    <w:basedOn w:val="70"/>
    <w:link w:val="68"/>
    <w:qFormat/>
    <w:uiPriority w:val="0"/>
    <w:pPr>
      <w:spacing w:line="500" w:lineRule="exact"/>
      <w:ind w:left="1588" w:leftChars="832" w:firstLine="433" w:firstLineChars="196"/>
    </w:pPr>
    <w:rPr>
      <w:kern w:val="0"/>
      <w:sz w:val="24"/>
    </w:rPr>
  </w:style>
  <w:style w:type="paragraph" w:customStyle="1" w:styleId="70">
    <w:name w:val="正文_7"/>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71">
    <w:name w:val="标题 3 Char_0_1"/>
    <w:link w:val="72"/>
    <w:qFormat/>
    <w:uiPriority w:val="0"/>
    <w:rPr>
      <w:rFonts w:ascii="宋体" w:hAnsi="宋体" w:eastAsia="宋体" w:cs="Times New Roman"/>
      <w:b/>
      <w:sz w:val="28"/>
      <w:szCs w:val="28"/>
    </w:rPr>
  </w:style>
  <w:style w:type="paragraph" w:customStyle="1" w:styleId="72">
    <w:name w:val="标题 3_0_1"/>
    <w:basedOn w:val="73"/>
    <w:next w:val="73"/>
    <w:link w:val="71"/>
    <w:qFormat/>
    <w:uiPriority w:val="0"/>
    <w:pPr>
      <w:autoSpaceDE w:val="0"/>
      <w:autoSpaceDN w:val="0"/>
      <w:adjustRightInd w:val="0"/>
      <w:spacing w:line="500" w:lineRule="exact"/>
      <w:jc w:val="center"/>
      <w:outlineLvl w:val="2"/>
    </w:pPr>
    <w:rPr>
      <w:rFonts w:ascii="宋体" w:hAnsi="宋体"/>
      <w:b/>
      <w:kern w:val="0"/>
      <w:szCs w:val="28"/>
    </w:rPr>
  </w:style>
  <w:style w:type="paragraph" w:customStyle="1" w:styleId="73">
    <w:name w:val="正文_0_0_1"/>
    <w:qFormat/>
    <w:uiPriority w:val="0"/>
    <w:pPr>
      <w:widowControl w:val="0"/>
      <w:jc w:val="both"/>
    </w:pPr>
    <w:rPr>
      <w:rFonts w:ascii="Calibri" w:hAnsi="Calibri" w:eastAsia="宋体" w:cs="Times New Roman"/>
      <w:kern w:val="2"/>
      <w:sz w:val="28"/>
      <w:szCs w:val="22"/>
      <w:lang w:val="en-US" w:eastAsia="zh-CN" w:bidi="ar-SA"/>
    </w:rPr>
  </w:style>
  <w:style w:type="character" w:customStyle="1" w:styleId="74">
    <w:name w:val="Char Char6"/>
    <w:qFormat/>
    <w:uiPriority w:val="0"/>
    <w:rPr>
      <w:rFonts w:eastAsia="宋体"/>
      <w:kern w:val="2"/>
      <w:sz w:val="21"/>
      <w:szCs w:val="24"/>
      <w:lang w:val="en-US" w:eastAsia="zh-CN" w:bidi="ar-SA"/>
    </w:rPr>
  </w:style>
  <w:style w:type="character" w:customStyle="1" w:styleId="75">
    <w:name w:val="正文文本缩进 Char_0_0"/>
    <w:link w:val="76"/>
    <w:qFormat/>
    <w:uiPriority w:val="0"/>
    <w:rPr>
      <w:rFonts w:ascii="Times New Roman" w:hAnsi="Times New Roman" w:eastAsia="宋体" w:cs="Times New Roman"/>
      <w:sz w:val="24"/>
      <w:szCs w:val="24"/>
    </w:rPr>
  </w:style>
  <w:style w:type="paragraph" w:customStyle="1" w:styleId="76">
    <w:name w:val="正文文本缩进_0_0"/>
    <w:basedOn w:val="57"/>
    <w:link w:val="75"/>
    <w:qFormat/>
    <w:uiPriority w:val="0"/>
    <w:pPr>
      <w:spacing w:line="500" w:lineRule="exact"/>
      <w:ind w:left="1588" w:leftChars="832" w:firstLine="433" w:firstLineChars="196"/>
    </w:pPr>
    <w:rPr>
      <w:kern w:val="0"/>
      <w:sz w:val="24"/>
    </w:rPr>
  </w:style>
  <w:style w:type="character" w:customStyle="1" w:styleId="77">
    <w:name w:val="正文文本缩进 Char_5"/>
    <w:link w:val="78"/>
    <w:qFormat/>
    <w:uiPriority w:val="0"/>
    <w:rPr>
      <w:rFonts w:ascii="Times New Roman" w:hAnsi="Times New Roman" w:eastAsia="宋体" w:cs="Times New Roman"/>
      <w:sz w:val="24"/>
      <w:szCs w:val="24"/>
    </w:rPr>
  </w:style>
  <w:style w:type="paragraph" w:customStyle="1" w:styleId="78">
    <w:name w:val="正文文本缩进_5"/>
    <w:basedOn w:val="79"/>
    <w:link w:val="77"/>
    <w:qFormat/>
    <w:uiPriority w:val="0"/>
    <w:pPr>
      <w:spacing w:line="500" w:lineRule="exact"/>
      <w:ind w:left="1588" w:leftChars="832" w:firstLine="433" w:firstLineChars="196"/>
    </w:pPr>
    <w:rPr>
      <w:kern w:val="0"/>
      <w:sz w:val="24"/>
    </w:rPr>
  </w:style>
  <w:style w:type="paragraph" w:customStyle="1" w:styleId="79">
    <w:name w:val="正文_13"/>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80">
    <w:name w:val="正文文本缩进 Char_0"/>
    <w:link w:val="81"/>
    <w:qFormat/>
    <w:uiPriority w:val="0"/>
    <w:rPr>
      <w:rFonts w:ascii="Times New Roman" w:hAnsi="Times New Roman" w:eastAsia="宋体" w:cs="Times New Roman"/>
      <w:sz w:val="24"/>
      <w:szCs w:val="24"/>
    </w:rPr>
  </w:style>
  <w:style w:type="paragraph" w:customStyle="1" w:styleId="81">
    <w:name w:val="正文文本缩进_0"/>
    <w:basedOn w:val="82"/>
    <w:link w:val="80"/>
    <w:qFormat/>
    <w:uiPriority w:val="0"/>
    <w:pPr>
      <w:spacing w:line="500" w:lineRule="exact"/>
      <w:ind w:left="1588" w:leftChars="832" w:firstLine="433" w:firstLineChars="196"/>
    </w:pPr>
    <w:rPr>
      <w:kern w:val="0"/>
      <w:sz w:val="24"/>
    </w:rPr>
  </w:style>
  <w:style w:type="paragraph" w:customStyle="1" w:styleId="82">
    <w:name w:val="正文_2"/>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83">
    <w:name w:val="正文文本缩进 Char_4"/>
    <w:link w:val="84"/>
    <w:qFormat/>
    <w:uiPriority w:val="0"/>
    <w:rPr>
      <w:rFonts w:ascii="Times New Roman" w:hAnsi="Times New Roman" w:eastAsia="宋体" w:cs="Times New Roman"/>
      <w:sz w:val="24"/>
      <w:szCs w:val="24"/>
    </w:rPr>
  </w:style>
  <w:style w:type="paragraph" w:customStyle="1" w:styleId="84">
    <w:name w:val="正文文本缩进_4"/>
    <w:basedOn w:val="85"/>
    <w:link w:val="83"/>
    <w:qFormat/>
    <w:uiPriority w:val="0"/>
    <w:pPr>
      <w:spacing w:line="500" w:lineRule="exact"/>
      <w:ind w:left="1588" w:leftChars="832" w:firstLine="433" w:firstLineChars="196"/>
    </w:pPr>
    <w:rPr>
      <w:kern w:val="0"/>
      <w:sz w:val="24"/>
    </w:rPr>
  </w:style>
  <w:style w:type="paragraph" w:customStyle="1" w:styleId="85">
    <w:name w:val="正文_12"/>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86">
    <w:name w:val="标题 3 Char_0"/>
    <w:link w:val="87"/>
    <w:qFormat/>
    <w:uiPriority w:val="0"/>
    <w:rPr>
      <w:rFonts w:ascii="宋体" w:hAnsi="宋体"/>
      <w:b/>
      <w:kern w:val="2"/>
      <w:sz w:val="28"/>
      <w:szCs w:val="28"/>
    </w:rPr>
  </w:style>
  <w:style w:type="paragraph" w:customStyle="1" w:styleId="87">
    <w:name w:val="标题 3_0"/>
    <w:basedOn w:val="88"/>
    <w:next w:val="88"/>
    <w:link w:val="86"/>
    <w:qFormat/>
    <w:uiPriority w:val="0"/>
    <w:pPr>
      <w:autoSpaceDE w:val="0"/>
      <w:autoSpaceDN w:val="0"/>
      <w:adjustRightInd w:val="0"/>
      <w:spacing w:line="500" w:lineRule="exact"/>
      <w:jc w:val="center"/>
      <w:outlineLvl w:val="2"/>
    </w:pPr>
    <w:rPr>
      <w:rFonts w:ascii="宋体" w:hAnsi="宋体"/>
      <w:b/>
      <w:szCs w:val="28"/>
    </w:rPr>
  </w:style>
  <w:style w:type="paragraph" w:customStyle="1" w:styleId="88">
    <w:name w:val="正文_0_0"/>
    <w:qFormat/>
    <w:uiPriority w:val="0"/>
    <w:pPr>
      <w:widowControl w:val="0"/>
      <w:jc w:val="both"/>
    </w:pPr>
    <w:rPr>
      <w:rFonts w:ascii="Calibri" w:hAnsi="Calibri" w:eastAsia="宋体" w:cs="Times New Roman"/>
      <w:kern w:val="2"/>
      <w:sz w:val="28"/>
      <w:szCs w:val="22"/>
      <w:lang w:val="en-US" w:eastAsia="zh-CN" w:bidi="ar-SA"/>
    </w:rPr>
  </w:style>
  <w:style w:type="character" w:customStyle="1" w:styleId="89">
    <w:name w:val="标题 3 Char_0_0"/>
    <w:link w:val="90"/>
    <w:qFormat/>
    <w:uiPriority w:val="0"/>
    <w:rPr>
      <w:rFonts w:ascii="宋体" w:hAnsi="宋体" w:eastAsia="宋体" w:cs="Times New Roman"/>
      <w:b/>
      <w:sz w:val="28"/>
      <w:szCs w:val="28"/>
    </w:rPr>
  </w:style>
  <w:style w:type="paragraph" w:customStyle="1" w:styleId="90">
    <w:name w:val="标题 3_0_0"/>
    <w:basedOn w:val="91"/>
    <w:next w:val="91"/>
    <w:link w:val="89"/>
    <w:qFormat/>
    <w:uiPriority w:val="0"/>
    <w:pPr>
      <w:autoSpaceDE w:val="0"/>
      <w:autoSpaceDN w:val="0"/>
      <w:adjustRightInd w:val="0"/>
      <w:spacing w:line="500" w:lineRule="exact"/>
      <w:jc w:val="center"/>
      <w:outlineLvl w:val="2"/>
    </w:pPr>
    <w:rPr>
      <w:rFonts w:ascii="宋体" w:hAnsi="宋体"/>
      <w:b/>
      <w:kern w:val="0"/>
      <w:szCs w:val="28"/>
    </w:rPr>
  </w:style>
  <w:style w:type="paragraph" w:customStyle="1" w:styleId="91">
    <w:name w:val="正文_0_0_0"/>
    <w:qFormat/>
    <w:uiPriority w:val="0"/>
    <w:pPr>
      <w:widowControl w:val="0"/>
      <w:jc w:val="both"/>
    </w:pPr>
    <w:rPr>
      <w:rFonts w:ascii="Calibri" w:hAnsi="Calibri" w:eastAsia="宋体" w:cs="Times New Roman"/>
      <w:kern w:val="2"/>
      <w:sz w:val="28"/>
      <w:szCs w:val="22"/>
      <w:lang w:val="en-US" w:eastAsia="zh-CN" w:bidi="ar-SA"/>
    </w:rPr>
  </w:style>
  <w:style w:type="character" w:customStyle="1" w:styleId="92">
    <w:name w:val="正文文本缩进 Char_3"/>
    <w:link w:val="93"/>
    <w:qFormat/>
    <w:uiPriority w:val="0"/>
    <w:rPr>
      <w:rFonts w:ascii="Times New Roman" w:hAnsi="Times New Roman" w:eastAsia="宋体" w:cs="Times New Roman"/>
      <w:sz w:val="24"/>
      <w:szCs w:val="24"/>
    </w:rPr>
  </w:style>
  <w:style w:type="paragraph" w:customStyle="1" w:styleId="93">
    <w:name w:val="正文文本缩进_3"/>
    <w:basedOn w:val="94"/>
    <w:link w:val="92"/>
    <w:qFormat/>
    <w:uiPriority w:val="0"/>
    <w:pPr>
      <w:spacing w:line="500" w:lineRule="exact"/>
      <w:ind w:left="1588" w:leftChars="832" w:firstLine="433" w:firstLineChars="196"/>
    </w:pPr>
    <w:rPr>
      <w:kern w:val="0"/>
      <w:sz w:val="24"/>
    </w:rPr>
  </w:style>
  <w:style w:type="paragraph" w:customStyle="1" w:styleId="94">
    <w:name w:val="正文_1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95">
    <w:name w:val="正文文本 Char1_1_0"/>
    <w:link w:val="96"/>
    <w:qFormat/>
    <w:uiPriority w:val="0"/>
    <w:rPr>
      <w:rFonts w:ascii="Times New Roman" w:hAnsi="Times New Roman" w:eastAsia="宋体" w:cs="Times New Roman"/>
      <w:szCs w:val="24"/>
    </w:rPr>
  </w:style>
  <w:style w:type="paragraph" w:customStyle="1" w:styleId="96">
    <w:name w:val="正文文本_1_0"/>
    <w:basedOn w:val="64"/>
    <w:link w:val="95"/>
    <w:qFormat/>
    <w:uiPriority w:val="0"/>
    <w:pPr>
      <w:spacing w:after="120"/>
    </w:pPr>
    <w:rPr>
      <w:kern w:val="0"/>
      <w:sz w:val="20"/>
    </w:rPr>
  </w:style>
  <w:style w:type="character" w:customStyle="1" w:styleId="97">
    <w:name w:val="正文文本缩进 Char_2"/>
    <w:link w:val="98"/>
    <w:qFormat/>
    <w:uiPriority w:val="0"/>
    <w:rPr>
      <w:rFonts w:ascii="Times New Roman" w:hAnsi="Times New Roman" w:eastAsia="宋体" w:cs="Times New Roman"/>
      <w:sz w:val="24"/>
      <w:szCs w:val="24"/>
    </w:rPr>
  </w:style>
  <w:style w:type="paragraph" w:customStyle="1" w:styleId="98">
    <w:name w:val="正文文本缩进_2"/>
    <w:basedOn w:val="99"/>
    <w:link w:val="97"/>
    <w:qFormat/>
    <w:uiPriority w:val="0"/>
    <w:pPr>
      <w:spacing w:line="500" w:lineRule="exact"/>
      <w:ind w:left="1588" w:leftChars="832" w:firstLine="433" w:firstLineChars="196"/>
    </w:pPr>
    <w:rPr>
      <w:kern w:val="0"/>
      <w:sz w:val="24"/>
    </w:rPr>
  </w:style>
  <w:style w:type="paragraph" w:customStyle="1" w:styleId="99">
    <w:name w:val="正文_8"/>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00">
    <w:name w:val="正文文本 Char1_0"/>
    <w:link w:val="101"/>
    <w:qFormat/>
    <w:locked/>
    <w:uiPriority w:val="0"/>
    <w:rPr>
      <w:szCs w:val="24"/>
    </w:rPr>
  </w:style>
  <w:style w:type="paragraph" w:customStyle="1" w:styleId="101">
    <w:name w:val="正文文本_0"/>
    <w:basedOn w:val="102"/>
    <w:link w:val="100"/>
    <w:qFormat/>
    <w:uiPriority w:val="0"/>
    <w:pPr>
      <w:spacing w:after="120"/>
    </w:pPr>
    <w:rPr>
      <w:kern w:val="0"/>
      <w:sz w:val="20"/>
    </w:rPr>
  </w:style>
  <w:style w:type="paragraph" w:customStyle="1" w:styleId="102">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03">
    <w:name w:val="Char Char3"/>
    <w:qFormat/>
    <w:uiPriority w:val="0"/>
    <w:rPr>
      <w:rFonts w:eastAsia="宋体"/>
      <w:kern w:val="2"/>
      <w:sz w:val="21"/>
      <w:szCs w:val="24"/>
      <w:lang w:val="en-US" w:eastAsia="zh-CN" w:bidi="ar-SA"/>
    </w:rPr>
  </w:style>
  <w:style w:type="character" w:customStyle="1" w:styleId="104">
    <w:name w:val="正文文本 Char1_2"/>
    <w:link w:val="105"/>
    <w:qFormat/>
    <w:uiPriority w:val="0"/>
    <w:rPr>
      <w:rFonts w:ascii="Times New Roman" w:hAnsi="Times New Roman" w:eastAsia="宋体" w:cs="Times New Roman"/>
      <w:szCs w:val="24"/>
    </w:rPr>
  </w:style>
  <w:style w:type="paragraph" w:customStyle="1" w:styleId="105">
    <w:name w:val="正文文本_2"/>
    <w:basedOn w:val="70"/>
    <w:link w:val="104"/>
    <w:qFormat/>
    <w:uiPriority w:val="0"/>
    <w:pPr>
      <w:spacing w:after="120"/>
    </w:pPr>
    <w:rPr>
      <w:kern w:val="0"/>
      <w:sz w:val="20"/>
    </w:rPr>
  </w:style>
  <w:style w:type="paragraph" w:customStyle="1" w:styleId="106">
    <w:name w:val="Normal_1"/>
    <w:qFormat/>
    <w:uiPriority w:val="0"/>
    <w:rPr>
      <w:rFonts w:ascii="黑体" w:hAnsi="黑体" w:eastAsia="黑体" w:cs="Times New Roman"/>
      <w:b/>
      <w:sz w:val="32"/>
      <w:szCs w:val="24"/>
      <w:lang w:val="en-US" w:eastAsia="zh-CN" w:bidi="ar-SA"/>
    </w:rPr>
  </w:style>
  <w:style w:type="paragraph" w:customStyle="1" w:styleId="107">
    <w:name w:val="题注_0"/>
    <w:basedOn w:val="85"/>
    <w:next w:val="85"/>
    <w:qFormat/>
    <w:uiPriority w:val="0"/>
    <w:pPr>
      <w:spacing w:before="152" w:after="160"/>
    </w:pPr>
    <w:rPr>
      <w:rFonts w:ascii="Arial" w:hAnsi="Arial" w:eastAsia="黑体" w:cs="Arial"/>
      <w:sz w:val="20"/>
      <w:szCs w:val="20"/>
    </w:rPr>
  </w:style>
  <w:style w:type="paragraph" w:customStyle="1" w:styleId="108">
    <w:name w:val="Normal_12"/>
    <w:qFormat/>
    <w:uiPriority w:val="0"/>
    <w:rPr>
      <w:rFonts w:ascii="黑体" w:hAnsi="黑体" w:eastAsia="黑体" w:cs="Times New Roman"/>
      <w:b/>
      <w:sz w:val="32"/>
      <w:szCs w:val="24"/>
      <w:lang w:val="en-US" w:eastAsia="zh-CN" w:bidi="ar-SA"/>
    </w:rPr>
  </w:style>
  <w:style w:type="paragraph" w:customStyle="1" w:styleId="109">
    <w:name w:val="正文_9"/>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0">
    <w:name w:val="Char Char Char Char Char Char"/>
    <w:basedOn w:val="15"/>
    <w:qFormat/>
    <w:uiPriority w:val="0"/>
    <w:rPr>
      <w:rFonts w:ascii="Tahoma" w:hAnsi="Tahoma"/>
      <w:sz w:val="24"/>
    </w:rPr>
  </w:style>
  <w:style w:type="paragraph" w:customStyle="1" w:styleId="111">
    <w:name w:val="Normal_6"/>
    <w:qFormat/>
    <w:uiPriority w:val="0"/>
    <w:rPr>
      <w:rFonts w:ascii="黑体" w:hAnsi="黑体" w:eastAsia="黑体" w:cs="Times New Roman"/>
      <w:b/>
      <w:sz w:val="32"/>
      <w:szCs w:val="24"/>
      <w:lang w:val="en-US" w:eastAsia="zh-CN" w:bidi="ar-SA"/>
    </w:rPr>
  </w:style>
  <w:style w:type="paragraph" w:customStyle="1" w:styleId="112">
    <w:name w:val="Normal_10"/>
    <w:qFormat/>
    <w:uiPriority w:val="0"/>
    <w:rPr>
      <w:rFonts w:ascii="黑体" w:hAnsi="黑体" w:eastAsia="黑体" w:cs="Times New Roman"/>
      <w:b/>
      <w:sz w:val="32"/>
      <w:szCs w:val="24"/>
      <w:lang w:val="en-US" w:eastAsia="zh-CN" w:bidi="ar-SA"/>
    </w:rPr>
  </w:style>
  <w:style w:type="paragraph" w:customStyle="1" w:styleId="113">
    <w:name w:val="Normal_5"/>
    <w:qFormat/>
    <w:uiPriority w:val="0"/>
    <w:rPr>
      <w:rFonts w:ascii="黑体" w:hAnsi="黑体" w:eastAsia="黑体" w:cs="Times New Roman"/>
      <w:b/>
      <w:sz w:val="32"/>
      <w:szCs w:val="24"/>
      <w:lang w:val="en-US" w:eastAsia="zh-CN" w:bidi="ar-SA"/>
    </w:rPr>
  </w:style>
  <w:style w:type="paragraph" w:customStyle="1" w:styleId="114">
    <w:name w:val="正文1"/>
    <w:qFormat/>
    <w:uiPriority w:val="0"/>
    <w:rPr>
      <w:rFonts w:ascii="Times New Roman" w:hAnsi="Times New Roman" w:eastAsia="Times New Roman" w:cs="Times New Roman"/>
      <w:sz w:val="24"/>
      <w:szCs w:val="24"/>
      <w:lang w:val="en-US" w:eastAsia="zh-CN" w:bidi="ar-SA"/>
    </w:rPr>
  </w:style>
  <w:style w:type="paragraph" w:customStyle="1" w:styleId="115">
    <w:name w:val="Char Char Char1 Char8"/>
    <w:basedOn w:val="1"/>
    <w:semiHidden/>
    <w:qFormat/>
    <w:uiPriority w:val="0"/>
    <w:pPr>
      <w:spacing w:line="360" w:lineRule="auto"/>
      <w:ind w:firstLine="200" w:firstLineChars="200"/>
    </w:pPr>
    <w:rPr>
      <w:rFonts w:ascii="宋体" w:hAnsi="宋体" w:cs="宋体"/>
      <w:sz w:val="24"/>
    </w:rPr>
  </w:style>
  <w:style w:type="paragraph" w:customStyle="1" w:styleId="116">
    <w:name w:val="正文_1"/>
    <w:link w:val="117"/>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17">
    <w:name w:val="正文_1 Char"/>
    <w:link w:val="116"/>
    <w:qFormat/>
    <w:uiPriority w:val="0"/>
    <w:rPr>
      <w:kern w:val="2"/>
      <w:sz w:val="21"/>
      <w:szCs w:val="24"/>
      <w:lang w:val="en-US" w:eastAsia="zh-CN" w:bidi="ar-SA"/>
    </w:rPr>
  </w:style>
  <w:style w:type="paragraph" w:customStyle="1" w:styleId="118">
    <w:name w:val="Normal_7"/>
    <w:qFormat/>
    <w:uiPriority w:val="0"/>
    <w:rPr>
      <w:rFonts w:ascii="黑体" w:hAnsi="黑体" w:eastAsia="黑体" w:cs="Times New Roman"/>
      <w:b/>
      <w:sz w:val="32"/>
      <w:szCs w:val="24"/>
      <w:lang w:val="en-US" w:eastAsia="zh-CN" w:bidi="ar-SA"/>
    </w:rPr>
  </w:style>
  <w:style w:type="paragraph" w:customStyle="1" w:styleId="119">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0">
    <w:name w:val="Normal_9"/>
    <w:qFormat/>
    <w:uiPriority w:val="0"/>
    <w:rPr>
      <w:rFonts w:ascii="黑体" w:hAnsi="黑体" w:eastAsia="黑体" w:cs="Times New Roman"/>
      <w:b/>
      <w:sz w:val="32"/>
      <w:szCs w:val="24"/>
      <w:lang w:val="en-US" w:eastAsia="zh-CN" w:bidi="ar-SA"/>
    </w:rPr>
  </w:style>
  <w:style w:type="paragraph" w:customStyle="1" w:styleId="121">
    <w:name w:val="Char Char2"/>
    <w:basedOn w:val="1"/>
    <w:qFormat/>
    <w:uiPriority w:val="0"/>
    <w:pPr>
      <w:widowControl/>
      <w:spacing w:after="160" w:line="240" w:lineRule="exact"/>
      <w:jc w:val="left"/>
    </w:pPr>
    <w:rPr>
      <w:rFonts w:ascii="Verdana" w:hAnsi="Verdana"/>
      <w:kern w:val="0"/>
      <w:sz w:val="20"/>
      <w:szCs w:val="20"/>
      <w:lang w:eastAsia="en-US"/>
    </w:rPr>
  </w:style>
  <w:style w:type="paragraph" w:customStyle="1" w:styleId="122">
    <w:name w:val="正文_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3">
    <w:name w:val="Normal_17"/>
    <w:qFormat/>
    <w:uiPriority w:val="0"/>
    <w:rPr>
      <w:rFonts w:ascii="黑体" w:hAnsi="黑体" w:eastAsia="黑体" w:cs="Times New Roman"/>
      <w:b/>
      <w:sz w:val="32"/>
      <w:szCs w:val="24"/>
      <w:lang w:val="en-US" w:eastAsia="zh-CN" w:bidi="ar-SA"/>
    </w:rPr>
  </w:style>
  <w:style w:type="paragraph" w:customStyle="1" w:styleId="124">
    <w:name w:val="样式 标题 4 + 段前: 5 磅 段后: 5 磅 行距: 单倍行距"/>
    <w:basedOn w:val="6"/>
    <w:qFormat/>
    <w:uiPriority w:val="0"/>
    <w:pPr>
      <w:spacing w:before="100" w:after="100" w:line="240" w:lineRule="auto"/>
    </w:pPr>
    <w:rPr>
      <w:rFonts w:cs="宋体"/>
      <w:szCs w:val="20"/>
    </w:rPr>
  </w:style>
  <w:style w:type="paragraph" w:customStyle="1" w:styleId="125">
    <w:name w:val="Normal_8"/>
    <w:qFormat/>
    <w:uiPriority w:val="0"/>
    <w:rPr>
      <w:rFonts w:ascii="黑体" w:hAnsi="黑体" w:eastAsia="黑体" w:cs="Times New Roman"/>
      <w:b/>
      <w:sz w:val="32"/>
      <w:szCs w:val="24"/>
      <w:lang w:val="en-US" w:eastAsia="zh-CN" w:bidi="ar-SA"/>
    </w:rPr>
  </w:style>
  <w:style w:type="paragraph" w:customStyle="1" w:styleId="126">
    <w:name w:val="_Style 117"/>
    <w:basedOn w:val="3"/>
    <w:next w:val="1"/>
    <w:qFormat/>
    <w:uiPriority w:val="39"/>
    <w:pPr>
      <w:widowControl/>
      <w:adjustRightInd/>
      <w:spacing w:before="480" w:after="0" w:line="276" w:lineRule="auto"/>
      <w:ind w:firstLine="0"/>
      <w:textAlignment w:val="auto"/>
      <w:outlineLvl w:val="9"/>
    </w:pPr>
    <w:rPr>
      <w:rFonts w:ascii="Cambria" w:hAnsi="Cambria"/>
      <w:color w:val="365F91"/>
      <w:kern w:val="0"/>
      <w:sz w:val="28"/>
      <w:szCs w:val="28"/>
    </w:rPr>
  </w:style>
  <w:style w:type="paragraph" w:customStyle="1" w:styleId="127">
    <w:name w:val="样式1"/>
    <w:basedOn w:val="1"/>
    <w:qFormat/>
    <w:uiPriority w:val="0"/>
    <w:pPr>
      <w:numPr>
        <w:ilvl w:val="0"/>
        <w:numId w:val="1"/>
      </w:numPr>
      <w:tabs>
        <w:tab w:val="left" w:pos="1110"/>
      </w:tabs>
      <w:adjustRightInd w:val="0"/>
      <w:textAlignment w:val="baseline"/>
    </w:pPr>
    <w:rPr>
      <w:rFonts w:ascii="宋体" w:hAnsi="宋体"/>
      <w:kern w:val="0"/>
      <w:szCs w:val="21"/>
    </w:rPr>
  </w:style>
  <w:style w:type="paragraph" w:customStyle="1" w:styleId="128">
    <w:name w:val="Normal_3"/>
    <w:qFormat/>
    <w:uiPriority w:val="0"/>
    <w:rPr>
      <w:rFonts w:ascii="黑体" w:hAnsi="黑体" w:eastAsia="黑体" w:cs="Times New Roman"/>
      <w:b/>
      <w:sz w:val="32"/>
      <w:szCs w:val="24"/>
      <w:lang w:val="en-US" w:eastAsia="zh-CN" w:bidi="ar-SA"/>
    </w:rPr>
  </w:style>
  <w:style w:type="paragraph" w:customStyle="1" w:styleId="129">
    <w:name w:val="Normal_18"/>
    <w:qFormat/>
    <w:uiPriority w:val="0"/>
    <w:rPr>
      <w:rFonts w:ascii="黑体" w:hAnsi="黑体" w:eastAsia="黑体" w:cs="Times New Roman"/>
      <w:b/>
      <w:sz w:val="32"/>
      <w:szCs w:val="24"/>
      <w:lang w:val="en-US" w:eastAsia="zh-CN" w:bidi="ar-SA"/>
    </w:rPr>
  </w:style>
  <w:style w:type="paragraph" w:customStyle="1" w:styleId="130">
    <w:name w:val="Normal_2"/>
    <w:qFormat/>
    <w:uiPriority w:val="0"/>
    <w:rPr>
      <w:rFonts w:ascii="黑体" w:hAnsi="黑体" w:eastAsia="黑体" w:cs="Times New Roman"/>
      <w:b/>
      <w:sz w:val="32"/>
      <w:szCs w:val="24"/>
      <w:lang w:val="en-US" w:eastAsia="zh-CN" w:bidi="ar-SA"/>
    </w:rPr>
  </w:style>
  <w:style w:type="paragraph" w:customStyle="1" w:styleId="131">
    <w:name w:val="Normal_15"/>
    <w:qFormat/>
    <w:uiPriority w:val="0"/>
    <w:rPr>
      <w:rFonts w:ascii="黑体" w:hAnsi="黑体" w:eastAsia="黑体" w:cs="Times New Roman"/>
      <w:b/>
      <w:sz w:val="32"/>
      <w:szCs w:val="24"/>
      <w:lang w:val="en-US" w:eastAsia="zh-CN" w:bidi="ar-SA"/>
    </w:rPr>
  </w:style>
  <w:style w:type="paragraph" w:customStyle="1" w:styleId="132">
    <w:name w:val="附件正文"/>
    <w:basedOn w:val="1"/>
    <w:qFormat/>
    <w:uiPriority w:val="0"/>
    <w:pPr>
      <w:snapToGrid w:val="0"/>
      <w:spacing w:line="500" w:lineRule="exact"/>
      <w:ind w:firstLine="540" w:firstLineChars="225"/>
    </w:pPr>
    <w:rPr>
      <w:kern w:val="0"/>
      <w:sz w:val="24"/>
    </w:rPr>
  </w:style>
  <w:style w:type="paragraph" w:customStyle="1" w:styleId="133">
    <w:name w:val="样式 标题 2 + 宋体 五号 非加粗 黑色"/>
    <w:basedOn w:val="4"/>
    <w:qFormat/>
    <w:uiPriority w:val="0"/>
    <w:rPr>
      <w:rFonts w:ascii="宋体" w:hAnsi="宋体" w:eastAsia="宋体"/>
      <w:b w:val="0"/>
      <w:bCs w:val="0"/>
      <w:color w:val="000000"/>
      <w:sz w:val="21"/>
    </w:rPr>
  </w:style>
  <w:style w:type="paragraph" w:customStyle="1" w:styleId="134">
    <w:name w:val="默认段落字体 Para Char Char Char Char Char Char Char Char Char Char Char Char Char Char Char Char"/>
    <w:basedOn w:val="1"/>
    <w:qFormat/>
    <w:uiPriority w:val="0"/>
    <w:rPr>
      <w:rFonts w:ascii="Tahoma" w:hAnsi="Tahoma"/>
      <w:sz w:val="24"/>
      <w:szCs w:val="20"/>
    </w:rPr>
  </w:style>
  <w:style w:type="paragraph" w:styleId="135">
    <w:name w:val="List Paragraph"/>
    <w:basedOn w:val="1"/>
    <w:qFormat/>
    <w:uiPriority w:val="34"/>
    <w:pPr>
      <w:ind w:firstLine="420" w:firstLineChars="200"/>
    </w:pPr>
  </w:style>
  <w:style w:type="paragraph" w:customStyle="1" w:styleId="136">
    <w:name w:val="Normal_14"/>
    <w:qFormat/>
    <w:uiPriority w:val="0"/>
    <w:rPr>
      <w:rFonts w:ascii="黑体" w:hAnsi="黑体" w:eastAsia="黑体" w:cs="Times New Roman"/>
      <w:b/>
      <w:sz w:val="32"/>
      <w:szCs w:val="24"/>
      <w:lang w:val="en-US" w:eastAsia="zh-CN" w:bidi="ar-SA"/>
    </w:rPr>
  </w:style>
  <w:style w:type="paragraph" w:customStyle="1" w:styleId="137">
    <w:name w:val="Normal_19"/>
    <w:qFormat/>
    <w:uiPriority w:val="0"/>
    <w:rPr>
      <w:rFonts w:ascii="黑体" w:hAnsi="黑体" w:eastAsia="黑体" w:cs="Times New Roman"/>
      <w:b/>
      <w:sz w:val="32"/>
      <w:szCs w:val="24"/>
      <w:lang w:val="en-US" w:eastAsia="zh-CN" w:bidi="ar-SA"/>
    </w:rPr>
  </w:style>
  <w:style w:type="paragraph" w:customStyle="1" w:styleId="138">
    <w:name w:val="Normal_16"/>
    <w:qFormat/>
    <w:uiPriority w:val="0"/>
    <w:rPr>
      <w:rFonts w:ascii="黑体" w:hAnsi="黑体" w:eastAsia="黑体" w:cs="Times New Roman"/>
      <w:b/>
      <w:sz w:val="32"/>
      <w:szCs w:val="24"/>
      <w:lang w:val="en-US" w:eastAsia="zh-CN" w:bidi="ar-SA"/>
    </w:rPr>
  </w:style>
  <w:style w:type="paragraph" w:customStyle="1" w:styleId="139">
    <w:name w:val="Normal_11"/>
    <w:qFormat/>
    <w:uiPriority w:val="0"/>
    <w:rPr>
      <w:rFonts w:ascii="黑体" w:hAnsi="黑体" w:eastAsia="黑体" w:cs="Times New Roman"/>
      <w:b/>
      <w:sz w:val="32"/>
      <w:szCs w:val="24"/>
      <w:lang w:val="en-US" w:eastAsia="zh-CN" w:bidi="ar-SA"/>
    </w:rPr>
  </w:style>
  <w:style w:type="paragraph" w:customStyle="1" w:styleId="140">
    <w:name w:val="Normal_0"/>
    <w:qFormat/>
    <w:uiPriority w:val="0"/>
    <w:rPr>
      <w:rFonts w:ascii="黑体" w:hAnsi="黑体" w:eastAsia="黑体" w:cs="Times New Roman"/>
      <w:b/>
      <w:sz w:val="32"/>
      <w:szCs w:val="24"/>
      <w:lang w:val="en-US" w:eastAsia="zh-CN" w:bidi="ar-SA"/>
    </w:rPr>
  </w:style>
  <w:style w:type="paragraph" w:customStyle="1" w:styleId="141">
    <w:name w:val="Char"/>
    <w:basedOn w:val="1"/>
    <w:qFormat/>
    <w:uiPriority w:val="0"/>
    <w:pPr>
      <w:tabs>
        <w:tab w:val="left" w:pos="360"/>
      </w:tabs>
      <w:spacing w:line="360" w:lineRule="auto"/>
      <w:ind w:firstLine="480" w:firstLineChars="200"/>
    </w:pPr>
    <w:rPr>
      <w:rFonts w:ascii="楷体_GB2312" w:eastAsia="楷体_GB2312"/>
      <w:sz w:val="24"/>
    </w:rPr>
  </w:style>
  <w:style w:type="paragraph" w:customStyle="1" w:styleId="142">
    <w:name w:val="正文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3">
    <w:name w:val="题注_0_0"/>
    <w:basedOn w:val="79"/>
    <w:next w:val="79"/>
    <w:qFormat/>
    <w:uiPriority w:val="0"/>
    <w:pPr>
      <w:spacing w:before="152" w:after="160"/>
    </w:pPr>
    <w:rPr>
      <w:rFonts w:ascii="Arial" w:hAnsi="Arial" w:eastAsia="黑体" w:cs="Arial"/>
      <w:sz w:val="20"/>
      <w:szCs w:val="20"/>
    </w:rPr>
  </w:style>
  <w:style w:type="paragraph" w:customStyle="1" w:styleId="144">
    <w:name w:val="Normal_13"/>
    <w:qFormat/>
    <w:uiPriority w:val="0"/>
    <w:rPr>
      <w:rFonts w:ascii="黑体" w:hAnsi="黑体" w:eastAsia="黑体" w:cs="Times New Roman"/>
      <w:b/>
      <w:sz w:val="32"/>
      <w:szCs w:val="24"/>
      <w:lang w:val="en-US" w:eastAsia="zh-CN" w:bidi="ar-SA"/>
    </w:rPr>
  </w:style>
  <w:style w:type="paragraph" w:customStyle="1" w:styleId="145">
    <w:name w:val="正文_1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6">
    <w:name w:val="Char1"/>
    <w:basedOn w:val="1"/>
    <w:qFormat/>
    <w:uiPriority w:val="0"/>
    <w:pPr>
      <w:tabs>
        <w:tab w:val="left" w:pos="432"/>
      </w:tabs>
      <w:spacing w:before="156" w:beforeLines="50" w:after="156" w:afterLines="50"/>
      <w:ind w:left="432" w:hanging="432"/>
    </w:pPr>
  </w:style>
  <w:style w:type="paragraph" w:customStyle="1" w:styleId="147">
    <w:name w:val="Normal_4"/>
    <w:qFormat/>
    <w:uiPriority w:val="0"/>
    <w:rPr>
      <w:rFonts w:ascii="黑体" w:hAnsi="黑体" w:eastAsia="黑体" w:cs="Times New Roman"/>
      <w:b/>
      <w:sz w:val="32"/>
      <w:szCs w:val="24"/>
      <w:lang w:val="en-US" w:eastAsia="zh-CN" w:bidi="ar-SA"/>
    </w:rPr>
  </w:style>
  <w:style w:type="paragraph" w:customStyle="1" w:styleId="148">
    <w:name w:val="Char Char Char"/>
    <w:basedOn w:val="1"/>
    <w:qFormat/>
    <w:uiPriority w:val="0"/>
    <w:pPr>
      <w:widowControl/>
      <w:spacing w:after="160" w:line="240" w:lineRule="exact"/>
      <w:jc w:val="left"/>
    </w:pPr>
  </w:style>
  <w:style w:type="paragraph" w:customStyle="1" w:styleId="149">
    <w:name w:val="正文_2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150">
    <w:name w:val="NormalCharacter"/>
    <w:link w:val="151"/>
    <w:qFormat/>
    <w:uiPriority w:val="0"/>
  </w:style>
  <w:style w:type="paragraph" w:customStyle="1" w:styleId="151">
    <w:name w:val="UserStyle_5"/>
    <w:basedOn w:val="1"/>
    <w:link w:val="150"/>
    <w:qFormat/>
    <w:uiPriority w:val="0"/>
    <w:pPr>
      <w:widowControl/>
      <w:spacing w:after="160" w:line="240" w:lineRule="exact"/>
      <w:jc w:val="left"/>
      <w:textAlignment w:val="baseline"/>
    </w:pPr>
  </w:style>
  <w:style w:type="paragraph" w:customStyle="1" w:styleId="152">
    <w:name w:val="179"/>
    <w:basedOn w:val="1"/>
    <w:qFormat/>
    <w:uiPriority w:val="0"/>
    <w:pPr>
      <w:ind w:firstLine="420" w:firstLineChars="200"/>
      <w:textAlignment w:val="baseline"/>
    </w:pPr>
  </w:style>
  <w:style w:type="paragraph" w:customStyle="1" w:styleId="153">
    <w:name w:val="正文_29_3_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4">
    <w:name w:val="正文_6_0"/>
    <w:basedOn w:val="155"/>
    <w:qFormat/>
    <w:uiPriority w:val="0"/>
  </w:style>
  <w:style w:type="paragraph" w:customStyle="1" w:styleId="155">
    <w:name w:val="正文_4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56">
    <w:name w:val="Normal_9_0"/>
    <w:basedOn w:val="155"/>
    <w:qFormat/>
    <w:uiPriority w:val="0"/>
    <w:pPr>
      <w:widowControl/>
      <w:jc w:val="left"/>
    </w:pPr>
    <w:rPr>
      <w:rFonts w:ascii="黑体" w:hAnsi="黑体" w:eastAsia="黑体" w:cs="宋体"/>
      <w:b/>
      <w:bCs/>
      <w:kern w:val="0"/>
      <w:sz w:val="32"/>
      <w:szCs w:val="32"/>
    </w:rPr>
  </w:style>
  <w:style w:type="paragraph" w:customStyle="1" w:styleId="157">
    <w:name w:val="正文_6_0_0"/>
    <w:basedOn w:val="155"/>
    <w:next w:val="158"/>
    <w:qFormat/>
    <w:uiPriority w:val="0"/>
    <w:rPr>
      <w:rFonts w:ascii="Times New Roman" w:hAnsi="Times New Roman"/>
      <w:szCs w:val="21"/>
    </w:rPr>
  </w:style>
  <w:style w:type="paragraph" w:customStyle="1" w:styleId="158">
    <w:name w:val="页脚_3"/>
    <w:basedOn w:val="157"/>
    <w:semiHidden/>
    <w:qFormat/>
    <w:uiPriority w:val="0"/>
    <w:pPr>
      <w:snapToGrid w:val="0"/>
      <w:jc w:val="left"/>
    </w:pPr>
    <w:rPr>
      <w:rFonts w:ascii="Calibri" w:hAnsi="Calibri" w:cs="Calibri"/>
      <w:sz w:val="18"/>
      <w:szCs w:val="18"/>
    </w:rPr>
  </w:style>
  <w:style w:type="paragraph" w:customStyle="1" w:styleId="159">
    <w:name w:val="正文_16"/>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0">
    <w:name w:val="正文_6_0_0_0"/>
    <w:basedOn w:val="155"/>
    <w:qFormat/>
    <w:uiPriority w:val="0"/>
    <w:rPr>
      <w:rFonts w:ascii="Times New Roman" w:hAnsi="Times New Roman"/>
      <w:szCs w:val="21"/>
    </w:rPr>
  </w:style>
  <w:style w:type="paragraph" w:customStyle="1" w:styleId="161">
    <w:name w:val="缺省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62">
    <w:name w:val="样式 样式 样式 样式 标题 2 + 宋体 五号 非加粗 黑色 + 段前: 6 磅 段后: 0 磅 行距: 单倍行距 + 段前:..."/>
    <w:basedOn w:val="1"/>
    <w:qFormat/>
    <w:uiPriority w:val="0"/>
    <w:pPr>
      <w:keepNext/>
      <w:keepLines/>
      <w:adjustRightInd w:val="0"/>
      <w:spacing w:before="240"/>
      <w:textAlignment w:val="baseline"/>
      <w:outlineLvl w:val="1"/>
    </w:pPr>
    <w:rPr>
      <w:rFonts w:ascii="宋体" w:hAnsi="宋体"/>
      <w:b/>
      <w:bCs/>
      <w:kern w:val="0"/>
    </w:rPr>
  </w:style>
  <w:style w:type="paragraph" w:customStyle="1" w:styleId="163">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64">
    <w:name w:val="Table Paragraph"/>
    <w:basedOn w:val="1"/>
    <w:qFormat/>
    <w:uiPriority w:val="1"/>
    <w:pPr>
      <w:autoSpaceDE w:val="0"/>
      <w:autoSpaceDN w:val="0"/>
      <w:adjustRightInd w:val="0"/>
      <w:jc w:val="left"/>
    </w:pPr>
    <w:rPr>
      <w:kern w:val="0"/>
      <w:sz w:val="24"/>
      <w:szCs w:val="24"/>
    </w:rPr>
  </w:style>
  <w:style w:type="paragraph" w:customStyle="1" w:styleId="165">
    <w:name w:val="正文11"/>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paragraph" w:customStyle="1" w:styleId="166">
    <w:name w:val="正文（首行缩进2字符）"/>
    <w:basedOn w:val="1"/>
    <w:qFormat/>
    <w:uiPriority w:val="0"/>
    <w:pPr>
      <w:spacing w:line="360" w:lineRule="auto"/>
      <w:ind w:firstLine="420" w:firstLineChars="200"/>
    </w:pPr>
    <w:rPr>
      <w:szCs w:val="21"/>
    </w:rPr>
  </w:style>
  <w:style w:type="character" w:customStyle="1" w:styleId="167">
    <w:name w:val="font51"/>
    <w:basedOn w:val="40"/>
    <w:qFormat/>
    <w:uiPriority w:val="0"/>
    <w:rPr>
      <w:rFonts w:ascii="Calibri" w:hAnsi="Calibri" w:cs="Calibri"/>
      <w:b/>
      <w:bCs/>
      <w:color w:val="000000"/>
      <w:sz w:val="21"/>
      <w:szCs w:val="21"/>
      <w:u w:val="none"/>
    </w:rPr>
  </w:style>
  <w:style w:type="character" w:customStyle="1" w:styleId="168">
    <w:name w:val="font41"/>
    <w:basedOn w:val="40"/>
    <w:qFormat/>
    <w:uiPriority w:val="0"/>
    <w:rPr>
      <w:rFonts w:hint="eastAsia" w:ascii="等线" w:hAnsi="等线" w:eastAsia="等线" w:cs="等线"/>
      <w:b/>
      <w:bCs/>
      <w:color w:val="000000"/>
      <w:sz w:val="18"/>
      <w:szCs w:val="18"/>
      <w:u w:val="none"/>
    </w:rPr>
  </w:style>
  <w:style w:type="character" w:customStyle="1" w:styleId="169">
    <w:name w:val="font01"/>
    <w:basedOn w:val="40"/>
    <w:qFormat/>
    <w:uiPriority w:val="0"/>
    <w:rPr>
      <w:rFonts w:hint="eastAsia" w:ascii="等线" w:hAnsi="等线" w:eastAsia="等线" w:cs="等线"/>
      <w:color w:val="000000"/>
      <w:sz w:val="18"/>
      <w:szCs w:val="18"/>
      <w:u w:val="none"/>
    </w:rPr>
  </w:style>
  <w:style w:type="character" w:customStyle="1" w:styleId="170">
    <w:name w:val="font31"/>
    <w:basedOn w:val="40"/>
    <w:qFormat/>
    <w:uiPriority w:val="0"/>
    <w:rPr>
      <w:rFonts w:ascii="Calibri" w:hAnsi="Calibri" w:cs="Calibri"/>
      <w:b/>
      <w:bCs/>
      <w:color w:val="000000"/>
      <w:sz w:val="21"/>
      <w:szCs w:val="21"/>
      <w:u w:val="none"/>
    </w:rPr>
  </w:style>
  <w:style w:type="paragraph" w:customStyle="1" w:styleId="171">
    <w:name w:val="Default Text"/>
    <w:qFormat/>
    <w:uiPriority w:val="0"/>
    <w:pPr>
      <w:widowControl w:val="0"/>
      <w:autoSpaceDE w:val="0"/>
      <w:autoSpaceDN w:val="0"/>
      <w:adjustRightInd w:val="0"/>
    </w:pPr>
    <w:rPr>
      <w:rFonts w:ascii="Calibri" w:hAnsi="Calibri" w:eastAsia="宋体" w:cs="Times New Roman"/>
      <w:color w:val="000000"/>
      <w:kern w:val="2"/>
      <w:sz w:val="24"/>
      <w:szCs w:val="24"/>
      <w:lang w:val="en-US" w:eastAsia="zh-CN" w:bidi="ar-SA"/>
    </w:rPr>
  </w:style>
  <w:style w:type="character" w:customStyle="1" w:styleId="172">
    <w:name w:val="font81"/>
    <w:basedOn w:val="40"/>
    <w:qFormat/>
    <w:uiPriority w:val="0"/>
    <w:rPr>
      <w:rFonts w:hint="eastAsia" w:ascii="微软雅黑" w:hAnsi="微软雅黑" w:eastAsia="微软雅黑" w:cs="微软雅黑"/>
      <w:b/>
      <w:color w:val="000000"/>
      <w:sz w:val="16"/>
      <w:szCs w:val="16"/>
      <w:u w:val="none"/>
    </w:rPr>
  </w:style>
  <w:style w:type="paragraph" w:customStyle="1" w:styleId="173">
    <w:name w:val="_Style 13"/>
    <w:basedOn w:val="1"/>
    <w:next w:val="135"/>
    <w:qFormat/>
    <w:uiPriority w:val="34"/>
    <w:pPr>
      <w:widowControl/>
      <w:ind w:left="720"/>
      <w:contextualSpacing/>
      <w:jc w:val="left"/>
    </w:pPr>
    <w:rPr>
      <w:kern w:val="0"/>
      <w:sz w:val="24"/>
      <w:szCs w:val="24"/>
      <w:lang w:eastAsia="en-US" w:bidi="en-US"/>
    </w:rPr>
  </w:style>
  <w:style w:type="paragraph" w:customStyle="1" w:styleId="174">
    <w:name w:val="_Style 23"/>
    <w:basedOn w:val="1"/>
    <w:next w:val="135"/>
    <w:qFormat/>
    <w:uiPriority w:val="34"/>
    <w:pPr>
      <w:widowControl/>
      <w:ind w:left="720"/>
      <w:contextualSpacing/>
      <w:jc w:val="left"/>
    </w:pPr>
    <w:rPr>
      <w:kern w:val="0"/>
      <w:sz w:val="24"/>
      <w:szCs w:val="24"/>
      <w:lang w:eastAsia="en-US" w:bidi="en-US"/>
    </w:rPr>
  </w:style>
  <w:style w:type="paragraph" w:customStyle="1" w:styleId="175">
    <w:name w:val="_Style 12"/>
    <w:basedOn w:val="1"/>
    <w:qFormat/>
    <w:uiPriority w:val="0"/>
    <w:pPr>
      <w:ind w:left="720"/>
      <w:contextualSpacing/>
      <w:jc w:val="left"/>
    </w:pPr>
    <w:rPr>
      <w:kern w:val="0"/>
      <w:sz w:val="24"/>
      <w:szCs w:val="24"/>
    </w:rPr>
  </w:style>
  <w:style w:type="paragraph" w:customStyle="1" w:styleId="176">
    <w:name w:val="msolistparagraph"/>
    <w:basedOn w:val="1"/>
    <w:qFormat/>
    <w:uiPriority w:val="0"/>
    <w:pPr>
      <w:widowControl/>
      <w:ind w:firstLine="420" w:firstLineChars="200"/>
      <w:jc w:val="left"/>
    </w:pPr>
    <w:rPr>
      <w:rFonts w:hint="eastAsia" w:ascii="宋体" w:hAnsi="宋体"/>
      <w:kern w:val="0"/>
      <w:sz w:val="24"/>
      <w:szCs w:val="24"/>
    </w:rPr>
  </w:style>
  <w:style w:type="character" w:customStyle="1" w:styleId="177">
    <w:name w:val="font61"/>
    <w:basedOn w:val="40"/>
    <w:qFormat/>
    <w:uiPriority w:val="0"/>
    <w:rPr>
      <w:rFonts w:hint="default" w:ascii="Arial" w:hAnsi="Arial" w:cs="Arial"/>
      <w:color w:val="000000"/>
      <w:sz w:val="20"/>
      <w:szCs w:val="20"/>
      <w:u w:val="none"/>
    </w:rPr>
  </w:style>
  <w:style w:type="character" w:customStyle="1" w:styleId="178">
    <w:name w:val="font71"/>
    <w:basedOn w:val="40"/>
    <w:qFormat/>
    <w:uiPriority w:val="0"/>
    <w:rPr>
      <w:rFonts w:hint="eastAsia" w:ascii="宋体" w:hAnsi="宋体" w:eastAsia="宋体" w:cs="宋体"/>
      <w:color w:val="000000"/>
      <w:sz w:val="20"/>
      <w:szCs w:val="20"/>
      <w:u w:val="none"/>
    </w:rPr>
  </w:style>
  <w:style w:type="paragraph" w:customStyle="1" w:styleId="179">
    <w:name w:val="p0"/>
    <w:basedOn w:val="1"/>
    <w:qFormat/>
    <w:uiPriority w:val="0"/>
    <w:pPr>
      <w:widowControl/>
      <w:spacing w:line="560" w:lineRule="exact"/>
    </w:pPr>
    <w:rPr>
      <w:sz w:val="24"/>
      <w:szCs w:val="21"/>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111</Pages>
  <Words>61111</Words>
  <Characters>65840</Characters>
  <Lines>519</Lines>
  <Paragraphs>146</Paragraphs>
  <TotalTime>0</TotalTime>
  <ScaleCrop>false</ScaleCrop>
  <LinksUpToDate>false</LinksUpToDate>
  <CharactersWithSpaces>69301</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2018-04-27T19:14:00Z</dcterms:created>
  <dc:creator>王峰</dc:creator>
  <cp:lastModifiedBy>黯晶鹌鹑蛋</cp:lastModifiedBy>
  <cp:lastPrinted>2013-12-16T19:12:00Z</cp:lastPrinted>
  <dcterms:modified xsi:type="dcterms:W3CDTF">2022-06-01T04:50:38Z</dcterms:modified>
  <dc:title>滨州市政府采购</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1B99A1B58E694C1D81567E0B7E48AF83</vt:lpwstr>
  </property>
  <property fmtid="{D5CDD505-2E9C-101B-9397-08002B2CF9AE}" pid="4" name="woTemplateTypoMode" linkTarget="0">
    <vt:lpwstr>web</vt:lpwstr>
  </property>
  <property fmtid="{D5CDD505-2E9C-101B-9397-08002B2CF9AE}" pid="5" name="woTemplate" linkTarget="0">
    <vt:i4>1</vt:i4>
  </property>
</Properties>
</file>