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outlineLvl w:val="0"/>
        <w:rPr>
          <w:rFonts w:hint="eastAsia"/>
          <w:b/>
          <w:bCs/>
          <w:color w:val="auto"/>
          <w:sz w:val="32"/>
          <w:szCs w:val="28"/>
          <w:highlight w:val="none"/>
        </w:rPr>
      </w:pPr>
      <w:bookmarkStart w:id="2" w:name="_GoBack"/>
      <w:bookmarkStart w:id="0" w:name="_Toc24436"/>
      <w:bookmarkStart w:id="1" w:name="_Toc8022"/>
      <w:r>
        <w:rPr>
          <w:rFonts w:hint="eastAsia"/>
          <w:b/>
          <w:bCs/>
          <w:color w:val="auto"/>
          <w:sz w:val="32"/>
          <w:szCs w:val="28"/>
          <w:highlight w:val="none"/>
        </w:rPr>
        <w:t>采购内容</w:t>
      </w:r>
      <w:bookmarkEnd w:id="0"/>
      <w:bookmarkEnd w:id="1"/>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（一）总体</w:t>
      </w:r>
      <w:r>
        <w:rPr>
          <w:rFonts w:hint="eastAsia" w:ascii="宋体" w:hAnsi="宋体" w:eastAsia="宋体" w:cs="宋体"/>
          <w:color w:val="auto"/>
          <w:sz w:val="21"/>
          <w:szCs w:val="21"/>
          <w:highlight w:val="none"/>
          <w:lang w:val="en-US" w:eastAsia="zh-CN"/>
        </w:rPr>
        <w:t>要求</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w:t>
      </w:r>
      <w:r>
        <w:rPr>
          <w:rFonts w:hint="eastAsia" w:ascii="宋体" w:hAnsi="宋体" w:cs="宋体"/>
          <w:color w:val="auto"/>
          <w:sz w:val="21"/>
          <w:szCs w:val="21"/>
          <w:highlight w:val="none"/>
          <w:lang w:val="en-US" w:eastAsia="zh-CN"/>
        </w:rPr>
        <w:t>阿克陶</w:t>
      </w:r>
      <w:r>
        <w:rPr>
          <w:rFonts w:hint="eastAsia" w:ascii="宋体" w:hAnsi="宋体" w:eastAsia="宋体" w:cs="宋体"/>
          <w:color w:val="auto"/>
          <w:sz w:val="21"/>
          <w:szCs w:val="21"/>
          <w:highlight w:val="none"/>
          <w:lang w:val="en-US" w:eastAsia="zh-CN"/>
        </w:rPr>
        <w:t>县</w:t>
      </w:r>
      <w:r>
        <w:rPr>
          <w:rFonts w:hint="eastAsia" w:ascii="宋体" w:hAnsi="宋体" w:eastAsia="宋体" w:cs="宋体"/>
          <w:color w:val="auto"/>
          <w:sz w:val="21"/>
          <w:szCs w:val="21"/>
          <w:highlight w:val="none"/>
        </w:rPr>
        <w:t>实际，开展针对性研究，在研究的基础上，整体设计</w:t>
      </w:r>
      <w:r>
        <w:rPr>
          <w:rFonts w:hint="eastAsia" w:ascii="宋体" w:hAnsi="宋体" w:cs="宋体"/>
          <w:color w:val="auto"/>
          <w:sz w:val="21"/>
          <w:szCs w:val="21"/>
          <w:highlight w:val="none"/>
          <w:lang w:val="en-US" w:eastAsia="zh-CN"/>
        </w:rPr>
        <w:t>阿克陶</w:t>
      </w:r>
      <w:r>
        <w:rPr>
          <w:rFonts w:hint="eastAsia" w:ascii="宋体" w:hAnsi="宋体" w:eastAsia="宋体" w:cs="宋体"/>
          <w:color w:val="auto"/>
          <w:sz w:val="21"/>
          <w:szCs w:val="21"/>
          <w:highlight w:val="none"/>
          <w:lang w:val="en-US" w:eastAsia="zh-CN"/>
        </w:rPr>
        <w:t>县</w:t>
      </w:r>
      <w:r>
        <w:rPr>
          <w:rFonts w:hint="eastAsia" w:ascii="宋体" w:hAnsi="宋体" w:eastAsia="宋体" w:cs="宋体"/>
          <w:color w:val="auto"/>
          <w:sz w:val="21"/>
          <w:szCs w:val="21"/>
          <w:highlight w:val="none"/>
        </w:rPr>
        <w:t>预算绩效管理全过程，包括各环节整体工作流程及相关部门（单位）职责、应用制度及规范、管理举措、操作程序及相关表式，并做好全过程辅导、培训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业务审核</w:t>
      </w:r>
      <w:r>
        <w:rPr>
          <w:rFonts w:hint="eastAsia" w:ascii="宋体" w:hAnsi="宋体" w:eastAsia="宋体" w:cs="宋体"/>
          <w:color w:val="auto"/>
          <w:sz w:val="21"/>
          <w:szCs w:val="21"/>
          <w:highlight w:val="none"/>
        </w:rPr>
        <w:t>及信息化配合支持。</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服务基本要求</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1、事前绩效评估</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完成服务期间新增项目事前评估报告辅导、立项评审及申报工作。</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2、绩效目标填报及审核辅导</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（1）建立健全定量和定性相结合、共性和个性相结合的绩效指标框架。</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（2）帮助部门单位科学合理的制定绩效目标；进行绩效目标填报辅导，协助开展好项目及部门整体绩效目标的审核、把关工作。</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衔接</w:t>
      </w:r>
      <w:r>
        <w:rPr>
          <w:rFonts w:hint="eastAsia" w:ascii="宋体" w:hAnsi="宋体" w:eastAsia="宋体" w:cs="宋体"/>
          <w:color w:val="auto"/>
          <w:sz w:val="21"/>
          <w:szCs w:val="21"/>
          <w:highlight w:val="none"/>
        </w:rPr>
        <w:t>绩效运行监控方面</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（1）部门单位完成整体绩效及项目绩效监控工作。</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月为节点，指导部门单位整体绩效进行</w:t>
      </w:r>
      <w:r>
        <w:rPr>
          <w:rFonts w:hint="eastAsia" w:ascii="宋体" w:hAnsi="宋体" w:eastAsia="宋体" w:cs="宋体"/>
          <w:color w:val="auto"/>
          <w:sz w:val="21"/>
          <w:szCs w:val="21"/>
          <w:highlight w:val="none"/>
          <w:lang w:eastAsia="zh-CN"/>
        </w:rPr>
        <w:t>衔接资金的</w:t>
      </w:r>
      <w:r>
        <w:rPr>
          <w:rFonts w:hint="eastAsia" w:ascii="宋体" w:hAnsi="宋体" w:eastAsia="宋体" w:cs="宋体"/>
          <w:color w:val="auto"/>
          <w:sz w:val="21"/>
          <w:szCs w:val="21"/>
          <w:highlight w:val="none"/>
        </w:rPr>
        <w:t>绩效监控，协助财政局审核各单位整体绩效监控，包含绩效监控执行情况、预算执行情况、绩效目标实现程度、效益产出与绩效目标偏离情况等，发现偏离度较高的单位，提出预算调整意见。</w:t>
      </w:r>
    </w:p>
    <w:p>
      <w:pPr>
        <w:keepNext w:val="0"/>
        <w:keepLines w:val="0"/>
        <w:pageBreakBefore w:val="0"/>
        <w:widowControl w:val="0"/>
        <w:kinsoku/>
        <w:wordWrap/>
        <w:overflowPunct/>
        <w:topLinePunct w:val="0"/>
        <w:autoSpaceDN/>
        <w:bidi w:val="0"/>
        <w:snapToGrid/>
        <w:spacing w:line="4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月为节点，开展项目绩效监控，协助财政局审核项目预算执行情况、绩效目标实现程度、效益产出与绩效目标偏离情况等，发现偏离度较高的单位，提出预算调整意见。</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、投标人派出的工作人员必须服从采购人的项目工作安排，按时、按质完成任务；</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、投标人工作人员依法开展相关的工作，对工作情况的真实性、准确性负责；</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、为了保证绩效评价等相关工作总体进度，投标人工作人员必须及时将工作进度向采购方汇报；</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、投标人工作人员在绩效评价等相关工作的过程中遇到的重大问题，要及时将问题</w:t>
      </w:r>
      <w:r>
        <w:rPr>
          <w:rFonts w:hint="eastAsia" w:ascii="宋体" w:hAnsi="宋体" w:eastAsia="宋体" w:cs="宋体"/>
          <w:color w:val="auto"/>
          <w:sz w:val="21"/>
          <w:szCs w:val="21"/>
          <w:highlight w:val="none"/>
          <w:lang w:val="en-US" w:eastAsia="zh-CN"/>
        </w:rPr>
        <w:t>书面</w:t>
      </w:r>
      <w:r>
        <w:rPr>
          <w:rFonts w:hint="eastAsia" w:ascii="宋体" w:hAnsi="宋体" w:eastAsia="宋体" w:cs="宋体"/>
          <w:color w:val="auto"/>
          <w:sz w:val="21"/>
          <w:szCs w:val="21"/>
          <w:highlight w:val="none"/>
        </w:rPr>
        <w:t>反馈、报告采购人；</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、投标人工作人员必须有相当的经验，熟悉业务，熟悉财政政策，能充分胜任所从事的工作；</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、投标人工作人员不得向被审单位收取或变相收取任何费用；</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、投标人工作人员应完整、准确、真实地反映和记录工作的情况，做好各类资料的归集、存档和保管工作；</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、如果投标人工作人员不能胜任采购人工作的或与被审单位存在利益关系的，应第一时间告知采购人，采购人有权要求投标人调换工作人员；</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、投标人工作人员违反有关法律、法规、采购人制定的工作纪律或被有效投诉的，采购人除相应扣减要支付给投标人的费用外，情节严重的可解除与投标人的服务协议；</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、投标人派出的工作人员应相对稳定，对曾经参与过类似项目的工作人员在后续项目开展时要优先选派，采购人择优选用。</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、投标人需与采购人签订保密协议，投标人需保证评审项目资料只能由经指定的评审人员阅读，不能对其他人员泄漏。评审中涉及的项目所有资料不能在采购人未认可的场合进行任何的交流。</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服务响应要求</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中标人须提供常设热线服务和长期的免费技术支持，中标人对采购人提出的问题响应时间不得超过12小时。</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监控的节点根据具体的项目类型及自治区下达最新的文件时间节点为准。</w:t>
      </w:r>
    </w:p>
    <w:p>
      <w:pPr>
        <w:pStyle w:val="3"/>
        <w:ind w:firstLine="420" w:firstLineChars="200"/>
        <w:rPr>
          <w:rFonts w:hint="eastAsia" w:eastAsia="宋体"/>
          <w:color w:val="auto"/>
          <w:highlight w:val="none"/>
          <w:lang w:eastAsia="zh-CN"/>
        </w:rPr>
      </w:pPr>
      <w:r>
        <w:rPr>
          <w:rFonts w:hint="eastAsia" w:ascii="宋体" w:hAnsi="宋体" w:eastAsia="宋体" w:cs="宋体"/>
          <w:color w:val="auto"/>
          <w:sz w:val="21"/>
          <w:szCs w:val="21"/>
          <w:highlight w:val="none"/>
          <w:lang w:eastAsia="zh-CN"/>
        </w:rPr>
        <w:t>（三）工作内容</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常规审核。审核部门单位报送的监控结果，并出具监控审核报告。</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重点跟踪。以重大政策、项目为重点监控审核对象，除开展常规审核外，根据具体情况采用数据信息分析、资料调阅、电话间询等方式进行复核跟踪，必要时采取实地调查的方式进行核查。（重点监控对象范围与甲方沟通确定）</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审核绩效自评报告，包括对已编制的绩效自评表、自评报告进行审核，出具绩效自评汇总审核报告。</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重点项目绩效评价工作，对选定重点项目进行绩效评价，出具项目绩效评价报告。</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预算绩效管理培训</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val="en-US" w:eastAsia="zh-CN"/>
        </w:rPr>
        <w:t>全</w:t>
      </w:r>
      <w:r>
        <w:rPr>
          <w:rFonts w:hint="eastAsia" w:ascii="宋体" w:hAnsi="宋体" w:cs="宋体"/>
          <w:color w:val="auto"/>
          <w:sz w:val="21"/>
          <w:szCs w:val="21"/>
          <w:highlight w:val="none"/>
          <w:lang w:eastAsia="zh-CN"/>
        </w:rPr>
        <w:t>县</w:t>
      </w:r>
      <w:r>
        <w:rPr>
          <w:rFonts w:hint="eastAsia" w:ascii="宋体" w:hAnsi="宋体" w:cs="宋体"/>
          <w:color w:val="auto"/>
          <w:sz w:val="21"/>
          <w:szCs w:val="21"/>
          <w:highlight w:val="none"/>
          <w:lang w:val="en-US" w:eastAsia="zh-CN"/>
        </w:rPr>
        <w:t>预算</w:t>
      </w:r>
      <w:r>
        <w:rPr>
          <w:rFonts w:hint="eastAsia" w:ascii="宋体" w:hAnsi="宋体" w:eastAsia="宋体" w:cs="宋体"/>
          <w:color w:val="auto"/>
          <w:sz w:val="21"/>
          <w:szCs w:val="21"/>
          <w:highlight w:val="none"/>
        </w:rPr>
        <w:t>单位相关工作人员进行预算绩效管理培训，根据甲方需要培训</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次/年，每次2-4个课时，分别是事前评估阶段（1次）、绩效目标阶段（2次）、绩效监控阶段（4次）、绩效自评阶段（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次）。</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预算绩效档案管理</w:t>
      </w:r>
    </w:p>
    <w:p>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）项目绩效管理服务的预算绩效管理工作的结果进行整理并立卷归档。每项工作完成后需甲方书面验收确认，全部工作完成后，档案书面移交甲方。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财政厅</w:t>
      </w:r>
      <w:r>
        <w:rPr>
          <w:rFonts w:hint="eastAsia" w:ascii="宋体" w:hAnsi="宋体" w:eastAsia="宋体" w:cs="宋体"/>
          <w:color w:val="auto"/>
          <w:sz w:val="21"/>
          <w:szCs w:val="21"/>
          <w:highlight w:val="none"/>
          <w:lang w:val="en-US" w:eastAsia="zh-CN"/>
        </w:rPr>
        <w:t>及县财政局</w:t>
      </w:r>
      <w:r>
        <w:rPr>
          <w:rFonts w:hint="eastAsia" w:ascii="宋体" w:hAnsi="宋体" w:eastAsia="宋体" w:cs="宋体"/>
          <w:color w:val="auto"/>
          <w:sz w:val="21"/>
          <w:szCs w:val="21"/>
          <w:highlight w:val="none"/>
        </w:rPr>
        <w:t>安排的其它</w:t>
      </w:r>
      <w:r>
        <w:rPr>
          <w:rFonts w:hint="eastAsia" w:ascii="宋体" w:hAnsi="宋体" w:eastAsia="宋体" w:cs="宋体"/>
          <w:color w:val="auto"/>
          <w:sz w:val="21"/>
          <w:szCs w:val="21"/>
          <w:highlight w:val="none"/>
          <w:lang w:eastAsia="zh-CN"/>
        </w:rPr>
        <w:t>全面实施</w:t>
      </w:r>
      <w:r>
        <w:rPr>
          <w:rFonts w:hint="eastAsia" w:ascii="宋体" w:hAnsi="宋体" w:eastAsia="宋体" w:cs="宋体"/>
          <w:color w:val="auto"/>
          <w:sz w:val="21"/>
          <w:szCs w:val="21"/>
          <w:highlight w:val="none"/>
        </w:rPr>
        <w:t>管理工作</w:t>
      </w:r>
      <w:r>
        <w:rPr>
          <w:rFonts w:hint="eastAsia" w:ascii="宋体" w:hAnsi="宋体" w:eastAsia="宋体" w:cs="宋体"/>
          <w:color w:val="auto"/>
          <w:sz w:val="21"/>
          <w:szCs w:val="21"/>
          <w:highlight w:val="none"/>
          <w:lang w:eastAsia="zh-CN"/>
        </w:rPr>
        <w:t>。</w:t>
      </w:r>
    </w:p>
    <w:p>
      <w:pPr>
        <w:pStyle w:val="3"/>
        <w:keepNext w:val="0"/>
        <w:keepLines w:val="0"/>
        <w:pageBreakBefore w:val="0"/>
        <w:kinsoku/>
        <w:wordWrap/>
        <w:overflowPunct/>
        <w:topLinePunct w:val="0"/>
        <w:autoSpaceDN/>
        <w:bidi w:val="0"/>
        <w:snapToGrid/>
        <w:spacing w:line="440" w:lineRule="atLeast"/>
        <w:ind w:firstLine="420" w:firstLineChars="200"/>
        <w:rPr>
          <w:rFonts w:hint="eastAsia"/>
          <w:color w:val="auto"/>
          <w:highlight w:val="none"/>
        </w:rPr>
      </w:pPr>
      <w:r>
        <w:rPr>
          <w:rFonts w:hint="eastAsia" w:ascii="宋体" w:hAnsi="宋体" w:eastAsia="宋体" w:cs="宋体"/>
          <w:color w:val="auto"/>
          <w:sz w:val="21"/>
          <w:szCs w:val="21"/>
          <w:highlight w:val="none"/>
          <w:lang w:val="en-US" w:eastAsia="zh-CN"/>
        </w:rPr>
        <w:t>8、</w:t>
      </w:r>
      <w:r>
        <w:rPr>
          <w:rFonts w:hint="eastAsia" w:eastAsia="宋体" w:cs="宋体"/>
          <w:color w:val="auto"/>
          <w:sz w:val="21"/>
          <w:szCs w:val="21"/>
          <w:highlight w:val="none"/>
          <w:lang w:val="en-US" w:eastAsia="zh-CN"/>
        </w:rPr>
        <w:t>财政资金</w:t>
      </w:r>
      <w:r>
        <w:rPr>
          <w:rFonts w:hint="eastAsia" w:ascii="宋体" w:hAnsi="宋体" w:eastAsia="宋体" w:cs="宋体"/>
          <w:color w:val="auto"/>
          <w:sz w:val="21"/>
          <w:szCs w:val="21"/>
          <w:highlight w:val="none"/>
          <w:lang w:val="en-US" w:eastAsia="zh-CN"/>
        </w:rPr>
        <w:t>监督检查</w:t>
      </w:r>
      <w:r>
        <w:rPr>
          <w:rFonts w:hint="eastAsia" w:eastAsia="宋体" w:cs="宋体"/>
          <w:color w:val="auto"/>
          <w:sz w:val="21"/>
          <w:szCs w:val="21"/>
          <w:highlight w:val="none"/>
          <w:lang w:val="en-US" w:eastAsia="zh-CN"/>
        </w:rPr>
        <w:t>工作，主要对财政专项扶贫资金监督检查；预算单位监督检查需服务方配合财政部门开展工作</w:t>
      </w:r>
      <w:r>
        <w:rPr>
          <w:rFonts w:hint="eastAsia" w:cs="宋体"/>
          <w:color w:val="auto"/>
          <w:sz w:val="21"/>
          <w:szCs w:val="21"/>
          <w:highlight w:val="none"/>
          <w:lang w:val="en-US" w:eastAsia="zh-CN"/>
        </w:rPr>
        <w:t>，出具检查报告。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9、服务方需派驻3名工作人员（含项目负责人）携带电脑长期驻点办公，并服从财政部门管理。</w:t>
      </w:r>
    </w:p>
    <w:p>
      <w:pPr>
        <w:rPr>
          <w:color w:val="auto"/>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WQyMTc4ZDczZDI0NjFjNzE0MTQ2ZjUxOWU5NmMifQ=="/>
  </w:docVars>
  <w:rsids>
    <w:rsidRoot w:val="00000000"/>
    <w:rsid w:val="117A046A"/>
    <w:rsid w:val="2D394446"/>
    <w:rsid w:val="3AD11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rPr>
      <w:rFonts w:ascii="Calibri" w:hAnsi="Calibri"/>
      <w:kern w:val="0"/>
      <w:sz w:val="20"/>
    </w:rPr>
  </w:style>
  <w:style w:type="paragraph" w:styleId="3">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customStyle="1" w:styleId="6">
    <w:name w:val="样式2"/>
    <w:basedOn w:val="1"/>
    <w:qFormat/>
    <w:uiPriority w:val="0"/>
    <w:pPr>
      <w:jc w:val="both"/>
    </w:pPr>
    <w:rPr>
      <w:rFonts w:asciiTheme="minorAscii" w:hAnsiTheme="minorAsci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1679</Words>
  <Characters>1688</Characters>
  <Lines>0</Lines>
  <Paragraphs>0</Paragraphs>
  <TotalTime>0</TotalTime>
  <ScaleCrop>false</ScaleCrop>
  <LinksUpToDate>false</LinksUpToDate>
  <CharactersWithSpaces>1688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2021-06-24T08:34:00Z</dcterms:created>
  <dc:creator>Administrator</dc:creator>
  <cp:lastModifiedBy>Overdose&amp;amp;上瘾</cp:lastModifiedBy>
  <dcterms:modified xsi:type="dcterms:W3CDTF">2022-06-24T08:31:26Z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D76574D87C524C87A1542A2CA18D0B5A</vt:lpwstr>
  </property>
</Properties>
</file>