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56"/>
          <w:szCs w:val="56"/>
        </w:rPr>
      </w:pPr>
    </w:p>
    <w:p>
      <w:pPr>
        <w:spacing w:line="360" w:lineRule="auto"/>
        <w:jc w:val="center"/>
        <w:rPr>
          <w:rFonts w:hint="eastAsia"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6"/>
      </w:pPr>
    </w:p>
    <w:p>
      <w:pPr>
        <w:spacing w:line="360" w:lineRule="auto"/>
        <w:rPr>
          <w:rFonts w:ascii="宋体" w:hAnsi="宋体"/>
          <w:sz w:val="32"/>
        </w:rPr>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113"/>
        <w:ind w:firstLine="560"/>
      </w:pPr>
    </w:p>
    <w:p>
      <w:pPr>
        <w:pStyle w:val="16"/>
      </w:pPr>
    </w:p>
    <w:p>
      <w:pPr>
        <w:spacing w:line="360" w:lineRule="auto"/>
        <w:rPr>
          <w:rFonts w:ascii="黑体" w:hAnsi="宋体" w:eastAsia="黑体"/>
          <w:sz w:val="32"/>
        </w:rPr>
      </w:pPr>
    </w:p>
    <w:p>
      <w:pPr>
        <w:pStyle w:val="16"/>
        <w:jc w:val="center"/>
      </w:pPr>
      <w:r>
        <w:rPr>
          <w:rFonts w:hint="eastAsia" w:ascii="宋体" w:hAnsi="宋体" w:cs="宋体"/>
          <w:b/>
          <w:sz w:val="32"/>
          <w:szCs w:val="31"/>
        </w:rPr>
        <w:t>招标项目名称：</w:t>
      </w:r>
      <w:r>
        <w:rPr>
          <w:rFonts w:hint="eastAsia" w:ascii="宋体" w:hAnsi="宋体" w:cs="宋体"/>
          <w:b/>
          <w:bCs/>
          <w:color w:val="000000"/>
          <w:kern w:val="2"/>
          <w:sz w:val="28"/>
          <w:szCs w:val="28"/>
        </w:rPr>
        <w:t>若羌县全国第一次自然灾害综合风险普查涉及房屋建筑和市政设施普查项目</w:t>
      </w:r>
    </w:p>
    <w:p/>
    <w:p>
      <w:pPr>
        <w:pStyle w:val="28"/>
        <w:ind w:left="643" w:hanging="643"/>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招 标 单 位：若羌县住房和城乡建设局</w:t>
      </w:r>
    </w:p>
    <w:p>
      <w:pPr>
        <w:spacing w:line="360" w:lineRule="auto"/>
        <w:ind w:firstLine="829" w:firstLineChars="295"/>
        <w:rPr>
          <w:rFonts w:hint="eastAsia" w:ascii="宋体" w:hAnsi="宋体" w:eastAsia="宋体" w:cs="宋体"/>
          <w:b/>
          <w:bCs/>
          <w:color w:val="000000"/>
          <w:kern w:val="2"/>
          <w:sz w:val="28"/>
          <w:szCs w:val="28"/>
          <w:lang w:val="en-US" w:eastAsia="zh-CN" w:bidi="ar-SA"/>
        </w:rPr>
      </w:pPr>
    </w:p>
    <w:p>
      <w:pPr>
        <w:tabs>
          <w:tab w:val="left" w:pos="1134"/>
          <w:tab w:val="left" w:pos="5160"/>
        </w:tabs>
        <w:spacing w:line="360" w:lineRule="auto"/>
        <w:jc w:val="center"/>
        <w:rPr>
          <w:rFonts w:ascii="宋体" w:hAnsi="宋体" w:cs="宋体"/>
          <w:sz w:val="72"/>
          <w:szCs w:val="72"/>
        </w:rPr>
      </w:pPr>
    </w:p>
    <w:p>
      <w:pPr>
        <w:pStyle w:val="16"/>
      </w:pPr>
    </w:p>
    <w:p/>
    <w:p>
      <w:pPr>
        <w:pStyle w:val="113"/>
        <w:ind w:firstLine="560"/>
      </w:pPr>
    </w:p>
    <w:p>
      <w:pPr>
        <w:pStyle w:val="113"/>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6"/>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bookmarkStart w:id="1" w:name="_Toc16152"/>
            <w:bookmarkStart w:id="2" w:name="_Toc30975"/>
            <w:bookmarkStart w:id="3" w:name="_Toc11510"/>
            <w:bookmarkStart w:id="4" w:name="_Toc30456"/>
            <w:bookmarkStart w:id="5" w:name="_Toc9512"/>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r>
              <w:rPr>
                <w:rFonts w:hint="eastAsia" w:ascii="宋体" w:hAnsi="宋体" w:cs="宋体"/>
                <w:b/>
                <w:bCs/>
                <w:color w:val="000000"/>
                <w:kern w:val="2"/>
                <w:sz w:val="28"/>
                <w:szCs w:val="28"/>
              </w:rPr>
              <w:t>若羌县全国第一次自然灾害综合风险普查涉及房屋建筑和市政设施普查项目</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2"/>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2"/>
              <w:ind w:firstLine="0" w:firstLineChars="0"/>
              <w:rPr>
                <w:rFonts w:ascii="宋体" w:hAnsi="宋体" w:cs="宋体"/>
                <w:b/>
                <w:color w:val="000000"/>
                <w:sz w:val="28"/>
                <w:szCs w:val="28"/>
              </w:rPr>
            </w:pPr>
            <w:r>
              <w:rPr>
                <w:rFonts w:hint="eastAsia" w:ascii="宋体" w:hAnsi="宋体" w:cs="宋体"/>
                <w:b/>
                <w:color w:val="000000"/>
                <w:sz w:val="28"/>
                <w:szCs w:val="28"/>
              </w:rPr>
              <w:t>ZGJHZFCG2022-0</w:t>
            </w:r>
            <w:r>
              <w:rPr>
                <w:rFonts w:hint="eastAsia" w:ascii="宋体" w:hAnsi="宋体" w:cs="宋体"/>
                <w:b/>
                <w:color w:val="000000"/>
                <w:sz w:val="28"/>
                <w:szCs w:val="28"/>
                <w:lang w:val="en-US" w:eastAsia="zh-CN"/>
              </w:rPr>
              <w:t>10</w:t>
            </w:r>
            <w:r>
              <w:rPr>
                <w:rFonts w:hint="eastAsia" w:ascii="宋体" w:hAnsi="宋体" w:cs="宋体"/>
                <w:b/>
                <w:color w:val="000000"/>
                <w:sz w:val="28"/>
                <w:szCs w:val="28"/>
              </w:rPr>
              <w:t>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p>
            <w:pPr>
              <w:pStyle w:val="16"/>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2"/>
              <w:ind w:firstLine="0" w:firstLineChars="0"/>
              <w:rPr>
                <w:rFonts w:ascii="宋体" w:hAnsi="宋体" w:cs="宋体"/>
                <w:b/>
                <w:sz w:val="28"/>
                <w:szCs w:val="28"/>
              </w:rPr>
            </w:pPr>
            <w:r>
              <w:rPr>
                <w:rFonts w:hint="eastAsia" w:ascii="宋体" w:hAnsi="宋体" w:cs="宋体"/>
                <w:b/>
                <w:sz w:val="28"/>
                <w:szCs w:val="28"/>
              </w:rPr>
              <w:t>若羌县住房和城乡建设局（盖章）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张定超</w:t>
            </w: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18299775378</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hint="eastAsia" w:ascii="宋体" w:hAnsi="宋体" w:cs="宋体"/>
                <w:b/>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eastAsia" w:ascii="宋体" w:hAnsi="宋体" w:eastAsia="宋体" w:cs="宋体"/>
                <w:b/>
                <w:sz w:val="28"/>
                <w:szCs w:val="28"/>
                <w:lang w:eastAsia="zh-CN"/>
              </w:rPr>
            </w:pPr>
            <w:r>
              <w:rPr>
                <w:rFonts w:hint="eastAsia" w:ascii="宋体" w:hAnsi="宋体" w:cs="宋体"/>
                <w:b/>
                <w:sz w:val="28"/>
                <w:szCs w:val="28"/>
                <w:lang w:val="en-US" w:eastAsia="zh-CN"/>
              </w:rPr>
              <w:t>18099592556</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26427"/>
      <w:bookmarkStart w:id="8" w:name="_Toc19777"/>
      <w:r>
        <w:t xml:space="preserve"> </w:t>
      </w:r>
    </w:p>
    <w:p>
      <w:pPr>
        <w:pStyle w:val="3"/>
        <w:adjustRightInd w:val="0"/>
        <w:snapToGrid w:val="0"/>
        <w:jc w:val="both"/>
        <w:rPr>
          <w:b w:val="0"/>
          <w:bCs w:val="0"/>
          <w:sz w:val="40"/>
          <w:szCs w:val="52"/>
        </w:rPr>
      </w:pPr>
    </w:p>
    <w:p>
      <w:pPr>
        <w:pStyle w:val="3"/>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3"/>
        <w:adjustRightInd w:val="0"/>
        <w:snapToGrid w:val="0"/>
        <w:rPr>
          <w:rFonts w:ascii="宋体" w:hAnsi="宋体" w:cs="宋体"/>
          <w:bCs w:val="0"/>
          <w:kern w:val="2"/>
          <w:szCs w:val="32"/>
        </w:rPr>
      </w:pPr>
      <w:bookmarkStart w:id="9" w:name="_Toc9759"/>
      <w:bookmarkStart w:id="10" w:name="_Toc18331"/>
      <w:r>
        <w:rPr>
          <w:rFonts w:hint="eastAsia" w:ascii="宋体" w:hAnsi="宋体" w:cs="宋体"/>
          <w:bCs w:val="0"/>
          <w:kern w:val="2"/>
          <w:szCs w:val="32"/>
          <w:lang w:val="en-US" w:eastAsia="zh-CN"/>
        </w:rPr>
        <w:t xml:space="preserve">  若羌县全国第一次自然灾害综合风险普查涉及房屋建筑和市政设施普查项目</w:t>
      </w:r>
      <w:r>
        <w:rPr>
          <w:rFonts w:hint="eastAsia" w:ascii="宋体" w:hAnsi="宋体" w:cs="宋体"/>
          <w:bCs w:val="0"/>
          <w:kern w:val="2"/>
          <w:szCs w:val="32"/>
        </w:rPr>
        <w:t>竞争性磋商公告</w:t>
      </w:r>
    </w:p>
    <w:p>
      <w:pPr>
        <w:pStyle w:val="14"/>
        <w:numPr>
          <w:ilvl w:val="0"/>
          <w:numId w:val="0"/>
        </w:numPr>
        <w:spacing w:before="75" w:beforeAutospacing="0" w:after="75" w:afterAutospacing="0"/>
        <w:ind w:firstLine="241" w:firstLineChars="100"/>
        <w:rPr>
          <w:rFonts w:hint="eastAsia" w:cs="宋体"/>
          <w:b/>
          <w:kern w:val="2"/>
          <w:szCs w:val="24"/>
        </w:rPr>
      </w:pPr>
      <w:r>
        <w:rPr>
          <w:rFonts w:hint="eastAsia" w:cs="宋体"/>
          <w:b/>
          <w:kern w:val="2"/>
          <w:szCs w:val="24"/>
        </w:rPr>
        <w:t>采购项目编号：</w:t>
      </w:r>
      <w:r>
        <w:rPr>
          <w:rFonts w:hint="eastAsia" w:cs="宋体"/>
          <w:b w:val="0"/>
          <w:bCs/>
          <w:kern w:val="2"/>
          <w:szCs w:val="24"/>
        </w:rPr>
        <w:t>ZGJHZFCG2022-010号</w:t>
      </w:r>
    </w:p>
    <w:p>
      <w:pPr>
        <w:pStyle w:val="14"/>
        <w:numPr>
          <w:ilvl w:val="0"/>
          <w:numId w:val="0"/>
        </w:numPr>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4"/>
        <w:spacing w:before="75" w:beforeAutospacing="0" w:after="75" w:afterAutospacing="0"/>
        <w:rPr>
          <w:rFonts w:cs="宋体"/>
          <w:color w:val="000000"/>
          <w:sz w:val="21"/>
          <w:szCs w:val="21"/>
        </w:rPr>
      </w:pPr>
      <w:r>
        <w:rPr>
          <w:rFonts w:hint="eastAsia" w:cs="宋体"/>
          <w:b/>
          <w:kern w:val="2"/>
          <w:szCs w:val="24"/>
        </w:rPr>
        <w:t>三、采购项目概况：</w:t>
      </w:r>
    </w:p>
    <w:tbl>
      <w:tblPr>
        <w:tblStyle w:val="36"/>
        <w:tblW w:w="9429" w:type="dxa"/>
        <w:tblInd w:w="0" w:type="dxa"/>
        <w:tblLayout w:type="fixed"/>
        <w:tblCellMar>
          <w:top w:w="15" w:type="dxa"/>
          <w:left w:w="15" w:type="dxa"/>
          <w:bottom w:w="15" w:type="dxa"/>
          <w:right w:w="15" w:type="dxa"/>
        </w:tblCellMar>
      </w:tblPr>
      <w:tblGrid>
        <w:gridCol w:w="1250"/>
        <w:gridCol w:w="1944"/>
        <w:gridCol w:w="812"/>
        <w:gridCol w:w="1419"/>
        <w:gridCol w:w="1165"/>
        <w:gridCol w:w="2839"/>
      </w:tblGrid>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标项名称</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数量</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240" w:firstLineChars="100"/>
              <w:rPr>
                <w:rFonts w:cs="宋体"/>
                <w:bCs/>
                <w:kern w:val="2"/>
                <w:szCs w:val="24"/>
              </w:rPr>
            </w:pPr>
            <w:r>
              <w:rPr>
                <w:rFonts w:hint="eastAsia" w:cs="宋体"/>
                <w:bCs/>
                <w:kern w:val="2"/>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单位</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720" w:firstLineChars="300"/>
              <w:rPr>
                <w:rFonts w:hint="eastAsia" w:eastAsia="宋体" w:cs="宋体"/>
                <w:bCs/>
                <w:kern w:val="2"/>
                <w:szCs w:val="24"/>
                <w:lang w:eastAsia="zh-CN"/>
              </w:rPr>
            </w:pPr>
            <w:r>
              <w:rPr>
                <w:rFonts w:hint="eastAsia" w:cs="宋体"/>
                <w:bCs/>
                <w:kern w:val="2"/>
                <w:szCs w:val="24"/>
                <w:lang w:val="en-US" w:eastAsia="zh-CN"/>
              </w:rPr>
              <w:t>采购内容</w:t>
            </w:r>
          </w:p>
        </w:tc>
      </w:tr>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若羌县全国第一次自然灾害综合风险普查涉及房屋建筑和市政设施普查项目</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lang w:val="en-US" w:eastAsia="zh-CN"/>
              </w:rPr>
              <w:t>90</w:t>
            </w:r>
            <w:r>
              <w:rPr>
                <w:rFonts w:hint="eastAsia" w:cs="宋体"/>
                <w:bCs/>
                <w:kern w:val="2"/>
                <w:szCs w:val="24"/>
              </w:rPr>
              <w:t>万元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个</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cs="宋体"/>
                <w:bCs/>
                <w:kern w:val="2"/>
                <w:szCs w:val="24"/>
              </w:rPr>
              <w:t>（1）房屋建筑和市政设施调查实施方案编制 （2）组织开展辖区内管理人员培训工作 （3）房屋建筑和市政设施调查 （4）房屋建筑和市政设施调查数据软件质检 （5）风险普查其他相关技术支持工作</w:t>
            </w:r>
          </w:p>
        </w:tc>
      </w:tr>
    </w:tbl>
    <w:p>
      <w:pPr>
        <w:pStyle w:val="14"/>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4"/>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4"/>
        <w:spacing w:before="75" w:beforeAutospacing="0" w:after="75" w:afterAutospacing="0"/>
        <w:rPr>
          <w:rFonts w:cs="宋体"/>
          <w:bCs/>
          <w:kern w:val="2"/>
          <w:szCs w:val="24"/>
        </w:rPr>
      </w:pPr>
      <w:r>
        <w:rPr>
          <w:rFonts w:hint="eastAsia" w:cs="宋体"/>
          <w:bCs/>
          <w:kern w:val="2"/>
          <w:szCs w:val="24"/>
        </w:rPr>
        <w:t>（2）</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cs="宋体"/>
          <w:bCs/>
          <w:kern w:val="2"/>
          <w:szCs w:val="24"/>
        </w:rPr>
      </w:pPr>
      <w:r>
        <w:rPr>
          <w:rFonts w:hint="eastAsia" w:cs="宋体"/>
          <w:bCs/>
          <w:kern w:val="2"/>
          <w:szCs w:val="24"/>
        </w:rPr>
        <w:t>（4）、2020年度财务审计报告（成立未满一年的公司可以不提供2020年度财务审计报告，但是必须提供财务报表。财务报表内容必须包含资产、负债、现金等报表或提供银行资信证明）； </w:t>
      </w:r>
    </w:p>
    <w:p>
      <w:pPr>
        <w:pStyle w:val="14"/>
        <w:spacing w:before="75" w:beforeAutospacing="0" w:after="75" w:afterAutospacing="0"/>
        <w:rPr>
          <w:rFonts w:cs="宋体"/>
          <w:bCs/>
          <w:kern w:val="2"/>
          <w:szCs w:val="24"/>
        </w:rPr>
      </w:pPr>
      <w:r>
        <w:rPr>
          <w:rFonts w:hint="eastAsia" w:cs="宋体"/>
          <w:bCs/>
          <w:kern w:val="2"/>
          <w:szCs w:val="24"/>
        </w:rPr>
        <w:t>（5）、投标保证金：</w:t>
      </w:r>
      <w:r>
        <w:rPr>
          <w:rFonts w:hint="eastAsia" w:cs="宋体"/>
          <w:bCs/>
          <w:kern w:val="2"/>
          <w:szCs w:val="24"/>
          <w:lang w:val="en-US" w:eastAsia="zh-CN"/>
        </w:rPr>
        <w:t>壹万捌仟</w:t>
      </w:r>
      <w:r>
        <w:rPr>
          <w:rFonts w:hint="eastAsia" w:cs="宋体"/>
          <w:bCs/>
          <w:kern w:val="2"/>
          <w:szCs w:val="24"/>
        </w:rPr>
        <w:t>元整</w:t>
      </w:r>
    </w:p>
    <w:p>
      <w:pPr>
        <w:pStyle w:val="14"/>
        <w:spacing w:before="75" w:beforeAutospacing="0" w:after="75" w:afterAutospacing="0"/>
        <w:rPr>
          <w:rFonts w:cs="宋体"/>
          <w:bCs/>
          <w:kern w:val="2"/>
          <w:szCs w:val="24"/>
        </w:rPr>
      </w:pPr>
      <w:r>
        <w:rPr>
          <w:rFonts w:hint="eastAsia" w:cs="宋体"/>
          <w:b/>
          <w:kern w:val="2"/>
          <w:szCs w:val="24"/>
        </w:rPr>
        <w:t>五、招标文件的获取</w:t>
      </w:r>
    </w:p>
    <w:p>
      <w:pPr>
        <w:pStyle w:val="14"/>
        <w:spacing w:before="75" w:beforeAutospacing="0" w:after="75" w:afterAutospacing="0"/>
        <w:rPr>
          <w:rFonts w:cs="宋体"/>
          <w:bCs/>
          <w:kern w:val="2"/>
          <w:szCs w:val="24"/>
        </w:rPr>
      </w:pPr>
      <w:r>
        <w:rPr>
          <w:rFonts w:hint="eastAsia" w:cs="宋体"/>
          <w:bCs/>
          <w:kern w:val="2"/>
          <w:szCs w:val="24"/>
        </w:rPr>
        <w:t>1、取获招标文件时间：2022年</w:t>
      </w:r>
      <w:r>
        <w:rPr>
          <w:rFonts w:hint="eastAsia" w:cs="宋体"/>
          <w:bCs/>
          <w:kern w:val="2"/>
          <w:szCs w:val="24"/>
          <w:lang w:val="en-US" w:eastAsia="zh-CN"/>
        </w:rPr>
        <w:t>6</w:t>
      </w:r>
      <w:r>
        <w:rPr>
          <w:rFonts w:hint="eastAsia" w:cs="宋体"/>
          <w:bCs/>
          <w:kern w:val="2"/>
          <w:szCs w:val="24"/>
        </w:rPr>
        <w:t>月</w:t>
      </w:r>
      <w:r>
        <w:rPr>
          <w:rFonts w:hint="eastAsia" w:cs="宋体"/>
          <w:bCs/>
          <w:kern w:val="2"/>
          <w:szCs w:val="24"/>
          <w:lang w:val="en-US" w:eastAsia="zh-CN"/>
        </w:rPr>
        <w:t>16</w:t>
      </w:r>
      <w:r>
        <w:rPr>
          <w:rFonts w:hint="eastAsia" w:cs="宋体"/>
          <w:bCs/>
          <w:kern w:val="2"/>
          <w:szCs w:val="24"/>
        </w:rPr>
        <w:t>日起至2022年</w:t>
      </w:r>
      <w:r>
        <w:rPr>
          <w:rFonts w:hint="eastAsia" w:cs="宋体"/>
          <w:bCs/>
          <w:kern w:val="2"/>
          <w:szCs w:val="24"/>
          <w:lang w:val="en-US" w:eastAsia="zh-CN"/>
        </w:rPr>
        <w:t>6</w:t>
      </w:r>
      <w:r>
        <w:rPr>
          <w:rFonts w:hint="eastAsia" w:cs="宋体"/>
          <w:bCs/>
          <w:kern w:val="2"/>
          <w:szCs w:val="24"/>
        </w:rPr>
        <w:t>月</w:t>
      </w:r>
      <w:r>
        <w:rPr>
          <w:rFonts w:hint="eastAsia" w:cs="宋体"/>
          <w:bCs/>
          <w:kern w:val="2"/>
          <w:szCs w:val="24"/>
          <w:lang w:val="en-US" w:eastAsia="zh-CN"/>
        </w:rPr>
        <w:t>22</w:t>
      </w:r>
      <w:r>
        <w:rPr>
          <w:rFonts w:hint="eastAsia" w:cs="宋体"/>
          <w:bCs/>
          <w:kern w:val="2"/>
          <w:szCs w:val="24"/>
        </w:rPr>
        <w:t>日止。（工作日10：00-13：30，16：00-19：00）</w:t>
      </w:r>
    </w:p>
    <w:p>
      <w:pPr>
        <w:pStyle w:val="14"/>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4"/>
        <w:spacing w:before="75" w:beforeAutospacing="0" w:after="75" w:afterAutospacing="0"/>
        <w:rPr>
          <w:rFonts w:cs="宋体"/>
          <w:bCs/>
          <w:kern w:val="2"/>
          <w:szCs w:val="24"/>
        </w:rPr>
      </w:pPr>
      <w:r>
        <w:rPr>
          <w:rFonts w:hint="eastAsia" w:cs="宋体"/>
          <w:bCs/>
          <w:kern w:val="2"/>
          <w:szCs w:val="24"/>
        </w:rPr>
        <w:t>3、获取招标文件应上传：</w:t>
      </w:r>
    </w:p>
    <w:p>
      <w:pPr>
        <w:pStyle w:val="14"/>
        <w:spacing w:before="75" w:beforeAutospacing="0" w:after="75" w:afterAutospacing="0"/>
        <w:rPr>
          <w:rFonts w:cs="宋体"/>
          <w:bCs/>
          <w:kern w:val="2"/>
          <w:szCs w:val="24"/>
        </w:rPr>
      </w:pPr>
      <w:r>
        <w:rPr>
          <w:rFonts w:hint="eastAsia" w:cs="宋体"/>
          <w:bCs/>
          <w:kern w:val="2"/>
          <w:szCs w:val="24"/>
        </w:rPr>
        <w:t>营业执照副本扫描件原件； </w:t>
      </w:r>
    </w:p>
    <w:p>
      <w:pPr>
        <w:pStyle w:val="14"/>
        <w:spacing w:before="75" w:beforeAutospacing="0" w:after="75" w:afterAutospacing="0"/>
        <w:rPr>
          <w:rFonts w:cs="宋体"/>
          <w:bCs/>
          <w:kern w:val="2"/>
          <w:szCs w:val="24"/>
        </w:rPr>
      </w:pPr>
      <w:r>
        <w:rPr>
          <w:rFonts w:hint="eastAsia" w:cs="宋体"/>
          <w:bCs/>
          <w:kern w:val="2"/>
          <w:szCs w:val="24"/>
        </w:rPr>
        <w:t>法人授权委托书扫描件原件或具有同等法律效力的证明材料及被授权人《居民身份证》扫描件原件； </w:t>
      </w:r>
    </w:p>
    <w:p>
      <w:pPr>
        <w:pStyle w:val="14"/>
        <w:spacing w:before="75" w:beforeAutospacing="0" w:after="75" w:afterAutospacing="0"/>
        <w:rPr>
          <w:rFonts w:cs="宋体"/>
          <w:bCs/>
          <w:kern w:val="2"/>
          <w:szCs w:val="24"/>
        </w:rPr>
      </w:pPr>
      <w:r>
        <w:rPr>
          <w:rFonts w:hint="eastAsia" w:cs="宋体"/>
          <w:bCs/>
          <w:kern w:val="2"/>
          <w:szCs w:val="24"/>
        </w:rPr>
        <w:t>4、投标保证金缴纳及确认时间：凡拟参加本次招标项目的供应商，必须在2022年</w:t>
      </w:r>
      <w:r>
        <w:rPr>
          <w:rFonts w:hint="eastAsia" w:cs="宋体"/>
          <w:bCs/>
          <w:kern w:val="2"/>
          <w:szCs w:val="24"/>
          <w:lang w:val="en-US" w:eastAsia="zh-CN"/>
        </w:rPr>
        <w:t>6</w:t>
      </w:r>
      <w:r>
        <w:rPr>
          <w:rFonts w:hint="eastAsia" w:cs="宋体"/>
          <w:bCs/>
          <w:kern w:val="2"/>
          <w:szCs w:val="24"/>
        </w:rPr>
        <w:t>月</w:t>
      </w:r>
      <w:r>
        <w:rPr>
          <w:rFonts w:hint="eastAsia" w:cs="宋体"/>
          <w:bCs/>
          <w:kern w:val="2"/>
          <w:szCs w:val="24"/>
          <w:lang w:val="en-US" w:eastAsia="zh-CN"/>
        </w:rPr>
        <w:t>27</w:t>
      </w:r>
      <w:r>
        <w:rPr>
          <w:rFonts w:hint="eastAsia" w:cs="宋体"/>
          <w:bCs/>
          <w:kern w:val="2"/>
          <w:szCs w:val="24"/>
        </w:rPr>
        <w:t>日10:30时（北京时间）前将投标保证金汇入指定账户。投标保证金汇款凭证上用途栏应注明本项目招标项目名称[标准格式：（若羌县全国第一次自然灾害综合风险普查涉及房屋建筑和市政设施普查项目）否则，届时其投标将被拒绝。</w:t>
      </w:r>
    </w:p>
    <w:p>
      <w:pPr>
        <w:pStyle w:val="14"/>
        <w:spacing w:before="75" w:beforeAutospacing="0" w:after="75" w:afterAutospacing="0"/>
        <w:rPr>
          <w:rFonts w:cs="宋体"/>
          <w:bCs/>
          <w:kern w:val="2"/>
          <w:szCs w:val="24"/>
        </w:rPr>
      </w:pPr>
      <w:r>
        <w:rPr>
          <w:rFonts w:hint="eastAsia" w:cs="宋体"/>
          <w:bCs/>
          <w:kern w:val="2"/>
          <w:szCs w:val="24"/>
        </w:rPr>
        <w:t>5、开标（投标）日</w:t>
      </w:r>
      <w:r>
        <w:rPr>
          <w:rFonts w:hint="eastAsia" w:cs="宋体"/>
          <w:bCs/>
          <w:color w:val="auto"/>
          <w:kern w:val="2"/>
          <w:szCs w:val="24"/>
        </w:rPr>
        <w:t>期：2022年</w:t>
      </w:r>
      <w:r>
        <w:rPr>
          <w:rFonts w:hint="eastAsia" w:cs="宋体"/>
          <w:bCs/>
          <w:color w:val="auto"/>
          <w:kern w:val="2"/>
          <w:szCs w:val="24"/>
          <w:lang w:val="en-US" w:eastAsia="zh-CN"/>
        </w:rPr>
        <w:t>6</w:t>
      </w:r>
      <w:r>
        <w:rPr>
          <w:rFonts w:hint="eastAsia" w:cs="宋体"/>
          <w:bCs/>
          <w:color w:val="auto"/>
          <w:kern w:val="2"/>
          <w:szCs w:val="24"/>
        </w:rPr>
        <w:t>月</w:t>
      </w:r>
      <w:r>
        <w:rPr>
          <w:rFonts w:hint="eastAsia" w:cs="宋体"/>
          <w:bCs/>
          <w:color w:val="auto"/>
          <w:kern w:val="2"/>
          <w:szCs w:val="24"/>
          <w:lang w:val="en-US" w:eastAsia="zh-CN"/>
        </w:rPr>
        <w:t>27</w:t>
      </w:r>
      <w:r>
        <w:rPr>
          <w:rFonts w:hint="eastAsia" w:cs="宋体"/>
          <w:bCs/>
          <w:color w:val="auto"/>
          <w:kern w:val="2"/>
          <w:szCs w:val="24"/>
        </w:rPr>
        <w:t>日上午1</w:t>
      </w:r>
      <w:r>
        <w:rPr>
          <w:rFonts w:hint="eastAsia" w:cs="宋体"/>
          <w:bCs/>
          <w:kern w:val="2"/>
          <w:szCs w:val="24"/>
        </w:rPr>
        <w:t>0：30时（北京时间）。若逾时，届时其投标将被拒绝。</w:t>
      </w:r>
    </w:p>
    <w:p>
      <w:pPr>
        <w:pStyle w:val="14"/>
        <w:spacing w:before="75" w:beforeAutospacing="0" w:after="75" w:afterAutospacing="0"/>
        <w:rPr>
          <w:rFonts w:cs="宋体"/>
          <w:bCs/>
          <w:kern w:val="2"/>
          <w:szCs w:val="24"/>
        </w:rPr>
      </w:pPr>
      <w:r>
        <w:rPr>
          <w:rFonts w:hint="eastAsia" w:cs="宋体"/>
          <w:bCs/>
          <w:kern w:val="2"/>
          <w:szCs w:val="24"/>
        </w:rPr>
        <w:t>6、开标地点：新疆中工建辉工程咨询有限公司开标厅（库尔勒市欢乐海岸3号楼16层）</w:t>
      </w:r>
    </w:p>
    <w:p>
      <w:pPr>
        <w:pStyle w:val="14"/>
        <w:spacing w:before="75" w:beforeAutospacing="0" w:after="75" w:afterAutospacing="0"/>
        <w:rPr>
          <w:rFonts w:cs="宋体"/>
          <w:bCs/>
          <w:kern w:val="2"/>
          <w:szCs w:val="24"/>
        </w:rPr>
      </w:pPr>
      <w:r>
        <w:rPr>
          <w:rFonts w:hint="eastAsia" w:cs="宋体"/>
          <w:bCs/>
          <w:kern w:val="2"/>
          <w:szCs w:val="24"/>
        </w:rPr>
        <w:t>六、联系方式</w:t>
      </w:r>
      <w:r>
        <w:rPr>
          <w:rFonts w:hint="eastAsia" w:cs="宋体"/>
          <w:bCs/>
          <w:kern w:val="2"/>
          <w:szCs w:val="24"/>
        </w:rPr>
        <w:br w:type="textWrapping"/>
      </w:r>
      <w:r>
        <w:rPr>
          <w:rFonts w:hint="eastAsia" w:cs="宋体"/>
          <w:bCs/>
          <w:kern w:val="2"/>
          <w:szCs w:val="24"/>
        </w:rPr>
        <w:t>代理公司名称：新疆中工建辉工程咨询有限公司</w:t>
      </w:r>
      <w:r>
        <w:rPr>
          <w:rFonts w:hint="eastAsia" w:cs="宋体"/>
          <w:bCs/>
          <w:kern w:val="2"/>
          <w:szCs w:val="24"/>
        </w:rPr>
        <w:br w:type="textWrapping"/>
      </w:r>
      <w:r>
        <w:rPr>
          <w:rFonts w:hint="eastAsia" w:cs="宋体"/>
          <w:bCs/>
          <w:kern w:val="2"/>
          <w:szCs w:val="24"/>
        </w:rPr>
        <w:t>联系人：</w:t>
      </w:r>
      <w:r>
        <w:rPr>
          <w:rFonts w:hint="eastAsia" w:cs="宋体"/>
          <w:bCs/>
          <w:kern w:val="2"/>
          <w:szCs w:val="24"/>
          <w:lang w:val="en-US" w:eastAsia="zh-CN"/>
        </w:rPr>
        <w:t>付晓辉</w:t>
      </w:r>
      <w:r>
        <w:rPr>
          <w:rFonts w:hint="eastAsia" w:cs="宋体"/>
          <w:bCs/>
          <w:kern w:val="2"/>
          <w:szCs w:val="24"/>
        </w:rPr>
        <w:t>　</w:t>
      </w:r>
    </w:p>
    <w:p>
      <w:pPr>
        <w:pStyle w:val="14"/>
        <w:spacing w:before="75" w:beforeAutospacing="0" w:after="75" w:afterAutospacing="0"/>
        <w:rPr>
          <w:rFonts w:hint="eastAsia" w:cs="宋体"/>
          <w:bCs/>
          <w:kern w:val="2"/>
          <w:szCs w:val="24"/>
          <w:lang w:val="en-US" w:eastAsia="zh-CN"/>
        </w:rPr>
      </w:pPr>
      <w:r>
        <w:rPr>
          <w:rFonts w:hint="eastAsia" w:cs="宋体"/>
          <w:bCs/>
          <w:kern w:val="2"/>
          <w:szCs w:val="24"/>
        </w:rPr>
        <w:t>联系电话：</w:t>
      </w:r>
      <w:r>
        <w:rPr>
          <w:rFonts w:hint="eastAsia" w:cs="宋体"/>
          <w:bCs/>
          <w:kern w:val="2"/>
          <w:szCs w:val="24"/>
          <w:lang w:val="en-US" w:eastAsia="zh-CN"/>
        </w:rPr>
        <w:t>18099592556</w:t>
      </w:r>
    </w:p>
    <w:p>
      <w:pPr>
        <w:pStyle w:val="14"/>
        <w:spacing w:before="75" w:beforeAutospacing="0" w:after="75" w:afterAutospacing="0"/>
        <w:rPr>
          <w:rFonts w:cs="宋体"/>
          <w:bCs/>
          <w:color w:val="auto"/>
          <w:kern w:val="2"/>
          <w:szCs w:val="24"/>
        </w:rPr>
      </w:pPr>
      <w:r>
        <w:rPr>
          <w:rFonts w:hint="eastAsia" w:cs="宋体"/>
          <w:bCs/>
          <w:color w:val="auto"/>
          <w:kern w:val="2"/>
          <w:szCs w:val="24"/>
        </w:rPr>
        <w:t>采购单位：</w:t>
      </w:r>
      <w:r>
        <w:rPr>
          <w:rFonts w:hint="eastAsia" w:cs="宋体"/>
          <w:bCs/>
          <w:color w:val="auto"/>
          <w:kern w:val="2"/>
          <w:szCs w:val="24"/>
          <w:lang w:val="en-US" w:eastAsia="zh-CN"/>
        </w:rPr>
        <w:t>若羌县</w:t>
      </w:r>
      <w:r>
        <w:rPr>
          <w:rFonts w:hint="eastAsia" w:cs="宋体"/>
          <w:bCs/>
          <w:color w:val="auto"/>
          <w:kern w:val="2"/>
          <w:szCs w:val="24"/>
        </w:rPr>
        <w:t>住房和城乡建设局</w:t>
      </w:r>
    </w:p>
    <w:p>
      <w:pPr>
        <w:pStyle w:val="14"/>
        <w:spacing w:before="75" w:beforeAutospacing="0" w:after="75" w:afterAutospacing="0"/>
        <w:rPr>
          <w:rFonts w:hint="eastAsia" w:cs="宋体"/>
          <w:bCs/>
          <w:color w:val="auto"/>
          <w:kern w:val="2"/>
          <w:szCs w:val="24"/>
        </w:rPr>
      </w:pPr>
      <w:r>
        <w:rPr>
          <w:rFonts w:hint="eastAsia" w:cs="宋体"/>
          <w:bCs/>
          <w:color w:val="auto"/>
          <w:kern w:val="2"/>
          <w:szCs w:val="24"/>
        </w:rPr>
        <w:t>联 系 人：张定超</w:t>
      </w:r>
    </w:p>
    <w:p>
      <w:pPr>
        <w:pStyle w:val="14"/>
        <w:spacing w:before="75" w:beforeAutospacing="0" w:after="75" w:afterAutospacing="0"/>
        <w:rPr>
          <w:rFonts w:cs="宋体"/>
          <w:bCs/>
          <w:color w:val="auto"/>
          <w:kern w:val="2"/>
          <w:szCs w:val="24"/>
        </w:rPr>
      </w:pPr>
      <w:r>
        <w:rPr>
          <w:rFonts w:hint="eastAsia" w:cs="宋体"/>
          <w:bCs/>
          <w:color w:val="auto"/>
          <w:kern w:val="2"/>
          <w:szCs w:val="24"/>
        </w:rPr>
        <w:t>联系电话：</w:t>
      </w:r>
      <w:r>
        <w:rPr>
          <w:rFonts w:hint="eastAsia" w:cs="宋体"/>
          <w:bCs/>
          <w:color w:val="auto"/>
          <w:kern w:val="2"/>
          <w:szCs w:val="24"/>
          <w:lang w:val="en-US" w:eastAsia="zh-CN"/>
        </w:rPr>
        <w:t>18299775378</w:t>
      </w: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4"/>
        <w:spacing w:before="75" w:beforeAutospacing="0" w:after="75" w:afterAutospacing="0"/>
        <w:ind w:firstLine="5760" w:firstLineChars="2400"/>
        <w:rPr>
          <w:rFonts w:cs="宋体"/>
          <w:bCs/>
          <w:kern w:val="2"/>
          <w:szCs w:val="24"/>
        </w:rPr>
      </w:pPr>
      <w:r>
        <w:rPr>
          <w:rFonts w:hint="eastAsia" w:cs="宋体"/>
          <w:bCs/>
          <w:kern w:val="2"/>
          <w:szCs w:val="24"/>
        </w:rPr>
        <w:t>2022年</w:t>
      </w:r>
      <w:r>
        <w:rPr>
          <w:rFonts w:hint="eastAsia" w:cs="宋体"/>
          <w:bCs/>
          <w:kern w:val="2"/>
          <w:szCs w:val="24"/>
          <w:lang w:val="en-US" w:eastAsia="zh-CN"/>
        </w:rPr>
        <w:t>6</w:t>
      </w:r>
      <w:r>
        <w:rPr>
          <w:rFonts w:hint="eastAsia" w:cs="宋体"/>
          <w:bCs/>
          <w:kern w:val="2"/>
          <w:szCs w:val="24"/>
        </w:rPr>
        <w:t>月</w:t>
      </w:r>
      <w:r>
        <w:rPr>
          <w:rFonts w:hint="eastAsia" w:cs="宋体"/>
          <w:bCs/>
          <w:kern w:val="2"/>
          <w:szCs w:val="24"/>
          <w:lang w:val="en-US" w:eastAsia="zh-CN"/>
        </w:rPr>
        <w:t>16</w:t>
      </w:r>
      <w:r>
        <w:rPr>
          <w:rFonts w:hint="eastAsia" w:cs="宋体"/>
          <w:bCs/>
          <w:kern w:val="2"/>
          <w:szCs w:val="24"/>
        </w:rPr>
        <w:t>日</w:t>
      </w: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jc w:val="both"/>
        <w:rPr>
          <w:rFonts w:cs="宋体"/>
          <w:b/>
          <w:kern w:val="2"/>
          <w:szCs w:val="24"/>
        </w:rPr>
      </w:pPr>
    </w:p>
    <w:p>
      <w:pPr>
        <w:pStyle w:val="14"/>
        <w:spacing w:before="75" w:beforeAutospacing="0" w:after="75" w:afterAutospacing="0"/>
        <w:jc w:val="center"/>
        <w:rPr>
          <w:rFonts w:cs="宋体"/>
          <w:b/>
          <w:kern w:val="2"/>
          <w:szCs w:val="24"/>
        </w:rPr>
      </w:pPr>
      <w:r>
        <w:rPr>
          <w:rFonts w:hint="eastAsia" w:cs="宋体"/>
          <w:b/>
          <w:kern w:val="2"/>
          <w:szCs w:val="24"/>
        </w:rPr>
        <w:t>二、投标单位须知</w:t>
      </w:r>
      <w:bookmarkEnd w:id="9"/>
      <w:bookmarkEnd w:id="10"/>
    </w:p>
    <w:p>
      <w:pPr>
        <w:jc w:val="center"/>
        <w:rPr>
          <w:rFonts w:ascii="宋体" w:hAnsi="宋体" w:cs="宋体"/>
          <w:b/>
          <w:color w:val="FF0000"/>
          <w:sz w:val="28"/>
          <w:szCs w:val="28"/>
        </w:rPr>
      </w:pPr>
      <w:bookmarkStart w:id="11" w:name="_Toc21720"/>
      <w:r>
        <w:rPr>
          <w:rFonts w:hint="eastAsia"/>
          <w:b/>
          <w:sz w:val="28"/>
          <w:szCs w:val="28"/>
        </w:rPr>
        <w:t>投标单位须知前附表</w:t>
      </w:r>
      <w:bookmarkEnd w:id="11"/>
    </w:p>
    <w:tbl>
      <w:tblPr>
        <w:tblStyle w:val="36"/>
        <w:tblW w:w="9523"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6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689"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若羌县全国第一次自然灾害综合风险普查涉及房屋建筑和市政设施普查项目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689" w:type="dxa"/>
            <w:vAlign w:val="center"/>
          </w:tcPr>
          <w:p>
            <w:pPr>
              <w:pStyle w:val="14"/>
              <w:spacing w:before="75" w:beforeAutospacing="0" w:after="75" w:afterAutospacing="0"/>
              <w:rPr>
                <w:rFonts w:cs="宋体"/>
                <w:bCs/>
                <w:color w:val="auto"/>
                <w:kern w:val="2"/>
                <w:szCs w:val="24"/>
              </w:rPr>
            </w:pPr>
            <w:r>
              <w:rPr>
                <w:rFonts w:hint="eastAsia" w:cs="宋体"/>
                <w:bCs/>
                <w:kern w:val="2"/>
                <w:szCs w:val="24"/>
              </w:rPr>
              <w:t>名  称：</w:t>
            </w:r>
            <w:r>
              <w:rPr>
                <w:rFonts w:hint="eastAsia" w:cs="宋体"/>
                <w:bCs/>
                <w:color w:val="auto"/>
                <w:kern w:val="2"/>
                <w:szCs w:val="24"/>
                <w:lang w:val="en-US" w:eastAsia="zh-CN"/>
              </w:rPr>
              <w:t>若羌县</w:t>
            </w:r>
            <w:r>
              <w:rPr>
                <w:rFonts w:hint="eastAsia" w:cs="宋体"/>
                <w:bCs/>
                <w:color w:val="auto"/>
                <w:kern w:val="2"/>
                <w:szCs w:val="24"/>
              </w:rPr>
              <w:t>住房和城乡建设局</w:t>
            </w:r>
          </w:p>
          <w:p>
            <w:pPr>
              <w:pStyle w:val="14"/>
              <w:spacing w:before="75" w:beforeAutospacing="0" w:after="75" w:afterAutospacing="0"/>
              <w:rPr>
                <w:rFonts w:cs="宋体"/>
                <w:bCs/>
                <w:kern w:val="2"/>
                <w:szCs w:val="24"/>
              </w:rPr>
            </w:pPr>
            <w:r>
              <w:rPr>
                <w:rFonts w:hint="eastAsia" w:cs="宋体"/>
                <w:bCs/>
                <w:kern w:val="2"/>
                <w:szCs w:val="24"/>
              </w:rPr>
              <w:t xml:space="preserve">地  址：若羌县               </w:t>
            </w:r>
          </w:p>
          <w:p>
            <w:pPr>
              <w:pStyle w:val="14"/>
              <w:spacing w:before="75" w:beforeAutospacing="0" w:after="75" w:afterAutospacing="0"/>
              <w:rPr>
                <w:rFonts w:hint="eastAsia" w:cs="宋体"/>
                <w:bCs/>
                <w:kern w:val="2"/>
                <w:szCs w:val="24"/>
              </w:rPr>
            </w:pPr>
            <w:r>
              <w:rPr>
                <w:rFonts w:hint="eastAsia" w:cs="宋体"/>
                <w:bCs/>
                <w:kern w:val="2"/>
                <w:szCs w:val="24"/>
              </w:rPr>
              <w:t xml:space="preserve">联系人: </w:t>
            </w:r>
            <w:r>
              <w:rPr>
                <w:rFonts w:hint="eastAsia" w:cs="宋体"/>
                <w:bCs/>
                <w:color w:val="auto"/>
                <w:kern w:val="2"/>
                <w:szCs w:val="24"/>
              </w:rPr>
              <w:t>张定超</w:t>
            </w:r>
          </w:p>
          <w:p>
            <w:pPr>
              <w:pStyle w:val="14"/>
              <w:spacing w:before="75" w:beforeAutospacing="0" w:after="75" w:afterAutospacing="0"/>
              <w:rPr>
                <w:rFonts w:cs="宋体"/>
                <w:bCs/>
                <w:kern w:val="2"/>
                <w:szCs w:val="24"/>
              </w:rPr>
            </w:pPr>
            <w:r>
              <w:rPr>
                <w:rFonts w:hint="eastAsia" w:cs="宋体"/>
                <w:bCs/>
                <w:kern w:val="2"/>
                <w:szCs w:val="24"/>
              </w:rPr>
              <w:t>联系电话：18299775378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4"/>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4"/>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p>
          <w:p>
            <w:pPr>
              <w:pStyle w:val="14"/>
              <w:spacing w:before="75" w:beforeAutospacing="0" w:after="75" w:afterAutospacing="0"/>
              <w:rPr>
                <w:rFonts w:cs="宋体"/>
                <w:bCs/>
                <w:kern w:val="2"/>
                <w:szCs w:val="24"/>
              </w:rPr>
            </w:pPr>
            <w:r>
              <w:rPr>
                <w:rFonts w:hint="eastAsia" w:cs="宋体"/>
                <w:bCs/>
                <w:kern w:val="2"/>
                <w:szCs w:val="24"/>
              </w:rPr>
              <w:t>联系电话：</w:t>
            </w:r>
            <w:r>
              <w:rPr>
                <w:rFonts w:hint="eastAsia" w:cs="宋体"/>
                <w:bCs/>
                <w:kern w:val="2"/>
                <w:szCs w:val="24"/>
                <w:lang w:val="en-US" w:eastAsia="zh-CN"/>
              </w:rPr>
              <w:t>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资金来源：财 政</w:t>
            </w:r>
          </w:p>
          <w:p>
            <w:pPr>
              <w:pStyle w:val="14"/>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lang w:val="en-US" w:eastAsia="zh-CN"/>
              </w:rPr>
              <w:t>90</w:t>
            </w:r>
            <w:r>
              <w:rPr>
                <w:rFonts w:hint="eastAsia" w:cs="宋体"/>
                <w:bCs/>
                <w:kern w:val="2"/>
                <w:szCs w:val="24"/>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投标单位资格条件</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4"/>
              <w:spacing w:before="75" w:beforeAutospacing="0" w:after="75" w:afterAutospacing="0"/>
              <w:rPr>
                <w:rFonts w:cs="宋体"/>
                <w:bCs/>
                <w:kern w:val="2"/>
                <w:szCs w:val="24"/>
              </w:rPr>
            </w:pPr>
            <w:r>
              <w:rPr>
                <w:rFonts w:hint="eastAsia" w:cs="宋体"/>
                <w:bCs/>
                <w:kern w:val="2"/>
                <w:szCs w:val="24"/>
              </w:rPr>
              <w:t>（2）</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cs="宋体"/>
                <w:bCs/>
                <w:kern w:val="2"/>
                <w:szCs w:val="24"/>
              </w:rPr>
            </w:pPr>
            <w:r>
              <w:rPr>
                <w:rFonts w:hint="eastAsia" w:cs="宋体"/>
                <w:bCs/>
                <w:kern w:val="2"/>
                <w:szCs w:val="24"/>
              </w:rPr>
              <w:t>（4）、2020年度财务审计报告（成立未满一年的公司可以不提供2020年度财务审计报告，但是必须提供财务报表。财务报表内容必须包含资产、负债、现金等报表或提供银行资信证明）； </w:t>
            </w:r>
          </w:p>
          <w:p>
            <w:pPr>
              <w:pStyle w:val="14"/>
              <w:spacing w:before="75" w:beforeAutospacing="0" w:after="75" w:afterAutospacing="0"/>
              <w:rPr>
                <w:rFonts w:cs="宋体"/>
                <w:bCs/>
                <w:kern w:val="2"/>
                <w:szCs w:val="24"/>
              </w:rPr>
            </w:pPr>
            <w:r>
              <w:rPr>
                <w:rFonts w:hint="eastAsia" w:cs="宋体"/>
                <w:bCs/>
                <w:kern w:val="2"/>
                <w:szCs w:val="24"/>
              </w:rPr>
              <w:t>（5）、投标保证金：</w:t>
            </w:r>
            <w:r>
              <w:rPr>
                <w:rFonts w:hint="eastAsia" w:cs="宋体"/>
                <w:bCs/>
                <w:kern w:val="2"/>
                <w:szCs w:val="24"/>
                <w:lang w:val="en-US" w:eastAsia="zh-CN"/>
              </w:rPr>
              <w:t>壹万捌仟</w:t>
            </w:r>
            <w:r>
              <w:rPr>
                <w:rFonts w:hint="eastAsia" w:cs="宋体"/>
                <w:bCs/>
                <w:kern w:val="2"/>
                <w:szCs w:val="24"/>
              </w:rPr>
              <w:t xml:space="preserve">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联合体投标    </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4"/>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备选方案</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4"/>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信息公告媒体</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响应文件递交截止时间</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2022年</w:t>
            </w:r>
            <w:r>
              <w:rPr>
                <w:rFonts w:hint="eastAsia" w:cs="宋体"/>
                <w:bCs/>
                <w:kern w:val="2"/>
                <w:szCs w:val="24"/>
                <w:lang w:val="en-US" w:eastAsia="zh-CN"/>
              </w:rPr>
              <w:t>6</w:t>
            </w:r>
            <w:r>
              <w:rPr>
                <w:rFonts w:hint="eastAsia" w:cs="宋体"/>
                <w:bCs/>
                <w:kern w:val="2"/>
                <w:szCs w:val="24"/>
              </w:rPr>
              <w:t>月</w:t>
            </w:r>
            <w:r>
              <w:rPr>
                <w:rFonts w:hint="eastAsia" w:cs="宋体"/>
                <w:bCs/>
                <w:color w:val="auto"/>
                <w:kern w:val="2"/>
                <w:szCs w:val="24"/>
                <w:lang w:val="en-US" w:eastAsia="zh-CN"/>
              </w:rPr>
              <w:t>27</w:t>
            </w:r>
            <w:r>
              <w:rPr>
                <w:rFonts w:hint="eastAsia" w:cs="宋体"/>
                <w:bCs/>
                <w:kern w:val="2"/>
                <w:szCs w:val="24"/>
              </w:rPr>
              <w:t>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开标地点及投标文件递交</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蹉商地址：新疆中工建辉工程咨询有限公司开标厅（库尔勒市欢乐海岸3号楼16层）。</w:t>
            </w:r>
          </w:p>
          <w:p>
            <w:pPr>
              <w:pStyle w:val="14"/>
              <w:spacing w:before="75" w:beforeAutospacing="0" w:after="75" w:afterAutospacing="0"/>
              <w:rPr>
                <w:rFonts w:cs="宋体"/>
                <w:bCs/>
                <w:kern w:val="2"/>
                <w:szCs w:val="24"/>
              </w:rPr>
            </w:pPr>
            <w:r>
              <w:rPr>
                <w:rFonts w:hint="eastAsia" w:cs="宋体"/>
                <w:bCs/>
                <w:kern w:val="2"/>
                <w:szCs w:val="24"/>
              </w:rPr>
              <w:t>投标人应于2022年</w:t>
            </w:r>
            <w:r>
              <w:rPr>
                <w:rFonts w:hint="eastAsia" w:cs="宋体"/>
                <w:bCs/>
                <w:kern w:val="2"/>
                <w:szCs w:val="24"/>
                <w:lang w:val="en-US" w:eastAsia="zh-CN"/>
              </w:rPr>
              <w:t>6</w:t>
            </w:r>
            <w:r>
              <w:rPr>
                <w:rFonts w:hint="eastAsia" w:cs="宋体"/>
                <w:bCs/>
                <w:kern w:val="2"/>
                <w:szCs w:val="24"/>
              </w:rPr>
              <w:t>月</w:t>
            </w:r>
            <w:r>
              <w:rPr>
                <w:rFonts w:hint="eastAsia" w:cs="宋体"/>
                <w:bCs/>
                <w:kern w:val="2"/>
                <w:szCs w:val="24"/>
                <w:lang w:val="en-US" w:eastAsia="zh-CN"/>
              </w:rPr>
              <w:t>27</w:t>
            </w:r>
            <w:r>
              <w:rPr>
                <w:rFonts w:hint="eastAsia" w:cs="宋体"/>
                <w:bCs/>
                <w:kern w:val="2"/>
                <w:szCs w:val="24"/>
              </w:rPr>
              <w:t xml:space="preserve">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招标采购单位依法组建磋商小组共5人组成</w:t>
            </w:r>
          </w:p>
          <w:p>
            <w:pPr>
              <w:pStyle w:val="14"/>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4"/>
              <w:spacing w:before="75" w:beforeAutospacing="0" w:after="75" w:afterAutospacing="0"/>
              <w:rPr>
                <w:rFonts w:cs="宋体"/>
                <w:bCs/>
                <w:kern w:val="2"/>
                <w:szCs w:val="24"/>
              </w:rPr>
            </w:pPr>
            <w:r>
              <w:rPr>
                <w:rFonts w:hint="eastAsia" w:cs="宋体"/>
                <w:bCs/>
                <w:kern w:val="2"/>
                <w:szCs w:val="24"/>
              </w:rPr>
              <w:t>磋商保证金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金额（小写）：</w:t>
            </w:r>
            <w:r>
              <w:rPr>
                <w:rFonts w:hint="eastAsia" w:cs="宋体"/>
                <w:bCs/>
                <w:kern w:val="2"/>
                <w:szCs w:val="24"/>
                <w:lang w:val="en-US" w:eastAsia="zh-CN"/>
              </w:rPr>
              <w:t>18000</w:t>
            </w:r>
            <w:r>
              <w:rPr>
                <w:rFonts w:hint="eastAsia" w:cs="宋体"/>
                <w:bCs/>
                <w:kern w:val="2"/>
                <w:szCs w:val="24"/>
              </w:rPr>
              <w:t xml:space="preserve">.00元                                    </w:t>
            </w:r>
          </w:p>
          <w:p>
            <w:pPr>
              <w:pStyle w:val="14"/>
              <w:spacing w:before="75" w:beforeAutospacing="0" w:after="75" w:afterAutospacing="0"/>
              <w:rPr>
                <w:rFonts w:cs="宋体"/>
                <w:bCs/>
                <w:kern w:val="2"/>
                <w:szCs w:val="24"/>
              </w:rPr>
            </w:pPr>
            <w:r>
              <w:rPr>
                <w:rFonts w:hint="eastAsia" w:cs="宋体"/>
                <w:bCs/>
                <w:kern w:val="2"/>
                <w:szCs w:val="24"/>
              </w:rPr>
              <w:t xml:space="preserve">金额（大写）：贰万元整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投标保证金金额：</w:t>
            </w:r>
            <w:r>
              <w:rPr>
                <w:rFonts w:hint="eastAsia" w:cs="宋体"/>
                <w:bCs/>
                <w:kern w:val="2"/>
                <w:szCs w:val="24"/>
                <w:lang w:val="en-US" w:eastAsia="zh-CN"/>
              </w:rPr>
              <w:t>壹万捌仟</w:t>
            </w:r>
            <w:r>
              <w:rPr>
                <w:rFonts w:hint="eastAsia" w:cs="宋体"/>
                <w:bCs/>
                <w:kern w:val="2"/>
                <w:szCs w:val="24"/>
              </w:rPr>
              <w:t>元整（</w:t>
            </w:r>
            <w:r>
              <w:rPr>
                <w:rFonts w:hint="eastAsia" w:cs="宋体"/>
                <w:bCs/>
                <w:kern w:val="2"/>
                <w:szCs w:val="24"/>
                <w:lang w:val="en-US" w:eastAsia="zh-CN"/>
              </w:rPr>
              <w:t>18000</w:t>
            </w:r>
            <w:r>
              <w:rPr>
                <w:rFonts w:hint="eastAsia" w:cs="宋体"/>
                <w:bCs/>
                <w:kern w:val="2"/>
                <w:szCs w:val="24"/>
              </w:rPr>
              <w:t>元整）</w:t>
            </w:r>
          </w:p>
          <w:p>
            <w:pPr>
              <w:pStyle w:val="14"/>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4"/>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到账截止时间：2022年</w:t>
            </w:r>
            <w:r>
              <w:rPr>
                <w:rFonts w:hint="eastAsia" w:cs="宋体"/>
                <w:bCs/>
                <w:kern w:val="2"/>
                <w:szCs w:val="24"/>
                <w:lang w:val="en-US" w:eastAsia="zh-CN"/>
              </w:rPr>
              <w:t>6</w:t>
            </w:r>
            <w:r>
              <w:rPr>
                <w:rFonts w:hint="eastAsia" w:cs="宋体"/>
                <w:bCs/>
                <w:kern w:val="2"/>
                <w:szCs w:val="24"/>
              </w:rPr>
              <w:t>月</w:t>
            </w:r>
            <w:r>
              <w:rPr>
                <w:rFonts w:hint="eastAsia" w:cs="宋体"/>
                <w:bCs/>
                <w:kern w:val="2"/>
                <w:szCs w:val="24"/>
                <w:lang w:val="en-US" w:eastAsia="zh-CN"/>
              </w:rPr>
              <w:t>27</w:t>
            </w:r>
            <w:r>
              <w:rPr>
                <w:rFonts w:hint="eastAsia" w:cs="宋体"/>
                <w:bCs/>
                <w:kern w:val="2"/>
                <w:szCs w:val="24"/>
              </w:rPr>
              <w:t>日1</w:t>
            </w:r>
            <w:r>
              <w:rPr>
                <w:rFonts w:hint="eastAsia" w:cs="宋体"/>
                <w:bCs/>
                <w:kern w:val="2"/>
                <w:szCs w:val="24"/>
                <w:lang w:val="en-US" w:eastAsia="zh-CN"/>
              </w:rPr>
              <w:t>0</w:t>
            </w:r>
            <w:r>
              <w:rPr>
                <w:rFonts w:hint="eastAsia" w:cs="宋体"/>
                <w:bCs/>
                <w:kern w:val="2"/>
                <w:szCs w:val="24"/>
              </w:rPr>
              <w:t>：</w:t>
            </w:r>
            <w:r>
              <w:rPr>
                <w:rFonts w:hint="eastAsia" w:cs="宋体"/>
                <w:bCs/>
                <w:kern w:val="2"/>
                <w:szCs w:val="24"/>
                <w:lang w:val="en-US" w:eastAsia="zh-CN"/>
              </w:rPr>
              <w:t>00</w:t>
            </w:r>
            <w:r>
              <w:rPr>
                <w:rFonts w:hint="eastAsia" w:cs="宋体"/>
                <w:bCs/>
                <w:kern w:val="2"/>
                <w:szCs w:val="24"/>
              </w:rPr>
              <w:t>北京时间）</w:t>
            </w:r>
          </w:p>
          <w:p>
            <w:pPr>
              <w:pStyle w:val="14"/>
              <w:spacing w:before="75" w:beforeAutospacing="0" w:after="75" w:afterAutospacing="0"/>
              <w:rPr>
                <w:rFonts w:cs="宋体"/>
                <w:bCs/>
                <w:kern w:val="2"/>
                <w:szCs w:val="24"/>
              </w:rPr>
            </w:pPr>
            <w:r>
              <w:rPr>
                <w:rFonts w:hint="eastAsia" w:cs="宋体"/>
                <w:bCs/>
                <w:kern w:val="2"/>
                <w:szCs w:val="24"/>
              </w:rPr>
              <w:t>注：（1）用转账或银行电汇提交保证金的，应当从其基本账户转入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4"/>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eastAsia="zh-CN"/>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评审办法</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磋商有效期</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标前准备</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4"/>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踏勘现场</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代理服务费</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履约保证金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质量标准</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21</w:t>
            </w:r>
          </w:p>
        </w:tc>
        <w:tc>
          <w:tcPr>
            <w:tcW w:w="2717" w:type="dxa"/>
            <w:vAlign w:val="center"/>
          </w:tcPr>
          <w:p>
            <w:pPr>
              <w:pStyle w:val="14"/>
              <w:spacing w:before="75" w:beforeAutospacing="0" w:after="75" w:afterAutospacing="0"/>
              <w:rPr>
                <w:rFonts w:hint="eastAsia" w:cs="宋体"/>
                <w:bCs/>
                <w:kern w:val="2"/>
                <w:szCs w:val="24"/>
              </w:rPr>
            </w:pPr>
            <w:r>
              <w:rPr>
                <w:rFonts w:hint="eastAsia" w:cs="宋体"/>
                <w:bCs/>
                <w:kern w:val="2"/>
                <w:szCs w:val="24"/>
              </w:rPr>
              <w:t>合同履约期限</w:t>
            </w:r>
          </w:p>
        </w:tc>
        <w:tc>
          <w:tcPr>
            <w:tcW w:w="5689" w:type="dxa"/>
            <w:vAlign w:val="center"/>
          </w:tcPr>
          <w:p>
            <w:pPr>
              <w:pStyle w:val="14"/>
              <w:spacing w:before="75" w:beforeAutospacing="0" w:after="75" w:afterAutospacing="0"/>
              <w:rPr>
                <w:rFonts w:hint="eastAsia" w:eastAsia="宋体" w:cs="宋体"/>
                <w:bCs/>
                <w:kern w:val="2"/>
                <w:szCs w:val="24"/>
                <w:lang w:val="en-US" w:eastAsia="zh-CN"/>
              </w:rPr>
            </w:pPr>
            <w:r>
              <w:rPr>
                <w:rFonts w:hint="eastAsia" w:cs="宋体"/>
                <w:bCs/>
                <w:kern w:val="2"/>
                <w:szCs w:val="24"/>
                <w:lang w:val="en-US" w:eastAsia="zh-CN"/>
              </w:rPr>
              <w:t>30天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23</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招标文件解密时间</w:t>
            </w:r>
          </w:p>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开标时间后30分钟内（2022年</w:t>
            </w:r>
            <w:r>
              <w:rPr>
                <w:rFonts w:hint="eastAsia" w:cs="宋体"/>
                <w:bCs/>
                <w:color w:val="auto"/>
                <w:kern w:val="2"/>
                <w:szCs w:val="24"/>
                <w:lang w:val="en-US" w:eastAsia="zh-CN"/>
              </w:rPr>
              <w:t>6</w:t>
            </w:r>
            <w:r>
              <w:rPr>
                <w:rFonts w:hint="eastAsia" w:cs="宋体"/>
                <w:bCs/>
                <w:color w:val="auto"/>
                <w:kern w:val="2"/>
                <w:szCs w:val="24"/>
              </w:rPr>
              <w:t>月</w:t>
            </w:r>
            <w:r>
              <w:rPr>
                <w:rFonts w:hint="eastAsia" w:cs="宋体"/>
                <w:bCs/>
                <w:color w:val="auto"/>
                <w:kern w:val="2"/>
                <w:szCs w:val="24"/>
                <w:lang w:val="en-US" w:eastAsia="zh-CN"/>
              </w:rPr>
              <w:t>27</w:t>
            </w:r>
            <w:r>
              <w:rPr>
                <w:rFonts w:hint="eastAsia" w:cs="宋体"/>
                <w:bCs/>
                <w:color w:val="auto"/>
                <w:kern w:val="2"/>
                <w:szCs w:val="24"/>
              </w:rPr>
              <w:t>日上午10:30-11：00前）供应商可以登录“政采云”平台，用“项目采购-开标评标”功能进行解密投标文件。若供应商在规定时间内（2022年</w:t>
            </w:r>
            <w:r>
              <w:rPr>
                <w:rFonts w:hint="eastAsia" w:cs="宋体"/>
                <w:bCs/>
                <w:color w:val="auto"/>
                <w:kern w:val="2"/>
                <w:szCs w:val="24"/>
                <w:lang w:val="en-US" w:eastAsia="zh-CN"/>
              </w:rPr>
              <w:t>6</w:t>
            </w:r>
            <w:r>
              <w:rPr>
                <w:rFonts w:hint="eastAsia" w:cs="宋体"/>
                <w:bCs/>
                <w:color w:val="auto"/>
                <w:kern w:val="2"/>
                <w:szCs w:val="24"/>
              </w:rPr>
              <w:t>月</w:t>
            </w:r>
            <w:r>
              <w:rPr>
                <w:rFonts w:hint="eastAsia" w:cs="宋体"/>
                <w:bCs/>
                <w:color w:val="auto"/>
                <w:kern w:val="2"/>
                <w:szCs w:val="24"/>
                <w:lang w:val="en-US" w:eastAsia="zh-CN"/>
              </w:rPr>
              <w:t>27</w:t>
            </w:r>
            <w:r>
              <w:rPr>
                <w:rFonts w:hint="eastAsia" w:cs="宋体"/>
                <w:bCs/>
                <w:color w:val="auto"/>
                <w:kern w:val="2"/>
                <w:szCs w:val="24"/>
              </w:rPr>
              <w:t>日</w:t>
            </w:r>
            <w:r>
              <w:rPr>
                <w:rFonts w:hint="eastAsia" w:cs="宋体"/>
                <w:bCs/>
                <w:kern w:val="2"/>
                <w:szCs w:val="24"/>
              </w:rPr>
              <w:t>上午10:30前）</w:t>
            </w:r>
          </w:p>
          <w:p>
            <w:pPr>
              <w:pStyle w:val="14"/>
              <w:spacing w:before="75" w:beforeAutospacing="0" w:after="75" w:afterAutospacing="0"/>
              <w:rPr>
                <w:rFonts w:cs="宋体"/>
                <w:bCs/>
                <w:kern w:val="2"/>
                <w:szCs w:val="24"/>
              </w:rPr>
            </w:pPr>
            <w:r>
              <w:rPr>
                <w:rFonts w:hint="eastAsia" w:cs="宋体"/>
                <w:bCs/>
                <w:kern w:val="2"/>
                <w:szCs w:val="24"/>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689"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9"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406"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117" w:type="dxa"/>
            <w:vAlign w:val="center"/>
          </w:tcPr>
          <w:p>
            <w:pPr>
              <w:pStyle w:val="115"/>
              <w:spacing w:line="440" w:lineRule="exact"/>
              <w:jc w:val="center"/>
              <w:rPr>
                <w:bCs/>
                <w:kern w:val="2"/>
              </w:rPr>
            </w:pPr>
            <w:r>
              <w:rPr>
                <w:rFonts w:hint="eastAsia"/>
                <w:bCs/>
                <w:kern w:val="2"/>
              </w:rPr>
              <w:t>质疑须知</w:t>
            </w:r>
          </w:p>
        </w:tc>
        <w:tc>
          <w:tcPr>
            <w:tcW w:w="8406" w:type="dxa"/>
            <w:gridSpan w:val="2"/>
            <w:vAlign w:val="center"/>
          </w:tcPr>
          <w:p>
            <w:pPr>
              <w:pStyle w:val="115"/>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5"/>
              <w:spacing w:line="440" w:lineRule="exact"/>
              <w:jc w:val="both"/>
              <w:rPr>
                <w:bCs/>
                <w:kern w:val="2"/>
              </w:rPr>
            </w:pPr>
            <w:r>
              <w:rPr>
                <w:rFonts w:hint="eastAsia"/>
                <w:bCs/>
                <w:kern w:val="2"/>
              </w:rPr>
              <w:t>接受质疑的单位：新疆中工建辉工程咨询有限公司</w:t>
            </w:r>
          </w:p>
          <w:p>
            <w:pPr>
              <w:pStyle w:val="115"/>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0"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406" w:type="dxa"/>
            <w:gridSpan w:val="2"/>
            <w:vAlign w:val="center"/>
          </w:tcPr>
          <w:p>
            <w:pPr>
              <w:spacing w:line="440" w:lineRule="exact"/>
              <w:ind w:firstLine="470" w:firstLineChars="196"/>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0" w:firstLineChars="196"/>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hint="eastAsia"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hint="eastAsia"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4"/>
      </w:pPr>
      <w:bookmarkStart w:id="12" w:name="_Toc20823274"/>
      <w:bookmarkEnd w:id="12"/>
      <w:bookmarkStart w:id="13" w:name="_Toc16938518"/>
      <w:bookmarkEnd w:id="13"/>
      <w:bookmarkStart w:id="14" w:name="_Toc455227390"/>
      <w:bookmarkEnd w:id="14"/>
      <w:bookmarkStart w:id="15" w:name="_Toc120614213"/>
      <w:bookmarkEnd w:id="15"/>
      <w:bookmarkStart w:id="16" w:name="_Toc513029202"/>
      <w:bookmarkEnd w:id="16"/>
      <w:bookmarkStart w:id="17" w:name="_Toc11413"/>
      <w:bookmarkStart w:id="18" w:name="_Toc26751"/>
      <w:r>
        <w:rPr>
          <w:rFonts w:hint="eastAsia"/>
          <w:bCs/>
        </w:rPr>
        <w:t>一、说明</w:t>
      </w:r>
      <w:bookmarkEnd w:id="17"/>
      <w:bookmarkEnd w:id="18"/>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2"/>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2"/>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2"/>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2"/>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2"/>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2"/>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2"/>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2"/>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2"/>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4"/>
        <w:rPr>
          <w:rFonts w:ascii="宋体" w:hAnsi="宋体" w:cs="宋体"/>
          <w:sz w:val="24"/>
          <w:szCs w:val="24"/>
        </w:rPr>
      </w:pPr>
      <w:bookmarkStart w:id="19" w:name="_Toc293736011"/>
      <w:bookmarkStart w:id="20" w:name="_Toc293738992"/>
      <w:bookmarkStart w:id="21" w:name="_Toc446599311"/>
      <w:bookmarkStart w:id="22" w:name="_Toc27123"/>
      <w:bookmarkStart w:id="23" w:name="_Toc293736054"/>
      <w:bookmarkStart w:id="24" w:name="_Toc2362"/>
      <w:r>
        <w:rPr>
          <w:rFonts w:hint="eastAsia" w:ascii="宋体" w:hAnsi="宋体" w:cs="宋体"/>
          <w:sz w:val="24"/>
          <w:szCs w:val="24"/>
        </w:rPr>
        <w:t>二、磋商文件</w:t>
      </w:r>
      <w:bookmarkEnd w:id="19"/>
      <w:bookmarkEnd w:id="20"/>
      <w:bookmarkEnd w:id="21"/>
      <w:bookmarkEnd w:id="22"/>
      <w:bookmarkEnd w:id="23"/>
      <w:bookmarkEnd w:id="24"/>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2"/>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2"/>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2"/>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2"/>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2"/>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2"/>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2"/>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2"/>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2"/>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2"/>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2"/>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4"/>
        <w:rPr>
          <w:rFonts w:ascii="宋体" w:hAnsi="宋体" w:cs="宋体"/>
          <w:b w:val="0"/>
          <w:bCs/>
          <w:sz w:val="24"/>
          <w:szCs w:val="24"/>
        </w:rPr>
      </w:pPr>
      <w:bookmarkStart w:id="25" w:name="_Toc137"/>
      <w:bookmarkStart w:id="26" w:name="_Toc293736012"/>
      <w:bookmarkStart w:id="27" w:name="_Toc293738993"/>
      <w:bookmarkStart w:id="28" w:name="_Toc293736055"/>
      <w:bookmarkStart w:id="29" w:name="_Toc446599312"/>
      <w:bookmarkStart w:id="30" w:name="_Toc29642"/>
      <w:r>
        <w:rPr>
          <w:rFonts w:hint="eastAsia" w:ascii="宋体" w:hAnsi="宋体" w:cs="宋体"/>
          <w:sz w:val="24"/>
          <w:szCs w:val="24"/>
        </w:rPr>
        <w:t>三、响应文件的编制和数量</w:t>
      </w:r>
      <w:bookmarkEnd w:id="25"/>
      <w:bookmarkEnd w:id="26"/>
      <w:bookmarkEnd w:id="27"/>
      <w:bookmarkEnd w:id="28"/>
      <w:bookmarkEnd w:id="29"/>
      <w:bookmarkEnd w:id="30"/>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2"/>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2"/>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2"/>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2"/>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2"/>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2"/>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2"/>
        <w:spacing w:line="360" w:lineRule="auto"/>
        <w:ind w:firstLine="480"/>
        <w:rPr>
          <w:rFonts w:ascii="宋体" w:hAnsi="宋体" w:cs="宋体"/>
          <w:bCs/>
          <w:kern w:val="0"/>
          <w:sz w:val="24"/>
          <w:szCs w:val="24"/>
        </w:rPr>
      </w:pPr>
    </w:p>
    <w:p>
      <w:pPr>
        <w:pStyle w:val="4"/>
        <w:rPr>
          <w:rFonts w:ascii="宋体" w:hAnsi="宋体" w:cs="宋体"/>
          <w:b w:val="0"/>
          <w:bCs/>
          <w:sz w:val="24"/>
          <w:szCs w:val="24"/>
        </w:rPr>
      </w:pPr>
      <w:bookmarkStart w:id="31" w:name="_Toc293736056"/>
      <w:bookmarkStart w:id="32" w:name="_Toc293738994"/>
      <w:bookmarkStart w:id="33" w:name="_Toc446599313"/>
      <w:bookmarkStart w:id="34" w:name="_Toc8970"/>
      <w:bookmarkStart w:id="35" w:name="_Toc293736013"/>
      <w:bookmarkStart w:id="36" w:name="_Toc13278"/>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hint="eastAsia" w:ascii="宋体" w:hAnsi="宋体" w:eastAsia="宋体" w:cs="宋体"/>
          <w:b/>
          <w:kern w:val="2"/>
          <w:sz w:val="24"/>
          <w:szCs w:val="24"/>
          <w:lang w:val="en-US" w:eastAsia="zh-CN" w:bidi="ar-SA"/>
        </w:rPr>
      </w:pPr>
      <w:bookmarkStart w:id="37" w:name="_Toc293736014"/>
      <w:bookmarkStart w:id="38" w:name="_Toc293736057"/>
      <w:bookmarkStart w:id="39" w:name="_Toc293738995"/>
      <w:bookmarkStart w:id="40" w:name="_Toc446599314"/>
      <w:bookmarkStart w:id="41" w:name="_Toc9068"/>
      <w:bookmarkStart w:id="42" w:name="_Toc12422"/>
      <w:r>
        <w:rPr>
          <w:rFonts w:hint="eastAsia" w:ascii="宋体" w:hAnsi="宋体" w:eastAsia="宋体" w:cs="宋体"/>
          <w:b/>
          <w:kern w:val="2"/>
          <w:sz w:val="24"/>
          <w:szCs w:val="24"/>
          <w:lang w:val="en-US" w:eastAsia="zh-CN" w:bidi="ar-SA"/>
        </w:rPr>
        <w:t>4.1 投标文件的标记</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　任何不完整或不满足招标文件要求的投标文件将被拒绝。</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由于不可抗拒原因或无法控制的事件而导致的丢失或损坏投标包装体内的投标文件时，招标方将不负责任。</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4.2. 投标截止时间</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4.2.1</w:t>
      </w:r>
      <w:r>
        <w:rPr>
          <w:rFonts w:hint="eastAsia" w:ascii="宋体" w:hAnsi="宋体" w:eastAsia="宋体" w:cs="宋体"/>
          <w:bCs/>
          <w:kern w:val="0"/>
          <w:sz w:val="24"/>
          <w:szCs w:val="24"/>
        </w:rPr>
        <w:t xml:space="preserve">  投标文件的递交不得迟于招标文件规定的截止时间，以密封形式递交至</w:t>
      </w:r>
      <w:r>
        <w:rPr>
          <w:rFonts w:hint="eastAsia" w:ascii="宋体" w:hAnsi="宋体" w:eastAsia="宋体" w:cs="宋体"/>
          <w:bCs/>
          <w:kern w:val="0"/>
          <w:sz w:val="24"/>
          <w:szCs w:val="24"/>
          <w:lang w:eastAsia="zh-CN"/>
        </w:rPr>
        <w:t>代理公司</w:t>
      </w:r>
      <w:r>
        <w:rPr>
          <w:rFonts w:hint="eastAsia" w:ascii="宋体" w:hAnsi="宋体" w:eastAsia="宋体" w:cs="宋体"/>
          <w:bCs/>
          <w:kern w:val="0"/>
          <w:sz w:val="24"/>
          <w:szCs w:val="24"/>
        </w:rPr>
        <w:t>指定开标地点。</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4.2.2</w:t>
      </w:r>
      <w:r>
        <w:rPr>
          <w:rFonts w:hint="eastAsia" w:ascii="宋体" w:hAnsi="宋体" w:eastAsia="宋体" w:cs="宋体"/>
          <w:bCs/>
          <w:kern w:val="0"/>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4.2.3</w:t>
      </w:r>
      <w:r>
        <w:rPr>
          <w:rFonts w:hint="eastAsia" w:ascii="宋体" w:hAnsi="宋体" w:eastAsia="宋体" w:cs="宋体"/>
          <w:bCs/>
          <w:kern w:val="0"/>
          <w:sz w:val="24"/>
          <w:szCs w:val="24"/>
        </w:rPr>
        <w:t xml:space="preserve">  出现因招标文件的修改而推迟投标截止时间的情况时，投标人则需按招标方的书面修改通知重新规定的投标时间递交。</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4.3. 投标文件解密时间</w:t>
      </w:r>
    </w:p>
    <w:p>
      <w:pPr>
        <w:pStyle w:val="2"/>
        <w:rPr>
          <w:rFonts w:hint="eastAsia"/>
          <w:lang w:val="en-US" w:eastAsia="zh-CN"/>
        </w:rPr>
      </w:pPr>
    </w:p>
    <w:p>
      <w:pPr>
        <w:pStyle w:val="2"/>
        <w:spacing w:line="360" w:lineRule="auto"/>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开标时间后</w:t>
      </w:r>
      <w:r>
        <w:rPr>
          <w:rFonts w:hint="eastAsia" w:ascii="宋体" w:hAnsi="宋体" w:eastAsia="宋体" w:cs="宋体"/>
          <w:bCs/>
          <w:color w:val="auto"/>
          <w:kern w:val="0"/>
          <w:sz w:val="24"/>
          <w:szCs w:val="24"/>
          <w:lang w:val="en-US" w:eastAsia="zh-CN"/>
        </w:rPr>
        <w:t>30分钟</w:t>
      </w:r>
      <w:r>
        <w:rPr>
          <w:rFonts w:hint="eastAsia" w:ascii="宋体" w:hAnsi="宋体" w:eastAsia="宋体" w:cs="宋体"/>
          <w:bCs/>
          <w:color w:val="auto"/>
          <w:kern w:val="0"/>
          <w:sz w:val="24"/>
          <w:szCs w:val="24"/>
        </w:rPr>
        <w:t>内（202</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rPr>
        <w:t>月</w:t>
      </w:r>
      <w:r>
        <w:rPr>
          <w:rFonts w:hint="eastAsia" w:ascii="宋体" w:hAnsi="宋体" w:cs="宋体"/>
          <w:bCs/>
          <w:color w:val="auto"/>
          <w:kern w:val="0"/>
          <w:sz w:val="24"/>
          <w:szCs w:val="24"/>
          <w:lang w:val="en-US" w:eastAsia="zh-CN"/>
        </w:rPr>
        <w:t>27</w:t>
      </w:r>
      <w:r>
        <w:rPr>
          <w:rFonts w:hint="eastAsia" w:ascii="宋体" w:hAnsi="宋体" w:eastAsia="宋体" w:cs="宋体"/>
          <w:bCs/>
          <w:color w:val="auto"/>
          <w:kern w:val="0"/>
          <w:sz w:val="24"/>
          <w:szCs w:val="24"/>
        </w:rPr>
        <w:t>日上午10:</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val="en-US" w:eastAsia="zh-CN"/>
        </w:rPr>
        <w:t>-11：00</w:t>
      </w:r>
      <w:r>
        <w:rPr>
          <w:rFonts w:hint="eastAsia" w:ascii="宋体" w:hAnsi="宋体" w:eastAsia="宋体" w:cs="宋体"/>
          <w:bCs/>
          <w:color w:val="auto"/>
          <w:kern w:val="0"/>
          <w:sz w:val="24"/>
          <w:szCs w:val="24"/>
        </w:rPr>
        <w:t>前）供应商可以登录“政采云”平台，用“项目采购-开标评标”功能进行解密投标文件。若供应商在规定时间内（202</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rPr>
        <w:t>月</w:t>
      </w:r>
      <w:r>
        <w:rPr>
          <w:rFonts w:hint="eastAsia" w:ascii="宋体" w:hAnsi="宋体" w:cs="宋体"/>
          <w:bCs/>
          <w:color w:val="auto"/>
          <w:kern w:val="0"/>
          <w:sz w:val="24"/>
          <w:szCs w:val="24"/>
          <w:lang w:val="en-US" w:eastAsia="zh-CN"/>
        </w:rPr>
        <w:t>27</w:t>
      </w:r>
      <w:r>
        <w:rPr>
          <w:rFonts w:hint="eastAsia" w:ascii="宋体" w:hAnsi="宋体" w:eastAsia="宋体" w:cs="宋体"/>
          <w:bCs/>
          <w:color w:val="auto"/>
          <w:kern w:val="0"/>
          <w:sz w:val="24"/>
          <w:szCs w:val="24"/>
        </w:rPr>
        <w:t>日上午</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0前）未按时解密的，视为投标文件撤回。</w:t>
      </w:r>
    </w:p>
    <w:p>
      <w:pPr>
        <w:pStyle w:val="4"/>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hint="eastAsia" w:ascii="宋体" w:hAnsi="宋体" w:cs="宋体"/>
          <w:bCs/>
          <w:kern w:val="0"/>
          <w:sz w:val="24"/>
          <w:szCs w:val="24"/>
        </w:rPr>
        <w:fldChar w:fldCharType="end"/>
      </w:r>
      <w:r>
        <w:rPr>
          <w:rFonts w:hint="eastAsia" w:ascii="宋体" w:hAnsi="宋体" w:cs="宋体"/>
          <w:bCs/>
          <w:kern w:val="0"/>
          <w:sz w:val="24"/>
          <w:szCs w:val="24"/>
        </w:rPr>
        <w:t>。</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2"/>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2"/>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bCs/>
          <w:sz w:val="24"/>
          <w:szCs w:val="24"/>
          <w:highlight w:val="white"/>
        </w:rPr>
        <w:br w:type="textWrapping"/>
      </w: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r>
        <w:rPr>
          <w:rFonts w:hint="eastAsia" w:ascii="宋体" w:hAnsi="宋体" w:cs="宋体"/>
          <w:bCs/>
          <w:sz w:val="24"/>
          <w:szCs w:val="24"/>
          <w:highlight w:val="white"/>
        </w:rPr>
        <w:br w:type="textWrapping"/>
      </w: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宋体" w:hAnsi="宋体" w:cs="宋体"/>
          <w:bCs/>
          <w:sz w:val="24"/>
          <w:szCs w:val="24"/>
          <w:highlight w:val="white"/>
        </w:rPr>
        <w:br w:type="textWrapping"/>
      </w: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293736015"/>
      <w:bookmarkStart w:id="44" w:name="_Toc293736058"/>
      <w:bookmarkStart w:id="45" w:name="_Toc446599315"/>
      <w:bookmarkStart w:id="46" w:name="_Toc293738996"/>
    </w:p>
    <w:p>
      <w:pPr>
        <w:pStyle w:val="4"/>
        <w:rPr>
          <w:rFonts w:ascii="宋体" w:hAnsi="宋体" w:cs="宋体"/>
          <w:sz w:val="24"/>
          <w:szCs w:val="24"/>
          <w:highlight w:val="green"/>
        </w:rPr>
      </w:pPr>
      <w:bookmarkStart w:id="47" w:name="_Toc9991"/>
      <w:bookmarkStart w:id="48" w:name="_Toc17108"/>
      <w:r>
        <w:rPr>
          <w:rFonts w:hint="eastAsia" w:ascii="宋体" w:hAnsi="宋体" w:cs="宋体"/>
          <w:sz w:val="24"/>
          <w:szCs w:val="24"/>
        </w:rPr>
        <w:t>六、 授予合同</w:t>
      </w:r>
      <w:bookmarkEnd w:id="43"/>
      <w:bookmarkEnd w:id="44"/>
      <w:bookmarkEnd w:id="45"/>
      <w:bookmarkEnd w:id="46"/>
      <w:bookmarkEnd w:id="47"/>
      <w:bookmarkEnd w:id="48"/>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4"/>
        <w:rPr>
          <w:rFonts w:ascii="宋体" w:hAnsi="宋体" w:cs="宋体"/>
          <w:sz w:val="24"/>
          <w:szCs w:val="24"/>
        </w:rPr>
      </w:pPr>
      <w:bookmarkStart w:id="49" w:name="_Toc293736016"/>
      <w:bookmarkStart w:id="50" w:name="_Toc446599316"/>
      <w:bookmarkStart w:id="51" w:name="_Toc293736059"/>
      <w:bookmarkStart w:id="52" w:name="_Toc293738997"/>
      <w:bookmarkStart w:id="53" w:name="_Toc6301"/>
      <w:bookmarkStart w:id="54" w:name="_Toc30278"/>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446599317"/>
      <w:bookmarkStart w:id="56" w:name="_Toc293738998"/>
      <w:bookmarkStart w:id="57" w:name="_Toc293736017"/>
      <w:bookmarkStart w:id="58" w:name="_Toc293736060"/>
      <w:bookmarkStart w:id="59" w:name="_Toc294515577"/>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2"/>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2"/>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450546725"/>
      <w:bookmarkStart w:id="61" w:name="_Toc483174929"/>
      <w:bookmarkStart w:id="62" w:name="_Toc9365"/>
      <w:bookmarkStart w:id="63" w:name="_Toc456336161"/>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4"/>
        <w:rPr>
          <w:rFonts w:ascii="宋体" w:hAnsi="宋体" w:cs="宋体"/>
          <w:b w:val="0"/>
          <w:bCs/>
          <w:kern w:val="0"/>
          <w:sz w:val="24"/>
          <w:szCs w:val="24"/>
        </w:rPr>
      </w:pPr>
      <w:bookmarkStart w:id="64" w:name="_Toc28310"/>
      <w:bookmarkStart w:id="65" w:name="_Toc21328"/>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4"/>
        <w:rPr>
          <w:rFonts w:ascii="宋体" w:hAnsi="宋体" w:cs="宋体"/>
          <w:sz w:val="24"/>
          <w:szCs w:val="24"/>
        </w:rPr>
      </w:pPr>
      <w:bookmarkStart w:id="66" w:name="_Toc293736018"/>
      <w:bookmarkStart w:id="67" w:name="_Toc446599318"/>
      <w:bookmarkStart w:id="68" w:name="_Toc293738999"/>
      <w:bookmarkStart w:id="69" w:name="_Toc19629"/>
      <w:bookmarkStart w:id="70" w:name="_Toc293736061"/>
      <w:bookmarkStart w:id="71" w:name="_Toc2937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4"/>
        <w:rPr>
          <w:rFonts w:ascii="宋体" w:hAnsi="宋体" w:cs="宋体"/>
          <w:sz w:val="24"/>
          <w:szCs w:val="24"/>
        </w:rPr>
      </w:pPr>
      <w:bookmarkStart w:id="72" w:name="_Toc278891599"/>
      <w:bookmarkStart w:id="73" w:name="_Toc23207"/>
      <w:bookmarkStart w:id="74" w:name="_Toc12755"/>
      <w:bookmarkStart w:id="75" w:name="_Toc446599319"/>
      <w:bookmarkStart w:id="76" w:name="_Toc437611460"/>
      <w:bookmarkStart w:id="77" w:name="_Toc272247702"/>
      <w:r>
        <w:rPr>
          <w:rFonts w:hint="eastAsia" w:ascii="宋体" w:hAnsi="宋体" w:cs="宋体"/>
          <w:sz w:val="24"/>
          <w:szCs w:val="24"/>
        </w:rPr>
        <w:t>十、磋商文件的解释权</w:t>
      </w:r>
      <w:bookmarkEnd w:id="72"/>
      <w:bookmarkEnd w:id="73"/>
      <w:bookmarkEnd w:id="74"/>
      <w:bookmarkEnd w:id="75"/>
      <w:bookmarkEnd w:id="76"/>
      <w:bookmarkEnd w:id="77"/>
    </w:p>
    <w:p>
      <w:pPr>
        <w:pStyle w:val="2"/>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4"/>
        <w:rPr>
          <w:rFonts w:ascii="宋体" w:hAnsi="宋体" w:cs="宋体"/>
          <w:sz w:val="24"/>
          <w:szCs w:val="24"/>
        </w:rPr>
      </w:pPr>
      <w:bookmarkStart w:id="78" w:name="_Toc446599320"/>
      <w:bookmarkStart w:id="79" w:name="_Toc437611461"/>
      <w:bookmarkStart w:id="80" w:name="_Toc26060"/>
      <w:bookmarkStart w:id="81" w:name="_Toc21111"/>
      <w:r>
        <w:rPr>
          <w:rFonts w:hint="eastAsia" w:ascii="宋体" w:hAnsi="宋体" w:cs="宋体"/>
          <w:sz w:val="24"/>
          <w:szCs w:val="24"/>
        </w:rPr>
        <w:t>十一、其他注意事项</w:t>
      </w:r>
      <w:bookmarkEnd w:id="78"/>
      <w:bookmarkEnd w:id="79"/>
      <w:bookmarkEnd w:id="80"/>
      <w:bookmarkEnd w:id="81"/>
    </w:p>
    <w:p>
      <w:pPr>
        <w:pStyle w:val="2"/>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2"/>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2"/>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2"/>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2"/>
        <w:spacing w:line="360" w:lineRule="auto"/>
        <w:ind w:firstLine="480"/>
        <w:rPr>
          <w:rFonts w:hAnsi="宋体" w:cs="宋体"/>
          <w:color w:val="FF00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p>
    <w:p>
      <w:pPr>
        <w:spacing w:line="540" w:lineRule="exact"/>
        <w:rPr>
          <w:color w:val="FF0000"/>
        </w:rPr>
      </w:pPr>
      <w:bookmarkStart w:id="82" w:name="_Toc293736063"/>
      <w:bookmarkStart w:id="83" w:name="_Toc293739001"/>
      <w:bookmarkStart w:id="84" w:name="_Toc20901"/>
      <w:bookmarkStart w:id="85" w:name="_Toc293736020"/>
      <w:bookmarkStart w:id="86" w:name="_Toc446599322"/>
      <w:bookmarkStart w:id="87" w:name="_Toc22876"/>
    </w:p>
    <w:p>
      <w:pPr>
        <w:pStyle w:val="22"/>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293736067"/>
      <w:bookmarkStart w:id="89" w:name="_Toc293739005"/>
      <w:bookmarkStart w:id="90" w:name="_Toc446599330"/>
      <w:bookmarkStart w:id="91" w:name="_Toc293736024"/>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w:t>
      </w:r>
      <w:r>
        <w:rPr>
          <w:rFonts w:hint="eastAsia" w:ascii="宋体" w:hAnsi="宋体" w:cs="宋体"/>
          <w:sz w:val="24"/>
          <w:szCs w:val="24"/>
          <w:highlight w:val="white"/>
          <w:lang w:eastAsia="zh-CN"/>
        </w:rPr>
        <w:t>16</w:t>
      </w:r>
      <w:r>
        <w:rPr>
          <w:rFonts w:hint="eastAsia" w:ascii="宋体" w:hAnsi="宋体" w:cs="宋体"/>
          <w:sz w:val="24"/>
          <w:szCs w:val="24"/>
          <w:highlight w:val="white"/>
        </w:rPr>
        <w:t>]2</w:t>
      </w:r>
      <w:r>
        <w:rPr>
          <w:rFonts w:hint="eastAsia" w:ascii="宋体" w:hAnsi="宋体" w:cs="宋体"/>
          <w:sz w:val="24"/>
          <w:szCs w:val="24"/>
          <w:highlight w:val="white"/>
          <w:lang w:eastAsia="zh-CN"/>
        </w:rPr>
        <w:t>16号</w:t>
      </w:r>
      <w:r>
        <w:rPr>
          <w:rFonts w:hint="eastAsia" w:ascii="宋体" w:hAnsi="宋体" w:cs="宋体"/>
          <w:sz w:val="24"/>
          <w:szCs w:val="24"/>
          <w:highlight w:val="white"/>
        </w:rPr>
        <w:t>）中第三条第三项的规定和执行统一价格标准的项目，其价格不列为评分因素。有特殊情况需要在上述规定范围外设定价格分权重的，应当经本级人民政府财政部门审核同意。</w:t>
      </w:r>
    </w:p>
    <w:p>
      <w:pPr>
        <w:pStyle w:val="16"/>
        <w:rPr>
          <w:highlight w:val="white"/>
        </w:rPr>
      </w:pPr>
    </w:p>
    <w:p>
      <w:pPr>
        <w:rPr>
          <w:highlight w:val="white"/>
        </w:rPr>
      </w:pPr>
    </w:p>
    <w:p>
      <w:pPr>
        <w:pStyle w:val="16"/>
        <w:rPr>
          <w:color w:val="FF0000"/>
          <w:highlight w:val="white"/>
        </w:rPr>
      </w:pPr>
    </w:p>
    <w:p>
      <w:pPr>
        <w:rPr>
          <w:color w:val="FF0000"/>
          <w:highlight w:val="white"/>
        </w:rPr>
      </w:pPr>
    </w:p>
    <w:p>
      <w:pPr>
        <w:pStyle w:val="16"/>
        <w:rPr>
          <w:color w:val="FF0000"/>
          <w:highlight w:val="white"/>
        </w:rPr>
      </w:pPr>
    </w:p>
    <w:p>
      <w:pPr>
        <w:rPr>
          <w:color w:val="FF0000"/>
          <w:highlight w:val="white"/>
        </w:rPr>
      </w:pPr>
    </w:p>
    <w:p>
      <w:pPr>
        <w:pStyle w:val="16"/>
        <w:rPr>
          <w:color w:val="FF0000"/>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5"/>
      </w:pPr>
    </w:p>
    <w:p>
      <w:pPr>
        <w:pStyle w:val="16"/>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2"/>
        <w:ind w:firstLine="2972" w:firstLineChars="1000"/>
        <w:rPr>
          <w:rFonts w:ascii="仿宋" w:hAnsi="仿宋" w:eastAsia="仿宋"/>
          <w:spacing w:val="-2"/>
          <w:sz w:val="30"/>
          <w:szCs w:val="30"/>
        </w:rPr>
      </w:pPr>
      <w:bookmarkStart w:id="92" w:name="EB2b9517aba70e41b6b8039ac384a1ee3b"/>
      <w:r>
        <w:rPr>
          <w:rFonts w:hint="eastAsia" w:ascii="仿宋" w:hAnsi="仿宋" w:eastAsia="仿宋"/>
          <w:b/>
          <w:bCs/>
          <w:spacing w:val="-2"/>
          <w:sz w:val="30"/>
          <w:szCs w:val="30"/>
        </w:rPr>
        <w:t>投标文件响应程度初步审查表</w:t>
      </w:r>
    </w:p>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1.资格性审查</w:t>
      </w:r>
    </w:p>
    <w:tbl>
      <w:tblPr>
        <w:tblStyle w:val="36"/>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有效的工商营业执照副本、税务登记证副本、组织机构代码证本或“三证合一”的营业执照副本，且具备所投标的经营范围；</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vAlign w:val="top"/>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2.符合性审查</w:t>
      </w:r>
    </w:p>
    <w:tbl>
      <w:tblPr>
        <w:tblStyle w:val="36"/>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1</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2</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是否满足招标文件规定的</w:t>
            </w:r>
            <w:r>
              <w:rPr>
                <w:rFonts w:hint="eastAsia" w:ascii="宋体" w:hAnsi="宋体" w:cs="宋体"/>
                <w:sz w:val="24"/>
                <w:szCs w:val="24"/>
                <w:highlight w:val="white"/>
                <w:lang w:eastAsia="zh-CN"/>
              </w:rPr>
              <w:t>服务</w:t>
            </w:r>
            <w:r>
              <w:rPr>
                <w:rFonts w:hint="eastAsia" w:ascii="宋体" w:hAnsi="宋体" w:cs="宋体"/>
                <w:sz w:val="24"/>
                <w:szCs w:val="24"/>
                <w:highlight w:val="white"/>
              </w:rPr>
              <w:t>期限；</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3</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是否按规定提供法人授权委托书的；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4</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5</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6</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7</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8</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646" w:type="dxa"/>
            <w:tcBorders>
              <w:left w:val="single" w:color="auto" w:sz="4" w:space="0"/>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left w:val="single" w:color="auto" w:sz="4" w:space="0"/>
              <w:bottom w:val="single" w:color="auto" w:sz="12" w:space="0"/>
            </w:tcBorders>
            <w:vAlign w:val="top"/>
          </w:tcPr>
          <w:p>
            <w:pPr>
              <w:spacing w:line="360" w:lineRule="auto"/>
              <w:jc w:val="left"/>
              <w:rPr>
                <w:rFonts w:hint="eastAsia" w:ascii="宋体" w:hAnsi="宋体" w:cs="宋体"/>
                <w:sz w:val="24"/>
                <w:szCs w:val="24"/>
                <w:highlight w:val="white"/>
              </w:rPr>
            </w:pPr>
          </w:p>
        </w:tc>
        <w:tc>
          <w:tcPr>
            <w:tcW w:w="646" w:type="dxa"/>
            <w:tcBorders>
              <w:bottom w:val="single" w:color="auto" w:sz="12" w:space="0"/>
            </w:tcBorders>
            <w:vAlign w:val="top"/>
          </w:tcPr>
          <w:p>
            <w:pPr>
              <w:spacing w:line="360" w:lineRule="auto"/>
              <w:jc w:val="left"/>
              <w:rPr>
                <w:rFonts w:hint="eastAsia" w:ascii="宋体" w:hAnsi="宋体" w:cs="宋体"/>
                <w:sz w:val="24"/>
                <w:szCs w:val="24"/>
                <w:highlight w:val="white"/>
              </w:rPr>
            </w:pPr>
          </w:p>
        </w:tc>
        <w:tc>
          <w:tcPr>
            <w:tcW w:w="597" w:type="dxa"/>
            <w:tcBorders>
              <w:bottom w:val="single" w:color="auto" w:sz="12" w:space="0"/>
            </w:tcBorders>
            <w:vAlign w:val="top"/>
          </w:tcPr>
          <w:p>
            <w:pPr>
              <w:spacing w:line="360" w:lineRule="auto"/>
              <w:jc w:val="left"/>
              <w:rPr>
                <w:rFonts w:hint="eastAsia" w:ascii="宋体" w:hAnsi="宋体" w:cs="宋体"/>
                <w:sz w:val="24"/>
                <w:szCs w:val="24"/>
                <w:highlight w:val="white"/>
              </w:rPr>
            </w:pPr>
          </w:p>
        </w:tc>
      </w:tr>
    </w:tbl>
    <w:p>
      <w:pPr>
        <w:pStyle w:val="31"/>
        <w:rPr>
          <w:rFonts w:hint="eastAsia"/>
          <w:b w:val="0"/>
          <w:bCs w:val="0"/>
          <w:color w:val="auto"/>
          <w:sz w:val="24"/>
          <w:szCs w:val="24"/>
          <w:lang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ind w:firstLine="3600" w:firstLineChars="1500"/>
        <w:rPr>
          <w:rFonts w:hint="eastAsia"/>
          <w:b w:val="0"/>
          <w:bCs w:val="0"/>
          <w:color w:val="auto"/>
          <w:sz w:val="24"/>
          <w:szCs w:val="24"/>
          <w:lang w:val="en-US" w:eastAsia="zh-CN"/>
        </w:rPr>
      </w:pPr>
    </w:p>
    <w:p>
      <w:pPr>
        <w:pStyle w:val="31"/>
        <w:rPr>
          <w:rFonts w:hint="eastAsia"/>
          <w:b w:val="0"/>
          <w:bCs w:val="0"/>
          <w:color w:val="auto"/>
          <w:sz w:val="28"/>
          <w:szCs w:val="28"/>
          <w:lang w:eastAsia="zh-CN"/>
        </w:rPr>
      </w:pPr>
      <w:r>
        <w:rPr>
          <w:rFonts w:hint="eastAsia"/>
          <w:b w:val="0"/>
          <w:bCs w:val="0"/>
          <w:color w:val="auto"/>
          <w:sz w:val="24"/>
          <w:szCs w:val="24"/>
          <w:lang w:eastAsia="zh-CN"/>
        </w:rPr>
        <w:t xml:space="preserve"> </w:t>
      </w:r>
      <w:r>
        <w:rPr>
          <w:rFonts w:hint="eastAsia"/>
          <w:b w:val="0"/>
          <w:bCs w:val="0"/>
          <w:color w:val="auto"/>
          <w:sz w:val="24"/>
          <w:szCs w:val="24"/>
          <w:lang w:val="en-US" w:eastAsia="zh-CN"/>
        </w:rPr>
        <w:t xml:space="preserve">                        </w:t>
      </w:r>
      <w:r>
        <w:rPr>
          <w:rFonts w:hint="eastAsia"/>
          <w:b w:val="0"/>
          <w:bCs w:val="0"/>
          <w:color w:val="auto"/>
          <w:sz w:val="24"/>
          <w:szCs w:val="24"/>
          <w:lang w:eastAsia="zh-CN"/>
        </w:rPr>
        <w:t xml:space="preserve"> </w:t>
      </w:r>
      <w:r>
        <w:rPr>
          <w:rFonts w:hint="eastAsia"/>
          <w:b w:val="0"/>
          <w:bCs w:val="0"/>
          <w:color w:val="auto"/>
          <w:sz w:val="28"/>
          <w:szCs w:val="28"/>
          <w:lang w:eastAsia="zh-CN"/>
        </w:rPr>
        <w:t>3、 详细评审表</w:t>
      </w:r>
    </w:p>
    <w:tbl>
      <w:tblPr>
        <w:tblStyle w:val="36"/>
        <w:tblpPr w:leftFromText="180" w:rightFromText="180" w:vertAnchor="page" w:horzAnchor="page" w:tblpX="938" w:tblpY="2649"/>
        <w:tblW w:w="10534" w:type="dxa"/>
        <w:tblInd w:w="0" w:type="dxa"/>
        <w:tblLayout w:type="fixed"/>
        <w:tblCellMar>
          <w:top w:w="0" w:type="dxa"/>
          <w:left w:w="108" w:type="dxa"/>
          <w:bottom w:w="0" w:type="dxa"/>
          <w:right w:w="108" w:type="dxa"/>
        </w:tblCellMar>
      </w:tblPr>
      <w:tblGrid>
        <w:gridCol w:w="743"/>
        <w:gridCol w:w="1559"/>
        <w:gridCol w:w="851"/>
        <w:gridCol w:w="1756"/>
        <w:gridCol w:w="5625"/>
      </w:tblGrid>
      <w:tr>
        <w:tblPrEx>
          <w:tblCellMar>
            <w:top w:w="0" w:type="dxa"/>
            <w:left w:w="108" w:type="dxa"/>
            <w:bottom w:w="0" w:type="dxa"/>
            <w:right w:w="108" w:type="dxa"/>
          </w:tblCellMar>
        </w:tblPrEx>
        <w:trPr>
          <w:trHeight w:val="750"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序号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 xml:space="preserve">评标指标       </w:t>
            </w:r>
          </w:p>
        </w:tc>
        <w:tc>
          <w:tcPr>
            <w:tcW w:w="851" w:type="dxa"/>
            <w:vMerge w:val="restart"/>
            <w:tcBorders>
              <w:top w:val="single" w:color="auto" w:sz="4" w:space="0"/>
              <w:left w:val="nil"/>
              <w:bottom w:val="single" w:color="000000" w:sz="4" w:space="0"/>
              <w:right w:val="nil"/>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 xml:space="preserve">分值    </w:t>
            </w:r>
          </w:p>
        </w:tc>
        <w:tc>
          <w:tcPr>
            <w:tcW w:w="7381" w:type="dxa"/>
            <w:gridSpan w:val="2"/>
            <w:vMerge w:val="restart"/>
            <w:tcBorders>
              <w:top w:val="single" w:color="auto" w:sz="4" w:space="0"/>
              <w:left w:val="single" w:color="auto" w:sz="4" w:space="0"/>
              <w:bottom w:val="single" w:color="000000" w:sz="4" w:space="0"/>
              <w:right w:val="single" w:color="000000" w:sz="4" w:space="0"/>
            </w:tcBorders>
            <w:vAlign w:val="center"/>
          </w:tcPr>
          <w:p>
            <w:pPr>
              <w:spacing w:line="360" w:lineRule="auto"/>
              <w:ind w:firstLine="2880" w:firstLineChars="1200"/>
              <w:rPr>
                <w:rFonts w:hint="eastAsia" w:ascii="宋体" w:hAnsi="宋体" w:cs="宋体"/>
                <w:sz w:val="24"/>
                <w:szCs w:val="24"/>
                <w:highlight w:val="white"/>
              </w:rPr>
            </w:pPr>
            <w:r>
              <w:rPr>
                <w:rFonts w:hint="eastAsia" w:ascii="宋体" w:hAnsi="宋体" w:cs="宋体"/>
                <w:sz w:val="24"/>
                <w:szCs w:val="24"/>
                <w:highlight w:val="white"/>
              </w:rPr>
              <w:t>评标内容</w:t>
            </w:r>
          </w:p>
        </w:tc>
      </w:tr>
      <w:tr>
        <w:tblPrEx>
          <w:tblCellMar>
            <w:top w:w="0" w:type="dxa"/>
            <w:left w:w="108" w:type="dxa"/>
            <w:bottom w:w="0" w:type="dxa"/>
            <w:right w:w="108" w:type="dxa"/>
          </w:tblCellMar>
        </w:tblPrEx>
        <w:trPr>
          <w:trHeight w:val="312"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vMerge w:val="continue"/>
            <w:tcBorders>
              <w:top w:val="single" w:color="auto" w:sz="4" w:space="0"/>
              <w:left w:val="nil"/>
              <w:bottom w:val="single" w:color="000000" w:sz="4" w:space="0"/>
              <w:right w:val="nil"/>
            </w:tcBorders>
            <w:vAlign w:val="center"/>
          </w:tcPr>
          <w:p>
            <w:pPr>
              <w:spacing w:line="360" w:lineRule="auto"/>
              <w:ind w:firstLine="480" w:firstLineChars="200"/>
              <w:rPr>
                <w:rFonts w:hint="eastAsia" w:ascii="宋体" w:hAnsi="宋体" w:cs="宋体"/>
                <w:sz w:val="24"/>
                <w:szCs w:val="24"/>
                <w:highlight w:val="white"/>
              </w:rPr>
            </w:pPr>
          </w:p>
        </w:tc>
        <w:tc>
          <w:tcPr>
            <w:tcW w:w="7381"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cs="宋体"/>
                <w:sz w:val="24"/>
                <w:szCs w:val="24"/>
                <w:highlight w:val="white"/>
              </w:rPr>
            </w:pPr>
          </w:p>
        </w:tc>
      </w:tr>
      <w:tr>
        <w:tblPrEx>
          <w:tblCellMar>
            <w:top w:w="0" w:type="dxa"/>
            <w:left w:w="108" w:type="dxa"/>
            <w:bottom w:w="0" w:type="dxa"/>
            <w:right w:w="108" w:type="dxa"/>
          </w:tblCellMar>
        </w:tblPrEx>
        <w:trPr>
          <w:trHeight w:val="695" w:hRule="atLeast"/>
        </w:trPr>
        <w:tc>
          <w:tcPr>
            <w:tcW w:w="743" w:type="dxa"/>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1</w:t>
            </w:r>
          </w:p>
        </w:tc>
        <w:tc>
          <w:tcPr>
            <w:tcW w:w="1559"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商务分</w:t>
            </w:r>
          </w:p>
        </w:tc>
        <w:tc>
          <w:tcPr>
            <w:tcW w:w="851" w:type="dxa"/>
            <w:tcBorders>
              <w:top w:val="nil"/>
              <w:left w:val="nil"/>
              <w:bottom w:val="single" w:color="auto" w:sz="4" w:space="0"/>
              <w:right w:val="nil"/>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10分</w:t>
            </w:r>
          </w:p>
        </w:tc>
        <w:tc>
          <w:tcPr>
            <w:tcW w:w="7381"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投标价格最低的投标报价为评标基准价，其价格分为满分。价格分的计算：投标报价得分=(评标基准价／投标报价)×0.1×100</w:t>
            </w:r>
          </w:p>
        </w:tc>
      </w:tr>
      <w:tr>
        <w:tblPrEx>
          <w:tblCellMar>
            <w:top w:w="0" w:type="dxa"/>
            <w:left w:w="108" w:type="dxa"/>
            <w:bottom w:w="0" w:type="dxa"/>
            <w:right w:w="108" w:type="dxa"/>
          </w:tblCellMar>
        </w:tblPrEx>
        <w:trPr>
          <w:trHeight w:val="1578" w:hRule="atLeast"/>
        </w:trPr>
        <w:tc>
          <w:tcPr>
            <w:tcW w:w="743" w:type="dxa"/>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2</w:t>
            </w:r>
          </w:p>
        </w:tc>
        <w:tc>
          <w:tcPr>
            <w:tcW w:w="1559"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 xml:space="preserve">企业资质     </w:t>
            </w:r>
          </w:p>
        </w:tc>
        <w:tc>
          <w:tcPr>
            <w:tcW w:w="85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lang w:val="en-US" w:eastAsia="zh-CN"/>
              </w:rPr>
              <w:t>5</w:t>
            </w:r>
            <w:r>
              <w:rPr>
                <w:rFonts w:hint="eastAsia" w:ascii="宋体" w:hAnsi="宋体" w:cs="宋体"/>
                <w:sz w:val="24"/>
                <w:szCs w:val="24"/>
                <w:highlight w:val="white"/>
              </w:rPr>
              <w:t>分</w:t>
            </w:r>
          </w:p>
        </w:tc>
        <w:tc>
          <w:tcPr>
            <w:tcW w:w="7381"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lang w:val="en-US" w:eastAsia="zh-CN"/>
              </w:rPr>
              <w:t>1、</w:t>
            </w:r>
            <w:r>
              <w:rPr>
                <w:rFonts w:hint="eastAsia" w:ascii="宋体" w:hAnsi="宋体" w:cs="宋体"/>
                <w:sz w:val="24"/>
                <w:szCs w:val="24"/>
                <w:highlight w:val="white"/>
              </w:rPr>
              <w:t>投标人具备完善的质量管理体系，具有ISO9001质量管理体系认证证书、OHSAS18001职业健康安全管理体系认证证书、ISO</w:t>
            </w:r>
            <w:r>
              <w:rPr>
                <w:rFonts w:hint="eastAsia" w:ascii="宋体" w:hAnsi="宋体" w:cs="宋体"/>
                <w:sz w:val="24"/>
                <w:szCs w:val="24"/>
                <w:highlight w:val="white"/>
                <w:lang w:eastAsia="zh-CN"/>
              </w:rPr>
              <w:t>16</w:t>
            </w:r>
            <w:r>
              <w:rPr>
                <w:rFonts w:hint="eastAsia" w:ascii="宋体" w:hAnsi="宋体" w:cs="宋体"/>
                <w:sz w:val="24"/>
                <w:szCs w:val="24"/>
                <w:highlight w:val="white"/>
              </w:rPr>
              <w:t>001环境管理体系认证证书的每项加1分最高3分。</w:t>
            </w:r>
          </w:p>
          <w:p>
            <w:pPr>
              <w:spacing w:line="360" w:lineRule="auto"/>
              <w:rPr>
                <w:rFonts w:hint="eastAsia" w:ascii="宋体" w:hAnsi="宋体" w:cs="宋体"/>
                <w:sz w:val="24"/>
                <w:szCs w:val="24"/>
                <w:highlight w:val="white"/>
              </w:rPr>
            </w:pPr>
            <w:r>
              <w:rPr>
                <w:rFonts w:hint="eastAsia" w:ascii="宋体" w:hAnsi="宋体" w:cs="宋体"/>
                <w:sz w:val="24"/>
                <w:szCs w:val="24"/>
                <w:highlight w:val="white"/>
                <w:lang w:val="en-US" w:eastAsia="zh-CN"/>
              </w:rPr>
              <w:t>2、</w:t>
            </w:r>
            <w:r>
              <w:rPr>
                <w:rFonts w:hint="eastAsia" w:ascii="宋体" w:hAnsi="宋体" w:cs="宋体"/>
                <w:sz w:val="24"/>
                <w:szCs w:val="24"/>
                <w:highlight w:val="white"/>
              </w:rPr>
              <w:t xml:space="preserve">近五年获国家优秀工程奖；获省优秀工程奖或科技进步奖每项得1分。同一项目获多项奖的按最高奖计分，不重复累计，满分2分   </w:t>
            </w:r>
          </w:p>
        </w:tc>
      </w:tr>
      <w:tr>
        <w:tblPrEx>
          <w:tblCellMar>
            <w:top w:w="0" w:type="dxa"/>
            <w:left w:w="108" w:type="dxa"/>
            <w:bottom w:w="0" w:type="dxa"/>
            <w:right w:w="108" w:type="dxa"/>
          </w:tblCellMar>
        </w:tblPrEx>
        <w:trPr>
          <w:trHeight w:val="764" w:hRule="atLeast"/>
        </w:trPr>
        <w:tc>
          <w:tcPr>
            <w:tcW w:w="743" w:type="dxa"/>
            <w:vMerge w:val="restart"/>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3</w:t>
            </w:r>
          </w:p>
        </w:tc>
        <w:tc>
          <w:tcPr>
            <w:tcW w:w="1559" w:type="dxa"/>
            <w:vMerge w:val="restart"/>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服务体系及服务情况</w:t>
            </w: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15分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技术响应程度</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满足或优于服务要求、综合技术响应。优良得15-10分、中得9-6分、差得5-0分三个档次。</w:t>
            </w:r>
          </w:p>
        </w:tc>
      </w:tr>
      <w:tr>
        <w:tblPrEx>
          <w:tblCellMar>
            <w:top w:w="0" w:type="dxa"/>
            <w:left w:w="108" w:type="dxa"/>
            <w:bottom w:w="0" w:type="dxa"/>
            <w:right w:w="108" w:type="dxa"/>
          </w:tblCellMar>
        </w:tblPrEx>
        <w:trPr>
          <w:trHeight w:val="867"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15分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服务总体方案</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包括实施计划、组织管理、服务方案及具体服务措施、保障措施，优良得15-10分、中得9-6分、差得5-0分三个档次。</w:t>
            </w:r>
          </w:p>
        </w:tc>
      </w:tr>
      <w:tr>
        <w:tblPrEx>
          <w:tblCellMar>
            <w:top w:w="0" w:type="dxa"/>
            <w:left w:w="108" w:type="dxa"/>
            <w:bottom w:w="0" w:type="dxa"/>
            <w:right w:w="108" w:type="dxa"/>
          </w:tblCellMar>
        </w:tblPrEx>
        <w:trPr>
          <w:trHeight w:val="1117"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8分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人员配置情况</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人员配备情况进行横向比较；具有高级及以上工程师每一人得2分，最高得8分；（需提供相关证书及本公司社保缴纳证明）</w:t>
            </w:r>
          </w:p>
        </w:tc>
      </w:tr>
      <w:tr>
        <w:tblPrEx>
          <w:tblCellMar>
            <w:top w:w="0" w:type="dxa"/>
            <w:left w:w="108" w:type="dxa"/>
            <w:bottom w:w="0" w:type="dxa"/>
            <w:right w:w="108" w:type="dxa"/>
          </w:tblCellMar>
        </w:tblPrEx>
        <w:trPr>
          <w:trHeight w:val="660"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6分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质量控制</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项目各阶段质量控制目标设置是否明确,保证措施是否有力可行（0-6）。</w:t>
            </w:r>
          </w:p>
        </w:tc>
      </w:tr>
      <w:tr>
        <w:tblPrEx>
          <w:tblCellMar>
            <w:top w:w="0" w:type="dxa"/>
            <w:left w:w="108" w:type="dxa"/>
            <w:bottom w:w="0" w:type="dxa"/>
            <w:right w:w="108" w:type="dxa"/>
          </w:tblCellMar>
        </w:tblPrEx>
        <w:trPr>
          <w:trHeight w:val="827"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6分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进度控制</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项目进度控制时间明细设置是否合理、目标设置是否明确、保证措施是否有利可行（0-6）</w:t>
            </w:r>
          </w:p>
        </w:tc>
      </w:tr>
      <w:tr>
        <w:tblPrEx>
          <w:tblCellMar>
            <w:top w:w="0" w:type="dxa"/>
            <w:left w:w="108" w:type="dxa"/>
            <w:bottom w:w="0" w:type="dxa"/>
            <w:right w:w="108" w:type="dxa"/>
          </w:tblCellMar>
        </w:tblPrEx>
        <w:trPr>
          <w:trHeight w:val="933"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6分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安全控制</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建立安全责任制度、数据资料保密管理制度，管理制度可靠合理, 优得6分，良得3分，一般得1分，没有内容不得分。</w:t>
            </w:r>
          </w:p>
        </w:tc>
      </w:tr>
      <w:tr>
        <w:tblPrEx>
          <w:tblCellMar>
            <w:top w:w="0" w:type="dxa"/>
            <w:left w:w="108" w:type="dxa"/>
            <w:bottom w:w="0" w:type="dxa"/>
            <w:right w:w="108" w:type="dxa"/>
          </w:tblCellMar>
        </w:tblPrEx>
        <w:trPr>
          <w:trHeight w:val="382"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15分</w:t>
            </w:r>
          </w:p>
        </w:tc>
        <w:tc>
          <w:tcPr>
            <w:tcW w:w="1756" w:type="dxa"/>
            <w:tcBorders>
              <w:top w:val="nil"/>
              <w:left w:val="nil"/>
              <w:bottom w:val="single" w:color="auto" w:sz="4" w:space="0"/>
              <w:right w:val="single" w:color="auto" w:sz="4" w:space="0"/>
            </w:tcBorders>
            <w:vAlign w:val="center"/>
          </w:tcPr>
          <w:p>
            <w:pPr>
              <w:spacing w:line="360" w:lineRule="auto"/>
              <w:jc w:val="both"/>
              <w:rPr>
                <w:rFonts w:hint="eastAsia" w:ascii="宋体" w:hAnsi="宋体" w:cs="宋体"/>
                <w:sz w:val="24"/>
                <w:szCs w:val="24"/>
                <w:highlight w:val="white"/>
              </w:rPr>
            </w:pPr>
            <w:r>
              <w:rPr>
                <w:rFonts w:hint="eastAsia" w:ascii="宋体" w:hAnsi="宋体" w:cs="宋体"/>
                <w:sz w:val="24"/>
                <w:szCs w:val="24"/>
                <w:highlight w:val="white"/>
              </w:rPr>
              <w:t>类似业绩</w:t>
            </w:r>
          </w:p>
        </w:tc>
        <w:tc>
          <w:tcPr>
            <w:tcW w:w="5625"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投标人具有类似全过程项目管理业绩，一项得3分。满分15分（以中标通知书或项目管理合同为准）</w:t>
            </w:r>
          </w:p>
        </w:tc>
      </w:tr>
      <w:tr>
        <w:tblPrEx>
          <w:tblCellMar>
            <w:top w:w="0" w:type="dxa"/>
            <w:left w:w="108" w:type="dxa"/>
            <w:bottom w:w="0" w:type="dxa"/>
            <w:right w:w="108" w:type="dxa"/>
          </w:tblCellMar>
        </w:tblPrEx>
        <w:trPr>
          <w:trHeight w:val="993" w:hRule="atLeast"/>
        </w:trPr>
        <w:tc>
          <w:tcPr>
            <w:tcW w:w="743"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10分</w:t>
            </w:r>
          </w:p>
        </w:tc>
        <w:tc>
          <w:tcPr>
            <w:tcW w:w="17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服务承诺、服务质量保证</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服务承诺横向比较，优良得10-4分、中得3-2分、差得2-0分三个档次。</w:t>
            </w:r>
          </w:p>
        </w:tc>
      </w:tr>
      <w:tr>
        <w:tblPrEx>
          <w:tblCellMar>
            <w:top w:w="0" w:type="dxa"/>
            <w:left w:w="108" w:type="dxa"/>
            <w:bottom w:w="0" w:type="dxa"/>
            <w:right w:w="108" w:type="dxa"/>
          </w:tblCellMar>
        </w:tblPrEx>
        <w:trPr>
          <w:trHeight w:val="791" w:hRule="atLeast"/>
        </w:trPr>
        <w:tc>
          <w:tcPr>
            <w:tcW w:w="743" w:type="dxa"/>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4</w:t>
            </w:r>
          </w:p>
        </w:tc>
        <w:tc>
          <w:tcPr>
            <w:tcW w:w="1559"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标书质量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2分</w:t>
            </w:r>
          </w:p>
        </w:tc>
        <w:tc>
          <w:tcPr>
            <w:tcW w:w="73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对项目整体方案清楚了解，提供管理承诺、运行方案及唱标质量较高得0-2分；</w:t>
            </w:r>
          </w:p>
        </w:tc>
      </w:tr>
      <w:tr>
        <w:tblPrEx>
          <w:tblCellMar>
            <w:top w:w="0" w:type="dxa"/>
            <w:left w:w="108" w:type="dxa"/>
            <w:bottom w:w="0" w:type="dxa"/>
            <w:right w:w="108" w:type="dxa"/>
          </w:tblCellMar>
        </w:tblPrEx>
        <w:trPr>
          <w:trHeight w:val="986" w:hRule="atLeast"/>
        </w:trPr>
        <w:tc>
          <w:tcPr>
            <w:tcW w:w="743" w:type="dxa"/>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6</w:t>
            </w:r>
          </w:p>
        </w:tc>
        <w:tc>
          <w:tcPr>
            <w:tcW w:w="1559"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财务能力和状况</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2分</w:t>
            </w:r>
          </w:p>
        </w:tc>
        <w:tc>
          <w:tcPr>
            <w:tcW w:w="73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bookmarkStart w:id="148" w:name="_GoBack"/>
            <w:r>
              <w:rPr>
                <w:rFonts w:hint="eastAsia" w:ascii="宋体" w:hAnsi="宋体" w:cs="宋体"/>
                <w:sz w:val="24"/>
                <w:szCs w:val="24"/>
                <w:highlight w:val="white"/>
              </w:rPr>
              <w:t>经审计的最近两年度会计报表显示资产负债率小于50%（不含）的得2分；≥50%得1分；</w:t>
            </w:r>
            <w:bookmarkEnd w:id="148"/>
          </w:p>
        </w:tc>
      </w:tr>
      <w:tr>
        <w:tblPrEx>
          <w:tblCellMar>
            <w:top w:w="0" w:type="dxa"/>
            <w:left w:w="108" w:type="dxa"/>
            <w:bottom w:w="0" w:type="dxa"/>
            <w:right w:w="108" w:type="dxa"/>
          </w:tblCellMar>
        </w:tblPrEx>
        <w:trPr>
          <w:trHeight w:val="469" w:hRule="atLeast"/>
        </w:trPr>
        <w:tc>
          <w:tcPr>
            <w:tcW w:w="743" w:type="dxa"/>
            <w:tcBorders>
              <w:top w:val="nil"/>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7</w:t>
            </w:r>
          </w:p>
        </w:tc>
        <w:tc>
          <w:tcPr>
            <w:tcW w:w="1559"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指标总分合计</w:t>
            </w:r>
          </w:p>
        </w:tc>
        <w:tc>
          <w:tcPr>
            <w:tcW w:w="8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100分</w:t>
            </w:r>
          </w:p>
        </w:tc>
        <w:tc>
          <w:tcPr>
            <w:tcW w:w="7381" w:type="dxa"/>
            <w:gridSpan w:val="2"/>
            <w:tcBorders>
              <w:top w:val="single" w:color="auto" w:sz="4" w:space="0"/>
              <w:left w:val="nil"/>
              <w:bottom w:val="single" w:color="auto" w:sz="4" w:space="0"/>
              <w:right w:val="single" w:color="000000" w:sz="4" w:space="0"/>
            </w:tcBorders>
            <w:vAlign w:val="center"/>
          </w:tcPr>
          <w:p>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总计</w:t>
            </w:r>
          </w:p>
        </w:tc>
      </w:tr>
    </w:tbl>
    <w:p>
      <w:pPr>
        <w:spacing w:line="360" w:lineRule="exact"/>
        <w:rPr>
          <w:rFonts w:hint="eastAsia" w:ascii="宋体" w:hAnsi="宋体" w:cs="宋体"/>
          <w:b/>
          <w:bCs/>
          <w:sz w:val="24"/>
          <w:szCs w:val="24"/>
          <w:highlight w:val="white"/>
        </w:rPr>
      </w:pPr>
      <w:r>
        <w:rPr>
          <w:rFonts w:hint="eastAsia" w:ascii="宋体" w:hAnsi="宋体" w:cs="宋体"/>
          <w:color w:val="000080"/>
          <w:sz w:val="24"/>
          <w:szCs w:val="24"/>
          <w:highlight w:val="white"/>
        </w:rPr>
        <w:t xml:space="preserve"> </w:t>
      </w:r>
      <w:bookmarkEnd w:id="92"/>
      <w:bookmarkStart w:id="93" w:name="EB727693b662f248a4a3607ff2f7c636d8"/>
      <w:r>
        <w:rPr>
          <w:rFonts w:hint="eastAsia" w:ascii="宋体" w:hAnsi="宋体" w:cs="宋体"/>
          <w:color w:val="000080"/>
          <w:sz w:val="24"/>
          <w:szCs w:val="24"/>
          <w:highlight w:val="white"/>
          <w:lang w:val="en-US" w:eastAsia="zh-CN"/>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b/>
          <w:bCs/>
          <w:sz w:val="32"/>
        </w:rPr>
      </w:pPr>
      <w:r>
        <w:rPr>
          <w:rFonts w:hint="eastAsia" w:ascii="宋体" w:hAnsi="宋体" w:cs="宋体"/>
          <w:sz w:val="24"/>
          <w:szCs w:val="24"/>
          <w:highlight w:val="white"/>
        </w:rPr>
        <w:br w:type="page"/>
      </w:r>
      <w:bookmarkStart w:id="94" w:name="_Toc6177"/>
      <w:bookmarkStart w:id="95" w:name="_Toc17352"/>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合同书</w:t>
      </w:r>
    </w:p>
    <w:p>
      <w:pPr>
        <w:spacing w:line="560" w:lineRule="exact"/>
        <w:ind w:firstLine="601"/>
        <w:jc w:val="center"/>
        <w:rPr>
          <w:rFonts w:ascii="仿宋_GB2312" w:hAnsi="仿宋_GB2312" w:eastAsia="仿宋_GB2312"/>
          <w:b/>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ind w:firstLine="601"/>
        <w:jc w:val="center"/>
        <w:rPr>
          <w:rFonts w:ascii="宋体" w:hAnsi="宋体"/>
          <w:b/>
          <w:color w:val="000000"/>
          <w:sz w:val="32"/>
          <w:szCs w:val="32"/>
        </w:rPr>
      </w:pPr>
    </w:p>
    <w:p>
      <w:pPr>
        <w:spacing w:line="560" w:lineRule="exact"/>
        <w:ind w:firstLine="601"/>
        <w:jc w:val="center"/>
        <w:rPr>
          <w:rFonts w:ascii="仿宋_GB2312" w:hAnsi="仿宋_GB2312" w:eastAsia="仿宋_GB2312"/>
          <w:b/>
          <w:color w:val="000000"/>
          <w:sz w:val="28"/>
          <w:szCs w:val="28"/>
        </w:rPr>
      </w:pPr>
    </w:p>
    <w:p>
      <w:pPr>
        <w:spacing w:line="560" w:lineRule="exact"/>
        <w:ind w:firstLine="601"/>
        <w:jc w:val="center"/>
        <w:rPr>
          <w:rFonts w:ascii="仿宋_GB2312" w:hAnsi="仿宋_GB2312" w:eastAsia="仿宋_GB2312"/>
          <w:b/>
          <w:color w:val="000000"/>
          <w:sz w:val="28"/>
          <w:szCs w:val="28"/>
        </w:rPr>
      </w:pPr>
    </w:p>
    <w:p>
      <w:pPr>
        <w:pStyle w:val="5"/>
      </w:pP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hint="eastAsia" w:ascii="宋体" w:hAnsi="宋体" w:cs="宋体"/>
          <w:b/>
          <w:bCs w:val="0"/>
          <w:sz w:val="24"/>
          <w:szCs w:val="24"/>
          <w:highlight w:val="white"/>
        </w:rPr>
      </w:pPr>
      <w:r>
        <w:rPr>
          <w:rFonts w:hint="eastAsia" w:ascii="宋体" w:hAnsi="宋体" w:cs="宋体"/>
          <w:b/>
          <w:bCs w:val="0"/>
          <w:sz w:val="24"/>
          <w:szCs w:val="24"/>
          <w:highlight w:val="white"/>
        </w:rPr>
        <w:t>第一部分 通用条款</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5"/>
        <w:rPr>
          <w:rFonts w:hAnsi="仿宋_GB2312" w:eastAsia="仿宋_GB2312"/>
          <w:color w:val="000000"/>
          <w:sz w:val="24"/>
        </w:rPr>
      </w:pPr>
    </w:p>
    <w:p/>
    <w:p>
      <w:pPr>
        <w:pStyle w:val="3"/>
        <w:jc w:val="both"/>
        <w:rPr>
          <w:b w:val="0"/>
          <w:bCs w:val="0"/>
        </w:rPr>
      </w:pPr>
      <w:bookmarkStart w:id="96" w:name="_Toc29466"/>
      <w:bookmarkStart w:id="97" w:name="_Toc13678"/>
      <w:bookmarkStart w:id="98" w:name="_Toc257633148"/>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
      <w:pPr>
        <w:pStyle w:val="3"/>
        <w:rPr>
          <w:b/>
          <w:bCs/>
        </w:rPr>
      </w:pPr>
      <w:r>
        <w:rPr>
          <w:rFonts w:hint="eastAsia"/>
          <w:b/>
          <w:bCs/>
        </w:rPr>
        <w:t>六、竞争性磋商响应文件格式</w:t>
      </w:r>
      <w:bookmarkEnd w:id="96"/>
      <w:bookmarkEnd w:id="97"/>
    </w:p>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2"/>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2"/>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2"/>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2"/>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2"/>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2"/>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2"/>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2"/>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7"/>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2"/>
        <w:spacing w:line="360" w:lineRule="auto"/>
        <w:ind w:firstLine="480"/>
        <w:rPr>
          <w:rFonts w:ascii="宋体" w:hAnsi="宋体"/>
          <w:sz w:val="24"/>
          <w:szCs w:val="24"/>
        </w:rPr>
      </w:pPr>
      <w:r>
        <w:rPr>
          <w:rFonts w:hint="eastAsia" w:ascii="宋体" w:hAnsi="宋体"/>
          <w:sz w:val="24"/>
          <w:szCs w:val="24"/>
        </w:rPr>
        <w:t>五、近三年（2019年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6"/>
        <w:tabs>
          <w:tab w:val="left" w:pos="1490"/>
        </w:tabs>
      </w:pPr>
    </w:p>
    <w:p/>
    <w:p>
      <w:pPr>
        <w:pStyle w:val="16"/>
      </w:pPr>
    </w:p>
    <w:p/>
    <w:p>
      <w:pPr>
        <w:pStyle w:val="16"/>
      </w:pPr>
    </w:p>
    <w:p/>
    <w:p>
      <w:pPr>
        <w:pStyle w:val="16"/>
      </w:pPr>
    </w:p>
    <w:p/>
    <w:p>
      <w:pPr>
        <w:pStyle w:val="16"/>
      </w:pPr>
    </w:p>
    <w:p/>
    <w:p>
      <w:pPr>
        <w:pStyle w:val="16"/>
      </w:pPr>
    </w:p>
    <w:p/>
    <w:p>
      <w:pPr>
        <w:pStyle w:val="16"/>
      </w:pPr>
    </w:p>
    <w:p/>
    <w:p>
      <w:pPr>
        <w:pStyle w:val="5"/>
      </w:pPr>
    </w:p>
    <w:p/>
    <w:p>
      <w:pPr>
        <w:pStyle w:val="5"/>
      </w:pPr>
    </w:p>
    <w:p/>
    <w:p>
      <w:pPr>
        <w:pStyle w:val="5"/>
      </w:pPr>
    </w:p>
    <w:p/>
    <w:p>
      <w:pPr>
        <w:pStyle w:val="5"/>
      </w:pPr>
    </w:p>
    <w:p/>
    <w:p>
      <w:pPr>
        <w:pStyle w:val="16"/>
      </w:pPr>
    </w:p>
    <w:p/>
    <w:p>
      <w:pPr>
        <w:pStyle w:val="16"/>
      </w:pPr>
    </w:p>
    <w:bookmarkEnd w:id="99"/>
    <w:p>
      <w:pPr>
        <w:pStyle w:val="107"/>
        <w:widowControl/>
        <w:spacing w:before="0" w:after="0" w:line="360" w:lineRule="auto"/>
        <w:rPr>
          <w:sz w:val="30"/>
          <w:szCs w:val="30"/>
        </w:rPr>
      </w:pPr>
      <w:bookmarkStart w:id="100" w:name="_Toc8774"/>
      <w:bookmarkStart w:id="101" w:name="_Toc17151"/>
      <w:bookmarkStart w:id="102" w:name="_Toc19025"/>
      <w:bookmarkStart w:id="103" w:name="_Toc22745"/>
      <w:bookmarkStart w:id="104" w:name="_Toc6808"/>
      <w:r>
        <w:rPr>
          <w:sz w:val="30"/>
          <w:szCs w:val="30"/>
        </w:rPr>
        <w:t>商务</w:t>
      </w:r>
      <w:r>
        <w:rPr>
          <w:rFonts w:hint="eastAsia"/>
          <w:sz w:val="30"/>
          <w:szCs w:val="30"/>
        </w:rPr>
        <w:t>、经济</w:t>
      </w:r>
      <w:r>
        <w:rPr>
          <w:sz w:val="30"/>
          <w:szCs w:val="30"/>
        </w:rPr>
        <w:t>文件</w:t>
      </w:r>
      <w:bookmarkEnd w:id="100"/>
      <w:bookmarkEnd w:id="101"/>
    </w:p>
    <w:p>
      <w:pPr>
        <w:pStyle w:val="107"/>
        <w:widowControl/>
        <w:spacing w:before="0" w:after="0" w:line="360" w:lineRule="auto"/>
        <w:rPr>
          <w:sz w:val="24"/>
          <w:szCs w:val="24"/>
        </w:rPr>
      </w:pPr>
      <w:bookmarkStart w:id="105" w:name="_Toc10664"/>
      <w:bookmarkStart w:id="106" w:name="_Toc689"/>
      <w:bookmarkStart w:id="107" w:name="_Toc688"/>
      <w:r>
        <w:rPr>
          <w:rFonts w:hint="eastAsia" w:ascii="宋体" w:hAnsi="宋体" w:cs="宋体"/>
          <w:sz w:val="24"/>
          <w:szCs w:val="24"/>
        </w:rPr>
        <w:t>★</w:t>
      </w:r>
      <w:r>
        <w:rPr>
          <w:rFonts w:hint="eastAsia"/>
          <w:sz w:val="24"/>
          <w:szCs w:val="24"/>
        </w:rPr>
        <w:t>投标函</w:t>
      </w:r>
      <w:bookmarkEnd w:id="105"/>
      <w:bookmarkEnd w:id="106"/>
      <w:bookmarkEnd w:id="107"/>
    </w:p>
    <w:p>
      <w:pPr>
        <w:pStyle w:val="101"/>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1"/>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3"/>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3"/>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3"/>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3"/>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3"/>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3"/>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3"/>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3"/>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3"/>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3"/>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3"/>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3"/>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3"/>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3"/>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3"/>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3"/>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3"/>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3"/>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3"/>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3"/>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2"/>
        <w:ind w:firstLine="482"/>
        <w:rPr>
          <w:rFonts w:ascii="宋体" w:hAnsi="宋体" w:cs="宋体"/>
          <w:b/>
          <w:color w:val="000000"/>
          <w:sz w:val="24"/>
          <w:szCs w:val="24"/>
        </w:rPr>
      </w:pPr>
    </w:p>
    <w:p>
      <w:pPr>
        <w:pStyle w:val="23"/>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6"/>
        <w:jc w:val="center"/>
        <w:outlineLvl w:val="2"/>
        <w:rPr>
          <w:sz w:val="24"/>
        </w:rPr>
      </w:pPr>
      <w:r>
        <w:br w:type="page"/>
      </w:r>
      <w:r>
        <w:rPr>
          <w:rFonts w:hint="eastAsia" w:ascii="宋体" w:hAnsi="宋体"/>
          <w:sz w:val="24"/>
        </w:rPr>
        <w:t>★</w:t>
      </w:r>
      <w:r>
        <w:rPr>
          <w:rFonts w:hint="eastAsia"/>
          <w:sz w:val="24"/>
        </w:rPr>
        <w:t>法定代表人身份证明书及授权委托书</w:t>
      </w:r>
      <w:bookmarkEnd w:id="102"/>
      <w:bookmarkEnd w:id="103"/>
      <w:bookmarkEnd w:id="104"/>
    </w:p>
    <w:p>
      <w:pPr>
        <w:pStyle w:val="110"/>
        <w:outlineLvl w:val="9"/>
        <w:rPr>
          <w:b w:val="0"/>
          <w:sz w:val="24"/>
          <w:szCs w:val="24"/>
        </w:rPr>
      </w:pPr>
      <w:bookmarkStart w:id="108" w:name="_Toc480368595"/>
      <w:bookmarkStart w:id="109" w:name="_Toc480368424"/>
      <w:bookmarkStart w:id="110" w:name="_Toc480368653"/>
      <w:bookmarkStart w:id="111" w:name="_Toc480371721"/>
    </w:p>
    <w:p>
      <w:pPr>
        <w:pStyle w:val="110"/>
        <w:outlineLvl w:val="9"/>
        <w:rPr>
          <w:b w:val="0"/>
          <w:sz w:val="24"/>
          <w:szCs w:val="24"/>
        </w:rPr>
      </w:pPr>
      <w:bookmarkStart w:id="112" w:name="_Toc18836"/>
      <w:bookmarkStart w:id="113" w:name="_Toc23900"/>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2"/>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2"/>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2"/>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2"/>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2"/>
              <w:adjustRightInd w:val="0"/>
              <w:snapToGrid w:val="0"/>
              <w:spacing w:line="500" w:lineRule="exact"/>
              <w:jc w:val="center"/>
              <w:rPr>
                <w:rFonts w:ascii="宋体" w:hAnsi="宋体"/>
                <w:sz w:val="24"/>
                <w:szCs w:val="24"/>
              </w:rPr>
            </w:pPr>
          </w:p>
          <w:p>
            <w:pPr>
              <w:pStyle w:val="92"/>
              <w:adjustRightInd w:val="0"/>
              <w:snapToGrid w:val="0"/>
              <w:spacing w:line="500" w:lineRule="exact"/>
              <w:jc w:val="center"/>
              <w:rPr>
                <w:rFonts w:ascii="宋体" w:hAnsi="宋体"/>
                <w:sz w:val="24"/>
                <w:szCs w:val="24"/>
              </w:rPr>
            </w:pPr>
          </w:p>
          <w:p>
            <w:pPr>
              <w:pStyle w:val="92"/>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2"/>
        <w:adjustRightInd w:val="0"/>
        <w:snapToGrid w:val="0"/>
        <w:spacing w:line="500" w:lineRule="exact"/>
        <w:rPr>
          <w:rFonts w:ascii="宋体" w:hAnsi="宋体"/>
          <w:sz w:val="24"/>
          <w:szCs w:val="24"/>
        </w:rPr>
      </w:pP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2"/>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2"/>
        <w:tabs>
          <w:tab w:val="left" w:pos="750"/>
        </w:tabs>
        <w:adjustRightInd w:val="0"/>
        <w:snapToGrid w:val="0"/>
        <w:spacing w:line="500" w:lineRule="exact"/>
        <w:rPr>
          <w:rFonts w:ascii="宋体" w:hAnsi="宋体"/>
          <w:sz w:val="24"/>
          <w:szCs w:val="24"/>
        </w:rPr>
      </w:pPr>
    </w:p>
    <w:p>
      <w:pPr>
        <w:pStyle w:val="92"/>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0"/>
        <w:outlineLvl w:val="9"/>
        <w:rPr>
          <w:b w:val="0"/>
        </w:rPr>
      </w:pPr>
      <w:bookmarkStart w:id="114" w:name="_Toc468535483"/>
      <w:r>
        <w:rPr>
          <w:rFonts w:hint="eastAsia"/>
          <w:b w:val="0"/>
        </w:rPr>
        <w:t xml:space="preserve"> </w:t>
      </w:r>
      <w:bookmarkStart w:id="115" w:name="_Toc480368596"/>
      <w:bookmarkStart w:id="116" w:name="_Toc480368654"/>
      <w:bookmarkStart w:id="117" w:name="_Toc480371722"/>
      <w:bookmarkStart w:id="118" w:name="_Toc480368425"/>
    </w:p>
    <w:p>
      <w:pPr>
        <w:pStyle w:val="110"/>
        <w:outlineLvl w:val="9"/>
        <w:rPr>
          <w:rFonts w:hint="eastAsia" w:ascii="宋体" w:hAnsi="宋体" w:eastAsia="宋体" w:cs="宋体"/>
          <w:b/>
          <w:bCs w:val="0"/>
          <w:color w:val="000000"/>
          <w:kern w:val="2"/>
          <w:sz w:val="28"/>
          <w:szCs w:val="28"/>
          <w:lang w:val="en-US" w:eastAsia="zh-CN" w:bidi="ar-SA"/>
        </w:rPr>
      </w:pPr>
      <w:r>
        <w:rPr>
          <w:rFonts w:hint="eastAsia"/>
          <w:b w:val="0"/>
        </w:rPr>
        <w:br w:type="page"/>
      </w:r>
      <w:bookmarkStart w:id="119" w:name="_Toc613"/>
      <w:bookmarkStart w:id="120" w:name="_Toc1879"/>
      <w:r>
        <w:rPr>
          <w:rFonts w:hint="eastAsia" w:ascii="宋体" w:hAnsi="宋体" w:eastAsia="宋体" w:cs="宋体"/>
          <w:b/>
          <w:bCs w:val="0"/>
          <w:color w:val="000000"/>
          <w:kern w:val="2"/>
          <w:sz w:val="28"/>
          <w:szCs w:val="28"/>
          <w:lang w:val="en-US" w:eastAsia="zh-CN" w:bidi="ar-SA"/>
        </w:rPr>
        <w:t>法定代表人授权委托书</w:t>
      </w:r>
      <w:bookmarkEnd w:id="114"/>
      <w:bookmarkEnd w:id="115"/>
      <w:bookmarkEnd w:id="116"/>
      <w:bookmarkEnd w:id="117"/>
      <w:bookmarkEnd w:id="118"/>
      <w:bookmarkEnd w:id="119"/>
      <w:bookmarkEnd w:id="120"/>
    </w:p>
    <w:p>
      <w:pPr>
        <w:pStyle w:val="92"/>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2"/>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2"/>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2"/>
        <w:spacing w:line="500" w:lineRule="exact"/>
        <w:rPr>
          <w:rFonts w:ascii="宋体" w:hAnsi="宋体"/>
          <w:sz w:val="24"/>
          <w:szCs w:val="24"/>
        </w:rPr>
      </w:pPr>
    </w:p>
    <w:p>
      <w:pPr>
        <w:pStyle w:val="92"/>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2"/>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2"/>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2"/>
        <w:adjustRightInd w:val="0"/>
        <w:snapToGrid w:val="0"/>
        <w:spacing w:line="500" w:lineRule="exact"/>
        <w:ind w:left="-88" w:leftChars="-42" w:firstLine="600" w:firstLineChars="250"/>
        <w:rPr>
          <w:rFonts w:ascii="宋体" w:hAnsi="宋体"/>
          <w:sz w:val="24"/>
          <w:szCs w:val="24"/>
          <w:u w:val="single"/>
        </w:rPr>
      </w:pPr>
    </w:p>
    <w:tbl>
      <w:tblPr>
        <w:tblStyle w:val="3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2"/>
              <w:spacing w:line="500" w:lineRule="exact"/>
              <w:rPr>
                <w:rFonts w:ascii="宋体" w:hAnsi="宋体"/>
                <w:sz w:val="24"/>
                <w:szCs w:val="24"/>
              </w:rPr>
            </w:pPr>
          </w:p>
          <w:p>
            <w:pPr>
              <w:pStyle w:val="92"/>
              <w:spacing w:line="500" w:lineRule="exact"/>
              <w:rPr>
                <w:rFonts w:ascii="宋体" w:hAnsi="宋体"/>
                <w:sz w:val="24"/>
                <w:szCs w:val="24"/>
              </w:rPr>
            </w:pPr>
          </w:p>
          <w:p>
            <w:pPr>
              <w:pStyle w:val="92"/>
              <w:spacing w:line="500" w:lineRule="exact"/>
              <w:rPr>
                <w:rFonts w:ascii="宋体" w:hAnsi="宋体"/>
                <w:sz w:val="24"/>
                <w:szCs w:val="24"/>
              </w:rPr>
            </w:pPr>
          </w:p>
          <w:p>
            <w:pPr>
              <w:pStyle w:val="92"/>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6"/>
        <w:tabs>
          <w:tab w:val="left" w:pos="8786"/>
        </w:tabs>
        <w:spacing w:after="0" w:line="360" w:lineRule="auto"/>
        <w:rPr>
          <w:rFonts w:ascii="宋体" w:hAnsi="宋体"/>
          <w:b/>
          <w:color w:val="000000"/>
          <w:sz w:val="24"/>
        </w:rPr>
      </w:pPr>
    </w:p>
    <w:p>
      <w:pPr>
        <w:pStyle w:val="96"/>
        <w:tabs>
          <w:tab w:val="left" w:pos="8786"/>
        </w:tabs>
        <w:spacing w:after="0" w:line="360" w:lineRule="auto"/>
        <w:rPr>
          <w:rFonts w:ascii="宋体" w:hAnsi="宋体"/>
          <w:b/>
          <w:color w:val="000000"/>
          <w:sz w:val="24"/>
        </w:rPr>
      </w:pP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2"/>
        <w:tabs>
          <w:tab w:val="left" w:pos="750"/>
        </w:tabs>
        <w:adjustRightInd w:val="0"/>
        <w:snapToGrid w:val="0"/>
        <w:spacing w:line="500" w:lineRule="exact"/>
        <w:rPr>
          <w:rFonts w:ascii="宋体" w:hAnsi="宋体"/>
          <w:sz w:val="24"/>
          <w:szCs w:val="24"/>
        </w:rPr>
      </w:pPr>
    </w:p>
    <w:p>
      <w:pPr>
        <w:pStyle w:val="92"/>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6"/>
        <w:jc w:val="center"/>
        <w:outlineLvl w:val="2"/>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sz w:val="24"/>
        </w:rPr>
        <w:br w:type="page"/>
      </w:r>
      <w:bookmarkStart w:id="121" w:name="_Toc30613"/>
      <w:bookmarkStart w:id="122" w:name="_Toc15747"/>
      <w:bookmarkStart w:id="123" w:name="_Toc18505"/>
      <w:r>
        <w:rPr>
          <w:rFonts w:hint="eastAsia" w:ascii="宋体" w:hAnsi="宋体" w:eastAsia="宋体" w:cs="宋体"/>
          <w:b/>
          <w:bCs w:val="0"/>
          <w:color w:val="000000"/>
          <w:kern w:val="2"/>
          <w:sz w:val="28"/>
          <w:szCs w:val="28"/>
          <w:lang w:val="en-US" w:eastAsia="zh-CN" w:bidi="ar-SA"/>
        </w:rPr>
        <w:t>★开标一览表</w:t>
      </w:r>
      <w:bookmarkEnd w:id="121"/>
      <w:bookmarkEnd w:id="122"/>
      <w:bookmarkEnd w:id="123"/>
    </w:p>
    <w:tbl>
      <w:tblPr>
        <w:tblStyle w:val="3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0"/>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0"/>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0"/>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0"/>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0"/>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0"/>
              <w:tabs>
                <w:tab w:val="left" w:pos="1337"/>
              </w:tabs>
              <w:spacing w:line="360" w:lineRule="auto"/>
              <w:rPr>
                <w:rFonts w:ascii="宋体" w:hAnsi="宋体" w:cs="宋体"/>
                <w:bCs/>
                <w:sz w:val="24"/>
              </w:rPr>
            </w:pPr>
          </w:p>
          <w:p>
            <w:pPr>
              <w:pStyle w:val="90"/>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p>
          <w:p>
            <w:pPr>
              <w:pStyle w:val="90"/>
              <w:tabs>
                <w:tab w:val="left" w:pos="1337"/>
              </w:tabs>
              <w:spacing w:line="360" w:lineRule="auto"/>
              <w:rPr>
                <w:rFonts w:ascii="宋体" w:hAnsi="宋体" w:cs="宋体"/>
                <w:bCs/>
                <w:sz w:val="24"/>
                <w:u w:val="single"/>
              </w:rPr>
            </w:pPr>
          </w:p>
          <w:p>
            <w:pPr>
              <w:pStyle w:val="90"/>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0"/>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0"/>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0"/>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0"/>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p>
        </w:tc>
      </w:tr>
    </w:tbl>
    <w:p>
      <w:pPr>
        <w:pStyle w:val="90"/>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0"/>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0"/>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09"/>
        <w:jc w:val="center"/>
        <w:outlineLvl w:val="2"/>
        <w:rPr>
          <w:rFonts w:ascii="宋体" w:hAnsi="宋体" w:cs="仿宋"/>
          <w:sz w:val="24"/>
        </w:rPr>
      </w:pPr>
      <w:r>
        <w:rPr>
          <w:rFonts w:hint="eastAsia" w:ascii="宋体" w:hAnsi="宋体" w:cs="仿宋"/>
          <w:sz w:val="24"/>
        </w:rPr>
        <w:t xml:space="preserve">            </w:t>
      </w:r>
    </w:p>
    <w:p>
      <w:pPr>
        <w:pStyle w:val="109"/>
        <w:jc w:val="center"/>
        <w:outlineLvl w:val="2"/>
        <w:rPr>
          <w:rFonts w:ascii="宋体" w:hAnsi="宋体" w:eastAsia="宋体" w:cs="宋体"/>
          <w:sz w:val="24"/>
        </w:rPr>
      </w:pPr>
      <w:r>
        <w:rPr>
          <w:rFonts w:hint="eastAsia" w:ascii="宋体" w:hAnsi="宋体" w:cs="仿宋"/>
          <w:sz w:val="24"/>
        </w:rPr>
        <w:t xml:space="preserve">               日期：   年   月   日</w:t>
      </w:r>
      <w:r>
        <w:rPr>
          <w:rFonts w:hint="eastAsia"/>
        </w:rPr>
        <w:br w:type="page"/>
      </w:r>
      <w:bookmarkStart w:id="124" w:name="_Toc30687"/>
      <w:bookmarkStart w:id="125" w:name="_Toc11982"/>
      <w:bookmarkStart w:id="126" w:name="_Toc22219"/>
      <w:r>
        <w:rPr>
          <w:rFonts w:hint="eastAsia" w:ascii="宋体" w:hAnsi="宋体" w:eastAsia="宋体" w:cs="宋体"/>
          <w:sz w:val="24"/>
        </w:rPr>
        <w:t>★资格证明文件</w:t>
      </w:r>
      <w:bookmarkEnd w:id="124"/>
      <w:bookmarkEnd w:id="125"/>
      <w:bookmarkEnd w:id="126"/>
    </w:p>
    <w:p>
      <w:pPr>
        <w:pStyle w:val="108"/>
        <w:outlineLvl w:val="2"/>
        <w:rPr>
          <w:sz w:val="24"/>
        </w:rPr>
      </w:pPr>
    </w:p>
    <w:p>
      <w:pPr>
        <w:pStyle w:val="108"/>
        <w:outlineLvl w:val="2"/>
        <w:rPr>
          <w:rFonts w:ascii="宋体" w:hAnsi="宋体" w:eastAsia="宋体" w:cs="宋体"/>
          <w:sz w:val="24"/>
        </w:rPr>
      </w:pPr>
      <w:bookmarkStart w:id="127" w:name="_Toc14031"/>
      <w:bookmarkStart w:id="128" w:name="_Toc9140"/>
      <w:bookmarkStart w:id="129" w:name="_Toc6635"/>
      <w:r>
        <w:rPr>
          <w:rFonts w:hint="eastAsia" w:ascii="宋体" w:hAnsi="宋体" w:eastAsia="宋体" w:cs="宋体"/>
          <w:sz w:val="24"/>
        </w:rPr>
        <w:t>★营业执照、组织机构代码证、税务登记证（或三证合一的营业执照）</w:t>
      </w:r>
      <w:bookmarkEnd w:id="127"/>
      <w:bookmarkEnd w:id="128"/>
      <w:bookmarkEnd w:id="129"/>
    </w:p>
    <w:p>
      <w:pPr>
        <w:pStyle w:val="108"/>
        <w:outlineLvl w:val="2"/>
        <w:rPr>
          <w:rFonts w:ascii="宋体" w:hAnsi="宋体" w:eastAsia="宋体" w:cs="宋体"/>
          <w:sz w:val="24"/>
        </w:rPr>
      </w:pPr>
      <w:bookmarkStart w:id="130" w:name="_Toc27653"/>
      <w:bookmarkStart w:id="131" w:name="_Toc3674"/>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6"/>
        <w:outlineLvl w:val="2"/>
        <w:rPr>
          <w:rFonts w:ascii="宋体" w:hAnsi="宋体" w:eastAsia="宋体" w:cs="宋体"/>
          <w:sz w:val="24"/>
        </w:rPr>
      </w:pPr>
      <w:bookmarkStart w:id="132" w:name="_Toc5625"/>
      <w:bookmarkStart w:id="133" w:name="_Toc10958"/>
      <w:bookmarkStart w:id="134" w:name="_Toc17608"/>
      <w:r>
        <w:rPr>
          <w:rFonts w:hint="eastAsia" w:ascii="宋体" w:hAnsi="宋体" w:eastAsia="宋体" w:cs="宋体"/>
          <w:sz w:val="24"/>
        </w:rPr>
        <w:t>★投标保证金收据（以回执单为准）</w:t>
      </w:r>
      <w:bookmarkEnd w:id="132"/>
      <w:bookmarkEnd w:id="133"/>
      <w:bookmarkEnd w:id="134"/>
    </w:p>
    <w:p>
      <w:pPr>
        <w:pStyle w:val="86"/>
        <w:outlineLvl w:val="2"/>
        <w:rPr>
          <w:rFonts w:ascii="宋体" w:hAnsi="宋体" w:eastAsia="宋体" w:cs="宋体"/>
          <w:sz w:val="24"/>
        </w:rPr>
      </w:pPr>
      <w:bookmarkStart w:id="135" w:name="_Toc18070"/>
      <w:bookmarkStart w:id="136" w:name="_Toc15360"/>
      <w:bookmarkStart w:id="137" w:name="_Toc30884"/>
      <w:r>
        <w:rPr>
          <w:rFonts w:hint="eastAsia" w:ascii="宋体" w:hAnsi="宋体" w:eastAsia="宋体" w:cs="宋体"/>
          <w:sz w:val="24"/>
        </w:rPr>
        <w:t>★“信用中国”、“中国政府采购网”网页打印件</w:t>
      </w:r>
      <w:bookmarkEnd w:id="135"/>
      <w:bookmarkEnd w:id="136"/>
      <w:bookmarkEnd w:id="137"/>
    </w:p>
    <w:p>
      <w:pPr>
        <w:pStyle w:val="86"/>
        <w:outlineLvl w:val="2"/>
        <w:rPr>
          <w:rFonts w:ascii="宋体" w:hAnsi="宋体" w:eastAsia="宋体" w:cs="宋体"/>
          <w:sz w:val="24"/>
        </w:rPr>
      </w:pPr>
      <w:bookmarkStart w:id="138" w:name="_Toc17856"/>
      <w:bookmarkStart w:id="139" w:name="_Toc16449"/>
      <w:bookmarkStart w:id="140" w:name="_Toc17345"/>
      <w:r>
        <w:rPr>
          <w:rFonts w:hint="eastAsia" w:ascii="宋体" w:hAnsi="宋体" w:eastAsia="宋体" w:cs="宋体"/>
          <w:sz w:val="24"/>
        </w:rPr>
        <w:t>★中、小微企业声明函（中、小、微型企业产品价格需扣除的须提供）</w:t>
      </w:r>
      <w:bookmarkEnd w:id="138"/>
      <w:bookmarkEnd w:id="139"/>
      <w:bookmarkEnd w:id="140"/>
    </w:p>
    <w:p>
      <w:pPr>
        <w:pStyle w:val="86"/>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6"/>
        <w:outlineLvl w:val="2"/>
        <w:rPr>
          <w:rFonts w:ascii="宋体" w:hAnsi="宋体" w:eastAsia="宋体" w:cs="宋体"/>
          <w:sz w:val="24"/>
        </w:rPr>
      </w:pPr>
    </w:p>
    <w:p>
      <w:pPr>
        <w:pStyle w:val="79"/>
        <w:spacing w:line="360" w:lineRule="auto"/>
        <w:ind w:right="-97"/>
        <w:jc w:val="center"/>
        <w:rPr>
          <w:b/>
          <w:color w:val="000000"/>
          <w:sz w:val="24"/>
        </w:rPr>
      </w:pPr>
      <w:r>
        <w:rPr>
          <w:rFonts w:hint="eastAsia"/>
          <w:b/>
          <w:color w:val="000000"/>
          <w:sz w:val="24"/>
        </w:rPr>
        <w:t>中小企业声明函</w:t>
      </w:r>
    </w:p>
    <w:p>
      <w:pPr>
        <w:pStyle w:val="104"/>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79"/>
        <w:spacing w:line="360" w:lineRule="auto"/>
        <w:ind w:firstLine="5040" w:firstLineChars="2100"/>
        <w:rPr>
          <w:color w:val="000000"/>
          <w:sz w:val="24"/>
        </w:rPr>
      </w:pPr>
    </w:p>
    <w:p>
      <w:pPr>
        <w:pStyle w:val="79"/>
        <w:spacing w:line="360" w:lineRule="auto"/>
        <w:ind w:firstLine="5040" w:firstLineChars="2100"/>
        <w:rPr>
          <w:color w:val="000000"/>
          <w:sz w:val="24"/>
        </w:rPr>
      </w:pPr>
      <w:r>
        <w:rPr>
          <w:rFonts w:hint="eastAsia"/>
          <w:color w:val="000000"/>
          <w:sz w:val="24"/>
        </w:rPr>
        <w:t>投标单位名称（加盖公章）：</w:t>
      </w:r>
    </w:p>
    <w:p>
      <w:pPr>
        <w:pStyle w:val="79"/>
        <w:spacing w:line="360" w:lineRule="auto"/>
        <w:ind w:firstLine="6000" w:firstLineChars="2500"/>
        <w:rPr>
          <w:color w:val="000000"/>
          <w:sz w:val="24"/>
        </w:rPr>
      </w:pPr>
      <w:r>
        <w:rPr>
          <w:rFonts w:hint="eastAsia"/>
          <w:color w:val="000000"/>
          <w:sz w:val="24"/>
        </w:rPr>
        <w:t>年   月   日</w:t>
      </w:r>
    </w:p>
    <w:p>
      <w:pPr>
        <w:pStyle w:val="79"/>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ascii="宋体" w:hAnsi="宋体" w:cs="宋体"/>
          <w:b/>
          <w:color w:val="000000"/>
          <w:sz w:val="28"/>
          <w:szCs w:val="28"/>
        </w:rPr>
      </w:pPr>
      <w:r>
        <w:rPr>
          <w:rFonts w:hint="eastAsia" w:ascii="宋体" w:hAnsi="宋体"/>
          <w:sz w:val="24"/>
        </w:rPr>
        <w:br w:type="page"/>
      </w:r>
      <w:r>
        <w:rPr>
          <w:rFonts w:hint="eastAsia" w:ascii="宋体" w:hAnsi="宋体" w:cs="宋体"/>
          <w:b/>
          <w:kern w:val="0"/>
          <w:sz w:val="24"/>
        </w:rPr>
        <w:t>★</w:t>
      </w:r>
      <w:bookmarkStart w:id="142" w:name="_Toc449191483"/>
      <w:bookmarkStart w:id="143" w:name="_Toc448862871"/>
      <w:r>
        <w:rPr>
          <w:rFonts w:hint="eastAsia" w:ascii="宋体" w:hAnsi="宋体" w:cs="宋体"/>
          <w:b/>
          <w:color w:val="000000"/>
          <w:sz w:val="28"/>
          <w:szCs w:val="28"/>
        </w:rPr>
        <w:t>近三年类似业绩一览表</w:t>
      </w:r>
    </w:p>
    <w:p>
      <w:pPr>
        <w:spacing w:line="360" w:lineRule="auto"/>
        <w:jc w:val="center"/>
        <w:rPr>
          <w:rFonts w:ascii="宋体" w:hAnsi="宋体" w:cs="宋体"/>
          <w:b/>
          <w:sz w:val="28"/>
          <w:szCs w:val="28"/>
        </w:rPr>
      </w:pPr>
      <w:r>
        <w:rPr>
          <w:rFonts w:hint="eastAsia" w:ascii="宋体" w:hAnsi="宋体" w:cs="宋体"/>
          <w:b/>
          <w:sz w:val="28"/>
          <w:szCs w:val="28"/>
        </w:rPr>
        <w:t>近三年（201</w:t>
      </w:r>
      <w:r>
        <w:rPr>
          <w:rFonts w:hint="eastAsia" w:ascii="宋体" w:hAnsi="宋体" w:cs="宋体"/>
          <w:b/>
          <w:sz w:val="28"/>
          <w:szCs w:val="28"/>
          <w:lang w:val="en-US" w:eastAsia="zh-CN"/>
        </w:rPr>
        <w:t>9</w:t>
      </w:r>
      <w:r>
        <w:rPr>
          <w:rFonts w:hint="eastAsia" w:ascii="宋体" w:hAnsi="宋体" w:cs="宋体"/>
          <w:b/>
          <w:sz w:val="28"/>
          <w:szCs w:val="28"/>
        </w:rPr>
        <w:t>年</w:t>
      </w:r>
      <w:r>
        <w:rPr>
          <w:rFonts w:hint="eastAsia" w:ascii="宋体" w:hAnsi="宋体" w:cs="宋体"/>
          <w:b/>
          <w:sz w:val="28"/>
          <w:szCs w:val="28"/>
          <w:lang w:val="en-US" w:eastAsia="zh-CN"/>
        </w:rPr>
        <w:t>1</w:t>
      </w:r>
      <w:r>
        <w:rPr>
          <w:rFonts w:hint="eastAsia" w:ascii="宋体" w:hAnsi="宋体" w:cs="宋体"/>
          <w:b/>
          <w:sz w:val="28"/>
          <w:szCs w:val="28"/>
        </w:rPr>
        <w:t>月</w:t>
      </w:r>
      <w:r>
        <w:rPr>
          <w:rFonts w:hint="eastAsia" w:ascii="宋体" w:hAnsi="宋体" w:cs="宋体"/>
          <w:b/>
          <w:sz w:val="28"/>
          <w:szCs w:val="28"/>
          <w:lang w:val="en-US" w:eastAsia="zh-CN"/>
        </w:rPr>
        <w:t>1</w:t>
      </w:r>
      <w:r>
        <w:rPr>
          <w:rFonts w:hint="eastAsia" w:ascii="宋体" w:hAnsi="宋体" w:cs="宋体"/>
          <w:b/>
          <w:sz w:val="28"/>
          <w:szCs w:val="28"/>
        </w:rPr>
        <w:t>日至今）类似业绩一览表</w:t>
      </w:r>
    </w:p>
    <w:tbl>
      <w:tblPr>
        <w:tblStyle w:val="3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hint="eastAsia" w:ascii="宋体" w:hAnsi="宋体" w:cs="宋体"/>
          <w:b/>
          <w:sz w:val="24"/>
          <w:szCs w:val="24"/>
        </w:rPr>
      </w:pPr>
      <w:r>
        <w:rPr>
          <w:rFonts w:hint="eastAsia" w:ascii="宋体" w:hAnsi="宋体" w:cs="宋体"/>
          <w:bCs/>
          <w:sz w:val="24"/>
          <w:szCs w:val="24"/>
          <w:lang w:bidi="ar"/>
        </w:rPr>
        <w:br w:type="page"/>
      </w:r>
      <w:bookmarkStart w:id="144" w:name="_Toc16745"/>
      <w:bookmarkStart w:id="145" w:name="_Toc23931"/>
      <w:bookmarkStart w:id="146" w:name="_Toc19733"/>
      <w:bookmarkStart w:id="147" w:name="_Toc1858"/>
      <w:r>
        <w:rPr>
          <w:rFonts w:hint="eastAsia" w:ascii="宋体" w:hAnsi="宋体" w:cs="宋体"/>
          <w:b/>
          <w:sz w:val="24"/>
          <w:szCs w:val="24"/>
        </w:rPr>
        <w:t>★</w:t>
      </w:r>
      <w:bookmarkEnd w:id="144"/>
      <w:bookmarkEnd w:id="145"/>
      <w:bookmarkEnd w:id="146"/>
      <w:bookmarkEnd w:id="147"/>
      <w:r>
        <w:rPr>
          <w:rFonts w:hint="eastAsia" w:ascii="宋体" w:hAnsi="宋体" w:cs="宋体"/>
          <w:b/>
          <w:sz w:val="24"/>
          <w:szCs w:val="24"/>
        </w:rPr>
        <w:t>人 员 信 息 表</w:t>
      </w:r>
    </w:p>
    <w:tbl>
      <w:tblPr>
        <w:tblStyle w:val="36"/>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2"/>
        <w:ind w:firstLine="480"/>
        <w:rPr>
          <w:rFonts w:ascii="宋体" w:hAnsi="宋体" w:cs="宋体"/>
          <w:sz w:val="24"/>
          <w:szCs w:val="24"/>
        </w:rPr>
      </w:pPr>
    </w:p>
    <w:p>
      <w:pPr>
        <w:pStyle w:val="2"/>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2"/>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jc w:val="center"/>
        <w:rPr>
          <w:rFonts w:ascii="宋体" w:hAnsi="宋体" w:cs="宋体"/>
          <w:b/>
          <w:sz w:val="24"/>
          <w:szCs w:val="24"/>
        </w:rPr>
      </w:pPr>
      <w:r>
        <w:rPr>
          <w:rFonts w:hint="eastAsia" w:ascii="宋体" w:hAnsi="宋体" w:cs="宋体"/>
          <w:b/>
          <w:sz w:val="24"/>
          <w:szCs w:val="24"/>
        </w:rPr>
        <w:t>技术方案</w:t>
      </w: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b/>
          <w:bCs/>
          <w:kern w:val="0"/>
          <w:sz w:val="32"/>
          <w:szCs w:val="32"/>
        </w:rPr>
      </w:pPr>
      <w:r>
        <w:rPr>
          <w:rFonts w:hint="eastAsia"/>
          <w:b/>
          <w:bCs/>
          <w:kern w:val="0"/>
          <w:sz w:val="32"/>
          <w:szCs w:val="32"/>
        </w:rPr>
        <w:t>其他材料</w:t>
      </w:r>
    </w:p>
    <w:p>
      <w:pPr>
        <w:pStyle w:val="2"/>
        <w:ind w:firstLine="482"/>
        <w:rPr>
          <w:b/>
          <w:bCs/>
          <w:kern w:val="0"/>
          <w:sz w:val="32"/>
          <w:szCs w:val="32"/>
        </w:rPr>
      </w:pPr>
    </w:p>
    <w:p>
      <w:pPr>
        <w:pStyle w:val="2"/>
        <w:ind w:firstLine="482"/>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2"/>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ind w:firstLine="3080" w:firstLineChars="1100"/>
        <w:rPr>
          <w:rFonts w:hint="eastAsia" w:ascii="Times New Roman" w:hAnsi="Times New Roman" w:eastAsia="宋体" w:cs="Times New Roman"/>
          <w:b/>
          <w:bCs/>
          <w:kern w:val="0"/>
          <w:sz w:val="32"/>
          <w:szCs w:val="32"/>
          <w:lang w:val="en-US" w:eastAsia="zh-CN" w:bidi="ar-SA"/>
        </w:rPr>
      </w:pPr>
      <w:r>
        <w:rPr>
          <w:rFonts w:hint="eastAsia" w:ascii="宋体" w:hAnsi="宋体"/>
          <w:sz w:val="28"/>
          <w:szCs w:val="28"/>
          <w:lang w:val="en-US" w:eastAsia="zh-CN"/>
        </w:rPr>
        <w:t xml:space="preserve"> </w:t>
      </w:r>
      <w:r>
        <w:rPr>
          <w:rFonts w:hint="eastAsia" w:ascii="宋体" w:hAnsi="宋体"/>
          <w:sz w:val="36"/>
          <w:szCs w:val="36"/>
          <w:lang w:val="en-US" w:eastAsia="zh-CN"/>
        </w:rPr>
        <w:t xml:space="preserve">  </w:t>
      </w:r>
      <w:r>
        <w:rPr>
          <w:rFonts w:hint="eastAsia" w:ascii="Times New Roman" w:hAnsi="Times New Roman" w:eastAsia="宋体" w:cs="Times New Roman"/>
          <w:b/>
          <w:bCs/>
          <w:kern w:val="0"/>
          <w:sz w:val="32"/>
          <w:szCs w:val="32"/>
          <w:lang w:val="en-US" w:eastAsia="zh-CN" w:bidi="ar-SA"/>
        </w:rPr>
        <w:t>采购内容</w:t>
      </w:r>
    </w:p>
    <w:p>
      <w:pPr>
        <w:rPr>
          <w:rFonts w:hint="eastAsia"/>
          <w:lang w:val="en-US" w:eastAsia="zh-CN"/>
        </w:rPr>
      </w:pPr>
    </w:p>
    <w:p>
      <w:pPr>
        <w:numPr>
          <w:ilvl w:val="0"/>
          <w:numId w:val="2"/>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房屋建筑和市政设施调查实施方案编制；</w:t>
      </w:r>
    </w:p>
    <w:p>
      <w:pPr>
        <w:numPr>
          <w:ilvl w:val="0"/>
          <w:numId w:val="2"/>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 xml:space="preserve">组织开展辖区内管理人员培训工作； </w:t>
      </w:r>
    </w:p>
    <w:p>
      <w:pPr>
        <w:numPr>
          <w:ilvl w:val="0"/>
          <w:numId w:val="2"/>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房屋建筑和市政设施调查 ；</w:t>
      </w:r>
    </w:p>
    <w:p>
      <w:pPr>
        <w:numPr>
          <w:ilvl w:val="0"/>
          <w:numId w:val="2"/>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 xml:space="preserve">房屋建筑和市政设施调查数据软件质检； </w:t>
      </w:r>
    </w:p>
    <w:p>
      <w:pPr>
        <w:numPr>
          <w:ilvl w:val="0"/>
          <w:numId w:val="0"/>
        </w:numPr>
        <w:spacing w:line="360" w:lineRule="auto"/>
        <w:ind w:leftChars="0"/>
        <w:rPr>
          <w:rFonts w:hint="eastAsia" w:ascii="宋体" w:hAnsi="宋体" w:cs="宋体"/>
          <w:sz w:val="24"/>
          <w:szCs w:val="24"/>
          <w:lang w:val="en-US" w:eastAsia="zh-CN"/>
        </w:rPr>
      </w:pPr>
      <w:r>
        <w:rPr>
          <w:rFonts w:hint="eastAsia" w:ascii="宋体" w:hAnsi="宋体" w:cs="宋体"/>
          <w:sz w:val="24"/>
          <w:szCs w:val="24"/>
          <w:lang w:val="en-US" w:eastAsia="zh-CN"/>
        </w:rPr>
        <w:t>（5）风险普查其他相关技术支持工作；</w:t>
      </w: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0002A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0B64149"/>
    <w:multiLevelType w:val="singleLevel"/>
    <w:tmpl w:val="40B6414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Dc3M2ZlOTFlZDhlN2Y4ZjFkZWZkYmRjMjNhMDUifQ=="/>
  </w:docVars>
  <w:rsids>
    <w:rsidRoot w:val="0052125D"/>
    <w:rsid w:val="0000015D"/>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5F0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7B7C9A"/>
    <w:rsid w:val="01DF4CDD"/>
    <w:rsid w:val="03064AB8"/>
    <w:rsid w:val="039941AC"/>
    <w:rsid w:val="039D7B38"/>
    <w:rsid w:val="03F93A73"/>
    <w:rsid w:val="042046F5"/>
    <w:rsid w:val="061D3091"/>
    <w:rsid w:val="0698114A"/>
    <w:rsid w:val="06C8511E"/>
    <w:rsid w:val="0731401A"/>
    <w:rsid w:val="073C31C4"/>
    <w:rsid w:val="07E147B8"/>
    <w:rsid w:val="08066F25"/>
    <w:rsid w:val="08413FD1"/>
    <w:rsid w:val="0870074C"/>
    <w:rsid w:val="08712537"/>
    <w:rsid w:val="08CA6700"/>
    <w:rsid w:val="08D566AD"/>
    <w:rsid w:val="09071A9A"/>
    <w:rsid w:val="09490FF4"/>
    <w:rsid w:val="09F340E8"/>
    <w:rsid w:val="0A1D5332"/>
    <w:rsid w:val="0A732D15"/>
    <w:rsid w:val="0ABA31D3"/>
    <w:rsid w:val="0BDE31F1"/>
    <w:rsid w:val="0C852589"/>
    <w:rsid w:val="0CD849FA"/>
    <w:rsid w:val="0D1C451A"/>
    <w:rsid w:val="0D817CDD"/>
    <w:rsid w:val="0E6320AD"/>
    <w:rsid w:val="0EB321BB"/>
    <w:rsid w:val="0F0D0EA4"/>
    <w:rsid w:val="0F344429"/>
    <w:rsid w:val="0FF8717C"/>
    <w:rsid w:val="10CD3604"/>
    <w:rsid w:val="10EE35C3"/>
    <w:rsid w:val="113E35C5"/>
    <w:rsid w:val="114F26C3"/>
    <w:rsid w:val="121D6EB6"/>
    <w:rsid w:val="127D2F5A"/>
    <w:rsid w:val="13336E3E"/>
    <w:rsid w:val="138A253A"/>
    <w:rsid w:val="13BA3963"/>
    <w:rsid w:val="13BE01A0"/>
    <w:rsid w:val="13DD4ED1"/>
    <w:rsid w:val="1609743A"/>
    <w:rsid w:val="1631473A"/>
    <w:rsid w:val="165C6DCA"/>
    <w:rsid w:val="167C26C4"/>
    <w:rsid w:val="169B1732"/>
    <w:rsid w:val="16D5092B"/>
    <w:rsid w:val="176534B8"/>
    <w:rsid w:val="177E44BC"/>
    <w:rsid w:val="178818BA"/>
    <w:rsid w:val="18F6151F"/>
    <w:rsid w:val="19EF0BD6"/>
    <w:rsid w:val="19FC44C3"/>
    <w:rsid w:val="1A974163"/>
    <w:rsid w:val="1AD06319"/>
    <w:rsid w:val="1AD53B33"/>
    <w:rsid w:val="1B2B711A"/>
    <w:rsid w:val="1B352404"/>
    <w:rsid w:val="1BCD2368"/>
    <w:rsid w:val="1C3F60F3"/>
    <w:rsid w:val="1C567B4C"/>
    <w:rsid w:val="1D0D3CA0"/>
    <w:rsid w:val="1D3C38E1"/>
    <w:rsid w:val="1D4A5240"/>
    <w:rsid w:val="1DEA1FEA"/>
    <w:rsid w:val="1E17083B"/>
    <w:rsid w:val="1EDF0728"/>
    <w:rsid w:val="1FA6791C"/>
    <w:rsid w:val="203931EC"/>
    <w:rsid w:val="219E17CE"/>
    <w:rsid w:val="21FA7BC8"/>
    <w:rsid w:val="21FC6654"/>
    <w:rsid w:val="224F4AB9"/>
    <w:rsid w:val="22E12559"/>
    <w:rsid w:val="231F1167"/>
    <w:rsid w:val="235C2BD4"/>
    <w:rsid w:val="23651A3C"/>
    <w:rsid w:val="23FF4341"/>
    <w:rsid w:val="24035E1E"/>
    <w:rsid w:val="24324F1D"/>
    <w:rsid w:val="24EB70A7"/>
    <w:rsid w:val="2555132B"/>
    <w:rsid w:val="256E69E8"/>
    <w:rsid w:val="2581038F"/>
    <w:rsid w:val="25A67D3C"/>
    <w:rsid w:val="25B11518"/>
    <w:rsid w:val="25B86563"/>
    <w:rsid w:val="26606DD5"/>
    <w:rsid w:val="26807ACE"/>
    <w:rsid w:val="281F6039"/>
    <w:rsid w:val="2938027B"/>
    <w:rsid w:val="29816226"/>
    <w:rsid w:val="298A6908"/>
    <w:rsid w:val="29C1340D"/>
    <w:rsid w:val="29F10FDB"/>
    <w:rsid w:val="2A193FB9"/>
    <w:rsid w:val="2A5D4D9B"/>
    <w:rsid w:val="2A676E5E"/>
    <w:rsid w:val="2A787A01"/>
    <w:rsid w:val="2AF31683"/>
    <w:rsid w:val="2B61195F"/>
    <w:rsid w:val="2C3C17A7"/>
    <w:rsid w:val="2C4550B6"/>
    <w:rsid w:val="2C7D521A"/>
    <w:rsid w:val="2C895BBB"/>
    <w:rsid w:val="2CA31F00"/>
    <w:rsid w:val="2CF47464"/>
    <w:rsid w:val="2D67415A"/>
    <w:rsid w:val="2E15498A"/>
    <w:rsid w:val="2E916D24"/>
    <w:rsid w:val="2F1D1A5A"/>
    <w:rsid w:val="2FDA73CD"/>
    <w:rsid w:val="2FDB37C9"/>
    <w:rsid w:val="2FDE4FD2"/>
    <w:rsid w:val="2FE871EE"/>
    <w:rsid w:val="30550CCF"/>
    <w:rsid w:val="30C44045"/>
    <w:rsid w:val="31364011"/>
    <w:rsid w:val="31822DF7"/>
    <w:rsid w:val="31C615EA"/>
    <w:rsid w:val="320A42DF"/>
    <w:rsid w:val="3261739C"/>
    <w:rsid w:val="32CA69E2"/>
    <w:rsid w:val="32FB322A"/>
    <w:rsid w:val="34117E84"/>
    <w:rsid w:val="34A81741"/>
    <w:rsid w:val="350D526F"/>
    <w:rsid w:val="35237865"/>
    <w:rsid w:val="35315E89"/>
    <w:rsid w:val="3540076A"/>
    <w:rsid w:val="35FB7D42"/>
    <w:rsid w:val="36345EE6"/>
    <w:rsid w:val="36FF23C6"/>
    <w:rsid w:val="37111108"/>
    <w:rsid w:val="375717D0"/>
    <w:rsid w:val="376A2689"/>
    <w:rsid w:val="37FA7F01"/>
    <w:rsid w:val="38411EC3"/>
    <w:rsid w:val="386C58FB"/>
    <w:rsid w:val="386D15ED"/>
    <w:rsid w:val="388E7B3B"/>
    <w:rsid w:val="389F7463"/>
    <w:rsid w:val="39233DD7"/>
    <w:rsid w:val="39A2608B"/>
    <w:rsid w:val="39AB0323"/>
    <w:rsid w:val="3A081DF9"/>
    <w:rsid w:val="3B560CEF"/>
    <w:rsid w:val="3B6650C4"/>
    <w:rsid w:val="3BAE1BDB"/>
    <w:rsid w:val="3BF45333"/>
    <w:rsid w:val="3CF2002E"/>
    <w:rsid w:val="3D5B74C6"/>
    <w:rsid w:val="3D6D0BA5"/>
    <w:rsid w:val="3E467691"/>
    <w:rsid w:val="3EC97FB2"/>
    <w:rsid w:val="3ED93D06"/>
    <w:rsid w:val="3EFF2568"/>
    <w:rsid w:val="3FE36681"/>
    <w:rsid w:val="40C304AF"/>
    <w:rsid w:val="41AA697C"/>
    <w:rsid w:val="41F21437"/>
    <w:rsid w:val="4225331F"/>
    <w:rsid w:val="424711C0"/>
    <w:rsid w:val="42C84BF9"/>
    <w:rsid w:val="4359092D"/>
    <w:rsid w:val="43666688"/>
    <w:rsid w:val="4371282F"/>
    <w:rsid w:val="437F4981"/>
    <w:rsid w:val="438413DB"/>
    <w:rsid w:val="439E4C80"/>
    <w:rsid w:val="43BA05BB"/>
    <w:rsid w:val="44636210"/>
    <w:rsid w:val="44936C55"/>
    <w:rsid w:val="44FC5765"/>
    <w:rsid w:val="4520299F"/>
    <w:rsid w:val="45322804"/>
    <w:rsid w:val="453E2BF0"/>
    <w:rsid w:val="45C41F63"/>
    <w:rsid w:val="46205483"/>
    <w:rsid w:val="467F70E2"/>
    <w:rsid w:val="468D2996"/>
    <w:rsid w:val="46D676EB"/>
    <w:rsid w:val="47943E4F"/>
    <w:rsid w:val="47E7599A"/>
    <w:rsid w:val="47F41A4D"/>
    <w:rsid w:val="485F237C"/>
    <w:rsid w:val="49844CAB"/>
    <w:rsid w:val="4A012E2B"/>
    <w:rsid w:val="4A522460"/>
    <w:rsid w:val="4A5D667A"/>
    <w:rsid w:val="4A7D0DB9"/>
    <w:rsid w:val="4A915202"/>
    <w:rsid w:val="4AED3C84"/>
    <w:rsid w:val="4BB3139E"/>
    <w:rsid w:val="4C06644A"/>
    <w:rsid w:val="4C6E282C"/>
    <w:rsid w:val="4C7C057E"/>
    <w:rsid w:val="4C9F1633"/>
    <w:rsid w:val="4CCC6BB3"/>
    <w:rsid w:val="4CCF07E4"/>
    <w:rsid w:val="4D2770F7"/>
    <w:rsid w:val="4D677A6F"/>
    <w:rsid w:val="4DC74FFF"/>
    <w:rsid w:val="4DEC6CD7"/>
    <w:rsid w:val="4E2F2707"/>
    <w:rsid w:val="4E6B689F"/>
    <w:rsid w:val="4F04441F"/>
    <w:rsid w:val="4FC918B1"/>
    <w:rsid w:val="4FDD44A2"/>
    <w:rsid w:val="501233E8"/>
    <w:rsid w:val="502F2D27"/>
    <w:rsid w:val="50DC7DD1"/>
    <w:rsid w:val="51082263"/>
    <w:rsid w:val="5198572E"/>
    <w:rsid w:val="522D450B"/>
    <w:rsid w:val="52FA2762"/>
    <w:rsid w:val="53221C49"/>
    <w:rsid w:val="532408EC"/>
    <w:rsid w:val="53574187"/>
    <w:rsid w:val="53FD147E"/>
    <w:rsid w:val="543109BA"/>
    <w:rsid w:val="54AF3253"/>
    <w:rsid w:val="54F03E7B"/>
    <w:rsid w:val="55307659"/>
    <w:rsid w:val="55E0339D"/>
    <w:rsid w:val="55FE1D5B"/>
    <w:rsid w:val="56B63238"/>
    <w:rsid w:val="57AA1051"/>
    <w:rsid w:val="58424AB5"/>
    <w:rsid w:val="58D05A14"/>
    <w:rsid w:val="58F3699F"/>
    <w:rsid w:val="595455B5"/>
    <w:rsid w:val="59730A0E"/>
    <w:rsid w:val="59F22154"/>
    <w:rsid w:val="5A4F3C35"/>
    <w:rsid w:val="5AAD41B2"/>
    <w:rsid w:val="5B0E4FB1"/>
    <w:rsid w:val="5B275FD5"/>
    <w:rsid w:val="5C972052"/>
    <w:rsid w:val="5CE01DE0"/>
    <w:rsid w:val="5D786872"/>
    <w:rsid w:val="5DE15411"/>
    <w:rsid w:val="5DF14806"/>
    <w:rsid w:val="5F2A7A3E"/>
    <w:rsid w:val="5FC11B8B"/>
    <w:rsid w:val="6004506B"/>
    <w:rsid w:val="600E71BC"/>
    <w:rsid w:val="601E106B"/>
    <w:rsid w:val="606175A3"/>
    <w:rsid w:val="60B65D19"/>
    <w:rsid w:val="61127D2A"/>
    <w:rsid w:val="61601D33"/>
    <w:rsid w:val="622F11D2"/>
    <w:rsid w:val="62315C63"/>
    <w:rsid w:val="626C074C"/>
    <w:rsid w:val="62E37F5D"/>
    <w:rsid w:val="631A0F8F"/>
    <w:rsid w:val="63236775"/>
    <w:rsid w:val="63383313"/>
    <w:rsid w:val="634E38B9"/>
    <w:rsid w:val="63633AA7"/>
    <w:rsid w:val="63871BA4"/>
    <w:rsid w:val="646F6853"/>
    <w:rsid w:val="64C42F54"/>
    <w:rsid w:val="64CE04C8"/>
    <w:rsid w:val="64DC1AA7"/>
    <w:rsid w:val="64EE4632"/>
    <w:rsid w:val="66380607"/>
    <w:rsid w:val="663A71E2"/>
    <w:rsid w:val="66624AC4"/>
    <w:rsid w:val="66CF3EB6"/>
    <w:rsid w:val="677B0DB5"/>
    <w:rsid w:val="67F43406"/>
    <w:rsid w:val="68A04182"/>
    <w:rsid w:val="68E601F2"/>
    <w:rsid w:val="694941BC"/>
    <w:rsid w:val="69A02426"/>
    <w:rsid w:val="6A5C18FD"/>
    <w:rsid w:val="6A6B167A"/>
    <w:rsid w:val="6A800F11"/>
    <w:rsid w:val="6A840C8C"/>
    <w:rsid w:val="6AEE453B"/>
    <w:rsid w:val="6AF3124A"/>
    <w:rsid w:val="6CE82148"/>
    <w:rsid w:val="6CEC35B0"/>
    <w:rsid w:val="6D1856E9"/>
    <w:rsid w:val="6E903FBA"/>
    <w:rsid w:val="6E976E60"/>
    <w:rsid w:val="6F3829E8"/>
    <w:rsid w:val="6F6C3363"/>
    <w:rsid w:val="6FB57CB8"/>
    <w:rsid w:val="6FBB7E54"/>
    <w:rsid w:val="6FD33AC8"/>
    <w:rsid w:val="70885FAA"/>
    <w:rsid w:val="708F3534"/>
    <w:rsid w:val="70AC2FCB"/>
    <w:rsid w:val="710B646C"/>
    <w:rsid w:val="710F69FE"/>
    <w:rsid w:val="71F01781"/>
    <w:rsid w:val="71F43287"/>
    <w:rsid w:val="72BA7323"/>
    <w:rsid w:val="72D75763"/>
    <w:rsid w:val="73374E73"/>
    <w:rsid w:val="735C324C"/>
    <w:rsid w:val="742B1FE0"/>
    <w:rsid w:val="743F42E8"/>
    <w:rsid w:val="74714F78"/>
    <w:rsid w:val="747A102E"/>
    <w:rsid w:val="753161AE"/>
    <w:rsid w:val="75D47F04"/>
    <w:rsid w:val="75EB43FB"/>
    <w:rsid w:val="763C5D0A"/>
    <w:rsid w:val="76CF27C0"/>
    <w:rsid w:val="76D80CE3"/>
    <w:rsid w:val="773D0465"/>
    <w:rsid w:val="77526C08"/>
    <w:rsid w:val="781454A1"/>
    <w:rsid w:val="786B2585"/>
    <w:rsid w:val="79671759"/>
    <w:rsid w:val="797075DA"/>
    <w:rsid w:val="7A1B3C8B"/>
    <w:rsid w:val="7AAA05AF"/>
    <w:rsid w:val="7B2714CA"/>
    <w:rsid w:val="7B3A2568"/>
    <w:rsid w:val="7B4414D8"/>
    <w:rsid w:val="7BB41C3D"/>
    <w:rsid w:val="7BDC50A2"/>
    <w:rsid w:val="7CA04D2F"/>
    <w:rsid w:val="7CC606DC"/>
    <w:rsid w:val="7CD87D18"/>
    <w:rsid w:val="7CEB3C59"/>
    <w:rsid w:val="7CF2528C"/>
    <w:rsid w:val="7D0B0461"/>
    <w:rsid w:val="7D282903"/>
    <w:rsid w:val="7D401A7F"/>
    <w:rsid w:val="7E015867"/>
    <w:rsid w:val="7E2F166A"/>
    <w:rsid w:val="7E3E720E"/>
    <w:rsid w:val="7E5954A9"/>
    <w:rsid w:val="7E753116"/>
    <w:rsid w:val="7E7951BF"/>
    <w:rsid w:val="7F0A4FAE"/>
    <w:rsid w:val="7F2F3071"/>
    <w:rsid w:val="7F761634"/>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9"/>
    <w:pPr>
      <w:keepNext/>
      <w:keepLines/>
      <w:spacing w:line="360" w:lineRule="auto"/>
      <w:jc w:val="center"/>
      <w:outlineLvl w:val="0"/>
    </w:pPr>
    <w:rPr>
      <w:rFonts w:ascii="Cambria" w:hAnsi="Cambria"/>
      <w:b/>
      <w:bCs/>
      <w:kern w:val="44"/>
      <w:sz w:val="32"/>
      <w:szCs w:val="44"/>
    </w:rPr>
  </w:style>
  <w:style w:type="paragraph" w:styleId="4">
    <w:name w:val="heading 2"/>
    <w:basedOn w:val="1"/>
    <w:next w:val="1"/>
    <w:link w:val="45"/>
    <w:qFormat/>
    <w:uiPriority w:val="0"/>
    <w:pPr>
      <w:keepNext/>
      <w:keepLines/>
      <w:spacing w:line="360" w:lineRule="auto"/>
      <w:contextualSpacing/>
      <w:jc w:val="center"/>
      <w:outlineLvl w:val="1"/>
    </w:pPr>
    <w:rPr>
      <w:rFonts w:ascii="Cambria" w:hAnsi="Cambria"/>
      <w:b/>
      <w:sz w:val="28"/>
      <w:szCs w:val="28"/>
    </w:rPr>
  </w:style>
  <w:style w:type="paragraph" w:styleId="5">
    <w:name w:val="heading 3"/>
    <w:basedOn w:val="1"/>
    <w:next w:val="1"/>
    <w:link w:val="43"/>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sz w:val="30"/>
      <w:szCs w:val="18"/>
    </w:rPr>
  </w:style>
  <w:style w:type="paragraph" w:styleId="9">
    <w:name w:val="heading 7"/>
    <w:basedOn w:val="8"/>
    <w:next w:val="1"/>
    <w:link w:val="49"/>
    <w:qFormat/>
    <w:uiPriority w:val="0"/>
    <w:pPr>
      <w:tabs>
        <w:tab w:val="left" w:pos="1800"/>
        <w:tab w:val="clear" w:pos="1440"/>
      </w:tabs>
      <w:ind w:left="1276" w:hanging="1276"/>
      <w:outlineLvl w:val="6"/>
    </w:pPr>
    <w:rPr>
      <w:rFonts w:ascii="Times New Roman" w:hAnsi="Times New Roman"/>
    </w:r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tabs>
        <w:tab w:val="left" w:pos="2160"/>
        <w:tab w:val="clear" w:pos="1800"/>
      </w:tabs>
      <w:ind w:left="1559" w:hanging="1559"/>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2"/>
    <w:unhideWhenUsed/>
    <w:qFormat/>
    <w:uiPriority w:val="0"/>
    <w:pPr>
      <w:ind w:firstLine="420" w:firstLineChars="200"/>
    </w:pPr>
    <w:rPr>
      <w:rFonts w:ascii="Calibri" w:hAnsi="Calibri"/>
    </w:rPr>
  </w:style>
  <w:style w:type="paragraph" w:styleId="12">
    <w:name w:val="table of authorities"/>
    <w:basedOn w:val="1"/>
    <w:next w:val="1"/>
    <w:semiHidden/>
    <w:qFormat/>
    <w:uiPriority w:val="99"/>
    <w:pPr>
      <w:ind w:left="200" w:leftChars="200"/>
    </w:pPr>
  </w:style>
  <w:style w:type="paragraph" w:styleId="13">
    <w:name w:val="List Bullet"/>
    <w:basedOn w:val="1"/>
    <w:next w:val="14"/>
    <w:semiHidden/>
    <w:unhideWhenUsed/>
    <w:qFormat/>
    <w:uiPriority w:val="0"/>
    <w:pPr>
      <w:numPr>
        <w:ilvl w:val="0"/>
        <w:numId w:val="1"/>
      </w:numPr>
    </w:pPr>
  </w:style>
  <w:style w:type="paragraph" w:styleId="1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5">
    <w:name w:val="Document Map"/>
    <w:basedOn w:val="1"/>
    <w:link w:val="53"/>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54"/>
    <w:qFormat/>
    <w:uiPriority w:val="0"/>
    <w:pPr>
      <w:jc w:val="left"/>
    </w:pPr>
    <w:rPr>
      <w:rFonts w:ascii="Calibri" w:hAnsi="Calibri"/>
    </w:rPr>
  </w:style>
  <w:style w:type="paragraph" w:styleId="18">
    <w:name w:val="Body Text"/>
    <w:basedOn w:val="1"/>
    <w:unhideWhenUsed/>
    <w:qFormat/>
    <w:uiPriority w:val="0"/>
    <w:pPr>
      <w:spacing w:after="120"/>
    </w:pPr>
  </w:style>
  <w:style w:type="paragraph" w:styleId="19">
    <w:name w:val="Body Text Indent"/>
    <w:basedOn w:val="1"/>
    <w:qFormat/>
    <w:uiPriority w:val="0"/>
    <w:pPr>
      <w:ind w:firstLine="830" w:firstLineChars="352"/>
    </w:pPr>
    <w:rPr>
      <w:rFonts w:ascii="仿宋_GB2312" w:eastAsia="仿宋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55"/>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List"/>
    <w:basedOn w:val="1"/>
    <w:next w:val="29"/>
    <w:unhideWhenUsed/>
    <w:qFormat/>
    <w:uiPriority w:val="0"/>
    <w:pPr>
      <w:ind w:left="200" w:hanging="200" w:hangingChars="200"/>
      <w:contextualSpacing/>
    </w:pPr>
    <w:rPr>
      <w:szCs w:val="20"/>
    </w:rPr>
  </w:style>
  <w:style w:type="paragraph" w:styleId="29">
    <w:name w:val="Body Text Indent 3"/>
    <w:basedOn w:val="1"/>
    <w:next w:val="13"/>
    <w:link w:val="57"/>
    <w:unhideWhenUsed/>
    <w:qFormat/>
    <w:uiPriority w:val="0"/>
    <w:pPr>
      <w:spacing w:after="120"/>
      <w:ind w:left="420" w:leftChars="200"/>
    </w:pPr>
    <w:rPr>
      <w:rFonts w:ascii="Calibri" w:hAnsi="Calibri"/>
      <w:sz w:val="16"/>
      <w:szCs w:val="16"/>
    </w:rPr>
  </w:style>
  <w:style w:type="paragraph" w:styleId="30">
    <w:name w:val="toc 2"/>
    <w:basedOn w:val="1"/>
    <w:next w:val="1"/>
    <w:qFormat/>
    <w:uiPriority w:val="39"/>
    <w:pPr>
      <w:tabs>
        <w:tab w:val="right" w:leader="dot" w:pos="8222"/>
      </w:tabs>
      <w:ind w:left="420" w:leftChars="200"/>
      <w:jc w:val="left"/>
    </w:pPr>
    <w:rPr>
      <w:sz w:val="28"/>
    </w:rPr>
  </w:style>
  <w:style w:type="paragraph" w:styleId="31">
    <w:name w:val="HTML Preformatted"/>
    <w:basedOn w:val="1"/>
    <w:qFormat/>
    <w:uiPriority w:val="0"/>
    <w:rPr>
      <w:rFonts w:ascii="Courier New" w:hAnsi="Courier New"/>
      <w:sz w:val="20"/>
    </w:rPr>
  </w:style>
  <w:style w:type="paragraph" w:styleId="32">
    <w:name w:val="index 1"/>
    <w:basedOn w:val="1"/>
    <w:next w:val="1"/>
    <w:qFormat/>
    <w:uiPriority w:val="0"/>
    <w:pPr>
      <w:jc w:val="center"/>
    </w:pPr>
    <w:rPr>
      <w:szCs w:val="24"/>
    </w:rPr>
  </w:style>
  <w:style w:type="paragraph" w:styleId="33">
    <w:name w:val="Title"/>
    <w:basedOn w:val="4"/>
    <w:next w:val="1"/>
    <w:link w:val="58"/>
    <w:qFormat/>
    <w:uiPriority w:val="0"/>
    <w:pPr>
      <w:jc w:val="both"/>
    </w:pPr>
    <w:rPr>
      <w:rFonts w:ascii="宋体" w:hAnsi="宋体"/>
      <w:sz w:val="44"/>
    </w:rPr>
  </w:style>
  <w:style w:type="paragraph" w:styleId="34">
    <w:name w:val="annotation subject"/>
    <w:basedOn w:val="17"/>
    <w:next w:val="17"/>
    <w:link w:val="59"/>
    <w:qFormat/>
    <w:uiPriority w:val="99"/>
    <w:rPr>
      <w:rFonts w:ascii="Times New Roman" w:hAnsi="Times New Roman"/>
      <w:b/>
      <w:sz w:val="28"/>
      <w:szCs w:val="20"/>
    </w:rPr>
  </w:style>
  <w:style w:type="paragraph" w:styleId="35">
    <w:name w:val="Body Text First Indent 2"/>
    <w:basedOn w:val="19"/>
    <w:qFormat/>
    <w:uiPriority w:val="0"/>
    <w:pPr>
      <w:ind w:firstLine="420" w:firstLineChars="2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unhideWhenUsed/>
    <w:qFormat/>
    <w:uiPriority w:val="0"/>
    <w:rPr>
      <w:sz w:val="21"/>
      <w:szCs w:val="21"/>
    </w:rPr>
  </w:style>
  <w:style w:type="character" w:customStyle="1" w:styleId="43">
    <w:name w:val="标题 3 字符"/>
    <w:link w:val="5"/>
    <w:qFormat/>
    <w:uiPriority w:val="0"/>
    <w:rPr>
      <w:rFonts w:ascii="仿宋_GB2312" w:hAnsi="宋体" w:eastAsia="宋体"/>
      <w:b/>
      <w:kern w:val="2"/>
      <w:sz w:val="32"/>
      <w:szCs w:val="32"/>
    </w:rPr>
  </w:style>
  <w:style w:type="character" w:customStyle="1" w:styleId="44">
    <w:name w:val="标题 1 字符1"/>
    <w:link w:val="3"/>
    <w:qFormat/>
    <w:uiPriority w:val="9"/>
    <w:rPr>
      <w:rFonts w:ascii="Cambria" w:hAnsi="Cambria" w:eastAsia="宋体"/>
      <w:b/>
      <w:bCs/>
      <w:kern w:val="44"/>
      <w:sz w:val="32"/>
      <w:szCs w:val="44"/>
    </w:rPr>
  </w:style>
  <w:style w:type="character" w:customStyle="1" w:styleId="45">
    <w:name w:val="标题 2 字符"/>
    <w:link w:val="4"/>
    <w:qFormat/>
    <w:uiPriority w:val="0"/>
    <w:rPr>
      <w:rFonts w:ascii="Cambria" w:hAnsi="Cambria" w:eastAsia="宋体"/>
      <w:b/>
      <w:kern w:val="2"/>
      <w:sz w:val="28"/>
      <w:szCs w:val="28"/>
    </w:rPr>
  </w:style>
  <w:style w:type="character" w:customStyle="1" w:styleId="46">
    <w:name w:val="标题 4 字符"/>
    <w:link w:val="6"/>
    <w:qFormat/>
    <w:uiPriority w:val="0"/>
    <w:rPr>
      <w:rFonts w:ascii="Arial" w:hAnsi="Arial" w:eastAsia="黑体"/>
      <w:b/>
      <w:bCs/>
      <w:kern w:val="2"/>
      <w:sz w:val="28"/>
      <w:szCs w:val="28"/>
    </w:rPr>
  </w:style>
  <w:style w:type="character" w:customStyle="1" w:styleId="47">
    <w:name w:val="标题 5 字符"/>
    <w:link w:val="7"/>
    <w:qFormat/>
    <w:uiPriority w:val="0"/>
    <w:rPr>
      <w:rFonts w:ascii="Calibri" w:hAnsi="Calibri"/>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character" w:customStyle="1" w:styleId="52">
    <w:name w:val="正文缩进 字符1"/>
    <w:link w:val="2"/>
    <w:qFormat/>
    <w:uiPriority w:val="0"/>
    <w:rPr>
      <w:rFonts w:ascii="Calibri" w:hAnsi="Calibri" w:eastAsia="宋体"/>
      <w:kern w:val="2"/>
      <w:sz w:val="21"/>
      <w:szCs w:val="22"/>
      <w:lang w:val="en-US" w:eastAsia="zh-CN" w:bidi="ar-SA"/>
    </w:rPr>
  </w:style>
  <w:style w:type="character" w:customStyle="1" w:styleId="53">
    <w:name w:val="文档结构图 字符"/>
    <w:link w:val="15"/>
    <w:qFormat/>
    <w:uiPriority w:val="0"/>
    <w:rPr>
      <w:rFonts w:ascii="宋体" w:hAnsi="Calibri"/>
      <w:kern w:val="2"/>
      <w:sz w:val="18"/>
      <w:szCs w:val="18"/>
    </w:rPr>
  </w:style>
  <w:style w:type="character" w:customStyle="1" w:styleId="54">
    <w:name w:val="批注文字 字符"/>
    <w:link w:val="17"/>
    <w:qFormat/>
    <w:uiPriority w:val="0"/>
    <w:rPr>
      <w:rFonts w:ascii="Calibri" w:hAnsi="Calibri"/>
      <w:kern w:val="2"/>
      <w:sz w:val="21"/>
      <w:szCs w:val="22"/>
    </w:rPr>
  </w:style>
  <w:style w:type="character" w:customStyle="1" w:styleId="55">
    <w:name w:val="纯文本 字符"/>
    <w:link w:val="22"/>
    <w:qFormat/>
    <w:locked/>
    <w:uiPriority w:val="0"/>
    <w:rPr>
      <w:rFonts w:ascii="宋体" w:hAnsi="Courier New" w:eastAsia="宋体" w:cs="Courier New"/>
      <w:kern w:val="2"/>
      <w:sz w:val="21"/>
      <w:szCs w:val="21"/>
    </w:rPr>
  </w:style>
  <w:style w:type="character" w:customStyle="1" w:styleId="56">
    <w:name w:val="页眉 字符"/>
    <w:link w:val="26"/>
    <w:qFormat/>
    <w:uiPriority w:val="99"/>
    <w:rPr>
      <w:rFonts w:ascii="Calibri" w:hAnsi="Calibri" w:eastAsia="宋体" w:cs="Times New Roman"/>
      <w:kern w:val="2"/>
      <w:sz w:val="18"/>
      <w:szCs w:val="18"/>
    </w:rPr>
  </w:style>
  <w:style w:type="character" w:customStyle="1" w:styleId="57">
    <w:name w:val="正文文本缩进 3 字符"/>
    <w:link w:val="29"/>
    <w:semiHidden/>
    <w:qFormat/>
    <w:uiPriority w:val="0"/>
    <w:rPr>
      <w:rFonts w:ascii="Calibri" w:hAnsi="Calibri"/>
      <w:kern w:val="2"/>
      <w:sz w:val="16"/>
      <w:szCs w:val="16"/>
    </w:rPr>
  </w:style>
  <w:style w:type="character" w:customStyle="1" w:styleId="58">
    <w:name w:val="标题 字符"/>
    <w:link w:val="33"/>
    <w:qFormat/>
    <w:uiPriority w:val="0"/>
    <w:rPr>
      <w:rFonts w:ascii="宋体" w:hAnsi="宋体" w:eastAsia="宋体"/>
      <w:b/>
      <w:kern w:val="2"/>
      <w:sz w:val="44"/>
      <w:szCs w:val="28"/>
    </w:rPr>
  </w:style>
  <w:style w:type="character" w:customStyle="1" w:styleId="59">
    <w:name w:val="批注主题 字符"/>
    <w:link w:val="34"/>
    <w:qFormat/>
    <w:uiPriority w:val="99"/>
    <w:rPr>
      <w:b/>
      <w:kern w:val="2"/>
      <w:sz w:val="28"/>
    </w:rPr>
  </w:style>
  <w:style w:type="character" w:customStyle="1" w:styleId="60">
    <w:name w:val="font41"/>
    <w:qFormat/>
    <w:uiPriority w:val="0"/>
    <w:rPr>
      <w:rFonts w:hint="eastAsia" w:ascii="宋体" w:hAnsi="宋体" w:eastAsia="宋体" w:cs="宋体"/>
      <w:b/>
      <w:color w:val="000000"/>
      <w:sz w:val="18"/>
      <w:szCs w:val="18"/>
      <w:u w:val="none"/>
    </w:rPr>
  </w:style>
  <w:style w:type="character" w:customStyle="1" w:styleId="61">
    <w:name w:val="需求样式 Char"/>
    <w:link w:val="62"/>
    <w:qFormat/>
    <w:uiPriority w:val="0"/>
    <w:rPr>
      <w:b/>
      <w:bCs/>
      <w:kern w:val="44"/>
      <w:sz w:val="32"/>
      <w:szCs w:val="28"/>
    </w:rPr>
  </w:style>
  <w:style w:type="paragraph" w:customStyle="1" w:styleId="62">
    <w:name w:val="需求样式"/>
    <w:basedOn w:val="3"/>
    <w:link w:val="61"/>
    <w:qFormat/>
    <w:uiPriority w:val="0"/>
    <w:pPr>
      <w:spacing w:before="120" w:after="120"/>
      <w:ind w:left="425" w:hanging="425"/>
    </w:pPr>
    <w:rPr>
      <w:b w:val="0"/>
      <w:szCs w:val="28"/>
    </w:rPr>
  </w:style>
  <w:style w:type="character" w:customStyle="1" w:styleId="63">
    <w:name w:val="case31"/>
    <w:qFormat/>
    <w:uiPriority w:val="0"/>
    <w:rPr>
      <w:rFonts w:hint="default"/>
      <w:spacing w:val="390"/>
      <w:sz w:val="21"/>
      <w:szCs w:val="21"/>
    </w:rPr>
  </w:style>
  <w:style w:type="character" w:customStyle="1" w:styleId="64">
    <w:name w:val="font81"/>
    <w:qFormat/>
    <w:uiPriority w:val="0"/>
    <w:rPr>
      <w:rFonts w:hint="default" w:ascii="Calibri" w:hAnsi="Calibri" w:cs="Calibri"/>
      <w:color w:val="000000"/>
      <w:sz w:val="20"/>
      <w:szCs w:val="20"/>
      <w:u w:val="none"/>
    </w:rPr>
  </w:style>
  <w:style w:type="character" w:customStyle="1" w:styleId="65">
    <w:name w:val="标题 1 字符"/>
    <w:qFormat/>
    <w:uiPriority w:val="9"/>
    <w:rPr>
      <w:rFonts w:ascii="Times New Roman" w:hAnsi="Times New Roman" w:eastAsia="宋体" w:cs="Times New Roman"/>
      <w:bCs/>
      <w:kern w:val="44"/>
      <w:sz w:val="32"/>
      <w:szCs w:val="44"/>
    </w:rPr>
  </w:style>
  <w:style w:type="character" w:customStyle="1" w:styleId="66">
    <w:name w:val="font21"/>
    <w:qFormat/>
    <w:uiPriority w:val="0"/>
    <w:rPr>
      <w:rFonts w:hint="eastAsia" w:ascii="宋体" w:hAnsi="宋体" w:eastAsia="宋体" w:cs="宋体"/>
      <w:color w:val="000000"/>
      <w:sz w:val="24"/>
      <w:szCs w:val="24"/>
      <w:u w:val="none"/>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character" w:customStyle="1" w:styleId="70">
    <w:name w:val="font51"/>
    <w:qFormat/>
    <w:uiPriority w:val="0"/>
    <w:rPr>
      <w:rFonts w:hint="eastAsia" w:ascii="宋体" w:hAnsi="宋体" w:eastAsia="宋体" w:cs="宋体"/>
      <w:color w:val="000000"/>
      <w:sz w:val="20"/>
      <w:szCs w:val="20"/>
      <w:u w:val="none"/>
    </w:rPr>
  </w:style>
  <w:style w:type="character" w:customStyle="1" w:styleId="71">
    <w:name w:val="批注主题 Char1"/>
    <w:qFormat/>
    <w:uiPriority w:val="0"/>
    <w:rPr>
      <w:rFonts w:ascii="Calibri" w:hAnsi="Calibri"/>
      <w:b/>
      <w:bCs/>
      <w:kern w:val="2"/>
      <w:sz w:val="21"/>
      <w:szCs w:val="22"/>
    </w:rPr>
  </w:style>
  <w:style w:type="character" w:customStyle="1" w:styleId="72">
    <w:name w:val="正文缩进 字符"/>
    <w:qFormat/>
    <w:uiPriority w:val="0"/>
    <w:rPr>
      <w:rFonts w:ascii="Calibri" w:hAnsi="Calibri"/>
    </w:rPr>
  </w:style>
  <w:style w:type="paragraph" w:styleId="73">
    <w:name w:val="List Paragraph"/>
    <w:basedOn w:val="1"/>
    <w:qFormat/>
    <w:uiPriority w:val="1"/>
    <w:pPr>
      <w:ind w:firstLine="420" w:firstLineChars="200"/>
    </w:pPr>
  </w:style>
  <w:style w:type="paragraph" w:customStyle="1" w:styleId="74">
    <w:name w:val="Normal_16"/>
    <w:qFormat/>
    <w:uiPriority w:val="0"/>
    <w:rPr>
      <w:rFonts w:ascii="黑体" w:hAnsi="黑体" w:eastAsia="黑体" w:cs="Times New Roman"/>
      <w:b/>
      <w:sz w:val="32"/>
      <w:szCs w:val="24"/>
      <w:lang w:val="en-US" w:eastAsia="zh-CN" w:bidi="ar-SA"/>
    </w:rPr>
  </w:style>
  <w:style w:type="paragraph" w:customStyle="1" w:styleId="7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TOC 标题1"/>
    <w:basedOn w:val="3"/>
    <w:next w:val="1"/>
    <w:qFormat/>
    <w:uiPriority w:val="39"/>
    <w:pPr>
      <w:widowControl/>
      <w:spacing w:before="480" w:line="276" w:lineRule="auto"/>
      <w:jc w:val="left"/>
      <w:outlineLvl w:val="9"/>
    </w:pPr>
    <w:rPr>
      <w:color w:val="365F91"/>
      <w:kern w:val="0"/>
      <w:sz w:val="28"/>
    </w:rPr>
  </w:style>
  <w:style w:type="paragraph" w:customStyle="1" w:styleId="77">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pPr>
    <w:rPr>
      <w:kern w:val="0"/>
      <w:sz w:val="24"/>
    </w:rPr>
  </w:style>
  <w:style w:type="paragraph" w:customStyle="1" w:styleId="7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3">
    <w:name w:val="正文1"/>
    <w:qFormat/>
    <w:uiPriority w:val="0"/>
    <w:rPr>
      <w:rFonts w:ascii="Times New Roman" w:hAnsi="Times New Roman" w:eastAsia="Times New Roman" w:cs="Times New Roman"/>
      <w:sz w:val="24"/>
      <w:szCs w:val="24"/>
      <w:lang w:val="en-US" w:eastAsia="zh-CN" w:bidi="ar-SA"/>
    </w:rPr>
  </w:style>
  <w:style w:type="paragraph" w:customStyle="1" w:styleId="84">
    <w:name w:val="默认段落字体 Para Char"/>
    <w:basedOn w:val="1"/>
    <w:qFormat/>
    <w:uiPriority w:val="0"/>
    <w:pPr>
      <w:adjustRightInd w:val="0"/>
      <w:spacing w:line="360" w:lineRule="auto"/>
    </w:pPr>
    <w:rPr>
      <w:rFonts w:eastAsia="微软雅黑"/>
      <w:szCs w:val="24"/>
    </w:rPr>
  </w:style>
  <w:style w:type="paragraph" w:customStyle="1" w:styleId="85">
    <w:name w:val="SF正文"/>
    <w:basedOn w:val="1"/>
    <w:qFormat/>
    <w:uiPriority w:val="0"/>
    <w:pPr>
      <w:spacing w:line="460" w:lineRule="exact"/>
      <w:ind w:firstLine="200" w:firstLineChars="200"/>
    </w:pPr>
    <w:rPr>
      <w:rFonts w:ascii="Century Gothic" w:hAnsi="Century Gothic"/>
      <w:sz w:val="24"/>
      <w:szCs w:val="24"/>
    </w:rPr>
  </w:style>
  <w:style w:type="paragraph" w:customStyle="1" w:styleId="86">
    <w:name w:val="Normal_5"/>
    <w:qFormat/>
    <w:uiPriority w:val="0"/>
    <w:rPr>
      <w:rFonts w:ascii="黑体" w:hAnsi="黑体" w:eastAsia="黑体" w:cs="Times New Roman"/>
      <w:b/>
      <w:sz w:val="32"/>
      <w:szCs w:val="24"/>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标题 3_0"/>
    <w:basedOn w:val="77"/>
    <w:next w:val="77"/>
    <w:qFormat/>
    <w:uiPriority w:val="0"/>
    <w:pPr>
      <w:adjustRightInd w:val="0"/>
      <w:snapToGrid w:val="0"/>
      <w:spacing w:line="500" w:lineRule="exact"/>
      <w:jc w:val="center"/>
      <w:outlineLvl w:val="2"/>
    </w:pPr>
    <w:rPr>
      <w:rFonts w:ascii="宋体" w:hAnsi="宋体"/>
      <w:b/>
      <w:sz w:val="32"/>
      <w:szCs w:val="32"/>
    </w:rPr>
  </w:style>
  <w:style w:type="paragraph" w:customStyle="1" w:styleId="9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4">
    <w:name w:val="列出段落1"/>
    <w:basedOn w:val="1"/>
    <w:qFormat/>
    <w:uiPriority w:val="34"/>
    <w:pPr>
      <w:ind w:firstLine="420" w:firstLineChars="200"/>
    </w:pPr>
  </w:style>
  <w:style w:type="paragraph" w:customStyle="1" w:styleId="9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正文文本_1"/>
    <w:basedOn w:val="97"/>
    <w:qFormat/>
    <w:uiPriority w:val="0"/>
    <w:pPr>
      <w:spacing w:after="120"/>
    </w:pPr>
    <w:rPr>
      <w:kern w:val="0"/>
      <w:sz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9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0">
    <w:name w:val="正文文本缩进_1"/>
    <w:basedOn w:val="90"/>
    <w:qFormat/>
    <w:uiPriority w:val="0"/>
    <w:pPr>
      <w:spacing w:line="500" w:lineRule="exact"/>
      <w:ind w:left="1588" w:leftChars="832" w:firstLine="433" w:firstLineChars="196"/>
    </w:pPr>
    <w:rPr>
      <w:kern w:val="0"/>
      <w:sz w:val="24"/>
    </w:rPr>
  </w:style>
  <w:style w:type="paragraph" w:customStyle="1" w:styleId="101">
    <w:name w:val="日期_0"/>
    <w:basedOn w:val="88"/>
    <w:next w:val="88"/>
    <w:qFormat/>
    <w:uiPriority w:val="0"/>
    <w:pPr>
      <w:ind w:left="100" w:leftChars="2500"/>
    </w:pPr>
    <w:rPr>
      <w:kern w:val="0"/>
      <w:sz w:val="20"/>
    </w:rPr>
  </w:style>
  <w:style w:type="paragraph" w:customStyle="1" w:styleId="1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TOC 标题2"/>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4">
    <w:name w:val="正文文本缩进_0_0"/>
    <w:basedOn w:val="79"/>
    <w:qFormat/>
    <w:uiPriority w:val="0"/>
    <w:pPr>
      <w:spacing w:line="500" w:lineRule="exact"/>
      <w:ind w:left="1588" w:leftChars="832" w:firstLine="433" w:firstLineChars="196"/>
    </w:pPr>
    <w:rPr>
      <w:kern w:val="0"/>
      <w:sz w:val="24"/>
    </w:rPr>
  </w:style>
  <w:style w:type="paragraph" w:customStyle="1" w:styleId="10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1"/>
    <w:qFormat/>
    <w:uiPriority w:val="0"/>
    <w:rPr>
      <w:rFonts w:ascii="黑体" w:hAnsi="黑体" w:eastAsia="黑体" w:cs="Times New Roman"/>
      <w:b/>
      <w:sz w:val="32"/>
      <w:szCs w:val="24"/>
      <w:lang w:val="en-US" w:eastAsia="zh-CN" w:bidi="ar-SA"/>
    </w:rPr>
  </w:style>
  <w:style w:type="paragraph" w:customStyle="1" w:styleId="107">
    <w:name w:val="标题 2_0"/>
    <w:basedOn w:val="77"/>
    <w:next w:val="77"/>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8">
    <w:name w:val="Normal_3"/>
    <w:qFormat/>
    <w:uiPriority w:val="0"/>
    <w:rPr>
      <w:rFonts w:ascii="黑体" w:hAnsi="黑体" w:eastAsia="黑体" w:cs="Times New Roman"/>
      <w:b/>
      <w:sz w:val="32"/>
      <w:szCs w:val="24"/>
      <w:lang w:val="en-US" w:eastAsia="zh-CN" w:bidi="ar-SA"/>
    </w:rPr>
  </w:style>
  <w:style w:type="paragraph" w:customStyle="1" w:styleId="109">
    <w:name w:val="Normal_13"/>
    <w:qFormat/>
    <w:uiPriority w:val="0"/>
    <w:rPr>
      <w:rFonts w:ascii="黑体" w:hAnsi="黑体" w:eastAsia="黑体" w:cs="Times New Roman"/>
      <w:b/>
      <w:sz w:val="32"/>
      <w:szCs w:val="24"/>
      <w:lang w:val="en-US" w:eastAsia="zh-CN" w:bidi="ar-SA"/>
    </w:rPr>
  </w:style>
  <w:style w:type="paragraph" w:customStyle="1" w:styleId="110">
    <w:name w:val="标题 3_0_0"/>
    <w:basedOn w:val="92"/>
    <w:next w:val="9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标题 2_0_0"/>
    <w:basedOn w:val="110"/>
    <w:next w:val="89"/>
    <w:qFormat/>
    <w:uiPriority w:val="0"/>
    <w:pPr>
      <w:outlineLvl w:val="1"/>
    </w:pPr>
    <w:rPr>
      <w:rFonts w:ascii="Calibri" w:hAnsi="Calibri"/>
    </w:rPr>
  </w:style>
  <w:style w:type="paragraph" w:customStyle="1" w:styleId="113">
    <w:name w:val="BodyText1I2"/>
    <w:basedOn w:val="114"/>
    <w:qFormat/>
    <w:uiPriority w:val="0"/>
    <w:pPr>
      <w:spacing w:after="0"/>
      <w:ind w:left="0" w:leftChars="0" w:firstLine="200" w:firstLineChars="200"/>
    </w:pPr>
    <w:rPr>
      <w:sz w:val="28"/>
    </w:rPr>
  </w:style>
  <w:style w:type="paragraph" w:customStyle="1" w:styleId="114">
    <w:name w:val="BodyTextIndent"/>
    <w:basedOn w:val="1"/>
    <w:qFormat/>
    <w:uiPriority w:val="0"/>
    <w:pPr>
      <w:spacing w:after="120"/>
      <w:ind w:left="420" w:leftChars="200"/>
      <w:textAlignment w:val="baseline"/>
    </w:p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17927</Words>
  <Characters>19071</Characters>
  <Lines>156</Lines>
  <Paragraphs>44</Paragraphs>
  <TotalTime>9</TotalTime>
  <ScaleCrop>false</ScaleCrop>
  <LinksUpToDate>false</LinksUpToDate>
  <CharactersWithSpaces>20727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Administrator</cp:lastModifiedBy>
  <cp:lastPrinted>2021-01-04T03:56:00Z</cp:lastPrinted>
  <dcterms:modified xsi:type="dcterms:W3CDTF">2022-06-15T07:24:06Z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03CBA1E0235442B8BFB2FA33E68D4123</vt:lpwstr>
  </property>
</Properties>
</file>