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60" w:lineRule="exact"/>
        <w:jc w:val="right"/>
        <w:rPr>
          <w:rFonts w:ascii="宋体" w:hAnsi="宋体" w:cs="宋体"/>
          <w:b/>
          <w:bCs/>
          <w:sz w:val="28"/>
          <w:szCs w:val="28"/>
        </w:rPr>
      </w:pPr>
      <w:r>
        <w:rPr>
          <w:rFonts w:hint="eastAsia" w:ascii="宋体" w:hAnsi="宋体" w:cs="宋体"/>
          <w:b/>
          <w:bCs/>
          <w:sz w:val="28"/>
          <w:szCs w:val="28"/>
        </w:rPr>
        <w:t>项目编号：RSY-2022-013[2022]8811号</w:t>
      </w:r>
    </w:p>
    <w:p>
      <w:pPr>
        <w:adjustRightInd w:val="0"/>
        <w:snapToGrid w:val="0"/>
        <w:spacing w:line="460" w:lineRule="exact"/>
        <w:rPr>
          <w:rFonts w:ascii="宋体" w:hAnsi="宋体" w:cs="宋体"/>
          <w:sz w:val="72"/>
          <w:szCs w:val="72"/>
          <w:lang w:val="zh-CN"/>
        </w:rPr>
      </w:pPr>
    </w:p>
    <w:p>
      <w:pPr>
        <w:adjustRightInd w:val="0"/>
        <w:snapToGrid w:val="0"/>
        <w:spacing w:line="1000" w:lineRule="exact"/>
        <w:jc w:val="center"/>
        <w:rPr>
          <w:rFonts w:ascii="宋体" w:hAnsi="宋体" w:cs="宋体"/>
          <w:b/>
          <w:bCs/>
          <w:sz w:val="44"/>
          <w:szCs w:val="44"/>
          <w:lang w:val="zh-CN"/>
        </w:rPr>
      </w:pPr>
      <w:r>
        <w:rPr>
          <w:rFonts w:hint="eastAsia" w:ascii="宋体" w:hAnsi="宋体" w:cs="宋体"/>
          <w:b/>
          <w:bCs/>
          <w:sz w:val="44"/>
          <w:szCs w:val="44"/>
          <w:lang w:val="zh-CN"/>
        </w:rPr>
        <w:t>新疆司法警官学校2022年职业教育质量提升计划（改善办学条件）</w:t>
      </w:r>
      <w:r>
        <w:rPr>
          <w:rFonts w:hint="eastAsia" w:ascii="宋体" w:hAnsi="宋体" w:cs="宋体"/>
          <w:b/>
          <w:bCs/>
          <w:sz w:val="44"/>
          <w:szCs w:val="44"/>
        </w:rPr>
        <w:t>图书馆扩建（</w:t>
      </w:r>
      <w:r>
        <w:rPr>
          <w:rFonts w:hint="eastAsia" w:ascii="宋体" w:hAnsi="宋体" w:cs="宋体"/>
          <w:b/>
          <w:bCs/>
          <w:sz w:val="44"/>
          <w:szCs w:val="44"/>
          <w:lang w:val="zh-CN"/>
        </w:rPr>
        <w:t>智慧图书馆</w:t>
      </w:r>
      <w:r>
        <w:rPr>
          <w:rFonts w:hint="eastAsia" w:ascii="宋体" w:hAnsi="宋体" w:cs="宋体"/>
          <w:b/>
          <w:bCs/>
          <w:sz w:val="44"/>
          <w:szCs w:val="44"/>
        </w:rPr>
        <w:t>建设）</w:t>
      </w:r>
      <w:r>
        <w:rPr>
          <w:rFonts w:hint="eastAsia" w:ascii="宋体" w:hAnsi="宋体" w:cs="宋体"/>
          <w:b/>
          <w:bCs/>
          <w:sz w:val="44"/>
          <w:szCs w:val="44"/>
          <w:lang w:val="zh-CN"/>
        </w:rPr>
        <w:t>采购项目</w:t>
      </w:r>
    </w:p>
    <w:p>
      <w:pPr>
        <w:adjustRightInd w:val="0"/>
        <w:snapToGrid w:val="0"/>
        <w:spacing w:line="1000" w:lineRule="exact"/>
        <w:jc w:val="center"/>
        <w:rPr>
          <w:rFonts w:ascii="宋体" w:hAnsi="宋体" w:cs="宋体"/>
          <w:b/>
          <w:bCs/>
          <w:sz w:val="44"/>
          <w:szCs w:val="44"/>
          <w:lang w:val="zh-CN"/>
        </w:rPr>
      </w:pPr>
      <w:r>
        <w:rPr>
          <w:rFonts w:hint="eastAsia" w:ascii="宋体" w:hAnsi="宋体" w:cs="宋体"/>
          <w:b/>
          <w:bCs/>
          <w:sz w:val="44"/>
          <w:szCs w:val="44"/>
          <w:lang w:val="zh-CN"/>
        </w:rPr>
        <w:t>磋商文件</w:t>
      </w:r>
    </w:p>
    <w:p>
      <w:pPr>
        <w:pStyle w:val="25"/>
        <w:ind w:firstLine="0" w:firstLineChars="0"/>
        <w:rPr>
          <w:lang w:val="zh-CN"/>
        </w:rPr>
      </w:pPr>
    </w:p>
    <w:p>
      <w:pPr>
        <w:rPr>
          <w:lang w:val="zh-CN"/>
        </w:rPr>
      </w:pPr>
    </w:p>
    <w:p>
      <w:pPr>
        <w:pStyle w:val="2"/>
        <w:rPr>
          <w:lang w:val="zh-CN"/>
        </w:rPr>
      </w:pPr>
    </w:p>
    <w:p>
      <w:pPr>
        <w:pStyle w:val="5"/>
        <w:ind w:firstLine="0"/>
        <w:rPr>
          <w:lang w:val="zh-CN"/>
        </w:rPr>
      </w:pPr>
    </w:p>
    <w:p>
      <w:pPr>
        <w:adjustRightInd w:val="0"/>
        <w:snapToGrid w:val="0"/>
        <w:spacing w:line="460" w:lineRule="exact"/>
        <w:rPr>
          <w:rFonts w:ascii="宋体" w:hAnsi="宋体" w:cs="宋体"/>
          <w:sz w:val="28"/>
          <w:szCs w:val="28"/>
        </w:rPr>
      </w:pPr>
      <w:r>
        <w:rPr>
          <w:rFonts w:hint="eastAsia" w:ascii="宋体" w:hAnsi="宋体" w:cs="宋体"/>
          <w:sz w:val="28"/>
          <w:szCs w:val="28"/>
        </w:rPr>
        <w:t>采购方式：竞争性磋商</w:t>
      </w:r>
    </w:p>
    <w:p>
      <w:pPr>
        <w:adjustRightInd w:val="0"/>
        <w:snapToGrid w:val="0"/>
        <w:spacing w:line="460" w:lineRule="exact"/>
        <w:rPr>
          <w:rFonts w:ascii="宋体" w:hAnsi="宋体" w:cs="宋体"/>
          <w:sz w:val="28"/>
          <w:szCs w:val="28"/>
        </w:rPr>
      </w:pPr>
      <w:r>
        <w:rPr>
          <w:rFonts w:hint="eastAsia" w:ascii="宋体" w:hAnsi="宋体" w:cs="宋体"/>
          <w:sz w:val="28"/>
          <w:szCs w:val="28"/>
        </w:rPr>
        <w:t>采购类别：货物</w:t>
      </w:r>
    </w:p>
    <w:p>
      <w:pPr>
        <w:adjustRightInd w:val="0"/>
        <w:snapToGrid w:val="0"/>
        <w:spacing w:line="460" w:lineRule="exact"/>
        <w:rPr>
          <w:rFonts w:ascii="宋体" w:hAnsi="宋体" w:cs="宋体"/>
          <w:sz w:val="28"/>
          <w:szCs w:val="28"/>
        </w:rPr>
      </w:pPr>
      <w:r>
        <w:rPr>
          <w:rFonts w:hint="eastAsia" w:ascii="宋体" w:hAnsi="宋体" w:cs="宋体"/>
          <w:sz w:val="28"/>
          <w:szCs w:val="28"/>
        </w:rPr>
        <w:t>采购人：新疆维吾尔自治区司法警官学校</w:t>
      </w:r>
    </w:p>
    <w:p>
      <w:pPr>
        <w:adjustRightInd w:val="0"/>
        <w:snapToGrid w:val="0"/>
        <w:spacing w:line="460" w:lineRule="exact"/>
        <w:rPr>
          <w:rFonts w:ascii="宋体" w:hAnsi="宋体" w:cs="宋体"/>
          <w:sz w:val="28"/>
          <w:szCs w:val="28"/>
        </w:rPr>
      </w:pPr>
      <w:r>
        <w:rPr>
          <w:rFonts w:hint="eastAsia" w:ascii="宋体" w:hAnsi="宋体" w:cs="宋体"/>
          <w:sz w:val="28"/>
          <w:szCs w:val="28"/>
        </w:rPr>
        <w:t>采购人地址：新疆乌鲁木齐市天山区新泉街556号</w:t>
      </w:r>
    </w:p>
    <w:p>
      <w:pPr>
        <w:adjustRightInd w:val="0"/>
        <w:snapToGrid w:val="0"/>
        <w:spacing w:line="460" w:lineRule="exact"/>
        <w:rPr>
          <w:rFonts w:ascii="宋体" w:hAnsi="宋体" w:cs="宋体"/>
          <w:sz w:val="28"/>
          <w:szCs w:val="28"/>
        </w:rPr>
      </w:pPr>
      <w:r>
        <w:rPr>
          <w:rFonts w:hint="eastAsia" w:ascii="宋体" w:hAnsi="宋体" w:cs="宋体"/>
          <w:sz w:val="28"/>
          <w:szCs w:val="28"/>
        </w:rPr>
        <w:t>采购联系人：李老师</w:t>
      </w:r>
    </w:p>
    <w:p>
      <w:pPr>
        <w:adjustRightInd w:val="0"/>
        <w:snapToGrid w:val="0"/>
        <w:spacing w:line="460" w:lineRule="exact"/>
        <w:rPr>
          <w:rFonts w:ascii="宋体" w:hAnsi="宋体" w:cs="宋体"/>
          <w:sz w:val="28"/>
          <w:szCs w:val="28"/>
        </w:rPr>
      </w:pPr>
      <w:r>
        <w:rPr>
          <w:rFonts w:hint="eastAsia" w:ascii="宋体" w:hAnsi="宋体" w:cs="宋体"/>
          <w:sz w:val="28"/>
          <w:szCs w:val="28"/>
        </w:rPr>
        <w:t>采购联系人电话：0991-3017064</w:t>
      </w:r>
    </w:p>
    <w:p>
      <w:pPr>
        <w:adjustRightInd w:val="0"/>
        <w:snapToGrid w:val="0"/>
        <w:spacing w:line="460" w:lineRule="exact"/>
        <w:rPr>
          <w:rFonts w:ascii="宋体" w:hAnsi="宋体" w:cs="宋体"/>
          <w:sz w:val="28"/>
          <w:szCs w:val="28"/>
        </w:rPr>
      </w:pPr>
      <w:r>
        <w:rPr>
          <w:rFonts w:hint="eastAsia" w:ascii="宋体" w:hAnsi="宋体" w:cs="宋体"/>
          <w:sz w:val="28"/>
          <w:szCs w:val="28"/>
        </w:rPr>
        <w:t>代理机构名称：新疆融盛源工程项目管理有限公司</w:t>
      </w:r>
    </w:p>
    <w:p>
      <w:pPr>
        <w:adjustRightInd w:val="0"/>
        <w:snapToGrid w:val="0"/>
        <w:spacing w:line="460" w:lineRule="exact"/>
        <w:rPr>
          <w:rFonts w:ascii="宋体" w:hAnsi="宋体" w:cs="宋体"/>
          <w:sz w:val="28"/>
          <w:szCs w:val="28"/>
        </w:rPr>
      </w:pPr>
      <w:r>
        <w:rPr>
          <w:rFonts w:hint="eastAsia" w:ascii="宋体" w:hAnsi="宋体" w:cs="宋体"/>
          <w:sz w:val="28"/>
          <w:szCs w:val="28"/>
        </w:rPr>
        <w:t>代理机构地址：新疆乌鲁木齐市水磨沟区立井街198号丽景中央城9号楼</w:t>
      </w:r>
    </w:p>
    <w:p>
      <w:pPr>
        <w:adjustRightInd w:val="0"/>
        <w:snapToGrid w:val="0"/>
        <w:spacing w:line="460" w:lineRule="exact"/>
        <w:ind w:firstLine="1680" w:firstLineChars="600"/>
        <w:rPr>
          <w:rFonts w:ascii="宋体" w:hAnsi="宋体" w:cs="宋体"/>
          <w:sz w:val="28"/>
          <w:szCs w:val="28"/>
        </w:rPr>
      </w:pPr>
      <w:r>
        <w:rPr>
          <w:rFonts w:hint="eastAsia" w:ascii="宋体" w:hAnsi="宋体" w:cs="宋体"/>
          <w:sz w:val="28"/>
          <w:szCs w:val="28"/>
        </w:rPr>
        <w:t>（全季酒店）五层503</w:t>
      </w:r>
    </w:p>
    <w:p>
      <w:pPr>
        <w:adjustRightInd w:val="0"/>
        <w:snapToGrid w:val="0"/>
        <w:spacing w:line="460" w:lineRule="exact"/>
        <w:rPr>
          <w:rFonts w:ascii="宋体" w:hAnsi="宋体" w:cs="宋体"/>
          <w:sz w:val="28"/>
          <w:szCs w:val="28"/>
        </w:rPr>
      </w:pPr>
      <w:r>
        <w:rPr>
          <w:rFonts w:hint="eastAsia" w:ascii="宋体" w:hAnsi="宋体" w:cs="宋体"/>
          <w:sz w:val="28"/>
          <w:szCs w:val="28"/>
        </w:rPr>
        <w:t xml:space="preserve">代理机构联系人：龚钊  </w:t>
      </w:r>
    </w:p>
    <w:p>
      <w:pPr>
        <w:adjustRightInd w:val="0"/>
        <w:snapToGrid w:val="0"/>
        <w:spacing w:line="460" w:lineRule="exact"/>
        <w:rPr>
          <w:rFonts w:ascii="宋体" w:hAnsi="宋体" w:cs="宋体"/>
          <w:sz w:val="28"/>
          <w:szCs w:val="28"/>
        </w:rPr>
      </w:pPr>
      <w:r>
        <w:rPr>
          <w:rFonts w:hint="eastAsia" w:ascii="宋体" w:hAnsi="宋体" w:cs="宋体"/>
          <w:sz w:val="28"/>
          <w:szCs w:val="28"/>
        </w:rPr>
        <w:t xml:space="preserve">代理机构联系电话：0991-4800087 </w:t>
      </w:r>
    </w:p>
    <w:p>
      <w:pPr>
        <w:adjustRightInd w:val="0"/>
        <w:snapToGrid w:val="0"/>
        <w:spacing w:line="460" w:lineRule="exact"/>
        <w:rPr>
          <w:rFonts w:ascii="宋体" w:hAnsi="宋体" w:cs="宋体"/>
          <w:sz w:val="28"/>
          <w:szCs w:val="28"/>
        </w:rPr>
      </w:pPr>
    </w:p>
    <w:p>
      <w:pPr>
        <w:adjustRightInd w:val="0"/>
        <w:snapToGrid w:val="0"/>
        <w:spacing w:line="460" w:lineRule="exact"/>
        <w:jc w:val="center"/>
        <w:rPr>
          <w:rFonts w:ascii="宋体" w:hAnsi="宋体" w:cs="宋体"/>
          <w:sz w:val="28"/>
          <w:szCs w:val="28"/>
        </w:rPr>
      </w:pPr>
      <w:r>
        <w:rPr>
          <w:rFonts w:hint="eastAsia" w:ascii="宋体" w:hAnsi="宋体" w:cs="宋体"/>
          <w:sz w:val="28"/>
          <w:szCs w:val="28"/>
        </w:rPr>
        <w:t>二〇二二年六月</w:t>
      </w:r>
    </w:p>
    <w:p>
      <w:pPr>
        <w:pStyle w:val="5"/>
        <w:ind w:firstLine="0"/>
        <w:rPr>
          <w:rFonts w:ascii="宋体" w:hAnsi="宋体" w:cs="宋体"/>
          <w:sz w:val="24"/>
          <w:szCs w:val="24"/>
        </w:rPr>
      </w:pPr>
    </w:p>
    <w:p>
      <w:pPr>
        <w:pStyle w:val="5"/>
        <w:ind w:firstLine="0"/>
        <w:rPr>
          <w:rFonts w:ascii="宋体" w:hAnsi="宋体" w:cs="宋体"/>
          <w:sz w:val="24"/>
          <w:szCs w:val="24"/>
        </w:rPr>
      </w:pPr>
    </w:p>
    <w:p>
      <w:pPr>
        <w:jc w:val="center"/>
        <w:rPr>
          <w:rFonts w:ascii="宋体" w:hAnsi="宋体"/>
        </w:rPr>
      </w:pPr>
      <w:bookmarkStart w:id="0" w:name="_Toc29072"/>
      <w:bookmarkStart w:id="1" w:name="_Toc21695"/>
    </w:p>
    <w:p>
      <w:pPr>
        <w:jc w:val="center"/>
        <w:rPr>
          <w:b/>
          <w:bCs/>
          <w:sz w:val="36"/>
          <w:szCs w:val="36"/>
        </w:rPr>
      </w:pPr>
      <w:r>
        <w:rPr>
          <w:rFonts w:ascii="宋体" w:hAnsi="宋体"/>
          <w:b/>
          <w:bCs/>
          <w:sz w:val="36"/>
          <w:szCs w:val="36"/>
        </w:rPr>
        <w:t>目录</w:t>
      </w:r>
    </w:p>
    <w:p>
      <w:pPr>
        <w:pStyle w:val="14"/>
        <w:tabs>
          <w:tab w:val="right" w:leader="dot" w:pos="9746"/>
        </w:tabs>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"1-3" \h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"_Toc14910" </w:instrText>
      </w:r>
      <w:r>
        <w:fldChar w:fldCharType="separate"/>
      </w:r>
      <w:r>
        <w:rPr>
          <w:rFonts w:hint="eastAsia"/>
          <w:sz w:val="28"/>
          <w:szCs w:val="28"/>
        </w:rPr>
        <w:t>第一部分 磋商公告</w:t>
      </w:r>
      <w:r>
        <w:rPr>
          <w:sz w:val="28"/>
          <w:szCs w:val="28"/>
        </w:rPr>
        <w:tab/>
      </w:r>
      <w:r>
        <w:rPr>
          <w:sz w:val="28"/>
          <w:szCs w:val="28"/>
        </w:rPr>
        <w:fldChar w:fldCharType="begin"/>
      </w:r>
      <w:r>
        <w:rPr>
          <w:sz w:val="28"/>
          <w:szCs w:val="28"/>
        </w:rPr>
        <w:instrText xml:space="preserve"> PAGEREF _Toc14910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4"/>
        <w:tabs>
          <w:tab w:val="right" w:leader="dot" w:pos="9746"/>
        </w:tabs>
        <w:rPr>
          <w:sz w:val="28"/>
          <w:szCs w:val="28"/>
        </w:rPr>
      </w:pPr>
      <w:r>
        <w:fldChar w:fldCharType="begin"/>
      </w:r>
      <w:r>
        <w:instrText xml:space="preserve"> HYPERLINK \l "_Toc28341" </w:instrText>
      </w:r>
      <w:r>
        <w:fldChar w:fldCharType="separate"/>
      </w:r>
      <w:r>
        <w:rPr>
          <w:rFonts w:hint="eastAsia"/>
          <w:sz w:val="28"/>
          <w:szCs w:val="28"/>
        </w:rPr>
        <w:t>第二部分 投标人须知前附表</w:t>
      </w:r>
      <w:r>
        <w:rPr>
          <w:sz w:val="28"/>
          <w:szCs w:val="28"/>
        </w:rPr>
        <w:tab/>
      </w:r>
      <w:r>
        <w:rPr>
          <w:sz w:val="28"/>
          <w:szCs w:val="28"/>
        </w:rPr>
        <w:fldChar w:fldCharType="begin"/>
      </w:r>
      <w:r>
        <w:rPr>
          <w:sz w:val="28"/>
          <w:szCs w:val="28"/>
        </w:rPr>
        <w:instrText xml:space="preserve"> PAGEREF _Toc28341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"_Toc25916" </w:instrText>
      </w:r>
      <w:r>
        <w:fldChar w:fldCharType="separate"/>
      </w:r>
      <w:r>
        <w:rPr>
          <w:rFonts w:hint="eastAsia"/>
          <w:sz w:val="28"/>
          <w:szCs w:val="28"/>
        </w:rPr>
        <w:t>第一章  投标人须知</w:t>
      </w:r>
      <w:r>
        <w:rPr>
          <w:sz w:val="28"/>
          <w:szCs w:val="28"/>
        </w:rPr>
        <w:tab/>
      </w:r>
      <w:r>
        <w:rPr>
          <w:sz w:val="28"/>
          <w:szCs w:val="28"/>
        </w:rPr>
        <w:fldChar w:fldCharType="begin"/>
      </w:r>
      <w:r>
        <w:rPr>
          <w:sz w:val="28"/>
          <w:szCs w:val="28"/>
        </w:rPr>
        <w:instrText xml:space="preserve"> PAGEREF _Toc25916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"_Toc23527" </w:instrText>
      </w:r>
      <w:r>
        <w:fldChar w:fldCharType="separate"/>
      </w:r>
      <w:r>
        <w:rPr>
          <w:rFonts w:hint="eastAsia"/>
          <w:sz w:val="28"/>
          <w:szCs w:val="28"/>
        </w:rPr>
        <w:t>第二章 磋商文件的编写</w:t>
      </w:r>
      <w:r>
        <w:rPr>
          <w:sz w:val="28"/>
          <w:szCs w:val="28"/>
        </w:rPr>
        <w:tab/>
      </w:r>
      <w:r>
        <w:rPr>
          <w:sz w:val="28"/>
          <w:szCs w:val="28"/>
        </w:rPr>
        <w:fldChar w:fldCharType="begin"/>
      </w:r>
      <w:r>
        <w:rPr>
          <w:sz w:val="28"/>
          <w:szCs w:val="28"/>
        </w:rPr>
        <w:instrText xml:space="preserve"> PAGEREF _Toc23527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"_Toc28573" </w:instrText>
      </w:r>
      <w:r>
        <w:fldChar w:fldCharType="separate"/>
      </w:r>
      <w:r>
        <w:rPr>
          <w:rFonts w:hint="eastAsia"/>
          <w:sz w:val="28"/>
          <w:szCs w:val="28"/>
        </w:rPr>
        <w:t>第三章 响应文件的编写</w:t>
      </w:r>
      <w:r>
        <w:rPr>
          <w:sz w:val="28"/>
          <w:szCs w:val="28"/>
        </w:rPr>
        <w:tab/>
      </w:r>
      <w:r>
        <w:rPr>
          <w:sz w:val="28"/>
          <w:szCs w:val="28"/>
        </w:rPr>
        <w:fldChar w:fldCharType="begin"/>
      </w:r>
      <w:r>
        <w:rPr>
          <w:sz w:val="28"/>
          <w:szCs w:val="28"/>
        </w:rPr>
        <w:instrText xml:space="preserve"> PAGEREF _Toc28573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"_Toc6917" </w:instrText>
      </w:r>
      <w:r>
        <w:fldChar w:fldCharType="separate"/>
      </w:r>
      <w:r>
        <w:rPr>
          <w:rFonts w:hint="eastAsia"/>
          <w:sz w:val="28"/>
          <w:szCs w:val="28"/>
        </w:rPr>
        <w:t>第四章 响应文件的递交</w:t>
      </w:r>
      <w:r>
        <w:rPr>
          <w:sz w:val="28"/>
          <w:szCs w:val="28"/>
        </w:rPr>
        <w:tab/>
      </w:r>
      <w:r>
        <w:rPr>
          <w:sz w:val="28"/>
          <w:szCs w:val="28"/>
        </w:rPr>
        <w:fldChar w:fldCharType="begin"/>
      </w:r>
      <w:r>
        <w:rPr>
          <w:sz w:val="28"/>
          <w:szCs w:val="28"/>
        </w:rPr>
        <w:instrText xml:space="preserve"> PAGEREF _Toc6917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"_Toc15395" </w:instrText>
      </w:r>
      <w:r>
        <w:fldChar w:fldCharType="separate"/>
      </w:r>
      <w:r>
        <w:rPr>
          <w:rFonts w:hint="eastAsia"/>
          <w:sz w:val="28"/>
          <w:szCs w:val="28"/>
        </w:rPr>
        <w:t>第五章  开 标</w:t>
      </w:r>
      <w:r>
        <w:rPr>
          <w:sz w:val="28"/>
          <w:szCs w:val="28"/>
        </w:rPr>
        <w:tab/>
      </w:r>
      <w:r>
        <w:rPr>
          <w:sz w:val="28"/>
          <w:szCs w:val="28"/>
        </w:rPr>
        <w:fldChar w:fldCharType="begin"/>
      </w:r>
      <w:r>
        <w:rPr>
          <w:sz w:val="28"/>
          <w:szCs w:val="28"/>
        </w:rPr>
        <w:instrText xml:space="preserve"> PAGEREF _Toc15395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"_Toc10747" </w:instrText>
      </w:r>
      <w:r>
        <w:fldChar w:fldCharType="separate"/>
      </w:r>
      <w:r>
        <w:rPr>
          <w:rFonts w:hint="eastAsia"/>
          <w:sz w:val="28"/>
          <w:szCs w:val="28"/>
        </w:rPr>
        <w:t>第六章  评 标</w:t>
      </w:r>
      <w:r>
        <w:rPr>
          <w:sz w:val="28"/>
          <w:szCs w:val="28"/>
        </w:rPr>
        <w:tab/>
      </w:r>
      <w:r>
        <w:rPr>
          <w:sz w:val="28"/>
          <w:szCs w:val="28"/>
        </w:rPr>
        <w:fldChar w:fldCharType="begin"/>
      </w:r>
      <w:r>
        <w:rPr>
          <w:sz w:val="28"/>
          <w:szCs w:val="28"/>
        </w:rPr>
        <w:instrText xml:space="preserve"> PAGEREF _Toc10747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"_Toc31567" </w:instrText>
      </w:r>
      <w:r>
        <w:fldChar w:fldCharType="separate"/>
      </w:r>
      <w:r>
        <w:rPr>
          <w:rFonts w:hint="eastAsia"/>
          <w:sz w:val="28"/>
          <w:szCs w:val="28"/>
        </w:rPr>
        <w:t>第七章  授予合同</w:t>
      </w:r>
      <w:r>
        <w:rPr>
          <w:sz w:val="28"/>
          <w:szCs w:val="28"/>
        </w:rPr>
        <w:tab/>
      </w:r>
      <w:r>
        <w:rPr>
          <w:sz w:val="28"/>
          <w:szCs w:val="28"/>
        </w:rPr>
        <w:fldChar w:fldCharType="begin"/>
      </w:r>
      <w:r>
        <w:rPr>
          <w:sz w:val="28"/>
          <w:szCs w:val="28"/>
        </w:rPr>
        <w:instrText xml:space="preserve"> PAGEREF _Toc31567 \h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"_Toc19306" </w:instrText>
      </w:r>
      <w:r>
        <w:fldChar w:fldCharType="separate"/>
      </w:r>
      <w:r>
        <w:rPr>
          <w:rFonts w:hint="eastAsia"/>
          <w:sz w:val="28"/>
          <w:szCs w:val="28"/>
        </w:rPr>
        <w:t>第八章  其 他</w:t>
      </w:r>
      <w:r>
        <w:rPr>
          <w:sz w:val="28"/>
          <w:szCs w:val="28"/>
        </w:rPr>
        <w:tab/>
      </w:r>
      <w:r>
        <w:rPr>
          <w:sz w:val="28"/>
          <w:szCs w:val="28"/>
        </w:rPr>
        <w:fldChar w:fldCharType="begin"/>
      </w:r>
      <w:r>
        <w:rPr>
          <w:sz w:val="28"/>
          <w:szCs w:val="28"/>
        </w:rPr>
        <w:instrText xml:space="preserve"> PAGEREF _Toc19306 \h </w:instrText>
      </w:r>
      <w:r>
        <w:rPr>
          <w:sz w:val="28"/>
          <w:szCs w:val="28"/>
        </w:rPr>
        <w:fldChar w:fldCharType="separate"/>
      </w:r>
      <w:r>
        <w:rPr>
          <w:sz w:val="28"/>
          <w:szCs w:val="28"/>
        </w:rPr>
        <w:t>29</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"_Toc4290" </w:instrText>
      </w:r>
      <w:r>
        <w:fldChar w:fldCharType="separate"/>
      </w:r>
      <w:r>
        <w:rPr>
          <w:rFonts w:hint="eastAsia"/>
          <w:sz w:val="28"/>
          <w:szCs w:val="28"/>
        </w:rPr>
        <w:t>第九章  质疑的提出及处理</w:t>
      </w:r>
      <w:r>
        <w:rPr>
          <w:sz w:val="28"/>
          <w:szCs w:val="28"/>
        </w:rPr>
        <w:tab/>
      </w:r>
      <w:r>
        <w:rPr>
          <w:sz w:val="28"/>
          <w:szCs w:val="28"/>
        </w:rPr>
        <w:fldChar w:fldCharType="begin"/>
      </w:r>
      <w:r>
        <w:rPr>
          <w:sz w:val="28"/>
          <w:szCs w:val="28"/>
        </w:rPr>
        <w:instrText xml:space="preserve"> PAGEREF _Toc4290 \h </w:instrText>
      </w:r>
      <w:r>
        <w:rPr>
          <w:sz w:val="28"/>
          <w:szCs w:val="28"/>
        </w:rPr>
        <w:fldChar w:fldCharType="separate"/>
      </w:r>
      <w:r>
        <w:rPr>
          <w:sz w:val="28"/>
          <w:szCs w:val="28"/>
        </w:rPr>
        <w:t>29</w:t>
      </w:r>
      <w:r>
        <w:rPr>
          <w:sz w:val="28"/>
          <w:szCs w:val="28"/>
        </w:rPr>
        <w:fldChar w:fldCharType="end"/>
      </w:r>
      <w:r>
        <w:rPr>
          <w:sz w:val="28"/>
          <w:szCs w:val="28"/>
        </w:rPr>
        <w:fldChar w:fldCharType="end"/>
      </w:r>
    </w:p>
    <w:p>
      <w:pPr>
        <w:pStyle w:val="14"/>
        <w:tabs>
          <w:tab w:val="right" w:leader="dot" w:pos="9746"/>
        </w:tabs>
        <w:rPr>
          <w:sz w:val="28"/>
          <w:szCs w:val="28"/>
        </w:rPr>
      </w:pPr>
      <w:r>
        <w:fldChar w:fldCharType="begin"/>
      </w:r>
      <w:r>
        <w:instrText xml:space="preserve"> HYPERLINK \l "_Toc23023" </w:instrText>
      </w:r>
      <w:r>
        <w:fldChar w:fldCharType="separate"/>
      </w:r>
      <w:r>
        <w:rPr>
          <w:rFonts w:hint="eastAsia"/>
          <w:sz w:val="28"/>
          <w:szCs w:val="28"/>
        </w:rPr>
        <w:t>第三部分   采购内容及服务要求</w:t>
      </w:r>
      <w:r>
        <w:rPr>
          <w:sz w:val="28"/>
          <w:szCs w:val="28"/>
        </w:rPr>
        <w:tab/>
      </w:r>
      <w:r>
        <w:rPr>
          <w:sz w:val="28"/>
          <w:szCs w:val="28"/>
        </w:rPr>
        <w:fldChar w:fldCharType="begin"/>
      </w:r>
      <w:r>
        <w:rPr>
          <w:sz w:val="28"/>
          <w:szCs w:val="28"/>
        </w:rPr>
        <w:instrText xml:space="preserve"> PAGEREF _Toc23023 \h </w:instrText>
      </w:r>
      <w:r>
        <w:rPr>
          <w:sz w:val="28"/>
          <w:szCs w:val="28"/>
        </w:rPr>
        <w:fldChar w:fldCharType="separate"/>
      </w:r>
      <w:r>
        <w:rPr>
          <w:sz w:val="28"/>
          <w:szCs w:val="28"/>
        </w:rPr>
        <w:t>33</w:t>
      </w:r>
      <w:r>
        <w:rPr>
          <w:sz w:val="28"/>
          <w:szCs w:val="28"/>
        </w:rPr>
        <w:fldChar w:fldCharType="end"/>
      </w:r>
      <w:r>
        <w:rPr>
          <w:sz w:val="28"/>
          <w:szCs w:val="28"/>
        </w:rPr>
        <w:fldChar w:fldCharType="end"/>
      </w:r>
    </w:p>
    <w:p>
      <w:pPr>
        <w:pStyle w:val="14"/>
        <w:tabs>
          <w:tab w:val="right" w:leader="dot" w:pos="9746"/>
        </w:tabs>
        <w:rPr>
          <w:sz w:val="28"/>
          <w:szCs w:val="28"/>
        </w:rPr>
      </w:pPr>
      <w:r>
        <w:fldChar w:fldCharType="begin"/>
      </w:r>
      <w:r>
        <w:instrText xml:space="preserve"> HYPERLINK \l "_Toc17464" </w:instrText>
      </w:r>
      <w:r>
        <w:fldChar w:fldCharType="separate"/>
      </w:r>
      <w:r>
        <w:rPr>
          <w:rFonts w:hint="eastAsia"/>
          <w:sz w:val="28"/>
          <w:szCs w:val="28"/>
        </w:rPr>
        <w:t>第四部分  合同条款</w:t>
      </w:r>
      <w:r>
        <w:rPr>
          <w:sz w:val="28"/>
          <w:szCs w:val="28"/>
        </w:rPr>
        <w:tab/>
      </w:r>
      <w:r>
        <w:rPr>
          <w:sz w:val="28"/>
          <w:szCs w:val="28"/>
        </w:rPr>
        <w:fldChar w:fldCharType="begin"/>
      </w:r>
      <w:r>
        <w:rPr>
          <w:sz w:val="28"/>
          <w:szCs w:val="28"/>
        </w:rPr>
        <w:instrText xml:space="preserve"> PAGEREF _Toc17464 \h </w:instrText>
      </w:r>
      <w:r>
        <w:rPr>
          <w:sz w:val="28"/>
          <w:szCs w:val="28"/>
        </w:rPr>
        <w:fldChar w:fldCharType="separate"/>
      </w:r>
      <w:r>
        <w:rPr>
          <w:sz w:val="28"/>
          <w:szCs w:val="28"/>
        </w:rPr>
        <w:t>46</w:t>
      </w:r>
      <w:r>
        <w:rPr>
          <w:sz w:val="28"/>
          <w:szCs w:val="28"/>
        </w:rPr>
        <w:fldChar w:fldCharType="end"/>
      </w:r>
      <w:r>
        <w:rPr>
          <w:sz w:val="28"/>
          <w:szCs w:val="28"/>
        </w:rPr>
        <w:fldChar w:fldCharType="end"/>
      </w:r>
    </w:p>
    <w:p>
      <w:pPr>
        <w:pStyle w:val="14"/>
        <w:tabs>
          <w:tab w:val="right" w:leader="dot" w:pos="9746"/>
        </w:tabs>
        <w:rPr>
          <w:sz w:val="28"/>
          <w:szCs w:val="28"/>
        </w:rPr>
      </w:pPr>
      <w:r>
        <w:fldChar w:fldCharType="begin"/>
      </w:r>
      <w:r>
        <w:instrText xml:space="preserve"> HYPERLINK \l "_Toc16289" </w:instrText>
      </w:r>
      <w:r>
        <w:fldChar w:fldCharType="separate"/>
      </w:r>
      <w:r>
        <w:rPr>
          <w:rFonts w:hint="eastAsia"/>
          <w:sz w:val="28"/>
          <w:szCs w:val="28"/>
        </w:rPr>
        <w:t>第五部分   附    件</w:t>
      </w:r>
      <w:r>
        <w:rPr>
          <w:sz w:val="28"/>
          <w:szCs w:val="28"/>
        </w:rPr>
        <w:tab/>
      </w:r>
      <w:r>
        <w:rPr>
          <w:sz w:val="28"/>
          <w:szCs w:val="28"/>
        </w:rPr>
        <w:fldChar w:fldCharType="begin"/>
      </w:r>
      <w:r>
        <w:rPr>
          <w:sz w:val="28"/>
          <w:szCs w:val="28"/>
        </w:rPr>
        <w:instrText xml:space="preserve"> PAGEREF _Toc16289 \h </w:instrText>
      </w:r>
      <w:r>
        <w:rPr>
          <w:sz w:val="28"/>
          <w:szCs w:val="28"/>
        </w:rPr>
        <w:fldChar w:fldCharType="separate"/>
      </w:r>
      <w:r>
        <w:rPr>
          <w:sz w:val="28"/>
          <w:szCs w:val="28"/>
        </w:rPr>
        <w:t>55</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"_Toc15245" </w:instrText>
      </w:r>
      <w:r>
        <w:fldChar w:fldCharType="separate"/>
      </w:r>
      <w:r>
        <w:rPr>
          <w:rFonts w:hint="eastAsia"/>
          <w:sz w:val="28"/>
          <w:szCs w:val="28"/>
        </w:rPr>
        <w:t>响应文件编制顺序</w:t>
      </w:r>
      <w:r>
        <w:rPr>
          <w:sz w:val="28"/>
          <w:szCs w:val="28"/>
        </w:rPr>
        <w:tab/>
      </w:r>
      <w:r>
        <w:rPr>
          <w:sz w:val="28"/>
          <w:szCs w:val="28"/>
        </w:rPr>
        <w:fldChar w:fldCharType="begin"/>
      </w:r>
      <w:r>
        <w:rPr>
          <w:sz w:val="28"/>
          <w:szCs w:val="28"/>
        </w:rPr>
        <w:instrText xml:space="preserve"> PAGEREF _Toc15245 \h </w:instrText>
      </w:r>
      <w:r>
        <w:rPr>
          <w:sz w:val="28"/>
          <w:szCs w:val="28"/>
        </w:rPr>
        <w:fldChar w:fldCharType="separate"/>
      </w:r>
      <w:r>
        <w:rPr>
          <w:sz w:val="28"/>
          <w:szCs w:val="28"/>
        </w:rPr>
        <w:t>56</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"_Toc26239" </w:instrText>
      </w:r>
      <w:r>
        <w:fldChar w:fldCharType="separate"/>
      </w:r>
      <w:r>
        <w:rPr>
          <w:rFonts w:hint="eastAsia"/>
          <w:sz w:val="28"/>
          <w:szCs w:val="28"/>
        </w:rPr>
        <w:t>商务部分</w:t>
      </w:r>
      <w:r>
        <w:rPr>
          <w:sz w:val="28"/>
          <w:szCs w:val="28"/>
        </w:rPr>
        <w:tab/>
      </w:r>
      <w:r>
        <w:rPr>
          <w:sz w:val="28"/>
          <w:szCs w:val="28"/>
        </w:rPr>
        <w:fldChar w:fldCharType="begin"/>
      </w:r>
      <w:r>
        <w:rPr>
          <w:sz w:val="28"/>
          <w:szCs w:val="28"/>
        </w:rPr>
        <w:instrText xml:space="preserve"> PAGEREF _Toc26239 \h </w:instrText>
      </w:r>
      <w:r>
        <w:rPr>
          <w:sz w:val="28"/>
          <w:szCs w:val="28"/>
        </w:rPr>
        <w:fldChar w:fldCharType="separate"/>
      </w:r>
      <w:r>
        <w:rPr>
          <w:sz w:val="28"/>
          <w:szCs w:val="28"/>
        </w:rPr>
        <w:t>57</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"_Toc3574" </w:instrText>
      </w:r>
      <w:r>
        <w:fldChar w:fldCharType="separate"/>
      </w:r>
      <w:r>
        <w:rPr>
          <w:rFonts w:hint="eastAsia"/>
          <w:sz w:val="28"/>
          <w:szCs w:val="28"/>
        </w:rPr>
        <w:t>报价函</w:t>
      </w:r>
      <w:r>
        <w:rPr>
          <w:sz w:val="28"/>
          <w:szCs w:val="28"/>
        </w:rPr>
        <w:tab/>
      </w:r>
      <w:r>
        <w:rPr>
          <w:sz w:val="28"/>
          <w:szCs w:val="28"/>
        </w:rPr>
        <w:fldChar w:fldCharType="begin"/>
      </w:r>
      <w:r>
        <w:rPr>
          <w:sz w:val="28"/>
          <w:szCs w:val="28"/>
        </w:rPr>
        <w:instrText xml:space="preserve"> PAGEREF _Toc3574 \h </w:instrText>
      </w:r>
      <w:r>
        <w:rPr>
          <w:sz w:val="28"/>
          <w:szCs w:val="28"/>
        </w:rPr>
        <w:fldChar w:fldCharType="separate"/>
      </w:r>
      <w:r>
        <w:rPr>
          <w:sz w:val="28"/>
          <w:szCs w:val="28"/>
        </w:rPr>
        <w:t>58</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"_Toc20826" </w:instrText>
      </w:r>
      <w:r>
        <w:fldChar w:fldCharType="separate"/>
      </w:r>
      <w:r>
        <w:rPr>
          <w:rFonts w:hint="eastAsia"/>
          <w:sz w:val="28"/>
          <w:szCs w:val="28"/>
        </w:rPr>
        <w:t>投标人资格声明函</w:t>
      </w:r>
      <w:r>
        <w:rPr>
          <w:sz w:val="28"/>
          <w:szCs w:val="28"/>
        </w:rPr>
        <w:tab/>
      </w:r>
      <w:r>
        <w:rPr>
          <w:sz w:val="28"/>
          <w:szCs w:val="28"/>
        </w:rPr>
        <w:fldChar w:fldCharType="begin"/>
      </w:r>
      <w:r>
        <w:rPr>
          <w:sz w:val="28"/>
          <w:szCs w:val="28"/>
        </w:rPr>
        <w:instrText xml:space="preserve"> PAGEREF _Toc20826 \h </w:instrText>
      </w:r>
      <w:r>
        <w:rPr>
          <w:sz w:val="28"/>
          <w:szCs w:val="28"/>
        </w:rPr>
        <w:fldChar w:fldCharType="separate"/>
      </w:r>
      <w:r>
        <w:rPr>
          <w:sz w:val="28"/>
          <w:szCs w:val="28"/>
        </w:rPr>
        <w:t>59</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"_Toc450" </w:instrText>
      </w:r>
      <w:r>
        <w:fldChar w:fldCharType="separate"/>
      </w:r>
      <w:r>
        <w:rPr>
          <w:rFonts w:hint="eastAsia"/>
          <w:sz w:val="28"/>
          <w:szCs w:val="28"/>
        </w:rPr>
        <w:t>授权委托证明书</w:t>
      </w:r>
      <w:r>
        <w:rPr>
          <w:sz w:val="28"/>
          <w:szCs w:val="28"/>
        </w:rPr>
        <w:tab/>
      </w:r>
      <w:r>
        <w:rPr>
          <w:sz w:val="28"/>
          <w:szCs w:val="28"/>
        </w:rPr>
        <w:fldChar w:fldCharType="begin"/>
      </w:r>
      <w:r>
        <w:rPr>
          <w:sz w:val="28"/>
          <w:szCs w:val="28"/>
        </w:rPr>
        <w:instrText xml:space="preserve"> PAGEREF _Toc450 \h </w:instrText>
      </w:r>
      <w:r>
        <w:rPr>
          <w:sz w:val="28"/>
          <w:szCs w:val="28"/>
        </w:rPr>
        <w:fldChar w:fldCharType="separate"/>
      </w:r>
      <w:r>
        <w:rPr>
          <w:sz w:val="28"/>
          <w:szCs w:val="28"/>
        </w:rPr>
        <w:t>60</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"_Toc18686" </w:instrText>
      </w:r>
      <w:r>
        <w:fldChar w:fldCharType="separate"/>
      </w:r>
      <w:r>
        <w:rPr>
          <w:rFonts w:hint="eastAsia"/>
          <w:sz w:val="28"/>
          <w:szCs w:val="28"/>
        </w:rPr>
        <w:t>法定代表人身份证明</w:t>
      </w:r>
      <w:r>
        <w:rPr>
          <w:sz w:val="28"/>
          <w:szCs w:val="28"/>
        </w:rPr>
        <w:tab/>
      </w:r>
      <w:r>
        <w:rPr>
          <w:sz w:val="28"/>
          <w:szCs w:val="28"/>
        </w:rPr>
        <w:fldChar w:fldCharType="begin"/>
      </w:r>
      <w:r>
        <w:rPr>
          <w:sz w:val="28"/>
          <w:szCs w:val="28"/>
        </w:rPr>
        <w:instrText xml:space="preserve"> PAGEREF _Toc18686 \h </w:instrText>
      </w:r>
      <w:r>
        <w:rPr>
          <w:sz w:val="28"/>
          <w:szCs w:val="28"/>
        </w:rPr>
        <w:fldChar w:fldCharType="separate"/>
      </w:r>
      <w:r>
        <w:rPr>
          <w:sz w:val="28"/>
          <w:szCs w:val="28"/>
        </w:rPr>
        <w:t>61</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"_Toc20834" </w:instrText>
      </w:r>
      <w:r>
        <w:fldChar w:fldCharType="separate"/>
      </w:r>
      <w:r>
        <w:rPr>
          <w:rFonts w:hint="eastAsia"/>
          <w:sz w:val="28"/>
          <w:szCs w:val="28"/>
        </w:rPr>
        <w:t>报价表（另需单独密封提交）</w:t>
      </w:r>
      <w:r>
        <w:rPr>
          <w:sz w:val="28"/>
          <w:szCs w:val="28"/>
        </w:rPr>
        <w:tab/>
      </w:r>
      <w:r>
        <w:rPr>
          <w:sz w:val="28"/>
          <w:szCs w:val="28"/>
        </w:rPr>
        <w:fldChar w:fldCharType="begin"/>
      </w:r>
      <w:r>
        <w:rPr>
          <w:sz w:val="28"/>
          <w:szCs w:val="28"/>
        </w:rPr>
        <w:instrText xml:space="preserve"> PAGEREF _Toc20834 \h </w:instrText>
      </w:r>
      <w:r>
        <w:rPr>
          <w:sz w:val="28"/>
          <w:szCs w:val="28"/>
        </w:rPr>
        <w:fldChar w:fldCharType="separate"/>
      </w:r>
      <w:r>
        <w:rPr>
          <w:sz w:val="28"/>
          <w:szCs w:val="28"/>
        </w:rPr>
        <w:t>62</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"_Toc10144" </w:instrText>
      </w:r>
      <w:r>
        <w:fldChar w:fldCharType="separate"/>
      </w:r>
      <w:r>
        <w:rPr>
          <w:rFonts w:hint="eastAsia"/>
          <w:sz w:val="28"/>
          <w:szCs w:val="28"/>
        </w:rPr>
        <w:t>报价明细表</w:t>
      </w:r>
      <w:r>
        <w:rPr>
          <w:sz w:val="28"/>
          <w:szCs w:val="28"/>
        </w:rPr>
        <w:tab/>
      </w:r>
      <w:r>
        <w:rPr>
          <w:sz w:val="28"/>
          <w:szCs w:val="28"/>
        </w:rPr>
        <w:fldChar w:fldCharType="begin"/>
      </w:r>
      <w:r>
        <w:rPr>
          <w:sz w:val="28"/>
          <w:szCs w:val="28"/>
        </w:rPr>
        <w:instrText xml:space="preserve"> PAGEREF _Toc10144 \h </w:instrText>
      </w:r>
      <w:r>
        <w:rPr>
          <w:sz w:val="28"/>
          <w:szCs w:val="28"/>
        </w:rPr>
        <w:fldChar w:fldCharType="separate"/>
      </w:r>
      <w:r>
        <w:rPr>
          <w:sz w:val="28"/>
          <w:szCs w:val="28"/>
        </w:rPr>
        <w:t>63</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"_Toc31122" </w:instrText>
      </w:r>
      <w:r>
        <w:fldChar w:fldCharType="separate"/>
      </w:r>
      <w:r>
        <w:rPr>
          <w:rFonts w:hint="eastAsia"/>
          <w:sz w:val="28"/>
          <w:szCs w:val="28"/>
        </w:rPr>
        <w:t>投标人概况</w:t>
      </w:r>
      <w:r>
        <w:rPr>
          <w:sz w:val="28"/>
          <w:szCs w:val="28"/>
        </w:rPr>
        <w:tab/>
      </w:r>
      <w:r>
        <w:rPr>
          <w:sz w:val="28"/>
          <w:szCs w:val="28"/>
        </w:rPr>
        <w:fldChar w:fldCharType="begin"/>
      </w:r>
      <w:r>
        <w:rPr>
          <w:sz w:val="28"/>
          <w:szCs w:val="28"/>
        </w:rPr>
        <w:instrText xml:space="preserve"> PAGEREF _Toc31122 \h </w:instrText>
      </w:r>
      <w:r>
        <w:rPr>
          <w:sz w:val="28"/>
          <w:szCs w:val="28"/>
        </w:rPr>
        <w:fldChar w:fldCharType="separate"/>
      </w:r>
      <w:r>
        <w:rPr>
          <w:sz w:val="28"/>
          <w:szCs w:val="28"/>
        </w:rPr>
        <w:t>64</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"_Toc23786" </w:instrText>
      </w:r>
      <w:r>
        <w:fldChar w:fldCharType="separate"/>
      </w:r>
      <w:r>
        <w:rPr>
          <w:rFonts w:hint="eastAsia"/>
          <w:sz w:val="28"/>
          <w:szCs w:val="28"/>
        </w:rPr>
        <w:t>商务响应条款一览表</w:t>
      </w:r>
      <w:r>
        <w:rPr>
          <w:sz w:val="28"/>
          <w:szCs w:val="28"/>
        </w:rPr>
        <w:tab/>
      </w:r>
      <w:r>
        <w:rPr>
          <w:sz w:val="28"/>
          <w:szCs w:val="28"/>
        </w:rPr>
        <w:fldChar w:fldCharType="begin"/>
      </w:r>
      <w:r>
        <w:rPr>
          <w:sz w:val="28"/>
          <w:szCs w:val="28"/>
        </w:rPr>
        <w:instrText xml:space="preserve"> PAGEREF _Toc23786 \h </w:instrText>
      </w:r>
      <w:r>
        <w:rPr>
          <w:sz w:val="28"/>
          <w:szCs w:val="28"/>
        </w:rPr>
        <w:fldChar w:fldCharType="separate"/>
      </w:r>
      <w:r>
        <w:rPr>
          <w:sz w:val="28"/>
          <w:szCs w:val="28"/>
        </w:rPr>
        <w:t>65</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"_Toc25038" </w:instrText>
      </w:r>
      <w:r>
        <w:fldChar w:fldCharType="separate"/>
      </w:r>
      <w:r>
        <w:rPr>
          <w:rFonts w:hint="eastAsia"/>
          <w:bCs/>
          <w:sz w:val="28"/>
          <w:szCs w:val="28"/>
        </w:rPr>
        <w:t>技术实质性条款响应一览表</w:t>
      </w:r>
      <w:r>
        <w:rPr>
          <w:sz w:val="28"/>
          <w:szCs w:val="28"/>
        </w:rPr>
        <w:tab/>
      </w:r>
      <w:r>
        <w:rPr>
          <w:sz w:val="28"/>
          <w:szCs w:val="28"/>
        </w:rPr>
        <w:fldChar w:fldCharType="begin"/>
      </w:r>
      <w:r>
        <w:rPr>
          <w:sz w:val="28"/>
          <w:szCs w:val="28"/>
        </w:rPr>
        <w:instrText xml:space="preserve"> PAGEREF _Toc25038 \h </w:instrText>
      </w:r>
      <w:r>
        <w:rPr>
          <w:sz w:val="28"/>
          <w:szCs w:val="28"/>
        </w:rPr>
        <w:fldChar w:fldCharType="separate"/>
      </w:r>
      <w:r>
        <w:rPr>
          <w:sz w:val="28"/>
          <w:szCs w:val="28"/>
        </w:rPr>
        <w:t>66</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"_Toc22284" </w:instrText>
      </w:r>
      <w:r>
        <w:fldChar w:fldCharType="separate"/>
      </w:r>
      <w:r>
        <w:rPr>
          <w:rFonts w:hint="eastAsia"/>
          <w:sz w:val="28"/>
          <w:szCs w:val="28"/>
        </w:rPr>
        <w:t>售后服务情况表</w:t>
      </w:r>
      <w:r>
        <w:rPr>
          <w:sz w:val="28"/>
          <w:szCs w:val="28"/>
        </w:rPr>
        <w:tab/>
      </w:r>
      <w:r>
        <w:rPr>
          <w:sz w:val="28"/>
          <w:szCs w:val="28"/>
        </w:rPr>
        <w:fldChar w:fldCharType="begin"/>
      </w:r>
      <w:r>
        <w:rPr>
          <w:sz w:val="28"/>
          <w:szCs w:val="28"/>
        </w:rPr>
        <w:instrText xml:space="preserve"> PAGEREF _Toc22284 \h </w:instrText>
      </w:r>
      <w:r>
        <w:rPr>
          <w:sz w:val="28"/>
          <w:szCs w:val="28"/>
        </w:rPr>
        <w:fldChar w:fldCharType="separate"/>
      </w:r>
      <w:r>
        <w:rPr>
          <w:sz w:val="28"/>
          <w:szCs w:val="28"/>
        </w:rPr>
        <w:t>67</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"_Toc31105" </w:instrText>
      </w:r>
      <w:r>
        <w:fldChar w:fldCharType="separate"/>
      </w:r>
      <w:r>
        <w:rPr>
          <w:rFonts w:hint="eastAsia"/>
          <w:sz w:val="28"/>
          <w:szCs w:val="28"/>
        </w:rPr>
        <w:t>重大违法记录的声明函</w:t>
      </w:r>
      <w:r>
        <w:rPr>
          <w:sz w:val="28"/>
          <w:szCs w:val="28"/>
        </w:rPr>
        <w:tab/>
      </w:r>
      <w:r>
        <w:rPr>
          <w:sz w:val="28"/>
          <w:szCs w:val="28"/>
        </w:rPr>
        <w:fldChar w:fldCharType="begin"/>
      </w:r>
      <w:r>
        <w:rPr>
          <w:sz w:val="28"/>
          <w:szCs w:val="28"/>
        </w:rPr>
        <w:instrText xml:space="preserve"> PAGEREF _Toc31105 \h </w:instrText>
      </w:r>
      <w:r>
        <w:rPr>
          <w:sz w:val="28"/>
          <w:szCs w:val="28"/>
        </w:rPr>
        <w:fldChar w:fldCharType="separate"/>
      </w:r>
      <w:r>
        <w:rPr>
          <w:sz w:val="28"/>
          <w:szCs w:val="28"/>
        </w:rPr>
        <w:t>68</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"_Toc8643" </w:instrText>
      </w:r>
      <w:r>
        <w:fldChar w:fldCharType="separate"/>
      </w:r>
      <w:r>
        <w:rPr>
          <w:rFonts w:hint="eastAsia"/>
          <w:sz w:val="28"/>
          <w:szCs w:val="28"/>
        </w:rPr>
        <w:t>技术一般性条款响应差异表</w:t>
      </w:r>
      <w:r>
        <w:rPr>
          <w:sz w:val="28"/>
          <w:szCs w:val="28"/>
        </w:rPr>
        <w:tab/>
      </w:r>
      <w:r>
        <w:rPr>
          <w:sz w:val="28"/>
          <w:szCs w:val="28"/>
        </w:rPr>
        <w:fldChar w:fldCharType="begin"/>
      </w:r>
      <w:r>
        <w:rPr>
          <w:sz w:val="28"/>
          <w:szCs w:val="28"/>
        </w:rPr>
        <w:instrText xml:space="preserve"> PAGEREF _Toc8643 \h </w:instrText>
      </w:r>
      <w:r>
        <w:rPr>
          <w:sz w:val="28"/>
          <w:szCs w:val="28"/>
        </w:rPr>
        <w:fldChar w:fldCharType="separate"/>
      </w:r>
      <w:r>
        <w:rPr>
          <w:sz w:val="28"/>
          <w:szCs w:val="28"/>
        </w:rPr>
        <w:t>69</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"_Toc30603" </w:instrText>
      </w:r>
      <w:r>
        <w:fldChar w:fldCharType="separate"/>
      </w:r>
      <w:r>
        <w:rPr>
          <w:rFonts w:hint="eastAsia"/>
          <w:sz w:val="28"/>
          <w:szCs w:val="28"/>
        </w:rPr>
        <w:t>附表：易损件、备品备件（如有）报价表</w:t>
      </w:r>
      <w:r>
        <w:rPr>
          <w:sz w:val="28"/>
          <w:szCs w:val="28"/>
        </w:rPr>
        <w:tab/>
      </w:r>
      <w:r>
        <w:rPr>
          <w:sz w:val="28"/>
          <w:szCs w:val="28"/>
        </w:rPr>
        <w:fldChar w:fldCharType="begin"/>
      </w:r>
      <w:r>
        <w:rPr>
          <w:sz w:val="28"/>
          <w:szCs w:val="28"/>
        </w:rPr>
        <w:instrText xml:space="preserve"> PAGEREF _Toc30603 \h </w:instrText>
      </w:r>
      <w:r>
        <w:rPr>
          <w:sz w:val="28"/>
          <w:szCs w:val="28"/>
        </w:rPr>
        <w:fldChar w:fldCharType="separate"/>
      </w:r>
      <w:r>
        <w:rPr>
          <w:sz w:val="28"/>
          <w:szCs w:val="28"/>
        </w:rPr>
        <w:t>70</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"_Toc21049" </w:instrText>
      </w:r>
      <w:r>
        <w:fldChar w:fldCharType="separate"/>
      </w:r>
      <w:r>
        <w:rPr>
          <w:rFonts w:hint="eastAsia"/>
          <w:sz w:val="28"/>
          <w:szCs w:val="28"/>
        </w:rPr>
        <w:t>中小企业声明函（货物）</w:t>
      </w:r>
      <w:r>
        <w:rPr>
          <w:sz w:val="28"/>
          <w:szCs w:val="28"/>
        </w:rPr>
        <w:tab/>
      </w:r>
      <w:r>
        <w:rPr>
          <w:sz w:val="28"/>
          <w:szCs w:val="28"/>
        </w:rPr>
        <w:fldChar w:fldCharType="begin"/>
      </w:r>
      <w:r>
        <w:rPr>
          <w:sz w:val="28"/>
          <w:szCs w:val="28"/>
        </w:rPr>
        <w:instrText xml:space="preserve"> PAGEREF _Toc21049 \h </w:instrText>
      </w:r>
      <w:r>
        <w:rPr>
          <w:sz w:val="28"/>
          <w:szCs w:val="28"/>
        </w:rPr>
        <w:fldChar w:fldCharType="separate"/>
      </w:r>
      <w:r>
        <w:rPr>
          <w:sz w:val="28"/>
          <w:szCs w:val="28"/>
        </w:rPr>
        <w:t>71</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"_Toc5903" </w:instrText>
      </w:r>
      <w:r>
        <w:fldChar w:fldCharType="separate"/>
      </w:r>
      <w:r>
        <w:rPr>
          <w:rFonts w:hint="eastAsia"/>
          <w:sz w:val="28"/>
          <w:szCs w:val="28"/>
        </w:rPr>
        <w:t>监狱企业证明文件（如有）</w:t>
      </w:r>
      <w:r>
        <w:rPr>
          <w:sz w:val="28"/>
          <w:szCs w:val="28"/>
        </w:rPr>
        <w:tab/>
      </w:r>
      <w:r>
        <w:rPr>
          <w:sz w:val="28"/>
          <w:szCs w:val="28"/>
        </w:rPr>
        <w:fldChar w:fldCharType="begin"/>
      </w:r>
      <w:r>
        <w:rPr>
          <w:sz w:val="28"/>
          <w:szCs w:val="28"/>
        </w:rPr>
        <w:instrText xml:space="preserve"> PAGEREF _Toc5903 \h </w:instrText>
      </w:r>
      <w:r>
        <w:rPr>
          <w:sz w:val="28"/>
          <w:szCs w:val="28"/>
        </w:rPr>
        <w:fldChar w:fldCharType="separate"/>
      </w:r>
      <w:r>
        <w:rPr>
          <w:sz w:val="28"/>
          <w:szCs w:val="28"/>
        </w:rPr>
        <w:t>72</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"_Toc20253" </w:instrText>
      </w:r>
      <w:r>
        <w:fldChar w:fldCharType="separate"/>
      </w:r>
      <w:r>
        <w:rPr>
          <w:rFonts w:hint="eastAsia" w:asciiTheme="minorEastAsia" w:hAnsiTheme="minorEastAsia" w:eastAsiaTheme="minorEastAsia" w:cstheme="minorEastAsia"/>
          <w:bCs/>
          <w:kern w:val="0"/>
          <w:sz w:val="28"/>
          <w:szCs w:val="28"/>
          <w:shd w:val="clear" w:color="auto" w:fill="FFFFFF"/>
          <w:lang w:bidi="ar"/>
        </w:rPr>
        <w:t>节能环保产品声明</w:t>
      </w:r>
      <w:r>
        <w:rPr>
          <w:sz w:val="28"/>
          <w:szCs w:val="28"/>
        </w:rPr>
        <w:tab/>
      </w:r>
      <w:r>
        <w:rPr>
          <w:sz w:val="28"/>
          <w:szCs w:val="28"/>
        </w:rPr>
        <w:fldChar w:fldCharType="begin"/>
      </w:r>
      <w:r>
        <w:rPr>
          <w:sz w:val="28"/>
          <w:szCs w:val="28"/>
        </w:rPr>
        <w:instrText xml:space="preserve"> PAGEREF _Toc20253 \h </w:instrText>
      </w:r>
      <w:r>
        <w:rPr>
          <w:sz w:val="28"/>
          <w:szCs w:val="28"/>
        </w:rPr>
        <w:fldChar w:fldCharType="separate"/>
      </w:r>
      <w:r>
        <w:rPr>
          <w:sz w:val="28"/>
          <w:szCs w:val="28"/>
        </w:rPr>
        <w:t>73</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"_Toc17327" </w:instrText>
      </w:r>
      <w:r>
        <w:fldChar w:fldCharType="separate"/>
      </w:r>
      <w:r>
        <w:rPr>
          <w:rFonts w:hint="eastAsia"/>
          <w:sz w:val="28"/>
          <w:szCs w:val="28"/>
        </w:rPr>
        <w:t>投标单位反商业贿赂承诺书</w:t>
      </w:r>
      <w:r>
        <w:rPr>
          <w:sz w:val="28"/>
          <w:szCs w:val="28"/>
        </w:rPr>
        <w:tab/>
      </w:r>
      <w:r>
        <w:rPr>
          <w:sz w:val="28"/>
          <w:szCs w:val="28"/>
        </w:rPr>
        <w:fldChar w:fldCharType="begin"/>
      </w:r>
      <w:r>
        <w:rPr>
          <w:sz w:val="28"/>
          <w:szCs w:val="28"/>
        </w:rPr>
        <w:instrText xml:space="preserve"> PAGEREF _Toc17327 \h </w:instrText>
      </w:r>
      <w:r>
        <w:rPr>
          <w:sz w:val="28"/>
          <w:szCs w:val="28"/>
        </w:rPr>
        <w:fldChar w:fldCharType="separate"/>
      </w:r>
      <w:r>
        <w:rPr>
          <w:sz w:val="28"/>
          <w:szCs w:val="28"/>
        </w:rPr>
        <w:t>74</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"_Toc30872" </w:instrText>
      </w:r>
      <w:r>
        <w:fldChar w:fldCharType="separate"/>
      </w:r>
      <w:r>
        <w:rPr>
          <w:rFonts w:hint="eastAsia"/>
          <w:sz w:val="28"/>
          <w:szCs w:val="28"/>
        </w:rPr>
        <w:t>承诺书（2）</w:t>
      </w:r>
      <w:r>
        <w:rPr>
          <w:sz w:val="28"/>
          <w:szCs w:val="28"/>
        </w:rPr>
        <w:tab/>
      </w:r>
      <w:r>
        <w:rPr>
          <w:sz w:val="28"/>
          <w:szCs w:val="28"/>
        </w:rPr>
        <w:fldChar w:fldCharType="begin"/>
      </w:r>
      <w:r>
        <w:rPr>
          <w:sz w:val="28"/>
          <w:szCs w:val="28"/>
        </w:rPr>
        <w:instrText xml:space="preserve"> PAGEREF _Toc30872 \h </w:instrText>
      </w:r>
      <w:r>
        <w:rPr>
          <w:sz w:val="28"/>
          <w:szCs w:val="28"/>
        </w:rPr>
        <w:fldChar w:fldCharType="separate"/>
      </w:r>
      <w:r>
        <w:rPr>
          <w:sz w:val="28"/>
          <w:szCs w:val="28"/>
        </w:rPr>
        <w:t>75</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"_Toc28405" </w:instrText>
      </w:r>
      <w:r>
        <w:fldChar w:fldCharType="separate"/>
      </w:r>
      <w:r>
        <w:rPr>
          <w:rFonts w:hint="eastAsia"/>
          <w:sz w:val="28"/>
          <w:szCs w:val="28"/>
        </w:rPr>
        <w:t>售后服务承诺书</w:t>
      </w:r>
      <w:r>
        <w:rPr>
          <w:sz w:val="28"/>
          <w:szCs w:val="28"/>
        </w:rPr>
        <w:tab/>
      </w:r>
      <w:r>
        <w:rPr>
          <w:sz w:val="28"/>
          <w:szCs w:val="28"/>
        </w:rPr>
        <w:fldChar w:fldCharType="begin"/>
      </w:r>
      <w:r>
        <w:rPr>
          <w:sz w:val="28"/>
          <w:szCs w:val="28"/>
        </w:rPr>
        <w:instrText xml:space="preserve"> PAGEREF _Toc28405 \h </w:instrText>
      </w:r>
      <w:r>
        <w:rPr>
          <w:sz w:val="28"/>
          <w:szCs w:val="28"/>
        </w:rPr>
        <w:fldChar w:fldCharType="separate"/>
      </w:r>
      <w:r>
        <w:rPr>
          <w:sz w:val="28"/>
          <w:szCs w:val="28"/>
        </w:rPr>
        <w:t>76</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"_Toc28948" </w:instrText>
      </w:r>
      <w:r>
        <w:fldChar w:fldCharType="separate"/>
      </w:r>
      <w:r>
        <w:rPr>
          <w:rFonts w:hint="eastAsia"/>
          <w:sz w:val="28"/>
          <w:szCs w:val="28"/>
        </w:rPr>
        <w:t>质量保证承诺书</w:t>
      </w:r>
      <w:r>
        <w:rPr>
          <w:sz w:val="28"/>
          <w:szCs w:val="28"/>
        </w:rPr>
        <w:tab/>
      </w:r>
      <w:r>
        <w:rPr>
          <w:sz w:val="28"/>
          <w:szCs w:val="28"/>
        </w:rPr>
        <w:fldChar w:fldCharType="begin"/>
      </w:r>
      <w:r>
        <w:rPr>
          <w:sz w:val="28"/>
          <w:szCs w:val="28"/>
        </w:rPr>
        <w:instrText xml:space="preserve"> PAGEREF _Toc28948 \h </w:instrText>
      </w:r>
      <w:r>
        <w:rPr>
          <w:sz w:val="28"/>
          <w:szCs w:val="28"/>
        </w:rPr>
        <w:fldChar w:fldCharType="separate"/>
      </w:r>
      <w:r>
        <w:rPr>
          <w:sz w:val="28"/>
          <w:szCs w:val="28"/>
        </w:rPr>
        <w:t>76</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"_Toc196" </w:instrText>
      </w:r>
      <w:r>
        <w:fldChar w:fldCharType="separate"/>
      </w:r>
      <w:r>
        <w:rPr>
          <w:rFonts w:hint="eastAsia"/>
          <w:sz w:val="28"/>
          <w:szCs w:val="28"/>
        </w:rPr>
        <w:t>信用查询记录</w:t>
      </w:r>
      <w:r>
        <w:rPr>
          <w:sz w:val="28"/>
          <w:szCs w:val="28"/>
        </w:rPr>
        <w:tab/>
      </w:r>
      <w:r>
        <w:rPr>
          <w:sz w:val="28"/>
          <w:szCs w:val="28"/>
        </w:rPr>
        <w:fldChar w:fldCharType="begin"/>
      </w:r>
      <w:r>
        <w:rPr>
          <w:sz w:val="28"/>
          <w:szCs w:val="28"/>
        </w:rPr>
        <w:instrText xml:space="preserve"> PAGEREF _Toc196 \h </w:instrText>
      </w:r>
      <w:r>
        <w:rPr>
          <w:sz w:val="28"/>
          <w:szCs w:val="28"/>
        </w:rPr>
        <w:fldChar w:fldCharType="separate"/>
      </w:r>
      <w:r>
        <w:rPr>
          <w:sz w:val="28"/>
          <w:szCs w:val="28"/>
        </w:rPr>
        <w:t>77</w:t>
      </w:r>
      <w:r>
        <w:rPr>
          <w:sz w:val="28"/>
          <w:szCs w:val="28"/>
        </w:rPr>
        <w:fldChar w:fldCharType="end"/>
      </w:r>
      <w:r>
        <w:rPr>
          <w:sz w:val="28"/>
          <w:szCs w:val="28"/>
        </w:rPr>
        <w:fldChar w:fldCharType="end"/>
      </w:r>
    </w:p>
    <w:p>
      <w:pPr>
        <w:pStyle w:val="9"/>
        <w:tabs>
          <w:tab w:val="right" w:leader="dot" w:pos="9746"/>
        </w:tabs>
        <w:rPr>
          <w:sz w:val="28"/>
          <w:szCs w:val="28"/>
        </w:rPr>
      </w:pPr>
      <w:r>
        <w:fldChar w:fldCharType="begin"/>
      </w:r>
      <w:r>
        <w:instrText xml:space="preserve"> HYPERLINK \l "_Toc32377" </w:instrText>
      </w:r>
      <w:r>
        <w:fldChar w:fldCharType="separate"/>
      </w:r>
      <w:r>
        <w:rPr>
          <w:rFonts w:hint="eastAsia"/>
          <w:sz w:val="28"/>
          <w:szCs w:val="28"/>
        </w:rPr>
        <w:t>竞标人认为响应文件范本尚未涵盖的信息内容</w:t>
      </w:r>
      <w:r>
        <w:rPr>
          <w:sz w:val="28"/>
          <w:szCs w:val="28"/>
        </w:rPr>
        <w:tab/>
      </w:r>
      <w:r>
        <w:rPr>
          <w:sz w:val="28"/>
          <w:szCs w:val="28"/>
        </w:rPr>
        <w:fldChar w:fldCharType="begin"/>
      </w:r>
      <w:r>
        <w:rPr>
          <w:sz w:val="28"/>
          <w:szCs w:val="28"/>
        </w:rPr>
        <w:instrText xml:space="preserve"> PAGEREF _Toc32377 \h </w:instrText>
      </w:r>
      <w:r>
        <w:rPr>
          <w:sz w:val="28"/>
          <w:szCs w:val="28"/>
        </w:rPr>
        <w:fldChar w:fldCharType="separate"/>
      </w:r>
      <w:r>
        <w:rPr>
          <w:sz w:val="28"/>
          <w:szCs w:val="28"/>
        </w:rPr>
        <w:t>78</w:t>
      </w:r>
      <w:r>
        <w:rPr>
          <w:sz w:val="28"/>
          <w:szCs w:val="28"/>
        </w:rPr>
        <w:fldChar w:fldCharType="end"/>
      </w:r>
      <w:r>
        <w:rPr>
          <w:sz w:val="28"/>
          <w:szCs w:val="28"/>
        </w:rPr>
        <w:fldChar w:fldCharType="end"/>
      </w:r>
    </w:p>
    <w:p>
      <w:pPr>
        <w:pStyle w:val="9"/>
        <w:tabs>
          <w:tab w:val="right" w:leader="dot" w:pos="9746"/>
        </w:tabs>
      </w:pPr>
      <w:r>
        <w:fldChar w:fldCharType="begin"/>
      </w:r>
      <w:r>
        <w:instrText xml:space="preserve"> HYPERLINK \l "_Toc29249" </w:instrText>
      </w:r>
      <w:r>
        <w:fldChar w:fldCharType="separate"/>
      </w:r>
      <w:r>
        <w:rPr>
          <w:rFonts w:hint="eastAsia"/>
          <w:sz w:val="28"/>
          <w:szCs w:val="28"/>
        </w:rPr>
        <w:t>招标代理服务收费标准</w:t>
      </w:r>
      <w:r>
        <w:rPr>
          <w:sz w:val="28"/>
          <w:szCs w:val="28"/>
        </w:rPr>
        <w:tab/>
      </w:r>
      <w:r>
        <w:rPr>
          <w:sz w:val="28"/>
          <w:szCs w:val="28"/>
        </w:rPr>
        <w:fldChar w:fldCharType="begin"/>
      </w:r>
      <w:r>
        <w:rPr>
          <w:sz w:val="28"/>
          <w:szCs w:val="28"/>
        </w:rPr>
        <w:instrText xml:space="preserve"> PAGEREF _Toc29249 \h </w:instrText>
      </w:r>
      <w:r>
        <w:rPr>
          <w:sz w:val="28"/>
          <w:szCs w:val="28"/>
        </w:rPr>
        <w:fldChar w:fldCharType="separate"/>
      </w:r>
      <w:r>
        <w:rPr>
          <w:sz w:val="28"/>
          <w:szCs w:val="28"/>
        </w:rPr>
        <w:t>79</w:t>
      </w:r>
      <w:r>
        <w:rPr>
          <w:sz w:val="28"/>
          <w:szCs w:val="28"/>
        </w:rPr>
        <w:fldChar w:fldCharType="end"/>
      </w:r>
      <w:r>
        <w:rPr>
          <w:sz w:val="28"/>
          <w:szCs w:val="28"/>
        </w:rPr>
        <w:fldChar w:fldCharType="end"/>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Cs w:val="28"/>
        </w:rPr>
        <w:fldChar w:fldCharType="end"/>
      </w:r>
    </w:p>
    <w:p>
      <w:pPr>
        <w:pStyle w:val="25"/>
        <w:ind w:firstLine="560"/>
        <w:rPr>
          <w:rFonts w:asciiTheme="minorEastAsia" w:hAnsiTheme="minorEastAsia" w:eastAsiaTheme="minorEastAsia" w:cstheme="minorEastAsia"/>
          <w:sz w:val="28"/>
          <w:szCs w:val="28"/>
        </w:rPr>
        <w:sectPr>
          <w:headerReference r:id="rId3" w:type="default"/>
          <w:pgSz w:w="11906" w:h="16838"/>
          <w:pgMar w:top="1440" w:right="1080" w:bottom="1440" w:left="1080" w:header="851" w:footer="992" w:gutter="0"/>
          <w:pgNumType w:start="1"/>
          <w:cols w:space="425" w:num="1"/>
          <w:docGrid w:type="lines" w:linePitch="312" w:charSpace="0"/>
        </w:sectPr>
      </w:pPr>
    </w:p>
    <w:p>
      <w:pPr>
        <w:pStyle w:val="3"/>
        <w:numPr>
          <w:ilvl w:val="0"/>
          <w:numId w:val="1"/>
        </w:numPr>
        <w:spacing w:line="240" w:lineRule="auto"/>
        <w:jc w:val="center"/>
        <w:rPr>
          <w:sz w:val="36"/>
          <w:szCs w:val="36"/>
        </w:rPr>
      </w:pPr>
      <w:bookmarkStart w:id="2" w:name="_Toc14910"/>
      <w:r>
        <w:rPr>
          <w:rFonts w:hint="eastAsia"/>
          <w:sz w:val="36"/>
          <w:szCs w:val="36"/>
        </w:rPr>
        <w:t>磋商公告</w:t>
      </w:r>
      <w:bookmarkEnd w:id="2"/>
    </w:p>
    <w:p>
      <w:pPr>
        <w:jc w:val="center"/>
        <w:rPr>
          <w:b/>
          <w:bCs/>
          <w:sz w:val="36"/>
          <w:szCs w:val="36"/>
        </w:rPr>
      </w:pPr>
      <w:r>
        <w:rPr>
          <w:rFonts w:hint="eastAsia"/>
          <w:b/>
          <w:bCs/>
          <w:sz w:val="36"/>
          <w:szCs w:val="36"/>
        </w:rPr>
        <w:t>新疆司法警官学校2022年职业教育质量提升计划（改善办学条件）图书馆扩建（智慧图书馆建设）采购项目</w:t>
      </w:r>
    </w:p>
    <w:p>
      <w:pPr>
        <w:jc w:val="center"/>
        <w:rPr>
          <w:b/>
          <w:bCs/>
          <w:sz w:val="36"/>
          <w:szCs w:val="36"/>
        </w:rPr>
      </w:pPr>
      <w:r>
        <w:rPr>
          <w:rFonts w:hint="eastAsia"/>
          <w:b/>
          <w:bCs/>
          <w:sz w:val="36"/>
          <w:szCs w:val="36"/>
        </w:rPr>
        <w:t>竞争性磋商公告</w:t>
      </w:r>
      <w:bookmarkEnd w:id="0"/>
      <w:bookmarkEnd w:id="1"/>
    </w:p>
    <w:p>
      <w:pPr>
        <w:adjustRightInd w:val="0"/>
        <w:snapToGrid w:val="0"/>
        <w:spacing w:line="460" w:lineRule="exact"/>
        <w:ind w:firstLine="482" w:firstLineChars="200"/>
        <w:rPr>
          <w:rFonts w:ascii="宋体" w:hAnsi="宋体" w:cs="宋体"/>
          <w:b/>
          <w:bCs/>
          <w:sz w:val="24"/>
          <w:szCs w:val="24"/>
        </w:rPr>
      </w:pPr>
      <w:r>
        <w:rPr>
          <w:rFonts w:hint="eastAsia" w:ascii="宋体" w:hAnsi="宋体" w:cs="宋体"/>
          <w:b/>
          <w:bCs/>
          <w:sz w:val="24"/>
          <w:szCs w:val="24"/>
        </w:rPr>
        <w:t>项目概况</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新疆司法警官学校2022年职业教育质量提升计划（改善办学条件）图书馆扩建（智慧图书馆建设）采购项目的潜在投标人应在新疆乌鲁木齐市水磨沟区立井街198号丽景中央城9号楼（全季酒店）五层503获取磋商文件，并于</w:t>
      </w:r>
      <w:r>
        <w:rPr>
          <w:rFonts w:hint="eastAsia" w:ascii="宋体" w:hAnsi="宋体" w:cs="宋体"/>
          <w:sz w:val="24"/>
          <w:szCs w:val="24"/>
          <w:highlight w:val="none"/>
        </w:rPr>
        <w:t>2022年</w:t>
      </w:r>
      <w:r>
        <w:rPr>
          <w:rFonts w:hint="eastAsia" w:ascii="宋体" w:hAnsi="宋体" w:cs="宋体"/>
          <w:sz w:val="24"/>
          <w:szCs w:val="24"/>
          <w:highlight w:val="none"/>
          <w:lang w:eastAsia="zh-CN"/>
        </w:rPr>
        <w:t>6月27日</w:t>
      </w:r>
      <w:r>
        <w:rPr>
          <w:rFonts w:hint="eastAsia" w:ascii="宋体" w:hAnsi="宋体" w:cs="宋体"/>
          <w:sz w:val="24"/>
          <w:szCs w:val="24"/>
        </w:rPr>
        <w:t>下午16:00（北京时间）前递交响应文件。</w:t>
      </w:r>
    </w:p>
    <w:p>
      <w:pPr>
        <w:adjustRightInd w:val="0"/>
        <w:snapToGrid w:val="0"/>
        <w:spacing w:line="460" w:lineRule="exact"/>
        <w:ind w:firstLine="482" w:firstLineChars="200"/>
        <w:rPr>
          <w:rFonts w:ascii="宋体" w:hAnsi="宋体" w:cs="宋体"/>
          <w:b/>
          <w:bCs/>
          <w:sz w:val="24"/>
          <w:szCs w:val="24"/>
        </w:rPr>
      </w:pPr>
      <w:bookmarkStart w:id="3" w:name="_Toc3357"/>
      <w:r>
        <w:rPr>
          <w:rFonts w:hint="eastAsia" w:ascii="宋体" w:hAnsi="宋体" w:cs="宋体"/>
          <w:b/>
          <w:bCs/>
          <w:sz w:val="24"/>
          <w:szCs w:val="24"/>
        </w:rPr>
        <w:t>一、项目基本情况</w:t>
      </w:r>
      <w:bookmarkEnd w:id="3"/>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项目编号：RSY-2022-013[2022]8811号　</w:t>
      </w:r>
    </w:p>
    <w:p>
      <w:pPr>
        <w:adjustRightInd w:val="0"/>
        <w:snapToGrid w:val="0"/>
        <w:spacing w:line="460" w:lineRule="exact"/>
        <w:ind w:firstLine="480" w:firstLineChars="200"/>
        <w:jc w:val="center"/>
        <w:rPr>
          <w:rFonts w:ascii="宋体" w:hAnsi="宋体" w:cs="宋体"/>
          <w:sz w:val="24"/>
          <w:szCs w:val="24"/>
        </w:rPr>
      </w:pPr>
      <w:r>
        <w:rPr>
          <w:rFonts w:hint="eastAsia" w:ascii="宋体" w:hAnsi="宋体" w:cs="宋体"/>
          <w:sz w:val="24"/>
          <w:szCs w:val="24"/>
        </w:rPr>
        <w:t>项目名称：新疆司法警官学校2022年职业教育质量提升计划（改善办学条件）图书馆扩建（智慧图书馆建设）采购项目</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采购方式：竞争性磋商</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预算金额（元）：998600.00元</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最高限价（元）：998600.00元</w:t>
      </w:r>
    </w:p>
    <w:p>
      <w:pPr>
        <w:adjustRightInd w:val="0"/>
        <w:snapToGrid w:val="0"/>
        <w:spacing w:line="460" w:lineRule="exact"/>
        <w:ind w:left="479" w:leftChars="228"/>
        <w:rPr>
          <w:rFonts w:hint="eastAsia" w:ascii="宋体" w:hAnsi="宋体" w:eastAsia="宋体" w:cs="宋体"/>
          <w:sz w:val="24"/>
          <w:szCs w:val="24"/>
          <w:lang w:eastAsia="zh-CN"/>
        </w:rPr>
      </w:pPr>
      <w:r>
        <w:rPr>
          <w:rFonts w:hint="eastAsia" w:ascii="宋体" w:hAnsi="宋体" w:cs="宋体"/>
          <w:sz w:val="24"/>
          <w:szCs w:val="24"/>
        </w:rPr>
        <w:t>简要规格描述或项目基本概况介绍</w:t>
      </w:r>
      <w:r>
        <w:rPr>
          <w:rFonts w:hint="eastAsia" w:ascii="宋体" w:hAnsi="宋体" w:cs="宋体"/>
          <w:color w:val="000000" w:themeColor="text1"/>
          <w:sz w:val="24"/>
          <w:szCs w:val="24"/>
          <w14:textFill>
            <w14:solidFill>
              <w14:schemeClr w14:val="tx1"/>
            </w14:solidFill>
          </w14:textFill>
        </w:rPr>
        <w:t>、用途</w:t>
      </w:r>
      <w:r>
        <w:rPr>
          <w:rFonts w:hint="eastAsia" w:ascii="宋体" w:hAnsi="宋体" w:cs="宋体"/>
          <w:sz w:val="24"/>
          <w:szCs w:val="24"/>
        </w:rPr>
        <w:t>：自助借还书机、移动式盘点车、查询机、馆员工作站、移动图书馆、智能黑板、RFID系统管理软件、RFID系统软件接口、扫码枪、朗读亭、移动还书箱、图书杀菌机、图书推车、安全门、RFID标签、层架标、标签及安装、转换费、全网行为管理、终端杀毒检测平台、日志审计、数据库</w:t>
      </w:r>
      <w:r>
        <w:rPr>
          <w:rFonts w:hint="eastAsia" w:ascii="宋体" w:hAnsi="宋体" w:cs="宋体"/>
          <w:sz w:val="24"/>
          <w:szCs w:val="24"/>
          <w:lang w:val="en-US" w:eastAsia="zh-CN"/>
        </w:rPr>
        <w:t>等</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具体详见招标文件</w:t>
      </w:r>
      <w:r>
        <w:rPr>
          <w:rFonts w:hint="eastAsia" w:ascii="宋体" w:hAnsi="宋体" w:cs="宋体"/>
          <w:sz w:val="24"/>
          <w:szCs w:val="24"/>
          <w:lang w:eastAsia="zh-CN"/>
        </w:rPr>
        <w:t>）</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备注：</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交货期，安装期：合同签订之日起45日历日。</w:t>
      </w:r>
    </w:p>
    <w:p>
      <w:pPr>
        <w:adjustRightInd w:val="0"/>
        <w:snapToGrid w:val="0"/>
        <w:spacing w:line="460" w:lineRule="exact"/>
        <w:ind w:firstLine="480" w:firstLineChars="200"/>
        <w:rPr>
          <w:bCs/>
          <w:sz w:val="24"/>
          <w:szCs w:val="24"/>
        </w:rPr>
      </w:pPr>
      <w:r>
        <w:rPr>
          <w:rFonts w:hint="eastAsia" w:ascii="宋体" w:hAnsi="宋体" w:cs="宋体"/>
          <w:sz w:val="24"/>
          <w:szCs w:val="24"/>
        </w:rPr>
        <w:t>质保期：一年</w:t>
      </w:r>
      <w:r>
        <w:rPr>
          <w:rFonts w:hint="eastAsia"/>
          <w:bCs/>
          <w:sz w:val="24"/>
          <w:szCs w:val="24"/>
        </w:rPr>
        <w:t>；</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本项目（否）接受联合体投标。</w:t>
      </w:r>
      <w:bookmarkStart w:id="4" w:name="_Toc11930"/>
      <w:bookmarkStart w:id="5" w:name="_Toc23268"/>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二、申请人的资格要求：</w:t>
      </w:r>
      <w:bookmarkEnd w:id="4"/>
      <w:bookmarkEnd w:id="5"/>
    </w:p>
    <w:p>
      <w:pPr>
        <w:adjustRightInd w:val="0"/>
        <w:snapToGrid w:val="0"/>
        <w:spacing w:line="460" w:lineRule="exact"/>
        <w:ind w:firstLine="480" w:firstLineChars="200"/>
        <w:rPr>
          <w:rFonts w:ascii="宋体" w:hAnsi="宋体" w:cs="宋体"/>
          <w:sz w:val="24"/>
          <w:szCs w:val="24"/>
        </w:rPr>
      </w:pPr>
      <w:bookmarkStart w:id="6" w:name="_Toc22517"/>
      <w:r>
        <w:rPr>
          <w:rFonts w:hint="eastAsia" w:ascii="宋体" w:hAnsi="宋体" w:cs="宋体"/>
          <w:sz w:val="24"/>
          <w:szCs w:val="24"/>
        </w:rPr>
        <w:t>1.满足《中华人民共和国政府采购法》第二十二条规定；</w:t>
      </w:r>
      <w:bookmarkEnd w:id="6"/>
    </w:p>
    <w:p>
      <w:pPr>
        <w:adjustRightInd w:val="0"/>
        <w:snapToGrid w:val="0"/>
        <w:spacing w:line="460" w:lineRule="exact"/>
        <w:ind w:firstLine="480" w:firstLineChars="200"/>
        <w:rPr>
          <w:rFonts w:ascii="宋体" w:hAnsi="宋体" w:cs="宋体"/>
          <w:sz w:val="24"/>
          <w:szCs w:val="24"/>
        </w:rPr>
      </w:pPr>
      <w:bookmarkStart w:id="7" w:name="_Toc5763"/>
      <w:r>
        <w:rPr>
          <w:rFonts w:hint="eastAsia" w:ascii="宋体" w:hAnsi="宋体" w:cs="宋体"/>
          <w:sz w:val="24"/>
          <w:szCs w:val="24"/>
        </w:rPr>
        <w:t>2.落实政府采购政策需满足的资格要求：</w:t>
      </w:r>
      <w:bookmarkEnd w:id="7"/>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（1）《政府采购促进中小企业发展管理办法》（财库〔2020〕46号）；</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（2）《财政部、司法部关于政府采购支持监狱企业发展有关问题的通知》（ 财库〔2014〕68 号 ）；</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（3）《财政部、民政部、中国残疾人联合会关于促进残疾人就业政府采购政策的通知》（财库〔2017〕141号）；</w:t>
      </w:r>
    </w:p>
    <w:p>
      <w:pPr>
        <w:adjustRightInd w:val="0"/>
        <w:snapToGrid w:val="0"/>
        <w:spacing w:line="460" w:lineRule="exact"/>
        <w:ind w:firstLine="480" w:firstLineChars="200"/>
        <w:rPr>
          <w:rFonts w:ascii="宋体" w:hAnsi="宋体" w:cs="宋体"/>
          <w:sz w:val="24"/>
          <w:szCs w:val="24"/>
        </w:rPr>
      </w:pPr>
      <w:bookmarkStart w:id="8" w:name="_Toc8337"/>
      <w:bookmarkStart w:id="9" w:name="_Toc16074"/>
      <w:r>
        <w:rPr>
          <w:rFonts w:hint="eastAsia" w:ascii="宋体" w:hAnsi="宋体" w:cs="宋体"/>
          <w:sz w:val="24"/>
          <w:szCs w:val="24"/>
        </w:rPr>
        <w:t>3.本项目的特定资格要求：</w:t>
      </w:r>
      <w:bookmarkEnd w:id="8"/>
      <w:bookmarkEnd w:id="9"/>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无</w:t>
      </w:r>
    </w:p>
    <w:p>
      <w:pPr>
        <w:adjustRightInd w:val="0"/>
        <w:snapToGrid w:val="0"/>
        <w:spacing w:line="460" w:lineRule="exact"/>
        <w:ind w:firstLine="482" w:firstLineChars="200"/>
        <w:rPr>
          <w:rFonts w:ascii="宋体" w:hAnsi="宋体" w:cs="宋体"/>
          <w:sz w:val="24"/>
          <w:szCs w:val="24"/>
        </w:rPr>
      </w:pPr>
      <w:bookmarkStart w:id="10" w:name="_Toc26310"/>
      <w:bookmarkStart w:id="11" w:name="_Toc19089"/>
      <w:r>
        <w:rPr>
          <w:rFonts w:hint="eastAsia" w:ascii="宋体" w:hAnsi="宋体" w:cs="宋体"/>
          <w:b/>
          <w:bCs/>
          <w:sz w:val="24"/>
          <w:szCs w:val="24"/>
        </w:rPr>
        <w:t>三、获取磋商文件</w:t>
      </w:r>
      <w:bookmarkEnd w:id="10"/>
      <w:bookmarkEnd w:id="11"/>
    </w:p>
    <w:p>
      <w:pPr>
        <w:adjustRightInd w:val="0"/>
        <w:snapToGrid w:val="0"/>
        <w:spacing w:line="460" w:lineRule="exact"/>
        <w:ind w:left="479" w:leftChars="228"/>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1.时间：2022年</w:t>
      </w:r>
      <w:r>
        <w:rPr>
          <w:rFonts w:hint="eastAsia" w:ascii="宋体" w:hAnsi="宋体" w:cs="宋体"/>
          <w:color w:val="000000" w:themeColor="text1"/>
          <w:sz w:val="24"/>
          <w:szCs w:val="24"/>
          <w:highlight w:val="none"/>
          <w:lang w:eastAsia="zh-CN"/>
          <w14:textFill>
            <w14:solidFill>
              <w14:schemeClr w14:val="tx1"/>
            </w14:solidFill>
          </w14:textFill>
        </w:rPr>
        <w:t>6月13日</w:t>
      </w:r>
      <w:r>
        <w:rPr>
          <w:rFonts w:hint="eastAsia" w:ascii="宋体" w:hAnsi="宋体" w:cs="宋体"/>
          <w:color w:val="000000" w:themeColor="text1"/>
          <w:sz w:val="24"/>
          <w:szCs w:val="24"/>
          <w:highlight w:val="none"/>
          <w14:textFill>
            <w14:solidFill>
              <w14:schemeClr w14:val="tx1"/>
            </w14:solidFill>
          </w14:textFill>
        </w:rPr>
        <w:t>至2022年</w:t>
      </w:r>
      <w:r>
        <w:rPr>
          <w:rFonts w:hint="eastAsia" w:ascii="宋体" w:hAnsi="宋体" w:cs="宋体"/>
          <w:color w:val="000000" w:themeColor="text1"/>
          <w:sz w:val="24"/>
          <w:szCs w:val="24"/>
          <w:highlight w:val="none"/>
          <w:lang w:eastAsia="zh-CN"/>
          <w14:textFill>
            <w14:solidFill>
              <w14:schemeClr w14:val="tx1"/>
            </w14:solidFill>
          </w14:textFill>
        </w:rPr>
        <w:t>6月20日</w:t>
      </w:r>
      <w:r>
        <w:rPr>
          <w:rFonts w:hint="eastAsia" w:ascii="宋体" w:hAnsi="宋体" w:cs="宋体"/>
          <w:color w:val="000000" w:themeColor="text1"/>
          <w:sz w:val="24"/>
          <w:szCs w:val="24"/>
          <w14:textFill>
            <w14:solidFill>
              <w14:schemeClr w14:val="tx1"/>
            </w14:solidFill>
          </w14:textFill>
        </w:rPr>
        <w:t>，每天上午10:30至13:00，下午15:30至18:30（北京时间，法定节假日除外）</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2.地点：新疆乌鲁木齐市水磨沟区立井街198号丽景中央城9号楼（全季酒店）五层503　</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3.方式：现场购买</w:t>
      </w:r>
    </w:p>
    <w:p>
      <w:pPr>
        <w:adjustRightInd w:val="0"/>
        <w:snapToGrid w:val="0"/>
        <w:spacing w:line="460" w:lineRule="exact"/>
        <w:ind w:firstLine="480" w:firstLineChars="200"/>
      </w:pPr>
      <w:r>
        <w:rPr>
          <w:rFonts w:hint="eastAsia" w:ascii="宋体" w:hAnsi="宋体" w:cs="宋体"/>
          <w:sz w:val="24"/>
          <w:szCs w:val="24"/>
        </w:rPr>
        <w:t>售价（元）：300，标书售后，一概不退</w:t>
      </w:r>
      <w:bookmarkStart w:id="12" w:name="_Toc18455"/>
      <w:bookmarkStart w:id="13" w:name="_Toc12230"/>
      <w:r>
        <w:rPr>
          <w:rFonts w:hint="eastAsia" w:ascii="宋体" w:hAnsi="宋体" w:cs="宋体"/>
          <w:sz w:val="24"/>
          <w:szCs w:val="24"/>
        </w:rPr>
        <w:t>。</w:t>
      </w:r>
    </w:p>
    <w:p>
      <w:pPr>
        <w:adjustRightInd w:val="0"/>
        <w:snapToGrid w:val="0"/>
        <w:spacing w:line="460" w:lineRule="exact"/>
        <w:ind w:firstLine="482" w:firstLineChars="200"/>
        <w:rPr>
          <w:rFonts w:ascii="宋体" w:hAnsi="宋体" w:cs="宋体"/>
          <w:sz w:val="24"/>
          <w:szCs w:val="24"/>
        </w:rPr>
      </w:pPr>
      <w:r>
        <w:rPr>
          <w:rFonts w:hint="eastAsia" w:ascii="宋体" w:hAnsi="宋体" w:cs="宋体"/>
          <w:b/>
          <w:bCs/>
          <w:sz w:val="24"/>
          <w:szCs w:val="24"/>
        </w:rPr>
        <w:t>四、提交响应文件截止时间、开标时间和地点</w:t>
      </w:r>
      <w:bookmarkEnd w:id="12"/>
      <w:bookmarkEnd w:id="13"/>
    </w:p>
    <w:p>
      <w:pPr>
        <w:adjustRightInd w:val="0"/>
        <w:snapToGrid w:val="0"/>
        <w:spacing w:line="460" w:lineRule="exact"/>
        <w:ind w:firstLine="480" w:firstLineChars="200"/>
        <w:rPr>
          <w:rFonts w:ascii="宋体" w:hAnsi="宋体" w:cs="宋体"/>
          <w:color w:val="FF0000"/>
          <w:sz w:val="24"/>
          <w:szCs w:val="24"/>
        </w:rPr>
      </w:pPr>
      <w:r>
        <w:rPr>
          <w:rFonts w:hint="eastAsia" w:ascii="宋体" w:hAnsi="宋体" w:cs="宋体"/>
          <w:sz w:val="24"/>
          <w:szCs w:val="24"/>
        </w:rPr>
        <w:t>提交响应文件截止时间：</w:t>
      </w:r>
      <w:r>
        <w:rPr>
          <w:rFonts w:hint="eastAsia" w:ascii="宋体" w:hAnsi="宋体" w:cs="宋体"/>
          <w:color w:val="000000" w:themeColor="text1"/>
          <w:sz w:val="24"/>
          <w:szCs w:val="24"/>
          <w:highlight w:val="none"/>
          <w14:textFill>
            <w14:solidFill>
              <w14:schemeClr w14:val="tx1"/>
            </w14:solidFill>
          </w14:textFill>
        </w:rPr>
        <w:t>2022年</w:t>
      </w:r>
      <w:r>
        <w:rPr>
          <w:rFonts w:hint="eastAsia" w:ascii="宋体" w:hAnsi="宋体" w:cs="宋体"/>
          <w:color w:val="000000" w:themeColor="text1"/>
          <w:sz w:val="24"/>
          <w:szCs w:val="24"/>
          <w:highlight w:val="none"/>
          <w:lang w:eastAsia="zh-CN"/>
          <w14:textFill>
            <w14:solidFill>
              <w14:schemeClr w14:val="tx1"/>
            </w14:solidFill>
          </w14:textFill>
        </w:rPr>
        <w:t>6月27日</w:t>
      </w:r>
      <w:r>
        <w:rPr>
          <w:rFonts w:hint="eastAsia" w:ascii="宋体" w:hAnsi="宋体" w:cs="宋体"/>
          <w:color w:val="000000" w:themeColor="text1"/>
          <w:sz w:val="24"/>
          <w:szCs w:val="24"/>
          <w14:textFill>
            <w14:solidFill>
              <w14:schemeClr w14:val="tx1"/>
            </w14:solidFill>
          </w14:textFill>
        </w:rPr>
        <w:t>16:00（北京时间）</w:t>
      </w:r>
    </w:p>
    <w:p>
      <w:pPr>
        <w:adjustRightInd w:val="0"/>
        <w:snapToGrid w:val="0"/>
        <w:spacing w:line="460" w:lineRule="exact"/>
        <w:ind w:left="1679" w:leftChars="228" w:hanging="1200" w:hangingChars="500"/>
        <w:rPr>
          <w:rFonts w:ascii="宋体" w:hAnsi="宋体" w:cs="宋体"/>
          <w:sz w:val="24"/>
          <w:szCs w:val="24"/>
        </w:rPr>
      </w:pPr>
      <w:r>
        <w:rPr>
          <w:rFonts w:hint="eastAsia" w:ascii="宋体" w:hAnsi="宋体" w:cs="宋体"/>
          <w:sz w:val="24"/>
          <w:szCs w:val="24"/>
        </w:rPr>
        <w:t>投标地点：新疆乌鲁木齐市水磨沟区立井街198号丽景中央城9号楼（全季酒店）五层　</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磋商时间</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2022年</w:t>
      </w:r>
      <w:r>
        <w:rPr>
          <w:rFonts w:hint="eastAsia" w:ascii="宋体" w:hAnsi="宋体" w:cs="宋体"/>
          <w:color w:val="000000" w:themeColor="text1"/>
          <w:sz w:val="24"/>
          <w:szCs w:val="24"/>
          <w:highlight w:val="none"/>
          <w:lang w:eastAsia="zh-CN"/>
          <w14:textFill>
            <w14:solidFill>
              <w14:schemeClr w14:val="tx1"/>
            </w14:solidFill>
          </w14:textFill>
        </w:rPr>
        <w:t>6月27日</w:t>
      </w:r>
      <w:r>
        <w:rPr>
          <w:rFonts w:hint="eastAsia" w:ascii="宋体" w:hAnsi="宋体" w:cs="宋体"/>
          <w:color w:val="000000" w:themeColor="text1"/>
          <w:sz w:val="24"/>
          <w:szCs w:val="24"/>
          <w14:textFill>
            <w14:solidFill>
              <w14:schemeClr w14:val="tx1"/>
            </w14:solidFill>
          </w14:textFill>
        </w:rPr>
        <w:t>16:00（北京时间）</w:t>
      </w:r>
    </w:p>
    <w:p>
      <w:pPr>
        <w:adjustRightInd w:val="0"/>
        <w:snapToGrid w:val="0"/>
        <w:spacing w:line="460" w:lineRule="exact"/>
        <w:ind w:left="1679" w:leftChars="228" w:hanging="1200" w:hangingChars="500"/>
        <w:rPr>
          <w:rFonts w:ascii="宋体" w:hAnsi="宋体" w:cs="宋体"/>
          <w:sz w:val="24"/>
          <w:szCs w:val="24"/>
        </w:rPr>
      </w:pPr>
      <w:r>
        <w:rPr>
          <w:rFonts w:hint="eastAsia" w:ascii="宋体" w:hAnsi="宋体" w:cs="宋体"/>
          <w:sz w:val="24"/>
          <w:szCs w:val="24"/>
        </w:rPr>
        <w:t>磋商地点：新疆乌鲁木齐市水磨沟区立井街198号丽景中央城9号楼（全季酒店）五层</w:t>
      </w:r>
      <w:bookmarkStart w:id="14" w:name="_Toc8418"/>
      <w:bookmarkStart w:id="15" w:name="_Toc29212"/>
    </w:p>
    <w:p>
      <w:pPr>
        <w:adjustRightInd w:val="0"/>
        <w:snapToGrid w:val="0"/>
        <w:spacing w:line="460" w:lineRule="exact"/>
        <w:ind w:firstLine="482" w:firstLineChars="200"/>
        <w:rPr>
          <w:rFonts w:ascii="宋体" w:hAnsi="宋体" w:cs="宋体"/>
          <w:sz w:val="24"/>
          <w:szCs w:val="24"/>
        </w:rPr>
      </w:pPr>
      <w:r>
        <w:rPr>
          <w:rFonts w:hint="eastAsia" w:ascii="宋体" w:hAnsi="宋体" w:cs="宋体"/>
          <w:b/>
          <w:bCs/>
          <w:sz w:val="24"/>
          <w:szCs w:val="24"/>
        </w:rPr>
        <w:t>五、公告期限</w:t>
      </w:r>
      <w:bookmarkEnd w:id="14"/>
      <w:bookmarkEnd w:id="15"/>
    </w:p>
    <w:p>
      <w:pPr>
        <w:adjustRightInd w:val="0"/>
        <w:snapToGrid w:val="0"/>
        <w:spacing w:line="460" w:lineRule="exact"/>
        <w:ind w:firstLine="480" w:firstLineChars="200"/>
      </w:pPr>
      <w:r>
        <w:rPr>
          <w:rFonts w:hint="eastAsia" w:ascii="宋体" w:hAnsi="宋体" w:cs="宋体"/>
          <w:sz w:val="24"/>
          <w:szCs w:val="24"/>
        </w:rPr>
        <w:t>自本公告发布之日起3个工作日。</w:t>
      </w:r>
      <w:bookmarkStart w:id="16" w:name="_Toc17035"/>
      <w:bookmarkStart w:id="17" w:name="_Toc18077"/>
    </w:p>
    <w:p>
      <w:pPr>
        <w:numPr>
          <w:ilvl w:val="0"/>
          <w:numId w:val="2"/>
        </w:numPr>
        <w:adjustRightInd w:val="0"/>
        <w:snapToGrid w:val="0"/>
        <w:spacing w:line="460" w:lineRule="exact"/>
        <w:ind w:firstLine="482" w:firstLineChars="200"/>
        <w:rPr>
          <w:rFonts w:ascii="宋体" w:hAnsi="宋体" w:cs="宋体"/>
          <w:b/>
          <w:bCs/>
          <w:sz w:val="24"/>
          <w:szCs w:val="24"/>
        </w:rPr>
      </w:pPr>
      <w:r>
        <w:rPr>
          <w:rFonts w:hint="eastAsia" w:ascii="宋体" w:hAnsi="宋体" w:cs="宋体"/>
          <w:b/>
          <w:bCs/>
          <w:sz w:val="24"/>
          <w:szCs w:val="24"/>
        </w:rPr>
        <w:t>其他补充事宜</w:t>
      </w:r>
      <w:bookmarkEnd w:id="16"/>
      <w:bookmarkEnd w:id="17"/>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报名需提供：</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（1）具有有效的营业执照复印件且加盖单位公章；</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2）法定代表人或其委托代理人应携带本人身份证原件及复印件，如法定代表人前来报名应携带《法定代表人资格证明书》；委托代理人前来报名应携带《法定代表人授权委托书》及法人身份证复印件加盖公章；</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（3）供应商需自行下载附件投标人报名表填写并加盖公章。</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以上资料均需加盖公章</w:t>
      </w:r>
      <w:bookmarkStart w:id="18" w:name="_Toc6275"/>
      <w:bookmarkStart w:id="19" w:name="_Toc31900"/>
    </w:p>
    <w:p>
      <w:pPr>
        <w:adjustRightInd w:val="0"/>
        <w:snapToGrid w:val="0"/>
        <w:spacing w:line="460" w:lineRule="exact"/>
        <w:ind w:firstLine="482" w:firstLineChars="200"/>
        <w:rPr>
          <w:rFonts w:ascii="宋体" w:hAnsi="宋体" w:cs="宋体"/>
          <w:b/>
          <w:bCs/>
          <w:sz w:val="24"/>
          <w:szCs w:val="24"/>
        </w:rPr>
      </w:pPr>
      <w:r>
        <w:rPr>
          <w:rFonts w:hint="eastAsia" w:ascii="宋体" w:hAnsi="宋体" w:cs="宋体"/>
          <w:b/>
          <w:bCs/>
          <w:sz w:val="24"/>
          <w:szCs w:val="24"/>
        </w:rPr>
        <w:t>七、对本次采购提出询问，请按以下方式联系</w:t>
      </w:r>
      <w:bookmarkEnd w:id="18"/>
      <w:bookmarkEnd w:id="19"/>
    </w:p>
    <w:p>
      <w:pPr>
        <w:adjustRightInd w:val="0"/>
        <w:snapToGrid w:val="0"/>
        <w:spacing w:line="460" w:lineRule="exact"/>
        <w:ind w:firstLine="480" w:firstLineChars="200"/>
        <w:rPr>
          <w:rFonts w:ascii="宋体" w:hAnsi="宋体" w:cs="宋体"/>
          <w:sz w:val="24"/>
          <w:szCs w:val="24"/>
        </w:rPr>
      </w:pPr>
      <w:bookmarkStart w:id="20" w:name="_Toc8000"/>
      <w:bookmarkStart w:id="21" w:name="_Toc14142"/>
      <w:r>
        <w:rPr>
          <w:rFonts w:hint="eastAsia" w:ascii="宋体" w:hAnsi="宋体" w:cs="宋体"/>
          <w:sz w:val="24"/>
          <w:szCs w:val="24"/>
        </w:rPr>
        <w:t>1.采购人信息</w:t>
      </w:r>
      <w:bookmarkEnd w:id="20"/>
      <w:bookmarkEnd w:id="21"/>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名 称：新疆维吾尔自治区司法警官学校</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地 址：新疆乌鲁木齐市天山区新泉街556号</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项目联系人：李老师</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联系方式：0991-3017064</w:t>
      </w:r>
    </w:p>
    <w:p>
      <w:pPr>
        <w:adjustRightInd w:val="0"/>
        <w:snapToGrid w:val="0"/>
        <w:spacing w:line="460" w:lineRule="exact"/>
        <w:ind w:firstLine="480" w:firstLineChars="200"/>
        <w:rPr>
          <w:rFonts w:ascii="宋体" w:hAnsi="宋体" w:cs="宋体"/>
          <w:sz w:val="24"/>
          <w:szCs w:val="24"/>
        </w:rPr>
      </w:pPr>
      <w:bookmarkStart w:id="22" w:name="_Toc1196"/>
      <w:bookmarkStart w:id="23" w:name="_Toc19461"/>
      <w:r>
        <w:rPr>
          <w:rFonts w:hint="eastAsia" w:ascii="宋体" w:hAnsi="宋体" w:cs="宋体"/>
          <w:sz w:val="24"/>
          <w:szCs w:val="24"/>
        </w:rPr>
        <w:t>2.采购代理机构信息</w:t>
      </w:r>
      <w:bookmarkEnd w:id="22"/>
      <w:bookmarkEnd w:id="23"/>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名 称：新疆融盛源工程项目管理有限公司</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地 址：新疆乌鲁木齐市水磨沟区立井街198号丽景中央城9号楼（全季酒店）五层503　</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 xml:space="preserve">项目联系人：龚钊 </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 xml:space="preserve">联系方式：0991-4800087 </w:t>
      </w:r>
    </w:p>
    <w:p>
      <w:pPr>
        <w:adjustRightInd w:val="0"/>
        <w:snapToGrid w:val="0"/>
        <w:spacing w:line="460" w:lineRule="exact"/>
        <w:ind w:firstLine="480" w:firstLineChars="200"/>
        <w:rPr>
          <w:rFonts w:ascii="宋体" w:hAnsi="宋体" w:cs="宋体"/>
          <w:sz w:val="24"/>
          <w:szCs w:val="24"/>
        </w:rPr>
      </w:pPr>
      <w:bookmarkStart w:id="24" w:name="_Toc23215"/>
      <w:bookmarkStart w:id="25" w:name="_Toc534"/>
      <w:r>
        <w:rPr>
          <w:rFonts w:hint="eastAsia" w:ascii="宋体" w:hAnsi="宋体" w:cs="宋体"/>
          <w:sz w:val="24"/>
          <w:szCs w:val="24"/>
        </w:rPr>
        <w:t>3.财政监督部门</w:t>
      </w:r>
      <w:bookmarkEnd w:id="24"/>
      <w:bookmarkEnd w:id="25"/>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电 话：0991-</w:t>
      </w:r>
      <w:bookmarkStart w:id="26" w:name="_Toc31584"/>
      <w:bookmarkStart w:id="27" w:name="_Toc11328"/>
      <w:r>
        <w:rPr>
          <w:rFonts w:hint="eastAsia" w:ascii="宋体" w:hAnsi="宋体" w:cs="宋体"/>
          <w:sz w:val="24"/>
          <w:szCs w:val="24"/>
        </w:rPr>
        <w:t>2359482</w:t>
      </w:r>
    </w:p>
    <w:p>
      <w:pPr>
        <w:rPr>
          <w:sz w:val="36"/>
          <w:szCs w:val="36"/>
        </w:rPr>
      </w:pPr>
      <w:r>
        <w:rPr>
          <w:rFonts w:hint="eastAsia"/>
          <w:sz w:val="36"/>
          <w:szCs w:val="36"/>
        </w:rPr>
        <w:br w:type="page"/>
      </w:r>
    </w:p>
    <w:p>
      <w:pPr>
        <w:pStyle w:val="3"/>
        <w:numPr>
          <w:ilvl w:val="0"/>
          <w:numId w:val="1"/>
        </w:numPr>
        <w:spacing w:line="240" w:lineRule="auto"/>
        <w:jc w:val="center"/>
      </w:pPr>
      <w:r>
        <w:rPr>
          <w:rFonts w:hint="eastAsia"/>
        </w:rPr>
        <w:t xml:space="preserve"> </w:t>
      </w:r>
      <w:bookmarkStart w:id="28" w:name="_Toc28341"/>
      <w:r>
        <w:rPr>
          <w:rFonts w:hint="eastAsia"/>
          <w:sz w:val="36"/>
          <w:szCs w:val="36"/>
        </w:rPr>
        <w:t>投标人须知</w:t>
      </w:r>
      <w:bookmarkEnd w:id="26"/>
      <w:bookmarkEnd w:id="27"/>
      <w:bookmarkEnd w:id="28"/>
      <w:r>
        <w:rPr>
          <w:rFonts w:hint="eastAsia"/>
          <w:sz w:val="36"/>
          <w:szCs w:val="36"/>
        </w:rPr>
        <w:t>前附表</w:t>
      </w:r>
    </w:p>
    <w:tbl>
      <w:tblPr>
        <w:tblStyle w:val="20"/>
        <w:tblW w:w="499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14"/>
        <w:gridCol w:w="1314"/>
        <w:gridCol w:w="79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8" w:hRule="atLeast"/>
          <w:tblHeader/>
          <w:jc w:val="center"/>
        </w:trPr>
        <w:tc>
          <w:tcPr>
            <w:tcW w:w="359"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序号</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名称</w:t>
            </w:r>
          </w:p>
        </w:tc>
        <w:tc>
          <w:tcPr>
            <w:tcW w:w="398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6" w:hRule="atLeast"/>
          <w:jc w:val="center"/>
        </w:trPr>
        <w:tc>
          <w:tcPr>
            <w:tcW w:w="359"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1</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项目</w:t>
            </w:r>
          </w:p>
          <w:p>
            <w:pPr>
              <w:adjustRightInd w:val="0"/>
              <w:snapToGrid w:val="0"/>
              <w:spacing w:line="360" w:lineRule="auto"/>
              <w:jc w:val="center"/>
              <w:rPr>
                <w:rFonts w:ascii="宋体" w:hAnsi="宋体" w:cs="宋体"/>
                <w:sz w:val="24"/>
                <w:szCs w:val="24"/>
              </w:rPr>
            </w:pPr>
            <w:r>
              <w:rPr>
                <w:rFonts w:hint="eastAsia" w:ascii="宋体" w:hAnsi="宋体" w:cs="宋体"/>
                <w:sz w:val="24"/>
                <w:szCs w:val="24"/>
              </w:rPr>
              <w:t>编号</w:t>
            </w:r>
          </w:p>
        </w:tc>
        <w:tc>
          <w:tcPr>
            <w:tcW w:w="3980"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RSY-2022-013[2022]8811号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359"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2</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项目</w:t>
            </w:r>
          </w:p>
          <w:p>
            <w:pPr>
              <w:adjustRightInd w:val="0"/>
              <w:snapToGrid w:val="0"/>
              <w:spacing w:line="360" w:lineRule="auto"/>
              <w:jc w:val="center"/>
              <w:rPr>
                <w:rFonts w:ascii="宋体" w:hAnsi="宋体" w:cs="宋体"/>
                <w:sz w:val="24"/>
                <w:szCs w:val="24"/>
              </w:rPr>
            </w:pPr>
            <w:r>
              <w:rPr>
                <w:rFonts w:hint="eastAsia" w:ascii="宋体" w:hAnsi="宋体" w:cs="宋体"/>
                <w:sz w:val="24"/>
                <w:szCs w:val="24"/>
              </w:rPr>
              <w:t>名称</w:t>
            </w:r>
          </w:p>
        </w:tc>
        <w:tc>
          <w:tcPr>
            <w:tcW w:w="3980"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新疆司法警官学校2022年职业教育质量提升计划（改善办学条件）图书馆扩建（智慧图书馆建设）采购项目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8" w:hRule="atLeast"/>
          <w:jc w:val="center"/>
        </w:trPr>
        <w:tc>
          <w:tcPr>
            <w:tcW w:w="359"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3</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采购人</w:t>
            </w:r>
          </w:p>
        </w:tc>
        <w:tc>
          <w:tcPr>
            <w:tcW w:w="3980"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采购人：新疆维吾尔自治区司法警官学校</w:t>
            </w:r>
          </w:p>
          <w:p>
            <w:pPr>
              <w:adjustRightInd w:val="0"/>
              <w:snapToGrid w:val="0"/>
              <w:spacing w:line="360" w:lineRule="auto"/>
              <w:rPr>
                <w:rFonts w:ascii="宋体" w:hAnsi="宋体" w:cs="宋体"/>
                <w:sz w:val="24"/>
                <w:szCs w:val="24"/>
              </w:rPr>
            </w:pPr>
            <w:r>
              <w:rPr>
                <w:rFonts w:hint="eastAsia" w:ascii="宋体" w:hAnsi="宋体" w:cs="宋体"/>
                <w:sz w:val="24"/>
                <w:szCs w:val="24"/>
              </w:rPr>
              <w:t>联系人：李老师</w:t>
            </w:r>
          </w:p>
          <w:p>
            <w:pPr>
              <w:adjustRightInd w:val="0"/>
              <w:snapToGrid w:val="0"/>
              <w:spacing w:line="360" w:lineRule="auto"/>
              <w:rPr>
                <w:rFonts w:ascii="宋体" w:hAnsi="宋体" w:cs="宋体"/>
                <w:sz w:val="24"/>
                <w:szCs w:val="24"/>
              </w:rPr>
            </w:pPr>
            <w:r>
              <w:rPr>
                <w:rFonts w:hint="eastAsia" w:ascii="宋体" w:hAnsi="宋体" w:cs="宋体"/>
                <w:sz w:val="24"/>
                <w:szCs w:val="24"/>
              </w:rPr>
              <w:t>联系电话：0991-3017064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5" w:hRule="atLeast"/>
          <w:jc w:val="center"/>
        </w:trPr>
        <w:tc>
          <w:tcPr>
            <w:tcW w:w="359"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4</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代理</w:t>
            </w:r>
          </w:p>
          <w:p>
            <w:pPr>
              <w:adjustRightInd w:val="0"/>
              <w:snapToGrid w:val="0"/>
              <w:spacing w:line="360" w:lineRule="auto"/>
              <w:jc w:val="center"/>
              <w:rPr>
                <w:rFonts w:ascii="宋体" w:hAnsi="宋体" w:cs="宋体"/>
                <w:sz w:val="24"/>
                <w:szCs w:val="24"/>
              </w:rPr>
            </w:pPr>
            <w:r>
              <w:rPr>
                <w:rFonts w:hint="eastAsia" w:ascii="宋体" w:hAnsi="宋体" w:cs="宋体"/>
                <w:sz w:val="24"/>
                <w:szCs w:val="24"/>
              </w:rPr>
              <w:t>机构</w:t>
            </w:r>
          </w:p>
        </w:tc>
        <w:tc>
          <w:tcPr>
            <w:tcW w:w="3980"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单位名称：新疆融盛源工程项目管理有限公司</w:t>
            </w:r>
          </w:p>
          <w:p>
            <w:pPr>
              <w:adjustRightInd w:val="0"/>
              <w:snapToGrid w:val="0"/>
              <w:spacing w:line="360" w:lineRule="auto"/>
              <w:rPr>
                <w:rFonts w:ascii="宋体" w:hAnsi="宋体" w:cs="宋体"/>
                <w:sz w:val="24"/>
                <w:szCs w:val="24"/>
              </w:rPr>
            </w:pPr>
            <w:r>
              <w:rPr>
                <w:rFonts w:hint="eastAsia" w:ascii="宋体" w:hAnsi="宋体" w:cs="宋体"/>
                <w:sz w:val="24"/>
                <w:szCs w:val="24"/>
              </w:rPr>
              <w:t>地址：新疆乌鲁木齐市水磨沟区立井街198号丽景中央城9号楼（全季酒店）五层503</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联系人：龚钊  </w:t>
            </w:r>
          </w:p>
          <w:p>
            <w:pPr>
              <w:adjustRightInd w:val="0"/>
              <w:snapToGrid w:val="0"/>
              <w:spacing w:line="360" w:lineRule="auto"/>
              <w:rPr>
                <w:rFonts w:ascii="宋体" w:hAnsi="宋体" w:cs="宋体"/>
                <w:sz w:val="24"/>
                <w:szCs w:val="24"/>
              </w:rPr>
            </w:pPr>
            <w:r>
              <w:rPr>
                <w:rFonts w:hint="eastAsia" w:ascii="宋体" w:hAnsi="宋体" w:cs="宋体"/>
                <w:sz w:val="24"/>
                <w:szCs w:val="24"/>
              </w:rPr>
              <w:t>联系电话：0991-4800087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359"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5</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采购</w:t>
            </w:r>
          </w:p>
          <w:p>
            <w:pPr>
              <w:adjustRightInd w:val="0"/>
              <w:snapToGrid w:val="0"/>
              <w:spacing w:line="360" w:lineRule="auto"/>
              <w:jc w:val="center"/>
              <w:rPr>
                <w:rFonts w:ascii="宋体" w:hAnsi="宋体" w:cs="宋体"/>
                <w:sz w:val="24"/>
                <w:szCs w:val="24"/>
              </w:rPr>
            </w:pPr>
            <w:r>
              <w:rPr>
                <w:rFonts w:hint="eastAsia" w:ascii="宋体" w:hAnsi="宋体" w:cs="宋体"/>
                <w:sz w:val="24"/>
                <w:szCs w:val="24"/>
              </w:rPr>
              <w:t>内容</w:t>
            </w:r>
          </w:p>
        </w:tc>
        <w:tc>
          <w:tcPr>
            <w:tcW w:w="3980" w:type="pct"/>
            <w:vAlign w:val="center"/>
          </w:tcPr>
          <w:p>
            <w:pPr>
              <w:adjustRightInd w:val="0"/>
              <w:snapToGrid w:val="0"/>
              <w:spacing w:line="360" w:lineRule="auto"/>
              <w:rPr>
                <w:rFonts w:hint="default" w:ascii="宋体" w:hAnsi="宋体" w:eastAsia="宋体" w:cs="宋体"/>
                <w:sz w:val="24"/>
                <w:szCs w:val="24"/>
                <w:lang w:val="en-US" w:eastAsia="zh-CN"/>
              </w:rPr>
            </w:pPr>
            <w:r>
              <w:rPr>
                <w:rFonts w:hint="eastAsia" w:ascii="宋体" w:hAnsi="宋体" w:cs="宋体"/>
                <w:sz w:val="24"/>
                <w:szCs w:val="24"/>
              </w:rPr>
              <w:t>自助借还书机、移动式盘点车、查询机、馆员工作站、移动图书馆、智能黑板、RFID系统管理软件、RFID系统软件接口、扫码枪、朗读亭、移动还书箱、图书杀菌机、图书推车、安全门、RFID标签、层架标、标签及安装、转换费、全网行为管理、终端杀毒检测平台、日志审计、数据库</w:t>
            </w:r>
            <w:r>
              <w:rPr>
                <w:rFonts w:hint="eastAsia" w:ascii="宋体" w:hAnsi="宋体" w:cs="宋体"/>
                <w:sz w:val="24"/>
                <w:szCs w:val="24"/>
                <w:lang w:val="en-US" w:eastAsia="zh-CN"/>
              </w:rPr>
              <w:t>等</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详见采购内容及服务要求</w:t>
            </w:r>
            <w:r>
              <w:rPr>
                <w:rFonts w:hint="eastAsia" w:ascii="宋体" w:hAnsi="宋体" w:cs="宋体"/>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59"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6</w:t>
            </w:r>
          </w:p>
        </w:tc>
        <w:tc>
          <w:tcPr>
            <w:tcW w:w="660"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交货期、安装期</w:t>
            </w:r>
          </w:p>
        </w:tc>
        <w:tc>
          <w:tcPr>
            <w:tcW w:w="3980" w:type="pct"/>
            <w:vAlign w:val="center"/>
          </w:tcPr>
          <w:p>
            <w:pPr>
              <w:adjustRightInd w:val="0"/>
              <w:snapToGrid w:val="0"/>
              <w:spacing w:line="360" w:lineRule="auto"/>
            </w:pPr>
            <w:r>
              <w:rPr>
                <w:rFonts w:hint="eastAsia" w:ascii="宋体" w:hAnsi="宋体" w:cs="宋体"/>
                <w:sz w:val="24"/>
                <w:szCs w:val="24"/>
                <w:lang w:val="en-US" w:eastAsia="zh-CN"/>
              </w:rPr>
              <w:t>合同签订之日起45日历日。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359"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7</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质保期</w:t>
            </w:r>
          </w:p>
        </w:tc>
        <w:tc>
          <w:tcPr>
            <w:tcW w:w="3980" w:type="pct"/>
            <w:vAlign w:val="center"/>
          </w:tcPr>
          <w:p>
            <w:pPr>
              <w:adjustRightInd w:val="0"/>
              <w:snapToGrid w:val="0"/>
              <w:spacing w:line="360" w:lineRule="auto"/>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359"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8</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资金</w:t>
            </w:r>
          </w:p>
          <w:p>
            <w:pPr>
              <w:adjustRightInd w:val="0"/>
              <w:snapToGrid w:val="0"/>
              <w:spacing w:line="360" w:lineRule="auto"/>
              <w:jc w:val="center"/>
              <w:rPr>
                <w:rFonts w:ascii="宋体" w:hAnsi="宋体" w:cs="宋体"/>
                <w:sz w:val="24"/>
                <w:szCs w:val="24"/>
              </w:rPr>
            </w:pPr>
            <w:r>
              <w:rPr>
                <w:rFonts w:hint="eastAsia" w:ascii="宋体" w:hAnsi="宋体" w:cs="宋体"/>
                <w:sz w:val="24"/>
                <w:szCs w:val="24"/>
              </w:rPr>
              <w:t>来源</w:t>
            </w:r>
          </w:p>
        </w:tc>
        <w:tc>
          <w:tcPr>
            <w:tcW w:w="3980"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35" w:hRule="atLeast"/>
          <w:jc w:val="center"/>
        </w:trPr>
        <w:tc>
          <w:tcPr>
            <w:tcW w:w="359"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9</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预算及最高限价</w:t>
            </w:r>
          </w:p>
        </w:tc>
        <w:tc>
          <w:tcPr>
            <w:tcW w:w="3980"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预算金额998600元，最高限价998600元。</w:t>
            </w:r>
          </w:p>
          <w:p>
            <w:pPr>
              <w:adjustRightInd w:val="0"/>
              <w:snapToGrid w:val="0"/>
              <w:spacing w:line="360" w:lineRule="auto"/>
              <w:rPr>
                <w:rFonts w:ascii="宋体" w:hAnsi="宋体" w:cs="宋体"/>
                <w:sz w:val="24"/>
                <w:szCs w:val="24"/>
              </w:rPr>
            </w:pPr>
            <w:r>
              <w:rPr>
                <w:rFonts w:hint="eastAsia" w:ascii="宋体" w:hAnsi="宋体" w:cs="宋体"/>
                <w:sz w:val="24"/>
                <w:szCs w:val="24"/>
              </w:rPr>
              <w:t>供应商的磋商报价不得超过本项目最高限价，否则按磋商无效处理。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359"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10</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采购</w:t>
            </w:r>
          </w:p>
          <w:p>
            <w:pPr>
              <w:adjustRightInd w:val="0"/>
              <w:snapToGrid w:val="0"/>
              <w:spacing w:line="360" w:lineRule="auto"/>
              <w:jc w:val="center"/>
              <w:rPr>
                <w:rFonts w:ascii="宋体" w:hAnsi="宋体" w:cs="宋体"/>
                <w:sz w:val="24"/>
                <w:szCs w:val="24"/>
              </w:rPr>
            </w:pPr>
            <w:r>
              <w:rPr>
                <w:rFonts w:hint="eastAsia" w:ascii="宋体" w:hAnsi="宋体" w:cs="宋体"/>
                <w:sz w:val="24"/>
                <w:szCs w:val="24"/>
              </w:rPr>
              <w:t>方式</w:t>
            </w:r>
          </w:p>
        </w:tc>
        <w:tc>
          <w:tcPr>
            <w:tcW w:w="3980"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竞争性磋商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12" w:hRule="atLeast"/>
          <w:jc w:val="center"/>
        </w:trPr>
        <w:tc>
          <w:tcPr>
            <w:tcW w:w="359" w:type="pct"/>
            <w:tcBorders>
              <w:bottom w:val="single" w:color="auto" w:sz="4" w:space="0"/>
            </w:tcBorders>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11</w:t>
            </w:r>
          </w:p>
        </w:tc>
        <w:tc>
          <w:tcPr>
            <w:tcW w:w="660" w:type="pct"/>
            <w:tcBorders>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投标</w:t>
            </w:r>
          </w:p>
          <w:p>
            <w:pPr>
              <w:adjustRightInd w:val="0"/>
              <w:snapToGrid w:val="0"/>
              <w:spacing w:line="360" w:lineRule="auto"/>
              <w:jc w:val="center"/>
              <w:rPr>
                <w:rFonts w:ascii="宋体" w:hAnsi="宋体" w:cs="宋体"/>
                <w:sz w:val="24"/>
                <w:szCs w:val="24"/>
              </w:rPr>
            </w:pPr>
            <w:r>
              <w:rPr>
                <w:rFonts w:hint="eastAsia" w:ascii="宋体" w:hAnsi="宋体" w:cs="宋体"/>
                <w:sz w:val="24"/>
                <w:szCs w:val="24"/>
              </w:rPr>
              <w:t>资格</w:t>
            </w:r>
          </w:p>
        </w:tc>
        <w:tc>
          <w:tcPr>
            <w:tcW w:w="3980" w:type="pct"/>
            <w:tcBorders>
              <w:left w:val="single" w:color="auto" w:sz="4" w:space="0"/>
              <w:bottom w:val="single" w:color="auto" w:sz="4" w:space="0"/>
            </w:tcBorders>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pPr>
              <w:adjustRightInd w:val="0"/>
              <w:snapToGrid w:val="0"/>
              <w:spacing w:line="360" w:lineRule="auto"/>
              <w:rPr>
                <w:rFonts w:ascii="宋体" w:hAnsi="宋体" w:cs="宋体"/>
                <w:sz w:val="24"/>
                <w:szCs w:val="24"/>
              </w:rPr>
            </w:pPr>
            <w:r>
              <w:rPr>
                <w:rFonts w:hint="eastAsia" w:ascii="宋体" w:hAnsi="宋体" w:cs="宋体"/>
                <w:sz w:val="24"/>
                <w:szCs w:val="24"/>
              </w:rPr>
              <w:t>2.落实政府采购政策需满足的资格要求：</w:t>
            </w:r>
          </w:p>
          <w:p>
            <w:pPr>
              <w:adjustRightInd w:val="0"/>
              <w:snapToGrid w:val="0"/>
              <w:spacing w:line="360" w:lineRule="auto"/>
              <w:rPr>
                <w:rFonts w:ascii="宋体" w:hAnsi="宋体" w:cs="宋体"/>
                <w:sz w:val="24"/>
                <w:szCs w:val="24"/>
              </w:rPr>
            </w:pPr>
            <w:r>
              <w:rPr>
                <w:rFonts w:hint="eastAsia" w:ascii="宋体" w:hAnsi="宋体" w:cs="宋体"/>
                <w:sz w:val="24"/>
                <w:szCs w:val="24"/>
              </w:rPr>
              <w:t>（1）《政府采购促进中小企业发展管理办法》（财库〔2020〕46号）；</w:t>
            </w:r>
          </w:p>
          <w:p>
            <w:pPr>
              <w:adjustRightInd w:val="0"/>
              <w:snapToGrid w:val="0"/>
              <w:spacing w:line="360" w:lineRule="auto"/>
              <w:rPr>
                <w:rFonts w:ascii="宋体" w:hAnsi="宋体" w:cs="宋体"/>
                <w:sz w:val="24"/>
                <w:szCs w:val="24"/>
              </w:rPr>
            </w:pPr>
            <w:r>
              <w:rPr>
                <w:rFonts w:hint="eastAsia" w:ascii="宋体" w:hAnsi="宋体" w:cs="宋体"/>
                <w:sz w:val="24"/>
                <w:szCs w:val="24"/>
              </w:rPr>
              <w:t>（2）《财政部、司法部关于政府采购支持监狱企业发展有关问题的通知》（ 财库〔2014〕68 号 ）；</w:t>
            </w:r>
          </w:p>
          <w:p>
            <w:pPr>
              <w:adjustRightInd w:val="0"/>
              <w:snapToGrid w:val="0"/>
              <w:spacing w:line="360" w:lineRule="auto"/>
              <w:rPr>
                <w:rFonts w:ascii="宋体" w:hAnsi="宋体" w:cs="宋体"/>
                <w:sz w:val="24"/>
                <w:szCs w:val="24"/>
              </w:rPr>
            </w:pPr>
            <w:r>
              <w:rPr>
                <w:rFonts w:hint="eastAsia" w:ascii="宋体" w:hAnsi="宋体" w:cs="宋体"/>
                <w:sz w:val="24"/>
                <w:szCs w:val="24"/>
              </w:rPr>
              <w:t>（3）《财政部、民政部、中国残疾人联合会关于促进残疾人就业政府采购政策的通知》（财库〔2017〕141号）；</w:t>
            </w:r>
            <w:bookmarkStart w:id="29" w:name="_Toc32296"/>
            <w:bookmarkStart w:id="30" w:name="_Toc20176"/>
          </w:p>
          <w:p>
            <w:pPr>
              <w:adjustRightInd w:val="0"/>
              <w:snapToGrid w:val="0"/>
              <w:spacing w:line="360" w:lineRule="auto"/>
              <w:rPr>
                <w:rFonts w:ascii="宋体" w:hAnsi="宋体" w:cs="宋体"/>
                <w:bCs/>
                <w:sz w:val="24"/>
                <w:szCs w:val="24"/>
              </w:rPr>
            </w:pPr>
            <w:r>
              <w:rPr>
                <w:rFonts w:hint="eastAsia" w:ascii="宋体" w:hAnsi="宋体" w:cs="宋体"/>
                <w:bCs/>
                <w:sz w:val="24"/>
                <w:szCs w:val="24"/>
              </w:rPr>
              <w:t>（4）《关于调整优化节能产品、环境标志产品政府采购执行机制的通知》（财库〔2019〕9号）。</w:t>
            </w:r>
            <w:bookmarkEnd w:id="29"/>
            <w:bookmarkEnd w:id="30"/>
          </w:p>
          <w:p>
            <w:pPr>
              <w:adjustRightInd w:val="0"/>
              <w:snapToGrid w:val="0"/>
              <w:spacing w:line="360" w:lineRule="auto"/>
              <w:rPr>
                <w:rFonts w:ascii="宋体" w:hAnsi="宋体" w:cs="宋体"/>
                <w:sz w:val="24"/>
                <w:szCs w:val="24"/>
              </w:rPr>
            </w:pPr>
            <w:r>
              <w:rPr>
                <w:rFonts w:hint="eastAsia" w:ascii="宋体" w:hAnsi="宋体" w:cs="宋体"/>
                <w:sz w:val="24"/>
                <w:szCs w:val="24"/>
              </w:rPr>
              <w:t>3.本项目的特定资格要求：</w:t>
            </w:r>
          </w:p>
          <w:p>
            <w:pPr>
              <w:adjustRightInd w:val="0"/>
              <w:snapToGrid w:val="0"/>
              <w:spacing w:line="360" w:lineRule="auto"/>
              <w:rPr>
                <w:rFonts w:ascii="宋体" w:hAnsi="宋体" w:cs="宋体"/>
                <w:sz w:val="24"/>
                <w:szCs w:val="24"/>
              </w:rPr>
            </w:pPr>
            <w:r>
              <w:rPr>
                <w:rFonts w:hint="eastAsia" w:ascii="宋体" w:hAnsi="宋体" w:cs="宋体"/>
                <w:sz w:val="24"/>
                <w:szCs w:val="24"/>
              </w:rPr>
              <w:t>（1）具有有效的营业执照；</w:t>
            </w:r>
          </w:p>
          <w:p>
            <w:pPr>
              <w:adjustRightInd w:val="0"/>
              <w:snapToGrid w:val="0"/>
              <w:spacing w:line="360" w:lineRule="auto"/>
              <w:rPr>
                <w:rFonts w:ascii="宋体" w:hAnsi="宋体" w:cs="宋体"/>
                <w:sz w:val="24"/>
                <w:szCs w:val="24"/>
              </w:rPr>
            </w:pPr>
            <w:r>
              <w:rPr>
                <w:rFonts w:hint="eastAsia" w:ascii="宋体" w:hAnsi="宋体" w:cs="宋体"/>
                <w:sz w:val="24"/>
                <w:szCs w:val="24"/>
              </w:rPr>
              <w:t>（2）主体信用记录符合政府采购活动要求供应商参加政府采购活动前三年内未被列入“信用中国”网站(www.creditchina.gov.cn)重大税收违法案件当事人、“中国执行信息公开网”（http://zxgk.court.gov.cn/）未被列入失信被执行人和“中国政府采购”网站（www.ccgp.gov.cn）政府采购严重违法失信行为记录名单；</w:t>
            </w:r>
          </w:p>
          <w:p>
            <w:pPr>
              <w:pStyle w:val="25"/>
              <w:ind w:firstLine="482"/>
              <w:rPr>
                <w:b/>
                <w:bCs/>
              </w:rPr>
            </w:pPr>
            <w:r>
              <w:rPr>
                <w:rFonts w:hint="eastAsia" w:hAnsi="宋体" w:cs="宋体"/>
                <w:b/>
                <w:bCs/>
                <w:szCs w:val="24"/>
              </w:rPr>
              <w:t>查询时间为：自</w:t>
            </w:r>
            <w:r>
              <w:rPr>
                <w:rFonts w:hint="eastAsia" w:hAnsi="宋体" w:cs="宋体"/>
                <w:b/>
                <w:bCs/>
                <w:szCs w:val="24"/>
                <w:lang w:val="en-US" w:eastAsia="zh-CN"/>
              </w:rPr>
              <w:t>磋商</w:t>
            </w:r>
            <w:r>
              <w:rPr>
                <w:rFonts w:hint="eastAsia" w:hAnsi="宋体" w:cs="宋体"/>
                <w:b/>
                <w:bCs/>
                <w:szCs w:val="24"/>
              </w:rPr>
              <w:t>文件发出之日起至响应文件递交截止时间止（该时间段内任一时间）</w:t>
            </w:r>
          </w:p>
          <w:p>
            <w:pPr>
              <w:adjustRightInd w:val="0"/>
              <w:snapToGrid w:val="0"/>
              <w:spacing w:line="360" w:lineRule="auto"/>
              <w:rPr>
                <w:rFonts w:ascii="宋体" w:hAnsi="宋体" w:cs="宋体"/>
                <w:sz w:val="24"/>
                <w:szCs w:val="24"/>
              </w:rPr>
            </w:pPr>
            <w:r>
              <w:rPr>
                <w:rFonts w:hint="eastAsia" w:ascii="宋体" w:hAnsi="宋体" w:cs="宋体"/>
                <w:sz w:val="24"/>
                <w:szCs w:val="24"/>
              </w:rPr>
              <w:t>（3）其他说明: (1) 与招标人存在利害关系可能影响招标公正性的法人、其他组织或者个人，不得参加投标: (2) 单位负责人为同一人或者存在控股、管理关系的不同单位，不得参加同一标段投标或者未划分标段的同一招标项目投标。违反上述两款规定的，相关投标均无效；</w:t>
            </w:r>
          </w:p>
          <w:p>
            <w:pPr>
              <w:adjustRightInd w:val="0"/>
              <w:snapToGrid w:val="0"/>
              <w:spacing w:line="360" w:lineRule="auto"/>
              <w:rPr>
                <w:rFonts w:ascii="宋体" w:hAnsi="宋体" w:cs="宋体"/>
                <w:sz w:val="24"/>
                <w:szCs w:val="24"/>
              </w:rPr>
            </w:pPr>
            <w:r>
              <w:rPr>
                <w:rFonts w:hint="eastAsia" w:ascii="宋体" w:hAnsi="宋体" w:cs="宋体"/>
                <w:sz w:val="24"/>
                <w:szCs w:val="24"/>
              </w:rPr>
              <w:t>（4）法定代表人或其委托代理人应携带本人身份证原件及复印件，如法定代表人前来报名应携带《法定代表人资格证明书》；委托代理人前来报名应携带《法定代表人授权委托书》；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2" w:hRule="atLeast"/>
          <w:jc w:val="center"/>
        </w:trPr>
        <w:tc>
          <w:tcPr>
            <w:tcW w:w="359" w:type="pct"/>
            <w:tcBorders>
              <w:bottom w:val="single" w:color="auto" w:sz="4" w:space="0"/>
            </w:tcBorders>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12</w:t>
            </w:r>
          </w:p>
        </w:tc>
        <w:tc>
          <w:tcPr>
            <w:tcW w:w="660" w:type="pct"/>
            <w:tcBorders>
              <w:bottom w:val="single" w:color="auto" w:sz="4" w:space="0"/>
            </w:tcBorders>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评标</w:t>
            </w:r>
          </w:p>
          <w:p>
            <w:pPr>
              <w:adjustRightInd w:val="0"/>
              <w:snapToGrid w:val="0"/>
              <w:spacing w:line="360" w:lineRule="auto"/>
              <w:jc w:val="center"/>
              <w:rPr>
                <w:rFonts w:ascii="宋体" w:hAnsi="宋体" w:cs="宋体"/>
                <w:sz w:val="24"/>
                <w:szCs w:val="24"/>
              </w:rPr>
            </w:pPr>
            <w:r>
              <w:rPr>
                <w:rFonts w:hint="eastAsia" w:ascii="宋体" w:hAnsi="宋体" w:cs="宋体"/>
                <w:sz w:val="24"/>
                <w:szCs w:val="24"/>
              </w:rPr>
              <w:t>方法</w:t>
            </w:r>
          </w:p>
        </w:tc>
        <w:tc>
          <w:tcPr>
            <w:tcW w:w="3980" w:type="pct"/>
            <w:tcBorders>
              <w:bottom w:val="single" w:color="auto" w:sz="4" w:space="0"/>
            </w:tcBorders>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44" w:hRule="atLeast"/>
          <w:jc w:val="center"/>
        </w:trPr>
        <w:tc>
          <w:tcPr>
            <w:tcW w:w="359" w:type="pct"/>
            <w:tcBorders>
              <w:top w:val="single" w:color="auto" w:sz="4" w:space="0"/>
            </w:tcBorders>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13</w:t>
            </w:r>
          </w:p>
        </w:tc>
        <w:tc>
          <w:tcPr>
            <w:tcW w:w="660" w:type="pct"/>
            <w:tcBorders>
              <w:top w:val="single" w:color="auto" w:sz="4" w:space="0"/>
            </w:tcBorders>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是否接受联合体投标</w:t>
            </w:r>
          </w:p>
        </w:tc>
        <w:tc>
          <w:tcPr>
            <w:tcW w:w="3980" w:type="pct"/>
            <w:tcBorders>
              <w:top w:val="single" w:color="auto" w:sz="4" w:space="0"/>
            </w:tcBorders>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 xml:space="preserve">不接受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59"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14</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响应文件发放日期</w:t>
            </w:r>
          </w:p>
        </w:tc>
        <w:tc>
          <w:tcPr>
            <w:tcW w:w="3980" w:type="pct"/>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时间：</w:t>
            </w:r>
            <w:r>
              <w:rPr>
                <w:rFonts w:hint="eastAsia" w:ascii="宋体" w:hAnsi="宋体" w:cs="宋体"/>
                <w:color w:val="000000" w:themeColor="text1"/>
                <w:sz w:val="24"/>
                <w:szCs w:val="24"/>
                <w14:textFill>
                  <w14:solidFill>
                    <w14:schemeClr w14:val="tx1"/>
                  </w14:solidFill>
                </w14:textFill>
              </w:rPr>
              <w:t>2022年</w:t>
            </w:r>
            <w:r>
              <w:rPr>
                <w:rFonts w:hint="eastAsia" w:ascii="宋体" w:hAnsi="宋体" w:cs="宋体"/>
                <w:color w:val="000000" w:themeColor="text1"/>
                <w:sz w:val="24"/>
                <w:szCs w:val="24"/>
                <w:highlight w:val="none"/>
                <w:lang w:eastAsia="zh-CN"/>
                <w14:textFill>
                  <w14:solidFill>
                    <w14:schemeClr w14:val="tx1"/>
                  </w14:solidFill>
                </w14:textFill>
              </w:rPr>
              <w:t>6月13日</w:t>
            </w:r>
            <w:r>
              <w:rPr>
                <w:rFonts w:hint="eastAsia" w:ascii="宋体" w:hAnsi="宋体" w:cs="宋体"/>
                <w:color w:val="000000" w:themeColor="text1"/>
                <w:sz w:val="24"/>
                <w:szCs w:val="24"/>
                <w:highlight w:val="none"/>
                <w14:textFill>
                  <w14:solidFill>
                    <w14:schemeClr w14:val="tx1"/>
                  </w14:solidFill>
                </w14:textFill>
              </w:rPr>
              <w:t>至2022年</w:t>
            </w:r>
            <w:r>
              <w:rPr>
                <w:rFonts w:hint="eastAsia" w:ascii="宋体" w:hAnsi="宋体" w:cs="宋体"/>
                <w:color w:val="000000" w:themeColor="text1"/>
                <w:sz w:val="24"/>
                <w:szCs w:val="24"/>
                <w:highlight w:val="none"/>
                <w:lang w:eastAsia="zh-CN"/>
                <w14:textFill>
                  <w14:solidFill>
                    <w14:schemeClr w14:val="tx1"/>
                  </w14:solidFill>
                </w14:textFill>
              </w:rPr>
              <w:t>6月20日</w:t>
            </w:r>
            <w:r>
              <w:rPr>
                <w:rFonts w:hint="eastAsia" w:ascii="宋体" w:hAnsi="宋体" w:cs="宋体"/>
                <w:color w:val="000000" w:themeColor="text1"/>
                <w:sz w:val="24"/>
                <w:szCs w:val="24"/>
                <w14:textFill>
                  <w14:solidFill>
                    <w14:schemeClr w14:val="tx1"/>
                  </w14:solidFill>
                </w14:textFill>
              </w:rPr>
              <w:t>(每天10：30-18:30，节假日除外)</w:t>
            </w:r>
          </w:p>
          <w:p>
            <w:pPr>
              <w:adjustRightInd w:val="0"/>
              <w:snapToGrid w:val="0"/>
              <w:spacing w:line="360" w:lineRule="auto"/>
              <w:rPr>
                <w:rFonts w:ascii="宋体" w:hAnsi="宋体" w:cs="宋体"/>
                <w:sz w:val="24"/>
                <w:szCs w:val="24"/>
              </w:rPr>
            </w:pPr>
            <w:r>
              <w:rPr>
                <w:rFonts w:hint="eastAsia" w:ascii="宋体" w:hAnsi="宋体" w:cs="宋体"/>
                <w:sz w:val="24"/>
                <w:szCs w:val="24"/>
              </w:rPr>
              <w:t>地点：新疆乌鲁木齐市水磨沟区立井街198号丽景中央城9号楼（全季酒店）五层503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359"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15</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标书</w:t>
            </w:r>
          </w:p>
          <w:p>
            <w:pPr>
              <w:adjustRightInd w:val="0"/>
              <w:snapToGrid w:val="0"/>
              <w:spacing w:line="360" w:lineRule="auto"/>
              <w:jc w:val="center"/>
              <w:rPr>
                <w:rFonts w:ascii="宋体" w:hAnsi="宋体" w:cs="宋体"/>
                <w:sz w:val="24"/>
                <w:szCs w:val="24"/>
              </w:rPr>
            </w:pPr>
            <w:r>
              <w:rPr>
                <w:rFonts w:hint="eastAsia" w:ascii="宋体" w:hAnsi="宋体" w:cs="宋体"/>
                <w:sz w:val="24"/>
                <w:szCs w:val="24"/>
              </w:rPr>
              <w:t>售价</w:t>
            </w:r>
          </w:p>
        </w:tc>
        <w:tc>
          <w:tcPr>
            <w:tcW w:w="3980"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300元/本，售后不退。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5" w:hRule="atLeast"/>
          <w:jc w:val="center"/>
        </w:trPr>
        <w:tc>
          <w:tcPr>
            <w:tcW w:w="359"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16</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投标</w:t>
            </w:r>
          </w:p>
          <w:p>
            <w:pPr>
              <w:adjustRightInd w:val="0"/>
              <w:snapToGrid w:val="0"/>
              <w:spacing w:line="360" w:lineRule="auto"/>
              <w:jc w:val="center"/>
              <w:rPr>
                <w:rFonts w:ascii="宋体" w:hAnsi="宋体" w:cs="宋体"/>
                <w:sz w:val="24"/>
                <w:szCs w:val="24"/>
              </w:rPr>
            </w:pPr>
            <w:r>
              <w:rPr>
                <w:rFonts w:hint="eastAsia" w:ascii="宋体" w:hAnsi="宋体" w:cs="宋体"/>
                <w:sz w:val="24"/>
                <w:szCs w:val="24"/>
              </w:rPr>
              <w:t>保证金</w:t>
            </w:r>
          </w:p>
        </w:tc>
        <w:tc>
          <w:tcPr>
            <w:tcW w:w="3980"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 xml:space="preserve">1、投标保证金金额：10000元（壹万元整） </w:t>
            </w:r>
          </w:p>
          <w:p>
            <w:pPr>
              <w:adjustRightInd w:val="0"/>
              <w:snapToGrid w:val="0"/>
              <w:spacing w:line="360" w:lineRule="auto"/>
              <w:rPr>
                <w:rFonts w:ascii="宋体" w:hAnsi="宋体" w:cs="宋体"/>
                <w:sz w:val="24"/>
                <w:szCs w:val="24"/>
              </w:rPr>
            </w:pPr>
            <w:r>
              <w:rPr>
                <w:rFonts w:hint="eastAsia" w:ascii="宋体" w:hAnsi="宋体" w:cs="宋体"/>
                <w:sz w:val="24"/>
                <w:szCs w:val="24"/>
              </w:rPr>
              <w:t>2、保证金到账截止时间：</w:t>
            </w:r>
            <w:r>
              <w:rPr>
                <w:rFonts w:hint="eastAsia" w:ascii="宋体" w:hAnsi="宋体" w:cs="宋体"/>
                <w:color w:val="000000" w:themeColor="text1"/>
                <w:sz w:val="24"/>
                <w:szCs w:val="24"/>
                <w:highlight w:val="none"/>
                <w14:textFill>
                  <w14:solidFill>
                    <w14:schemeClr w14:val="tx1"/>
                  </w14:solidFill>
                </w14:textFill>
              </w:rPr>
              <w:t>2022年 6月</w:t>
            </w:r>
            <w:r>
              <w:rPr>
                <w:rFonts w:hint="eastAsia" w:ascii="宋体" w:hAnsi="宋体" w:cs="宋体"/>
                <w:color w:val="000000" w:themeColor="text1"/>
                <w:sz w:val="24"/>
                <w:szCs w:val="24"/>
                <w:highlight w:val="none"/>
                <w:lang w:val="en-US" w:eastAsia="zh-CN"/>
                <w14:textFill>
                  <w14:solidFill>
                    <w14:schemeClr w14:val="tx1"/>
                  </w14:solidFill>
                </w14:textFill>
              </w:rPr>
              <w:t>27</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14:textFill>
                  <w14:solidFill>
                    <w14:schemeClr w14:val="tx1"/>
                  </w14:solidFill>
                </w14:textFill>
              </w:rPr>
              <w:t>16:00</w:t>
            </w:r>
            <w:r>
              <w:rPr>
                <w:rFonts w:hint="eastAsia" w:ascii="宋体" w:hAnsi="宋体" w:cs="宋体"/>
                <w:sz w:val="24"/>
                <w:szCs w:val="24"/>
              </w:rPr>
              <w:t>（北京时间）时之前</w:t>
            </w:r>
          </w:p>
          <w:p>
            <w:pPr>
              <w:adjustRightInd w:val="0"/>
              <w:snapToGrid w:val="0"/>
              <w:spacing w:line="360" w:lineRule="auto"/>
              <w:rPr>
                <w:rFonts w:ascii="宋体" w:hAnsi="宋体" w:cs="宋体"/>
                <w:sz w:val="24"/>
                <w:szCs w:val="24"/>
              </w:rPr>
            </w:pPr>
            <w:r>
              <w:rPr>
                <w:rFonts w:hint="eastAsia" w:ascii="宋体" w:hAnsi="宋体" w:cs="宋体"/>
                <w:sz w:val="24"/>
                <w:szCs w:val="24"/>
              </w:rPr>
              <w:t>3、投标保证金形式：投标保证金必须从投标人基本账户支出，可以采取电汇或网上转账形式缴纳。</w:t>
            </w:r>
          </w:p>
          <w:p>
            <w:pPr>
              <w:adjustRightInd w:val="0"/>
              <w:snapToGrid w:val="0"/>
              <w:spacing w:line="360" w:lineRule="auto"/>
              <w:rPr>
                <w:rFonts w:ascii="宋体" w:hAnsi="宋体" w:cs="宋体"/>
                <w:sz w:val="24"/>
                <w:szCs w:val="24"/>
              </w:rPr>
            </w:pPr>
            <w:r>
              <w:rPr>
                <w:rFonts w:hint="eastAsia" w:ascii="宋体" w:hAnsi="宋体" w:cs="宋体"/>
                <w:sz w:val="24"/>
                <w:szCs w:val="24"/>
              </w:rPr>
              <w:t>4、保证金缴纳账户信息：</w:t>
            </w:r>
          </w:p>
          <w:p>
            <w:pPr>
              <w:adjustRightInd w:val="0"/>
              <w:snapToGrid w:val="0"/>
              <w:spacing w:line="360" w:lineRule="auto"/>
              <w:rPr>
                <w:rFonts w:ascii="宋体" w:hAnsi="宋体" w:cs="宋体"/>
                <w:sz w:val="24"/>
                <w:szCs w:val="24"/>
              </w:rPr>
            </w:pPr>
            <w:r>
              <w:rPr>
                <w:rFonts w:hint="eastAsia" w:ascii="宋体" w:hAnsi="宋体" w:cs="宋体"/>
                <w:sz w:val="24"/>
                <w:szCs w:val="24"/>
              </w:rPr>
              <w:t>账户信息：新疆融盛源工程项目管理有限公司</w:t>
            </w:r>
          </w:p>
          <w:p>
            <w:pPr>
              <w:adjustRightInd w:val="0"/>
              <w:snapToGrid w:val="0"/>
              <w:spacing w:line="360" w:lineRule="auto"/>
              <w:rPr>
                <w:rFonts w:ascii="宋体" w:hAnsi="宋体" w:cs="宋体"/>
                <w:sz w:val="24"/>
                <w:szCs w:val="24"/>
              </w:rPr>
            </w:pPr>
            <w:r>
              <w:rPr>
                <w:rFonts w:hint="eastAsia" w:ascii="宋体" w:hAnsi="宋体" w:cs="宋体"/>
                <w:sz w:val="24"/>
                <w:szCs w:val="24"/>
              </w:rPr>
              <w:t>开户行：交通银行股份有限公司乌鲁木齐友好路支行</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银行账号： </w:t>
            </w:r>
            <w:r>
              <w:rPr>
                <w:rFonts w:hint="eastAsia" w:ascii="宋体" w:hAnsi="宋体" w:cs="宋体"/>
                <w:color w:val="000000" w:themeColor="text1"/>
                <w:sz w:val="24"/>
                <w:szCs w:val="24"/>
                <w14:textFill>
                  <w14:solidFill>
                    <w14:schemeClr w14:val="tx1"/>
                  </w14:solidFill>
                </w14:textFill>
              </w:rPr>
              <w:t>86516510020130001000128</w:t>
            </w:r>
            <w:r>
              <w:rPr>
                <w:rFonts w:hint="eastAsia" w:ascii="宋体" w:hAnsi="宋体" w:cs="宋体"/>
                <w:color w:val="FF0000"/>
                <w:sz w:val="24"/>
                <w:szCs w:val="24"/>
              </w:rPr>
              <w:t xml:space="preserve"> </w:t>
            </w:r>
            <w:r>
              <w:rPr>
                <w:rFonts w:hint="eastAsia" w:ascii="宋体" w:hAnsi="宋体" w:cs="宋体"/>
                <w:sz w:val="24"/>
                <w:szCs w:val="24"/>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开户行行号：301881000075</w:t>
            </w:r>
          </w:p>
          <w:p>
            <w:pPr>
              <w:adjustRightInd w:val="0"/>
              <w:snapToGrid w:val="0"/>
              <w:spacing w:line="360" w:lineRule="auto"/>
              <w:rPr>
                <w:rFonts w:ascii="宋体" w:hAnsi="宋体" w:cs="宋体"/>
                <w:sz w:val="24"/>
                <w:szCs w:val="24"/>
              </w:rPr>
            </w:pPr>
            <w:r>
              <w:rPr>
                <w:rFonts w:hint="eastAsia" w:ascii="宋体" w:hAnsi="宋体" w:cs="宋体"/>
                <w:sz w:val="24"/>
                <w:szCs w:val="24"/>
              </w:rPr>
              <w:t>投标人按上述要求递交投标保证金后，请携带好电汇凭证或网上转账凭证，以便开标当天查验。</w:t>
            </w:r>
          </w:p>
          <w:p>
            <w:pPr>
              <w:adjustRightInd w:val="0"/>
              <w:snapToGrid w:val="0"/>
              <w:spacing w:line="360" w:lineRule="auto"/>
              <w:rPr>
                <w:rFonts w:ascii="宋体" w:hAnsi="宋体" w:cs="宋体"/>
                <w:sz w:val="24"/>
                <w:szCs w:val="24"/>
              </w:rPr>
            </w:pPr>
            <w:r>
              <w:rPr>
                <w:rFonts w:hint="eastAsia" w:ascii="宋体" w:hAnsi="宋体" w:cs="宋体"/>
                <w:sz w:val="24"/>
                <w:szCs w:val="24"/>
              </w:rPr>
              <w:t>注：以电汇方式递交投标保证金须在电汇凭据附言栏中写明项目名称简称及用途(保证金)，由于未按要求注明信息而导致的一切后果由投标人承担。</w:t>
            </w:r>
          </w:p>
          <w:p>
            <w:pPr>
              <w:adjustRightInd w:val="0"/>
              <w:snapToGrid w:val="0"/>
              <w:spacing w:line="360" w:lineRule="auto"/>
              <w:rPr>
                <w:rFonts w:ascii="宋体" w:hAnsi="宋体" w:cs="宋体"/>
                <w:sz w:val="24"/>
                <w:szCs w:val="24"/>
              </w:rPr>
            </w:pPr>
            <w:r>
              <w:rPr>
                <w:rFonts w:hint="eastAsia" w:ascii="宋体" w:hAnsi="宋体" w:cs="宋体"/>
                <w:sz w:val="24"/>
                <w:szCs w:val="24"/>
              </w:rPr>
              <w:t>本单位财务联系方式：0991-4800087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59"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17</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响应文件份数</w:t>
            </w:r>
          </w:p>
        </w:tc>
        <w:tc>
          <w:tcPr>
            <w:tcW w:w="3980"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纸质版文件：一份正本，二份副本。</w:t>
            </w:r>
          </w:p>
          <w:p>
            <w:pPr>
              <w:adjustRightInd w:val="0"/>
              <w:snapToGrid w:val="0"/>
              <w:spacing w:line="360" w:lineRule="auto"/>
              <w:rPr>
                <w:rFonts w:ascii="宋体" w:hAnsi="宋体" w:cs="宋体"/>
                <w:sz w:val="24"/>
                <w:szCs w:val="24"/>
              </w:rPr>
            </w:pPr>
            <w:r>
              <w:rPr>
                <w:rFonts w:hint="eastAsia" w:ascii="宋体" w:hAnsi="宋体" w:cs="宋体"/>
                <w:sz w:val="24"/>
                <w:szCs w:val="24"/>
              </w:rPr>
              <w:t>特别提示：</w:t>
            </w:r>
          </w:p>
          <w:p>
            <w:pPr>
              <w:adjustRightInd w:val="0"/>
              <w:snapToGrid w:val="0"/>
              <w:spacing w:line="360" w:lineRule="auto"/>
              <w:rPr>
                <w:rFonts w:ascii="宋体" w:hAnsi="宋体" w:cs="宋体"/>
                <w:sz w:val="24"/>
                <w:szCs w:val="24"/>
              </w:rPr>
            </w:pPr>
            <w:r>
              <w:rPr>
                <w:rFonts w:hint="eastAsia" w:ascii="宋体" w:hAnsi="宋体" w:cs="宋体"/>
                <w:sz w:val="24"/>
                <w:szCs w:val="24"/>
              </w:rPr>
              <w:t>1.本项目各投标人在开标现场递交纸质响应文件的同时，须以密封的形式递交一份响应文件电子版（必须是响应文件加盖公章的扫描件）。（光盘或U盘）</w:t>
            </w:r>
          </w:p>
          <w:p>
            <w:pPr>
              <w:adjustRightInd w:val="0"/>
              <w:snapToGrid w:val="0"/>
              <w:spacing w:line="360" w:lineRule="auto"/>
              <w:rPr>
                <w:rFonts w:ascii="宋体" w:hAnsi="宋体" w:cs="宋体"/>
                <w:sz w:val="24"/>
                <w:szCs w:val="24"/>
              </w:rPr>
            </w:pPr>
            <w:r>
              <w:rPr>
                <w:rFonts w:hint="eastAsia" w:ascii="宋体" w:hAnsi="宋体" w:cs="宋体"/>
                <w:sz w:val="24"/>
                <w:szCs w:val="24"/>
              </w:rPr>
              <w:t>2.为了便于存档，响应文件请用A4纸张制作，宜采用死页装订，装订应牢固、不易拆散和换页。如因装订造成的文档缺失，后果由供应商自行承担。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7" w:hRule="atLeast"/>
          <w:jc w:val="center"/>
        </w:trPr>
        <w:tc>
          <w:tcPr>
            <w:tcW w:w="359"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18</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质疑</w:t>
            </w:r>
          </w:p>
          <w:p>
            <w:pPr>
              <w:adjustRightInd w:val="0"/>
              <w:snapToGrid w:val="0"/>
              <w:spacing w:line="360" w:lineRule="auto"/>
              <w:jc w:val="center"/>
              <w:rPr>
                <w:rFonts w:ascii="宋体" w:hAnsi="宋体" w:cs="宋体"/>
                <w:sz w:val="24"/>
                <w:szCs w:val="24"/>
              </w:rPr>
            </w:pPr>
            <w:r>
              <w:rPr>
                <w:rFonts w:hint="eastAsia" w:ascii="宋体" w:hAnsi="宋体" w:cs="宋体"/>
                <w:sz w:val="24"/>
                <w:szCs w:val="24"/>
              </w:rPr>
              <w:t>澄清</w:t>
            </w:r>
          </w:p>
        </w:tc>
        <w:tc>
          <w:tcPr>
            <w:tcW w:w="3980"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投标人在收到响应文件后，若有疑问需要澄清的，应于投标截止日期5日前以书面形式向招标人提出，送至新疆融盛源工程项目管理有限公司。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10" w:hRule="atLeast"/>
          <w:jc w:val="center"/>
        </w:trPr>
        <w:tc>
          <w:tcPr>
            <w:tcW w:w="359"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19</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开标时间及响应文件递交截止时间</w:t>
            </w:r>
          </w:p>
        </w:tc>
        <w:tc>
          <w:tcPr>
            <w:tcW w:w="3980" w:type="pct"/>
            <w:vAlign w:val="center"/>
          </w:tcPr>
          <w:p>
            <w:pPr>
              <w:adjustRightInd w:val="0"/>
              <w:snapToGrid w:val="0"/>
              <w:spacing w:line="360" w:lineRule="auto"/>
              <w:rPr>
                <w:rFonts w:ascii="宋体" w:hAnsi="宋体" w:cs="宋体"/>
                <w:color w:val="FF0000"/>
                <w:sz w:val="24"/>
                <w:szCs w:val="24"/>
              </w:rPr>
            </w:pPr>
            <w:r>
              <w:rPr>
                <w:rFonts w:hint="eastAsia" w:ascii="宋体" w:hAnsi="宋体" w:cs="宋体"/>
                <w:color w:val="000000" w:themeColor="text1"/>
                <w:sz w:val="24"/>
                <w:szCs w:val="24"/>
                <w14:textFill>
                  <w14:solidFill>
                    <w14:schemeClr w14:val="tx1"/>
                  </w14:solidFill>
                </w14:textFill>
              </w:rPr>
              <w:t>2022年</w:t>
            </w:r>
            <w:r>
              <w:rPr>
                <w:rFonts w:hint="eastAsia" w:ascii="宋体" w:hAnsi="宋体" w:cs="宋体"/>
                <w:color w:val="000000" w:themeColor="text1"/>
                <w:sz w:val="24"/>
                <w:szCs w:val="24"/>
                <w:highlight w:val="none"/>
                <w14:textFill>
                  <w14:solidFill>
                    <w14:schemeClr w14:val="tx1"/>
                  </w14:solidFill>
                </w14:textFill>
              </w:rPr>
              <w:t>6月</w:t>
            </w:r>
            <w:r>
              <w:rPr>
                <w:rFonts w:hint="eastAsia" w:ascii="宋体" w:hAnsi="宋体" w:cs="宋体"/>
                <w:color w:val="000000" w:themeColor="text1"/>
                <w:sz w:val="24"/>
                <w:szCs w:val="24"/>
                <w:highlight w:val="none"/>
                <w:lang w:val="en-US" w:eastAsia="zh-CN"/>
                <w14:textFill>
                  <w14:solidFill>
                    <w14:schemeClr w14:val="tx1"/>
                  </w14:solidFill>
                </w14:textFill>
              </w:rPr>
              <w:t>27</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14:textFill>
                  <w14:solidFill>
                    <w14:schemeClr w14:val="tx1"/>
                  </w14:solidFill>
                </w14:textFill>
              </w:rPr>
              <w:t>16时00分（北京时间）（如有变动另行通知）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359"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20</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投标</w:t>
            </w:r>
          </w:p>
          <w:p>
            <w:pPr>
              <w:adjustRightInd w:val="0"/>
              <w:snapToGrid w:val="0"/>
              <w:spacing w:line="360" w:lineRule="auto"/>
              <w:jc w:val="center"/>
              <w:rPr>
                <w:rFonts w:ascii="宋体" w:hAnsi="宋体" w:cs="宋体"/>
                <w:sz w:val="24"/>
                <w:szCs w:val="24"/>
              </w:rPr>
            </w:pPr>
            <w:r>
              <w:rPr>
                <w:rFonts w:hint="eastAsia" w:ascii="宋体" w:hAnsi="宋体" w:cs="宋体"/>
                <w:sz w:val="24"/>
                <w:szCs w:val="24"/>
              </w:rPr>
              <w:t>有效期</w:t>
            </w:r>
          </w:p>
        </w:tc>
        <w:tc>
          <w:tcPr>
            <w:tcW w:w="3980"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59"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21</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响应文件递交及开标地点</w:t>
            </w:r>
          </w:p>
        </w:tc>
        <w:tc>
          <w:tcPr>
            <w:tcW w:w="3980"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新疆乌鲁木齐市水磨沟区立井街198号丽景中央城9号楼（全季酒店）五层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59" w:type="pct"/>
            <w:tcBorders>
              <w:top w:val="single" w:color="auto" w:sz="4" w:space="0"/>
              <w:bottom w:val="single" w:color="auto" w:sz="4" w:space="0"/>
            </w:tcBorders>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22</w:t>
            </w:r>
          </w:p>
        </w:tc>
        <w:tc>
          <w:tcPr>
            <w:tcW w:w="660" w:type="pct"/>
            <w:tcBorders>
              <w:top w:val="single" w:color="auto" w:sz="4" w:space="0"/>
              <w:bottom w:val="single" w:color="auto" w:sz="4" w:space="0"/>
            </w:tcBorders>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响应文件密封</w:t>
            </w:r>
          </w:p>
        </w:tc>
        <w:tc>
          <w:tcPr>
            <w:tcW w:w="3980" w:type="pct"/>
            <w:tcBorders>
              <w:top w:val="single" w:color="auto" w:sz="4" w:space="0"/>
              <w:bottom w:val="single" w:color="auto" w:sz="4" w:space="0"/>
            </w:tcBorders>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1.投标人须按竞争性磋商文件的规定制作响应文件，正、副本可以密封在同一文件袋中。密封袋封口处加盖单位公章，并注明“开标时启封”字样。</w:t>
            </w:r>
          </w:p>
          <w:p>
            <w:pPr>
              <w:adjustRightInd w:val="0"/>
              <w:snapToGrid w:val="0"/>
              <w:spacing w:line="360" w:lineRule="auto"/>
            </w:pPr>
            <w:r>
              <w:rPr>
                <w:rFonts w:hint="eastAsia" w:ascii="宋体" w:hAnsi="宋体" w:cs="宋体"/>
                <w:sz w:val="24"/>
                <w:szCs w:val="24"/>
              </w:rPr>
              <w:t>2. 投标人须制作“报价表”，并单独密封提交，并在信封上标明“报价表”的字样。</w:t>
            </w:r>
          </w:p>
          <w:p>
            <w:pPr>
              <w:adjustRightInd w:val="0"/>
              <w:snapToGrid w:val="0"/>
              <w:spacing w:line="360" w:lineRule="auto"/>
              <w:rPr>
                <w:rFonts w:ascii="宋体" w:hAnsi="宋体" w:cs="宋体"/>
                <w:sz w:val="24"/>
                <w:szCs w:val="24"/>
              </w:rPr>
            </w:pPr>
            <w:r>
              <w:rPr>
                <w:rFonts w:hint="eastAsia" w:ascii="宋体" w:hAnsi="宋体" w:cs="宋体"/>
                <w:sz w:val="24"/>
                <w:szCs w:val="24"/>
              </w:rPr>
              <w:t>3.响应文件袋和《报价表》袋上可写明：</w:t>
            </w:r>
          </w:p>
          <w:p>
            <w:pPr>
              <w:adjustRightInd w:val="0"/>
              <w:snapToGrid w:val="0"/>
              <w:spacing w:line="360" w:lineRule="auto"/>
              <w:rPr>
                <w:rFonts w:ascii="宋体" w:hAnsi="宋体" w:cs="宋体"/>
                <w:sz w:val="24"/>
                <w:szCs w:val="24"/>
              </w:rPr>
            </w:pPr>
            <w:r>
              <w:rPr>
                <w:rFonts w:hint="eastAsia" w:ascii="宋体" w:hAnsi="宋体" w:cs="宋体"/>
                <w:sz w:val="24"/>
                <w:szCs w:val="24"/>
              </w:rPr>
              <w:t>项目名称：</w:t>
            </w:r>
          </w:p>
          <w:p>
            <w:pPr>
              <w:adjustRightInd w:val="0"/>
              <w:snapToGrid w:val="0"/>
              <w:spacing w:line="360" w:lineRule="auto"/>
              <w:rPr>
                <w:rFonts w:ascii="宋体" w:hAnsi="宋体" w:cs="宋体"/>
                <w:sz w:val="24"/>
                <w:szCs w:val="24"/>
              </w:rPr>
            </w:pPr>
            <w:r>
              <w:rPr>
                <w:rFonts w:hint="eastAsia" w:ascii="宋体" w:hAnsi="宋体" w:cs="宋体"/>
                <w:sz w:val="24"/>
                <w:szCs w:val="24"/>
              </w:rPr>
              <w:t>项目编号：</w:t>
            </w:r>
          </w:p>
          <w:p>
            <w:pPr>
              <w:adjustRightInd w:val="0"/>
              <w:snapToGrid w:val="0"/>
              <w:spacing w:line="360" w:lineRule="auto"/>
              <w:rPr>
                <w:rFonts w:ascii="宋体" w:hAnsi="宋体" w:cs="宋体"/>
                <w:sz w:val="24"/>
                <w:szCs w:val="24"/>
              </w:rPr>
            </w:pPr>
            <w:r>
              <w:rPr>
                <w:rFonts w:hint="eastAsia" w:ascii="宋体" w:hAnsi="宋体" w:cs="宋体"/>
                <w:sz w:val="24"/>
                <w:szCs w:val="24"/>
              </w:rPr>
              <w:t>招标单位：</w:t>
            </w:r>
          </w:p>
          <w:p>
            <w:pPr>
              <w:adjustRightInd w:val="0"/>
              <w:snapToGrid w:val="0"/>
              <w:spacing w:line="360" w:lineRule="auto"/>
              <w:rPr>
                <w:rFonts w:ascii="宋体" w:hAnsi="宋体" w:cs="宋体"/>
                <w:sz w:val="24"/>
                <w:szCs w:val="24"/>
              </w:rPr>
            </w:pPr>
            <w:r>
              <w:rPr>
                <w:rFonts w:hint="eastAsia" w:ascii="宋体" w:hAnsi="宋体" w:cs="宋体"/>
                <w:sz w:val="24"/>
                <w:szCs w:val="24"/>
              </w:rPr>
              <w:t>投标单位名称：                    （公章）</w:t>
            </w:r>
          </w:p>
          <w:p>
            <w:pPr>
              <w:adjustRightInd w:val="0"/>
              <w:snapToGrid w:val="0"/>
              <w:spacing w:line="360" w:lineRule="auto"/>
              <w:rPr>
                <w:rFonts w:ascii="宋体" w:hAnsi="宋体" w:cs="宋体"/>
                <w:sz w:val="24"/>
                <w:szCs w:val="24"/>
              </w:rPr>
            </w:pPr>
            <w:r>
              <w:rPr>
                <w:rFonts w:hint="eastAsia" w:ascii="宋体" w:hAnsi="宋体" w:cs="宋体"/>
                <w:sz w:val="24"/>
                <w:szCs w:val="24"/>
              </w:rPr>
              <w:t>投标单位地址：</w:t>
            </w:r>
          </w:p>
          <w:p>
            <w:pPr>
              <w:adjustRightInd w:val="0"/>
              <w:snapToGrid w:val="0"/>
              <w:spacing w:line="36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 xml:space="preserve">                         </w:t>
            </w:r>
            <w:r>
              <w:rPr>
                <w:rFonts w:hint="eastAsia" w:ascii="宋体" w:hAnsi="宋体" w:cs="宋体"/>
                <w:sz w:val="24"/>
                <w:szCs w:val="24"/>
              </w:rPr>
              <w:t>联系电话：</w:t>
            </w:r>
          </w:p>
          <w:p>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r>
              <w:rPr>
                <w:rFonts w:hint="eastAsia" w:ascii="宋体" w:hAnsi="宋体" w:cs="宋体"/>
                <w:sz w:val="24"/>
                <w:szCs w:val="24"/>
                <w:lang w:val="en-US" w:eastAsia="zh-CN"/>
              </w:rPr>
              <w:t xml:space="preserve">    </w:t>
            </w:r>
            <w:r>
              <w:rPr>
                <w:rFonts w:hint="eastAsia" w:ascii="宋体" w:hAnsi="宋体" w:cs="宋体"/>
                <w:sz w:val="24"/>
                <w:szCs w:val="24"/>
              </w:rPr>
              <w:t>时（即开标时间）前不得开封。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359"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23</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招标</w:t>
            </w:r>
          </w:p>
          <w:p>
            <w:pPr>
              <w:adjustRightInd w:val="0"/>
              <w:snapToGrid w:val="0"/>
              <w:spacing w:line="360" w:lineRule="auto"/>
              <w:jc w:val="center"/>
              <w:rPr>
                <w:rFonts w:ascii="宋体" w:hAnsi="宋体" w:cs="宋体"/>
                <w:sz w:val="24"/>
                <w:szCs w:val="24"/>
              </w:rPr>
            </w:pPr>
            <w:r>
              <w:rPr>
                <w:rFonts w:hint="eastAsia" w:ascii="宋体" w:hAnsi="宋体" w:cs="宋体"/>
                <w:sz w:val="24"/>
                <w:szCs w:val="24"/>
              </w:rPr>
              <w:t>代理服务费</w:t>
            </w:r>
          </w:p>
        </w:tc>
        <w:tc>
          <w:tcPr>
            <w:tcW w:w="3980" w:type="pct"/>
            <w:vAlign w:val="center"/>
          </w:tcPr>
          <w:p>
            <w:pPr>
              <w:pStyle w:val="10"/>
              <w:spacing w:line="360" w:lineRule="auto"/>
              <w:rPr>
                <w:sz w:val="24"/>
                <w:szCs w:val="24"/>
              </w:rPr>
            </w:pPr>
            <w:r>
              <w:rPr>
                <w:rFonts w:hint="eastAsia"/>
                <w:sz w:val="24"/>
                <w:szCs w:val="24"/>
              </w:rPr>
              <w:t>采购人委托了专业的采购代理机构实施本次招标工作。采购代理服务费的计算执行国家计委计价格[2002]1980号、《国家发展改革委办公厅关于招标代理服务收费有关问题的通知》发改办价格[2003]857号通知规定、国家发展改革委办公厅关于招标代理服务收费有关问题的通知（ 发改价格[2011]534号）文件的规定，</w:t>
            </w:r>
            <w:r>
              <w:rPr>
                <w:rFonts w:hint="eastAsia"/>
                <w:color w:val="000000" w:themeColor="text1"/>
                <w:sz w:val="24"/>
                <w:szCs w:val="24"/>
                <w14:textFill>
                  <w14:solidFill>
                    <w14:schemeClr w14:val="tx1"/>
                  </w14:solidFill>
                </w14:textFill>
              </w:rPr>
              <w:t>招标代理服务费下浮20%收取。</w:t>
            </w:r>
          </w:p>
          <w:p>
            <w:pPr>
              <w:pStyle w:val="10"/>
              <w:spacing w:line="360" w:lineRule="auto"/>
              <w:rPr>
                <w:sz w:val="24"/>
                <w:szCs w:val="24"/>
              </w:rPr>
            </w:pPr>
            <w:r>
              <w:rPr>
                <w:rFonts w:hint="eastAsia"/>
                <w:sz w:val="24"/>
                <w:szCs w:val="24"/>
              </w:rPr>
              <w:t>采购代理费按国家现行收费标准计取，详见本磋商文件附件资料一。</w:t>
            </w:r>
          </w:p>
          <w:p>
            <w:pPr>
              <w:adjustRightInd w:val="0"/>
              <w:snapToGrid w:val="0"/>
              <w:spacing w:line="360" w:lineRule="auto"/>
              <w:rPr>
                <w:rFonts w:ascii="宋体" w:hAnsi="宋体" w:cs="宋体"/>
                <w:sz w:val="24"/>
                <w:szCs w:val="24"/>
              </w:rPr>
            </w:pPr>
            <w:r>
              <w:rPr>
                <w:rFonts w:hint="eastAsia" w:hAnsi="宋体"/>
                <w:sz w:val="24"/>
                <w:szCs w:val="24"/>
              </w:rPr>
              <w:t>根据上述文件的规定，本次招标代理服务费由成交单位支付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atLeast"/>
          <w:jc w:val="center"/>
        </w:trPr>
        <w:tc>
          <w:tcPr>
            <w:tcW w:w="359" w:type="pct"/>
            <w:tcBorders>
              <w:top w:val="single" w:color="auto" w:sz="4" w:space="0"/>
            </w:tcBorders>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24</w:t>
            </w:r>
          </w:p>
        </w:tc>
        <w:tc>
          <w:tcPr>
            <w:tcW w:w="660" w:type="pct"/>
            <w:tcBorders>
              <w:top w:val="single" w:color="auto" w:sz="4" w:space="0"/>
              <w:bottom w:val="single" w:color="auto" w:sz="4" w:space="0"/>
            </w:tcBorders>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付款</w:t>
            </w:r>
          </w:p>
          <w:p>
            <w:pPr>
              <w:adjustRightInd w:val="0"/>
              <w:snapToGrid w:val="0"/>
              <w:spacing w:line="360" w:lineRule="auto"/>
              <w:jc w:val="center"/>
              <w:rPr>
                <w:rFonts w:ascii="宋体" w:hAnsi="宋体" w:cs="宋体"/>
                <w:sz w:val="24"/>
                <w:szCs w:val="24"/>
              </w:rPr>
            </w:pPr>
            <w:r>
              <w:rPr>
                <w:rFonts w:hint="eastAsia" w:ascii="宋体" w:hAnsi="宋体" w:cs="宋体"/>
                <w:sz w:val="24"/>
                <w:szCs w:val="24"/>
              </w:rPr>
              <w:t>方式及币种</w:t>
            </w:r>
          </w:p>
        </w:tc>
        <w:tc>
          <w:tcPr>
            <w:tcW w:w="3980" w:type="pct"/>
            <w:tcBorders>
              <w:top w:val="single" w:color="auto" w:sz="4" w:space="0"/>
            </w:tcBorders>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1.付款币种</w:t>
            </w:r>
          </w:p>
          <w:p>
            <w:pPr>
              <w:adjustRightInd w:val="0"/>
              <w:snapToGrid w:val="0"/>
              <w:spacing w:line="360" w:lineRule="auto"/>
              <w:rPr>
                <w:rFonts w:ascii="宋体" w:hAnsi="宋体" w:cs="宋体"/>
                <w:sz w:val="24"/>
                <w:szCs w:val="24"/>
              </w:rPr>
            </w:pPr>
            <w:r>
              <w:rPr>
                <w:rFonts w:hint="eastAsia" w:ascii="宋体" w:hAnsi="宋体" w:cs="宋体"/>
                <w:sz w:val="24"/>
                <w:szCs w:val="24"/>
              </w:rPr>
              <w:t>本次招标所述的项目资金均以人民币支付。</w:t>
            </w:r>
          </w:p>
          <w:p>
            <w:pPr>
              <w:adjustRightInd w:val="0"/>
              <w:snapToGrid w:val="0"/>
              <w:spacing w:line="360" w:lineRule="auto"/>
              <w:rPr>
                <w:rFonts w:ascii="宋体" w:hAnsi="宋体" w:cs="宋体"/>
                <w:sz w:val="24"/>
                <w:szCs w:val="24"/>
              </w:rPr>
            </w:pPr>
            <w:r>
              <w:rPr>
                <w:rFonts w:hint="eastAsia" w:ascii="宋体" w:hAnsi="宋体" w:cs="宋体"/>
                <w:sz w:val="24"/>
                <w:szCs w:val="24"/>
              </w:rPr>
              <w:t>2.付款方式：</w:t>
            </w:r>
          </w:p>
          <w:p>
            <w:pPr>
              <w:adjustRightInd w:val="0"/>
              <w:snapToGrid w:val="0"/>
              <w:spacing w:line="360" w:lineRule="auto"/>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以与业主签订的合同为准。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jc w:val="center"/>
        </w:trPr>
        <w:tc>
          <w:tcPr>
            <w:tcW w:w="359"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25</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交货</w:t>
            </w:r>
          </w:p>
          <w:p>
            <w:pPr>
              <w:adjustRightInd w:val="0"/>
              <w:snapToGrid w:val="0"/>
              <w:spacing w:line="360" w:lineRule="auto"/>
              <w:jc w:val="center"/>
              <w:rPr>
                <w:rFonts w:ascii="宋体" w:hAnsi="宋体" w:cs="宋体"/>
                <w:sz w:val="24"/>
                <w:szCs w:val="24"/>
              </w:rPr>
            </w:pPr>
            <w:r>
              <w:rPr>
                <w:rFonts w:hint="eastAsia" w:ascii="宋体" w:hAnsi="宋体" w:cs="宋体"/>
                <w:sz w:val="24"/>
                <w:szCs w:val="24"/>
              </w:rPr>
              <w:t>地点</w:t>
            </w:r>
          </w:p>
        </w:tc>
        <w:tc>
          <w:tcPr>
            <w:tcW w:w="3980"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按甲方指定地点交货、验收。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54" w:hRule="atLeast"/>
          <w:jc w:val="center"/>
        </w:trPr>
        <w:tc>
          <w:tcPr>
            <w:tcW w:w="359"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26</w:t>
            </w:r>
          </w:p>
        </w:tc>
        <w:tc>
          <w:tcPr>
            <w:tcW w:w="660" w:type="pct"/>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其他</w:t>
            </w:r>
          </w:p>
          <w:p>
            <w:pPr>
              <w:adjustRightInd w:val="0"/>
              <w:snapToGrid w:val="0"/>
              <w:spacing w:line="360" w:lineRule="auto"/>
              <w:jc w:val="center"/>
              <w:rPr>
                <w:rFonts w:ascii="宋体" w:hAnsi="宋体" w:cs="宋体"/>
                <w:sz w:val="24"/>
                <w:szCs w:val="24"/>
              </w:rPr>
            </w:pPr>
            <w:r>
              <w:rPr>
                <w:rFonts w:hint="eastAsia" w:ascii="宋体" w:hAnsi="宋体" w:cs="宋体"/>
                <w:sz w:val="24"/>
                <w:szCs w:val="24"/>
              </w:rPr>
              <w:t>说明</w:t>
            </w:r>
          </w:p>
        </w:tc>
        <w:tc>
          <w:tcPr>
            <w:tcW w:w="3980" w:type="pct"/>
            <w:vAlign w:val="center"/>
          </w:tcPr>
          <w:p>
            <w:pPr>
              <w:adjustRightInd w:val="0"/>
              <w:snapToGrid w:val="0"/>
              <w:spacing w:line="360" w:lineRule="auto"/>
              <w:rPr>
                <w:rFonts w:ascii="宋体" w:hAnsi="宋体" w:cs="宋体"/>
                <w:sz w:val="24"/>
                <w:szCs w:val="24"/>
              </w:rPr>
            </w:pPr>
            <w:r>
              <w:rPr>
                <w:rFonts w:hint="eastAsia" w:ascii="宋体" w:hAnsi="宋体" w:cs="宋体"/>
                <w:b/>
                <w:bCs/>
                <w:sz w:val="24"/>
                <w:szCs w:val="24"/>
              </w:rPr>
              <w:t>1.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359" w:type="pct"/>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27</w:t>
            </w:r>
          </w:p>
        </w:tc>
        <w:tc>
          <w:tcPr>
            <w:tcW w:w="4640" w:type="pct"/>
            <w:gridSpan w:val="2"/>
            <w:vAlign w:val="center"/>
          </w:tcPr>
          <w:p>
            <w:pPr>
              <w:pStyle w:val="10"/>
              <w:rPr>
                <w:sz w:val="24"/>
                <w:szCs w:val="24"/>
              </w:rPr>
            </w:pPr>
            <w:r>
              <w:rPr>
                <w:rFonts w:hint="eastAsia"/>
                <w:sz w:val="24"/>
                <w:szCs w:val="24"/>
              </w:rPr>
              <w:t>政府政策：</w:t>
            </w:r>
          </w:p>
          <w:p>
            <w:pPr>
              <w:pStyle w:val="10"/>
              <w:rPr>
                <w:sz w:val="24"/>
                <w:szCs w:val="24"/>
              </w:rPr>
            </w:pPr>
            <w:r>
              <w:rPr>
                <w:rFonts w:hint="eastAsia"/>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0"/>
              <w:rPr>
                <w:sz w:val="24"/>
                <w:szCs w:val="24"/>
              </w:rPr>
            </w:pPr>
            <w:r>
              <w:rPr>
                <w:rFonts w:hint="eastAsia"/>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0"/>
              <w:rPr>
                <w:sz w:val="24"/>
                <w:szCs w:val="24"/>
              </w:rPr>
            </w:pPr>
            <w:r>
              <w:rPr>
                <w:rFonts w:hint="eastAsia"/>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0"/>
              <w:rPr>
                <w:sz w:val="24"/>
                <w:szCs w:val="24"/>
              </w:rPr>
            </w:pPr>
            <w:r>
              <w:rPr>
                <w:rFonts w:hint="eastAsia"/>
                <w:sz w:val="24"/>
                <w:szCs w:val="24"/>
              </w:rPr>
              <w:t>（1）本项目为非专门面向中小企业（含中型、小型、微型企业）采购项目，根据《政府采购促进中小企业发展管理办法》（财库[2020]46号）的规定，评标时将给予此类企业进行价格优惠，监狱企业、残疾人福利性单位视同为小微企业，用优惠后的价格参与评审。供应商为中小企业的，需提供下列证明文件：</w:t>
            </w:r>
          </w:p>
          <w:p>
            <w:pPr>
              <w:pStyle w:val="10"/>
              <w:rPr>
                <w:sz w:val="24"/>
                <w:szCs w:val="24"/>
              </w:rPr>
            </w:pPr>
            <w:r>
              <w:rPr>
                <w:rFonts w:hint="eastAsia"/>
                <w:sz w:val="24"/>
                <w:szCs w:val="24"/>
              </w:rPr>
              <w:t>①、《中小企业声明函》；</w:t>
            </w:r>
          </w:p>
          <w:p>
            <w:pPr>
              <w:pStyle w:val="10"/>
              <w:rPr>
                <w:sz w:val="24"/>
                <w:szCs w:val="24"/>
              </w:rPr>
            </w:pPr>
            <w:r>
              <w:rPr>
                <w:rFonts w:hint="eastAsia"/>
                <w:sz w:val="24"/>
                <w:szCs w:val="24"/>
              </w:rPr>
              <w:t>（2）在政府采购活动中，供应商提供的货物、工程或者服务符合下列情形的，享受本办法规定的中小企业扶持政策：（一）在货物采购项目中，货物由中小企业制造，即货 物由中小企业生产且使用该中小企业商号或者注册商标； （二）在工程采购项目中，工程由中小企业承建，即工程施工单位为中小企业； （三）在服务采购项目中，服务由中小企业承接，即提供服务的人员为中小企业依照《中华人民共和国劳动合同法》 订立劳动合同的从业人员。</w:t>
            </w:r>
          </w:p>
          <w:p>
            <w:pPr>
              <w:pStyle w:val="10"/>
              <w:rPr>
                <w:sz w:val="24"/>
                <w:szCs w:val="24"/>
              </w:rPr>
            </w:pPr>
            <w:r>
              <w:rPr>
                <w:rFonts w:hint="eastAsia"/>
                <w:sz w:val="24"/>
                <w:szCs w:val="24"/>
              </w:rPr>
              <w:t>（3）在货物采购项目中，供应商提供的货物既有中小企业制造货物，也有大型企业制造货物的，不享受本办法规定的中小企业扶持政策。 以联合体形式参加政府采购活动，联合体各方均为中小企业的，联合体视同中小企业。其中，联合体各方均为小微企业的，联合体视同小微企业。</w:t>
            </w:r>
          </w:p>
          <w:p>
            <w:pPr>
              <w:pStyle w:val="10"/>
              <w:rPr>
                <w:sz w:val="24"/>
                <w:szCs w:val="24"/>
              </w:rPr>
            </w:pPr>
            <w:r>
              <w:rPr>
                <w:rFonts w:hint="eastAsia"/>
                <w:sz w:val="24"/>
                <w:szCs w:val="24"/>
              </w:rPr>
              <w:t>（4）本项目采购标的对应的中小微企业划分标准所属行业为工业。</w:t>
            </w:r>
          </w:p>
          <w:p>
            <w:pPr>
              <w:pStyle w:val="10"/>
              <w:rPr>
                <w:sz w:val="24"/>
                <w:szCs w:val="24"/>
              </w:rPr>
            </w:pPr>
            <w:r>
              <w:rPr>
                <w:rFonts w:hint="eastAsia"/>
                <w:sz w:val="24"/>
                <w:szCs w:val="24"/>
              </w:rPr>
              <w:t>（5）提供节能环保产品的企业，针对节能环保的产品进行价格3%的优惠。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359" w:type="pct"/>
            <w:vAlign w:val="center"/>
          </w:tcPr>
          <w:p>
            <w:pPr>
              <w:adjustRightInd w:val="0"/>
              <w:snapToGrid w:val="0"/>
              <w:spacing w:line="360" w:lineRule="auto"/>
              <w:rPr>
                <w:rFonts w:ascii="宋体" w:hAnsi="宋体" w:cs="宋体"/>
                <w:b/>
                <w:bCs/>
                <w:sz w:val="24"/>
                <w:szCs w:val="24"/>
              </w:rPr>
            </w:pPr>
            <w:r>
              <w:rPr>
                <w:rFonts w:hint="eastAsia" w:ascii="宋体" w:hAnsi="宋体" w:cs="宋体"/>
                <w:b/>
                <w:bCs/>
                <w:sz w:val="24"/>
                <w:szCs w:val="24"/>
              </w:rPr>
              <w:t>开标现场须查验的证件</w:t>
            </w:r>
          </w:p>
        </w:tc>
        <w:tc>
          <w:tcPr>
            <w:tcW w:w="4640" w:type="pct"/>
            <w:gridSpan w:val="2"/>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（1）投标企业有效的法人营业执照正（副）复印件加盖公章；</w:t>
            </w:r>
          </w:p>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法定代表人授权委托书原件、被授权人身份证原件、加盖公章的被授权人身份证复印件；（法定代表人到场参与投标的，须提供法定代表人身份证明原件、法定代表人身份证原件、加盖公章的法定代表人身份证复印件）；</w:t>
            </w:r>
          </w:p>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（3）磋商保证金收据原件或汇款凭证。</w:t>
            </w:r>
          </w:p>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说明：</w:t>
            </w:r>
          </w:p>
          <w:p>
            <w:pPr>
              <w:rPr>
                <w:rFonts w:ascii="宋体" w:hAnsi="宋体" w:cs="宋体"/>
                <w:b/>
                <w:bCs/>
                <w:sz w:val="24"/>
                <w:szCs w:val="24"/>
              </w:rPr>
            </w:pPr>
            <w:r>
              <w:rPr>
                <w:rFonts w:hint="eastAsia" w:asciiTheme="minorEastAsia" w:hAnsiTheme="minorEastAsia" w:eastAsiaTheme="minorEastAsia" w:cstheme="minorEastAsia"/>
                <w:b/>
                <w:bCs/>
                <w:sz w:val="24"/>
                <w:szCs w:val="24"/>
              </w:rPr>
              <w:t>上述第（1）-（3）项为投标时资格审查的必备条件，投标人必须按要求现场单独提交，如果提供不全或密封在响应文件里，则视为对竞争性磋商文件资格审查内容的不响应，投标将被拒绝。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8" w:hRule="atLeast"/>
          <w:jc w:val="center"/>
        </w:trPr>
        <w:tc>
          <w:tcPr>
            <w:tcW w:w="359" w:type="pct"/>
            <w:vAlign w:val="center"/>
          </w:tcPr>
          <w:p>
            <w:pPr>
              <w:adjustRightInd w:val="0"/>
              <w:snapToGrid w:val="0"/>
              <w:spacing w:line="360" w:lineRule="auto"/>
              <w:rPr>
                <w:rFonts w:ascii="宋体" w:hAnsi="宋体" w:cs="宋体"/>
                <w:b/>
                <w:bCs/>
                <w:sz w:val="24"/>
                <w:szCs w:val="24"/>
              </w:rPr>
            </w:pPr>
            <w:r>
              <w:rPr>
                <w:rFonts w:hint="eastAsia" w:ascii="宋体" w:hAnsi="宋体" w:cs="宋体"/>
                <w:b/>
                <w:bCs/>
                <w:sz w:val="24"/>
                <w:szCs w:val="24"/>
              </w:rPr>
              <w:t>备注</w:t>
            </w:r>
          </w:p>
        </w:tc>
        <w:tc>
          <w:tcPr>
            <w:tcW w:w="4640" w:type="pct"/>
            <w:gridSpan w:val="2"/>
            <w:vAlign w:val="center"/>
          </w:tcPr>
          <w:p>
            <w:pPr>
              <w:adjustRightInd w:val="0"/>
              <w:snapToGrid w:val="0"/>
              <w:spacing w:line="360" w:lineRule="auto"/>
              <w:rPr>
                <w:rFonts w:ascii="宋体" w:hAnsi="宋体" w:cs="宋体"/>
                <w:b/>
                <w:bCs/>
                <w:sz w:val="24"/>
                <w:szCs w:val="24"/>
              </w:rPr>
            </w:pPr>
            <w:r>
              <w:rPr>
                <w:rFonts w:hint="eastAsia" w:ascii="宋体" w:hAnsi="宋体" w:cs="宋体"/>
                <w:b/>
                <w:bCs/>
                <w:sz w:val="24"/>
                <w:szCs w:val="24"/>
              </w:rPr>
              <w:t>响应文件中部分加“*”、加粗、加下划线、废标、无效标、投标被拒绝字样的条款，为招标的实质性要求和条件，着重提醒各投标人注意，并认真查看响应文件中的每一个条款及要求，因误读响应文件而造成的后果，招标人概不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16" w:hRule="atLeast"/>
          <w:jc w:val="center"/>
        </w:trPr>
        <w:tc>
          <w:tcPr>
            <w:tcW w:w="5000" w:type="pct"/>
            <w:gridSpan w:val="3"/>
            <w:vAlign w:val="center"/>
          </w:tcPr>
          <w:p>
            <w:pPr>
              <w:adjustRightInd w:val="0"/>
              <w:snapToGrid w:val="0"/>
              <w:spacing w:line="360" w:lineRule="auto"/>
              <w:rPr>
                <w:rFonts w:ascii="宋体" w:hAnsi="宋体" w:cs="宋体"/>
                <w:b/>
                <w:bCs/>
                <w:sz w:val="24"/>
                <w:szCs w:val="24"/>
              </w:rPr>
            </w:pPr>
            <w:r>
              <w:rPr>
                <w:rFonts w:hint="eastAsia" w:ascii="宋体" w:hAnsi="宋体" w:cs="宋体"/>
                <w:b/>
                <w:bCs/>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adjustRightInd w:val="0"/>
        <w:snapToGrid w:val="0"/>
        <w:spacing w:line="460" w:lineRule="exact"/>
        <w:rPr>
          <w:rFonts w:ascii="宋体" w:hAnsi="宋体" w:cs="宋体"/>
          <w:sz w:val="24"/>
          <w:szCs w:val="24"/>
        </w:rPr>
      </w:pPr>
      <w:r>
        <w:rPr>
          <w:rFonts w:hint="eastAsia" w:ascii="宋体" w:hAnsi="宋体" w:cs="宋体"/>
          <w:sz w:val="24"/>
          <w:szCs w:val="24"/>
        </w:rPr>
        <w:br w:type="page"/>
      </w:r>
    </w:p>
    <w:p>
      <w:pPr>
        <w:pStyle w:val="4"/>
        <w:spacing w:line="240" w:lineRule="auto"/>
      </w:pPr>
      <w:bookmarkStart w:id="31" w:name="_Toc22082"/>
      <w:bookmarkStart w:id="32" w:name="_Toc32748"/>
      <w:bookmarkStart w:id="33" w:name="_Toc25916"/>
      <w:r>
        <w:rPr>
          <w:rFonts w:hint="eastAsia"/>
        </w:rPr>
        <w:t xml:space="preserve">第一章  </w:t>
      </w:r>
      <w:bookmarkEnd w:id="31"/>
      <w:bookmarkEnd w:id="32"/>
      <w:r>
        <w:rPr>
          <w:rFonts w:hint="eastAsia"/>
        </w:rPr>
        <w:t>投标人须知</w:t>
      </w:r>
      <w:bookmarkEnd w:id="33"/>
    </w:p>
    <w:p>
      <w:pPr>
        <w:rPr>
          <w:b/>
          <w:bCs/>
          <w:sz w:val="24"/>
          <w:szCs w:val="24"/>
        </w:rPr>
      </w:pPr>
      <w:r>
        <w:rPr>
          <w:rFonts w:hint="eastAsia"/>
          <w:b/>
          <w:bCs/>
          <w:sz w:val="24"/>
          <w:szCs w:val="24"/>
        </w:rPr>
        <w:t>1. 适用范围</w:t>
      </w:r>
    </w:p>
    <w:p>
      <w:pPr>
        <w:adjustRightInd w:val="0"/>
        <w:snapToGrid w:val="0"/>
        <w:spacing w:line="460" w:lineRule="exact"/>
        <w:rPr>
          <w:rFonts w:ascii="宋体" w:hAnsi="宋体" w:cs="宋体"/>
          <w:sz w:val="24"/>
          <w:szCs w:val="24"/>
        </w:rPr>
      </w:pPr>
      <w:r>
        <w:rPr>
          <w:rFonts w:hint="eastAsia" w:ascii="宋体" w:hAnsi="宋体" w:cs="宋体"/>
          <w:sz w:val="24"/>
          <w:szCs w:val="24"/>
        </w:rPr>
        <w:t>1.1  本响应文件仅适用于新疆融盛源工程项目管理有限公司的本次招标活动。</w:t>
      </w:r>
    </w:p>
    <w:p>
      <w:pPr>
        <w:rPr>
          <w:b/>
          <w:bCs/>
          <w:sz w:val="24"/>
          <w:szCs w:val="24"/>
        </w:rPr>
      </w:pPr>
    </w:p>
    <w:p>
      <w:pPr>
        <w:rPr>
          <w:b/>
          <w:bCs/>
          <w:sz w:val="24"/>
          <w:szCs w:val="24"/>
        </w:rPr>
      </w:pPr>
      <w:r>
        <w:rPr>
          <w:rFonts w:hint="eastAsia"/>
          <w:b/>
          <w:bCs/>
          <w:sz w:val="24"/>
          <w:szCs w:val="24"/>
        </w:rPr>
        <w:t>2.投标资格</w:t>
      </w:r>
    </w:p>
    <w:p>
      <w:pPr>
        <w:adjustRightInd w:val="0"/>
        <w:snapToGrid w:val="0"/>
        <w:spacing w:line="460" w:lineRule="exact"/>
        <w:rPr>
          <w:rFonts w:ascii="宋体" w:hAnsi="宋体" w:cs="宋体"/>
          <w:sz w:val="24"/>
          <w:szCs w:val="24"/>
        </w:rPr>
      </w:pPr>
      <w:r>
        <w:rPr>
          <w:rFonts w:hint="eastAsia" w:ascii="宋体" w:hAnsi="宋体" w:cs="宋体"/>
          <w:sz w:val="24"/>
          <w:szCs w:val="24"/>
        </w:rPr>
        <w:t>1、供应商应符合中华人民共和国政府采购法第二十二条中的相关规定；</w:t>
      </w:r>
    </w:p>
    <w:p>
      <w:pPr>
        <w:adjustRightInd w:val="0"/>
        <w:snapToGrid w:val="0"/>
        <w:spacing w:line="460" w:lineRule="exact"/>
        <w:rPr>
          <w:rFonts w:ascii="宋体" w:hAnsi="宋体" w:cs="宋体"/>
          <w:sz w:val="24"/>
          <w:szCs w:val="24"/>
        </w:rPr>
      </w:pPr>
      <w:r>
        <w:rPr>
          <w:rFonts w:hint="eastAsia" w:ascii="宋体" w:hAnsi="宋体" w:cs="宋体"/>
          <w:sz w:val="24"/>
          <w:szCs w:val="24"/>
        </w:rPr>
        <w:t>（1）具有独立承担民事责任的能力；</w:t>
      </w:r>
    </w:p>
    <w:p>
      <w:pPr>
        <w:adjustRightInd w:val="0"/>
        <w:snapToGrid w:val="0"/>
        <w:spacing w:line="460" w:lineRule="exact"/>
        <w:rPr>
          <w:rFonts w:ascii="宋体" w:hAnsi="宋体" w:cs="宋体"/>
          <w:sz w:val="24"/>
          <w:szCs w:val="24"/>
        </w:rPr>
      </w:pPr>
      <w:r>
        <w:rPr>
          <w:rFonts w:hint="eastAsia" w:ascii="宋体" w:hAnsi="宋体" w:cs="宋体"/>
          <w:sz w:val="24"/>
          <w:szCs w:val="24"/>
        </w:rPr>
        <w:t>（2）具有良好的商业信誉和健全的财务会计制度；</w:t>
      </w:r>
    </w:p>
    <w:p>
      <w:pPr>
        <w:adjustRightInd w:val="0"/>
        <w:snapToGrid w:val="0"/>
        <w:spacing w:line="460" w:lineRule="exact"/>
        <w:rPr>
          <w:rFonts w:ascii="宋体" w:hAnsi="宋体" w:cs="宋体"/>
          <w:sz w:val="24"/>
          <w:szCs w:val="24"/>
        </w:rPr>
      </w:pPr>
      <w:r>
        <w:rPr>
          <w:rFonts w:hint="eastAsia" w:ascii="宋体" w:hAnsi="宋体" w:cs="宋体"/>
          <w:sz w:val="24"/>
          <w:szCs w:val="24"/>
        </w:rPr>
        <w:t>（3）具有履行合同所必需的专业技术能力；</w:t>
      </w:r>
    </w:p>
    <w:p>
      <w:pPr>
        <w:adjustRightInd w:val="0"/>
        <w:snapToGrid w:val="0"/>
        <w:spacing w:line="460" w:lineRule="exact"/>
        <w:rPr>
          <w:rFonts w:ascii="宋体" w:hAnsi="宋体" w:cs="宋体"/>
          <w:sz w:val="24"/>
          <w:szCs w:val="24"/>
        </w:rPr>
      </w:pPr>
      <w:r>
        <w:rPr>
          <w:rFonts w:hint="eastAsia" w:ascii="宋体" w:hAnsi="宋体" w:cs="宋体"/>
          <w:sz w:val="24"/>
          <w:szCs w:val="24"/>
        </w:rPr>
        <w:t>（4）有依法缴纳税收和社会保障资金的良好纪录；</w:t>
      </w:r>
    </w:p>
    <w:p>
      <w:pPr>
        <w:adjustRightInd w:val="0"/>
        <w:snapToGrid w:val="0"/>
        <w:spacing w:line="460" w:lineRule="exact"/>
        <w:rPr>
          <w:rFonts w:ascii="宋体" w:hAnsi="宋体" w:cs="宋体"/>
          <w:sz w:val="24"/>
          <w:szCs w:val="24"/>
        </w:rPr>
      </w:pPr>
      <w:r>
        <w:rPr>
          <w:rFonts w:hint="eastAsia" w:ascii="宋体" w:hAnsi="宋体" w:cs="宋体"/>
          <w:sz w:val="24"/>
          <w:szCs w:val="24"/>
        </w:rPr>
        <w:t>（5）参加招标活动前三年内，在经营活动中没有重大违法记录(受行政主管部门的处罚不能参加投标)；</w:t>
      </w:r>
    </w:p>
    <w:p>
      <w:pPr>
        <w:adjustRightInd w:val="0"/>
        <w:snapToGrid w:val="0"/>
        <w:spacing w:line="460" w:lineRule="exact"/>
        <w:rPr>
          <w:rFonts w:ascii="宋体" w:hAnsi="宋体" w:cs="宋体"/>
          <w:sz w:val="24"/>
          <w:szCs w:val="24"/>
        </w:rPr>
      </w:pPr>
      <w:r>
        <w:rPr>
          <w:rFonts w:hint="eastAsia" w:ascii="宋体" w:hAnsi="宋体" w:cs="宋体"/>
          <w:sz w:val="24"/>
          <w:szCs w:val="24"/>
        </w:rPr>
        <w:t>（6）法律、行政法规规定的其他条件；</w:t>
      </w:r>
    </w:p>
    <w:p>
      <w:pPr>
        <w:adjustRightInd w:val="0"/>
        <w:snapToGrid w:val="0"/>
        <w:spacing w:line="460" w:lineRule="exact"/>
        <w:rPr>
          <w:rFonts w:ascii="宋体" w:hAnsi="宋体" w:cs="宋体"/>
          <w:sz w:val="24"/>
          <w:szCs w:val="24"/>
        </w:rPr>
      </w:pPr>
      <w:r>
        <w:rPr>
          <w:rFonts w:hint="eastAsia" w:ascii="宋体" w:hAnsi="宋体" w:cs="宋体"/>
          <w:sz w:val="24"/>
          <w:szCs w:val="24"/>
        </w:rPr>
        <w:t>2、落实政府采购政策需满足的资格要求：（1）根据财政部发布的《政府采购促进中小企业发展管理办法》（财库[2020]46 号）的规定，（2）根据财政部发布的《关于政府采购支持监狱企业发展有关问题的通知》（财库[2014]68号）的规定，（3）根据《财政部、民政部、中国残疾人联合会关于促进残疾人就业政府采购政策的通知》(财库[2017]141 号)的规定。</w:t>
      </w:r>
    </w:p>
    <w:p>
      <w:pPr>
        <w:adjustRightInd w:val="0"/>
        <w:snapToGrid w:val="0"/>
        <w:spacing w:line="460" w:lineRule="exact"/>
        <w:rPr>
          <w:rFonts w:ascii="宋体" w:hAnsi="宋体" w:cs="宋体"/>
          <w:sz w:val="24"/>
          <w:szCs w:val="24"/>
        </w:rPr>
      </w:pPr>
      <w:r>
        <w:rPr>
          <w:rFonts w:hint="eastAsia" w:ascii="宋体" w:hAnsi="宋体" w:cs="宋体"/>
          <w:sz w:val="24"/>
          <w:szCs w:val="24"/>
        </w:rPr>
        <w:t>3、在中国境内注册具有独立法人资格、有效的“三证合一”的营业执照.</w:t>
      </w:r>
    </w:p>
    <w:p>
      <w:pPr>
        <w:adjustRightInd w:val="0"/>
        <w:snapToGrid w:val="0"/>
        <w:spacing w:line="460" w:lineRule="exact"/>
        <w:rPr>
          <w:rFonts w:ascii="宋体" w:hAnsi="宋体" w:cs="宋体"/>
          <w:sz w:val="24"/>
          <w:szCs w:val="24"/>
        </w:rPr>
      </w:pPr>
      <w:r>
        <w:rPr>
          <w:rFonts w:hint="eastAsia" w:ascii="宋体" w:hAnsi="宋体" w:cs="宋体"/>
          <w:sz w:val="24"/>
          <w:szCs w:val="24"/>
        </w:rPr>
        <w:t>4、主体信用记录符合政府采购活动要求供应商参加政府采购活动前三年内未被列入“信用中国”网站(www.creditchina.gov.cn)重大税收违法案件当事人、“中国执行信息公开网”（http://zxgk.court.gov.cn/）未被列入失信被执行人和“中国政府采购”网站（www.ccgp.gov.cn）政府采购严重违法失信行为记录名单；</w:t>
      </w:r>
    </w:p>
    <w:p>
      <w:pPr>
        <w:adjustRightInd w:val="0"/>
        <w:snapToGrid w:val="0"/>
        <w:spacing w:line="460" w:lineRule="exact"/>
        <w:rPr>
          <w:rFonts w:ascii="宋体" w:hAnsi="宋体" w:cs="宋体"/>
          <w:sz w:val="24"/>
          <w:szCs w:val="24"/>
        </w:rPr>
      </w:pPr>
      <w:r>
        <w:rPr>
          <w:rFonts w:hint="eastAsia" w:ascii="宋体" w:hAnsi="宋体" w:cs="宋体"/>
          <w:sz w:val="24"/>
          <w:szCs w:val="24"/>
        </w:rPr>
        <w:t>5、单位负责人为同一人或者存在直接控股、管理关系的不同供应商，不得同时参加同一包的采购活动。生产型企业生产场地为同一地址的，销售型企业之间股东有关联的，一律视为有直接控股、管理关系。</w:t>
      </w:r>
    </w:p>
    <w:p>
      <w:pPr>
        <w:adjustRightInd w:val="0"/>
        <w:snapToGrid w:val="0"/>
        <w:spacing w:line="460" w:lineRule="exact"/>
        <w:rPr>
          <w:rFonts w:ascii="宋体" w:hAnsi="宋体" w:cs="宋体"/>
          <w:sz w:val="24"/>
          <w:szCs w:val="24"/>
        </w:rPr>
      </w:pPr>
      <w:r>
        <w:rPr>
          <w:rFonts w:hint="eastAsia" w:ascii="宋体" w:hAnsi="宋体" w:cs="宋体"/>
          <w:sz w:val="24"/>
          <w:szCs w:val="24"/>
        </w:rPr>
        <w:t>6、本项目不接受联合体投标.</w:t>
      </w:r>
    </w:p>
    <w:p>
      <w:pPr>
        <w:adjustRightInd w:val="0"/>
        <w:snapToGrid w:val="0"/>
        <w:spacing w:line="460" w:lineRule="exact"/>
      </w:pPr>
      <w:r>
        <w:rPr>
          <w:rFonts w:hint="eastAsia" w:ascii="宋体" w:hAnsi="宋体" w:cs="宋体"/>
          <w:sz w:val="24"/>
          <w:szCs w:val="24"/>
        </w:rPr>
        <w:t>投标人在本次招标活动中，必须遵守《中华人民共和国政府采购法》的规定。</w:t>
      </w:r>
    </w:p>
    <w:p>
      <w:pPr>
        <w:rPr>
          <w:b/>
          <w:bCs/>
          <w:sz w:val="24"/>
          <w:szCs w:val="24"/>
        </w:rPr>
      </w:pPr>
      <w:r>
        <w:rPr>
          <w:rFonts w:hint="eastAsia"/>
          <w:b/>
          <w:bCs/>
          <w:sz w:val="24"/>
          <w:szCs w:val="24"/>
        </w:rPr>
        <w:t>3. 定义</w:t>
      </w:r>
    </w:p>
    <w:p>
      <w:pPr>
        <w:adjustRightInd w:val="0"/>
        <w:snapToGrid w:val="0"/>
        <w:spacing w:line="460" w:lineRule="exact"/>
        <w:rPr>
          <w:rFonts w:ascii="宋体" w:hAnsi="宋体" w:cs="宋体"/>
          <w:sz w:val="24"/>
          <w:szCs w:val="24"/>
        </w:rPr>
      </w:pPr>
      <w:r>
        <w:rPr>
          <w:rFonts w:hint="eastAsia" w:ascii="宋体" w:hAnsi="宋体" w:cs="宋体"/>
          <w:sz w:val="24"/>
          <w:szCs w:val="24"/>
        </w:rPr>
        <w:t>下列术语和缩写的定义为：</w:t>
      </w:r>
    </w:p>
    <w:p>
      <w:pPr>
        <w:adjustRightInd w:val="0"/>
        <w:snapToGrid w:val="0"/>
        <w:spacing w:line="460" w:lineRule="exact"/>
        <w:rPr>
          <w:rFonts w:ascii="宋体" w:hAnsi="宋体" w:cs="宋体"/>
          <w:sz w:val="24"/>
          <w:szCs w:val="24"/>
        </w:rPr>
      </w:pPr>
      <w:r>
        <w:rPr>
          <w:rFonts w:hint="eastAsia" w:ascii="宋体" w:hAnsi="宋体" w:cs="宋体"/>
          <w:sz w:val="24"/>
          <w:szCs w:val="24"/>
        </w:rPr>
        <w:t>3.1  “采购人”系指新疆维吾尔自治区司法警官学校。</w:t>
      </w:r>
    </w:p>
    <w:p>
      <w:pPr>
        <w:adjustRightInd w:val="0"/>
        <w:snapToGrid w:val="0"/>
        <w:spacing w:line="460" w:lineRule="exact"/>
        <w:rPr>
          <w:rFonts w:ascii="宋体" w:hAnsi="宋体" w:cs="宋体"/>
          <w:sz w:val="24"/>
          <w:szCs w:val="24"/>
        </w:rPr>
      </w:pPr>
      <w:r>
        <w:rPr>
          <w:rFonts w:hint="eastAsia" w:ascii="宋体" w:hAnsi="宋体" w:cs="宋体"/>
          <w:sz w:val="24"/>
          <w:szCs w:val="24"/>
        </w:rPr>
        <w:t>3.2  “招标代理机构”系指新疆融盛源工程项目管理有限公司。</w:t>
      </w:r>
    </w:p>
    <w:p>
      <w:pPr>
        <w:adjustRightInd w:val="0"/>
        <w:snapToGrid w:val="0"/>
        <w:spacing w:line="460" w:lineRule="exact"/>
        <w:rPr>
          <w:rFonts w:ascii="宋体" w:hAnsi="宋体" w:cs="宋体"/>
          <w:sz w:val="24"/>
          <w:szCs w:val="24"/>
        </w:rPr>
      </w:pPr>
      <w:r>
        <w:rPr>
          <w:rFonts w:hint="eastAsia" w:ascii="宋体" w:hAnsi="宋体" w:cs="宋体"/>
          <w:sz w:val="24"/>
          <w:szCs w:val="24"/>
        </w:rPr>
        <w:t>3.3  “招标方”系指采购人和招标代理机构的统称。</w:t>
      </w:r>
    </w:p>
    <w:p>
      <w:pPr>
        <w:adjustRightInd w:val="0"/>
        <w:snapToGrid w:val="0"/>
        <w:spacing w:line="460" w:lineRule="exact"/>
        <w:rPr>
          <w:rFonts w:ascii="宋体" w:hAnsi="宋体" w:cs="宋体"/>
          <w:sz w:val="24"/>
          <w:szCs w:val="24"/>
        </w:rPr>
      </w:pPr>
      <w:r>
        <w:rPr>
          <w:rFonts w:hint="eastAsia" w:ascii="宋体" w:hAnsi="宋体" w:cs="宋体"/>
          <w:sz w:val="24"/>
          <w:szCs w:val="24"/>
        </w:rPr>
        <w:t>3.4  “投标人”系指有资格的供应商（制造商）及投标表现人。</w:t>
      </w:r>
    </w:p>
    <w:p>
      <w:pPr>
        <w:adjustRightInd w:val="0"/>
        <w:snapToGrid w:val="0"/>
        <w:spacing w:line="460" w:lineRule="exact"/>
        <w:rPr>
          <w:rFonts w:ascii="宋体" w:hAnsi="宋体" w:cs="宋体"/>
          <w:sz w:val="24"/>
          <w:szCs w:val="24"/>
        </w:rPr>
      </w:pPr>
      <w:r>
        <w:rPr>
          <w:rFonts w:hint="eastAsia" w:ascii="宋体" w:hAnsi="宋体" w:cs="宋体"/>
          <w:sz w:val="24"/>
          <w:szCs w:val="24"/>
        </w:rPr>
        <w:t>3.5  “中标方”系指经评标委员会评定后得分最高并由评标委员会推荐的投标人。</w:t>
      </w:r>
    </w:p>
    <w:p>
      <w:pPr>
        <w:adjustRightInd w:val="0"/>
        <w:snapToGrid w:val="0"/>
        <w:spacing w:line="460" w:lineRule="exact"/>
        <w:rPr>
          <w:rFonts w:ascii="宋体" w:hAnsi="宋体" w:cs="宋体"/>
          <w:sz w:val="24"/>
          <w:szCs w:val="24"/>
        </w:rPr>
      </w:pPr>
      <w:r>
        <w:rPr>
          <w:rFonts w:hint="eastAsia" w:ascii="宋体" w:hAnsi="宋体" w:cs="宋体"/>
          <w:sz w:val="24"/>
          <w:szCs w:val="24"/>
        </w:rPr>
        <w:t>3.6  “货物”、“产品”指本响应文件中第九章第三部分《采购内容及要求》所述所有货物及相关服务。</w:t>
      </w:r>
    </w:p>
    <w:p>
      <w:pPr>
        <w:adjustRightInd w:val="0"/>
        <w:snapToGrid w:val="0"/>
        <w:spacing w:line="460" w:lineRule="exact"/>
        <w:rPr>
          <w:rFonts w:ascii="宋体" w:hAnsi="宋体" w:cs="宋体"/>
          <w:sz w:val="24"/>
          <w:szCs w:val="24"/>
        </w:rPr>
      </w:pPr>
      <w:r>
        <w:rPr>
          <w:rFonts w:hint="eastAsia" w:ascii="宋体" w:hAnsi="宋体" w:cs="宋体"/>
          <w:sz w:val="24"/>
          <w:szCs w:val="24"/>
        </w:rPr>
        <w:t>3.7  “服务”系指响应文件中规定投标人须承担的质保、技术协助、培训及其他类似的责任。</w:t>
      </w:r>
    </w:p>
    <w:p>
      <w:pPr>
        <w:adjustRightInd w:val="0"/>
        <w:snapToGrid w:val="0"/>
        <w:spacing w:line="460" w:lineRule="exact"/>
        <w:rPr>
          <w:rFonts w:ascii="宋体" w:hAnsi="宋体" w:cs="宋体"/>
          <w:sz w:val="24"/>
          <w:szCs w:val="24"/>
        </w:rPr>
      </w:pPr>
      <w:r>
        <w:rPr>
          <w:rFonts w:hint="eastAsia" w:ascii="宋体" w:hAnsi="宋体" w:cs="宋体"/>
          <w:sz w:val="24"/>
          <w:szCs w:val="24"/>
        </w:rPr>
        <w:t>3.8  “响应”系指投标人根据招标代理机构发布的响应文件，编制响应文件并按规定投标的行为。</w:t>
      </w:r>
    </w:p>
    <w:p>
      <w:pPr>
        <w:rPr>
          <w:rFonts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t>4. 投标费用</w:t>
      </w:r>
    </w:p>
    <w:p>
      <w:pPr>
        <w:adjustRightInd w:val="0"/>
        <w:snapToGrid w:val="0"/>
        <w:spacing w:line="460" w:lineRule="exact"/>
        <w:rPr>
          <w:rFonts w:ascii="宋体" w:hAnsi="宋体" w:cs="宋体"/>
          <w:sz w:val="24"/>
          <w:szCs w:val="24"/>
        </w:rPr>
      </w:pPr>
      <w:r>
        <w:rPr>
          <w:rFonts w:hint="eastAsia" w:ascii="宋体" w:hAnsi="宋体" w:cs="宋体"/>
          <w:sz w:val="24"/>
          <w:szCs w:val="24"/>
        </w:rPr>
        <w:t>4.1  无论投标结果如何，凡参与招标、投标活动有关的所有费用将由投标人自行承担。</w:t>
      </w:r>
    </w:p>
    <w:p>
      <w:pPr>
        <w:adjustRightInd w:val="0"/>
        <w:snapToGrid w:val="0"/>
        <w:spacing w:line="460" w:lineRule="exact"/>
        <w:rPr>
          <w:rFonts w:ascii="宋体" w:hAnsi="宋体" w:cs="宋体"/>
          <w:sz w:val="24"/>
          <w:szCs w:val="24"/>
        </w:rPr>
      </w:pPr>
      <w:r>
        <w:rPr>
          <w:rFonts w:hint="eastAsia" w:ascii="宋体" w:hAnsi="宋体" w:cs="宋体"/>
          <w:sz w:val="24"/>
          <w:szCs w:val="24"/>
        </w:rPr>
        <w:t>4.2  投标人被视为熟悉本招标项目的各种情况以及与履行合同有关的一切情况。</w:t>
      </w:r>
    </w:p>
    <w:p>
      <w:pPr>
        <w:adjustRightInd w:val="0"/>
        <w:snapToGrid w:val="0"/>
        <w:spacing w:line="460" w:lineRule="exact"/>
        <w:rPr>
          <w:rFonts w:ascii="宋体" w:hAnsi="宋体" w:cs="宋体"/>
          <w:sz w:val="24"/>
          <w:szCs w:val="24"/>
        </w:rPr>
      </w:pPr>
      <w:r>
        <w:rPr>
          <w:rFonts w:hint="eastAsia" w:ascii="宋体" w:hAnsi="宋体" w:cs="宋体"/>
          <w:sz w:val="24"/>
          <w:szCs w:val="24"/>
        </w:rPr>
        <w:br w:type="page"/>
      </w:r>
    </w:p>
    <w:p>
      <w:pPr>
        <w:pStyle w:val="4"/>
        <w:spacing w:line="240" w:lineRule="auto"/>
      </w:pPr>
      <w:bookmarkStart w:id="34" w:name="_Toc23527"/>
      <w:bookmarkStart w:id="35" w:name="_Toc9028"/>
      <w:bookmarkStart w:id="36" w:name="_Toc29929"/>
      <w:r>
        <w:rPr>
          <w:rFonts w:hint="eastAsia"/>
        </w:rPr>
        <w:t>第二章 磋商文件的编写</w:t>
      </w:r>
      <w:bookmarkEnd w:id="34"/>
      <w:bookmarkEnd w:id="35"/>
      <w:bookmarkEnd w:id="36"/>
    </w:p>
    <w:p>
      <w:pPr>
        <w:adjustRightInd w:val="0"/>
        <w:snapToGrid w:val="0"/>
        <w:rPr>
          <w:rFonts w:ascii="宋体" w:hAnsi="宋体" w:cs="宋体"/>
          <w:sz w:val="24"/>
          <w:szCs w:val="24"/>
        </w:rPr>
      </w:pPr>
      <w:r>
        <w:rPr>
          <w:rFonts w:hint="eastAsia" w:ascii="宋体" w:hAnsi="宋体" w:cs="宋体"/>
          <w:b/>
          <w:bCs/>
          <w:sz w:val="24"/>
          <w:szCs w:val="24"/>
        </w:rPr>
        <w:t>5. 磋商文件的构成</w:t>
      </w:r>
    </w:p>
    <w:p>
      <w:pPr>
        <w:adjustRightInd w:val="0"/>
        <w:snapToGrid w:val="0"/>
        <w:spacing w:line="460" w:lineRule="exact"/>
        <w:rPr>
          <w:rFonts w:ascii="宋体" w:hAnsi="宋体" w:cs="宋体"/>
          <w:sz w:val="24"/>
          <w:szCs w:val="24"/>
        </w:rPr>
      </w:pPr>
      <w:r>
        <w:rPr>
          <w:rFonts w:hint="eastAsia" w:ascii="宋体" w:hAnsi="宋体" w:cs="宋体"/>
          <w:sz w:val="24"/>
          <w:szCs w:val="24"/>
        </w:rPr>
        <w:t>5.1  磋商文件由下述部分组成：</w:t>
      </w:r>
    </w:p>
    <w:p>
      <w:pPr>
        <w:adjustRightInd w:val="0"/>
        <w:snapToGrid w:val="0"/>
        <w:spacing w:line="460" w:lineRule="exact"/>
        <w:rPr>
          <w:rFonts w:ascii="宋体" w:hAnsi="宋体" w:cs="宋体"/>
          <w:sz w:val="24"/>
          <w:szCs w:val="24"/>
        </w:rPr>
      </w:pPr>
      <w:r>
        <w:rPr>
          <w:rFonts w:hint="eastAsia" w:ascii="宋体" w:hAnsi="宋体" w:cs="宋体"/>
          <w:sz w:val="24"/>
          <w:szCs w:val="24"/>
        </w:rPr>
        <w:t>第一部分 磋商公告</w:t>
      </w:r>
    </w:p>
    <w:p>
      <w:pPr>
        <w:adjustRightInd w:val="0"/>
        <w:snapToGrid w:val="0"/>
        <w:spacing w:line="460" w:lineRule="exact"/>
        <w:rPr>
          <w:rFonts w:ascii="宋体" w:hAnsi="宋体" w:cs="宋体"/>
          <w:sz w:val="24"/>
          <w:szCs w:val="24"/>
        </w:rPr>
      </w:pPr>
      <w:r>
        <w:rPr>
          <w:rFonts w:hint="eastAsia" w:ascii="宋体" w:hAnsi="宋体" w:cs="宋体"/>
          <w:sz w:val="24"/>
          <w:szCs w:val="24"/>
        </w:rPr>
        <w:t>第二部分 投标人须知</w:t>
      </w:r>
    </w:p>
    <w:p>
      <w:pPr>
        <w:adjustRightInd w:val="0"/>
        <w:snapToGrid w:val="0"/>
        <w:spacing w:line="460" w:lineRule="exact"/>
        <w:rPr>
          <w:rFonts w:ascii="宋体" w:hAnsi="宋体" w:cs="宋体"/>
          <w:sz w:val="24"/>
          <w:szCs w:val="24"/>
        </w:rPr>
      </w:pPr>
      <w:r>
        <w:rPr>
          <w:rFonts w:hint="eastAsia" w:ascii="宋体" w:hAnsi="宋体" w:cs="宋体"/>
          <w:sz w:val="24"/>
          <w:szCs w:val="24"/>
        </w:rPr>
        <w:t>第三部分 采购内容及服务要求</w:t>
      </w:r>
    </w:p>
    <w:p>
      <w:pPr>
        <w:adjustRightInd w:val="0"/>
        <w:snapToGrid w:val="0"/>
        <w:spacing w:line="460" w:lineRule="exact"/>
        <w:rPr>
          <w:rFonts w:ascii="宋体" w:hAnsi="宋体" w:cs="宋体"/>
          <w:sz w:val="24"/>
          <w:szCs w:val="24"/>
        </w:rPr>
      </w:pPr>
      <w:r>
        <w:rPr>
          <w:rFonts w:hint="eastAsia" w:ascii="宋体" w:hAnsi="宋体" w:cs="宋体"/>
          <w:sz w:val="24"/>
          <w:szCs w:val="24"/>
        </w:rPr>
        <w:t>第四部分 合同条款</w:t>
      </w:r>
    </w:p>
    <w:p>
      <w:pPr>
        <w:adjustRightInd w:val="0"/>
        <w:snapToGrid w:val="0"/>
        <w:spacing w:line="460" w:lineRule="exact"/>
        <w:rPr>
          <w:rFonts w:ascii="宋体" w:hAnsi="宋体" w:cs="宋体"/>
          <w:sz w:val="24"/>
          <w:szCs w:val="24"/>
        </w:rPr>
      </w:pPr>
      <w:r>
        <w:rPr>
          <w:rFonts w:hint="eastAsia" w:ascii="宋体" w:hAnsi="宋体" w:cs="宋体"/>
          <w:sz w:val="24"/>
          <w:szCs w:val="24"/>
        </w:rPr>
        <w:t>第五部分 附    件</w:t>
      </w:r>
    </w:p>
    <w:p>
      <w:pPr>
        <w:adjustRightInd w:val="0"/>
        <w:snapToGrid w:val="0"/>
        <w:spacing w:line="460" w:lineRule="exact"/>
        <w:rPr>
          <w:rFonts w:ascii="宋体" w:hAnsi="宋体" w:cs="宋体"/>
          <w:sz w:val="24"/>
          <w:szCs w:val="24"/>
        </w:rPr>
      </w:pPr>
      <w:r>
        <w:rPr>
          <w:rFonts w:hint="eastAsia" w:ascii="宋体" w:hAnsi="宋体" w:cs="宋体"/>
          <w:sz w:val="24"/>
          <w:szCs w:val="24"/>
        </w:rPr>
        <w:t>5.2 磋商文件以中文书写。</w:t>
      </w:r>
    </w:p>
    <w:p>
      <w:pPr>
        <w:adjustRightInd w:val="0"/>
        <w:snapToGrid w:val="0"/>
        <w:spacing w:line="460" w:lineRule="exact"/>
        <w:rPr>
          <w:rFonts w:ascii="宋体" w:hAnsi="宋体" w:cs="宋体"/>
          <w:sz w:val="24"/>
          <w:szCs w:val="24"/>
        </w:rPr>
      </w:pPr>
      <w:r>
        <w:rPr>
          <w:rFonts w:hint="eastAsia" w:ascii="宋体" w:hAnsi="宋体" w:cs="宋体"/>
          <w:sz w:val="24"/>
          <w:szCs w:val="24"/>
        </w:rPr>
        <w:t>5.3 投标人被视为熟悉本招标项目的各种情况以及与履行合同有关的一切其他情况。</w:t>
      </w:r>
    </w:p>
    <w:p>
      <w:pPr>
        <w:adjustRightInd w:val="0"/>
        <w:snapToGrid w:val="0"/>
        <w:spacing w:line="460" w:lineRule="exact"/>
        <w:rPr>
          <w:rFonts w:ascii="宋体" w:hAnsi="宋体" w:cs="宋体"/>
          <w:sz w:val="24"/>
          <w:szCs w:val="24"/>
        </w:rPr>
      </w:pPr>
      <w:r>
        <w:rPr>
          <w:rFonts w:hint="eastAsia" w:ascii="宋体" w:hAnsi="宋体" w:cs="宋体"/>
          <w:sz w:val="24"/>
          <w:szCs w:val="24"/>
        </w:rPr>
        <w:t>5.4投标人获取磋商文件后，应仔细检查磋商文件的所有内容，如有残缺应在领到磋商文件后1日内向采购人提出，否则，由此引起的投标损失自负；投标人同时应认真审阅磋商文件中所有的事项、格式、条款和规范要求等，如果投标人编制的响应文件，没有按照磋商文件要求提交全部资料或者没有对磋商文件做出实质性响应，其风险应由投标人自行承担，并根据有关条款规定，其投标有可能被拒绝。</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6. 磋商文件的澄清、标前会议</w:t>
      </w:r>
    </w:p>
    <w:p>
      <w:pPr>
        <w:adjustRightInd w:val="0"/>
        <w:snapToGrid w:val="0"/>
        <w:spacing w:line="460" w:lineRule="exact"/>
        <w:rPr>
          <w:rFonts w:ascii="宋体" w:hAnsi="宋体" w:cs="宋体"/>
          <w:sz w:val="24"/>
          <w:szCs w:val="24"/>
        </w:rPr>
      </w:pPr>
      <w:r>
        <w:rPr>
          <w:rFonts w:hint="eastAsia" w:ascii="宋体" w:hAnsi="宋体" w:cs="宋体"/>
          <w:sz w:val="24"/>
          <w:szCs w:val="24"/>
        </w:rPr>
        <w:t>6.1投标人对磋商文件如有疑点，可在投标截止期5日前按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7. 磋商文件的修改或补充</w:t>
      </w:r>
    </w:p>
    <w:p>
      <w:pPr>
        <w:adjustRightInd w:val="0"/>
        <w:snapToGrid w:val="0"/>
        <w:spacing w:line="460" w:lineRule="exact"/>
        <w:rPr>
          <w:rFonts w:ascii="宋体" w:hAnsi="宋体" w:cs="宋体"/>
          <w:sz w:val="24"/>
          <w:szCs w:val="24"/>
        </w:rPr>
      </w:pPr>
      <w:r>
        <w:rPr>
          <w:rFonts w:hint="eastAsia" w:ascii="宋体" w:hAnsi="宋体" w:cs="宋体"/>
          <w:sz w:val="24"/>
          <w:szCs w:val="24"/>
        </w:rPr>
        <w:t>7.1 在投标截止期5日前的任何时间，采购人可主动或依据投标人要求澄清的问题而修改或补充磋商文件，并以书面形式通知所有投标人，投标人在收到该通知后应立即以电报或传真的形式予以确认。</w:t>
      </w:r>
    </w:p>
    <w:p>
      <w:pPr>
        <w:adjustRightInd w:val="0"/>
        <w:snapToGrid w:val="0"/>
        <w:spacing w:line="460" w:lineRule="exact"/>
        <w:rPr>
          <w:rFonts w:ascii="宋体" w:hAnsi="宋体" w:cs="宋体"/>
          <w:sz w:val="24"/>
          <w:szCs w:val="24"/>
        </w:rPr>
      </w:pPr>
      <w:r>
        <w:rPr>
          <w:rFonts w:hint="eastAsia" w:ascii="宋体" w:hAnsi="宋体" w:cs="宋体"/>
          <w:sz w:val="24"/>
          <w:szCs w:val="24"/>
        </w:rPr>
        <w:t>7.2为使投标人在准备投标时有适当的时间考虑响应文件的修改，采购人有权决定推迟投标截止日期和开标日期，并将此变更通知所有的投标人。</w:t>
      </w:r>
    </w:p>
    <w:p>
      <w:pPr>
        <w:adjustRightInd w:val="0"/>
        <w:snapToGrid w:val="0"/>
        <w:spacing w:line="460" w:lineRule="exact"/>
        <w:rPr>
          <w:rFonts w:ascii="宋体" w:hAnsi="宋体" w:cs="宋体"/>
          <w:sz w:val="24"/>
          <w:szCs w:val="24"/>
        </w:rPr>
      </w:pPr>
      <w:r>
        <w:rPr>
          <w:rFonts w:hint="eastAsia" w:ascii="宋体" w:hAnsi="宋体" w:cs="宋体"/>
          <w:sz w:val="24"/>
          <w:szCs w:val="24"/>
        </w:rPr>
        <w:t>7.3磋商文件的修改书和补充文件将构成磋商文件的一部分，并且比磋商文件对投标人具有优先的约束力。</w:t>
      </w:r>
    </w:p>
    <w:p>
      <w:pPr>
        <w:pStyle w:val="4"/>
        <w:spacing w:line="240" w:lineRule="auto"/>
        <w:rPr>
          <w:rFonts w:ascii="宋体" w:hAnsi="宋体" w:cs="宋体"/>
          <w:sz w:val="24"/>
          <w:szCs w:val="24"/>
        </w:rPr>
      </w:pPr>
      <w:bookmarkStart w:id="37" w:name="_Toc10868"/>
      <w:bookmarkStart w:id="38" w:name="_Toc28573"/>
      <w:bookmarkStart w:id="39" w:name="_Toc13024"/>
      <w:r>
        <w:rPr>
          <w:rFonts w:hint="eastAsia"/>
        </w:rPr>
        <w:t>第三章 响应文件的编写</w:t>
      </w:r>
      <w:bookmarkEnd w:id="37"/>
      <w:bookmarkEnd w:id="38"/>
      <w:bookmarkEnd w:id="39"/>
    </w:p>
    <w:p>
      <w:pPr>
        <w:adjustRightInd w:val="0"/>
        <w:snapToGrid w:val="0"/>
        <w:rPr>
          <w:rFonts w:ascii="宋体" w:hAnsi="宋体" w:cs="宋体"/>
          <w:b/>
          <w:bCs/>
          <w:sz w:val="24"/>
          <w:szCs w:val="24"/>
        </w:rPr>
      </w:pPr>
      <w:r>
        <w:rPr>
          <w:rFonts w:hint="eastAsia" w:ascii="宋体" w:hAnsi="宋体" w:cs="宋体"/>
          <w:b/>
          <w:bCs/>
          <w:sz w:val="24"/>
          <w:szCs w:val="24"/>
        </w:rPr>
        <w:t>8.要求</w:t>
      </w:r>
    </w:p>
    <w:p>
      <w:pPr>
        <w:adjustRightInd w:val="0"/>
        <w:snapToGrid w:val="0"/>
        <w:spacing w:line="460" w:lineRule="exact"/>
        <w:rPr>
          <w:rFonts w:ascii="宋体" w:hAnsi="宋体" w:cs="宋体"/>
          <w:sz w:val="24"/>
          <w:szCs w:val="24"/>
        </w:rPr>
      </w:pPr>
      <w:r>
        <w:rPr>
          <w:rFonts w:hint="eastAsia" w:ascii="宋体" w:hAnsi="宋体" w:cs="宋体"/>
          <w:sz w:val="24"/>
          <w:szCs w:val="24"/>
        </w:rPr>
        <w:t>8.1供应商应详细阅读磋商文件中的条款、格式、表示、条件和规范等所有内容，按磋商文件的要求份数提供响应文件，并保证所提供的全部材料的真实性，以使其投标对磋商文件做出实质性响应。否则，其投标可能被拒绝。</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9.响应文件语言和度量单位</w:t>
      </w:r>
    </w:p>
    <w:p>
      <w:pPr>
        <w:adjustRightInd w:val="0"/>
        <w:snapToGrid w:val="0"/>
        <w:spacing w:line="460" w:lineRule="exact"/>
        <w:rPr>
          <w:rFonts w:ascii="宋体" w:hAnsi="宋体" w:cs="宋体"/>
          <w:sz w:val="24"/>
          <w:szCs w:val="24"/>
        </w:rPr>
      </w:pPr>
      <w:r>
        <w:rPr>
          <w:rFonts w:hint="eastAsia" w:ascii="宋体" w:hAnsi="宋体" w:cs="宋体"/>
          <w:sz w:val="24"/>
          <w:szCs w:val="24"/>
        </w:rPr>
        <w:t>9.1响应文件及投标人和采购人就招标、投标交换的文件和往来信件，须以中文书写。供应商可提交其他语言的资料，但应附中文注释，在有差异时，以中文为主。</w:t>
      </w:r>
    </w:p>
    <w:p>
      <w:pPr>
        <w:adjustRightInd w:val="0"/>
        <w:snapToGrid w:val="0"/>
        <w:spacing w:line="460" w:lineRule="exact"/>
        <w:rPr>
          <w:rFonts w:ascii="宋体" w:hAnsi="宋体" w:cs="宋体"/>
          <w:sz w:val="24"/>
          <w:szCs w:val="24"/>
        </w:rPr>
      </w:pPr>
      <w:r>
        <w:rPr>
          <w:rFonts w:hint="eastAsia" w:ascii="宋体" w:hAnsi="宋体" w:cs="宋体"/>
          <w:sz w:val="24"/>
          <w:szCs w:val="24"/>
        </w:rPr>
        <w:t>9.2除在磋商文件的技术规格中另有规定外，计量单位应使用中华人民共和国法定计量单位（国际单位制和国家选定的其它计量单位）。</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10.响应文件的组成</w:t>
      </w:r>
    </w:p>
    <w:p>
      <w:pPr>
        <w:adjustRightInd w:val="0"/>
        <w:snapToGrid w:val="0"/>
        <w:spacing w:line="460" w:lineRule="exact"/>
        <w:rPr>
          <w:rFonts w:ascii="宋体" w:hAnsi="宋体" w:cs="宋体"/>
          <w:sz w:val="24"/>
          <w:szCs w:val="24"/>
        </w:rPr>
      </w:pPr>
      <w:r>
        <w:rPr>
          <w:rFonts w:hint="eastAsia" w:ascii="宋体" w:hAnsi="宋体" w:cs="宋体"/>
          <w:sz w:val="24"/>
          <w:szCs w:val="24"/>
        </w:rPr>
        <w:t>10.1 响应文件包括（但不仅限于）下列内容：</w:t>
      </w:r>
    </w:p>
    <w:p>
      <w:pPr>
        <w:adjustRightInd w:val="0"/>
        <w:snapToGrid w:val="0"/>
        <w:spacing w:line="460" w:lineRule="exact"/>
        <w:rPr>
          <w:rFonts w:ascii="宋体" w:hAnsi="宋体" w:cs="宋体"/>
          <w:sz w:val="24"/>
          <w:szCs w:val="24"/>
        </w:rPr>
      </w:pPr>
      <w:r>
        <w:rPr>
          <w:rFonts w:hint="eastAsia" w:ascii="宋体" w:hAnsi="宋体" w:cs="宋体"/>
          <w:sz w:val="24"/>
          <w:szCs w:val="24"/>
        </w:rPr>
        <w:t>（1）投标函；</w:t>
      </w:r>
    </w:p>
    <w:p>
      <w:pPr>
        <w:adjustRightInd w:val="0"/>
        <w:snapToGrid w:val="0"/>
        <w:spacing w:line="460" w:lineRule="exact"/>
        <w:rPr>
          <w:rFonts w:ascii="宋体" w:hAnsi="宋体" w:cs="宋体"/>
          <w:sz w:val="24"/>
          <w:szCs w:val="24"/>
        </w:rPr>
      </w:pPr>
      <w:r>
        <w:rPr>
          <w:rFonts w:hint="eastAsia" w:ascii="宋体" w:hAnsi="宋体" w:cs="宋体"/>
          <w:sz w:val="24"/>
          <w:szCs w:val="24"/>
        </w:rPr>
        <w:t>（2）法定代表人身份证明或法定代表人授权委托书；</w:t>
      </w:r>
    </w:p>
    <w:p>
      <w:pPr>
        <w:adjustRightInd w:val="0"/>
        <w:snapToGrid w:val="0"/>
        <w:spacing w:line="460" w:lineRule="exact"/>
        <w:rPr>
          <w:rFonts w:ascii="宋体" w:hAnsi="宋体" w:cs="宋体"/>
          <w:sz w:val="24"/>
          <w:szCs w:val="24"/>
        </w:rPr>
      </w:pPr>
      <w:r>
        <w:rPr>
          <w:rFonts w:hint="eastAsia" w:ascii="宋体" w:hAnsi="宋体" w:cs="宋体"/>
          <w:sz w:val="24"/>
          <w:szCs w:val="24"/>
        </w:rPr>
        <w:t>（3）报价表；</w:t>
      </w:r>
    </w:p>
    <w:p>
      <w:pPr>
        <w:adjustRightInd w:val="0"/>
        <w:snapToGrid w:val="0"/>
        <w:spacing w:line="460" w:lineRule="exact"/>
        <w:rPr>
          <w:rFonts w:ascii="宋体" w:hAnsi="宋体" w:cs="宋体"/>
          <w:sz w:val="24"/>
          <w:szCs w:val="24"/>
        </w:rPr>
      </w:pPr>
      <w:r>
        <w:rPr>
          <w:rFonts w:hint="eastAsia" w:ascii="宋体" w:hAnsi="宋体" w:cs="宋体"/>
          <w:sz w:val="24"/>
          <w:szCs w:val="24"/>
        </w:rPr>
        <w:t>（4）投标人资格、资信证明文件；</w:t>
      </w:r>
    </w:p>
    <w:p>
      <w:pPr>
        <w:adjustRightInd w:val="0"/>
        <w:snapToGrid w:val="0"/>
        <w:spacing w:line="460" w:lineRule="exact"/>
        <w:rPr>
          <w:rFonts w:ascii="宋体" w:hAnsi="宋体" w:cs="宋体"/>
          <w:sz w:val="24"/>
          <w:szCs w:val="24"/>
        </w:rPr>
      </w:pPr>
      <w:r>
        <w:rPr>
          <w:rFonts w:hint="eastAsia" w:ascii="宋体" w:hAnsi="宋体" w:cs="宋体"/>
          <w:sz w:val="24"/>
          <w:szCs w:val="24"/>
        </w:rPr>
        <w:t>（5）项目服务方案；</w:t>
      </w:r>
    </w:p>
    <w:p>
      <w:pPr>
        <w:adjustRightInd w:val="0"/>
        <w:snapToGrid w:val="0"/>
        <w:spacing w:line="460" w:lineRule="exact"/>
        <w:rPr>
          <w:rFonts w:ascii="宋体" w:hAnsi="宋体" w:cs="宋体"/>
          <w:sz w:val="24"/>
          <w:szCs w:val="24"/>
        </w:rPr>
      </w:pPr>
      <w:r>
        <w:rPr>
          <w:rFonts w:hint="eastAsia" w:ascii="宋体" w:hAnsi="宋体" w:cs="宋体"/>
          <w:sz w:val="24"/>
          <w:szCs w:val="24"/>
        </w:rPr>
        <w:t>（6）拟投入本项目的主要成员</w:t>
      </w:r>
    </w:p>
    <w:p>
      <w:pPr>
        <w:adjustRightInd w:val="0"/>
        <w:snapToGrid w:val="0"/>
        <w:spacing w:line="460" w:lineRule="exact"/>
        <w:rPr>
          <w:rFonts w:ascii="宋体" w:hAnsi="宋体" w:cs="宋体"/>
          <w:sz w:val="24"/>
          <w:szCs w:val="24"/>
        </w:rPr>
      </w:pPr>
      <w:r>
        <w:rPr>
          <w:rFonts w:hint="eastAsia" w:ascii="宋体" w:hAnsi="宋体" w:cs="宋体"/>
          <w:sz w:val="24"/>
          <w:szCs w:val="24"/>
        </w:rPr>
        <w:t>（7）商务条款偏离表</w:t>
      </w:r>
    </w:p>
    <w:p>
      <w:pPr>
        <w:adjustRightInd w:val="0"/>
        <w:snapToGrid w:val="0"/>
        <w:spacing w:line="460" w:lineRule="exact"/>
        <w:rPr>
          <w:rFonts w:ascii="宋体" w:hAnsi="宋体" w:cs="宋体"/>
          <w:sz w:val="24"/>
          <w:szCs w:val="24"/>
        </w:rPr>
      </w:pPr>
      <w:r>
        <w:rPr>
          <w:rFonts w:hint="eastAsia" w:ascii="宋体" w:hAnsi="宋体" w:cs="宋体"/>
          <w:sz w:val="24"/>
          <w:szCs w:val="24"/>
        </w:rPr>
        <w:t>（8）技术实质性条款响应一览表</w:t>
      </w:r>
    </w:p>
    <w:p>
      <w:pPr>
        <w:adjustRightInd w:val="0"/>
        <w:snapToGrid w:val="0"/>
        <w:spacing w:line="460" w:lineRule="exact"/>
        <w:rPr>
          <w:rFonts w:ascii="宋体" w:hAnsi="宋体" w:cs="宋体"/>
          <w:sz w:val="24"/>
          <w:szCs w:val="24"/>
        </w:rPr>
      </w:pPr>
      <w:r>
        <w:rPr>
          <w:rFonts w:hint="eastAsia" w:ascii="宋体" w:hAnsi="宋体" w:cs="宋体"/>
          <w:sz w:val="24"/>
          <w:szCs w:val="24"/>
        </w:rPr>
        <w:t>（9）提供其它有利于投标的资料及证明文件等（如有）</w:t>
      </w:r>
    </w:p>
    <w:p>
      <w:pPr>
        <w:adjustRightInd w:val="0"/>
        <w:snapToGrid w:val="0"/>
        <w:spacing w:line="460" w:lineRule="exact"/>
        <w:rPr>
          <w:rFonts w:ascii="宋体" w:hAnsi="宋体" w:cs="宋体"/>
          <w:sz w:val="24"/>
          <w:szCs w:val="24"/>
        </w:rPr>
      </w:pPr>
      <w:r>
        <w:rPr>
          <w:rFonts w:hint="eastAsia" w:ascii="宋体" w:hAnsi="宋体" w:cs="宋体"/>
          <w:sz w:val="24"/>
          <w:szCs w:val="24"/>
        </w:rPr>
        <w:t>（10）投标单位反商业贿赂承诺书。</w:t>
      </w:r>
    </w:p>
    <w:p>
      <w:pPr>
        <w:adjustRightInd w:val="0"/>
        <w:snapToGrid w:val="0"/>
        <w:spacing w:line="460" w:lineRule="exact"/>
        <w:rPr>
          <w:rFonts w:ascii="宋体" w:hAnsi="宋体" w:cs="宋体"/>
          <w:sz w:val="24"/>
          <w:szCs w:val="24"/>
        </w:rPr>
      </w:pPr>
      <w:r>
        <w:rPr>
          <w:rFonts w:hint="eastAsia" w:ascii="宋体" w:hAnsi="宋体" w:cs="宋体"/>
          <w:sz w:val="24"/>
          <w:szCs w:val="24"/>
        </w:rPr>
        <w:t>响应文件包括但不仅限于上述内容，如有不足，请自行补充提供。</w:t>
      </w:r>
    </w:p>
    <w:p>
      <w:pPr>
        <w:adjustRightInd w:val="0"/>
        <w:snapToGrid w:val="0"/>
        <w:spacing w:line="460" w:lineRule="exact"/>
        <w:rPr>
          <w:rFonts w:ascii="宋体" w:hAnsi="宋体" w:cs="宋体"/>
          <w:sz w:val="24"/>
          <w:szCs w:val="24"/>
        </w:rPr>
      </w:pPr>
      <w:r>
        <w:rPr>
          <w:rFonts w:hint="eastAsia" w:ascii="宋体" w:hAnsi="宋体" w:cs="宋体"/>
          <w:sz w:val="24"/>
          <w:szCs w:val="24"/>
        </w:rPr>
        <w:t>10.2所有资格证明文件，正本中的资格证明文件（如资质证书等）均须为加盖投标人公章的复印件或扫描件，以备开标时与原件核对（有特别说明的除外），副本为正本的复印件；开标结束后，可根据投标人的需要退回原件（针对本招标项目的特定授权原件不予退还）。</w:t>
      </w:r>
    </w:p>
    <w:p>
      <w:pPr>
        <w:adjustRightInd w:val="0"/>
        <w:snapToGrid w:val="0"/>
        <w:spacing w:line="460" w:lineRule="exact"/>
        <w:rPr>
          <w:rFonts w:ascii="宋体" w:hAnsi="宋体" w:cs="宋体"/>
          <w:sz w:val="24"/>
          <w:szCs w:val="24"/>
        </w:rPr>
      </w:pPr>
      <w:r>
        <w:rPr>
          <w:rFonts w:hint="eastAsia" w:ascii="宋体" w:hAnsi="宋体" w:cs="宋体"/>
          <w:sz w:val="24"/>
          <w:szCs w:val="24"/>
        </w:rPr>
        <w:t>10.3所有资格证明文件必须满足磋商文件的要求，否则将导致投标被否决。</w:t>
      </w:r>
    </w:p>
    <w:p>
      <w:pPr>
        <w:adjustRightInd w:val="0"/>
        <w:snapToGrid w:val="0"/>
        <w:spacing w:line="460" w:lineRule="exact"/>
        <w:rPr>
          <w:rFonts w:ascii="宋体" w:hAnsi="宋体" w:cs="宋体"/>
          <w:sz w:val="24"/>
          <w:szCs w:val="24"/>
        </w:rPr>
      </w:pPr>
      <w:r>
        <w:rPr>
          <w:rFonts w:hint="eastAsia" w:ascii="宋体" w:hAnsi="宋体" w:cs="宋体"/>
          <w:sz w:val="24"/>
          <w:szCs w:val="24"/>
        </w:rPr>
        <w:t>10.4投标人可按磋商文件的范本格式中提供的响应文件格式填写响应文件；如提供的范本格式有不完善之处，请自行补充完善。</w:t>
      </w:r>
    </w:p>
    <w:p>
      <w:pPr>
        <w:adjustRightInd w:val="0"/>
        <w:snapToGrid w:val="0"/>
        <w:spacing w:line="460" w:lineRule="exact"/>
        <w:rPr>
          <w:rFonts w:ascii="宋体" w:hAnsi="宋体" w:cs="宋体"/>
          <w:sz w:val="24"/>
          <w:szCs w:val="24"/>
        </w:rPr>
      </w:pPr>
      <w:r>
        <w:rPr>
          <w:rFonts w:hint="eastAsia" w:ascii="宋体" w:hAnsi="宋体" w:cs="宋体"/>
          <w:b/>
          <w:bCs/>
          <w:sz w:val="24"/>
          <w:szCs w:val="24"/>
        </w:rPr>
        <w:t>11. 符合磋商文件规定的证明文件</w:t>
      </w:r>
    </w:p>
    <w:p>
      <w:pPr>
        <w:adjustRightInd w:val="0"/>
        <w:snapToGrid w:val="0"/>
        <w:spacing w:line="460" w:lineRule="exact"/>
        <w:rPr>
          <w:rFonts w:ascii="宋体" w:hAnsi="宋体" w:cs="宋体"/>
          <w:sz w:val="24"/>
          <w:szCs w:val="24"/>
        </w:rPr>
      </w:pPr>
      <w:r>
        <w:rPr>
          <w:rFonts w:hint="eastAsia" w:ascii="宋体" w:hAnsi="宋体" w:cs="宋体"/>
          <w:sz w:val="24"/>
          <w:szCs w:val="24"/>
        </w:rPr>
        <w:t>11.1 供应商提供的资格证明材料，须满足投标人须知前附表的要求。</w:t>
      </w:r>
    </w:p>
    <w:p>
      <w:pPr>
        <w:adjustRightInd w:val="0"/>
        <w:snapToGrid w:val="0"/>
        <w:spacing w:line="460" w:lineRule="exact"/>
        <w:rPr>
          <w:rFonts w:ascii="宋体" w:hAnsi="宋体" w:cs="宋体"/>
          <w:sz w:val="24"/>
          <w:szCs w:val="24"/>
        </w:rPr>
      </w:pPr>
      <w:r>
        <w:rPr>
          <w:rFonts w:hint="eastAsia" w:ascii="宋体" w:hAnsi="宋体" w:cs="宋体"/>
          <w:sz w:val="24"/>
          <w:szCs w:val="24"/>
        </w:rPr>
        <w:t>11.2 供应商为联合体形式的，则应提交联合体各方的资格文件，否则将视为未实质性响应条款而被拒绝。</w:t>
      </w:r>
    </w:p>
    <w:p>
      <w:pPr>
        <w:adjustRightInd w:val="0"/>
        <w:snapToGrid w:val="0"/>
        <w:spacing w:line="460" w:lineRule="exact"/>
        <w:rPr>
          <w:rFonts w:ascii="宋体" w:hAnsi="宋体" w:cs="宋体"/>
          <w:sz w:val="24"/>
          <w:szCs w:val="24"/>
        </w:rPr>
      </w:pPr>
      <w:r>
        <w:rPr>
          <w:rFonts w:hint="eastAsia" w:ascii="宋体" w:hAnsi="宋体" w:cs="宋体"/>
          <w:sz w:val="24"/>
          <w:szCs w:val="24"/>
        </w:rPr>
        <w:t>11.3投标人确保所提供货物（或服务），其质量满足中华人民共和国国家相关标准，使用的原辅材料要符合质量要求，拟投入的设备完好率足以胜任本项目的工作。</w:t>
      </w:r>
    </w:p>
    <w:p>
      <w:pPr>
        <w:adjustRightInd w:val="0"/>
        <w:snapToGrid w:val="0"/>
        <w:spacing w:line="460" w:lineRule="exact"/>
        <w:rPr>
          <w:rFonts w:ascii="宋体" w:hAnsi="宋体" w:cs="宋体"/>
          <w:sz w:val="24"/>
          <w:szCs w:val="24"/>
        </w:rPr>
      </w:pPr>
      <w:r>
        <w:rPr>
          <w:rFonts w:hint="eastAsia" w:ascii="宋体" w:hAnsi="宋体" w:cs="宋体"/>
          <w:sz w:val="24"/>
          <w:szCs w:val="24"/>
        </w:rPr>
        <w:t>11.4 投标人须提交证明拟供货物（或服务）符合磋商文件规定的技术响应文件，作为响应文件的一部分。</w:t>
      </w:r>
    </w:p>
    <w:p>
      <w:pPr>
        <w:adjustRightInd w:val="0"/>
        <w:snapToGrid w:val="0"/>
        <w:spacing w:line="460" w:lineRule="exact"/>
        <w:rPr>
          <w:rFonts w:ascii="宋体" w:hAnsi="宋体" w:cs="宋体"/>
          <w:sz w:val="24"/>
          <w:szCs w:val="24"/>
        </w:rPr>
      </w:pPr>
      <w:r>
        <w:rPr>
          <w:rFonts w:hint="eastAsia" w:ascii="宋体" w:hAnsi="宋体" w:cs="宋体"/>
          <w:sz w:val="24"/>
          <w:szCs w:val="24"/>
        </w:rPr>
        <w:t>11.5 提供的货物（或服务）符合规定的相应技术标准、环保及节能标准等。</w:t>
      </w:r>
    </w:p>
    <w:p>
      <w:pPr>
        <w:adjustRightInd w:val="0"/>
        <w:snapToGrid w:val="0"/>
        <w:spacing w:line="460" w:lineRule="exact"/>
        <w:rPr>
          <w:rFonts w:ascii="宋体" w:hAnsi="宋体" w:cs="宋体"/>
          <w:sz w:val="24"/>
          <w:szCs w:val="24"/>
        </w:rPr>
      </w:pPr>
      <w:r>
        <w:rPr>
          <w:rFonts w:hint="eastAsia" w:ascii="宋体" w:hAnsi="宋体" w:cs="宋体"/>
          <w:sz w:val="24"/>
          <w:szCs w:val="24"/>
        </w:rPr>
        <w:t>11.6 对照采购人的采购内容及技术要求，逐条确定，指出所提供的货物（或服务）是否实质性磋商文件的要求，如有偏离，须填报偏离表（见附件）。</w:t>
      </w:r>
    </w:p>
    <w:p>
      <w:pPr>
        <w:adjustRightInd w:val="0"/>
        <w:snapToGrid w:val="0"/>
        <w:spacing w:line="460" w:lineRule="exact"/>
        <w:rPr>
          <w:rFonts w:ascii="宋体" w:hAnsi="宋体" w:cs="宋体"/>
          <w:sz w:val="24"/>
          <w:szCs w:val="24"/>
        </w:rPr>
      </w:pPr>
      <w:r>
        <w:rPr>
          <w:rFonts w:hint="eastAsia" w:ascii="宋体" w:hAnsi="宋体" w:cs="宋体"/>
          <w:sz w:val="24"/>
          <w:szCs w:val="24"/>
        </w:rPr>
        <w:t>11.7 投标人应当提交符合磋商文件规定的业绩证明文件，该证明文件作为响应文件的一部分，业绩证明文件的要求详见投标人须知前附表。</w:t>
      </w:r>
    </w:p>
    <w:p>
      <w:pPr>
        <w:adjustRightInd w:val="0"/>
        <w:snapToGrid w:val="0"/>
        <w:spacing w:line="460" w:lineRule="exact"/>
        <w:rPr>
          <w:rFonts w:ascii="宋体" w:hAnsi="宋体" w:cs="宋体"/>
          <w:sz w:val="24"/>
          <w:szCs w:val="24"/>
        </w:rPr>
      </w:pPr>
      <w:r>
        <w:rPr>
          <w:rFonts w:hint="eastAsia" w:ascii="宋体" w:hAnsi="宋体" w:cs="宋体"/>
          <w:sz w:val="24"/>
          <w:szCs w:val="24"/>
        </w:rPr>
        <w:t>没有按要求提供资料或提供资料不完全，其风险由投标人自行承担。</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12. 投标报价</w:t>
      </w:r>
    </w:p>
    <w:p>
      <w:pPr>
        <w:adjustRightInd w:val="0"/>
        <w:snapToGrid w:val="0"/>
        <w:spacing w:line="460" w:lineRule="exact"/>
        <w:rPr>
          <w:rFonts w:ascii="宋体" w:hAnsi="宋体" w:cs="宋体"/>
          <w:sz w:val="24"/>
          <w:szCs w:val="24"/>
        </w:rPr>
      </w:pPr>
      <w:r>
        <w:rPr>
          <w:rFonts w:hint="eastAsia" w:ascii="宋体" w:hAnsi="宋体" w:cs="宋体"/>
          <w:sz w:val="24"/>
          <w:szCs w:val="24"/>
        </w:rPr>
        <w:t>12.1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adjustRightInd w:val="0"/>
        <w:snapToGrid w:val="0"/>
        <w:spacing w:line="460" w:lineRule="exact"/>
        <w:rPr>
          <w:rFonts w:ascii="宋体" w:hAnsi="宋体" w:cs="宋体"/>
          <w:sz w:val="24"/>
          <w:szCs w:val="24"/>
        </w:rPr>
      </w:pPr>
      <w:r>
        <w:rPr>
          <w:rFonts w:hint="eastAsia" w:ascii="宋体" w:hAnsi="宋体" w:cs="宋体"/>
          <w:sz w:val="24"/>
          <w:szCs w:val="24"/>
        </w:rPr>
        <w:t>12.2其报价须保证在投标有效期及服务期内固定不变。采购人不接受有任何选择性报价。</w:t>
      </w:r>
    </w:p>
    <w:p>
      <w:pPr>
        <w:adjustRightInd w:val="0"/>
        <w:snapToGrid w:val="0"/>
        <w:spacing w:line="460" w:lineRule="exact"/>
        <w:rPr>
          <w:rFonts w:ascii="宋体" w:hAnsi="宋体" w:cs="宋体"/>
          <w:sz w:val="24"/>
          <w:szCs w:val="24"/>
        </w:rPr>
      </w:pPr>
      <w:r>
        <w:rPr>
          <w:rFonts w:hint="eastAsia" w:ascii="宋体" w:hAnsi="宋体" w:cs="宋体"/>
          <w:sz w:val="24"/>
          <w:szCs w:val="24"/>
        </w:rPr>
        <w:t>12.3为了防止本次招标的投标报价过高，超出采购人为本次采购项目的资金支付能力，采购人依据主管部门的批复为本次招标项目的设定了</w:t>
      </w:r>
      <w:bookmarkStart w:id="40" w:name="OLE_LINK11"/>
      <w:r>
        <w:rPr>
          <w:rFonts w:hint="eastAsia" w:ascii="宋体" w:hAnsi="宋体" w:cs="宋体"/>
          <w:sz w:val="24"/>
          <w:szCs w:val="24"/>
        </w:rPr>
        <w:t>最高投标限价</w:t>
      </w:r>
      <w:bookmarkEnd w:id="40"/>
      <w:r>
        <w:rPr>
          <w:rFonts w:hint="eastAsia" w:ascii="宋体" w:hAnsi="宋体" w:cs="宋体"/>
          <w:sz w:val="24"/>
          <w:szCs w:val="24"/>
        </w:rPr>
        <w:t xml:space="preserve">（即采购预算），如果投标人的投标报价高于本项目的最高投标限价，其响应文件将被拒绝；如果所有投标人的投标报价均超出最高投标限价，采购人有权重新组织招标。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12.4 </w:t>
      </w:r>
      <w:r>
        <w:rPr>
          <w:rFonts w:hint="eastAsia" w:ascii="宋体" w:hAnsi="宋体" w:cs="宋体"/>
          <w:b/>
          <w:bCs/>
          <w:sz w:val="24"/>
          <w:szCs w:val="24"/>
        </w:rPr>
        <w:t>投标报价货币单位：人民币。</w:t>
      </w:r>
    </w:p>
    <w:p>
      <w:pPr>
        <w:adjustRightInd w:val="0"/>
        <w:snapToGrid w:val="0"/>
        <w:spacing w:line="460" w:lineRule="exact"/>
        <w:rPr>
          <w:rFonts w:ascii="宋体" w:hAnsi="宋体" w:cs="宋体"/>
          <w:sz w:val="24"/>
          <w:szCs w:val="24"/>
        </w:rPr>
      </w:pPr>
      <w:r>
        <w:rPr>
          <w:rFonts w:hint="eastAsia" w:ascii="宋体" w:hAnsi="宋体" w:cs="宋体"/>
          <w:sz w:val="24"/>
          <w:szCs w:val="24"/>
        </w:rPr>
        <w:t>报价包含运费、安装、辅材、税等</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13. 投标有效期</w:t>
      </w:r>
    </w:p>
    <w:p>
      <w:pPr>
        <w:adjustRightInd w:val="0"/>
        <w:snapToGrid w:val="0"/>
        <w:spacing w:line="460" w:lineRule="exact"/>
        <w:rPr>
          <w:rFonts w:ascii="宋体" w:hAnsi="宋体" w:cs="宋体"/>
          <w:sz w:val="24"/>
          <w:szCs w:val="24"/>
        </w:rPr>
      </w:pPr>
      <w:r>
        <w:rPr>
          <w:rFonts w:hint="eastAsia" w:ascii="宋体" w:hAnsi="宋体" w:cs="宋体"/>
          <w:sz w:val="24"/>
          <w:szCs w:val="24"/>
        </w:rPr>
        <w:t>13.1投标有效期详见投标人须知前附表，如不满足其投标将被否决。</w:t>
      </w:r>
    </w:p>
    <w:p>
      <w:pPr>
        <w:adjustRightInd w:val="0"/>
        <w:snapToGrid w:val="0"/>
        <w:spacing w:line="460" w:lineRule="exact"/>
        <w:rPr>
          <w:rFonts w:ascii="宋体" w:hAnsi="宋体" w:cs="宋体"/>
          <w:sz w:val="24"/>
          <w:szCs w:val="24"/>
        </w:rPr>
      </w:pPr>
      <w:r>
        <w:rPr>
          <w:rFonts w:hint="eastAsia" w:ascii="宋体" w:hAnsi="宋体" w:cs="宋体"/>
          <w:sz w:val="24"/>
          <w:szCs w:val="24"/>
        </w:rPr>
        <w:t>13.2特殊情况下，采购人可于投标有效期期满之前，要求投标人同意延长投标有效期。投标人可以拒绝或同意上述要求，但要求与答复均须是书面文件。对于同意该要求的投标人，采购人既不要求也不允许其修改响应文件。</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14．磋商保证金</w:t>
      </w:r>
    </w:p>
    <w:p>
      <w:pPr>
        <w:adjustRightInd w:val="0"/>
        <w:snapToGrid w:val="0"/>
        <w:spacing w:line="460" w:lineRule="exact"/>
        <w:rPr>
          <w:rFonts w:ascii="宋体" w:hAnsi="宋体" w:cs="宋体"/>
          <w:sz w:val="24"/>
          <w:szCs w:val="24"/>
        </w:rPr>
      </w:pPr>
      <w:r>
        <w:rPr>
          <w:rFonts w:hint="eastAsia" w:ascii="宋体" w:hAnsi="宋体" w:cs="宋体"/>
          <w:sz w:val="24"/>
          <w:szCs w:val="24"/>
        </w:rPr>
        <w:t>14.1 磋商保证金的缴纳详见投标人须知前附表。未按规定提交磋商保证金的投标，将被视为投标无效。</w:t>
      </w:r>
    </w:p>
    <w:p>
      <w:pPr>
        <w:adjustRightInd w:val="0"/>
        <w:snapToGrid w:val="0"/>
        <w:spacing w:line="460" w:lineRule="exact"/>
        <w:rPr>
          <w:rFonts w:ascii="宋体" w:hAnsi="宋体" w:cs="宋体"/>
          <w:sz w:val="24"/>
          <w:szCs w:val="24"/>
        </w:rPr>
      </w:pPr>
      <w:r>
        <w:rPr>
          <w:rFonts w:hint="eastAsia" w:ascii="宋体" w:hAnsi="宋体" w:cs="宋体"/>
          <w:sz w:val="24"/>
          <w:szCs w:val="24"/>
        </w:rPr>
        <w:t>14.2 磋商保证金的退还详见投标人须知前附表。</w:t>
      </w:r>
    </w:p>
    <w:p>
      <w:pPr>
        <w:adjustRightInd w:val="0"/>
        <w:snapToGrid w:val="0"/>
        <w:spacing w:line="460" w:lineRule="exact"/>
        <w:rPr>
          <w:rFonts w:ascii="宋体" w:hAnsi="宋体" w:cs="宋体"/>
          <w:sz w:val="24"/>
          <w:szCs w:val="24"/>
        </w:rPr>
      </w:pPr>
      <w:r>
        <w:rPr>
          <w:rFonts w:hint="eastAsia" w:ascii="宋体" w:hAnsi="宋体" w:cs="宋体"/>
          <w:sz w:val="24"/>
          <w:szCs w:val="24"/>
        </w:rPr>
        <w:t>14.3 不予退还保证金的情形，详见投标人须知前附表。</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15. 响应文件的签署及规定</w:t>
      </w:r>
    </w:p>
    <w:p>
      <w:pPr>
        <w:adjustRightInd w:val="0"/>
        <w:snapToGrid w:val="0"/>
        <w:spacing w:line="460" w:lineRule="exact"/>
        <w:rPr>
          <w:rFonts w:ascii="宋体" w:hAnsi="宋体" w:cs="宋体"/>
          <w:sz w:val="24"/>
          <w:szCs w:val="24"/>
        </w:rPr>
      </w:pPr>
      <w:r>
        <w:rPr>
          <w:rFonts w:hint="eastAsia" w:ascii="宋体" w:hAnsi="宋体" w:cs="宋体"/>
          <w:sz w:val="24"/>
          <w:szCs w:val="24"/>
        </w:rPr>
        <w:t>15.1响应文件正本须打印或用不褪色的墨水书写，副本可为正本的复印件。</w:t>
      </w:r>
    </w:p>
    <w:p>
      <w:pPr>
        <w:adjustRightInd w:val="0"/>
        <w:snapToGrid w:val="0"/>
        <w:spacing w:line="460" w:lineRule="exact"/>
        <w:rPr>
          <w:rFonts w:ascii="宋体" w:hAnsi="宋体" w:cs="宋体"/>
          <w:sz w:val="24"/>
          <w:szCs w:val="24"/>
        </w:rPr>
      </w:pPr>
      <w:r>
        <w:rPr>
          <w:rFonts w:hint="eastAsia" w:ascii="宋体" w:hAnsi="宋体" w:cs="宋体"/>
          <w:sz w:val="24"/>
          <w:szCs w:val="24"/>
        </w:rPr>
        <w:t>15.2 响应文件应清楚工整，修改处应由投标单位法定代表人或授权代理人签章。</w:t>
      </w:r>
    </w:p>
    <w:p>
      <w:pPr>
        <w:adjustRightInd w:val="0"/>
        <w:snapToGrid w:val="0"/>
        <w:spacing w:line="460" w:lineRule="exact"/>
        <w:rPr>
          <w:rFonts w:ascii="宋体" w:hAnsi="宋体" w:cs="宋体"/>
          <w:sz w:val="24"/>
          <w:szCs w:val="24"/>
        </w:rPr>
      </w:pPr>
      <w:r>
        <w:rPr>
          <w:rFonts w:hint="eastAsia" w:ascii="宋体" w:hAnsi="宋体" w:cs="宋体"/>
          <w:sz w:val="24"/>
          <w:szCs w:val="24"/>
        </w:rPr>
        <w:t>15.3投标人的法定代表人或授权代理人在凡规定签章处逐一签署并加盖单位公章。</w:t>
      </w:r>
    </w:p>
    <w:p>
      <w:pPr>
        <w:adjustRightInd w:val="0"/>
        <w:snapToGrid w:val="0"/>
        <w:spacing w:line="460" w:lineRule="exact"/>
        <w:rPr>
          <w:rFonts w:ascii="宋体" w:hAnsi="宋体" w:cs="宋体"/>
          <w:sz w:val="24"/>
          <w:szCs w:val="24"/>
        </w:rPr>
      </w:pPr>
      <w:r>
        <w:rPr>
          <w:rFonts w:hint="eastAsia" w:ascii="宋体" w:hAnsi="宋体" w:cs="宋体"/>
          <w:sz w:val="24"/>
          <w:szCs w:val="24"/>
        </w:rPr>
        <w:t>15.4响应文件的份数详见投标人须知前附表。正本和副本应分别胶装成册，并在封面上标记“正本”和“副本”的字样，不得采用活页装订；响应文件应编制目录，并且逐页连续标注页码。</w:t>
      </w:r>
    </w:p>
    <w:p>
      <w:pPr>
        <w:adjustRightInd w:val="0"/>
        <w:snapToGrid w:val="0"/>
        <w:spacing w:line="460" w:lineRule="exact"/>
        <w:rPr>
          <w:rFonts w:ascii="宋体" w:hAnsi="宋体" w:cs="宋体"/>
          <w:sz w:val="24"/>
          <w:szCs w:val="24"/>
        </w:rPr>
      </w:pPr>
      <w:r>
        <w:rPr>
          <w:rFonts w:hint="eastAsia" w:ascii="宋体" w:hAnsi="宋体" w:cs="宋体"/>
          <w:sz w:val="24"/>
          <w:szCs w:val="24"/>
        </w:rPr>
        <w:t>15.5 当正本和副本之间出现差异时，以正本为准。</w:t>
      </w:r>
    </w:p>
    <w:p>
      <w:pPr>
        <w:adjustRightInd w:val="0"/>
        <w:snapToGrid w:val="0"/>
        <w:spacing w:line="460" w:lineRule="exact"/>
        <w:rPr>
          <w:rFonts w:ascii="宋体" w:hAnsi="宋体" w:cs="宋体"/>
          <w:sz w:val="24"/>
          <w:szCs w:val="24"/>
        </w:rPr>
      </w:pPr>
      <w:r>
        <w:rPr>
          <w:rFonts w:hint="eastAsia" w:ascii="宋体" w:hAnsi="宋体" w:cs="宋体"/>
          <w:sz w:val="24"/>
          <w:szCs w:val="24"/>
        </w:rPr>
        <w:t>15.6 电报、电话、传真形式的投标概不接受。</w:t>
      </w:r>
    </w:p>
    <w:p>
      <w:pPr>
        <w:adjustRightInd w:val="0"/>
        <w:snapToGrid w:val="0"/>
        <w:spacing w:line="460" w:lineRule="exact"/>
        <w:rPr>
          <w:rFonts w:ascii="宋体" w:hAnsi="宋体" w:cs="宋体"/>
          <w:sz w:val="24"/>
          <w:szCs w:val="24"/>
        </w:rPr>
      </w:pPr>
      <w:r>
        <w:rPr>
          <w:rFonts w:hint="eastAsia" w:ascii="宋体" w:hAnsi="宋体" w:cs="宋体"/>
          <w:sz w:val="24"/>
          <w:szCs w:val="24"/>
        </w:rPr>
        <w:t>15.7 所有已进入评审程序的响应文件，采购人及采购代理机构有权不予退还投标单位递交的响应文件。</w:t>
      </w:r>
    </w:p>
    <w:p>
      <w:bookmarkStart w:id="41" w:name="_Toc12004"/>
      <w:bookmarkStart w:id="42" w:name="_Toc29228"/>
    </w:p>
    <w:p>
      <w:r>
        <w:rPr>
          <w:rFonts w:hint="eastAsia"/>
        </w:rPr>
        <w:br w:type="page"/>
      </w:r>
    </w:p>
    <w:p>
      <w:pPr>
        <w:pStyle w:val="4"/>
        <w:rPr>
          <w:rFonts w:ascii="宋体" w:hAnsi="宋体" w:cs="宋体"/>
          <w:sz w:val="24"/>
          <w:szCs w:val="24"/>
        </w:rPr>
      </w:pPr>
      <w:bookmarkStart w:id="43" w:name="_Toc6917"/>
      <w:r>
        <w:rPr>
          <w:rFonts w:hint="eastAsia"/>
        </w:rPr>
        <w:t>第四章 响应文件的递交</w:t>
      </w:r>
      <w:bookmarkEnd w:id="41"/>
      <w:bookmarkEnd w:id="42"/>
      <w:bookmarkEnd w:id="43"/>
    </w:p>
    <w:p>
      <w:pPr>
        <w:adjustRightInd w:val="0"/>
        <w:snapToGrid w:val="0"/>
        <w:spacing w:line="460" w:lineRule="exact"/>
        <w:rPr>
          <w:rFonts w:ascii="宋体" w:hAnsi="宋体" w:cs="宋体"/>
          <w:sz w:val="24"/>
          <w:szCs w:val="24"/>
        </w:rPr>
      </w:pPr>
      <w:r>
        <w:rPr>
          <w:rFonts w:hint="eastAsia" w:ascii="宋体" w:hAnsi="宋体" w:cs="宋体"/>
          <w:b/>
          <w:bCs/>
          <w:sz w:val="24"/>
          <w:szCs w:val="24"/>
        </w:rPr>
        <w:t>16. 响应性文件的密封与标记</w:t>
      </w:r>
    </w:p>
    <w:p>
      <w:pPr>
        <w:adjustRightInd w:val="0"/>
        <w:snapToGrid w:val="0"/>
        <w:spacing w:line="460" w:lineRule="exact"/>
        <w:rPr>
          <w:rFonts w:ascii="宋体" w:hAnsi="宋体" w:cs="宋体"/>
          <w:sz w:val="24"/>
          <w:szCs w:val="24"/>
        </w:rPr>
      </w:pPr>
      <w:r>
        <w:rPr>
          <w:rFonts w:hint="eastAsia" w:ascii="宋体" w:hAnsi="宋体" w:cs="宋体"/>
          <w:sz w:val="24"/>
          <w:szCs w:val="24"/>
        </w:rPr>
        <w:t>16.1 响应文件的密封：详见投标人须知前附表。</w:t>
      </w:r>
    </w:p>
    <w:p>
      <w:pPr>
        <w:adjustRightInd w:val="0"/>
        <w:snapToGrid w:val="0"/>
        <w:spacing w:line="460" w:lineRule="exact"/>
        <w:rPr>
          <w:rFonts w:ascii="宋体" w:hAnsi="宋体" w:cs="宋体"/>
          <w:sz w:val="24"/>
          <w:szCs w:val="24"/>
        </w:rPr>
      </w:pPr>
      <w:r>
        <w:rPr>
          <w:rFonts w:hint="eastAsia" w:ascii="宋体" w:hAnsi="宋体" w:cs="宋体"/>
          <w:sz w:val="24"/>
          <w:szCs w:val="24"/>
        </w:rPr>
        <w:t>16.2如果投标人未按上述要求对响应文件密封及加写标记，采购代理机构对由此造成的文件的误投或过早启封概不负责，采购代理机构有权予以拒绝，并退回投标人。</w:t>
      </w:r>
    </w:p>
    <w:p>
      <w:pPr>
        <w:adjustRightInd w:val="0"/>
        <w:snapToGrid w:val="0"/>
        <w:spacing w:line="460" w:lineRule="exact"/>
        <w:rPr>
          <w:rFonts w:ascii="宋体" w:hAnsi="宋体" w:cs="宋体"/>
          <w:sz w:val="24"/>
          <w:szCs w:val="24"/>
        </w:rPr>
      </w:pPr>
      <w:r>
        <w:rPr>
          <w:rFonts w:hint="eastAsia" w:ascii="宋体" w:hAnsi="宋体" w:cs="宋体"/>
          <w:sz w:val="24"/>
          <w:szCs w:val="24"/>
        </w:rPr>
        <w:t>16.3 由于不可抗拒的原因或无法控制的事件而导致丢失或损坏投标包装体内的响应文件，采购人将不负责任。</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17. 响应文件递交截止时间</w:t>
      </w:r>
    </w:p>
    <w:p>
      <w:pPr>
        <w:adjustRightInd w:val="0"/>
        <w:snapToGrid w:val="0"/>
        <w:spacing w:line="460" w:lineRule="exact"/>
        <w:rPr>
          <w:rFonts w:ascii="宋体" w:hAnsi="宋体" w:cs="宋体"/>
          <w:sz w:val="24"/>
          <w:szCs w:val="24"/>
        </w:rPr>
      </w:pPr>
      <w:r>
        <w:rPr>
          <w:rFonts w:hint="eastAsia" w:ascii="宋体" w:hAnsi="宋体" w:cs="宋体"/>
          <w:sz w:val="24"/>
          <w:szCs w:val="24"/>
        </w:rPr>
        <w:t>17.1 响应文件的递交截止时间为磋商公告所规定的时间。响应文件以密封形式递交至指定的投标地点，采购人或者采购代理机构收到响应文件后，应当如实记载响应文件的送达时间和密封情况，签收保存，并向投标人出具签收回执。任何单位和个人不得在开标前开启响应文件。</w:t>
      </w:r>
    </w:p>
    <w:p>
      <w:pPr>
        <w:adjustRightInd w:val="0"/>
        <w:snapToGrid w:val="0"/>
        <w:spacing w:line="460" w:lineRule="exact"/>
        <w:rPr>
          <w:rFonts w:ascii="宋体" w:hAnsi="宋体" w:cs="宋体"/>
          <w:sz w:val="24"/>
          <w:szCs w:val="24"/>
        </w:rPr>
      </w:pPr>
      <w:r>
        <w:rPr>
          <w:rFonts w:hint="eastAsia" w:ascii="宋体" w:hAnsi="宋体" w:cs="宋体"/>
          <w:sz w:val="24"/>
          <w:szCs w:val="24"/>
        </w:rPr>
        <w:t>逾期送达或者未按照磋商文件要求密封的响应文件，采购人、采购代理机构应当拒收。</w:t>
      </w:r>
    </w:p>
    <w:p>
      <w:pPr>
        <w:adjustRightInd w:val="0"/>
        <w:snapToGrid w:val="0"/>
        <w:spacing w:line="460" w:lineRule="exact"/>
        <w:rPr>
          <w:rFonts w:ascii="宋体" w:hAnsi="宋体" w:cs="宋体"/>
          <w:sz w:val="24"/>
          <w:szCs w:val="24"/>
        </w:rPr>
      </w:pPr>
      <w:r>
        <w:rPr>
          <w:rFonts w:hint="eastAsia" w:ascii="宋体" w:hAnsi="宋体" w:cs="宋体"/>
          <w:sz w:val="24"/>
          <w:szCs w:val="24"/>
        </w:rPr>
        <w:t>17.2 出现因磋商文件的修改推迟投标截止时间时，则按采购人修改通知规定的时间递交。</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18. 响应文件的修改和撤回</w:t>
      </w:r>
    </w:p>
    <w:p>
      <w:pPr>
        <w:adjustRightInd w:val="0"/>
        <w:snapToGrid w:val="0"/>
        <w:spacing w:line="460" w:lineRule="exact"/>
        <w:rPr>
          <w:rFonts w:ascii="宋体" w:hAnsi="宋体" w:cs="宋体"/>
          <w:sz w:val="24"/>
          <w:szCs w:val="24"/>
        </w:rPr>
      </w:pPr>
      <w:r>
        <w:rPr>
          <w:rFonts w:hint="eastAsia" w:ascii="宋体" w:hAnsi="宋体" w:cs="宋体"/>
          <w:sz w:val="24"/>
          <w:szCs w:val="24"/>
        </w:rPr>
        <w:t>18.1投标人在投标截止时间前，可以对所递交的响应文件进行补充、修改或者撤回，并书面通知采购人或者采购代理机构。补充、修改的内容应当按照磋商文件要求签署、盖章、密封后，作为响应文件的组成部分。补充、修改的内容与响应文件不一致的，以补充、修改的内容为准。</w:t>
      </w:r>
    </w:p>
    <w:p>
      <w:pPr>
        <w:adjustRightInd w:val="0"/>
        <w:snapToGrid w:val="0"/>
        <w:spacing w:line="460" w:lineRule="exact"/>
        <w:rPr>
          <w:rFonts w:ascii="宋体" w:hAnsi="宋体" w:cs="宋体"/>
          <w:sz w:val="24"/>
          <w:szCs w:val="24"/>
        </w:rPr>
      </w:pPr>
      <w:r>
        <w:rPr>
          <w:rFonts w:hint="eastAsia" w:ascii="宋体" w:hAnsi="宋体" w:cs="宋体"/>
          <w:sz w:val="24"/>
          <w:szCs w:val="24"/>
        </w:rPr>
        <w:t>18.2对响应文件修改的书面材料应于投标截止日前送达采购人，投标截止时间以后不得修改响应文件。</w:t>
      </w:r>
    </w:p>
    <w:p>
      <w:pPr>
        <w:adjustRightInd w:val="0"/>
        <w:snapToGrid w:val="0"/>
        <w:spacing w:line="460" w:lineRule="exact"/>
        <w:rPr>
          <w:rFonts w:ascii="宋体" w:hAnsi="宋体" w:cs="宋体"/>
          <w:sz w:val="24"/>
          <w:szCs w:val="24"/>
        </w:rPr>
      </w:pPr>
      <w:r>
        <w:rPr>
          <w:rFonts w:hint="eastAsia" w:ascii="宋体" w:hAnsi="宋体" w:cs="宋体"/>
          <w:sz w:val="24"/>
          <w:szCs w:val="24"/>
        </w:rPr>
        <w:t>18.3 投标人不得在开标时间起至投标有效期期满前撤回响应文件。</w:t>
      </w:r>
    </w:p>
    <w:p>
      <w:pPr>
        <w:pStyle w:val="4"/>
      </w:pPr>
      <w:bookmarkStart w:id="44" w:name="_Toc15395"/>
      <w:bookmarkStart w:id="45" w:name="_Toc12378"/>
      <w:bookmarkStart w:id="46" w:name="_Toc19984"/>
      <w:r>
        <w:rPr>
          <w:rFonts w:hint="eastAsia"/>
        </w:rPr>
        <w:t>第五章  开 标</w:t>
      </w:r>
      <w:bookmarkEnd w:id="44"/>
      <w:bookmarkEnd w:id="45"/>
      <w:bookmarkEnd w:id="46"/>
    </w:p>
    <w:p>
      <w:pPr>
        <w:adjustRightInd w:val="0"/>
        <w:snapToGrid w:val="0"/>
        <w:spacing w:line="460" w:lineRule="exact"/>
        <w:rPr>
          <w:rFonts w:ascii="宋体" w:hAnsi="宋体" w:cs="宋体"/>
          <w:sz w:val="24"/>
          <w:szCs w:val="24"/>
        </w:rPr>
      </w:pPr>
      <w:r>
        <w:rPr>
          <w:rFonts w:hint="eastAsia" w:ascii="宋体" w:hAnsi="宋体" w:cs="宋体"/>
          <w:b/>
          <w:bCs/>
          <w:sz w:val="24"/>
          <w:szCs w:val="24"/>
        </w:rPr>
        <w:t>19．开标</w:t>
      </w:r>
    </w:p>
    <w:p>
      <w:pPr>
        <w:adjustRightInd w:val="0"/>
        <w:snapToGrid w:val="0"/>
        <w:spacing w:line="460" w:lineRule="exact"/>
        <w:rPr>
          <w:rFonts w:ascii="宋体" w:hAnsi="宋体" w:cs="宋体"/>
          <w:sz w:val="24"/>
          <w:szCs w:val="24"/>
        </w:rPr>
      </w:pPr>
      <w:r>
        <w:rPr>
          <w:rFonts w:hint="eastAsia" w:ascii="宋体" w:hAnsi="宋体" w:cs="宋体"/>
          <w:sz w:val="24"/>
          <w:szCs w:val="24"/>
        </w:rPr>
        <w:t>19.1 本次磋商将按磋商公告中规定的时间地点进行磋商，将邀请所有投标人的法定代表人或其授权代理人参加开标会。</w:t>
      </w:r>
    </w:p>
    <w:p>
      <w:pPr>
        <w:adjustRightInd w:val="0"/>
        <w:snapToGrid w:val="0"/>
        <w:spacing w:line="460" w:lineRule="exact"/>
        <w:rPr>
          <w:rFonts w:ascii="宋体" w:hAnsi="宋体" w:cs="宋体"/>
          <w:sz w:val="24"/>
          <w:szCs w:val="24"/>
        </w:rPr>
      </w:pPr>
      <w:r>
        <w:rPr>
          <w:rFonts w:hint="eastAsia" w:ascii="宋体" w:hAnsi="宋体" w:cs="宋体"/>
          <w:sz w:val="24"/>
          <w:szCs w:val="24"/>
        </w:rPr>
        <w:t>19.2开标由采购人或采购代理机构主持，邀请投标人参加，并做好录音、录像工作；录音录像应当清晰可辨，音像资料作为采购文件一并存档。</w:t>
      </w:r>
    </w:p>
    <w:p>
      <w:pPr>
        <w:adjustRightInd w:val="0"/>
        <w:snapToGrid w:val="0"/>
        <w:spacing w:line="460" w:lineRule="exact"/>
        <w:rPr>
          <w:rFonts w:ascii="宋体" w:hAnsi="宋体" w:cs="宋体"/>
          <w:sz w:val="24"/>
          <w:szCs w:val="24"/>
        </w:rPr>
      </w:pPr>
      <w:r>
        <w:rPr>
          <w:rFonts w:hint="eastAsia" w:ascii="宋体" w:hAnsi="宋体" w:cs="宋体"/>
          <w:sz w:val="24"/>
          <w:szCs w:val="24"/>
        </w:rPr>
        <w:t>19.3开标的顺序，按照递交响应文件的先后顺序进行。</w:t>
      </w:r>
    </w:p>
    <w:p>
      <w:pPr>
        <w:adjustRightInd w:val="0"/>
        <w:snapToGrid w:val="0"/>
        <w:spacing w:line="460" w:lineRule="exact"/>
        <w:rPr>
          <w:rFonts w:ascii="宋体" w:hAnsi="宋体" w:cs="宋体"/>
          <w:sz w:val="24"/>
          <w:szCs w:val="24"/>
        </w:rPr>
      </w:pPr>
      <w:r>
        <w:rPr>
          <w:rFonts w:hint="eastAsia" w:ascii="宋体" w:hAnsi="宋体" w:cs="宋体"/>
          <w:sz w:val="24"/>
          <w:szCs w:val="24"/>
        </w:rPr>
        <w:t>19.4</w:t>
      </w:r>
      <w:r>
        <w:rPr>
          <w:rFonts w:hint="eastAsia" w:ascii="宋体" w:hAnsi="宋体" w:cs="宋体"/>
          <w:b/>
          <w:bCs/>
          <w:sz w:val="24"/>
          <w:szCs w:val="24"/>
        </w:rPr>
        <w:t xml:space="preserve"> 开标现场须查验的证件详见附表1</w:t>
      </w:r>
      <w:r>
        <w:rPr>
          <w:rFonts w:hint="eastAsia" w:ascii="宋体" w:hAnsi="宋体" w:cs="宋体"/>
          <w:sz w:val="24"/>
          <w:szCs w:val="24"/>
        </w:rPr>
        <w:t>。</w:t>
      </w:r>
    </w:p>
    <w:p>
      <w:pPr>
        <w:adjustRightInd w:val="0"/>
        <w:snapToGrid w:val="0"/>
        <w:spacing w:line="460" w:lineRule="exact"/>
        <w:rPr>
          <w:rFonts w:ascii="宋体" w:hAnsi="宋体" w:cs="宋体"/>
          <w:sz w:val="24"/>
          <w:szCs w:val="24"/>
        </w:rPr>
      </w:pPr>
      <w:r>
        <w:rPr>
          <w:rFonts w:hint="eastAsia" w:ascii="宋体" w:hAnsi="宋体" w:cs="宋体"/>
          <w:sz w:val="24"/>
          <w:szCs w:val="24"/>
        </w:rPr>
        <w:t>19.5 查验证件结束后，由投标人或者其推选的代表检查响应文件的密封情况，确认无误后，开标结束进入评标环节。</w:t>
      </w:r>
    </w:p>
    <w:p>
      <w:pPr>
        <w:adjustRightInd w:val="0"/>
        <w:snapToGrid w:val="0"/>
        <w:spacing w:line="460" w:lineRule="exact"/>
        <w:rPr>
          <w:rFonts w:ascii="宋体" w:hAnsi="宋体" w:cs="宋体"/>
          <w:sz w:val="24"/>
          <w:szCs w:val="24"/>
        </w:rPr>
      </w:pPr>
      <w:r>
        <w:rPr>
          <w:rFonts w:hint="eastAsia" w:ascii="宋体" w:hAnsi="宋体" w:cs="宋体"/>
          <w:sz w:val="24"/>
          <w:szCs w:val="24"/>
        </w:rPr>
        <w:t>19.6开标过程应当由采购人或者采购代理机构负责记录，由参加开标的各投标人代表和相关工作人员签字确认后随采购文件一并存档。</w:t>
      </w:r>
    </w:p>
    <w:p>
      <w:pPr>
        <w:adjustRightInd w:val="0"/>
        <w:snapToGrid w:val="0"/>
        <w:spacing w:line="460" w:lineRule="exact"/>
        <w:rPr>
          <w:rFonts w:ascii="宋体" w:hAnsi="宋体" w:cs="宋体"/>
          <w:sz w:val="24"/>
          <w:szCs w:val="24"/>
        </w:rPr>
      </w:pPr>
      <w:r>
        <w:rPr>
          <w:rFonts w:hint="eastAsia" w:ascii="宋体" w:hAnsi="宋体" w:cs="宋体"/>
          <w:sz w:val="24"/>
          <w:szCs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附表1：资格审查</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816"/>
        <w:gridCol w:w="4785"/>
        <w:gridCol w:w="817"/>
        <w:gridCol w:w="81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3" w:type="dxa"/>
            <w:gridSpan w:val="2"/>
            <w:vMerge w:val="restar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审查内容</w:t>
            </w:r>
          </w:p>
        </w:tc>
        <w:tc>
          <w:tcPr>
            <w:tcW w:w="4785" w:type="dxa"/>
            <w:vMerge w:val="restar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审查标准</w:t>
            </w:r>
          </w:p>
        </w:tc>
        <w:tc>
          <w:tcPr>
            <w:tcW w:w="2513" w:type="dxa"/>
            <w:gridSpan w:val="3"/>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3" w:type="dxa"/>
            <w:gridSpan w:val="2"/>
            <w:vMerge w:val="continue"/>
            <w:vAlign w:val="center"/>
          </w:tcPr>
          <w:p>
            <w:pPr>
              <w:adjustRightInd w:val="0"/>
              <w:snapToGrid w:val="0"/>
              <w:spacing w:line="460" w:lineRule="exact"/>
              <w:rPr>
                <w:rFonts w:ascii="宋体" w:hAnsi="宋体" w:cs="宋体"/>
                <w:sz w:val="24"/>
                <w:szCs w:val="24"/>
              </w:rPr>
            </w:pPr>
          </w:p>
        </w:tc>
        <w:tc>
          <w:tcPr>
            <w:tcW w:w="4785" w:type="dxa"/>
            <w:vMerge w:val="continue"/>
            <w:vAlign w:val="center"/>
          </w:tcPr>
          <w:p>
            <w:pPr>
              <w:adjustRightInd w:val="0"/>
              <w:snapToGrid w:val="0"/>
              <w:spacing w:line="460" w:lineRule="exact"/>
              <w:rPr>
                <w:rFonts w:ascii="宋体" w:hAnsi="宋体" w:cs="宋体"/>
                <w:sz w:val="24"/>
                <w:szCs w:val="24"/>
              </w:rPr>
            </w:pPr>
          </w:p>
        </w:tc>
        <w:tc>
          <w:tcPr>
            <w:tcW w:w="81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1</w:t>
            </w:r>
          </w:p>
        </w:tc>
        <w:tc>
          <w:tcPr>
            <w:tcW w:w="818"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2</w:t>
            </w:r>
          </w:p>
        </w:tc>
        <w:tc>
          <w:tcPr>
            <w:tcW w:w="878"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1</w:t>
            </w:r>
          </w:p>
        </w:tc>
        <w:tc>
          <w:tcPr>
            <w:tcW w:w="1816"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营业执照</w:t>
            </w:r>
          </w:p>
        </w:tc>
        <w:tc>
          <w:tcPr>
            <w:tcW w:w="4785"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有效的营业执照复印件且加盖单位公章；</w:t>
            </w:r>
          </w:p>
        </w:tc>
        <w:tc>
          <w:tcPr>
            <w:tcW w:w="817" w:type="dxa"/>
            <w:vAlign w:val="center"/>
          </w:tcPr>
          <w:p>
            <w:pPr>
              <w:adjustRightInd w:val="0"/>
              <w:snapToGrid w:val="0"/>
              <w:spacing w:line="460" w:lineRule="exact"/>
              <w:rPr>
                <w:rFonts w:ascii="宋体" w:hAnsi="宋体" w:cs="宋体"/>
                <w:sz w:val="24"/>
                <w:szCs w:val="24"/>
              </w:rPr>
            </w:pPr>
          </w:p>
        </w:tc>
        <w:tc>
          <w:tcPr>
            <w:tcW w:w="818" w:type="dxa"/>
          </w:tcPr>
          <w:p>
            <w:pPr>
              <w:adjustRightInd w:val="0"/>
              <w:snapToGrid w:val="0"/>
              <w:spacing w:line="460" w:lineRule="exact"/>
              <w:rPr>
                <w:rFonts w:ascii="宋体" w:hAnsi="宋体" w:cs="宋体"/>
                <w:sz w:val="24"/>
                <w:szCs w:val="24"/>
              </w:rPr>
            </w:pPr>
          </w:p>
        </w:tc>
        <w:tc>
          <w:tcPr>
            <w:tcW w:w="878" w:type="dxa"/>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5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2</w:t>
            </w:r>
          </w:p>
        </w:tc>
        <w:tc>
          <w:tcPr>
            <w:tcW w:w="1816"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（2）法定代表人授权委托书及有效身份证明原件（如投标人代表为企业法定代表人，则需要提供有效身份证明及法定代表人身份证明书原件），以证明其身份；</w:t>
            </w:r>
          </w:p>
        </w:tc>
        <w:tc>
          <w:tcPr>
            <w:tcW w:w="4785"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法定代表人授权委托书及有效身份证明原件（如投标人代表为企业法定代表人，则需要提供有效身份证明及法定代表人身份证明书原件），以证明其身份；</w:t>
            </w:r>
          </w:p>
        </w:tc>
        <w:tc>
          <w:tcPr>
            <w:tcW w:w="817" w:type="dxa"/>
            <w:vAlign w:val="center"/>
          </w:tcPr>
          <w:p>
            <w:pPr>
              <w:adjustRightInd w:val="0"/>
              <w:snapToGrid w:val="0"/>
              <w:spacing w:line="460" w:lineRule="exact"/>
              <w:rPr>
                <w:rFonts w:ascii="宋体" w:hAnsi="宋体" w:cs="宋体"/>
                <w:sz w:val="24"/>
                <w:szCs w:val="24"/>
              </w:rPr>
            </w:pPr>
          </w:p>
        </w:tc>
        <w:tc>
          <w:tcPr>
            <w:tcW w:w="818" w:type="dxa"/>
          </w:tcPr>
          <w:p>
            <w:pPr>
              <w:adjustRightInd w:val="0"/>
              <w:snapToGrid w:val="0"/>
              <w:spacing w:line="460" w:lineRule="exact"/>
              <w:rPr>
                <w:rFonts w:ascii="宋体" w:hAnsi="宋体" w:cs="宋体"/>
                <w:sz w:val="24"/>
                <w:szCs w:val="24"/>
              </w:rPr>
            </w:pPr>
          </w:p>
        </w:tc>
        <w:tc>
          <w:tcPr>
            <w:tcW w:w="878" w:type="dxa"/>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3</w:t>
            </w:r>
          </w:p>
        </w:tc>
        <w:tc>
          <w:tcPr>
            <w:tcW w:w="1816"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有效的投标保证金凭据。</w:t>
            </w:r>
          </w:p>
        </w:tc>
        <w:tc>
          <w:tcPr>
            <w:tcW w:w="4785"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有效的磋商保证金凭据。</w:t>
            </w:r>
          </w:p>
        </w:tc>
        <w:tc>
          <w:tcPr>
            <w:tcW w:w="817" w:type="dxa"/>
            <w:vAlign w:val="center"/>
          </w:tcPr>
          <w:p>
            <w:pPr>
              <w:adjustRightInd w:val="0"/>
              <w:snapToGrid w:val="0"/>
              <w:spacing w:line="460" w:lineRule="exact"/>
              <w:rPr>
                <w:rFonts w:ascii="宋体" w:hAnsi="宋体" w:cs="宋体"/>
                <w:sz w:val="24"/>
                <w:szCs w:val="24"/>
              </w:rPr>
            </w:pPr>
          </w:p>
        </w:tc>
        <w:tc>
          <w:tcPr>
            <w:tcW w:w="818" w:type="dxa"/>
          </w:tcPr>
          <w:p>
            <w:pPr>
              <w:adjustRightInd w:val="0"/>
              <w:snapToGrid w:val="0"/>
              <w:spacing w:line="460" w:lineRule="exact"/>
              <w:rPr>
                <w:rFonts w:ascii="宋体" w:hAnsi="宋体" w:cs="宋体"/>
                <w:sz w:val="24"/>
                <w:szCs w:val="24"/>
              </w:rPr>
            </w:pPr>
          </w:p>
        </w:tc>
        <w:tc>
          <w:tcPr>
            <w:tcW w:w="878" w:type="dxa"/>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8" w:type="dxa"/>
            <w:gridSpan w:val="3"/>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资格审查结果</w:t>
            </w:r>
          </w:p>
        </w:tc>
        <w:tc>
          <w:tcPr>
            <w:tcW w:w="817" w:type="dxa"/>
            <w:vAlign w:val="center"/>
          </w:tcPr>
          <w:p>
            <w:pPr>
              <w:adjustRightInd w:val="0"/>
              <w:snapToGrid w:val="0"/>
              <w:spacing w:line="460" w:lineRule="exact"/>
              <w:rPr>
                <w:rFonts w:ascii="宋体" w:hAnsi="宋体" w:cs="宋体"/>
                <w:sz w:val="24"/>
                <w:szCs w:val="24"/>
              </w:rPr>
            </w:pPr>
          </w:p>
        </w:tc>
        <w:tc>
          <w:tcPr>
            <w:tcW w:w="818" w:type="dxa"/>
          </w:tcPr>
          <w:p>
            <w:pPr>
              <w:adjustRightInd w:val="0"/>
              <w:snapToGrid w:val="0"/>
              <w:spacing w:line="460" w:lineRule="exact"/>
              <w:rPr>
                <w:rFonts w:ascii="宋体" w:hAnsi="宋体" w:cs="宋体"/>
                <w:sz w:val="24"/>
                <w:szCs w:val="24"/>
              </w:rPr>
            </w:pPr>
          </w:p>
        </w:tc>
        <w:tc>
          <w:tcPr>
            <w:tcW w:w="878" w:type="dxa"/>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8" w:type="dxa"/>
            <w:gridSpan w:val="3"/>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不通过理由说明</w:t>
            </w:r>
          </w:p>
        </w:tc>
        <w:tc>
          <w:tcPr>
            <w:tcW w:w="817" w:type="dxa"/>
            <w:vAlign w:val="center"/>
          </w:tcPr>
          <w:p>
            <w:pPr>
              <w:adjustRightInd w:val="0"/>
              <w:snapToGrid w:val="0"/>
              <w:spacing w:line="460" w:lineRule="exact"/>
              <w:rPr>
                <w:rFonts w:ascii="宋体" w:hAnsi="宋体" w:cs="宋体"/>
                <w:sz w:val="24"/>
                <w:szCs w:val="24"/>
              </w:rPr>
            </w:pPr>
          </w:p>
        </w:tc>
        <w:tc>
          <w:tcPr>
            <w:tcW w:w="818" w:type="dxa"/>
          </w:tcPr>
          <w:p>
            <w:pPr>
              <w:adjustRightInd w:val="0"/>
              <w:snapToGrid w:val="0"/>
              <w:spacing w:line="460" w:lineRule="exact"/>
              <w:rPr>
                <w:rFonts w:ascii="宋体" w:hAnsi="宋体" w:cs="宋体"/>
                <w:sz w:val="24"/>
                <w:szCs w:val="24"/>
              </w:rPr>
            </w:pPr>
          </w:p>
        </w:tc>
        <w:tc>
          <w:tcPr>
            <w:tcW w:w="878" w:type="dxa"/>
          </w:tcPr>
          <w:p>
            <w:pPr>
              <w:adjustRightInd w:val="0"/>
              <w:snapToGrid w:val="0"/>
              <w:spacing w:line="460" w:lineRule="exact"/>
              <w:rPr>
                <w:rFonts w:ascii="宋体" w:hAnsi="宋体" w:cs="宋体"/>
                <w:sz w:val="24"/>
                <w:szCs w:val="24"/>
              </w:rPr>
            </w:pPr>
          </w:p>
        </w:tc>
      </w:tr>
    </w:tbl>
    <w:p>
      <w:pPr>
        <w:adjustRightInd w:val="0"/>
        <w:snapToGrid w:val="0"/>
        <w:spacing w:line="460" w:lineRule="exact"/>
        <w:rPr>
          <w:rFonts w:ascii="宋体" w:hAnsi="宋体" w:cs="宋体"/>
          <w:sz w:val="24"/>
          <w:szCs w:val="24"/>
        </w:rPr>
      </w:pPr>
      <w:r>
        <w:rPr>
          <w:rFonts w:hint="eastAsia" w:ascii="宋体" w:hAnsi="宋体" w:cs="宋体"/>
          <w:sz w:val="24"/>
          <w:szCs w:val="24"/>
        </w:rPr>
        <w:t>1.资格审查合格的打“√”，不合格的打“×”。</w:t>
      </w:r>
    </w:p>
    <w:p>
      <w:pPr>
        <w:adjustRightInd w:val="0"/>
        <w:snapToGrid w:val="0"/>
        <w:spacing w:line="460" w:lineRule="exact"/>
        <w:rPr>
          <w:rFonts w:ascii="宋体" w:hAnsi="宋体" w:cs="宋体"/>
          <w:sz w:val="24"/>
          <w:szCs w:val="24"/>
        </w:rPr>
      </w:pPr>
      <w:r>
        <w:rPr>
          <w:rFonts w:hint="eastAsia" w:ascii="宋体" w:hAnsi="宋体" w:cs="宋体"/>
          <w:sz w:val="24"/>
          <w:szCs w:val="24"/>
        </w:rPr>
        <w:t>2.资格审查结果，通过打“√”，不通过的打“×”。</w:t>
      </w:r>
    </w:p>
    <w:p>
      <w:pPr>
        <w:adjustRightInd w:val="0"/>
        <w:snapToGrid w:val="0"/>
        <w:spacing w:line="460" w:lineRule="exact"/>
        <w:rPr>
          <w:rFonts w:ascii="宋体" w:hAnsi="宋体" w:cs="宋体"/>
          <w:sz w:val="24"/>
          <w:szCs w:val="24"/>
        </w:rPr>
      </w:pPr>
      <w:r>
        <w:rPr>
          <w:rFonts w:hint="eastAsia" w:ascii="宋体" w:hAnsi="宋体" w:cs="宋体"/>
          <w:sz w:val="24"/>
          <w:szCs w:val="24"/>
        </w:rPr>
        <w:t>3.请填写不通过资格审查的供应商的原因。</w:t>
      </w:r>
    </w:p>
    <w:p>
      <w:pPr>
        <w:adjustRightInd w:val="0"/>
        <w:snapToGrid w:val="0"/>
        <w:spacing w:line="460" w:lineRule="exact"/>
        <w:rPr>
          <w:rFonts w:ascii="宋体" w:hAnsi="宋体" w:cs="宋体"/>
          <w:sz w:val="24"/>
          <w:szCs w:val="24"/>
        </w:rPr>
      </w:pPr>
      <w:r>
        <w:rPr>
          <w:rFonts w:hint="eastAsia" w:ascii="宋体" w:hAnsi="宋体" w:cs="宋体"/>
          <w:sz w:val="24"/>
          <w:szCs w:val="24"/>
        </w:rPr>
        <w:t>17.2　已经进行资格预审的，可以不再对供应商资格进行审查，资格预审合格的供应商在评审阶段资格发生变化的，应当通知采购人和采购代理机构。</w:t>
      </w:r>
    </w:p>
    <w:p>
      <w:pPr>
        <w:adjustRightInd w:val="0"/>
        <w:snapToGrid w:val="0"/>
        <w:spacing w:line="460" w:lineRule="exact"/>
        <w:rPr>
          <w:rFonts w:ascii="宋体" w:hAnsi="宋体" w:cs="宋体"/>
          <w:sz w:val="24"/>
          <w:szCs w:val="24"/>
        </w:rPr>
      </w:pPr>
    </w:p>
    <w:p>
      <w:pPr>
        <w:pStyle w:val="4"/>
        <w:rPr>
          <w:rFonts w:ascii="宋体" w:hAnsi="宋体" w:cs="宋体"/>
          <w:sz w:val="24"/>
          <w:szCs w:val="24"/>
        </w:rPr>
      </w:pPr>
      <w:bookmarkStart w:id="47" w:name="_Toc22551"/>
      <w:bookmarkStart w:id="48" w:name="_Toc10747"/>
      <w:bookmarkStart w:id="49" w:name="_Toc28230"/>
      <w:r>
        <w:rPr>
          <w:rFonts w:hint="eastAsia"/>
        </w:rPr>
        <w:t>第六章  评 标</w:t>
      </w:r>
      <w:bookmarkEnd w:id="47"/>
      <w:bookmarkEnd w:id="48"/>
      <w:bookmarkEnd w:id="49"/>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20.磋商小组</w:t>
      </w:r>
    </w:p>
    <w:p>
      <w:pPr>
        <w:adjustRightInd w:val="0"/>
        <w:snapToGrid w:val="0"/>
        <w:spacing w:line="460" w:lineRule="exact"/>
        <w:rPr>
          <w:rFonts w:ascii="宋体" w:hAnsi="宋体" w:cs="宋体"/>
          <w:sz w:val="24"/>
          <w:szCs w:val="24"/>
        </w:rPr>
      </w:pPr>
      <w:r>
        <w:rPr>
          <w:rFonts w:hint="eastAsia" w:ascii="宋体" w:hAnsi="宋体" w:cs="宋体"/>
          <w:sz w:val="24"/>
          <w:szCs w:val="24"/>
        </w:rPr>
        <w:t>20.1 采购人将根据《中华人民共和国政府采购法》及相关的法律、法规等，依法组建本次招标的磋商小组，负责本次招标的评审、评标等活动。磋商小组负责向采购人推荐成交候选人或者根据采购人的授权直接确定成交人。</w:t>
      </w:r>
    </w:p>
    <w:p>
      <w:pPr>
        <w:adjustRightInd w:val="0"/>
        <w:snapToGrid w:val="0"/>
        <w:spacing w:line="460" w:lineRule="exact"/>
        <w:rPr>
          <w:rFonts w:ascii="宋体" w:hAnsi="宋体" w:cs="宋体"/>
          <w:sz w:val="24"/>
          <w:szCs w:val="24"/>
        </w:rPr>
      </w:pPr>
      <w:r>
        <w:rPr>
          <w:rFonts w:hint="eastAsia" w:ascii="宋体" w:hAnsi="宋体" w:cs="宋体"/>
          <w:sz w:val="24"/>
          <w:szCs w:val="24"/>
        </w:rPr>
        <w:t>20.2 磋商小组成员名单在评标结果公告前应当保密。</w:t>
      </w:r>
    </w:p>
    <w:p>
      <w:pPr>
        <w:adjustRightInd w:val="0"/>
        <w:snapToGrid w:val="0"/>
        <w:spacing w:line="4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20.3 磋商小组由采购人代表及评审专家组成，成员人数为3人，其中评审专家不得少于成员总数的三分之二。</w:t>
      </w:r>
    </w:p>
    <w:p>
      <w:pPr>
        <w:adjustRightInd w:val="0"/>
        <w:snapToGrid w:val="0"/>
        <w:spacing w:line="460" w:lineRule="exact"/>
        <w:rPr>
          <w:rFonts w:ascii="宋体" w:hAnsi="宋体" w:cs="宋体"/>
          <w:sz w:val="24"/>
          <w:szCs w:val="24"/>
        </w:rPr>
      </w:pPr>
      <w:r>
        <w:rPr>
          <w:rFonts w:hint="eastAsia" w:ascii="宋体" w:hAnsi="宋体" w:cs="宋体"/>
          <w:sz w:val="24"/>
          <w:szCs w:val="24"/>
        </w:rPr>
        <w:t>20.4采购人或者采购代理机构应当从省级以上财政部门设立的政府采购评审专家库中，通过随机方式抽取评审专家。</w:t>
      </w:r>
    </w:p>
    <w:p>
      <w:pPr>
        <w:adjustRightInd w:val="0"/>
        <w:snapToGrid w:val="0"/>
        <w:spacing w:line="460" w:lineRule="exact"/>
        <w:rPr>
          <w:rFonts w:ascii="宋体" w:hAnsi="宋体" w:cs="宋体"/>
          <w:sz w:val="24"/>
          <w:szCs w:val="24"/>
        </w:rPr>
      </w:pPr>
      <w:r>
        <w:rPr>
          <w:rFonts w:hint="eastAsia" w:ascii="宋体" w:hAnsi="宋体" w:cs="宋体"/>
          <w:sz w:val="24"/>
          <w:szCs w:val="24"/>
        </w:rPr>
        <w:t>对技术复杂、专业性强的采购项目，通过随机方式难以确定合适评审专家的，经主管预算单位同意，采购人可以自行选定相应专业领域的评审专家。</w:t>
      </w:r>
    </w:p>
    <w:p>
      <w:pPr>
        <w:adjustRightInd w:val="0"/>
        <w:snapToGrid w:val="0"/>
        <w:spacing w:line="460" w:lineRule="exact"/>
        <w:rPr>
          <w:rFonts w:ascii="宋体" w:hAnsi="宋体" w:cs="宋体"/>
          <w:sz w:val="24"/>
          <w:szCs w:val="24"/>
        </w:rPr>
      </w:pPr>
      <w:r>
        <w:rPr>
          <w:rFonts w:hint="eastAsia" w:ascii="宋体" w:hAnsi="宋体" w:cs="宋体"/>
          <w:sz w:val="24"/>
          <w:szCs w:val="24"/>
        </w:rPr>
        <w:t>20.5评标中因评审成员缺席、回避或者健康等特殊原因导致磋商小组组成不符合相关规定的，采购人或者采购代理机构应当依法补足后继续评标。被更换的评审小组成员所作出的评标意见无效。</w:t>
      </w:r>
    </w:p>
    <w:p>
      <w:pPr>
        <w:adjustRightInd w:val="0"/>
        <w:snapToGrid w:val="0"/>
        <w:spacing w:line="460" w:lineRule="exact"/>
        <w:rPr>
          <w:rFonts w:ascii="宋体" w:hAnsi="宋体" w:cs="宋体"/>
          <w:sz w:val="24"/>
          <w:szCs w:val="24"/>
        </w:rPr>
      </w:pPr>
      <w:r>
        <w:rPr>
          <w:rFonts w:hint="eastAsia" w:ascii="宋体" w:hAnsi="宋体" w:cs="宋体"/>
          <w:sz w:val="24"/>
          <w:szCs w:val="24"/>
        </w:rPr>
        <w:t>无法及时补足磋商小组成员的，采购人或者采购代理机构应当停止评标活动，封存所有响应文件和开标、评标资料，依法重新组建评审小组进行评标。原磋商小组所作出的评标意见无效。</w:t>
      </w:r>
    </w:p>
    <w:p>
      <w:pPr>
        <w:adjustRightInd w:val="0"/>
        <w:snapToGrid w:val="0"/>
        <w:spacing w:line="460" w:lineRule="exact"/>
        <w:rPr>
          <w:rFonts w:ascii="宋体" w:hAnsi="宋体" w:cs="宋体"/>
          <w:sz w:val="24"/>
          <w:szCs w:val="24"/>
        </w:rPr>
      </w:pPr>
      <w:r>
        <w:rPr>
          <w:rFonts w:hint="eastAsia" w:ascii="宋体" w:hAnsi="宋体" w:cs="宋体"/>
          <w:sz w:val="24"/>
          <w:szCs w:val="24"/>
        </w:rPr>
        <w:t>采购人或者采购代理机构应当将变更、重新组建磋商小组的情况予以记录，并随采购文件一并存档。</w:t>
      </w:r>
    </w:p>
    <w:p>
      <w:pPr>
        <w:adjustRightInd w:val="0"/>
        <w:snapToGrid w:val="0"/>
        <w:spacing w:line="460" w:lineRule="exact"/>
        <w:rPr>
          <w:rFonts w:ascii="宋体" w:hAnsi="宋体" w:cs="宋体"/>
          <w:sz w:val="24"/>
          <w:szCs w:val="24"/>
        </w:rPr>
      </w:pPr>
      <w:r>
        <w:rPr>
          <w:rFonts w:hint="eastAsia" w:ascii="宋体" w:hAnsi="宋体" w:cs="宋体"/>
          <w:sz w:val="24"/>
          <w:szCs w:val="24"/>
        </w:rPr>
        <w:t>20.6评标专家应符合下列条件：</w:t>
      </w:r>
    </w:p>
    <w:p>
      <w:pPr>
        <w:adjustRightInd w:val="0"/>
        <w:snapToGrid w:val="0"/>
        <w:spacing w:line="460" w:lineRule="exact"/>
        <w:rPr>
          <w:rFonts w:ascii="宋体" w:hAnsi="宋体" w:cs="宋体"/>
          <w:sz w:val="24"/>
          <w:szCs w:val="24"/>
        </w:rPr>
      </w:pPr>
      <w:r>
        <w:rPr>
          <w:rFonts w:hint="eastAsia" w:ascii="宋体" w:hAnsi="宋体" w:cs="宋体"/>
          <w:sz w:val="24"/>
          <w:szCs w:val="24"/>
        </w:rPr>
        <w:t>20.6.1具有良好的职业道德，廉洁自律，遵纪守法，无行贿、受贿、欺诈等不良信用记录；</w:t>
      </w:r>
    </w:p>
    <w:p>
      <w:pPr>
        <w:adjustRightInd w:val="0"/>
        <w:snapToGrid w:val="0"/>
        <w:spacing w:line="460" w:lineRule="exact"/>
        <w:rPr>
          <w:rFonts w:ascii="宋体" w:hAnsi="宋体" w:cs="宋体"/>
          <w:sz w:val="24"/>
          <w:szCs w:val="24"/>
        </w:rPr>
      </w:pPr>
      <w:r>
        <w:rPr>
          <w:rFonts w:hint="eastAsia" w:ascii="宋体" w:hAnsi="宋体" w:cs="宋体"/>
          <w:sz w:val="24"/>
          <w:szCs w:val="24"/>
        </w:rPr>
        <w:t>20.6.2具有中级专业技术职称或同等专业水平且从事相关领域工作满8年，或者具有高级专业技术职称或同等专业水平；</w:t>
      </w:r>
    </w:p>
    <w:p>
      <w:pPr>
        <w:adjustRightInd w:val="0"/>
        <w:snapToGrid w:val="0"/>
        <w:spacing w:line="460" w:lineRule="exact"/>
        <w:rPr>
          <w:rFonts w:ascii="宋体" w:hAnsi="宋体" w:cs="宋体"/>
          <w:sz w:val="24"/>
          <w:szCs w:val="24"/>
        </w:rPr>
      </w:pPr>
      <w:r>
        <w:rPr>
          <w:rFonts w:hint="eastAsia" w:ascii="宋体" w:hAnsi="宋体" w:cs="宋体"/>
          <w:sz w:val="24"/>
          <w:szCs w:val="24"/>
        </w:rPr>
        <w:t>20.6.3 熟悉政府采购相关政策法规；</w:t>
      </w:r>
    </w:p>
    <w:p>
      <w:pPr>
        <w:adjustRightInd w:val="0"/>
        <w:snapToGrid w:val="0"/>
        <w:spacing w:line="460" w:lineRule="exact"/>
        <w:rPr>
          <w:rFonts w:ascii="宋体" w:hAnsi="宋体" w:cs="宋体"/>
          <w:sz w:val="24"/>
          <w:szCs w:val="24"/>
        </w:rPr>
      </w:pPr>
      <w:r>
        <w:rPr>
          <w:rFonts w:hint="eastAsia" w:ascii="宋体" w:hAnsi="宋体" w:cs="宋体"/>
          <w:sz w:val="24"/>
          <w:szCs w:val="24"/>
        </w:rPr>
        <w:t>20.6.4承诺以独立身份参加评审工作，依法履行评审专家工作职责并承担相应法律责任的中国公民；</w:t>
      </w:r>
    </w:p>
    <w:p>
      <w:pPr>
        <w:adjustRightInd w:val="0"/>
        <w:snapToGrid w:val="0"/>
        <w:spacing w:line="460" w:lineRule="exact"/>
        <w:rPr>
          <w:rFonts w:ascii="宋体" w:hAnsi="宋体" w:cs="宋体"/>
          <w:sz w:val="24"/>
          <w:szCs w:val="24"/>
        </w:rPr>
      </w:pPr>
      <w:r>
        <w:rPr>
          <w:rFonts w:hint="eastAsia" w:ascii="宋体" w:hAnsi="宋体" w:cs="宋体"/>
          <w:sz w:val="24"/>
          <w:szCs w:val="24"/>
        </w:rPr>
        <w:t>20.6.5 身体健康，能够承担评审工作；</w:t>
      </w:r>
    </w:p>
    <w:p>
      <w:pPr>
        <w:adjustRightInd w:val="0"/>
        <w:snapToGrid w:val="0"/>
        <w:spacing w:line="460" w:lineRule="exact"/>
        <w:rPr>
          <w:rFonts w:ascii="宋体" w:hAnsi="宋体" w:cs="宋体"/>
          <w:sz w:val="24"/>
          <w:szCs w:val="24"/>
        </w:rPr>
      </w:pPr>
      <w:r>
        <w:rPr>
          <w:rFonts w:hint="eastAsia" w:ascii="宋体" w:hAnsi="宋体" w:cs="宋体"/>
          <w:sz w:val="24"/>
          <w:szCs w:val="24"/>
        </w:rPr>
        <w:t>20.6.6 申请成为评审专家前三年内，无《政府采购评审专家管理办法》中规定的不良行为记录。</w:t>
      </w:r>
    </w:p>
    <w:p>
      <w:pPr>
        <w:adjustRightInd w:val="0"/>
        <w:snapToGrid w:val="0"/>
        <w:spacing w:line="460" w:lineRule="exact"/>
        <w:rPr>
          <w:rFonts w:ascii="宋体" w:hAnsi="宋体" w:cs="宋体"/>
          <w:sz w:val="24"/>
          <w:szCs w:val="24"/>
        </w:rPr>
      </w:pPr>
      <w:r>
        <w:rPr>
          <w:rFonts w:hint="eastAsia" w:ascii="宋体" w:hAnsi="宋体" w:cs="宋体"/>
          <w:sz w:val="24"/>
          <w:szCs w:val="24"/>
        </w:rPr>
        <w:t>有下列情形之一的，不得担任评审小组成员：</w:t>
      </w:r>
    </w:p>
    <w:p>
      <w:pPr>
        <w:adjustRightInd w:val="0"/>
        <w:snapToGrid w:val="0"/>
        <w:spacing w:line="460" w:lineRule="exact"/>
        <w:rPr>
          <w:rFonts w:ascii="宋体" w:hAnsi="宋体" w:cs="宋体"/>
          <w:sz w:val="24"/>
          <w:szCs w:val="24"/>
        </w:rPr>
      </w:pPr>
      <w:r>
        <w:rPr>
          <w:rFonts w:hint="eastAsia" w:ascii="宋体" w:hAnsi="宋体" w:cs="宋体"/>
          <w:sz w:val="24"/>
          <w:szCs w:val="24"/>
        </w:rPr>
        <w:t>(1)参加采购活动前三年内，与供应商存在劳动关系，或者担任过供应商的董事、监事,或者是供应商的控股股东或实际控制人；</w:t>
      </w:r>
    </w:p>
    <w:p>
      <w:pPr>
        <w:adjustRightInd w:val="0"/>
        <w:snapToGrid w:val="0"/>
        <w:spacing w:line="460" w:lineRule="exact"/>
        <w:rPr>
          <w:rFonts w:ascii="宋体" w:hAnsi="宋体" w:cs="宋体"/>
          <w:sz w:val="24"/>
          <w:szCs w:val="24"/>
        </w:rPr>
      </w:pPr>
      <w:r>
        <w:rPr>
          <w:rFonts w:hint="eastAsia" w:ascii="宋体" w:hAnsi="宋体" w:cs="宋体"/>
          <w:sz w:val="24"/>
          <w:szCs w:val="24"/>
        </w:rPr>
        <w:t>(2)与供应商的法定代表人或者负责人有夫妻、直系血亲、三代以内旁系血亲或者近姻亲关系；</w:t>
      </w:r>
    </w:p>
    <w:p>
      <w:pPr>
        <w:adjustRightInd w:val="0"/>
        <w:snapToGrid w:val="0"/>
        <w:spacing w:line="460" w:lineRule="exact"/>
        <w:rPr>
          <w:rFonts w:ascii="宋体" w:hAnsi="宋体" w:cs="宋体"/>
          <w:sz w:val="24"/>
          <w:szCs w:val="24"/>
        </w:rPr>
      </w:pPr>
      <w:r>
        <w:rPr>
          <w:rFonts w:hint="eastAsia" w:ascii="宋体" w:hAnsi="宋体" w:cs="宋体"/>
          <w:sz w:val="24"/>
          <w:szCs w:val="24"/>
        </w:rPr>
        <w:t>(3)与供应商有其他可能影响政府采购活动公平、公正进行的关系。</w:t>
      </w:r>
    </w:p>
    <w:p>
      <w:pPr>
        <w:adjustRightInd w:val="0"/>
        <w:snapToGrid w:val="0"/>
        <w:spacing w:line="460" w:lineRule="exact"/>
        <w:rPr>
          <w:rFonts w:ascii="宋体" w:hAnsi="宋体" w:cs="宋体"/>
          <w:sz w:val="24"/>
          <w:szCs w:val="24"/>
        </w:rPr>
      </w:pPr>
      <w:r>
        <w:rPr>
          <w:rFonts w:hint="eastAsia" w:ascii="宋体" w:hAnsi="宋体" w:cs="宋体"/>
          <w:sz w:val="24"/>
          <w:szCs w:val="24"/>
        </w:rPr>
        <w:t>20.7 磋商小组负责具体评标事务，并独立履行下列职责：</w:t>
      </w:r>
    </w:p>
    <w:p>
      <w:pPr>
        <w:adjustRightInd w:val="0"/>
        <w:snapToGrid w:val="0"/>
        <w:spacing w:line="460" w:lineRule="exact"/>
        <w:rPr>
          <w:rFonts w:ascii="宋体" w:hAnsi="宋体" w:cs="宋体"/>
          <w:sz w:val="24"/>
          <w:szCs w:val="24"/>
        </w:rPr>
      </w:pPr>
      <w:r>
        <w:rPr>
          <w:rFonts w:hint="eastAsia" w:ascii="宋体" w:hAnsi="宋体" w:cs="宋体"/>
          <w:sz w:val="24"/>
          <w:szCs w:val="24"/>
        </w:rPr>
        <w:t>(1)审查、评价响应文件是否符合磋商文件的商务、技术等实质性要求；</w:t>
      </w:r>
    </w:p>
    <w:p>
      <w:pPr>
        <w:adjustRightInd w:val="0"/>
        <w:snapToGrid w:val="0"/>
        <w:spacing w:line="460" w:lineRule="exact"/>
        <w:rPr>
          <w:rFonts w:ascii="宋体" w:hAnsi="宋体" w:cs="宋体"/>
          <w:sz w:val="24"/>
          <w:szCs w:val="24"/>
        </w:rPr>
      </w:pPr>
      <w:r>
        <w:rPr>
          <w:rFonts w:hint="eastAsia" w:ascii="宋体" w:hAnsi="宋体" w:cs="宋体"/>
          <w:sz w:val="24"/>
          <w:szCs w:val="24"/>
        </w:rPr>
        <w:t>(2)要求投标人对响应文件的有关事项作出澄清或者说明；</w:t>
      </w:r>
    </w:p>
    <w:p>
      <w:pPr>
        <w:adjustRightInd w:val="0"/>
        <w:snapToGrid w:val="0"/>
        <w:spacing w:line="460" w:lineRule="exact"/>
        <w:rPr>
          <w:rFonts w:ascii="宋体" w:hAnsi="宋体" w:cs="宋体"/>
          <w:sz w:val="24"/>
          <w:szCs w:val="24"/>
        </w:rPr>
      </w:pPr>
      <w:r>
        <w:rPr>
          <w:rFonts w:hint="eastAsia" w:ascii="宋体" w:hAnsi="宋体" w:cs="宋体"/>
          <w:sz w:val="24"/>
          <w:szCs w:val="24"/>
        </w:rPr>
        <w:t>(3)对响应文件进行比较和评价；</w:t>
      </w:r>
    </w:p>
    <w:p>
      <w:pPr>
        <w:adjustRightInd w:val="0"/>
        <w:snapToGrid w:val="0"/>
        <w:spacing w:line="460" w:lineRule="exact"/>
        <w:rPr>
          <w:rFonts w:ascii="宋体" w:hAnsi="宋体" w:cs="宋体"/>
          <w:sz w:val="24"/>
          <w:szCs w:val="24"/>
        </w:rPr>
      </w:pPr>
      <w:r>
        <w:rPr>
          <w:rFonts w:hint="eastAsia" w:ascii="宋体" w:hAnsi="宋体" w:cs="宋体"/>
          <w:sz w:val="24"/>
          <w:szCs w:val="24"/>
        </w:rPr>
        <w:t>(4)确定中标候选人名单，以及根据采购人委托直接确定中标人；</w:t>
      </w:r>
    </w:p>
    <w:p>
      <w:pPr>
        <w:adjustRightInd w:val="0"/>
        <w:snapToGrid w:val="0"/>
        <w:spacing w:line="460" w:lineRule="exact"/>
        <w:rPr>
          <w:rFonts w:ascii="宋体" w:hAnsi="宋体" w:cs="宋体"/>
          <w:sz w:val="24"/>
          <w:szCs w:val="24"/>
        </w:rPr>
      </w:pPr>
      <w:r>
        <w:rPr>
          <w:rFonts w:hint="eastAsia" w:ascii="宋体" w:hAnsi="宋体" w:cs="宋体"/>
          <w:sz w:val="24"/>
          <w:szCs w:val="24"/>
        </w:rPr>
        <w:t>(5)向采购人、采购代理机构或者有关部门报告评标中发现的违法行为。</w:t>
      </w:r>
    </w:p>
    <w:p>
      <w:pPr>
        <w:adjustRightInd w:val="0"/>
        <w:snapToGrid w:val="0"/>
        <w:spacing w:line="460" w:lineRule="exact"/>
        <w:rPr>
          <w:rFonts w:ascii="宋体" w:hAnsi="宋体" w:cs="宋体"/>
          <w:sz w:val="24"/>
          <w:szCs w:val="24"/>
        </w:rPr>
      </w:pPr>
      <w:r>
        <w:rPr>
          <w:rFonts w:hint="eastAsia" w:ascii="宋体" w:hAnsi="宋体" w:cs="宋体"/>
          <w:sz w:val="24"/>
          <w:szCs w:val="24"/>
        </w:rPr>
        <w:t>20.8磋商小组及其成员不得有下列行为：</w:t>
      </w:r>
    </w:p>
    <w:p>
      <w:pPr>
        <w:adjustRightInd w:val="0"/>
        <w:snapToGrid w:val="0"/>
        <w:spacing w:line="460" w:lineRule="exact"/>
        <w:rPr>
          <w:rFonts w:ascii="宋体" w:hAnsi="宋体" w:cs="宋体"/>
          <w:sz w:val="24"/>
          <w:szCs w:val="24"/>
        </w:rPr>
      </w:pPr>
      <w:r>
        <w:rPr>
          <w:rFonts w:hint="eastAsia" w:ascii="宋体" w:hAnsi="宋体" w:cs="宋体"/>
          <w:sz w:val="24"/>
          <w:szCs w:val="24"/>
        </w:rPr>
        <w:t>(1)确定参与评标至评标结束前私自接触投标人；</w:t>
      </w:r>
    </w:p>
    <w:p>
      <w:pPr>
        <w:adjustRightInd w:val="0"/>
        <w:snapToGrid w:val="0"/>
        <w:spacing w:line="460" w:lineRule="exact"/>
        <w:rPr>
          <w:rFonts w:ascii="宋体" w:hAnsi="宋体" w:cs="宋体"/>
          <w:sz w:val="24"/>
          <w:szCs w:val="24"/>
        </w:rPr>
      </w:pPr>
      <w:r>
        <w:rPr>
          <w:rFonts w:hint="eastAsia" w:ascii="宋体" w:hAnsi="宋体" w:cs="宋体"/>
          <w:sz w:val="24"/>
          <w:szCs w:val="24"/>
        </w:rPr>
        <w:t>(2)接受投标人提出的与响应文件不一致的澄清或者说明，本磋商文件第26.1款规定的情形除外；</w:t>
      </w:r>
    </w:p>
    <w:p>
      <w:pPr>
        <w:adjustRightInd w:val="0"/>
        <w:snapToGrid w:val="0"/>
        <w:spacing w:line="460" w:lineRule="exact"/>
        <w:rPr>
          <w:rFonts w:ascii="宋体" w:hAnsi="宋体" w:cs="宋体"/>
          <w:sz w:val="24"/>
          <w:szCs w:val="24"/>
        </w:rPr>
      </w:pPr>
      <w:r>
        <w:rPr>
          <w:rFonts w:hint="eastAsia" w:ascii="宋体" w:hAnsi="宋体" w:cs="宋体"/>
          <w:sz w:val="24"/>
          <w:szCs w:val="24"/>
        </w:rPr>
        <w:t>(3)违反评标纪律发表倾向性意见或者征询采购人的倾向性意见；</w:t>
      </w:r>
    </w:p>
    <w:p>
      <w:pPr>
        <w:adjustRightInd w:val="0"/>
        <w:snapToGrid w:val="0"/>
        <w:spacing w:line="460" w:lineRule="exact"/>
        <w:rPr>
          <w:rFonts w:ascii="宋体" w:hAnsi="宋体" w:cs="宋体"/>
          <w:sz w:val="24"/>
          <w:szCs w:val="24"/>
        </w:rPr>
      </w:pPr>
      <w:r>
        <w:rPr>
          <w:rFonts w:hint="eastAsia" w:ascii="宋体" w:hAnsi="宋体" w:cs="宋体"/>
          <w:sz w:val="24"/>
          <w:szCs w:val="24"/>
        </w:rPr>
        <w:t>(4)对需要专业判断的主观评审因素协商评分；</w:t>
      </w:r>
    </w:p>
    <w:p>
      <w:pPr>
        <w:adjustRightInd w:val="0"/>
        <w:snapToGrid w:val="0"/>
        <w:spacing w:line="460" w:lineRule="exact"/>
        <w:rPr>
          <w:rFonts w:ascii="宋体" w:hAnsi="宋体" w:cs="宋体"/>
          <w:sz w:val="24"/>
          <w:szCs w:val="24"/>
        </w:rPr>
      </w:pPr>
      <w:r>
        <w:rPr>
          <w:rFonts w:hint="eastAsia" w:ascii="宋体" w:hAnsi="宋体" w:cs="宋体"/>
          <w:sz w:val="24"/>
          <w:szCs w:val="24"/>
        </w:rPr>
        <w:t>(5)在评标过程中擅离职守，影响评标程序正常进行的；</w:t>
      </w:r>
    </w:p>
    <w:p>
      <w:pPr>
        <w:adjustRightInd w:val="0"/>
        <w:snapToGrid w:val="0"/>
        <w:spacing w:line="460" w:lineRule="exact"/>
        <w:rPr>
          <w:rFonts w:ascii="宋体" w:hAnsi="宋体" w:cs="宋体"/>
          <w:sz w:val="24"/>
          <w:szCs w:val="24"/>
        </w:rPr>
      </w:pPr>
      <w:r>
        <w:rPr>
          <w:rFonts w:hint="eastAsia" w:ascii="宋体" w:hAnsi="宋体" w:cs="宋体"/>
          <w:sz w:val="24"/>
          <w:szCs w:val="24"/>
        </w:rPr>
        <w:t>(6)记录、复制或者带走任何评标资料；</w:t>
      </w:r>
    </w:p>
    <w:p>
      <w:pPr>
        <w:adjustRightInd w:val="0"/>
        <w:snapToGrid w:val="0"/>
        <w:spacing w:line="460" w:lineRule="exact"/>
        <w:rPr>
          <w:rFonts w:ascii="宋体" w:hAnsi="宋体" w:cs="宋体"/>
          <w:sz w:val="24"/>
          <w:szCs w:val="24"/>
        </w:rPr>
      </w:pPr>
      <w:r>
        <w:rPr>
          <w:rFonts w:hint="eastAsia" w:ascii="宋体" w:hAnsi="宋体" w:cs="宋体"/>
          <w:sz w:val="24"/>
          <w:szCs w:val="24"/>
        </w:rPr>
        <w:t>(7)其他不遵守评标纪律的行为。</w:t>
      </w:r>
    </w:p>
    <w:p>
      <w:pPr>
        <w:adjustRightInd w:val="0"/>
        <w:snapToGrid w:val="0"/>
        <w:spacing w:line="460" w:lineRule="exact"/>
        <w:rPr>
          <w:rFonts w:ascii="宋体" w:hAnsi="宋体" w:cs="宋体"/>
          <w:sz w:val="24"/>
          <w:szCs w:val="24"/>
        </w:rPr>
      </w:pPr>
      <w:r>
        <w:rPr>
          <w:rFonts w:hint="eastAsia" w:ascii="宋体" w:hAnsi="宋体" w:cs="宋体"/>
          <w:sz w:val="24"/>
          <w:szCs w:val="24"/>
        </w:rPr>
        <w:t>评审小组成员有前款第(1)至(5)项行为之一的，其评审意见无效，并不得获取评审劳务报酬和报销异地评审差旅费。</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21.评审过程的保密性</w:t>
      </w:r>
    </w:p>
    <w:p>
      <w:pPr>
        <w:adjustRightInd w:val="0"/>
        <w:snapToGrid w:val="0"/>
        <w:spacing w:line="460" w:lineRule="exact"/>
        <w:rPr>
          <w:rFonts w:ascii="宋体" w:hAnsi="宋体" w:cs="宋体"/>
          <w:sz w:val="24"/>
          <w:szCs w:val="24"/>
        </w:rPr>
      </w:pPr>
      <w:r>
        <w:rPr>
          <w:rFonts w:hint="eastAsia" w:ascii="宋体" w:hAnsi="宋体" w:cs="宋体"/>
          <w:sz w:val="24"/>
          <w:szCs w:val="24"/>
        </w:rPr>
        <w:t>21.1采购人、采购代理机构应当采取必要措施，保证评审在严格保密的情况下进行。除采购人代表、评审现场组织人员外，采购人的其他工作人员以及与评审工作无关的人员不得进入评审现场。</w:t>
      </w:r>
    </w:p>
    <w:p>
      <w:pPr>
        <w:adjustRightInd w:val="0"/>
        <w:snapToGrid w:val="0"/>
        <w:spacing w:line="460" w:lineRule="exact"/>
        <w:rPr>
          <w:rFonts w:ascii="宋体" w:hAnsi="宋体" w:cs="宋体"/>
          <w:sz w:val="24"/>
          <w:szCs w:val="24"/>
        </w:rPr>
      </w:pPr>
      <w:r>
        <w:rPr>
          <w:rFonts w:hint="eastAsia" w:ascii="宋体" w:hAnsi="宋体" w:cs="宋体"/>
          <w:sz w:val="24"/>
          <w:szCs w:val="24"/>
        </w:rPr>
        <w:t>21.2开标后，直到授予中标人合同为止，凡属于对响应文件的审查、澄清、评价和比较的有关资料以及中标候选人的推荐情况和授标建议等内容、与评标有关的其他任何情况均应严格保密；磋商小组成员及参与评标的有关工作人员均不得向投标人或其他无关的人员透露，违者给予警告、取消担任磋商小组成员的资格。</w:t>
      </w:r>
    </w:p>
    <w:p>
      <w:pPr>
        <w:adjustRightInd w:val="0"/>
        <w:snapToGrid w:val="0"/>
        <w:spacing w:line="460" w:lineRule="exact"/>
        <w:rPr>
          <w:rFonts w:ascii="宋体" w:hAnsi="宋体" w:cs="宋体"/>
          <w:sz w:val="24"/>
          <w:szCs w:val="24"/>
        </w:rPr>
      </w:pPr>
      <w:r>
        <w:rPr>
          <w:rFonts w:hint="eastAsia" w:ascii="宋体" w:hAnsi="宋体" w:cs="宋体"/>
          <w:sz w:val="24"/>
          <w:szCs w:val="24"/>
        </w:rPr>
        <w:t>21.3投标供应商在评审过程中，所进行的力图影响评审结果的、不符合《中华人民共和国政府采购法》及其相关法律、法规的、以及不符合本次招标的有关规定的活动，将被取消其中标资格。</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22. 评审依据及评标办法</w:t>
      </w:r>
    </w:p>
    <w:p>
      <w:pPr>
        <w:adjustRightInd w:val="0"/>
        <w:snapToGrid w:val="0"/>
        <w:spacing w:line="460" w:lineRule="exact"/>
        <w:rPr>
          <w:rFonts w:ascii="宋体" w:hAnsi="宋体" w:cs="宋体"/>
          <w:sz w:val="24"/>
          <w:szCs w:val="24"/>
        </w:rPr>
      </w:pPr>
      <w:r>
        <w:rPr>
          <w:rFonts w:hint="eastAsia" w:ascii="宋体" w:hAnsi="宋体" w:cs="宋体"/>
          <w:sz w:val="24"/>
          <w:szCs w:val="24"/>
        </w:rPr>
        <w:t>22.1 评审的依据：采购人的磋商文件和投标人的响应文件。</w:t>
      </w:r>
    </w:p>
    <w:p>
      <w:pPr>
        <w:adjustRightInd w:val="0"/>
        <w:snapToGrid w:val="0"/>
        <w:spacing w:line="460" w:lineRule="exact"/>
        <w:rPr>
          <w:rFonts w:ascii="宋体" w:hAnsi="宋体" w:cs="宋体"/>
          <w:sz w:val="24"/>
          <w:szCs w:val="24"/>
        </w:rPr>
      </w:pPr>
      <w:r>
        <w:rPr>
          <w:rFonts w:hint="eastAsia" w:ascii="宋体" w:hAnsi="宋体" w:cs="宋体"/>
          <w:sz w:val="24"/>
          <w:szCs w:val="24"/>
        </w:rPr>
        <w:t>22.2 评标办法：综合评分法</w:t>
      </w:r>
    </w:p>
    <w:p>
      <w:pPr>
        <w:adjustRightInd w:val="0"/>
        <w:snapToGrid w:val="0"/>
        <w:spacing w:line="460" w:lineRule="exact"/>
        <w:rPr>
          <w:rFonts w:ascii="宋体" w:hAnsi="宋体" w:cs="宋体"/>
          <w:sz w:val="24"/>
          <w:szCs w:val="24"/>
        </w:rPr>
      </w:pPr>
      <w:r>
        <w:rPr>
          <w:rFonts w:hint="eastAsia" w:ascii="宋体" w:hAnsi="宋体" w:cs="宋体"/>
          <w:sz w:val="24"/>
          <w:szCs w:val="24"/>
        </w:rPr>
        <w:t>综合评分法，是指响应文件满足磋商文件全部实质性要求，且按照评审因素的量化指标评审得分最高的投标人为中标候选人的评标方法。</w:t>
      </w:r>
    </w:p>
    <w:p>
      <w:pPr>
        <w:adjustRightInd w:val="0"/>
        <w:snapToGrid w:val="0"/>
        <w:spacing w:line="460" w:lineRule="exact"/>
        <w:rPr>
          <w:rFonts w:ascii="宋体" w:hAnsi="宋体" w:cs="宋体"/>
          <w:sz w:val="24"/>
          <w:szCs w:val="24"/>
        </w:rPr>
      </w:pPr>
      <w:r>
        <w:rPr>
          <w:rFonts w:hint="eastAsia" w:ascii="宋体" w:hAnsi="宋体" w:cs="宋体"/>
          <w:sz w:val="24"/>
          <w:szCs w:val="24"/>
        </w:rPr>
        <w:t>22.3 评审程序：</w:t>
      </w:r>
      <w:r>
        <w:rPr>
          <w:rFonts w:hint="eastAsia" w:ascii="宋体" w:hAnsi="宋体" w:cs="宋体"/>
          <w:sz w:val="24"/>
          <w:szCs w:val="24"/>
        </w:rPr>
        <w:tab/>
      </w:r>
    </w:p>
    <w:p>
      <w:pPr>
        <w:adjustRightInd w:val="0"/>
        <w:snapToGrid w:val="0"/>
        <w:spacing w:line="460" w:lineRule="exact"/>
        <w:rPr>
          <w:rFonts w:ascii="宋体" w:hAnsi="宋体" w:cs="宋体"/>
          <w:sz w:val="24"/>
          <w:szCs w:val="24"/>
        </w:rPr>
      </w:pPr>
      <w:r>
        <w:rPr>
          <w:rFonts w:hint="eastAsia" w:ascii="宋体" w:hAnsi="宋体" w:cs="宋体"/>
          <w:b/>
          <w:bCs/>
          <w:sz w:val="24"/>
          <w:szCs w:val="24"/>
        </w:rPr>
        <w:t>成立磋商小组→初步评审（符合性审查）→错误性修正→详细评审（商务、技术部分评审，报价得分计算）→推荐成交候选人→完成评审报告</w:t>
      </w:r>
    </w:p>
    <w:p>
      <w:pPr>
        <w:adjustRightInd w:val="0"/>
        <w:snapToGrid w:val="0"/>
        <w:spacing w:line="460" w:lineRule="exact"/>
        <w:rPr>
          <w:rFonts w:ascii="宋体" w:hAnsi="宋体" w:cs="宋体"/>
          <w:sz w:val="24"/>
          <w:szCs w:val="24"/>
        </w:rPr>
      </w:pPr>
      <w:r>
        <w:rPr>
          <w:rFonts w:hint="eastAsia" w:ascii="宋体" w:hAnsi="宋体" w:cs="宋体"/>
          <w:sz w:val="24"/>
          <w:szCs w:val="24"/>
        </w:rPr>
        <w:t>通过初步评审的响应文件，方可进入下一环节的评审。</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23. 初步评审</w:t>
      </w:r>
    </w:p>
    <w:p>
      <w:pPr>
        <w:adjustRightInd w:val="0"/>
        <w:snapToGrid w:val="0"/>
        <w:spacing w:line="460" w:lineRule="exact"/>
        <w:rPr>
          <w:rFonts w:ascii="宋体" w:hAnsi="宋体" w:cs="宋体"/>
          <w:sz w:val="24"/>
          <w:szCs w:val="24"/>
        </w:rPr>
      </w:pPr>
      <w:r>
        <w:rPr>
          <w:rFonts w:hint="eastAsia" w:ascii="宋体" w:hAnsi="宋体" w:cs="宋体"/>
          <w:sz w:val="24"/>
          <w:szCs w:val="24"/>
        </w:rPr>
        <w:t>23.1  磋商小组对响应文件的有效性、完整性和响应程度进行审查时，应当以书面方式要求投标人对响应文件中含义不明确、对同类问题表述不一致或者有明显文字和计算错误的内容作必要的澄清、说明或补正。</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投标人的澄清、说明或补正应以书面方式进行，并加盖公章，或者由法定代表人或其授权的代表签字。投标人的澄清、说明或者补正不得超出响应文件的范围或者改变磋商文件的实质性内容。 </w:t>
      </w:r>
    </w:p>
    <w:p>
      <w:pPr>
        <w:adjustRightInd w:val="0"/>
        <w:snapToGrid w:val="0"/>
        <w:spacing w:line="460" w:lineRule="exact"/>
        <w:rPr>
          <w:rFonts w:ascii="宋体" w:hAnsi="宋体" w:cs="宋体"/>
          <w:sz w:val="24"/>
          <w:szCs w:val="24"/>
        </w:rPr>
      </w:pPr>
      <w:r>
        <w:rPr>
          <w:rFonts w:hint="eastAsia" w:ascii="宋体" w:hAnsi="宋体" w:cs="宋体"/>
          <w:sz w:val="24"/>
          <w:szCs w:val="24"/>
        </w:rPr>
        <w:t>按上述规定，经投标人确认后，对投标人起约束作用。如果投标人不确认的，则其投标无效。</w:t>
      </w:r>
    </w:p>
    <w:p>
      <w:pPr>
        <w:adjustRightInd w:val="0"/>
        <w:snapToGrid w:val="0"/>
        <w:spacing w:line="460" w:lineRule="exact"/>
        <w:rPr>
          <w:rFonts w:ascii="宋体" w:hAnsi="宋体" w:cs="宋体"/>
          <w:sz w:val="24"/>
          <w:szCs w:val="24"/>
        </w:rPr>
      </w:pPr>
      <w:r>
        <w:rPr>
          <w:rFonts w:hint="eastAsia" w:ascii="宋体" w:hAnsi="宋体" w:cs="宋体"/>
          <w:sz w:val="24"/>
          <w:szCs w:val="24"/>
        </w:rPr>
        <w:t>23.2  采购方不接受不符合国家有关部门相关规定的投标报价或优惠方案。</w:t>
      </w:r>
    </w:p>
    <w:p>
      <w:pPr>
        <w:adjustRightInd w:val="0"/>
        <w:snapToGrid w:val="0"/>
        <w:spacing w:line="460" w:lineRule="exact"/>
        <w:rPr>
          <w:rFonts w:ascii="宋体" w:hAnsi="宋体" w:cs="宋体"/>
          <w:sz w:val="24"/>
          <w:szCs w:val="24"/>
        </w:rPr>
      </w:pPr>
      <w:r>
        <w:rPr>
          <w:rFonts w:hint="eastAsia" w:ascii="宋体" w:hAnsi="宋体" w:cs="宋体"/>
          <w:sz w:val="24"/>
          <w:szCs w:val="24"/>
        </w:rPr>
        <w:t>23.3  在评审过程中，磋商小组发现投标人以他人名义投标、串通投标、以行贿手段谋取中标或者以其他弄虚作假方式投标的，该投标人的投标将被否决。</w:t>
      </w:r>
    </w:p>
    <w:p>
      <w:pPr>
        <w:adjustRightInd w:val="0"/>
        <w:snapToGrid w:val="0"/>
        <w:spacing w:line="460" w:lineRule="exact"/>
        <w:rPr>
          <w:rFonts w:ascii="宋体" w:hAnsi="宋体" w:cs="宋体"/>
          <w:sz w:val="24"/>
          <w:szCs w:val="24"/>
        </w:rPr>
      </w:pPr>
      <w:r>
        <w:rPr>
          <w:rFonts w:hint="eastAsia" w:ascii="宋体" w:hAnsi="宋体" w:cs="宋体"/>
          <w:sz w:val="24"/>
          <w:szCs w:val="24"/>
        </w:rPr>
        <w:t>23.4  有下列情形之一的，视为投标人串通投标，其投标无效：</w:t>
      </w:r>
    </w:p>
    <w:p>
      <w:pPr>
        <w:adjustRightInd w:val="0"/>
        <w:snapToGrid w:val="0"/>
        <w:spacing w:line="460" w:lineRule="exact"/>
        <w:rPr>
          <w:rFonts w:ascii="宋体" w:hAnsi="宋体" w:cs="宋体"/>
          <w:sz w:val="24"/>
          <w:szCs w:val="24"/>
        </w:rPr>
      </w:pPr>
      <w:r>
        <w:rPr>
          <w:rFonts w:hint="eastAsia" w:ascii="宋体" w:hAnsi="宋体" w:cs="宋体"/>
          <w:sz w:val="24"/>
          <w:szCs w:val="24"/>
        </w:rPr>
        <w:t>(1)不同投标人的响应文件由同一单位或者个人编制；</w:t>
      </w:r>
    </w:p>
    <w:p>
      <w:pPr>
        <w:adjustRightInd w:val="0"/>
        <w:snapToGrid w:val="0"/>
        <w:spacing w:line="460" w:lineRule="exact"/>
        <w:rPr>
          <w:rFonts w:ascii="宋体" w:hAnsi="宋体" w:cs="宋体"/>
          <w:sz w:val="24"/>
          <w:szCs w:val="24"/>
        </w:rPr>
      </w:pPr>
      <w:r>
        <w:rPr>
          <w:rFonts w:hint="eastAsia" w:ascii="宋体" w:hAnsi="宋体" w:cs="宋体"/>
          <w:sz w:val="24"/>
          <w:szCs w:val="24"/>
        </w:rPr>
        <w:t>(2)不同投标人委托同一单位或者个人办理投标事宜；</w:t>
      </w:r>
    </w:p>
    <w:p>
      <w:pPr>
        <w:adjustRightInd w:val="0"/>
        <w:snapToGrid w:val="0"/>
        <w:spacing w:line="460" w:lineRule="exact"/>
        <w:rPr>
          <w:rFonts w:ascii="宋体" w:hAnsi="宋体" w:cs="宋体"/>
          <w:sz w:val="24"/>
          <w:szCs w:val="24"/>
        </w:rPr>
      </w:pPr>
      <w:r>
        <w:rPr>
          <w:rFonts w:hint="eastAsia" w:ascii="宋体" w:hAnsi="宋体" w:cs="宋体"/>
          <w:sz w:val="24"/>
          <w:szCs w:val="24"/>
        </w:rPr>
        <w:t>(3)不同投标人的响应文件载明的项目管理成员或者联系人员为同一人；</w:t>
      </w:r>
    </w:p>
    <w:p>
      <w:pPr>
        <w:adjustRightInd w:val="0"/>
        <w:snapToGrid w:val="0"/>
        <w:spacing w:line="460" w:lineRule="exact"/>
        <w:rPr>
          <w:rFonts w:ascii="宋体" w:hAnsi="宋体" w:cs="宋体"/>
          <w:sz w:val="24"/>
          <w:szCs w:val="24"/>
        </w:rPr>
      </w:pPr>
      <w:r>
        <w:rPr>
          <w:rFonts w:hint="eastAsia" w:ascii="宋体" w:hAnsi="宋体" w:cs="宋体"/>
          <w:sz w:val="24"/>
          <w:szCs w:val="24"/>
        </w:rPr>
        <w:t>(4)不同投标人的响应文件异常一致或者投标报价呈规律性差异；</w:t>
      </w:r>
    </w:p>
    <w:p>
      <w:pPr>
        <w:adjustRightInd w:val="0"/>
        <w:snapToGrid w:val="0"/>
        <w:spacing w:line="460" w:lineRule="exact"/>
        <w:rPr>
          <w:rFonts w:ascii="宋体" w:hAnsi="宋体" w:cs="宋体"/>
          <w:sz w:val="24"/>
          <w:szCs w:val="24"/>
        </w:rPr>
      </w:pPr>
      <w:r>
        <w:rPr>
          <w:rFonts w:hint="eastAsia" w:ascii="宋体" w:hAnsi="宋体" w:cs="宋体"/>
          <w:sz w:val="24"/>
          <w:szCs w:val="24"/>
        </w:rPr>
        <w:t>(5)不同投标人的响应文件相互混装；</w:t>
      </w:r>
    </w:p>
    <w:p>
      <w:pPr>
        <w:adjustRightInd w:val="0"/>
        <w:snapToGrid w:val="0"/>
        <w:spacing w:line="460" w:lineRule="exact"/>
        <w:rPr>
          <w:rFonts w:ascii="宋体" w:hAnsi="宋体" w:cs="宋体"/>
          <w:sz w:val="24"/>
          <w:szCs w:val="24"/>
        </w:rPr>
      </w:pPr>
      <w:r>
        <w:rPr>
          <w:rFonts w:hint="eastAsia" w:ascii="宋体" w:hAnsi="宋体" w:cs="宋体"/>
          <w:sz w:val="24"/>
          <w:szCs w:val="24"/>
        </w:rPr>
        <w:t>(6)不同投标人的磋商保证金从同一单位或者个人的账户转出。</w:t>
      </w:r>
    </w:p>
    <w:p>
      <w:pPr>
        <w:adjustRightInd w:val="0"/>
        <w:snapToGrid w:val="0"/>
        <w:spacing w:line="460" w:lineRule="exact"/>
        <w:rPr>
          <w:rFonts w:ascii="宋体" w:hAnsi="宋体" w:cs="宋体"/>
          <w:sz w:val="24"/>
          <w:szCs w:val="24"/>
        </w:rPr>
      </w:pPr>
      <w:r>
        <w:rPr>
          <w:rFonts w:hint="eastAsia" w:ascii="宋体" w:hAnsi="宋体" w:cs="宋体"/>
          <w:sz w:val="24"/>
          <w:szCs w:val="24"/>
        </w:rPr>
        <w:t>23.5  投标人存在下列情况之一的，投标无效：</w:t>
      </w:r>
    </w:p>
    <w:p>
      <w:pPr>
        <w:adjustRightInd w:val="0"/>
        <w:snapToGrid w:val="0"/>
        <w:spacing w:line="460" w:lineRule="exact"/>
        <w:rPr>
          <w:rFonts w:ascii="宋体" w:hAnsi="宋体" w:cs="宋体"/>
          <w:sz w:val="24"/>
          <w:szCs w:val="24"/>
        </w:rPr>
      </w:pPr>
      <w:r>
        <w:rPr>
          <w:rFonts w:hint="eastAsia" w:ascii="宋体" w:hAnsi="宋体" w:cs="宋体"/>
          <w:sz w:val="24"/>
          <w:szCs w:val="24"/>
        </w:rPr>
        <w:t>(1)未按照商文件的规定提交磋商保证金的；</w:t>
      </w:r>
    </w:p>
    <w:p>
      <w:pPr>
        <w:adjustRightInd w:val="0"/>
        <w:snapToGrid w:val="0"/>
        <w:spacing w:line="460" w:lineRule="exact"/>
        <w:rPr>
          <w:rFonts w:ascii="宋体" w:hAnsi="宋体" w:cs="宋体"/>
          <w:sz w:val="24"/>
          <w:szCs w:val="24"/>
        </w:rPr>
      </w:pPr>
      <w:r>
        <w:rPr>
          <w:rFonts w:hint="eastAsia" w:ascii="宋体" w:hAnsi="宋体" w:cs="宋体"/>
          <w:sz w:val="24"/>
          <w:szCs w:val="24"/>
        </w:rPr>
        <w:t>(2)响应文件未按磋商文件要求签署、盖章的；</w:t>
      </w:r>
    </w:p>
    <w:p>
      <w:pPr>
        <w:adjustRightInd w:val="0"/>
        <w:snapToGrid w:val="0"/>
        <w:spacing w:line="460" w:lineRule="exact"/>
        <w:rPr>
          <w:rFonts w:ascii="宋体" w:hAnsi="宋体" w:cs="宋体"/>
          <w:sz w:val="24"/>
          <w:szCs w:val="24"/>
        </w:rPr>
      </w:pPr>
      <w:r>
        <w:rPr>
          <w:rFonts w:hint="eastAsia" w:ascii="宋体" w:hAnsi="宋体" w:cs="宋体"/>
          <w:sz w:val="24"/>
          <w:szCs w:val="24"/>
        </w:rPr>
        <w:t>(3)不具备磋商文件中规定的资格要求的；</w:t>
      </w:r>
    </w:p>
    <w:p>
      <w:pPr>
        <w:adjustRightInd w:val="0"/>
        <w:snapToGrid w:val="0"/>
        <w:spacing w:line="460" w:lineRule="exact"/>
        <w:rPr>
          <w:rFonts w:ascii="宋体" w:hAnsi="宋体" w:cs="宋体"/>
          <w:sz w:val="24"/>
          <w:szCs w:val="24"/>
        </w:rPr>
      </w:pPr>
      <w:r>
        <w:rPr>
          <w:rFonts w:hint="eastAsia" w:ascii="宋体" w:hAnsi="宋体" w:cs="宋体"/>
          <w:sz w:val="24"/>
          <w:szCs w:val="24"/>
        </w:rPr>
        <w:t>(4)报价超过磋商文件中规定的预算金额或者最高限价的；</w:t>
      </w:r>
    </w:p>
    <w:p>
      <w:pPr>
        <w:adjustRightInd w:val="0"/>
        <w:snapToGrid w:val="0"/>
        <w:spacing w:line="460" w:lineRule="exact"/>
        <w:rPr>
          <w:rFonts w:ascii="宋体" w:hAnsi="宋体" w:cs="宋体"/>
          <w:sz w:val="24"/>
          <w:szCs w:val="24"/>
        </w:rPr>
      </w:pPr>
      <w:r>
        <w:rPr>
          <w:rFonts w:hint="eastAsia" w:ascii="宋体" w:hAnsi="宋体" w:cs="宋体"/>
          <w:sz w:val="24"/>
          <w:szCs w:val="24"/>
        </w:rPr>
        <w:t>(5)响应文件含有采购人不能接受的附加条件的；</w:t>
      </w:r>
    </w:p>
    <w:p>
      <w:pPr>
        <w:adjustRightInd w:val="0"/>
        <w:snapToGrid w:val="0"/>
        <w:spacing w:line="460" w:lineRule="exact"/>
        <w:rPr>
          <w:rFonts w:ascii="宋体" w:hAnsi="宋体" w:cs="宋体"/>
          <w:sz w:val="24"/>
          <w:szCs w:val="24"/>
        </w:rPr>
      </w:pPr>
      <w:r>
        <w:rPr>
          <w:rFonts w:hint="eastAsia" w:ascii="宋体" w:hAnsi="宋体" w:cs="宋体"/>
          <w:sz w:val="24"/>
          <w:szCs w:val="24"/>
        </w:rPr>
        <w:t>(6)法律、法规和磋商文件规定的其他无效情形。</w:t>
      </w:r>
    </w:p>
    <w:p>
      <w:pPr>
        <w:adjustRightInd w:val="0"/>
        <w:snapToGrid w:val="0"/>
        <w:spacing w:line="460" w:lineRule="exact"/>
        <w:rPr>
          <w:rFonts w:ascii="宋体" w:hAnsi="宋体" w:cs="宋体"/>
          <w:sz w:val="24"/>
          <w:szCs w:val="24"/>
        </w:rPr>
      </w:pPr>
      <w:r>
        <w:rPr>
          <w:rFonts w:hint="eastAsia" w:ascii="宋体" w:hAnsi="宋体" w:cs="宋体"/>
          <w:sz w:val="24"/>
          <w:szCs w:val="24"/>
        </w:rPr>
        <w:t>23.6  磋商小组应当审查每一响应文件是否对磋商文件提出的所有实质性要求和条件做出响应。未能在实质上响应的投标，其投标将被否决。</w:t>
      </w:r>
    </w:p>
    <w:p>
      <w:pPr>
        <w:adjustRightInd w:val="0"/>
        <w:snapToGrid w:val="0"/>
        <w:spacing w:line="460" w:lineRule="exact"/>
        <w:rPr>
          <w:rFonts w:ascii="宋体" w:hAnsi="宋体" w:cs="宋体"/>
          <w:sz w:val="24"/>
          <w:szCs w:val="24"/>
        </w:rPr>
      </w:pPr>
      <w:r>
        <w:rPr>
          <w:rFonts w:hint="eastAsia" w:ascii="宋体" w:hAnsi="宋体" w:cs="宋体"/>
          <w:sz w:val="24"/>
          <w:szCs w:val="24"/>
        </w:rPr>
        <w:t>23.7　投标人不得误导、干扰采购方的评审活动，否则将废除其投标。</w:t>
      </w:r>
    </w:p>
    <w:p>
      <w:pPr>
        <w:adjustRightInd w:val="0"/>
        <w:snapToGrid w:val="0"/>
        <w:spacing w:line="460" w:lineRule="exact"/>
        <w:rPr>
          <w:rFonts w:ascii="宋体" w:hAnsi="宋体" w:cs="宋体"/>
          <w:sz w:val="24"/>
          <w:szCs w:val="24"/>
        </w:rPr>
      </w:pPr>
      <w:r>
        <w:rPr>
          <w:rFonts w:hint="eastAsia" w:ascii="宋体" w:hAnsi="宋体" w:cs="宋体"/>
          <w:sz w:val="24"/>
          <w:szCs w:val="24"/>
        </w:rPr>
        <w:t>23.8 磋商小组根据上述规定否决不合格投标，因有效投标不足本次评审办法规定数量而使得投标明显缺乏竞争性时，根据《中华人民共和国政府采购法》的相关规定，将作流标处理。</w:t>
      </w:r>
    </w:p>
    <w:p>
      <w:pPr>
        <w:adjustRightInd w:val="0"/>
        <w:snapToGrid w:val="0"/>
        <w:spacing w:line="460" w:lineRule="exact"/>
        <w:rPr>
          <w:rFonts w:ascii="宋体" w:hAnsi="宋体" w:cs="宋体"/>
          <w:sz w:val="24"/>
          <w:szCs w:val="24"/>
        </w:rPr>
      </w:pPr>
      <w:r>
        <w:rPr>
          <w:rFonts w:hint="eastAsia" w:ascii="宋体" w:hAnsi="宋体" w:cs="宋体"/>
          <w:b/>
          <w:bCs/>
          <w:sz w:val="24"/>
          <w:szCs w:val="24"/>
        </w:rPr>
        <w:t>初步评审的标准详见附表2</w:t>
      </w:r>
      <w:r>
        <w:rPr>
          <w:rFonts w:hint="eastAsia" w:ascii="宋体" w:hAnsi="宋体" w:cs="宋体"/>
          <w:sz w:val="24"/>
          <w:szCs w:val="24"/>
        </w:rPr>
        <w:t>。</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24. 响应文件计算错误的修正</w:t>
      </w:r>
    </w:p>
    <w:p>
      <w:pPr>
        <w:adjustRightInd w:val="0"/>
        <w:snapToGrid w:val="0"/>
        <w:spacing w:line="460" w:lineRule="exact"/>
        <w:rPr>
          <w:rFonts w:ascii="宋体" w:hAnsi="宋体" w:cs="宋体"/>
          <w:sz w:val="24"/>
          <w:szCs w:val="24"/>
        </w:rPr>
      </w:pPr>
      <w:r>
        <w:rPr>
          <w:rFonts w:hint="eastAsia" w:ascii="宋体" w:hAnsi="宋体" w:cs="宋体"/>
          <w:sz w:val="24"/>
          <w:szCs w:val="24"/>
        </w:rPr>
        <w:t>24.1 响应文件中报价出现前后不一致的，评审小组按以下原则对投标报价进行修正：</w:t>
      </w:r>
    </w:p>
    <w:p>
      <w:pPr>
        <w:adjustRightInd w:val="0"/>
        <w:snapToGrid w:val="0"/>
        <w:spacing w:line="460" w:lineRule="exact"/>
        <w:rPr>
          <w:rFonts w:ascii="宋体" w:hAnsi="宋体" w:cs="宋体"/>
          <w:sz w:val="24"/>
          <w:szCs w:val="24"/>
        </w:rPr>
      </w:pPr>
      <w:r>
        <w:rPr>
          <w:rFonts w:hint="eastAsia" w:ascii="宋体" w:hAnsi="宋体" w:cs="宋体"/>
          <w:sz w:val="24"/>
          <w:szCs w:val="24"/>
        </w:rPr>
        <w:t>a. 响应文件中开标一览表（报价表）内容与响应文件中相应内容不一致的，以开标一览表（报价表）为准；</w:t>
      </w:r>
    </w:p>
    <w:p>
      <w:pPr>
        <w:adjustRightInd w:val="0"/>
        <w:snapToGrid w:val="0"/>
        <w:spacing w:line="460" w:lineRule="exact"/>
        <w:rPr>
          <w:rFonts w:ascii="宋体" w:hAnsi="宋体" w:cs="宋体"/>
          <w:sz w:val="24"/>
          <w:szCs w:val="24"/>
        </w:rPr>
      </w:pPr>
      <w:r>
        <w:rPr>
          <w:rFonts w:hint="eastAsia" w:ascii="宋体" w:hAnsi="宋体" w:cs="宋体"/>
          <w:sz w:val="24"/>
          <w:szCs w:val="24"/>
        </w:rPr>
        <w:t>b. 大写金额和小写金额不一致的，以大写金额为准；</w:t>
      </w:r>
    </w:p>
    <w:p>
      <w:pPr>
        <w:adjustRightInd w:val="0"/>
        <w:snapToGrid w:val="0"/>
        <w:spacing w:line="460" w:lineRule="exact"/>
        <w:rPr>
          <w:rFonts w:ascii="宋体" w:hAnsi="宋体" w:cs="宋体"/>
          <w:sz w:val="24"/>
          <w:szCs w:val="24"/>
        </w:rPr>
      </w:pPr>
      <w:r>
        <w:rPr>
          <w:rFonts w:hint="eastAsia" w:ascii="宋体" w:hAnsi="宋体" w:cs="宋体"/>
          <w:sz w:val="24"/>
          <w:szCs w:val="24"/>
        </w:rPr>
        <w:t>c. 单价金额小数点或者百分比有明显错位的，以开标一览表的总价为准，并修改单价；</w:t>
      </w:r>
    </w:p>
    <w:p>
      <w:pPr>
        <w:adjustRightInd w:val="0"/>
        <w:snapToGrid w:val="0"/>
        <w:spacing w:line="460" w:lineRule="exact"/>
        <w:rPr>
          <w:rFonts w:ascii="宋体" w:hAnsi="宋体" w:cs="宋体"/>
          <w:sz w:val="24"/>
          <w:szCs w:val="24"/>
        </w:rPr>
      </w:pPr>
      <w:r>
        <w:rPr>
          <w:rFonts w:hint="eastAsia" w:ascii="宋体" w:hAnsi="宋体" w:cs="宋体"/>
          <w:sz w:val="24"/>
          <w:szCs w:val="24"/>
        </w:rPr>
        <w:t>d. 总价金额与按单价汇总金额不一致的，以单价金额计算结果为准。</w:t>
      </w:r>
    </w:p>
    <w:p>
      <w:pPr>
        <w:adjustRightInd w:val="0"/>
        <w:snapToGrid w:val="0"/>
        <w:spacing w:line="460" w:lineRule="exact"/>
        <w:rPr>
          <w:rFonts w:ascii="宋体" w:hAnsi="宋体" w:cs="宋体"/>
          <w:sz w:val="24"/>
          <w:szCs w:val="24"/>
        </w:rPr>
      </w:pPr>
      <w:r>
        <w:rPr>
          <w:rFonts w:hint="eastAsia" w:ascii="宋体" w:hAnsi="宋体" w:cs="宋体"/>
          <w:sz w:val="24"/>
          <w:szCs w:val="24"/>
        </w:rPr>
        <w:t>同时出现两种以上不一致的，按照前款规定的顺序修正。</w:t>
      </w:r>
    </w:p>
    <w:p>
      <w:pPr>
        <w:adjustRightInd w:val="0"/>
        <w:snapToGrid w:val="0"/>
        <w:spacing w:line="460" w:lineRule="exact"/>
        <w:rPr>
          <w:rFonts w:ascii="宋体" w:hAnsi="宋体" w:cs="宋体"/>
          <w:sz w:val="24"/>
          <w:szCs w:val="24"/>
        </w:rPr>
      </w:pPr>
      <w:r>
        <w:rPr>
          <w:rFonts w:hint="eastAsia" w:ascii="宋体" w:hAnsi="宋体" w:cs="宋体"/>
          <w:sz w:val="24"/>
          <w:szCs w:val="24"/>
        </w:rPr>
        <w:t>24.2 修正后的最终投标报价若超过最高投标限价（如有），磋商小组应当否决其投标。</w:t>
      </w:r>
    </w:p>
    <w:p>
      <w:pPr>
        <w:adjustRightInd w:val="0"/>
        <w:snapToGrid w:val="0"/>
        <w:spacing w:line="460" w:lineRule="exact"/>
        <w:rPr>
          <w:rFonts w:ascii="宋体" w:hAnsi="宋体" w:cs="宋体"/>
          <w:sz w:val="24"/>
          <w:szCs w:val="24"/>
        </w:rPr>
      </w:pPr>
      <w:r>
        <w:rPr>
          <w:rFonts w:hint="eastAsia" w:ascii="宋体" w:hAnsi="宋体" w:cs="宋体"/>
          <w:sz w:val="24"/>
          <w:szCs w:val="24"/>
        </w:rPr>
        <w:t>24.3按上述修正错误的原则及方法调整或修正响应文件的投标报价，经投标人确认后，对投标人起约束作用。如果投标人不确认的，则其投标无效。</w:t>
      </w:r>
    </w:p>
    <w:p>
      <w:pPr>
        <w:adjustRightInd w:val="0"/>
        <w:snapToGrid w:val="0"/>
        <w:spacing w:line="460" w:lineRule="exact"/>
        <w:rPr>
          <w:rFonts w:ascii="宋体" w:hAnsi="宋体" w:cs="宋体"/>
          <w:sz w:val="24"/>
          <w:szCs w:val="24"/>
        </w:rPr>
      </w:pPr>
      <w:r>
        <w:rPr>
          <w:rFonts w:hint="eastAsia" w:ascii="宋体" w:hAnsi="宋体" w:cs="宋体"/>
          <w:b/>
          <w:bCs/>
          <w:sz w:val="24"/>
          <w:szCs w:val="24"/>
        </w:rPr>
        <w:t>25. 详细评审</w:t>
      </w:r>
    </w:p>
    <w:p>
      <w:pPr>
        <w:adjustRightInd w:val="0"/>
        <w:snapToGrid w:val="0"/>
        <w:spacing w:line="460" w:lineRule="exact"/>
        <w:rPr>
          <w:rFonts w:ascii="宋体" w:hAnsi="宋体" w:cs="宋体"/>
          <w:sz w:val="24"/>
          <w:szCs w:val="24"/>
        </w:rPr>
      </w:pPr>
      <w:r>
        <w:rPr>
          <w:rFonts w:hint="eastAsia" w:ascii="宋体" w:hAnsi="宋体" w:cs="宋体"/>
          <w:sz w:val="24"/>
          <w:szCs w:val="24"/>
        </w:rPr>
        <w:t>25.1  经符合性审查合格的响应文件，磋商小组应当根据磋商文件确定的评审标准和方法，确定最终采购需求和提交最后报价的供应商后，由评审小组采用综合评分法对提交最后报价的供应商的响应文件进行综合评分。</w:t>
      </w:r>
    </w:p>
    <w:p>
      <w:pPr>
        <w:adjustRightInd w:val="0"/>
        <w:snapToGrid w:val="0"/>
        <w:spacing w:line="460" w:lineRule="exact"/>
        <w:rPr>
          <w:rFonts w:ascii="宋体" w:hAnsi="宋体" w:cs="宋体"/>
          <w:sz w:val="24"/>
          <w:szCs w:val="24"/>
        </w:rPr>
      </w:pPr>
      <w:r>
        <w:rPr>
          <w:rFonts w:hint="eastAsia" w:ascii="宋体" w:hAnsi="宋体" w:cs="宋体"/>
          <w:sz w:val="24"/>
          <w:szCs w:val="24"/>
        </w:rPr>
        <w:t>25.2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adjustRightInd w:val="0"/>
        <w:snapToGrid w:val="0"/>
        <w:spacing w:line="460" w:lineRule="exact"/>
        <w:rPr>
          <w:rFonts w:ascii="宋体" w:hAnsi="宋体" w:cs="宋体"/>
          <w:sz w:val="24"/>
          <w:szCs w:val="24"/>
        </w:rPr>
      </w:pPr>
      <w:r>
        <w:rPr>
          <w:rFonts w:hint="eastAsia" w:ascii="宋体" w:hAnsi="宋体" w:cs="宋体"/>
          <w:sz w:val="24"/>
          <w:szCs w:val="24"/>
        </w:rPr>
        <w:t>25.3磋商小组所有成员应当集中与单一供应商分别进行磋商，并给予所有参加磋商的供应商平等的磋商机会。</w:t>
      </w:r>
    </w:p>
    <w:p>
      <w:pPr>
        <w:adjustRightInd w:val="0"/>
        <w:snapToGrid w:val="0"/>
        <w:spacing w:line="460" w:lineRule="exact"/>
        <w:rPr>
          <w:rFonts w:ascii="宋体" w:hAnsi="宋体" w:cs="宋体"/>
          <w:sz w:val="24"/>
          <w:szCs w:val="24"/>
        </w:rPr>
      </w:pPr>
      <w:r>
        <w:rPr>
          <w:rFonts w:hint="eastAsia" w:ascii="宋体" w:hAnsi="宋体" w:cs="宋体"/>
          <w:sz w:val="24"/>
          <w:szCs w:val="24"/>
        </w:rPr>
        <w:t>25.4  根据综合评分法完成评审工作后，评审小组应当向采购人递交书面评审报告。</w:t>
      </w:r>
    </w:p>
    <w:p>
      <w:pPr>
        <w:adjustRightInd w:val="0"/>
        <w:snapToGrid w:val="0"/>
        <w:spacing w:line="460" w:lineRule="exact"/>
        <w:rPr>
          <w:rFonts w:ascii="宋体" w:hAnsi="宋体" w:cs="宋体"/>
          <w:sz w:val="24"/>
          <w:szCs w:val="24"/>
        </w:rPr>
      </w:pPr>
      <w:r>
        <w:rPr>
          <w:rFonts w:hint="eastAsia" w:ascii="宋体" w:hAnsi="宋体" w:cs="宋体"/>
          <w:sz w:val="24"/>
          <w:szCs w:val="24"/>
        </w:rPr>
        <w:t>25.5  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投标保证金的有效期，但不得修改响应文件的实质性内容。</w:t>
      </w:r>
    </w:p>
    <w:p>
      <w:pPr>
        <w:adjustRightInd w:val="0"/>
        <w:snapToGrid w:val="0"/>
        <w:spacing w:line="460" w:lineRule="exact"/>
        <w:rPr>
          <w:rFonts w:ascii="宋体" w:hAnsi="宋体" w:cs="宋体"/>
          <w:sz w:val="24"/>
          <w:szCs w:val="24"/>
        </w:rPr>
      </w:pPr>
      <w:r>
        <w:rPr>
          <w:rFonts w:hint="eastAsia" w:ascii="宋体" w:hAnsi="宋体" w:cs="宋体"/>
          <w:sz w:val="24"/>
          <w:szCs w:val="24"/>
        </w:rPr>
        <w:t>25.6评审因素及标准(详见评分细则)</w:t>
      </w:r>
    </w:p>
    <w:p>
      <w:pPr>
        <w:adjustRightInd w:val="0"/>
        <w:snapToGrid w:val="0"/>
        <w:spacing w:line="460" w:lineRule="exact"/>
        <w:rPr>
          <w:rFonts w:ascii="宋体" w:hAnsi="宋体" w:cs="宋体"/>
          <w:sz w:val="24"/>
          <w:szCs w:val="24"/>
        </w:rPr>
      </w:pPr>
      <w:r>
        <w:rPr>
          <w:rFonts w:hint="eastAsia" w:ascii="宋体" w:hAnsi="宋体" w:cs="宋体"/>
          <w:sz w:val="24"/>
          <w:szCs w:val="24"/>
        </w:rPr>
        <w:t>评审因素：与投标人所提供货物服务的质量相关，包括投标报价、技术或者服务水平、履约能力、售后服务等。</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（1）商务技术部分 70分；</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（2）投标报价部分 30分。</w:t>
      </w:r>
    </w:p>
    <w:p>
      <w:pPr>
        <w:adjustRightInd w:val="0"/>
        <w:snapToGrid w:val="0"/>
        <w:spacing w:line="460" w:lineRule="exact"/>
        <w:rPr>
          <w:rFonts w:ascii="宋体" w:hAnsi="宋体" w:cs="宋体"/>
          <w:sz w:val="24"/>
          <w:szCs w:val="24"/>
        </w:rPr>
      </w:pPr>
      <w:r>
        <w:rPr>
          <w:rFonts w:hint="eastAsia" w:ascii="宋体" w:hAnsi="宋体" w:cs="宋体"/>
          <w:sz w:val="24"/>
          <w:szCs w:val="24"/>
        </w:rPr>
        <w:t>计算各项分值时，按四舍五入的原则，保留小数点后二位。</w:t>
      </w:r>
    </w:p>
    <w:p>
      <w:pPr>
        <w:adjustRightInd w:val="0"/>
        <w:snapToGrid w:val="0"/>
        <w:spacing w:line="460" w:lineRule="exact"/>
        <w:rPr>
          <w:rFonts w:ascii="宋体" w:hAnsi="宋体" w:cs="宋体"/>
          <w:sz w:val="24"/>
          <w:szCs w:val="24"/>
        </w:rPr>
      </w:pPr>
      <w:r>
        <w:rPr>
          <w:rFonts w:hint="eastAsia" w:ascii="宋体" w:hAnsi="宋体" w:cs="宋体"/>
          <w:sz w:val="24"/>
          <w:szCs w:val="24"/>
        </w:rPr>
        <w:t>25.7报价</w:t>
      </w:r>
    </w:p>
    <w:p>
      <w:pPr>
        <w:adjustRightInd w:val="0"/>
        <w:snapToGrid w:val="0"/>
        <w:spacing w:line="460" w:lineRule="exact"/>
        <w:rPr>
          <w:rFonts w:ascii="宋体" w:hAnsi="宋体" w:cs="宋体"/>
          <w:sz w:val="24"/>
          <w:szCs w:val="24"/>
        </w:rPr>
      </w:pPr>
      <w:r>
        <w:rPr>
          <w:rFonts w:hint="eastAsia" w:ascii="宋体" w:hAnsi="宋体" w:cs="宋体"/>
          <w:sz w:val="24"/>
          <w:szCs w:val="24"/>
        </w:rPr>
        <w:t>25.7.1本次采购方式为磋商，待评审小组与供应商对采购标的的技术、服务等磋商结束后，评审小组要求所有实质性响应的供应商，在规定的时间内提交最后报价，但最后报价不得高于上一次报价，否则其投标将被否决。</w:t>
      </w:r>
    </w:p>
    <w:p>
      <w:pPr>
        <w:adjustRightInd w:val="0"/>
        <w:snapToGrid w:val="0"/>
        <w:spacing w:line="460" w:lineRule="exact"/>
        <w:rPr>
          <w:rFonts w:ascii="宋体" w:hAnsi="宋体" w:cs="宋体"/>
          <w:sz w:val="24"/>
          <w:szCs w:val="24"/>
        </w:rPr>
      </w:pPr>
      <w:r>
        <w:rPr>
          <w:rFonts w:hint="eastAsia" w:ascii="宋体" w:hAnsi="宋体" w:cs="宋体"/>
          <w:sz w:val="24"/>
          <w:szCs w:val="24"/>
        </w:rPr>
        <w:t>25.7.2投标供应商的最后报价采取密封的形式提交。投标供应商在进行最后报价时，报价应用大写和小写同时书写，大小写不一致时，以大写为准，同时最后报价上还应写明投标供应商名称、签字（或盖章）后，以密封的形式送达磋商现场。所有投标供应商的最后报价收集齐全后，在监标人的现场监督下，统一启封并唱出最后报价。最后报价不进行公开唱标。</w:t>
      </w:r>
    </w:p>
    <w:p>
      <w:pPr>
        <w:adjustRightInd w:val="0"/>
        <w:snapToGrid w:val="0"/>
        <w:spacing w:line="460" w:lineRule="exact"/>
        <w:rPr>
          <w:rFonts w:ascii="宋体" w:hAnsi="宋体" w:cs="宋体"/>
          <w:sz w:val="24"/>
          <w:szCs w:val="24"/>
        </w:rPr>
      </w:pPr>
      <w:r>
        <w:rPr>
          <w:rFonts w:hint="eastAsia" w:ascii="宋体" w:hAnsi="宋体" w:cs="宋体"/>
          <w:sz w:val="24"/>
          <w:szCs w:val="24"/>
        </w:rPr>
        <w:t>25.7.3 经磋商确定最终采购需求和提交最后报价的供应商后，由评审小组采用综合评分法对提交最后报价的供应商的价格得分进行计算。</w:t>
      </w:r>
    </w:p>
    <w:p>
      <w:pPr>
        <w:adjustRightInd w:val="0"/>
        <w:snapToGrid w:val="0"/>
        <w:spacing w:line="460" w:lineRule="exact"/>
        <w:rPr>
          <w:rFonts w:ascii="宋体" w:hAnsi="宋体" w:cs="宋体"/>
          <w:sz w:val="24"/>
          <w:szCs w:val="24"/>
        </w:rPr>
      </w:pPr>
      <w:r>
        <w:rPr>
          <w:rFonts w:hint="eastAsia" w:ascii="宋体" w:hAnsi="宋体" w:cs="宋体"/>
          <w:sz w:val="24"/>
          <w:szCs w:val="24"/>
        </w:rPr>
        <w:t>25.7.4 供应商的投标报价得分计算说明：</w:t>
      </w:r>
    </w:p>
    <w:p>
      <w:pPr>
        <w:adjustRightInd w:val="0"/>
        <w:snapToGrid w:val="0"/>
        <w:spacing w:line="460" w:lineRule="exact"/>
        <w:rPr>
          <w:rFonts w:ascii="宋体" w:hAnsi="宋体" w:cs="宋体"/>
          <w:sz w:val="24"/>
          <w:szCs w:val="24"/>
        </w:rPr>
      </w:pPr>
      <w:r>
        <w:rPr>
          <w:rFonts w:hint="eastAsia" w:ascii="宋体" w:hAnsi="宋体" w:cs="宋体"/>
          <w:sz w:val="24"/>
          <w:szCs w:val="24"/>
        </w:rPr>
        <w:t>价格分统一采用低价优先法计算，即满足磋商文件要求且最后报价最低的供应商的价格为磋商基准价，其价格分为满分。其他供应商的价格分统一按照下列公式计算：</w:t>
      </w:r>
    </w:p>
    <w:p>
      <w:pPr>
        <w:adjustRightInd w:val="0"/>
        <w:snapToGrid w:val="0"/>
        <w:spacing w:line="460" w:lineRule="exact"/>
        <w:rPr>
          <w:rFonts w:ascii="宋体" w:hAnsi="宋体" w:cs="宋体"/>
          <w:sz w:val="24"/>
          <w:szCs w:val="24"/>
        </w:rPr>
      </w:pPr>
      <w:r>
        <w:rPr>
          <w:rFonts w:hint="eastAsia" w:ascii="宋体" w:hAnsi="宋体" w:cs="宋体"/>
          <w:sz w:val="24"/>
          <w:szCs w:val="24"/>
        </w:rPr>
        <w:t>磋商报价得分=（磋商基准价/最后磋商报价）×价格权值×100</w:t>
      </w:r>
    </w:p>
    <w:p>
      <w:pPr>
        <w:adjustRightInd w:val="0"/>
        <w:snapToGrid w:val="0"/>
        <w:spacing w:line="460" w:lineRule="exact"/>
        <w:rPr>
          <w:rFonts w:ascii="宋体" w:hAnsi="宋体" w:cs="宋体"/>
          <w:sz w:val="24"/>
          <w:szCs w:val="24"/>
        </w:rPr>
      </w:pPr>
      <w:r>
        <w:rPr>
          <w:rFonts w:hint="eastAsia" w:ascii="宋体" w:hAnsi="宋体" w:cs="宋体"/>
          <w:sz w:val="24"/>
          <w:szCs w:val="24"/>
        </w:rPr>
        <w:t>本项目的价格权值为30%。</w:t>
      </w:r>
    </w:p>
    <w:p>
      <w:pPr>
        <w:adjustRightInd w:val="0"/>
        <w:snapToGrid w:val="0"/>
        <w:spacing w:line="460" w:lineRule="exact"/>
        <w:rPr>
          <w:rFonts w:ascii="宋体" w:hAnsi="宋体" w:cs="宋体"/>
          <w:sz w:val="24"/>
          <w:szCs w:val="24"/>
        </w:rPr>
      </w:pPr>
      <w:r>
        <w:rPr>
          <w:rFonts w:hint="eastAsia" w:ascii="宋体" w:hAnsi="宋体" w:cs="宋体"/>
          <w:sz w:val="24"/>
          <w:szCs w:val="24"/>
        </w:rPr>
        <w:t>项目评审过程中，不得去掉最终报价中的最高报价和最低报价。</w:t>
      </w:r>
    </w:p>
    <w:p>
      <w:pPr>
        <w:adjustRightInd w:val="0"/>
        <w:snapToGrid w:val="0"/>
        <w:spacing w:line="460" w:lineRule="exact"/>
        <w:rPr>
          <w:rFonts w:ascii="宋体" w:hAnsi="宋体" w:cs="宋体"/>
          <w:sz w:val="24"/>
          <w:szCs w:val="24"/>
        </w:rPr>
      </w:pPr>
      <w:r>
        <w:rPr>
          <w:rFonts w:hint="eastAsia" w:ascii="宋体" w:hAnsi="宋体" w:cs="宋体"/>
          <w:sz w:val="24"/>
          <w:szCs w:val="24"/>
        </w:rPr>
        <w:t>25.7.5符合促进中小微企业（监狱企业、残疾人福利性单位）发展政策的，给予6%的价格扣除，用扣除后的价格参加评审。</w:t>
      </w:r>
    </w:p>
    <w:p>
      <w:pPr>
        <w:adjustRightInd w:val="0"/>
        <w:snapToGrid w:val="0"/>
        <w:spacing w:line="460" w:lineRule="exact"/>
        <w:rPr>
          <w:rFonts w:ascii="宋体" w:hAnsi="宋体" w:cs="宋体"/>
          <w:sz w:val="24"/>
          <w:szCs w:val="24"/>
        </w:rPr>
      </w:pPr>
      <w:r>
        <w:rPr>
          <w:rFonts w:hint="eastAsia" w:ascii="宋体" w:hAnsi="宋体" w:cs="宋体"/>
          <w:sz w:val="24"/>
          <w:szCs w:val="24"/>
        </w:rPr>
        <w:t>25.7.6 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pPr>
        <w:adjustRightInd w:val="0"/>
        <w:snapToGrid w:val="0"/>
        <w:spacing w:line="460" w:lineRule="exact"/>
        <w:rPr>
          <w:rFonts w:ascii="宋体" w:hAnsi="宋体" w:cs="宋体"/>
          <w:sz w:val="24"/>
          <w:szCs w:val="24"/>
        </w:rPr>
      </w:pPr>
      <w:r>
        <w:rPr>
          <w:rFonts w:hint="eastAsia" w:ascii="宋体" w:hAnsi="宋体" w:cs="宋体"/>
          <w:sz w:val="24"/>
          <w:szCs w:val="24"/>
        </w:rPr>
        <w:t>25.8 综合得分</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综合得分=商务技术部分得分+投标报价部分得分。</w:t>
      </w:r>
    </w:p>
    <w:p>
      <w:pPr>
        <w:adjustRightInd w:val="0"/>
        <w:snapToGrid w:val="0"/>
        <w:spacing w:line="460" w:lineRule="exact"/>
      </w:pPr>
      <w:r>
        <w:rPr>
          <w:rFonts w:hint="eastAsia" w:ascii="宋体" w:hAnsi="宋体" w:cs="宋体"/>
          <w:b/>
          <w:bCs/>
          <w:sz w:val="24"/>
          <w:szCs w:val="24"/>
        </w:rPr>
        <w:t>详细评审的标准详见附表3。</w:t>
      </w:r>
    </w:p>
    <w:p>
      <w:pPr>
        <w:adjustRightInd w:val="0"/>
        <w:snapToGrid w:val="0"/>
        <w:spacing w:line="460" w:lineRule="exact"/>
        <w:rPr>
          <w:rFonts w:ascii="宋体" w:hAnsi="宋体" w:cs="宋体"/>
          <w:sz w:val="24"/>
          <w:szCs w:val="24"/>
        </w:rPr>
      </w:pPr>
      <w:r>
        <w:rPr>
          <w:rFonts w:hint="eastAsia" w:ascii="宋体" w:hAnsi="宋体" w:cs="宋体"/>
          <w:sz w:val="24"/>
          <w:szCs w:val="24"/>
        </w:rPr>
        <w:t>附表2：</w:t>
      </w:r>
      <w:r>
        <w:rPr>
          <w:rFonts w:hint="eastAsia" w:ascii="宋体" w:hAnsi="宋体" w:cs="宋体"/>
          <w:b/>
          <w:bCs/>
          <w:sz w:val="24"/>
          <w:szCs w:val="24"/>
        </w:rPr>
        <w:t>初步评审-符合性审查表</w:t>
      </w:r>
    </w:p>
    <w:tbl>
      <w:tblPr>
        <w:tblStyle w:val="20"/>
        <w:tblW w:w="5046" w:type="pct"/>
        <w:tblInd w:w="-2" w:type="dxa"/>
        <w:tblLayout w:type="autofit"/>
        <w:tblCellMar>
          <w:top w:w="0" w:type="dxa"/>
          <w:left w:w="57" w:type="dxa"/>
          <w:bottom w:w="0" w:type="dxa"/>
          <w:right w:w="0" w:type="dxa"/>
        </w:tblCellMar>
      </w:tblPr>
      <w:tblGrid>
        <w:gridCol w:w="578"/>
        <w:gridCol w:w="8192"/>
        <w:gridCol w:w="659"/>
        <w:gridCol w:w="469"/>
      </w:tblGrid>
      <w:tr>
        <w:trPr>
          <w:trHeight w:val="355" w:hRule="atLeast"/>
        </w:trPr>
        <w:tc>
          <w:tcPr>
            <w:tcW w:w="292" w:type="pct"/>
            <w:vMerge w:val="restart"/>
            <w:tcBorders>
              <w:top w:val="single" w:color="auto" w:sz="4" w:space="0"/>
              <w:left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序号</w:t>
            </w:r>
          </w:p>
        </w:tc>
        <w:tc>
          <w:tcPr>
            <w:tcW w:w="4138" w:type="pct"/>
            <w:vMerge w:val="restart"/>
            <w:tcBorders>
              <w:top w:val="single" w:color="auto" w:sz="4" w:space="0"/>
              <w:left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响应文件符合性审查内容</w:t>
            </w:r>
          </w:p>
        </w:tc>
        <w:tc>
          <w:tcPr>
            <w:tcW w:w="569" w:type="pct"/>
            <w:gridSpan w:val="2"/>
            <w:tcBorders>
              <w:top w:val="single" w:color="auto" w:sz="4" w:space="0"/>
              <w:left w:val="nil"/>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评审意见</w:t>
            </w:r>
          </w:p>
        </w:tc>
      </w:tr>
      <w:tr>
        <w:tblPrEx>
          <w:tblCellMar>
            <w:top w:w="0" w:type="dxa"/>
            <w:left w:w="57" w:type="dxa"/>
            <w:bottom w:w="0" w:type="dxa"/>
            <w:right w:w="0" w:type="dxa"/>
          </w:tblCellMar>
        </w:tblPrEx>
        <w:trPr>
          <w:trHeight w:val="498" w:hRule="atLeast"/>
        </w:trPr>
        <w:tc>
          <w:tcPr>
            <w:tcW w:w="292" w:type="pct"/>
            <w:vMerge w:val="continue"/>
            <w:tcBorders>
              <w:left w:val="single" w:color="auto" w:sz="4" w:space="0"/>
              <w:bottom w:val="single" w:color="000000" w:sz="4" w:space="0"/>
              <w:right w:val="single" w:color="auto" w:sz="4" w:space="0"/>
            </w:tcBorders>
            <w:vAlign w:val="center"/>
          </w:tcPr>
          <w:p>
            <w:pPr>
              <w:adjustRightInd w:val="0"/>
              <w:snapToGrid w:val="0"/>
              <w:spacing w:line="460" w:lineRule="exact"/>
              <w:rPr>
                <w:rFonts w:ascii="宋体" w:hAnsi="宋体" w:cs="宋体"/>
                <w:b/>
                <w:bCs/>
                <w:sz w:val="24"/>
                <w:szCs w:val="24"/>
              </w:rPr>
            </w:pPr>
          </w:p>
        </w:tc>
        <w:tc>
          <w:tcPr>
            <w:tcW w:w="4138" w:type="pct"/>
            <w:vMerge w:val="continue"/>
            <w:tcBorders>
              <w:left w:val="single" w:color="auto" w:sz="4" w:space="0"/>
              <w:bottom w:val="single" w:color="000000" w:sz="4" w:space="0"/>
              <w:right w:val="single" w:color="auto" w:sz="4" w:space="0"/>
            </w:tcBorders>
            <w:vAlign w:val="center"/>
          </w:tcPr>
          <w:p>
            <w:pPr>
              <w:adjustRightInd w:val="0"/>
              <w:snapToGrid w:val="0"/>
              <w:spacing w:line="460" w:lineRule="exact"/>
              <w:rPr>
                <w:rFonts w:ascii="宋体" w:hAnsi="宋体" w:cs="宋体"/>
                <w:b/>
                <w:bCs/>
                <w:sz w:val="24"/>
                <w:szCs w:val="24"/>
              </w:rPr>
            </w:pPr>
          </w:p>
        </w:tc>
        <w:tc>
          <w:tcPr>
            <w:tcW w:w="333" w:type="pct"/>
            <w:tcBorders>
              <w:top w:val="single" w:color="auto" w:sz="4" w:space="0"/>
              <w:left w:val="nil"/>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是</w:t>
            </w:r>
          </w:p>
        </w:tc>
        <w:tc>
          <w:tcPr>
            <w:tcW w:w="236" w:type="pct"/>
            <w:tcBorders>
              <w:top w:val="single" w:color="auto" w:sz="4" w:space="0"/>
              <w:left w:val="nil"/>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否</w:t>
            </w: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1</w:t>
            </w:r>
          </w:p>
        </w:tc>
        <w:tc>
          <w:tcPr>
            <w:tcW w:w="4138" w:type="pct"/>
            <w:tcBorders>
              <w:top w:val="nil"/>
              <w:left w:val="single" w:color="auto" w:sz="4" w:space="0"/>
              <w:bottom w:val="single" w:color="000000"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提供上年度经审计财务会计报告或半年内任意一个月财务报表（财务报表应至少包括资产负债表、损益表、现金流量表或财务状况变动表，当月新成立公司不需提供）</w:t>
            </w:r>
          </w:p>
        </w:tc>
        <w:tc>
          <w:tcPr>
            <w:tcW w:w="333"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c>
          <w:tcPr>
            <w:tcW w:w="236"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2</w:t>
            </w:r>
          </w:p>
        </w:tc>
        <w:tc>
          <w:tcPr>
            <w:tcW w:w="4138" w:type="pct"/>
            <w:tcBorders>
              <w:top w:val="nil"/>
              <w:left w:val="single" w:color="auto" w:sz="4" w:space="0"/>
              <w:bottom w:val="single" w:color="000000"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提供的近半年内任意一月依法缴纳税收证明，当月新成立公司不需提供；无需纳税或免税的也需提供相应证明材料。</w:t>
            </w:r>
          </w:p>
        </w:tc>
        <w:tc>
          <w:tcPr>
            <w:tcW w:w="333"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c>
          <w:tcPr>
            <w:tcW w:w="236"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3</w:t>
            </w:r>
          </w:p>
        </w:tc>
        <w:tc>
          <w:tcPr>
            <w:tcW w:w="4138" w:type="pct"/>
            <w:tcBorders>
              <w:top w:val="nil"/>
              <w:left w:val="single" w:color="auto" w:sz="4" w:space="0"/>
              <w:bottom w:val="single" w:color="000000"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提供社会保险登记证或社保缴纳证明（近半年内任意一月社保缴纳证明，当月新成立公司不需提供）</w:t>
            </w:r>
          </w:p>
        </w:tc>
        <w:tc>
          <w:tcPr>
            <w:tcW w:w="333"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c>
          <w:tcPr>
            <w:tcW w:w="236"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4</w:t>
            </w:r>
          </w:p>
        </w:tc>
        <w:tc>
          <w:tcPr>
            <w:tcW w:w="4138" w:type="pct"/>
            <w:tcBorders>
              <w:top w:val="nil"/>
              <w:left w:val="single" w:color="auto" w:sz="4" w:space="0"/>
              <w:bottom w:val="single" w:color="000000"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提供信用中国、中国执行信息公开网及中国政府采购网截图（最终以网站查询结果为准）；</w:t>
            </w:r>
          </w:p>
        </w:tc>
        <w:tc>
          <w:tcPr>
            <w:tcW w:w="333"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c>
          <w:tcPr>
            <w:tcW w:w="236"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5</w:t>
            </w:r>
          </w:p>
        </w:tc>
        <w:tc>
          <w:tcPr>
            <w:tcW w:w="4138" w:type="pct"/>
            <w:tcBorders>
              <w:top w:val="nil"/>
              <w:left w:val="single" w:color="auto" w:sz="4" w:space="0"/>
              <w:bottom w:val="single" w:color="000000"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凡磋商文件中要求盖章或</w:t>
            </w:r>
            <w:r>
              <w:rPr>
                <w:rFonts w:hint="eastAsia" w:ascii="宋体" w:hAnsi="宋体" w:cs="宋体"/>
                <w:b/>
                <w:bCs/>
                <w:sz w:val="24"/>
                <w:szCs w:val="24"/>
                <w:lang w:val="zh-CN"/>
              </w:rPr>
              <w:t>签字</w:t>
            </w:r>
            <w:r>
              <w:rPr>
                <w:rFonts w:hint="eastAsia" w:ascii="宋体" w:hAnsi="宋体" w:cs="宋体"/>
                <w:b/>
                <w:bCs/>
                <w:sz w:val="24"/>
                <w:szCs w:val="24"/>
              </w:rPr>
              <w:t>处，是否按要求加盖单位公章、法定代表人或被授权委托人签字或盖章的；</w:t>
            </w:r>
          </w:p>
        </w:tc>
        <w:tc>
          <w:tcPr>
            <w:tcW w:w="333"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c>
          <w:tcPr>
            <w:tcW w:w="236"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r>
      <w:tr>
        <w:tblPrEx>
          <w:tblCellMar>
            <w:top w:w="0" w:type="dxa"/>
            <w:left w:w="57" w:type="dxa"/>
            <w:bottom w:w="0" w:type="dxa"/>
            <w:right w:w="0" w:type="dxa"/>
          </w:tblCellMar>
        </w:tblPrEx>
        <w:trPr>
          <w:trHeight w:val="623" w:hRule="atLeast"/>
        </w:trPr>
        <w:tc>
          <w:tcPr>
            <w:tcW w:w="292" w:type="pct"/>
            <w:tcBorders>
              <w:top w:val="nil"/>
              <w:left w:val="single" w:color="auto" w:sz="4" w:space="0"/>
              <w:bottom w:val="single" w:color="000000"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6</w:t>
            </w:r>
          </w:p>
        </w:tc>
        <w:tc>
          <w:tcPr>
            <w:tcW w:w="4138" w:type="pct"/>
            <w:tcBorders>
              <w:top w:val="nil"/>
              <w:left w:val="single" w:color="auto" w:sz="4" w:space="0"/>
              <w:bottom w:val="single" w:color="000000"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响应文件组成齐全完整，内容均按规定填写；响应文件的关键内容无字迹模糊或无法辨认的情形；</w:t>
            </w:r>
          </w:p>
        </w:tc>
        <w:tc>
          <w:tcPr>
            <w:tcW w:w="333"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c>
          <w:tcPr>
            <w:tcW w:w="236"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r>
      <w:tr>
        <w:tblPrEx>
          <w:tblCellMar>
            <w:top w:w="0" w:type="dxa"/>
            <w:left w:w="57" w:type="dxa"/>
            <w:bottom w:w="0" w:type="dxa"/>
            <w:right w:w="0" w:type="dxa"/>
          </w:tblCellMar>
        </w:tblPrEx>
        <w:trPr>
          <w:trHeight w:val="412" w:hRule="atLeast"/>
        </w:trPr>
        <w:tc>
          <w:tcPr>
            <w:tcW w:w="292" w:type="pct"/>
            <w:tcBorders>
              <w:top w:val="nil"/>
              <w:left w:val="single" w:color="auto" w:sz="4" w:space="0"/>
              <w:bottom w:val="single" w:color="000000"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7</w:t>
            </w:r>
          </w:p>
        </w:tc>
        <w:tc>
          <w:tcPr>
            <w:tcW w:w="4138" w:type="pct"/>
            <w:tcBorders>
              <w:top w:val="nil"/>
              <w:left w:val="single" w:color="auto" w:sz="4" w:space="0"/>
              <w:bottom w:val="single" w:color="000000"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响应文件提交的份数及装订，是否响应磋商文件的实质性要求和条件； 　</w:t>
            </w:r>
          </w:p>
        </w:tc>
        <w:tc>
          <w:tcPr>
            <w:tcW w:w="333"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c>
          <w:tcPr>
            <w:tcW w:w="236"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r>
      <w:tr>
        <w:tblPrEx>
          <w:tblCellMar>
            <w:top w:w="0" w:type="dxa"/>
            <w:left w:w="57" w:type="dxa"/>
            <w:bottom w:w="0" w:type="dxa"/>
            <w:right w:w="0" w:type="dxa"/>
          </w:tblCellMar>
        </w:tblPrEx>
        <w:trPr>
          <w:trHeight w:val="412" w:hRule="atLeast"/>
        </w:trPr>
        <w:tc>
          <w:tcPr>
            <w:tcW w:w="292" w:type="pct"/>
            <w:tcBorders>
              <w:top w:val="nil"/>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8</w:t>
            </w:r>
          </w:p>
        </w:tc>
        <w:tc>
          <w:tcPr>
            <w:tcW w:w="4138" w:type="pct"/>
            <w:tcBorders>
              <w:top w:val="single" w:color="auto" w:sz="4" w:space="0"/>
              <w:left w:val="nil"/>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投标人按照磋商文件规定的金额、形式、时效和内容提供了投标保证金；　</w:t>
            </w:r>
          </w:p>
        </w:tc>
        <w:tc>
          <w:tcPr>
            <w:tcW w:w="333"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c>
          <w:tcPr>
            <w:tcW w:w="236"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r>
      <w:tr>
        <w:tblPrEx>
          <w:tblCellMar>
            <w:top w:w="0" w:type="dxa"/>
            <w:left w:w="57" w:type="dxa"/>
            <w:bottom w:w="0" w:type="dxa"/>
            <w:right w:w="0" w:type="dxa"/>
          </w:tblCellMar>
        </w:tblPrEx>
        <w:trPr>
          <w:trHeight w:val="806" w:hRule="atLeast"/>
        </w:trPr>
        <w:tc>
          <w:tcPr>
            <w:tcW w:w="292" w:type="pct"/>
            <w:tcBorders>
              <w:top w:val="nil"/>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9</w:t>
            </w:r>
          </w:p>
        </w:tc>
        <w:tc>
          <w:tcPr>
            <w:tcW w:w="4138" w:type="pct"/>
            <w:tcBorders>
              <w:top w:val="single" w:color="auto" w:sz="4" w:space="0"/>
              <w:left w:val="nil"/>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响应文件是否实质上响应了磋商文件的要求。实质上响应的投标应该是与磋商文件要求的全部条款、条件等相符，没有实质性负偏离或有保留的投标；　</w:t>
            </w:r>
          </w:p>
        </w:tc>
        <w:tc>
          <w:tcPr>
            <w:tcW w:w="333"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c>
          <w:tcPr>
            <w:tcW w:w="236"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r>
      <w:tr>
        <w:tblPrEx>
          <w:tblCellMar>
            <w:top w:w="0" w:type="dxa"/>
            <w:left w:w="57" w:type="dxa"/>
            <w:bottom w:w="0" w:type="dxa"/>
            <w:right w:w="0" w:type="dxa"/>
          </w:tblCellMar>
        </w:tblPrEx>
        <w:trPr>
          <w:trHeight w:val="483" w:hRule="atLeast"/>
        </w:trPr>
        <w:tc>
          <w:tcPr>
            <w:tcW w:w="292" w:type="pct"/>
            <w:tcBorders>
              <w:top w:val="nil"/>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10</w:t>
            </w:r>
          </w:p>
        </w:tc>
        <w:tc>
          <w:tcPr>
            <w:tcW w:w="4138" w:type="pct"/>
            <w:tcBorders>
              <w:top w:val="single" w:color="auto" w:sz="4" w:space="0"/>
              <w:left w:val="nil"/>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投标供应商的投标报价未超出最高投标限价；</w:t>
            </w:r>
          </w:p>
        </w:tc>
        <w:tc>
          <w:tcPr>
            <w:tcW w:w="333"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c>
          <w:tcPr>
            <w:tcW w:w="236"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r>
      <w:tr>
        <w:tblPrEx>
          <w:tblCellMar>
            <w:top w:w="0" w:type="dxa"/>
            <w:left w:w="57" w:type="dxa"/>
            <w:bottom w:w="0" w:type="dxa"/>
            <w:right w:w="0" w:type="dxa"/>
          </w:tblCellMar>
        </w:tblPrEx>
        <w:trPr>
          <w:trHeight w:val="412" w:hRule="atLeast"/>
        </w:trPr>
        <w:tc>
          <w:tcPr>
            <w:tcW w:w="29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11</w:t>
            </w:r>
          </w:p>
        </w:tc>
        <w:tc>
          <w:tcPr>
            <w:tcW w:w="4138" w:type="pct"/>
            <w:tcBorders>
              <w:top w:val="single" w:color="auto" w:sz="4" w:space="0"/>
              <w:left w:val="nil"/>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投标人未提出不同的验收、计量、支付办法；　</w:t>
            </w:r>
          </w:p>
        </w:tc>
        <w:tc>
          <w:tcPr>
            <w:tcW w:w="333" w:type="pct"/>
            <w:tcBorders>
              <w:top w:val="single" w:color="auto" w:sz="4" w:space="0"/>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c>
          <w:tcPr>
            <w:tcW w:w="236" w:type="pct"/>
            <w:tcBorders>
              <w:top w:val="single" w:color="auto" w:sz="4" w:space="0"/>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r>
      <w:tr>
        <w:tblPrEx>
          <w:tblCellMar>
            <w:top w:w="0" w:type="dxa"/>
            <w:left w:w="57" w:type="dxa"/>
            <w:bottom w:w="0" w:type="dxa"/>
            <w:right w:w="0" w:type="dxa"/>
          </w:tblCellMar>
        </w:tblPrEx>
        <w:trPr>
          <w:trHeight w:val="412" w:hRule="atLeast"/>
        </w:trPr>
        <w:tc>
          <w:tcPr>
            <w:tcW w:w="29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12</w:t>
            </w:r>
          </w:p>
        </w:tc>
        <w:tc>
          <w:tcPr>
            <w:tcW w:w="4138" w:type="pct"/>
            <w:tcBorders>
              <w:top w:val="single" w:color="auto" w:sz="4" w:space="0"/>
              <w:left w:val="nil"/>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响应文件未附有采购人不能接受的条件；　</w:t>
            </w:r>
          </w:p>
        </w:tc>
        <w:tc>
          <w:tcPr>
            <w:tcW w:w="333" w:type="pct"/>
            <w:tcBorders>
              <w:top w:val="single" w:color="auto" w:sz="4" w:space="0"/>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c>
          <w:tcPr>
            <w:tcW w:w="236" w:type="pct"/>
            <w:tcBorders>
              <w:top w:val="single" w:color="auto" w:sz="4" w:space="0"/>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r>
      <w:tr>
        <w:tblPrEx>
          <w:tblCellMar>
            <w:top w:w="0" w:type="dxa"/>
            <w:left w:w="57" w:type="dxa"/>
            <w:bottom w:w="0" w:type="dxa"/>
            <w:right w:w="0" w:type="dxa"/>
          </w:tblCellMar>
        </w:tblPrEx>
        <w:trPr>
          <w:trHeight w:val="424" w:hRule="atLeast"/>
        </w:trPr>
        <w:tc>
          <w:tcPr>
            <w:tcW w:w="292" w:type="pct"/>
            <w:tcBorders>
              <w:top w:val="nil"/>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13</w:t>
            </w:r>
          </w:p>
        </w:tc>
        <w:tc>
          <w:tcPr>
            <w:tcW w:w="4138" w:type="pct"/>
            <w:tcBorders>
              <w:top w:val="single" w:color="auto" w:sz="4" w:space="0"/>
              <w:left w:val="nil"/>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未与其他投标人相互串通报价，或者与采购人串通投标的；　</w:t>
            </w:r>
          </w:p>
        </w:tc>
        <w:tc>
          <w:tcPr>
            <w:tcW w:w="333"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c>
          <w:tcPr>
            <w:tcW w:w="236"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r>
      <w:tr>
        <w:tblPrEx>
          <w:tblCellMar>
            <w:top w:w="0" w:type="dxa"/>
            <w:left w:w="57" w:type="dxa"/>
            <w:bottom w:w="0" w:type="dxa"/>
            <w:right w:w="0" w:type="dxa"/>
          </w:tblCellMar>
        </w:tblPrEx>
        <w:trPr>
          <w:trHeight w:val="424" w:hRule="atLeast"/>
        </w:trPr>
        <w:tc>
          <w:tcPr>
            <w:tcW w:w="292" w:type="pct"/>
            <w:tcBorders>
              <w:top w:val="nil"/>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14</w:t>
            </w:r>
          </w:p>
        </w:tc>
        <w:tc>
          <w:tcPr>
            <w:tcW w:w="4138" w:type="pct"/>
            <w:tcBorders>
              <w:top w:val="single" w:color="auto" w:sz="4" w:space="0"/>
              <w:left w:val="nil"/>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无法律、法规和磋商文件规定的其他无效情形。</w:t>
            </w:r>
          </w:p>
        </w:tc>
        <w:tc>
          <w:tcPr>
            <w:tcW w:w="333"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c>
          <w:tcPr>
            <w:tcW w:w="236"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r>
      <w:tr>
        <w:tblPrEx>
          <w:tblCellMar>
            <w:top w:w="0" w:type="dxa"/>
            <w:left w:w="57" w:type="dxa"/>
            <w:bottom w:w="0" w:type="dxa"/>
            <w:right w:w="0" w:type="dxa"/>
          </w:tblCellMar>
        </w:tblPrEx>
        <w:trPr>
          <w:trHeight w:val="424" w:hRule="atLeast"/>
        </w:trPr>
        <w:tc>
          <w:tcPr>
            <w:tcW w:w="292" w:type="pct"/>
            <w:tcBorders>
              <w:top w:val="nil"/>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p>
        </w:tc>
        <w:tc>
          <w:tcPr>
            <w:tcW w:w="4138" w:type="pct"/>
            <w:tcBorders>
              <w:top w:val="single" w:color="auto" w:sz="4" w:space="0"/>
              <w:left w:val="nil"/>
              <w:bottom w:val="single" w:color="auto" w:sz="4" w:space="0"/>
              <w:right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结    论</w:t>
            </w:r>
          </w:p>
        </w:tc>
        <w:tc>
          <w:tcPr>
            <w:tcW w:w="333"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c>
          <w:tcPr>
            <w:tcW w:w="236" w:type="pct"/>
            <w:tcBorders>
              <w:top w:val="nil"/>
              <w:left w:val="nil"/>
              <w:bottom w:val="single" w:color="auto" w:sz="4" w:space="0"/>
              <w:right w:val="single" w:color="auto" w:sz="4" w:space="0"/>
            </w:tcBorders>
          </w:tcPr>
          <w:p>
            <w:pPr>
              <w:adjustRightInd w:val="0"/>
              <w:snapToGrid w:val="0"/>
              <w:spacing w:line="460" w:lineRule="exact"/>
              <w:rPr>
                <w:rFonts w:ascii="宋体" w:hAnsi="宋体" w:cs="宋体"/>
                <w:b/>
                <w:bCs/>
                <w:sz w:val="24"/>
                <w:szCs w:val="24"/>
              </w:rPr>
            </w:pPr>
          </w:p>
        </w:tc>
      </w:tr>
      <w:tr>
        <w:tblPrEx>
          <w:tblCellMar>
            <w:top w:w="0" w:type="dxa"/>
            <w:left w:w="57" w:type="dxa"/>
            <w:bottom w:w="0" w:type="dxa"/>
            <w:right w:w="0" w:type="dxa"/>
          </w:tblCellMar>
        </w:tblPrEx>
        <w:trPr>
          <w:trHeight w:val="359" w:hRule="atLeast"/>
        </w:trPr>
        <w:tc>
          <w:tcPr>
            <w:tcW w:w="5000" w:type="pct"/>
            <w:gridSpan w:val="4"/>
            <w:tcBorders>
              <w:top w:val="single" w:color="auto" w:sz="4" w:space="0"/>
              <w:left w:val="nil"/>
              <w:bottom w:val="nil"/>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说明：</w:t>
            </w:r>
          </w:p>
        </w:tc>
      </w:tr>
    </w:tbl>
    <w:p>
      <w:pPr>
        <w:adjustRightInd w:val="0"/>
        <w:snapToGrid w:val="0"/>
        <w:spacing w:line="460" w:lineRule="exact"/>
        <w:rPr>
          <w:rFonts w:ascii="宋体" w:hAnsi="宋体" w:cs="宋体"/>
          <w:b/>
          <w:bCs/>
          <w:sz w:val="24"/>
          <w:szCs w:val="24"/>
        </w:rPr>
      </w:pPr>
      <w:r>
        <w:rPr>
          <w:rFonts w:hint="eastAsia" w:ascii="宋体" w:hAnsi="宋体" w:cs="宋体"/>
          <w:b/>
          <w:bCs/>
          <w:sz w:val="24"/>
          <w:szCs w:val="24"/>
        </w:rPr>
        <w:t>1. 符合性审查审查合格的打“√”，不合格的打“×”。</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2. 符合性审查审查结果，通过打“√”，不通过的打“×”。</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3.请填写不通过符合性审查审查的供应商的原因。</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响应文件响应程度初步审查通过的投标企业，进入下一步详细评审阶段，未通过响应文件响应程度初步审查的企业，其投标作为无效标，不进入后期评审阶段。</w:t>
      </w:r>
    </w:p>
    <w:p>
      <w:pPr>
        <w:adjustRightInd w:val="0"/>
        <w:snapToGrid w:val="0"/>
        <w:spacing w:line="460" w:lineRule="exact"/>
        <w:rPr>
          <w:rFonts w:ascii="宋体" w:hAnsi="宋体" w:cs="宋体"/>
          <w:b/>
          <w:bCs/>
          <w:sz w:val="24"/>
          <w:szCs w:val="24"/>
        </w:rPr>
      </w:pPr>
      <w:r>
        <w:rPr>
          <w:rFonts w:hint="eastAsia" w:ascii="宋体" w:hAnsi="宋体" w:cs="宋体"/>
          <w:sz w:val="24"/>
          <w:szCs w:val="24"/>
        </w:rPr>
        <w:t>25.9评标委员会将根据政府采购政策支持中小企业政策对最后报价进行价格折扣，折扣的价格将作为评审价格。</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6" w:hRule="atLeast"/>
        </w:trPr>
        <w:tc>
          <w:tcPr>
            <w:tcW w:w="9854" w:type="dxa"/>
            <w:tcBorders>
              <w:top w:val="single" w:color="auto" w:sz="4" w:space="0"/>
              <w:bottom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政府采购强制采购：标记★符号的节能产品：</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符合《节能产品政府采购品目清单》内并获得认证的强制采购节能产品。</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政府采购优先采购：(1)非标记★符号的节能产品；(2)环境标志产品；采购产品为《节能产品政府采购品目清单》内并获得认证非标记★符号的节能产品及《环境标志产品政府采购品目清单》内并获得认证的产品：</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响应文件中对所供产品为节能、环境标志产品清单中的产品，在报价时必须对此类产品单独分项报价，计算出小计及占合同包总金额的百分比，并提供证明资料（中国政府采购网节能环保查询结果），未单独分项报价或未提供属于清单内产品的证明资料的不给予折扣优惠。</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（1）节能产品及环保产品价格折扣比例及方法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序号</w:t>
                  </w:r>
                </w:p>
              </w:tc>
              <w:tc>
                <w:tcPr>
                  <w:tcW w:w="1807" w:type="dxa"/>
                  <w:tcBorders>
                    <w:top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项目</w:t>
                  </w:r>
                </w:p>
              </w:tc>
              <w:tc>
                <w:tcPr>
                  <w:tcW w:w="7203" w:type="dxa"/>
                  <w:tcBorders>
                    <w:top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1</w:t>
                  </w:r>
                </w:p>
              </w:tc>
              <w:tc>
                <w:tcPr>
                  <w:tcW w:w="1807" w:type="dxa"/>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节能产品</w:t>
                  </w:r>
                </w:p>
              </w:tc>
              <w:tc>
                <w:tcPr>
                  <w:tcW w:w="7203" w:type="dxa"/>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2</w:t>
                  </w:r>
                </w:p>
              </w:tc>
              <w:tc>
                <w:tcPr>
                  <w:tcW w:w="1807" w:type="dxa"/>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环保产品</w:t>
                  </w:r>
                </w:p>
              </w:tc>
              <w:tc>
                <w:tcPr>
                  <w:tcW w:w="7203" w:type="dxa"/>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3</w:t>
                  </w:r>
                </w:p>
              </w:tc>
              <w:tc>
                <w:tcPr>
                  <w:tcW w:w="1807" w:type="dxa"/>
                  <w:tcBorders>
                    <w:bottom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证明材料说明</w:t>
                  </w:r>
                </w:p>
              </w:tc>
              <w:tc>
                <w:tcPr>
                  <w:tcW w:w="7203" w:type="dxa"/>
                  <w:tcBorders>
                    <w:bottom w:val="single" w:color="auto" w:sz="4" w:space="0"/>
                  </w:tcBorders>
                  <w:vAlign w:val="center"/>
                </w:tcPr>
                <w:p>
                  <w:pPr>
                    <w:adjustRightInd w:val="0"/>
                    <w:snapToGrid w:val="0"/>
                    <w:spacing w:line="460" w:lineRule="exact"/>
                    <w:rPr>
                      <w:rFonts w:ascii="宋体" w:hAnsi="宋体" w:cs="宋体"/>
                      <w:b/>
                      <w:bCs/>
                      <w:sz w:val="24"/>
                      <w:szCs w:val="24"/>
                    </w:rPr>
                  </w:pPr>
                  <w:r>
                    <w:rPr>
                      <w:rFonts w:hint="eastAsia" w:ascii="宋体" w:hAnsi="宋体" w:cs="宋体"/>
                      <w:b/>
                      <w:bCs/>
                      <w:sz w:val="24"/>
                      <w:szCs w:val="24"/>
                    </w:rPr>
                    <w:t>1、须提供中国政府采购网节能环保查询结果</w:t>
                  </w:r>
                </w:p>
              </w:tc>
            </w:tr>
          </w:tbl>
          <w:p>
            <w:pPr>
              <w:adjustRightInd w:val="0"/>
              <w:snapToGrid w:val="0"/>
              <w:spacing w:line="460" w:lineRule="exact"/>
              <w:rPr>
                <w:rFonts w:ascii="宋体" w:hAnsi="宋体" w:cs="宋体"/>
                <w:b/>
                <w:bCs/>
                <w:sz w:val="24"/>
                <w:szCs w:val="24"/>
              </w:rPr>
            </w:pPr>
            <w:r>
              <w:rPr>
                <w:rFonts w:hint="eastAsia" w:ascii="宋体" w:hAnsi="宋体" w:cs="宋体"/>
                <w:b/>
                <w:bCs/>
                <w:sz w:val="24"/>
                <w:szCs w:val="24"/>
              </w:rPr>
              <w:t>说明：1.如有多种产品符合此项政策时，折扣价格为每种产品的折扣金额汇总。</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 xml:space="preserve">      2.若所投产品同时属于节能产品及环保产品，只进行一次价格折扣认定。</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中小型和微型企业适用价格扣除办法时应提供的相关资料：</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bCs/>
                <w:sz w:val="24"/>
                <w:szCs w:val="24"/>
              </w:rPr>
              <w:t>、供应商《中小企业声明函》或残疾人福利性单位声明函或监狱企业声明函；</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②、投标企业适用价格扣除办法时应提供的相关资料：《节能环保产品声明》否则将不给予价格扣除。</w:t>
            </w:r>
          </w:p>
        </w:tc>
      </w:tr>
    </w:tbl>
    <w:p>
      <w:pPr>
        <w:adjustRightInd w:val="0"/>
        <w:snapToGrid w:val="0"/>
        <w:spacing w:line="460" w:lineRule="exact"/>
        <w:rPr>
          <w:rFonts w:ascii="宋体" w:hAnsi="宋体" w:cs="宋体"/>
          <w:b/>
          <w:bCs/>
          <w:sz w:val="24"/>
          <w:szCs w:val="24"/>
        </w:rPr>
      </w:pPr>
    </w:p>
    <w:p>
      <w:pPr>
        <w:adjustRightInd w:val="0"/>
        <w:snapToGrid w:val="0"/>
        <w:spacing w:line="460" w:lineRule="exact"/>
        <w:rPr>
          <w:rFonts w:ascii="宋体" w:hAnsi="宋体" w:cs="宋体"/>
          <w:sz w:val="24"/>
          <w:szCs w:val="24"/>
        </w:rPr>
      </w:pPr>
      <w:r>
        <w:rPr>
          <w:rFonts w:hint="eastAsia" w:ascii="宋体" w:hAnsi="宋体" w:cs="宋体"/>
          <w:b/>
          <w:bCs/>
          <w:sz w:val="24"/>
          <w:szCs w:val="24"/>
        </w:rPr>
        <w:t>附表3：（1）报价、商务、技术部分评审</w:t>
      </w:r>
    </w:p>
    <w:p>
      <w:pPr>
        <w:spacing w:line="440" w:lineRule="exact"/>
        <w:ind w:firstLine="482" w:firstLineChars="200"/>
        <w:rPr>
          <w:rFonts w:ascii="宋体" w:hAnsi="宋体" w:cs="宋体"/>
          <w:b/>
          <w:sz w:val="24"/>
        </w:rPr>
      </w:pPr>
      <w:r>
        <w:rPr>
          <w:rFonts w:hint="eastAsia" w:ascii="宋体" w:hAnsi="宋体" w:cs="宋体"/>
          <w:b/>
          <w:sz w:val="24"/>
        </w:rPr>
        <w:t>22. 详细评审</w:t>
      </w:r>
    </w:p>
    <w:p>
      <w:pPr>
        <w:spacing w:line="440" w:lineRule="exact"/>
        <w:ind w:firstLine="472" w:firstLineChars="200"/>
        <w:rPr>
          <w:rFonts w:ascii="宋体" w:hAnsi="宋体" w:cs="宋体"/>
          <w:sz w:val="24"/>
        </w:rPr>
      </w:pPr>
      <w:r>
        <w:rPr>
          <w:rFonts w:hint="eastAsia" w:ascii="宋体" w:hAnsi="宋体" w:cs="宋体"/>
          <w:spacing w:val="-2"/>
          <w:sz w:val="24"/>
          <w:szCs w:val="24"/>
        </w:rPr>
        <w:t>22.1  经初步评审合格的响应文件，评标委员会应当根据磋商文件确定的评标标准和方法，对</w:t>
      </w:r>
      <w:r>
        <w:rPr>
          <w:rFonts w:hint="eastAsia" w:ascii="宋体" w:hAnsi="宋体" w:cs="宋体"/>
          <w:sz w:val="24"/>
        </w:rPr>
        <w:t>投标人所有投标产品的</w:t>
      </w:r>
      <w:r>
        <w:rPr>
          <w:rFonts w:hint="eastAsia" w:ascii="宋体" w:hAnsi="宋体" w:cs="宋体"/>
          <w:spacing w:val="-2"/>
          <w:sz w:val="24"/>
          <w:szCs w:val="24"/>
        </w:rPr>
        <w:t>技术和商务部分进行详细评审</w:t>
      </w:r>
      <w:r>
        <w:rPr>
          <w:rFonts w:hint="eastAsia" w:ascii="宋体" w:hAnsi="宋体" w:cs="宋体"/>
          <w:sz w:val="24"/>
        </w:rPr>
        <w:t>。</w:t>
      </w:r>
    </w:p>
    <w:tbl>
      <w:tblPr>
        <w:tblStyle w:val="20"/>
        <w:tblW w:w="10438" w:type="dxa"/>
        <w:tblInd w:w="-27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7"/>
        <w:gridCol w:w="755"/>
        <w:gridCol w:w="1070"/>
        <w:gridCol w:w="6835"/>
        <w:gridCol w:w="696"/>
        <w:gridCol w:w="6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评标项目</w:t>
            </w:r>
          </w:p>
        </w:tc>
        <w:tc>
          <w:tcPr>
            <w:tcW w:w="79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评分标准</w:t>
            </w:r>
          </w:p>
        </w:tc>
        <w:tc>
          <w:tcPr>
            <w:tcW w:w="0" w:type="auto"/>
            <w:tcBorders>
              <w:top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打分范围</w:t>
            </w:r>
          </w:p>
        </w:tc>
        <w:tc>
          <w:tcPr>
            <w:tcW w:w="628" w:type="dxa"/>
            <w:tcBorders>
              <w:top w:val="single" w:color="auto" w:sz="4" w:space="0"/>
              <w:left w:val="single" w:color="auto" w:sz="4" w:space="0"/>
              <w:bottom w:val="single" w:color="auto" w:sz="4" w:space="0"/>
            </w:tcBorders>
            <w:vAlign w:val="center"/>
          </w:tcPr>
          <w:p>
            <w:pPr>
              <w:adjustRightInd w:val="0"/>
              <w:snapToGri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基础分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w:t>
            </w:r>
          </w:p>
        </w:tc>
        <w:tc>
          <w:tcPr>
            <w:tcW w:w="7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投标报30分</w:t>
            </w:r>
          </w:p>
        </w:tc>
        <w:tc>
          <w:tcPr>
            <w:tcW w:w="7991"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报价得分=（基准价/最后报价）×100×30%</w:t>
            </w:r>
          </w:p>
          <w:p>
            <w:pPr>
              <w:pStyle w:val="6"/>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价格分采用低价优先法计算，即满足磋商文件要求且投标价格最低的投标报价为评标基准价，其价格分为满分。</w:t>
            </w:r>
          </w:p>
          <w:p>
            <w:pPr>
              <w:pStyle w:val="6"/>
              <w:rPr>
                <w:rFonts w:asciiTheme="minorEastAsia" w:hAnsiTheme="minorEastAsia" w:eastAsiaTheme="minorEastAsia" w:cstheme="minorEastAsia"/>
                <w:szCs w:val="24"/>
              </w:rPr>
            </w:pPr>
          </w:p>
        </w:tc>
        <w:tc>
          <w:tcPr>
            <w:tcW w:w="0" w:type="auto"/>
            <w:tcBorders>
              <w:top w:val="single" w:color="auto" w:sz="4" w:space="0"/>
              <w:bottom w:val="single" w:color="auto" w:sz="4" w:space="0"/>
              <w:right w:val="single" w:color="auto" w:sz="4" w:space="0"/>
            </w:tcBorders>
            <w:vAlign w:val="center"/>
          </w:tcPr>
          <w:p>
            <w:pPr>
              <w:widowControl/>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0-30分</w:t>
            </w:r>
          </w:p>
        </w:tc>
        <w:tc>
          <w:tcPr>
            <w:tcW w:w="628" w:type="dxa"/>
            <w:tcBorders>
              <w:top w:val="single" w:color="auto" w:sz="4" w:space="0"/>
              <w:left w:val="single" w:color="auto" w:sz="4" w:space="0"/>
              <w:bottom w:val="single" w:color="auto" w:sz="4" w:space="0"/>
            </w:tcBorders>
            <w:vAlign w:val="center"/>
          </w:tcPr>
          <w:p>
            <w:pPr>
              <w:widowControl/>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p>
        </w:tc>
        <w:tc>
          <w:tcPr>
            <w:tcW w:w="756" w:type="dxa"/>
            <w:vMerge w:val="restart"/>
            <w:tcBorders>
              <w:top w:val="single" w:color="auto" w:sz="4" w:space="0"/>
              <w:left w:val="single" w:color="auto" w:sz="4" w:space="0"/>
              <w:right w:val="single" w:color="auto" w:sz="4" w:space="0"/>
            </w:tcBorders>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商务、技术部分（</w:t>
            </w: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70分）</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标函质量</w:t>
            </w:r>
          </w:p>
        </w:tc>
        <w:tc>
          <w:tcPr>
            <w:tcW w:w="6911" w:type="dxa"/>
            <w:tcBorders>
              <w:top w:val="single" w:color="auto" w:sz="4" w:space="0"/>
              <w:left w:val="single" w:color="auto" w:sz="4" w:space="0"/>
              <w:bottom w:val="single" w:color="auto" w:sz="4" w:space="0"/>
              <w:right w:val="single" w:color="auto" w:sz="4" w:space="0"/>
            </w:tcBorders>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响应文件按照磋商文件要求的格式、内容及顺序填写（包括目录、页码、总体编排等项目），整洁美观、出错率低得2分，否则酌情扣分。</w:t>
            </w:r>
          </w:p>
        </w:tc>
        <w:tc>
          <w:tcPr>
            <w:tcW w:w="0" w:type="auto"/>
            <w:tcBorders>
              <w:top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0-2分</w:t>
            </w:r>
          </w:p>
        </w:tc>
        <w:tc>
          <w:tcPr>
            <w:tcW w:w="628" w:type="dxa"/>
            <w:tcBorders>
              <w:top w:val="single" w:color="auto" w:sz="4" w:space="0"/>
              <w:left w:val="single" w:color="auto" w:sz="4" w:space="0"/>
              <w:bottom w:val="single" w:color="auto" w:sz="4" w:space="0"/>
            </w:tcBorders>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p>
        </w:tc>
        <w:tc>
          <w:tcPr>
            <w:tcW w:w="756" w:type="dxa"/>
            <w:vMerge w:val="continue"/>
            <w:tcBorders>
              <w:left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p>
        </w:tc>
        <w:tc>
          <w:tcPr>
            <w:tcW w:w="1080" w:type="dxa"/>
            <w:tcBorders>
              <w:top w:val="single" w:color="auto" w:sz="4" w:space="0"/>
              <w:left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实施方案</w:t>
            </w:r>
          </w:p>
        </w:tc>
        <w:tc>
          <w:tcPr>
            <w:tcW w:w="69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第一个档次(</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 :实施方案、系统总体设计方案、时间进度、风险控制计划安排优于磋商文件要求，内容完整、交货期短、安排合理、切实可行、科学规范、针对性好；</w:t>
            </w: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第二个档次(</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 :实施方案、系统总体设计方案、时间进度、质量管理、风险控制计划安排完全满足磋商文件要求，内容较完整、安排较合理、针对性较好；</w:t>
            </w: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第三个档次（1分) :实施方案、系统总体设计方案、时间进度、质量管理、风险控制计划安排基本满足磋商文件要求，内容一般、交货期较长、针对性一般。</w:t>
            </w: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未提供实施方案的不得分</w:t>
            </w:r>
          </w:p>
        </w:tc>
        <w:tc>
          <w:tcPr>
            <w:tcW w:w="0" w:type="auto"/>
            <w:tcBorders>
              <w:top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c>
          <w:tcPr>
            <w:tcW w:w="628" w:type="dxa"/>
            <w:tcBorders>
              <w:top w:val="single" w:color="auto" w:sz="4" w:space="0"/>
              <w:left w:val="single" w:color="auto" w:sz="4" w:space="0"/>
              <w:bottom w:val="single" w:color="auto" w:sz="4" w:space="0"/>
            </w:tcBorders>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0" w:type="auto"/>
            <w:vMerge w:val="continue"/>
            <w:tcBorders>
              <w:left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p>
        </w:tc>
        <w:tc>
          <w:tcPr>
            <w:tcW w:w="756" w:type="dxa"/>
            <w:vMerge w:val="continue"/>
            <w:tcBorders>
              <w:left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p>
        </w:tc>
        <w:tc>
          <w:tcPr>
            <w:tcW w:w="1080" w:type="dxa"/>
            <w:tcBorders>
              <w:top w:val="single" w:color="auto" w:sz="4" w:space="0"/>
              <w:left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w:t>
            </w:r>
          </w:p>
        </w:tc>
        <w:tc>
          <w:tcPr>
            <w:tcW w:w="6911" w:type="dxa"/>
            <w:tcBorders>
              <w:top w:val="single" w:color="auto" w:sz="4" w:space="0"/>
              <w:left w:val="single" w:color="auto" w:sz="4" w:space="0"/>
              <w:bottom w:val="nil"/>
              <w:right w:val="single" w:color="auto" w:sz="4" w:space="0"/>
            </w:tcBorders>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主要设备的性能、特点及产品来源等描述，必须符合采购人的技术要求。全部满足技术要求的得</w:t>
            </w:r>
            <w:r>
              <w:rPr>
                <w:rFonts w:hint="eastAsia" w:asciiTheme="minorEastAsia" w:hAnsiTheme="minorEastAsia" w:eastAsiaTheme="minorEastAsia" w:cstheme="minorEastAsia"/>
                <w:b w:val="0"/>
                <w:bCs w:val="0"/>
                <w:sz w:val="24"/>
                <w:szCs w:val="24"/>
                <w:highlight w:val="none"/>
              </w:rPr>
              <w:t xml:space="preserve"> </w:t>
            </w:r>
            <w:r>
              <w:rPr>
                <w:rFonts w:hint="eastAsia" w:asciiTheme="minorEastAsia" w:hAnsiTheme="minorEastAsia" w:eastAsiaTheme="minorEastAsia" w:cstheme="minorEastAsia"/>
                <w:b w:val="0"/>
                <w:bCs w:val="0"/>
                <w:sz w:val="24"/>
                <w:szCs w:val="24"/>
                <w:highlight w:val="none"/>
                <w:lang w:val="en-US" w:eastAsia="zh-CN"/>
              </w:rPr>
              <w:t>37</w:t>
            </w:r>
            <w:r>
              <w:rPr>
                <w:rFonts w:hint="eastAsia" w:asciiTheme="minorEastAsia" w:hAnsiTheme="minorEastAsia" w:eastAsiaTheme="minorEastAsia" w:cstheme="minorEastAsia"/>
                <w:b w:val="0"/>
                <w:bCs w:val="0"/>
                <w:sz w:val="24"/>
                <w:szCs w:val="24"/>
                <w:highlight w:val="none"/>
              </w:rPr>
              <w:t>分</w:t>
            </w:r>
            <w:r>
              <w:rPr>
                <w:rFonts w:hint="eastAsia" w:asciiTheme="minorEastAsia" w:hAnsiTheme="minorEastAsia" w:eastAsiaTheme="minorEastAsia" w:cstheme="minorEastAsia"/>
                <w:sz w:val="24"/>
                <w:szCs w:val="24"/>
              </w:rPr>
              <w:t>，标有★重要参数每有一项不满足扣 1 分,直至扣到0分为止。</w:t>
            </w:r>
          </w:p>
        </w:tc>
        <w:tc>
          <w:tcPr>
            <w:tcW w:w="0" w:type="auto"/>
            <w:tcBorders>
              <w:top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highlight w:val="red"/>
              </w:rPr>
            </w:pPr>
            <w:r>
              <w:rPr>
                <w:rFonts w:hint="eastAsia"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lang w:val="en-US" w:eastAsia="zh-CN"/>
              </w:rPr>
              <w:t>37</w:t>
            </w:r>
            <w:r>
              <w:rPr>
                <w:rFonts w:hint="eastAsia" w:asciiTheme="minorEastAsia" w:hAnsiTheme="minorEastAsia" w:eastAsiaTheme="minorEastAsia" w:cstheme="minorEastAsia"/>
                <w:sz w:val="24"/>
                <w:szCs w:val="24"/>
                <w:highlight w:val="none"/>
              </w:rPr>
              <w:t>分</w:t>
            </w:r>
          </w:p>
        </w:tc>
        <w:tc>
          <w:tcPr>
            <w:tcW w:w="628" w:type="dxa"/>
            <w:tcBorders>
              <w:top w:val="single" w:color="auto" w:sz="4" w:space="0"/>
              <w:left w:val="single" w:color="auto" w:sz="4" w:space="0"/>
              <w:bottom w:val="single" w:color="auto" w:sz="4" w:space="0"/>
            </w:tcBorders>
            <w:vAlign w:val="center"/>
          </w:tcPr>
          <w:p>
            <w:pPr>
              <w:spacing w:line="400" w:lineRule="exact"/>
              <w:rPr>
                <w:rFonts w:asciiTheme="minorEastAsia" w:hAnsiTheme="minorEastAsia" w:eastAsiaTheme="minorEastAsia" w:cstheme="minorEastAsia"/>
                <w:sz w:val="24"/>
                <w:szCs w:val="24"/>
                <w:highlight w:val="red"/>
              </w:rPr>
            </w:pPr>
            <w:r>
              <w:rPr>
                <w:rFonts w:hint="eastAsia" w:asciiTheme="minorEastAsia" w:hAnsiTheme="minorEastAsia" w:eastAsiaTheme="minorEastAsia" w:cstheme="minorEastAsia"/>
                <w:sz w:val="24"/>
                <w:szCs w:val="24"/>
                <w:highlight w:val="none"/>
                <w:lang w:val="en-US" w:eastAsia="zh-CN"/>
              </w:rPr>
              <w:t>37</w:t>
            </w:r>
            <w:r>
              <w:rPr>
                <w:rFonts w:hint="eastAsia" w:asciiTheme="minorEastAsia" w:hAnsiTheme="minorEastAsia" w:eastAsiaTheme="minorEastAsia" w:cstheme="minorEastAsia"/>
                <w:sz w:val="24"/>
                <w:szCs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0" w:type="auto"/>
            <w:vMerge w:val="continue"/>
            <w:tcBorders>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p>
        </w:tc>
        <w:tc>
          <w:tcPr>
            <w:tcW w:w="756" w:type="dxa"/>
            <w:vMerge w:val="continue"/>
            <w:tcBorders>
              <w:left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p>
        </w:tc>
        <w:tc>
          <w:tcPr>
            <w:tcW w:w="1080" w:type="dxa"/>
            <w:tcBorders>
              <w:top w:val="single" w:color="auto" w:sz="4" w:space="0"/>
              <w:left w:val="single" w:color="auto" w:sz="4" w:space="0"/>
              <w:bottom w:val="nil"/>
              <w:right w:val="single" w:color="auto" w:sz="4" w:space="0"/>
            </w:tcBorders>
          </w:tcPr>
          <w:p>
            <w:pPr>
              <w:spacing w:line="400" w:lineRule="exact"/>
              <w:rPr>
                <w:rFonts w:asciiTheme="minorEastAsia" w:hAnsiTheme="minorEastAsia" w:eastAsiaTheme="minorEastAsia" w:cstheme="minorEastAsia"/>
                <w:sz w:val="24"/>
                <w:szCs w:val="24"/>
              </w:rPr>
            </w:pP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培训方案</w:t>
            </w:r>
          </w:p>
        </w:tc>
        <w:tc>
          <w:tcPr>
            <w:tcW w:w="6911" w:type="dxa"/>
            <w:tcBorders>
              <w:top w:val="single" w:color="auto" w:sz="4" w:space="0"/>
              <w:left w:val="single" w:color="auto" w:sz="4" w:space="0"/>
              <w:bottom w:val="single" w:color="auto" w:sz="4" w:space="0"/>
              <w:right w:val="single" w:color="auto" w:sz="4" w:space="0"/>
            </w:tcBorders>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有合理的培训计划，明确给出培训目标、内容、时长，地点等，培训计划内容编写充分完善：</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分；编写内容有部分未完善：</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分；无培训计划不得分。</w:t>
            </w:r>
          </w:p>
        </w:tc>
        <w:tc>
          <w:tcPr>
            <w:tcW w:w="0" w:type="auto"/>
            <w:tcBorders>
              <w:top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tc>
        <w:tc>
          <w:tcPr>
            <w:tcW w:w="628" w:type="dxa"/>
            <w:tcBorders>
              <w:top w:val="single" w:color="auto" w:sz="4" w:space="0"/>
              <w:left w:val="single" w:color="auto" w:sz="4" w:space="0"/>
              <w:bottom w:val="single" w:color="auto" w:sz="4" w:space="0"/>
            </w:tcBorders>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427" w:type="dxa"/>
            <w:vMerge w:val="restart"/>
            <w:tcBorders>
              <w:left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p>
        </w:tc>
        <w:tc>
          <w:tcPr>
            <w:tcW w:w="756" w:type="dxa"/>
            <w:vMerge w:val="continue"/>
            <w:tcBorders>
              <w:left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p>
        </w:tc>
        <w:tc>
          <w:tcPr>
            <w:tcW w:w="1080" w:type="dxa"/>
            <w:tcBorders>
              <w:top w:val="single" w:color="auto" w:sz="4" w:space="0"/>
              <w:left w:val="single" w:color="auto" w:sz="4" w:space="0"/>
              <w:bottom w:val="nil"/>
              <w:right w:val="single" w:color="auto" w:sz="4" w:space="0"/>
            </w:tcBorders>
          </w:tcPr>
          <w:p>
            <w:pPr>
              <w:spacing w:line="400" w:lineRule="exact"/>
              <w:rPr>
                <w:rFonts w:asciiTheme="minorEastAsia" w:hAnsiTheme="minorEastAsia" w:eastAsiaTheme="minorEastAsia" w:cstheme="minorEastAsia"/>
                <w:sz w:val="24"/>
                <w:szCs w:val="24"/>
              </w:rPr>
            </w:pP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售后服务</w:t>
            </w:r>
          </w:p>
        </w:tc>
        <w:tc>
          <w:tcPr>
            <w:tcW w:w="6911" w:type="dxa"/>
            <w:tcBorders>
              <w:top w:val="single" w:color="auto" w:sz="4" w:space="0"/>
              <w:left w:val="single" w:color="auto" w:sz="4" w:space="0"/>
              <w:bottom w:val="single" w:color="auto" w:sz="4" w:space="0"/>
              <w:right w:val="single" w:color="auto" w:sz="4" w:space="0"/>
            </w:tcBorders>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根据供应商售后服务承诺、服务计划合理性、可行性、服务响应时间等方面进行评价，有专职售后团队、完善的售后体系可提供7×24小时服务。评价为优，得3分；良得2分，其他不得分。</w:t>
            </w:r>
          </w:p>
        </w:tc>
        <w:tc>
          <w:tcPr>
            <w:tcW w:w="0" w:type="auto"/>
            <w:tcBorders>
              <w:top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0-3分</w:t>
            </w:r>
          </w:p>
        </w:tc>
        <w:tc>
          <w:tcPr>
            <w:tcW w:w="628" w:type="dxa"/>
            <w:tcBorders>
              <w:top w:val="single" w:color="auto" w:sz="4" w:space="0"/>
              <w:left w:val="single" w:color="auto" w:sz="4" w:space="0"/>
              <w:bottom w:val="single" w:color="auto" w:sz="4" w:space="0"/>
            </w:tcBorders>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427" w:type="dxa"/>
            <w:vMerge w:val="continue"/>
            <w:tcBorders>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p>
        </w:tc>
        <w:tc>
          <w:tcPr>
            <w:tcW w:w="756" w:type="dxa"/>
            <w:vMerge w:val="continue"/>
            <w:tcBorders>
              <w:left w:val="single" w:color="auto" w:sz="4" w:space="0"/>
              <w:bottom w:val="nil"/>
              <w:right w:val="single" w:color="auto" w:sz="4" w:space="0"/>
            </w:tcBorders>
            <w:vAlign w:val="center"/>
          </w:tcPr>
          <w:p>
            <w:pPr>
              <w:spacing w:line="400" w:lineRule="exact"/>
              <w:rPr>
                <w:rFonts w:asciiTheme="minorEastAsia" w:hAnsiTheme="minorEastAsia" w:eastAsiaTheme="minorEastAsia" w:cstheme="minorEastAsia"/>
                <w:sz w:val="24"/>
                <w:szCs w:val="24"/>
              </w:rPr>
            </w:pPr>
          </w:p>
        </w:tc>
        <w:tc>
          <w:tcPr>
            <w:tcW w:w="1080" w:type="dxa"/>
            <w:tcBorders>
              <w:top w:val="single" w:color="auto" w:sz="4" w:space="0"/>
              <w:left w:val="single" w:color="auto" w:sz="4" w:space="0"/>
              <w:bottom w:val="nil"/>
              <w:right w:val="single" w:color="auto" w:sz="4" w:space="0"/>
            </w:tcBorders>
          </w:tcPr>
          <w:p>
            <w:pPr>
              <w:spacing w:line="400" w:lineRule="exact"/>
              <w:rPr>
                <w:rFonts w:asciiTheme="minorEastAsia" w:hAnsiTheme="minorEastAsia" w:eastAsiaTheme="minorEastAsia" w:cstheme="minorEastAsia"/>
                <w:sz w:val="24"/>
                <w:szCs w:val="24"/>
              </w:rPr>
            </w:pPr>
          </w:p>
          <w:p>
            <w:pPr>
              <w:pStyle w:val="2"/>
              <w:rPr>
                <w:rFonts w:asciiTheme="minorEastAsia" w:hAnsiTheme="minorEastAsia" w:eastAsiaTheme="minorEastAsia" w:cstheme="minorEastAsia"/>
                <w:sz w:val="24"/>
                <w:szCs w:val="24"/>
              </w:rPr>
            </w:pPr>
          </w:p>
          <w:p>
            <w:pPr>
              <w:pStyle w:val="2"/>
              <w:rPr>
                <w:rFonts w:asciiTheme="minorEastAsia" w:hAnsiTheme="minorEastAsia" w:eastAsiaTheme="minorEastAsia" w:cstheme="minorEastAsia"/>
                <w:sz w:val="24"/>
                <w:szCs w:val="24"/>
              </w:rPr>
            </w:pPr>
          </w:p>
          <w:p>
            <w:pPr>
              <w:pStyle w:val="2"/>
              <w:rPr>
                <w:rFonts w:asciiTheme="minorEastAsia" w:hAnsiTheme="minorEastAsia" w:eastAsiaTheme="minorEastAsia" w:cstheme="minorEastAsia"/>
                <w:sz w:val="24"/>
                <w:szCs w:val="24"/>
              </w:rPr>
            </w:pPr>
          </w:p>
          <w:p>
            <w:pPr>
              <w:pStyle w:val="2"/>
              <w:rPr>
                <w:rFonts w:asciiTheme="minorEastAsia" w:hAnsiTheme="minorEastAsia" w:eastAsiaTheme="minorEastAsia" w:cstheme="minorEastAsia"/>
                <w:sz w:val="24"/>
                <w:szCs w:val="24"/>
              </w:rPr>
            </w:pPr>
          </w:p>
          <w:p>
            <w:pPr>
              <w:pStyle w:val="2"/>
              <w:rPr>
                <w:rFonts w:asciiTheme="minorEastAsia" w:hAnsiTheme="minorEastAsia" w:eastAsiaTheme="minorEastAsia" w:cstheme="minorEastAsia"/>
                <w:sz w:val="24"/>
                <w:szCs w:val="24"/>
              </w:rPr>
            </w:pP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技术性能</w:t>
            </w:r>
          </w:p>
        </w:tc>
        <w:tc>
          <w:tcPr>
            <w:tcW w:w="6911"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1.为避免对人体造成辐射伤害、电磁干扰不影响周边环境设备运行，所投馆员工作站、自助借还书机、移动式盘点车、RFID安全门均须符合《ETSI EN302208—1V1.3.1（2010-02）电磁兼容性和频谱限值 UHF频段射频识别设备发射参数的测量方法和限值》、GB9254-2008（信息技术设备的无线电骚扰限值和测量方法）和《GB/T 17618-2015 信息技术设备 抗扰度限制和测量方法》标准要求, 投标人须提供经过国家计量行政部门认证的检测机构（证明文件具有CMA标识）出具的相关证明文件复印件加盖投标人公章。每项产品具备得2分，总计8分；</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2.为保证所投RFID产品兼容性更佳，所投RFID产品为同一品牌的供应商。满足得2分。</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为保障馆员及读者免受噪声污染，所投馆员工作站、自助借还书机、移动式盘点车、RFID安全门设备正常工作运行状态下噪声≤35dB（A），属于低噪音工作模式，且通过权威检测机构检测、认定，提供第三方检测机构出具的噪声≤35dB（A）的检测报告，提供复印件加盖公章，每项产品具备得1分，总计4分。</w:t>
            </w: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英语口语示范音频：要求提供中国国际广播出版社的正版资源授权协议，授权内容需包含不少于20篇的经典英文原著原声音频，朗读作者需包括中国国际广播电台（前）的：沈汀、贝贝、钟秋、王璐、晓华、段纯、赫扬、念日希等知名主持人；需提供完整的授权协议及音频目录清单，全部满足得2分，否则不得分；</w:t>
            </w: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诗经唱诵资源：为更好的弘扬中国优秀传统文化，提升文化传承水平，要求提供于文华《诗经唱诵》数字资源，且数量不少于140部，需提供授权协议及资源清单；全部满足得2分，否则不得分；</w:t>
            </w: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5.所投安全产品的生产厂商具备云安全成熟度成熟度模型CS-CMMI 5认证，提供证书复印件。满足得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分，不满足不得分（提供有效证明）；</w:t>
            </w:r>
          </w:p>
        </w:tc>
        <w:tc>
          <w:tcPr>
            <w:tcW w:w="0" w:type="auto"/>
            <w:tcBorders>
              <w:top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0-20分</w:t>
            </w:r>
          </w:p>
        </w:tc>
        <w:tc>
          <w:tcPr>
            <w:tcW w:w="628" w:type="dxa"/>
            <w:tcBorders>
              <w:top w:val="single" w:color="auto" w:sz="4" w:space="0"/>
              <w:left w:val="single" w:color="auto" w:sz="4" w:space="0"/>
              <w:bottom w:val="single" w:color="auto" w:sz="4" w:space="0"/>
            </w:tcBorders>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118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总分</w:t>
            </w:r>
          </w:p>
        </w:tc>
        <w:tc>
          <w:tcPr>
            <w:tcW w:w="799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4"/>
                <w:szCs w:val="24"/>
              </w:rPr>
            </w:pPr>
          </w:p>
        </w:tc>
        <w:tc>
          <w:tcPr>
            <w:tcW w:w="1264" w:type="dxa"/>
            <w:gridSpan w:val="2"/>
            <w:tcBorders>
              <w:top w:val="single" w:color="auto" w:sz="4" w:space="0"/>
              <w:bottom w:val="single" w:color="auto" w:sz="4" w:space="0"/>
            </w:tcBorders>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100分</w:t>
            </w:r>
          </w:p>
        </w:tc>
      </w:tr>
    </w:tbl>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26．定标原则</w:t>
      </w:r>
    </w:p>
    <w:p>
      <w:pPr>
        <w:adjustRightInd w:val="0"/>
        <w:snapToGrid w:val="0"/>
        <w:spacing w:line="460" w:lineRule="exact"/>
        <w:rPr>
          <w:rFonts w:ascii="宋体" w:hAnsi="宋体" w:cs="宋体"/>
          <w:sz w:val="24"/>
          <w:szCs w:val="24"/>
        </w:rPr>
      </w:pPr>
      <w:r>
        <w:rPr>
          <w:rFonts w:hint="eastAsia" w:ascii="宋体" w:hAnsi="宋体" w:cs="宋体"/>
          <w:sz w:val="24"/>
          <w:szCs w:val="24"/>
        </w:rPr>
        <w:t>26.1磋商小组应当根据综合评分情况，按照投标人综合得分由高到低的顺序排列，依次推荐3名成交候选人，并编写评审报告。投标人综合得分相同的，按照投标报价由低到高的顺序排列。投标人综合得分相同且投标报价也相同的并列，评审小组将按照技术指标优劣顺序推荐。</w:t>
      </w:r>
    </w:p>
    <w:p>
      <w:pPr>
        <w:adjustRightInd w:val="0"/>
        <w:snapToGrid w:val="0"/>
        <w:spacing w:line="460" w:lineRule="exact"/>
        <w:rPr>
          <w:rFonts w:ascii="宋体" w:hAnsi="宋体" w:cs="宋体"/>
          <w:sz w:val="24"/>
          <w:szCs w:val="24"/>
        </w:rPr>
      </w:pPr>
      <w:r>
        <w:rPr>
          <w:rFonts w:hint="eastAsia" w:ascii="宋体" w:hAnsi="宋体" w:cs="宋体"/>
          <w:sz w:val="24"/>
          <w:szCs w:val="24"/>
        </w:rPr>
        <w:t>26.2采购代理机构应当在评标结束后2个工作日内将评审报告送采购人。</w:t>
      </w:r>
    </w:p>
    <w:p>
      <w:pPr>
        <w:adjustRightInd w:val="0"/>
        <w:snapToGrid w:val="0"/>
        <w:spacing w:line="460" w:lineRule="exact"/>
        <w:rPr>
          <w:rFonts w:ascii="宋体" w:hAnsi="宋体" w:cs="宋体"/>
          <w:sz w:val="24"/>
          <w:szCs w:val="24"/>
        </w:rPr>
      </w:pPr>
      <w:r>
        <w:rPr>
          <w:rFonts w:hint="eastAsia" w:ascii="宋体" w:hAnsi="宋体" w:cs="宋体"/>
          <w:sz w:val="24"/>
          <w:szCs w:val="24"/>
        </w:rPr>
        <w:t>采购人应当自收到评审报告之日起5个工作日内，在评审报告确定的成交候选人名单中按顺序确定中标人。</w:t>
      </w:r>
    </w:p>
    <w:p>
      <w:pPr>
        <w:adjustRightInd w:val="0"/>
        <w:snapToGrid w:val="0"/>
        <w:spacing w:line="460" w:lineRule="exact"/>
        <w:rPr>
          <w:rFonts w:ascii="宋体" w:hAnsi="宋体" w:cs="宋体"/>
          <w:sz w:val="24"/>
          <w:szCs w:val="24"/>
        </w:rPr>
      </w:pPr>
      <w:r>
        <w:rPr>
          <w:rFonts w:hint="eastAsia" w:ascii="宋体" w:hAnsi="宋体" w:cs="宋体"/>
          <w:sz w:val="24"/>
          <w:szCs w:val="24"/>
        </w:rPr>
        <w:t>26.3采购人根据评审报告，应当确定排名第一的中标候选人为成交人。排名第一的成交候选人放弃中标、因不可抗力不能履行合同的、或者磋商文件规定应当提交履约保证金而在规定的期限内未能提交的（如有）、其他不符合中标条件的、或者被查实存在影响中标结果的违法行为等情形，采购人可以按照评审小组提出的成交候选人名单排序依次确定其他中标候选人为成交人，也可以重新采购。</w:t>
      </w:r>
    </w:p>
    <w:p>
      <w:bookmarkStart w:id="50" w:name="_Toc24524"/>
      <w:bookmarkStart w:id="51" w:name="_Toc25039"/>
      <w:r>
        <w:rPr>
          <w:rFonts w:hint="eastAsia"/>
        </w:rPr>
        <w:br w:type="page"/>
      </w:r>
    </w:p>
    <w:p>
      <w:pPr>
        <w:pStyle w:val="4"/>
        <w:spacing w:before="0" w:after="0" w:line="540" w:lineRule="exact"/>
        <w:ind w:firstLine="3534" w:firstLineChars="1100"/>
        <w:jc w:val="both"/>
      </w:pPr>
      <w:bookmarkStart w:id="52" w:name="_Toc31567"/>
      <w:r>
        <w:rPr>
          <w:rFonts w:hint="eastAsia"/>
        </w:rPr>
        <w:t>第七章  授予合同</w:t>
      </w:r>
      <w:bookmarkEnd w:id="50"/>
      <w:bookmarkEnd w:id="51"/>
      <w:bookmarkEnd w:id="52"/>
    </w:p>
    <w:p>
      <w:pPr>
        <w:adjustRightInd w:val="0"/>
        <w:snapToGrid w:val="0"/>
        <w:spacing w:line="540" w:lineRule="exact"/>
        <w:rPr>
          <w:rFonts w:ascii="宋体" w:hAnsi="宋体" w:cs="宋体"/>
          <w:sz w:val="24"/>
          <w:szCs w:val="24"/>
        </w:rPr>
      </w:pP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27.合同授予标准</w:t>
      </w:r>
    </w:p>
    <w:p>
      <w:pPr>
        <w:adjustRightInd w:val="0"/>
        <w:snapToGrid w:val="0"/>
        <w:spacing w:line="460" w:lineRule="exact"/>
        <w:rPr>
          <w:rFonts w:ascii="宋体" w:hAnsi="宋体" w:cs="宋体"/>
          <w:sz w:val="24"/>
          <w:szCs w:val="24"/>
        </w:rPr>
      </w:pPr>
      <w:r>
        <w:rPr>
          <w:rFonts w:hint="eastAsia" w:ascii="宋体" w:hAnsi="宋体" w:cs="宋体"/>
          <w:sz w:val="24"/>
          <w:szCs w:val="24"/>
        </w:rPr>
        <w:t>27.1合同将授予被确定为实质上响应磋商文件要求、具备履行合同义务条件、报价合理、技术和商务条件都符合采购人条件基础上的对买方最为有利的投标人。</w:t>
      </w:r>
    </w:p>
    <w:p>
      <w:pPr>
        <w:adjustRightInd w:val="0"/>
        <w:snapToGrid w:val="0"/>
        <w:spacing w:line="460" w:lineRule="exact"/>
        <w:rPr>
          <w:rFonts w:ascii="宋体" w:hAnsi="宋体" w:cs="宋体"/>
          <w:sz w:val="24"/>
          <w:szCs w:val="24"/>
        </w:rPr>
      </w:pPr>
      <w:r>
        <w:rPr>
          <w:rFonts w:hint="eastAsia" w:ascii="宋体" w:hAnsi="宋体" w:cs="宋体"/>
          <w:sz w:val="24"/>
          <w:szCs w:val="24"/>
        </w:rPr>
        <w:t>27.2最低投标价不一定是被授予合同的保证。</w:t>
      </w:r>
    </w:p>
    <w:p>
      <w:pPr>
        <w:adjustRightInd w:val="0"/>
        <w:snapToGrid w:val="0"/>
        <w:spacing w:line="460" w:lineRule="exact"/>
        <w:rPr>
          <w:rFonts w:ascii="宋体" w:hAnsi="宋体" w:cs="宋体"/>
          <w:sz w:val="24"/>
          <w:szCs w:val="24"/>
        </w:rPr>
      </w:pPr>
      <w:r>
        <w:rPr>
          <w:rFonts w:hint="eastAsia" w:ascii="宋体" w:hAnsi="宋体" w:cs="宋体"/>
          <w:sz w:val="24"/>
          <w:szCs w:val="24"/>
        </w:rPr>
        <w:t>27.3如果确定该投标人不能无条件圆满履行合同，采购人将对下一个可能成交的投标人资格做出类似的审查。</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28.接受和拒绝任何投标的权力</w:t>
      </w:r>
    </w:p>
    <w:p>
      <w:pPr>
        <w:adjustRightInd w:val="0"/>
        <w:snapToGrid w:val="0"/>
        <w:spacing w:line="460" w:lineRule="exact"/>
        <w:rPr>
          <w:rFonts w:ascii="宋体" w:hAnsi="宋体" w:cs="宋体"/>
          <w:sz w:val="24"/>
          <w:szCs w:val="24"/>
        </w:rPr>
      </w:pPr>
      <w:r>
        <w:rPr>
          <w:rFonts w:hint="eastAsia" w:ascii="宋体" w:hAnsi="宋体" w:cs="宋体"/>
          <w:sz w:val="24"/>
          <w:szCs w:val="24"/>
        </w:rPr>
        <w:t>28.1为维护国家利益，采购人在授予合同之前仍有选择或拒绝任何投标的权力。</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29.成交通知书</w:t>
      </w:r>
    </w:p>
    <w:p>
      <w:pPr>
        <w:adjustRightInd w:val="0"/>
        <w:snapToGrid w:val="0"/>
        <w:spacing w:line="460" w:lineRule="exact"/>
        <w:rPr>
          <w:rFonts w:ascii="宋体" w:hAnsi="宋体" w:cs="宋体"/>
          <w:sz w:val="24"/>
          <w:szCs w:val="24"/>
        </w:rPr>
      </w:pPr>
      <w:r>
        <w:rPr>
          <w:rFonts w:hint="eastAsia" w:ascii="宋体" w:hAnsi="宋体" w:cs="宋体"/>
          <w:sz w:val="24"/>
          <w:szCs w:val="24"/>
        </w:rPr>
        <w:t>29.1成交结果公示结束后，采购人将以书面形式发出《成交通知书》，《成交通知书》一经发出即发生法律效力。</w:t>
      </w:r>
    </w:p>
    <w:p>
      <w:pPr>
        <w:adjustRightInd w:val="0"/>
        <w:snapToGrid w:val="0"/>
        <w:spacing w:line="460" w:lineRule="exact"/>
        <w:rPr>
          <w:rFonts w:ascii="宋体" w:hAnsi="宋体" w:cs="宋体"/>
          <w:sz w:val="24"/>
          <w:szCs w:val="24"/>
        </w:rPr>
      </w:pPr>
      <w:r>
        <w:rPr>
          <w:rFonts w:hint="eastAsia" w:ascii="宋体" w:hAnsi="宋体" w:cs="宋体"/>
          <w:sz w:val="24"/>
          <w:szCs w:val="24"/>
        </w:rPr>
        <w:t>29.2 《成交通知书》将作为签订合同的依据。</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30.履约担保</w:t>
      </w:r>
    </w:p>
    <w:p>
      <w:pPr>
        <w:adjustRightInd w:val="0"/>
        <w:snapToGrid w:val="0"/>
        <w:spacing w:line="460" w:lineRule="exact"/>
        <w:rPr>
          <w:rFonts w:ascii="宋体" w:hAnsi="宋体" w:cs="宋体"/>
          <w:sz w:val="24"/>
          <w:szCs w:val="24"/>
        </w:rPr>
      </w:pPr>
      <w:r>
        <w:rPr>
          <w:rFonts w:hint="eastAsia" w:ascii="宋体" w:hAnsi="宋体" w:cs="宋体"/>
          <w:sz w:val="24"/>
          <w:szCs w:val="24"/>
        </w:rPr>
        <w:t>30.1履约保证金：详见投标人须知前附表。</w:t>
      </w:r>
    </w:p>
    <w:p>
      <w:pPr>
        <w:adjustRightInd w:val="0"/>
        <w:snapToGrid w:val="0"/>
        <w:spacing w:line="460" w:lineRule="exact"/>
        <w:rPr>
          <w:rFonts w:ascii="宋体" w:hAnsi="宋体" w:cs="宋体"/>
          <w:sz w:val="24"/>
          <w:szCs w:val="24"/>
        </w:rPr>
      </w:pPr>
      <w:r>
        <w:rPr>
          <w:rFonts w:hint="eastAsia" w:ascii="宋体" w:hAnsi="宋体" w:cs="宋体"/>
          <w:sz w:val="24"/>
          <w:szCs w:val="24"/>
        </w:rPr>
        <w:t>30.2履约保证金在合同执行完毕后无息退还。</w:t>
      </w:r>
    </w:p>
    <w:p>
      <w:pPr>
        <w:adjustRightInd w:val="0"/>
        <w:snapToGrid w:val="0"/>
        <w:spacing w:line="460" w:lineRule="exact"/>
        <w:rPr>
          <w:rFonts w:ascii="宋体" w:hAnsi="宋体" w:cs="宋体"/>
          <w:sz w:val="24"/>
          <w:szCs w:val="24"/>
        </w:rPr>
      </w:pPr>
      <w:r>
        <w:rPr>
          <w:rFonts w:hint="eastAsia" w:ascii="宋体" w:hAnsi="宋体" w:cs="宋体"/>
          <w:sz w:val="24"/>
          <w:szCs w:val="24"/>
        </w:rPr>
        <w:t>30.3如中标候选人不能按期提供则取消其中标资格。投标人须承诺如成为中标候选人能够及时提供该笔资金。</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31．签订合同</w:t>
      </w:r>
    </w:p>
    <w:p>
      <w:pPr>
        <w:adjustRightInd w:val="0"/>
        <w:snapToGrid w:val="0"/>
        <w:spacing w:line="460" w:lineRule="exact"/>
        <w:rPr>
          <w:rFonts w:ascii="宋体" w:hAnsi="宋体" w:cs="宋体"/>
          <w:sz w:val="24"/>
          <w:szCs w:val="24"/>
        </w:rPr>
      </w:pPr>
      <w:r>
        <w:rPr>
          <w:rFonts w:hint="eastAsia" w:ascii="宋体" w:hAnsi="宋体" w:cs="宋体"/>
          <w:sz w:val="24"/>
          <w:szCs w:val="24"/>
        </w:rPr>
        <w:t>31.1中标候选人在收到招标方的《成交通知书》后，须</w:t>
      </w:r>
      <w:r>
        <w:rPr>
          <w:rFonts w:hint="eastAsia" w:ascii="宋体" w:hAnsi="宋体" w:cs="宋体"/>
          <w:color w:val="000000" w:themeColor="text1"/>
          <w:sz w:val="24"/>
          <w:szCs w:val="24"/>
          <w14:textFill>
            <w14:solidFill>
              <w14:schemeClr w14:val="tx1"/>
            </w14:solidFill>
          </w14:textFill>
        </w:rPr>
        <w:t>在15日内按照磋商文件和其所提供的响应文件中的约定与采购单位签订书面合同，所签订的合同不得</w:t>
      </w:r>
      <w:r>
        <w:rPr>
          <w:rFonts w:hint="eastAsia" w:ascii="宋体" w:hAnsi="宋体" w:cs="宋体"/>
          <w:sz w:val="24"/>
          <w:szCs w:val="24"/>
        </w:rPr>
        <w:t>对磋商文件和中标方的响应文件作实质性修改。</w:t>
      </w:r>
    </w:p>
    <w:p>
      <w:pPr>
        <w:adjustRightInd w:val="0"/>
        <w:snapToGrid w:val="0"/>
        <w:spacing w:line="460" w:lineRule="exact"/>
        <w:rPr>
          <w:rFonts w:ascii="宋体" w:hAnsi="宋体" w:cs="宋体"/>
          <w:sz w:val="24"/>
          <w:szCs w:val="24"/>
        </w:rPr>
      </w:pPr>
      <w:r>
        <w:rPr>
          <w:rFonts w:hint="eastAsia" w:ascii="宋体" w:hAnsi="宋体" w:cs="宋体"/>
          <w:sz w:val="24"/>
          <w:szCs w:val="24"/>
        </w:rPr>
        <w:t>31.2磋商文件、中标方的响应文件及其澄清文件等，均为签订合同的依据。</w:t>
      </w:r>
    </w:p>
    <w:p>
      <w:pPr>
        <w:adjustRightInd w:val="0"/>
        <w:snapToGrid w:val="0"/>
        <w:spacing w:line="460" w:lineRule="exact"/>
        <w:rPr>
          <w:rFonts w:ascii="宋体" w:hAnsi="宋体" w:cs="宋体"/>
          <w:sz w:val="24"/>
          <w:szCs w:val="24"/>
        </w:rPr>
      </w:pPr>
      <w:r>
        <w:rPr>
          <w:rFonts w:hint="eastAsia" w:ascii="宋体" w:hAnsi="宋体" w:cs="宋体"/>
          <w:sz w:val="24"/>
          <w:szCs w:val="24"/>
        </w:rPr>
        <w:t>31.3 如果中标人不能按本须知第35.1款的规定执行，采购人将有充分的理由废除其成交资格，并没收其磋商保证金，给采购人造成的损失超过磋商保证金数额的，还应当对超过部分予以赔偿，同时依法承担相应法律责任；同时，采购人有权将标授予另一个候选成交人或重新招标。</w:t>
      </w:r>
    </w:p>
    <w:p>
      <w:pPr>
        <w:adjustRightInd w:val="0"/>
        <w:snapToGrid w:val="0"/>
        <w:spacing w:line="460" w:lineRule="exact"/>
        <w:rPr>
          <w:rFonts w:ascii="宋体" w:hAnsi="宋体" w:cs="宋体"/>
          <w:sz w:val="24"/>
          <w:szCs w:val="24"/>
        </w:rPr>
      </w:pPr>
      <w:r>
        <w:rPr>
          <w:rFonts w:hint="eastAsia" w:ascii="宋体" w:hAnsi="宋体" w:cs="宋体"/>
          <w:sz w:val="24"/>
          <w:szCs w:val="24"/>
        </w:rPr>
        <w:t>31.4 不允许成交人将中标项目分包或转交他人承担。特殊情况下，成交人必须与招标方协商后共同决定将合同标的中的部分由第三方承担供货和服务责任，但成交方必须对合同标的的全部内容向招标方负责，并保证第三方提供的供货和服务符合磋商文件的约定和响应文件的承诺及相关约定。</w:t>
      </w:r>
    </w:p>
    <w:p>
      <w:pPr>
        <w:pStyle w:val="4"/>
        <w:rPr>
          <w:rFonts w:ascii="宋体" w:hAnsi="宋体" w:cs="宋体"/>
          <w:sz w:val="24"/>
          <w:szCs w:val="24"/>
        </w:rPr>
      </w:pPr>
      <w:bookmarkStart w:id="53" w:name="_Toc508"/>
      <w:bookmarkStart w:id="54" w:name="_Toc31543"/>
      <w:bookmarkStart w:id="55" w:name="_Toc19306"/>
      <w:r>
        <w:rPr>
          <w:rFonts w:hint="eastAsia"/>
        </w:rPr>
        <w:t>第八章  其 他</w:t>
      </w:r>
      <w:bookmarkEnd w:id="53"/>
      <w:bookmarkEnd w:id="54"/>
      <w:bookmarkEnd w:id="55"/>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32.需要补充的其他内容</w:t>
      </w:r>
    </w:p>
    <w:p>
      <w:pPr>
        <w:adjustRightInd w:val="0"/>
        <w:snapToGrid w:val="0"/>
        <w:spacing w:line="460" w:lineRule="exact"/>
        <w:rPr>
          <w:rFonts w:ascii="宋体" w:hAnsi="宋体" w:cs="宋体"/>
          <w:sz w:val="24"/>
          <w:szCs w:val="24"/>
        </w:rPr>
      </w:pPr>
      <w:r>
        <w:rPr>
          <w:rFonts w:hint="eastAsia" w:ascii="宋体" w:hAnsi="宋体" w:cs="宋体"/>
          <w:sz w:val="24"/>
          <w:szCs w:val="24"/>
        </w:rPr>
        <w:t>32.1需要补充的其他内容详见投标人须知前附表。</w:t>
      </w:r>
    </w:p>
    <w:p>
      <w:pPr>
        <w:adjustRightInd w:val="0"/>
        <w:snapToGrid w:val="0"/>
        <w:spacing w:line="460" w:lineRule="exact"/>
        <w:rPr>
          <w:rFonts w:ascii="宋体" w:hAnsi="宋体" w:cs="宋体"/>
          <w:sz w:val="24"/>
          <w:szCs w:val="24"/>
        </w:rPr>
      </w:pPr>
    </w:p>
    <w:p>
      <w:pPr>
        <w:pStyle w:val="4"/>
      </w:pPr>
      <w:bookmarkStart w:id="56" w:name="_Toc4290"/>
      <w:bookmarkStart w:id="57" w:name="_Toc12143"/>
      <w:bookmarkStart w:id="58" w:name="_Toc7968"/>
      <w:r>
        <w:rPr>
          <w:rFonts w:hint="eastAsia"/>
        </w:rPr>
        <w:t>第九章  质疑的提出及处理</w:t>
      </w:r>
      <w:bookmarkEnd w:id="56"/>
      <w:bookmarkEnd w:id="57"/>
      <w:bookmarkEnd w:id="58"/>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政府采购供应商（以下简称供应商）提出质疑和投诉应当坚持依法依规、诚实信用原则。</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33. 质疑的提出</w:t>
      </w:r>
    </w:p>
    <w:p>
      <w:pPr>
        <w:adjustRightInd w:val="0"/>
        <w:snapToGrid w:val="0"/>
        <w:spacing w:line="460" w:lineRule="exact"/>
        <w:rPr>
          <w:rFonts w:ascii="宋体" w:hAnsi="宋体" w:cs="宋体"/>
          <w:sz w:val="24"/>
          <w:szCs w:val="24"/>
        </w:rPr>
      </w:pPr>
      <w:r>
        <w:rPr>
          <w:rFonts w:hint="eastAsia" w:ascii="宋体" w:hAnsi="宋体" w:cs="宋体"/>
          <w:sz w:val="24"/>
          <w:szCs w:val="24"/>
        </w:rPr>
        <w:t>33.1  供应商认为采购文件、采购过程、中标或者成交结果使自己的权益受到损害的，可以在知道或者应知其权益受到损害之日起七个工作日内，以书面形式向采购人、采购代理机构提出质疑。</w:t>
      </w:r>
    </w:p>
    <w:p>
      <w:pPr>
        <w:adjustRightInd w:val="0"/>
        <w:snapToGrid w:val="0"/>
        <w:spacing w:line="460" w:lineRule="exact"/>
        <w:rPr>
          <w:rFonts w:ascii="宋体" w:hAnsi="宋体" w:cs="宋体"/>
          <w:sz w:val="24"/>
          <w:szCs w:val="24"/>
        </w:rPr>
      </w:pPr>
      <w:r>
        <w:rPr>
          <w:rFonts w:hint="eastAsia" w:ascii="宋体" w:hAnsi="宋体" w:cs="宋体"/>
          <w:sz w:val="24"/>
          <w:szCs w:val="24"/>
        </w:rPr>
        <w:t>采购文件可以要求供应商在法定质疑期内一次性提出针对同一采购程序环节的质疑。</w:t>
      </w:r>
    </w:p>
    <w:p>
      <w:pPr>
        <w:adjustRightInd w:val="0"/>
        <w:snapToGrid w:val="0"/>
        <w:spacing w:line="460" w:lineRule="exact"/>
        <w:rPr>
          <w:rFonts w:ascii="宋体" w:hAnsi="宋体" w:cs="宋体"/>
          <w:sz w:val="24"/>
          <w:szCs w:val="24"/>
        </w:rPr>
      </w:pPr>
      <w:r>
        <w:rPr>
          <w:rFonts w:hint="eastAsia" w:ascii="宋体" w:hAnsi="宋体" w:cs="宋体"/>
          <w:sz w:val="24"/>
          <w:szCs w:val="24"/>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adjustRightInd w:val="0"/>
        <w:snapToGrid w:val="0"/>
        <w:spacing w:line="460" w:lineRule="exact"/>
        <w:rPr>
          <w:rFonts w:ascii="宋体" w:hAnsi="宋体" w:cs="宋体"/>
          <w:sz w:val="24"/>
          <w:szCs w:val="24"/>
        </w:rPr>
      </w:pPr>
      <w:r>
        <w:rPr>
          <w:rFonts w:hint="eastAsia" w:ascii="宋体" w:hAnsi="宋体" w:cs="宋体"/>
          <w:sz w:val="24"/>
          <w:szCs w:val="24"/>
        </w:rPr>
        <w:t>33.2提出质疑的供应商（以下简称质疑供应商）应当是参与所质疑项目采购活动的供应商。</w:t>
      </w:r>
    </w:p>
    <w:p>
      <w:pPr>
        <w:adjustRightInd w:val="0"/>
        <w:snapToGrid w:val="0"/>
        <w:spacing w:line="460" w:lineRule="exact"/>
        <w:rPr>
          <w:rFonts w:ascii="宋体" w:hAnsi="宋体" w:cs="宋体"/>
          <w:sz w:val="24"/>
          <w:szCs w:val="24"/>
        </w:rPr>
      </w:pPr>
      <w:r>
        <w:rPr>
          <w:rFonts w:hint="eastAsia" w:ascii="宋体" w:hAnsi="宋体" w:cs="宋体"/>
          <w:sz w:val="24"/>
          <w:szCs w:val="24"/>
        </w:rPr>
        <w:t>潜在供应商已依法获取其可质疑的采购文件的，可以对该文件提出质疑。对采购文件提出质疑的，应当在获取采购文件或者采购文件公告期限届满之日起7个工作日内提出。</w:t>
      </w:r>
    </w:p>
    <w:p>
      <w:pPr>
        <w:adjustRightInd w:val="0"/>
        <w:snapToGrid w:val="0"/>
        <w:spacing w:line="460" w:lineRule="exact"/>
        <w:rPr>
          <w:rFonts w:ascii="宋体" w:hAnsi="宋体" w:cs="宋体"/>
          <w:sz w:val="24"/>
          <w:szCs w:val="24"/>
        </w:rPr>
      </w:pPr>
      <w:r>
        <w:rPr>
          <w:rFonts w:hint="eastAsia" w:ascii="宋体" w:hAnsi="宋体" w:cs="宋体"/>
          <w:sz w:val="24"/>
          <w:szCs w:val="24"/>
        </w:rPr>
        <w:t>33.3供应商提出质疑应当提交质疑函和必要的证明材料。质疑函应当包括下列内容：</w:t>
      </w:r>
    </w:p>
    <w:p>
      <w:pPr>
        <w:adjustRightInd w:val="0"/>
        <w:snapToGrid w:val="0"/>
        <w:spacing w:line="460" w:lineRule="exact"/>
        <w:rPr>
          <w:rFonts w:ascii="宋体" w:hAnsi="宋体" w:cs="宋体"/>
          <w:sz w:val="24"/>
          <w:szCs w:val="24"/>
        </w:rPr>
      </w:pPr>
      <w:r>
        <w:rPr>
          <w:rFonts w:hint="eastAsia" w:ascii="宋体" w:hAnsi="宋体" w:cs="宋体"/>
          <w:sz w:val="24"/>
          <w:szCs w:val="24"/>
        </w:rPr>
        <w:t>（1）供应商的姓名或者名称、地址、邮编、联系人及联系电话；</w:t>
      </w:r>
    </w:p>
    <w:p>
      <w:pPr>
        <w:adjustRightInd w:val="0"/>
        <w:snapToGrid w:val="0"/>
        <w:spacing w:line="460" w:lineRule="exact"/>
        <w:rPr>
          <w:rFonts w:ascii="宋体" w:hAnsi="宋体" w:cs="宋体"/>
          <w:sz w:val="24"/>
          <w:szCs w:val="24"/>
        </w:rPr>
      </w:pPr>
      <w:r>
        <w:rPr>
          <w:rFonts w:hint="eastAsia" w:ascii="宋体" w:hAnsi="宋体" w:cs="宋体"/>
          <w:sz w:val="24"/>
          <w:szCs w:val="24"/>
        </w:rPr>
        <w:t>（2）质疑项目的名称、编号；</w:t>
      </w:r>
    </w:p>
    <w:p>
      <w:pPr>
        <w:adjustRightInd w:val="0"/>
        <w:snapToGrid w:val="0"/>
        <w:spacing w:line="460" w:lineRule="exact"/>
        <w:rPr>
          <w:rFonts w:ascii="宋体" w:hAnsi="宋体" w:cs="宋体"/>
          <w:sz w:val="24"/>
          <w:szCs w:val="24"/>
        </w:rPr>
      </w:pPr>
      <w:r>
        <w:rPr>
          <w:rFonts w:hint="eastAsia" w:ascii="宋体" w:hAnsi="宋体" w:cs="宋体"/>
          <w:sz w:val="24"/>
          <w:szCs w:val="24"/>
        </w:rPr>
        <w:t>（3）具体、明确的质疑事项和与质疑事项相关的请求；</w:t>
      </w:r>
    </w:p>
    <w:p>
      <w:pPr>
        <w:adjustRightInd w:val="0"/>
        <w:snapToGrid w:val="0"/>
        <w:spacing w:line="460" w:lineRule="exact"/>
        <w:rPr>
          <w:rFonts w:ascii="宋体" w:hAnsi="宋体" w:cs="宋体"/>
          <w:sz w:val="24"/>
          <w:szCs w:val="24"/>
        </w:rPr>
      </w:pPr>
      <w:r>
        <w:rPr>
          <w:rFonts w:hint="eastAsia" w:ascii="宋体" w:hAnsi="宋体" w:cs="宋体"/>
          <w:sz w:val="24"/>
          <w:szCs w:val="24"/>
        </w:rPr>
        <w:t>（4）事实依据；</w:t>
      </w:r>
    </w:p>
    <w:p>
      <w:pPr>
        <w:adjustRightInd w:val="0"/>
        <w:snapToGrid w:val="0"/>
        <w:spacing w:line="460" w:lineRule="exact"/>
        <w:rPr>
          <w:rFonts w:ascii="宋体" w:hAnsi="宋体" w:cs="宋体"/>
          <w:sz w:val="24"/>
          <w:szCs w:val="24"/>
        </w:rPr>
      </w:pPr>
      <w:r>
        <w:rPr>
          <w:rFonts w:hint="eastAsia" w:ascii="宋体" w:hAnsi="宋体" w:cs="宋体"/>
          <w:sz w:val="24"/>
          <w:szCs w:val="24"/>
        </w:rPr>
        <w:t>（5）必要的法律依据；</w:t>
      </w:r>
    </w:p>
    <w:p>
      <w:pPr>
        <w:adjustRightInd w:val="0"/>
        <w:snapToGrid w:val="0"/>
        <w:spacing w:line="460" w:lineRule="exact"/>
        <w:rPr>
          <w:rFonts w:ascii="宋体" w:hAnsi="宋体" w:cs="宋体"/>
          <w:sz w:val="24"/>
          <w:szCs w:val="24"/>
        </w:rPr>
      </w:pPr>
      <w:r>
        <w:rPr>
          <w:rFonts w:hint="eastAsia" w:ascii="宋体" w:hAnsi="宋体" w:cs="宋体"/>
          <w:sz w:val="24"/>
          <w:szCs w:val="24"/>
        </w:rPr>
        <w:t>（6）提出质疑的日期。</w:t>
      </w:r>
    </w:p>
    <w:p>
      <w:pPr>
        <w:adjustRightInd w:val="0"/>
        <w:snapToGrid w:val="0"/>
        <w:spacing w:line="460" w:lineRule="exact"/>
        <w:rPr>
          <w:rFonts w:ascii="宋体" w:hAnsi="宋体" w:cs="宋体"/>
          <w:sz w:val="24"/>
          <w:szCs w:val="24"/>
        </w:rPr>
      </w:pPr>
      <w:r>
        <w:rPr>
          <w:rFonts w:hint="eastAsia" w:ascii="宋体" w:hAnsi="宋体" w:cs="宋体"/>
          <w:sz w:val="24"/>
          <w:szCs w:val="24"/>
        </w:rPr>
        <w:t>供应商为自然人的，应当由本人签字；供应商为法人或者其他组织的，应当由法定代表人、主要负责人，或者其授权代表签字或者盖章，并加盖公章。</w:t>
      </w:r>
    </w:p>
    <w:p>
      <w:pPr>
        <w:adjustRightInd w:val="0"/>
        <w:snapToGrid w:val="0"/>
        <w:spacing w:line="460" w:lineRule="exact"/>
        <w:rPr>
          <w:rFonts w:ascii="宋体" w:hAnsi="宋体" w:cs="宋体"/>
          <w:sz w:val="24"/>
          <w:szCs w:val="24"/>
        </w:rPr>
      </w:pPr>
      <w:r>
        <w:rPr>
          <w:rFonts w:hint="eastAsia" w:ascii="宋体" w:hAnsi="宋体" w:cs="宋体"/>
          <w:sz w:val="24"/>
          <w:szCs w:val="24"/>
        </w:rPr>
        <w:t>33.4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adjustRightInd w:val="0"/>
        <w:snapToGrid w:val="0"/>
        <w:spacing w:line="460" w:lineRule="exact"/>
        <w:rPr>
          <w:rFonts w:ascii="宋体" w:hAnsi="宋体" w:cs="宋体"/>
          <w:sz w:val="24"/>
          <w:szCs w:val="24"/>
        </w:rPr>
      </w:pPr>
      <w:r>
        <w:rPr>
          <w:rFonts w:hint="eastAsia" w:ascii="宋体" w:hAnsi="宋体" w:cs="宋体"/>
          <w:sz w:val="24"/>
          <w:szCs w:val="24"/>
        </w:rPr>
        <w:t>代理人提出质疑和投诉，应当提交供应商签署的授权委托书。</w:t>
      </w:r>
    </w:p>
    <w:p>
      <w:pPr>
        <w:adjustRightInd w:val="0"/>
        <w:snapToGrid w:val="0"/>
        <w:spacing w:line="460" w:lineRule="exact"/>
        <w:rPr>
          <w:rFonts w:ascii="宋体" w:hAnsi="宋体" w:cs="宋体"/>
          <w:sz w:val="24"/>
          <w:szCs w:val="24"/>
        </w:rPr>
      </w:pPr>
      <w:r>
        <w:rPr>
          <w:rFonts w:hint="eastAsia" w:ascii="宋体" w:hAnsi="宋体" w:cs="宋体"/>
          <w:sz w:val="24"/>
          <w:szCs w:val="24"/>
        </w:rPr>
        <w:t>33.5 以联合体形式参加政府采购活动的，其投诉应当由组成联合体的所有供应商共同提出。</w:t>
      </w:r>
    </w:p>
    <w:p>
      <w:pPr>
        <w:adjustRightInd w:val="0"/>
        <w:snapToGrid w:val="0"/>
        <w:spacing w:line="460" w:lineRule="exact"/>
        <w:rPr>
          <w:rFonts w:ascii="宋体" w:hAnsi="宋体" w:cs="宋体"/>
          <w:sz w:val="24"/>
          <w:szCs w:val="24"/>
        </w:rPr>
      </w:pPr>
      <w:r>
        <w:rPr>
          <w:rFonts w:hint="eastAsia" w:ascii="宋体" w:hAnsi="宋体" w:cs="宋体"/>
          <w:sz w:val="24"/>
          <w:szCs w:val="24"/>
        </w:rPr>
        <w:t>33.6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adjustRightInd w:val="0"/>
        <w:snapToGrid w:val="0"/>
        <w:spacing w:line="460" w:lineRule="exact"/>
        <w:rPr>
          <w:rFonts w:ascii="宋体" w:hAnsi="宋体" w:cs="宋体"/>
          <w:sz w:val="24"/>
          <w:szCs w:val="24"/>
        </w:rPr>
      </w:pPr>
      <w:r>
        <w:rPr>
          <w:rFonts w:hint="eastAsia" w:ascii="宋体" w:hAnsi="宋体" w:cs="宋体"/>
          <w:sz w:val="24"/>
          <w:szCs w:val="24"/>
        </w:rPr>
        <w:t>33.7 证明材料要具备客观性、关联性、合法性，无法查实的（如宣传册、媒体报道、猜测、推理等）不能作为证明材料。</w:t>
      </w:r>
    </w:p>
    <w:p>
      <w:pPr>
        <w:adjustRightInd w:val="0"/>
        <w:snapToGrid w:val="0"/>
        <w:spacing w:line="460" w:lineRule="exact"/>
        <w:rPr>
          <w:rFonts w:ascii="宋体" w:hAnsi="宋体" w:cs="宋体"/>
          <w:sz w:val="24"/>
          <w:szCs w:val="24"/>
        </w:rPr>
      </w:pPr>
      <w:r>
        <w:rPr>
          <w:rFonts w:hint="eastAsia" w:ascii="宋体" w:hAnsi="宋体" w:cs="宋体"/>
          <w:sz w:val="24"/>
          <w:szCs w:val="24"/>
        </w:rPr>
        <w:t>33.8 对不能提供相关证明材料的、涉及商业秘密的、非书面形式送达的、匿名的质疑将不予受理。</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34. 受理和处理</w:t>
      </w:r>
    </w:p>
    <w:p>
      <w:pPr>
        <w:adjustRightInd w:val="0"/>
        <w:snapToGrid w:val="0"/>
        <w:spacing w:line="460" w:lineRule="exact"/>
        <w:rPr>
          <w:rFonts w:ascii="宋体" w:hAnsi="宋体" w:cs="宋体"/>
          <w:sz w:val="24"/>
          <w:szCs w:val="24"/>
        </w:rPr>
      </w:pPr>
      <w:r>
        <w:rPr>
          <w:rFonts w:hint="eastAsia" w:ascii="宋体" w:hAnsi="宋体" w:cs="宋体"/>
          <w:sz w:val="24"/>
          <w:szCs w:val="24"/>
        </w:rPr>
        <w:t>34.1 《质疑函》必须由质疑方的法定代表人或参与本次投标的被授权人以书面的形式送达招标方或采购单位。</w:t>
      </w:r>
    </w:p>
    <w:p>
      <w:pPr>
        <w:adjustRightInd w:val="0"/>
        <w:snapToGrid w:val="0"/>
        <w:spacing w:line="460" w:lineRule="exact"/>
        <w:rPr>
          <w:rFonts w:ascii="宋体" w:hAnsi="宋体" w:cs="宋体"/>
          <w:sz w:val="24"/>
          <w:szCs w:val="24"/>
        </w:rPr>
      </w:pPr>
      <w:r>
        <w:rPr>
          <w:rFonts w:hint="eastAsia" w:ascii="宋体" w:hAnsi="宋体" w:cs="宋体"/>
          <w:sz w:val="24"/>
          <w:szCs w:val="24"/>
        </w:rPr>
        <w:t>34.2采购人、采购代理机构不得拒收质疑供应商在法定质疑期内发出的质疑函，应当在收到质疑函后7个工作日内作出答复，并以书面形式通知质疑供应商和其他有关供应商。</w:t>
      </w:r>
    </w:p>
    <w:p>
      <w:pPr>
        <w:adjustRightInd w:val="0"/>
        <w:snapToGrid w:val="0"/>
        <w:spacing w:line="460" w:lineRule="exact"/>
        <w:rPr>
          <w:rFonts w:ascii="宋体" w:hAnsi="宋体" w:cs="宋体"/>
          <w:sz w:val="24"/>
          <w:szCs w:val="24"/>
        </w:rPr>
      </w:pPr>
      <w:r>
        <w:rPr>
          <w:rFonts w:hint="eastAsia" w:ascii="宋体" w:hAnsi="宋体" w:cs="宋体"/>
          <w:sz w:val="24"/>
          <w:szCs w:val="24"/>
        </w:rPr>
        <w:t>34.3质疑答复的内容不得涉及商业秘密。</w:t>
      </w:r>
    </w:p>
    <w:p>
      <w:pPr>
        <w:adjustRightInd w:val="0"/>
        <w:snapToGrid w:val="0"/>
        <w:spacing w:line="460" w:lineRule="exact"/>
        <w:rPr>
          <w:rFonts w:ascii="宋体" w:hAnsi="宋体" w:cs="宋体"/>
          <w:sz w:val="24"/>
          <w:szCs w:val="24"/>
        </w:rPr>
      </w:pPr>
      <w:r>
        <w:rPr>
          <w:rFonts w:hint="eastAsia" w:ascii="宋体" w:hAnsi="宋体" w:cs="宋体"/>
          <w:sz w:val="24"/>
          <w:szCs w:val="24"/>
        </w:rPr>
        <w:t>34.4 对于不符合上述33项所述的相关条款要求的质疑，招标方将不予受理。</w:t>
      </w:r>
    </w:p>
    <w:p>
      <w:pPr>
        <w:adjustRightInd w:val="0"/>
        <w:snapToGrid w:val="0"/>
        <w:spacing w:line="460" w:lineRule="exact"/>
        <w:rPr>
          <w:rFonts w:ascii="宋体" w:hAnsi="宋体" w:cs="宋体"/>
          <w:sz w:val="24"/>
          <w:szCs w:val="24"/>
        </w:rPr>
      </w:pPr>
      <w:r>
        <w:rPr>
          <w:rFonts w:hint="eastAsia" w:ascii="宋体" w:hAnsi="宋体" w:cs="宋体"/>
          <w:sz w:val="24"/>
          <w:szCs w:val="24"/>
        </w:rPr>
        <w:t>34.5 在处理过程中，发现需要质疑人进一步补充相关佐证材料的，要求质疑人在规定时间内提供。质疑人不能按照要求提供相关佐证材料的，视同放弃质疑。</w:t>
      </w:r>
    </w:p>
    <w:p>
      <w:pPr>
        <w:adjustRightInd w:val="0"/>
        <w:snapToGrid w:val="0"/>
        <w:spacing w:line="460" w:lineRule="exact"/>
        <w:rPr>
          <w:rFonts w:ascii="宋体" w:hAnsi="宋体" w:cs="宋体"/>
          <w:sz w:val="24"/>
          <w:szCs w:val="24"/>
        </w:rPr>
      </w:pPr>
      <w:r>
        <w:rPr>
          <w:rFonts w:hint="eastAsia" w:ascii="宋体" w:hAnsi="宋体" w:cs="宋体"/>
          <w:sz w:val="24"/>
          <w:szCs w:val="24"/>
        </w:rPr>
        <w:t>34.6 招标方或采购单位负责对质疑的回复工作，将质疑人的质疑材料提供给相关专家或评审小组，并将处理意见回复质疑人。</w:t>
      </w:r>
    </w:p>
    <w:p>
      <w:pPr>
        <w:adjustRightInd w:val="0"/>
        <w:snapToGrid w:val="0"/>
        <w:spacing w:line="460" w:lineRule="exact"/>
        <w:rPr>
          <w:rFonts w:ascii="宋体" w:hAnsi="宋体" w:cs="宋体"/>
          <w:sz w:val="24"/>
          <w:szCs w:val="24"/>
        </w:rPr>
      </w:pPr>
      <w:r>
        <w:rPr>
          <w:rFonts w:hint="eastAsia" w:ascii="宋体" w:hAnsi="宋体" w:cs="宋体"/>
          <w:sz w:val="24"/>
          <w:szCs w:val="24"/>
        </w:rPr>
        <w:t>34.7采购人、采购代理机构认为供应商质疑不成立，或者成立但未对中标、成交结果构成影响的，继续开展采购活动；认为供应商质疑成立且影响或者可能影响中标、成交结果的，按照下列情况处理：</w:t>
      </w:r>
    </w:p>
    <w:p>
      <w:pPr>
        <w:adjustRightInd w:val="0"/>
        <w:snapToGrid w:val="0"/>
        <w:spacing w:line="460" w:lineRule="exact"/>
        <w:rPr>
          <w:rFonts w:ascii="宋体" w:hAnsi="宋体" w:cs="宋体"/>
          <w:sz w:val="24"/>
          <w:szCs w:val="24"/>
        </w:rPr>
      </w:pPr>
      <w:r>
        <w:rPr>
          <w:rFonts w:hint="eastAsia" w:ascii="宋体" w:hAnsi="宋体" w:cs="宋体"/>
          <w:sz w:val="24"/>
          <w:szCs w:val="24"/>
        </w:rPr>
        <w:t>（1）对采购文件提出的质疑，依法通过澄清或者修改可以继续开展采购活动的，澄清或者修改采购文件后继续开展采购活动；否则应当修改采购文件后重新开展采购活动。</w:t>
      </w:r>
    </w:p>
    <w:p>
      <w:pPr>
        <w:adjustRightInd w:val="0"/>
        <w:snapToGrid w:val="0"/>
        <w:spacing w:line="460" w:lineRule="exact"/>
        <w:rPr>
          <w:rFonts w:ascii="宋体" w:hAnsi="宋体" w:cs="宋体"/>
          <w:sz w:val="24"/>
          <w:szCs w:val="24"/>
        </w:rPr>
      </w:pPr>
      <w:r>
        <w:rPr>
          <w:rFonts w:hint="eastAsia" w:ascii="宋体" w:hAnsi="宋体" w:cs="宋体"/>
          <w:sz w:val="24"/>
          <w:szCs w:val="24"/>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adjustRightInd w:val="0"/>
        <w:snapToGrid w:val="0"/>
        <w:spacing w:line="460" w:lineRule="exact"/>
        <w:rPr>
          <w:rFonts w:ascii="宋体" w:hAnsi="宋体" w:cs="宋体"/>
          <w:sz w:val="24"/>
          <w:szCs w:val="24"/>
        </w:rPr>
      </w:pPr>
      <w:r>
        <w:rPr>
          <w:rFonts w:hint="eastAsia" w:ascii="宋体" w:hAnsi="宋体" w:cs="宋体"/>
          <w:sz w:val="24"/>
          <w:szCs w:val="24"/>
        </w:rPr>
        <w:t>质疑答复导致中标、成交结果改变的，采购人或者采购代理机构应当将有关情况书面报告本级财政部门。</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35. 质疑无效的处理</w:t>
      </w:r>
    </w:p>
    <w:p>
      <w:pPr>
        <w:adjustRightInd w:val="0"/>
        <w:snapToGrid w:val="0"/>
        <w:spacing w:line="460" w:lineRule="exact"/>
        <w:rPr>
          <w:rFonts w:ascii="宋体" w:hAnsi="宋体" w:cs="宋体"/>
          <w:sz w:val="24"/>
          <w:szCs w:val="24"/>
        </w:rPr>
      </w:pPr>
      <w:r>
        <w:rPr>
          <w:rFonts w:hint="eastAsia" w:ascii="宋体" w:hAnsi="宋体" w:cs="宋体"/>
          <w:sz w:val="24"/>
          <w:szCs w:val="24"/>
        </w:rPr>
        <w:t>35.1 质疑人提供的相关佐证材料不能证明质疑成立的，招标方可要求质疑人补充相关佐证材料，如补充材料仍不能证明质疑成立的，将不予受理。</w:t>
      </w:r>
    </w:p>
    <w:p>
      <w:pPr>
        <w:adjustRightInd w:val="0"/>
        <w:snapToGrid w:val="0"/>
        <w:spacing w:line="460" w:lineRule="exact"/>
        <w:rPr>
          <w:rFonts w:ascii="宋体" w:hAnsi="宋体" w:cs="宋体"/>
          <w:sz w:val="24"/>
          <w:szCs w:val="24"/>
        </w:rPr>
      </w:pPr>
      <w:r>
        <w:rPr>
          <w:rFonts w:hint="eastAsia" w:ascii="宋体" w:hAnsi="宋体" w:cs="宋体"/>
          <w:sz w:val="24"/>
          <w:szCs w:val="24"/>
        </w:rPr>
        <w:t>35.2 对于质疑人在质疑期间不配合进行质疑调查处理的，视为自动放弃质疑。</w:t>
      </w:r>
    </w:p>
    <w:p>
      <w:pPr>
        <w:adjustRightInd w:val="0"/>
        <w:snapToGrid w:val="0"/>
        <w:spacing w:line="460" w:lineRule="exact"/>
        <w:rPr>
          <w:rFonts w:ascii="宋体" w:hAnsi="宋体" w:cs="宋体"/>
          <w:sz w:val="24"/>
          <w:szCs w:val="24"/>
        </w:rPr>
      </w:pPr>
      <w:r>
        <w:rPr>
          <w:rFonts w:hint="eastAsia" w:ascii="宋体" w:hAnsi="宋体" w:cs="宋体"/>
          <w:sz w:val="24"/>
          <w:szCs w:val="24"/>
        </w:rPr>
        <w:t>35.3 质疑人提出的质疑，经评标专家审定后驳回的，列为无效质疑。</w:t>
      </w:r>
    </w:p>
    <w:p>
      <w:pPr>
        <w:adjustRightInd w:val="0"/>
        <w:snapToGrid w:val="0"/>
        <w:spacing w:line="460" w:lineRule="exact"/>
        <w:rPr>
          <w:rFonts w:ascii="宋体" w:hAnsi="宋体" w:cs="宋体"/>
          <w:sz w:val="24"/>
          <w:szCs w:val="24"/>
        </w:rPr>
      </w:pPr>
      <w:r>
        <w:rPr>
          <w:rFonts w:hint="eastAsia" w:ascii="宋体" w:hAnsi="宋体" w:cs="宋体"/>
          <w:sz w:val="24"/>
          <w:szCs w:val="24"/>
        </w:rPr>
        <w:t>35.4 对于质疑中使用虚假材料或恶意方式质疑的，按无效质疑处理，并列入不良记录供应商名单。</w:t>
      </w:r>
    </w:p>
    <w:p>
      <w:pPr>
        <w:adjustRightInd w:val="0"/>
        <w:snapToGrid w:val="0"/>
        <w:spacing w:line="460" w:lineRule="exact"/>
        <w:rPr>
          <w:rFonts w:ascii="宋体" w:hAnsi="宋体" w:cs="宋体"/>
          <w:sz w:val="24"/>
          <w:szCs w:val="24"/>
        </w:rPr>
      </w:pPr>
      <w:r>
        <w:rPr>
          <w:rFonts w:hint="eastAsia" w:ascii="宋体" w:hAnsi="宋体" w:cs="宋体"/>
          <w:sz w:val="24"/>
          <w:szCs w:val="24"/>
        </w:rPr>
        <w:t>35.5质疑人进行质疑后，招标方在法定时间内对质疑进行回复，质疑人认为回复不满意的，可向相关的采购管理部门进行投诉。</w:t>
      </w:r>
    </w:p>
    <w:p>
      <w:pPr>
        <w:adjustRightInd w:val="0"/>
        <w:snapToGrid w:val="0"/>
        <w:spacing w:line="460" w:lineRule="exact"/>
        <w:rPr>
          <w:rFonts w:ascii="宋体" w:hAnsi="宋体" w:cs="宋体"/>
          <w:b/>
          <w:bCs/>
          <w:sz w:val="24"/>
          <w:szCs w:val="24"/>
        </w:rPr>
      </w:pPr>
      <w:r>
        <w:rPr>
          <w:rFonts w:hint="eastAsia" w:ascii="宋体" w:hAnsi="宋体" w:cs="宋体"/>
          <w:b/>
          <w:bCs/>
          <w:sz w:val="24"/>
          <w:szCs w:val="24"/>
        </w:rPr>
        <w:t>36.其他</w:t>
      </w:r>
    </w:p>
    <w:p>
      <w:pPr>
        <w:adjustRightInd w:val="0"/>
        <w:snapToGrid w:val="0"/>
        <w:spacing w:line="460" w:lineRule="exact"/>
        <w:rPr>
          <w:rFonts w:ascii="宋体" w:hAnsi="宋体" w:cs="宋体"/>
          <w:sz w:val="24"/>
          <w:szCs w:val="24"/>
        </w:rPr>
      </w:pPr>
      <w:r>
        <w:rPr>
          <w:rFonts w:hint="eastAsia" w:ascii="宋体" w:hAnsi="宋体" w:cs="宋体"/>
          <w:sz w:val="24"/>
          <w:szCs w:val="24"/>
        </w:rPr>
        <w:t>36.1质疑函和投诉书应当使用中文。质疑函和投诉书的范本，由财政部制定。</w:t>
      </w:r>
    </w:p>
    <w:p>
      <w:pPr>
        <w:adjustRightInd w:val="0"/>
        <w:snapToGrid w:val="0"/>
        <w:spacing w:line="460" w:lineRule="exact"/>
        <w:rPr>
          <w:rFonts w:ascii="宋体" w:hAnsi="宋体" w:cs="宋体"/>
          <w:sz w:val="24"/>
          <w:szCs w:val="24"/>
        </w:rPr>
      </w:pPr>
      <w:r>
        <w:rPr>
          <w:rFonts w:hint="eastAsia" w:ascii="宋体" w:hAnsi="宋体" w:cs="宋体"/>
          <w:sz w:val="24"/>
          <w:szCs w:val="24"/>
        </w:rPr>
        <w:t>36.2对在质疑答复和投诉处理过程中知悉的国家秘密、商业秘密、个人隐私和依法不予公开的信息，财政部门、采购人、采购代理机构等相关知情人应当保密。</w:t>
      </w:r>
    </w:p>
    <w:p>
      <w:pPr>
        <w:adjustRightInd w:val="0"/>
        <w:snapToGrid w:val="0"/>
        <w:spacing w:line="460" w:lineRule="exact"/>
        <w:rPr>
          <w:rFonts w:ascii="宋体" w:hAnsi="宋体" w:cs="宋体"/>
          <w:sz w:val="24"/>
          <w:szCs w:val="24"/>
        </w:rPr>
      </w:pPr>
      <w:r>
        <w:rPr>
          <w:rFonts w:hint="eastAsia" w:ascii="宋体" w:hAnsi="宋体" w:cs="宋体"/>
          <w:sz w:val="24"/>
          <w:szCs w:val="24"/>
        </w:rPr>
        <w:t>质疑函制作说明:</w:t>
      </w:r>
    </w:p>
    <w:p>
      <w:pPr>
        <w:adjustRightInd w:val="0"/>
        <w:snapToGrid w:val="0"/>
        <w:spacing w:line="460" w:lineRule="exact"/>
        <w:rPr>
          <w:rFonts w:ascii="宋体" w:hAnsi="宋体" w:cs="宋体"/>
          <w:sz w:val="24"/>
          <w:szCs w:val="24"/>
        </w:rPr>
      </w:pPr>
      <w:r>
        <w:rPr>
          <w:rFonts w:hint="eastAsia" w:ascii="宋体" w:hAnsi="宋体" w:cs="宋体"/>
          <w:sz w:val="24"/>
          <w:szCs w:val="24"/>
        </w:rPr>
        <w:t>1.供应商提出质疑时，应提交质疑函和必要的证明材料。</w:t>
      </w:r>
    </w:p>
    <w:p>
      <w:pPr>
        <w:adjustRightInd w:val="0"/>
        <w:snapToGrid w:val="0"/>
        <w:spacing w:line="460" w:lineRule="exact"/>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adjustRightInd w:val="0"/>
        <w:snapToGrid w:val="0"/>
        <w:spacing w:line="460" w:lineRule="exact"/>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adjustRightInd w:val="0"/>
        <w:snapToGrid w:val="0"/>
        <w:spacing w:line="460" w:lineRule="exact"/>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adjustRightInd w:val="0"/>
        <w:snapToGrid w:val="0"/>
        <w:spacing w:line="460" w:lineRule="exact"/>
        <w:rPr>
          <w:rFonts w:ascii="宋体" w:hAnsi="宋体" w:cs="宋体"/>
          <w:sz w:val="24"/>
          <w:szCs w:val="24"/>
        </w:rPr>
      </w:pPr>
      <w:r>
        <w:rPr>
          <w:rFonts w:hint="eastAsia" w:ascii="宋体" w:hAnsi="宋体" w:cs="宋体"/>
          <w:sz w:val="24"/>
          <w:szCs w:val="24"/>
        </w:rPr>
        <w:t>5.质疑函的质疑请求应与质疑事项相关。</w:t>
      </w:r>
    </w:p>
    <w:p>
      <w:pPr>
        <w:adjustRightInd w:val="0"/>
        <w:snapToGrid w:val="0"/>
        <w:spacing w:line="460" w:lineRule="exact"/>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adjustRightInd w:val="0"/>
        <w:snapToGrid w:val="0"/>
        <w:spacing w:line="460" w:lineRule="exact"/>
        <w:rPr>
          <w:rFonts w:ascii="宋体" w:hAnsi="宋体" w:cs="宋体"/>
          <w:sz w:val="24"/>
          <w:szCs w:val="24"/>
        </w:rPr>
      </w:pPr>
      <w:r>
        <w:rPr>
          <w:rFonts w:hint="eastAsia" w:ascii="宋体" w:hAnsi="宋体" w:cs="宋体"/>
          <w:sz w:val="24"/>
          <w:szCs w:val="24"/>
        </w:rPr>
        <w:t>7.质疑函格式自拟。</w:t>
      </w:r>
    </w:p>
    <w:p>
      <w:pPr>
        <w:adjustRightInd w:val="0"/>
        <w:snapToGrid w:val="0"/>
        <w:spacing w:line="460" w:lineRule="exact"/>
        <w:rPr>
          <w:rFonts w:ascii="宋体" w:hAnsi="宋体" w:cs="宋体"/>
          <w:sz w:val="24"/>
          <w:szCs w:val="24"/>
        </w:rPr>
      </w:pPr>
      <w:r>
        <w:rPr>
          <w:rFonts w:hint="eastAsia" w:ascii="宋体" w:hAnsi="宋体" w:cs="宋体"/>
          <w:sz w:val="24"/>
          <w:szCs w:val="24"/>
        </w:rPr>
        <w:br w:type="page"/>
      </w:r>
    </w:p>
    <w:p>
      <w:pPr>
        <w:pStyle w:val="3"/>
        <w:spacing w:line="240" w:lineRule="auto"/>
        <w:jc w:val="center"/>
        <w:rPr>
          <w:rFonts w:ascii="宋体" w:hAnsi="宋体" w:cs="宋体"/>
          <w:sz w:val="36"/>
          <w:szCs w:val="36"/>
        </w:rPr>
      </w:pPr>
      <w:bookmarkStart w:id="59" w:name="_Toc27454"/>
      <w:bookmarkStart w:id="60" w:name="_Toc23023"/>
      <w:bookmarkStart w:id="61" w:name="_Toc15991"/>
      <w:r>
        <w:rPr>
          <w:rFonts w:hint="eastAsia"/>
          <w:sz w:val="36"/>
          <w:szCs w:val="36"/>
        </w:rPr>
        <w:t>第三部分   采购内容及服务要求</w:t>
      </w:r>
      <w:bookmarkEnd w:id="59"/>
      <w:bookmarkEnd w:id="60"/>
      <w:bookmarkEnd w:id="61"/>
    </w:p>
    <w:p>
      <w:pPr>
        <w:adjustRightInd w:val="0"/>
        <w:snapToGrid w:val="0"/>
        <w:rPr>
          <w:rFonts w:ascii="宋体" w:hAnsi="宋体" w:cs="宋体"/>
          <w:sz w:val="24"/>
          <w:szCs w:val="24"/>
        </w:rPr>
      </w:pPr>
      <w:r>
        <w:rPr>
          <w:rFonts w:hint="eastAsia" w:ascii="宋体" w:hAnsi="宋体" w:cs="宋体"/>
          <w:sz w:val="24"/>
          <w:szCs w:val="24"/>
        </w:rPr>
        <w:t>一、采购内容一览表</w:t>
      </w:r>
    </w:p>
    <w:p>
      <w:pPr>
        <w:adjustRightInd w:val="0"/>
        <w:snapToGrid w:val="0"/>
        <w:spacing w:line="460" w:lineRule="exact"/>
        <w:ind w:firstLine="240" w:firstLineChars="100"/>
      </w:pPr>
      <w:r>
        <w:rPr>
          <w:rFonts w:hint="eastAsia" w:ascii="宋体" w:hAnsi="宋体" w:cs="宋体"/>
          <w:sz w:val="24"/>
          <w:szCs w:val="24"/>
        </w:rPr>
        <w:t>1.自助借还书机、移动式盘点车、查询机、馆员工作站、移动图书馆、智能黑板、RFID系统管理软件、RFID系统软件接口、扫码枪、朗读亭、移动还书箱、图书杀菌机、图书推车、安全门、RFID标签、层架标、标签及安装、转换费、全网行为管理、终端杀毒检测平台、日志审计、数据库。</w:t>
      </w:r>
    </w:p>
    <w:tbl>
      <w:tblPr>
        <w:tblStyle w:val="21"/>
        <w:tblpPr w:leftFromText="180" w:rightFromText="180" w:vertAnchor="text" w:horzAnchor="page" w:tblpXSpec="center" w:tblpY="610"/>
        <w:tblOverlap w:val="never"/>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545"/>
        <w:gridCol w:w="7335"/>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rPr>
                <w:rFonts w:ascii="宋体" w:hAnsi="宋体" w:cs="宋体"/>
                <w:szCs w:val="21"/>
              </w:rPr>
            </w:pPr>
            <w:r>
              <w:rPr>
                <w:rFonts w:hint="eastAsia" w:ascii="宋体" w:hAnsi="宋体" w:cs="宋体"/>
                <w:szCs w:val="21"/>
              </w:rPr>
              <w:t>序号</w:t>
            </w:r>
          </w:p>
        </w:tc>
        <w:tc>
          <w:tcPr>
            <w:tcW w:w="1545" w:type="dxa"/>
            <w:vAlign w:val="center"/>
          </w:tcPr>
          <w:p>
            <w:pPr>
              <w:jc w:val="center"/>
              <w:rPr>
                <w:rFonts w:ascii="宋体" w:hAnsi="宋体" w:cs="宋体"/>
                <w:szCs w:val="21"/>
              </w:rPr>
            </w:pPr>
            <w:r>
              <w:rPr>
                <w:rFonts w:hint="eastAsia" w:ascii="宋体" w:hAnsi="宋体" w:cs="宋体"/>
                <w:szCs w:val="21"/>
              </w:rPr>
              <w:t>产品名称</w:t>
            </w:r>
          </w:p>
        </w:tc>
        <w:tc>
          <w:tcPr>
            <w:tcW w:w="7335" w:type="dxa"/>
            <w:vAlign w:val="center"/>
          </w:tcPr>
          <w:p>
            <w:pPr>
              <w:jc w:val="center"/>
              <w:rPr>
                <w:rFonts w:ascii="宋体" w:hAnsi="宋体" w:cs="宋体"/>
                <w:szCs w:val="21"/>
              </w:rPr>
            </w:pPr>
            <w:r>
              <w:rPr>
                <w:rFonts w:hint="eastAsia" w:ascii="宋体" w:hAnsi="宋体" w:cs="宋体"/>
                <w:szCs w:val="21"/>
              </w:rPr>
              <w:t>招标参数</w:t>
            </w:r>
          </w:p>
        </w:tc>
        <w:tc>
          <w:tcPr>
            <w:tcW w:w="734" w:type="dxa"/>
            <w:vAlign w:val="center"/>
          </w:tcPr>
          <w:p>
            <w:pPr>
              <w:jc w:val="center"/>
              <w:rPr>
                <w:rFonts w:ascii="宋体" w:hAnsi="宋体" w:cs="宋体"/>
                <w:szCs w:val="21"/>
              </w:rPr>
            </w:pPr>
            <w:r>
              <w:rPr>
                <w:rFonts w:hint="eastAsia" w:ascii="宋体" w:hAnsi="宋体" w:cs="宋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1</w:t>
            </w:r>
          </w:p>
        </w:tc>
        <w:tc>
          <w:tcPr>
            <w:tcW w:w="1545" w:type="dxa"/>
            <w:vAlign w:val="center"/>
          </w:tcPr>
          <w:p>
            <w:pPr>
              <w:jc w:val="center"/>
              <w:rPr>
                <w:rFonts w:ascii="宋体" w:hAnsi="宋体" w:cs="宋体"/>
                <w:szCs w:val="21"/>
              </w:rPr>
            </w:pPr>
            <w:r>
              <w:rPr>
                <w:rFonts w:hint="eastAsia" w:ascii="宋体" w:hAnsi="宋体" w:cs="宋体"/>
                <w:szCs w:val="21"/>
              </w:rPr>
              <w:t>自助借还书机</w:t>
            </w:r>
          </w:p>
        </w:tc>
        <w:tc>
          <w:tcPr>
            <w:tcW w:w="7335" w:type="dxa"/>
            <w:vAlign w:val="center"/>
          </w:tcPr>
          <w:p>
            <w:pPr>
              <w:numPr>
                <w:ilvl w:val="0"/>
                <w:numId w:val="3"/>
              </w:numPr>
              <w:rPr>
                <w:rFonts w:ascii="宋体" w:hAnsi="宋体" w:cs="宋体"/>
                <w:bCs/>
                <w:szCs w:val="21"/>
              </w:rPr>
            </w:pPr>
            <w:r>
              <w:rPr>
                <w:rFonts w:hint="eastAsia" w:ascii="宋体" w:hAnsi="宋体" w:cs="宋体"/>
                <w:bCs/>
                <w:szCs w:val="21"/>
              </w:rPr>
              <w:t>功能要求</w:t>
            </w:r>
          </w:p>
          <w:p>
            <w:pPr>
              <w:pStyle w:val="54"/>
              <w:ind w:firstLine="0" w:firstLineChars="0"/>
              <w:rPr>
                <w:rFonts w:ascii="宋体" w:hAnsi="宋体" w:cs="宋体"/>
                <w:szCs w:val="21"/>
              </w:rPr>
            </w:pPr>
            <w:r>
              <w:rPr>
                <w:rFonts w:hint="eastAsia" w:ascii="宋体" w:hAnsi="宋体" w:cs="宋体"/>
                <w:szCs w:val="21"/>
              </w:rPr>
              <w:t>1.应用系统软件可与图书馆后台管理系统通过SIP2/NCIP实现无缝对接；</w:t>
            </w:r>
          </w:p>
          <w:p>
            <w:pPr>
              <w:pStyle w:val="54"/>
              <w:ind w:firstLine="0" w:firstLineChars="0"/>
              <w:rPr>
                <w:rFonts w:ascii="宋体" w:hAnsi="宋体" w:cs="宋体"/>
                <w:szCs w:val="21"/>
              </w:rPr>
            </w:pPr>
            <w:r>
              <w:rPr>
                <w:rFonts w:hint="eastAsia" w:ascii="宋体" w:hAnsi="宋体" w:cs="宋体"/>
                <w:szCs w:val="21"/>
              </w:rPr>
              <w:t>2.自助借还机系统软件配置读者证卡识别、图书借阅、图书归还、</w:t>
            </w:r>
            <w:r>
              <w:rPr>
                <w:rFonts w:hint="eastAsia" w:ascii="宋体" w:hAnsi="宋体" w:cs="宋体"/>
                <w:bCs/>
                <w:kern w:val="0"/>
                <w:szCs w:val="21"/>
              </w:rPr>
              <w:t>自助查询、自助续借、</w:t>
            </w:r>
            <w:r>
              <w:rPr>
                <w:rFonts w:hint="eastAsia" w:ascii="宋体" w:hAnsi="宋体" w:cs="宋体"/>
                <w:szCs w:val="21"/>
              </w:rPr>
              <w:t>异常操作提醒、凭条打印功能；</w:t>
            </w:r>
          </w:p>
          <w:p>
            <w:pPr>
              <w:pStyle w:val="54"/>
              <w:ind w:firstLine="0" w:firstLineChars="0"/>
              <w:rPr>
                <w:rFonts w:ascii="宋体" w:hAnsi="宋体" w:cs="宋体"/>
                <w:szCs w:val="21"/>
              </w:rPr>
            </w:pPr>
            <w:r>
              <w:rPr>
                <w:rFonts w:hint="eastAsia" w:ascii="宋体" w:hAnsi="宋体" w:cs="宋体"/>
                <w:color w:val="000000" w:themeColor="text1"/>
                <w:szCs w:val="21"/>
                <w14:textFill>
                  <w14:solidFill>
                    <w14:schemeClr w14:val="tx1"/>
                  </w14:solidFill>
                </w14:textFill>
              </w:rPr>
              <w:t>3.系</w:t>
            </w:r>
            <w:r>
              <w:rPr>
                <w:rFonts w:hint="eastAsia" w:ascii="宋体" w:hAnsi="宋体" w:cs="宋体"/>
                <w:szCs w:val="21"/>
              </w:rPr>
              <w:t>统有读者可选择的归还功能，系统可以被馆员设定为仅有借书功能，或仅有还书功能，</w:t>
            </w:r>
            <w:r>
              <w:rPr>
                <w:rFonts w:hint="eastAsia" w:ascii="宋体" w:hAnsi="宋体" w:cs="宋体"/>
                <w:bCs/>
                <w:kern w:val="0"/>
                <w:szCs w:val="21"/>
              </w:rPr>
              <w:t>或可借可还</w:t>
            </w:r>
            <w:r>
              <w:rPr>
                <w:rFonts w:hint="eastAsia" w:ascii="宋体" w:hAnsi="宋体" w:cs="宋体"/>
                <w:szCs w:val="21"/>
              </w:rPr>
              <w:t>功能。</w:t>
            </w:r>
          </w:p>
          <w:p>
            <w:pPr>
              <w:pStyle w:val="54"/>
              <w:ind w:firstLine="0" w:firstLineChars="0"/>
              <w:rPr>
                <w:rFonts w:ascii="宋体" w:hAnsi="宋体" w:cs="宋体"/>
                <w:szCs w:val="21"/>
              </w:rPr>
            </w:pPr>
            <w:r>
              <w:rPr>
                <w:rFonts w:hint="eastAsia" w:ascii="宋体" w:hAnsi="宋体" w:cs="宋体"/>
                <w:szCs w:val="21"/>
              </w:rPr>
              <w:t>4.可以非接触式的快速识别粘贴在流通资料上的RFID标签。</w:t>
            </w:r>
          </w:p>
          <w:p>
            <w:pPr>
              <w:pStyle w:val="54"/>
              <w:ind w:firstLine="0" w:firstLineChars="0"/>
              <w:rPr>
                <w:rFonts w:ascii="宋体" w:hAnsi="宋体" w:cs="宋体"/>
                <w:szCs w:val="21"/>
              </w:rPr>
            </w:pPr>
            <w:r>
              <w:rPr>
                <w:rFonts w:hint="eastAsia" w:ascii="宋体" w:hAnsi="宋体" w:cs="宋体"/>
                <w:bCs/>
                <w:kern w:val="0"/>
                <w:szCs w:val="21"/>
              </w:rPr>
              <w:t>5.具备多本识别功能：可以“一次扫描，多本借出/归还”。</w:t>
            </w:r>
          </w:p>
          <w:p>
            <w:pPr>
              <w:pStyle w:val="54"/>
              <w:ind w:firstLine="0" w:firstLineChars="0"/>
              <w:rPr>
                <w:rFonts w:ascii="宋体" w:hAnsi="宋体" w:cs="宋体"/>
                <w:szCs w:val="21"/>
              </w:rPr>
            </w:pPr>
            <w:r>
              <w:rPr>
                <w:rFonts w:hint="eastAsia" w:ascii="宋体" w:hAnsi="宋体" w:cs="宋体"/>
                <w:szCs w:val="21"/>
              </w:rPr>
              <w:t>6.系统操作过程中，可按照实际环境需要，配置读者密码验证功能。</w:t>
            </w:r>
          </w:p>
          <w:p>
            <w:pPr>
              <w:pStyle w:val="54"/>
              <w:ind w:firstLine="0" w:firstLineChars="0"/>
              <w:rPr>
                <w:rFonts w:ascii="宋体" w:hAnsi="宋体" w:cs="宋体"/>
                <w:szCs w:val="21"/>
              </w:rPr>
            </w:pPr>
            <w:r>
              <w:rPr>
                <w:rFonts w:hint="eastAsia" w:ascii="宋体" w:hAnsi="宋体" w:cs="宋体"/>
                <w:szCs w:val="21"/>
              </w:rPr>
              <w:t>7.可以对图书馆内的印刷品、光盘等流通资料进行借还操作。</w:t>
            </w:r>
          </w:p>
          <w:p>
            <w:pPr>
              <w:pStyle w:val="54"/>
              <w:ind w:firstLine="0" w:firstLineChars="0"/>
              <w:rPr>
                <w:rFonts w:ascii="宋体" w:hAnsi="宋体" w:cs="宋体"/>
                <w:szCs w:val="21"/>
              </w:rPr>
            </w:pPr>
            <w:r>
              <w:rPr>
                <w:rFonts w:hint="eastAsia" w:ascii="宋体" w:hAnsi="宋体" w:cs="宋体"/>
                <w:szCs w:val="21"/>
              </w:rPr>
              <w:t>8.配备触摸显示屏和简单界面互动操作，提供简体中文、英文两种界面的操作提示功能。</w:t>
            </w:r>
          </w:p>
          <w:p>
            <w:pPr>
              <w:pStyle w:val="54"/>
              <w:ind w:firstLine="0" w:firstLineChars="0"/>
              <w:rPr>
                <w:rFonts w:ascii="宋体" w:hAnsi="宋体" w:cs="宋体"/>
                <w:szCs w:val="21"/>
              </w:rPr>
            </w:pPr>
            <w:r>
              <w:rPr>
                <w:rFonts w:hint="eastAsia" w:ascii="宋体" w:hAnsi="宋体" w:cs="宋体"/>
                <w:szCs w:val="21"/>
              </w:rPr>
              <w:t>9.设备在空闲时可自动播放相关介绍材料。</w:t>
            </w:r>
          </w:p>
          <w:p>
            <w:pPr>
              <w:pStyle w:val="54"/>
              <w:ind w:firstLine="0" w:firstLineChars="0"/>
              <w:rPr>
                <w:rFonts w:ascii="宋体" w:hAnsi="宋体" w:cs="宋体"/>
                <w:szCs w:val="21"/>
              </w:rPr>
            </w:pPr>
            <w:r>
              <w:rPr>
                <w:rFonts w:hint="eastAsia" w:ascii="宋体" w:hAnsi="宋体" w:cs="宋体"/>
                <w:szCs w:val="21"/>
              </w:rPr>
              <w:t>10.读者自助操作的实时记录日志功能。</w:t>
            </w:r>
          </w:p>
          <w:p>
            <w:pPr>
              <w:pStyle w:val="54"/>
              <w:ind w:firstLine="0" w:firstLineChars="0"/>
              <w:rPr>
                <w:rFonts w:ascii="宋体" w:hAnsi="宋体" w:cs="宋体"/>
                <w:szCs w:val="21"/>
              </w:rPr>
            </w:pPr>
            <w:r>
              <w:rPr>
                <w:rFonts w:hint="eastAsia" w:ascii="宋体" w:hAnsi="宋体" w:cs="宋体"/>
                <w:bCs/>
                <w:kern w:val="0"/>
                <w:szCs w:val="21"/>
              </w:rPr>
              <w:t>11.防抽换功能：</w:t>
            </w:r>
            <w:r>
              <w:rPr>
                <w:rFonts w:hint="eastAsia" w:ascii="宋体" w:hAnsi="宋体" w:cs="宋体"/>
                <w:szCs w:val="21"/>
              </w:rPr>
              <w:t>具备RFID流通资料借阅过程中防偷换、防抽换书籍的功能。</w:t>
            </w:r>
          </w:p>
          <w:p>
            <w:pPr>
              <w:pStyle w:val="54"/>
              <w:ind w:firstLine="0" w:firstLineChars="0"/>
              <w:rPr>
                <w:rFonts w:ascii="宋体" w:hAnsi="宋体" w:cs="宋体"/>
                <w:bCs/>
                <w:kern w:val="0"/>
                <w:szCs w:val="21"/>
              </w:rPr>
            </w:pPr>
            <w:r>
              <w:rPr>
                <w:rFonts w:hint="eastAsia" w:ascii="宋体" w:hAnsi="宋体" w:cs="宋体"/>
                <w:bCs/>
                <w:kern w:val="0"/>
                <w:szCs w:val="21"/>
              </w:rPr>
              <w:t>12.系统必须保证在设备指示区域范围内的图书能够读取，超过范围内的图书不被读取，保证读者操作时不会出错。</w:t>
            </w:r>
          </w:p>
          <w:p>
            <w:pPr>
              <w:pStyle w:val="54"/>
              <w:ind w:firstLine="0" w:firstLineChars="0"/>
              <w:rPr>
                <w:rFonts w:ascii="宋体" w:hAnsi="宋体" w:cs="宋体"/>
                <w:bCs/>
                <w:color w:val="FF0000"/>
                <w:kern w:val="0"/>
                <w:szCs w:val="21"/>
              </w:rPr>
            </w:pPr>
            <w:r>
              <w:rPr>
                <w:rFonts w:hint="eastAsia" w:ascii="宋体" w:hAnsi="宋体" w:cs="宋体"/>
                <w:bCs/>
                <w:kern w:val="0"/>
                <w:szCs w:val="21"/>
              </w:rPr>
              <w:t>1</w:t>
            </w:r>
            <w:r>
              <w:rPr>
                <w:rFonts w:hint="eastAsia" w:ascii="宋体" w:hAnsi="宋体" w:cs="宋体"/>
                <w:bCs/>
                <w:kern w:val="0"/>
                <w:szCs w:val="21"/>
                <w:lang w:val="en-US" w:eastAsia="zh-CN"/>
              </w:rPr>
              <w:t>3</w:t>
            </w:r>
            <w:r>
              <w:rPr>
                <w:rFonts w:hint="eastAsia" w:ascii="宋体" w:hAnsi="宋体" w:cs="宋体"/>
                <w:bCs/>
                <w:kern w:val="0"/>
                <w:szCs w:val="21"/>
              </w:rPr>
              <w:t>.支持二维码读者证登录功能：设备具有二维码识别模块，可识别手机二维码读者证或者RFID读者证上的二维码，输入密码即可快速登录设备（须提供产品实物图片及软件功能界面截图证明）。</w:t>
            </w:r>
          </w:p>
          <w:p>
            <w:pPr>
              <w:pStyle w:val="54"/>
              <w:ind w:firstLine="0" w:firstLineChars="0"/>
              <w:rPr>
                <w:rFonts w:ascii="宋体" w:hAnsi="宋体" w:cs="宋体"/>
                <w:color w:val="auto"/>
                <w:szCs w:val="21"/>
              </w:rPr>
            </w:pPr>
            <w:r>
              <w:rPr>
                <w:rFonts w:hint="eastAsia" w:ascii="宋体" w:hAnsi="宋体" w:cs="宋体"/>
                <w:bCs/>
                <w:color w:val="auto"/>
                <w:kern w:val="0"/>
                <w:szCs w:val="21"/>
                <w:lang w:val="en-US" w:eastAsia="zh-CN"/>
              </w:rPr>
              <w:t>14</w:t>
            </w:r>
            <w:r>
              <w:rPr>
                <w:rFonts w:hint="eastAsia" w:ascii="宋体" w:hAnsi="宋体" w:cs="宋体"/>
                <w:bCs/>
                <w:color w:val="auto"/>
                <w:kern w:val="0"/>
                <w:szCs w:val="21"/>
              </w:rPr>
              <w:t>.设备终端具备有声图书推荐功能，完成图书借阅手续后，在屏幕上显示所借图书的有声资源信息或所借图书同类的有声资源信息，支持扫描二维码将有声书下载到手机听书。</w:t>
            </w:r>
          </w:p>
          <w:p>
            <w:pPr>
              <w:pStyle w:val="54"/>
              <w:ind w:firstLine="0" w:firstLineChars="0"/>
              <w:rPr>
                <w:rFonts w:ascii="宋体" w:hAnsi="宋体" w:cs="宋体"/>
                <w:bCs/>
                <w:color w:val="auto"/>
                <w:kern w:val="0"/>
                <w:szCs w:val="21"/>
              </w:rPr>
            </w:pPr>
            <w:r>
              <w:rPr>
                <w:rFonts w:hint="eastAsia" w:ascii="宋体" w:hAnsi="宋体" w:cs="宋体"/>
                <w:color w:val="auto"/>
                <w:szCs w:val="21"/>
                <w:lang w:val="en-US" w:eastAsia="zh-CN"/>
              </w:rPr>
              <w:t>15</w:t>
            </w:r>
            <w:r>
              <w:rPr>
                <w:rFonts w:hint="eastAsia" w:ascii="宋体" w:hAnsi="宋体" w:cs="宋体"/>
                <w:color w:val="auto"/>
                <w:szCs w:val="21"/>
              </w:rPr>
              <w:t>.展示推荐有声资源</w:t>
            </w:r>
          </w:p>
          <w:p>
            <w:pPr>
              <w:pStyle w:val="54"/>
              <w:ind w:firstLine="0" w:firstLineChars="0"/>
              <w:rPr>
                <w:rFonts w:ascii="宋体" w:hAnsi="宋体" w:cs="宋体"/>
                <w:bCs/>
                <w:color w:val="auto"/>
                <w:kern w:val="0"/>
                <w:szCs w:val="21"/>
              </w:rPr>
            </w:pPr>
            <w:r>
              <w:rPr>
                <w:rFonts w:hint="eastAsia" w:ascii="宋体" w:hAnsi="宋体" w:cs="宋体"/>
                <w:color w:val="auto"/>
                <w:szCs w:val="21"/>
              </w:rPr>
              <w:t>（1）屏幕首页轮播图推荐在后台精选的有声资源，提供页面截图；</w:t>
            </w:r>
          </w:p>
          <w:p>
            <w:pPr>
              <w:pStyle w:val="54"/>
              <w:ind w:firstLine="0" w:firstLineChars="0"/>
              <w:rPr>
                <w:rFonts w:ascii="宋体" w:hAnsi="宋体" w:cs="宋体"/>
                <w:bCs/>
                <w:color w:val="auto"/>
                <w:kern w:val="0"/>
                <w:szCs w:val="21"/>
              </w:rPr>
            </w:pPr>
            <w:r>
              <w:rPr>
                <w:rFonts w:hint="eastAsia" w:ascii="宋体" w:hAnsi="宋体" w:cs="宋体"/>
                <w:color w:val="auto"/>
                <w:szCs w:val="21"/>
              </w:rPr>
              <w:t>（2）轮播图显示书籍的封面和二维码，点击轮播图可以查看更多有声资源；</w:t>
            </w:r>
          </w:p>
          <w:p>
            <w:pPr>
              <w:pStyle w:val="54"/>
              <w:ind w:firstLine="0" w:firstLineChars="0"/>
              <w:rPr>
                <w:rFonts w:ascii="宋体" w:hAnsi="宋体" w:cs="宋体"/>
                <w:bCs/>
                <w:color w:val="auto"/>
                <w:kern w:val="0"/>
                <w:szCs w:val="21"/>
              </w:rPr>
            </w:pPr>
            <w:r>
              <w:rPr>
                <w:rFonts w:hint="eastAsia" w:ascii="宋体" w:hAnsi="宋体" w:cs="宋体"/>
                <w:color w:val="auto"/>
                <w:szCs w:val="21"/>
              </w:rPr>
              <w:t>（3）每个分类下默认显示不少于6张专辑，有声资源内容随着后台的内容更新而更新；</w:t>
            </w:r>
          </w:p>
          <w:p>
            <w:pPr>
              <w:pStyle w:val="54"/>
              <w:ind w:firstLine="0" w:firstLineChars="0"/>
              <w:rPr>
                <w:rFonts w:ascii="宋体" w:hAnsi="宋体" w:cs="宋体"/>
                <w:bCs/>
                <w:color w:val="auto"/>
                <w:kern w:val="0"/>
                <w:szCs w:val="21"/>
              </w:rPr>
            </w:pPr>
            <w:r>
              <w:rPr>
                <w:rFonts w:hint="eastAsia" w:ascii="宋体" w:hAnsi="宋体" w:cs="宋体"/>
                <w:color w:val="auto"/>
                <w:szCs w:val="21"/>
              </w:rPr>
              <w:t>（4）点击图书封面出现大图弹窗，显示书籍名称、封面和二维码；</w:t>
            </w:r>
          </w:p>
          <w:p>
            <w:pPr>
              <w:pStyle w:val="54"/>
              <w:ind w:firstLine="0" w:firstLineChars="0"/>
              <w:rPr>
                <w:rFonts w:ascii="宋体" w:hAnsi="宋体" w:cs="宋体"/>
                <w:bCs/>
                <w:color w:val="auto"/>
                <w:kern w:val="0"/>
                <w:szCs w:val="21"/>
              </w:rPr>
            </w:pPr>
            <w:r>
              <w:rPr>
                <w:rFonts w:hint="eastAsia" w:ascii="宋体" w:hAnsi="宋体" w:cs="宋体"/>
                <w:color w:val="auto"/>
                <w:szCs w:val="21"/>
              </w:rPr>
              <w:t>（5）使用微信扫描书籍上的二维码，即可到移动端收听有声资源</w:t>
            </w:r>
            <w:bookmarkStart w:id="62" w:name="_Toc34555818"/>
          </w:p>
          <w:p>
            <w:pPr>
              <w:pStyle w:val="54"/>
              <w:ind w:firstLine="0" w:firstLineChars="0"/>
              <w:rPr>
                <w:rFonts w:ascii="宋体" w:hAnsi="宋体" w:cs="宋体"/>
                <w:bCs/>
                <w:color w:val="auto"/>
                <w:kern w:val="0"/>
                <w:szCs w:val="21"/>
              </w:rPr>
            </w:pPr>
            <w:r>
              <w:rPr>
                <w:rFonts w:hint="eastAsia" w:ascii="宋体" w:hAnsi="宋体" w:cs="宋体"/>
                <w:color w:val="auto"/>
                <w:szCs w:val="21"/>
                <w:lang w:val="en-US" w:eastAsia="zh-CN"/>
              </w:rPr>
              <w:t>16</w:t>
            </w:r>
            <w:r>
              <w:rPr>
                <w:rFonts w:hint="eastAsia" w:ascii="宋体" w:hAnsi="宋体" w:cs="宋体"/>
                <w:color w:val="auto"/>
                <w:szCs w:val="21"/>
              </w:rPr>
              <w:t>.个性化推荐有声资源</w:t>
            </w:r>
            <w:bookmarkEnd w:id="62"/>
          </w:p>
          <w:p>
            <w:pPr>
              <w:pStyle w:val="54"/>
              <w:ind w:firstLine="0" w:firstLineChars="0"/>
              <w:rPr>
                <w:rFonts w:ascii="宋体" w:hAnsi="宋体" w:cs="宋体"/>
                <w:bCs/>
                <w:color w:val="auto"/>
                <w:kern w:val="0"/>
                <w:szCs w:val="21"/>
              </w:rPr>
            </w:pPr>
            <w:r>
              <w:rPr>
                <w:rFonts w:hint="eastAsia" w:ascii="宋体" w:hAnsi="宋体" w:cs="宋体"/>
                <w:color w:val="auto"/>
                <w:szCs w:val="21"/>
              </w:rPr>
              <w:t>（1）完成图书借阅之后，根据本次所借书籍，屏幕下方显示推荐的有声资源；</w:t>
            </w:r>
          </w:p>
          <w:p>
            <w:pPr>
              <w:pStyle w:val="54"/>
              <w:ind w:firstLine="0" w:firstLineChars="0"/>
              <w:rPr>
                <w:rFonts w:ascii="宋体" w:hAnsi="宋体" w:cs="宋体"/>
                <w:bCs/>
                <w:color w:val="auto"/>
                <w:kern w:val="0"/>
                <w:szCs w:val="21"/>
              </w:rPr>
            </w:pPr>
            <w:r>
              <w:rPr>
                <w:rFonts w:hint="eastAsia" w:ascii="宋体" w:hAnsi="宋体" w:cs="宋体"/>
                <w:color w:val="auto"/>
                <w:szCs w:val="21"/>
              </w:rPr>
              <w:t>（2）还书之后，根据本次所还书籍，屏幕下方显示推荐的有声资源；</w:t>
            </w:r>
          </w:p>
          <w:p>
            <w:pPr>
              <w:pStyle w:val="54"/>
              <w:ind w:firstLine="0" w:firstLineChars="0"/>
              <w:rPr>
                <w:rFonts w:ascii="宋体" w:hAnsi="宋体" w:cs="宋体"/>
                <w:bCs/>
                <w:color w:val="auto"/>
                <w:kern w:val="0"/>
                <w:szCs w:val="21"/>
              </w:rPr>
            </w:pPr>
            <w:r>
              <w:rPr>
                <w:rFonts w:hint="eastAsia" w:ascii="宋体" w:hAnsi="宋体" w:cs="宋体"/>
                <w:color w:val="auto"/>
                <w:szCs w:val="21"/>
              </w:rPr>
              <w:t>（3）查询/续借，根据借阅历史，屏幕下方显示推荐的有声资源；</w:t>
            </w:r>
          </w:p>
          <w:p>
            <w:pPr>
              <w:pStyle w:val="54"/>
              <w:ind w:firstLine="0" w:firstLineChars="0"/>
              <w:rPr>
                <w:rFonts w:ascii="宋体" w:hAnsi="宋体" w:cs="宋体"/>
                <w:bCs/>
                <w:color w:val="auto"/>
                <w:kern w:val="0"/>
                <w:szCs w:val="21"/>
              </w:rPr>
            </w:pPr>
            <w:r>
              <w:rPr>
                <w:rFonts w:hint="eastAsia" w:ascii="宋体" w:hAnsi="宋体" w:cs="宋体"/>
                <w:color w:val="auto"/>
                <w:szCs w:val="21"/>
              </w:rPr>
              <w:t>（4）点击图书封面出现大图弹窗，显示书籍名称、封面和二维码；</w:t>
            </w:r>
          </w:p>
          <w:p>
            <w:pPr>
              <w:pStyle w:val="54"/>
              <w:ind w:firstLine="0" w:firstLineChars="0"/>
              <w:rPr>
                <w:rFonts w:ascii="宋体" w:hAnsi="宋体" w:cs="宋体"/>
                <w:bCs/>
                <w:color w:val="auto"/>
                <w:kern w:val="0"/>
                <w:szCs w:val="21"/>
              </w:rPr>
            </w:pPr>
            <w:r>
              <w:rPr>
                <w:rFonts w:hint="eastAsia" w:ascii="宋体" w:hAnsi="宋体" w:cs="宋体"/>
                <w:color w:val="auto"/>
                <w:szCs w:val="21"/>
              </w:rPr>
              <w:t>（5）至少推荐6张专辑，使用微信扫描书籍上的二维码，即可到移动端去收听有声资源。</w:t>
            </w:r>
          </w:p>
          <w:p>
            <w:pPr>
              <w:pStyle w:val="54"/>
              <w:ind w:firstLine="0" w:firstLineChars="0"/>
              <w:rPr>
                <w:rFonts w:ascii="宋体" w:hAnsi="宋体" w:cs="宋体"/>
                <w:bCs/>
                <w:color w:val="auto"/>
                <w:kern w:val="0"/>
                <w:szCs w:val="21"/>
              </w:rPr>
            </w:pPr>
            <w:r>
              <w:rPr>
                <w:rFonts w:hint="eastAsia" w:ascii="宋体" w:hAnsi="宋体" w:cs="宋体"/>
                <w:color w:val="auto"/>
                <w:szCs w:val="21"/>
                <w:lang w:val="en-US" w:eastAsia="zh-CN"/>
              </w:rPr>
              <w:t>17</w:t>
            </w:r>
            <w:r>
              <w:rPr>
                <w:rFonts w:hint="eastAsia" w:ascii="宋体" w:hAnsi="宋体" w:cs="宋体"/>
                <w:color w:val="auto"/>
                <w:szCs w:val="21"/>
              </w:rPr>
              <w:t>.有声资源内容品类要求：</w:t>
            </w:r>
          </w:p>
          <w:p>
            <w:pPr>
              <w:pStyle w:val="54"/>
              <w:ind w:firstLine="0" w:firstLineChars="0"/>
              <w:rPr>
                <w:rFonts w:ascii="宋体" w:hAnsi="宋体" w:cs="宋体"/>
                <w:bCs/>
                <w:color w:val="auto"/>
                <w:kern w:val="0"/>
                <w:szCs w:val="21"/>
              </w:rPr>
            </w:pPr>
            <w:r>
              <w:rPr>
                <w:rFonts w:hint="eastAsia" w:ascii="宋体" w:hAnsi="宋体" w:cs="宋体"/>
                <w:color w:val="auto"/>
                <w:szCs w:val="21"/>
              </w:rPr>
              <w:t>内容涵盖有声书、相声段子、音乐、新闻、综艺娱乐、情感生活、评书、外语、培训讲座、百家讲坛、广播剧、历史人文、电台、商业财经、IT科技、健康养生、校园电台、汽车、旅游、电影、游戏等不少于30多个分类，50万+专辑，不少于100万+本书、1000万条声音，满足用户不同的场景需求，可覆盖多样化的用户群体。所有资源均具备相应版权，若有任何版权风险将由投标人承担。</w:t>
            </w:r>
          </w:p>
          <w:p>
            <w:pPr>
              <w:numPr>
                <w:ilvl w:val="0"/>
                <w:numId w:val="3"/>
              </w:numPr>
              <w:rPr>
                <w:rFonts w:ascii="宋体" w:hAnsi="宋体" w:cs="宋体"/>
                <w:bCs/>
                <w:szCs w:val="21"/>
              </w:rPr>
            </w:pPr>
            <w:r>
              <w:rPr>
                <w:rFonts w:hint="eastAsia" w:ascii="宋体" w:hAnsi="宋体" w:cs="宋体"/>
                <w:bCs/>
                <w:szCs w:val="21"/>
              </w:rPr>
              <w:t>技术要求</w:t>
            </w:r>
          </w:p>
          <w:p>
            <w:pPr>
              <w:pStyle w:val="54"/>
              <w:ind w:firstLine="0" w:firstLineChars="0"/>
              <w:rPr>
                <w:rFonts w:ascii="宋体" w:hAnsi="宋体" w:cs="宋体"/>
                <w:szCs w:val="21"/>
              </w:rPr>
            </w:pPr>
            <w:r>
              <w:rPr>
                <w:rFonts w:hint="eastAsia" w:ascii="宋体" w:hAnsi="宋体" w:cs="宋体"/>
                <w:szCs w:val="21"/>
              </w:rPr>
              <w:t>1.外观要求：占地面积≤0.6M²，视觉高度在≤1.1m-1.5m之间</w:t>
            </w:r>
            <w:r>
              <w:rPr>
                <w:rFonts w:hint="eastAsia" w:ascii="宋体" w:hAnsi="宋体" w:cs="宋体"/>
                <w:bCs/>
                <w:kern w:val="0"/>
                <w:szCs w:val="21"/>
              </w:rPr>
              <w:t>；</w:t>
            </w:r>
          </w:p>
          <w:p>
            <w:pPr>
              <w:pStyle w:val="54"/>
              <w:ind w:firstLine="0" w:firstLineChars="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.整体集成需求：采用竖立式结构，底部集成工控机、阅读器、电源控制模块，读者操作台高度≤890mm，触摸屏居于读者操作视线平行端，触摸屏离地高度≤1350</w:t>
            </w:r>
            <w:r>
              <w:rPr>
                <w:rFonts w:hint="eastAsia" w:ascii="宋体" w:hAnsi="宋体" w:cs="宋体"/>
                <w:bCs/>
                <w:szCs w:val="21"/>
              </w:rPr>
              <w:t>+/-10mm</w:t>
            </w:r>
            <w:r>
              <w:rPr>
                <w:rFonts w:hint="eastAsia" w:ascii="宋体" w:hAnsi="宋体" w:cs="宋体"/>
                <w:szCs w:val="21"/>
              </w:rPr>
              <w:t>.，整机集成工业控制计算机、触摸屏模块、RFID阅读器天线模块、电源控制模块、凭条打印模块等。</w:t>
            </w:r>
          </w:p>
          <w:p>
            <w:pPr>
              <w:pStyle w:val="54"/>
              <w:ind w:firstLine="0" w:firstLineChars="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.RFID图书识读能力：</w:t>
            </w:r>
            <w:r>
              <w:rPr>
                <w:rFonts w:hint="eastAsia" w:ascii="宋体" w:hAnsi="宋体" w:cs="宋体"/>
                <w:bCs/>
                <w:kern w:val="0"/>
                <w:szCs w:val="21"/>
              </w:rPr>
              <w:t>≥5本/次；</w:t>
            </w:r>
          </w:p>
          <w:p>
            <w:pPr>
              <w:pStyle w:val="54"/>
              <w:ind w:firstLine="0" w:firstLineChars="0"/>
              <w:rPr>
                <w:rFonts w:ascii="宋体" w:hAnsi="宋体" w:cs="宋体"/>
                <w:bCs/>
                <w:kern w:val="0"/>
                <w:szCs w:val="21"/>
              </w:rPr>
            </w:pPr>
            <w:r>
              <w:rPr>
                <w:rFonts w:hint="eastAsia" w:ascii="宋体" w:hAnsi="宋体" w:cs="宋体"/>
                <w:bCs/>
                <w:kern w:val="0"/>
                <w:szCs w:val="21"/>
                <w:lang w:val="en-US" w:eastAsia="zh-CN"/>
              </w:rPr>
              <w:t>4</w:t>
            </w:r>
            <w:r>
              <w:rPr>
                <w:rFonts w:hint="eastAsia" w:ascii="宋体" w:hAnsi="宋体" w:cs="宋体"/>
                <w:bCs/>
                <w:kern w:val="0"/>
                <w:szCs w:val="21"/>
              </w:rPr>
              <w:t>.工控主机：不低于CPU Intel Core i3双核四线程处理器/4GDDR3内存/500G HDD或128 SSD硬盘，操作系统Win 7 32位或以上；</w:t>
            </w:r>
          </w:p>
          <w:p>
            <w:pPr>
              <w:pStyle w:val="54"/>
              <w:ind w:firstLine="0" w:firstLineChars="0"/>
              <w:rPr>
                <w:rFonts w:ascii="宋体" w:hAnsi="宋体" w:cs="宋体"/>
                <w:bCs/>
                <w:kern w:val="0"/>
                <w:szCs w:val="21"/>
              </w:rPr>
            </w:pPr>
            <w:r>
              <w:rPr>
                <w:rFonts w:hint="eastAsia" w:ascii="宋体" w:hAnsi="宋体" w:cs="宋体"/>
                <w:bCs/>
                <w:kern w:val="0"/>
                <w:szCs w:val="21"/>
                <w:lang w:val="en-US" w:eastAsia="zh-CN"/>
              </w:rPr>
              <w:t>5</w:t>
            </w:r>
            <w:r>
              <w:rPr>
                <w:rFonts w:hint="eastAsia" w:ascii="宋体" w:hAnsi="宋体" w:cs="宋体"/>
                <w:bCs/>
                <w:kern w:val="0"/>
                <w:szCs w:val="21"/>
              </w:rPr>
              <w:t>.触摸显示屏：不低于21.5寸纯平电容式触摸屏，显示分辨率≥1920×1080；</w:t>
            </w:r>
          </w:p>
          <w:p>
            <w:pPr>
              <w:numPr>
                <w:ilvl w:val="0"/>
                <w:numId w:val="3"/>
              </w:numPr>
              <w:rPr>
                <w:rFonts w:ascii="宋体" w:hAnsi="宋体" w:cs="宋体"/>
                <w:bCs/>
                <w:szCs w:val="21"/>
              </w:rPr>
            </w:pPr>
            <w:r>
              <w:rPr>
                <w:rFonts w:hint="eastAsia" w:ascii="宋体" w:hAnsi="宋体" w:cs="宋体"/>
                <w:bCs/>
                <w:szCs w:val="21"/>
              </w:rPr>
              <w:t>质量要求</w:t>
            </w:r>
          </w:p>
          <w:p>
            <w:pPr>
              <w:tabs>
                <w:tab w:val="left" w:pos="561"/>
                <w:tab w:val="left" w:pos="1080"/>
                <w:tab w:val="left" w:pos="1260"/>
              </w:tabs>
              <w:rPr>
                <w:rFonts w:ascii="宋体" w:hAnsi="宋体" w:cs="宋体"/>
                <w:b w:val="0"/>
                <w:bCs/>
                <w:szCs w:val="21"/>
              </w:rPr>
            </w:pPr>
            <w:r>
              <w:rPr>
                <w:rFonts w:hint="eastAsia" w:ascii="宋体" w:hAnsi="宋体" w:cs="宋体"/>
                <w:b w:val="0"/>
                <w:bCs/>
                <w:szCs w:val="21"/>
              </w:rPr>
              <w:t>所投设备型号防水、防尘等级须≥IP65，符合GB/T4208-2017外壳防护等级，且通过 IP 防护等级测试，具有相关检测报告，提供第三方检测机构出具的检测报告及认证证书复印件加盖公章</w:t>
            </w:r>
          </w:p>
          <w:p>
            <w:pPr>
              <w:numPr>
                <w:ilvl w:val="0"/>
                <w:numId w:val="3"/>
              </w:numPr>
              <w:rPr>
                <w:rFonts w:ascii="宋体" w:hAnsi="宋体" w:cs="宋体"/>
                <w:bCs/>
                <w:szCs w:val="21"/>
              </w:rPr>
            </w:pPr>
            <w:r>
              <w:rPr>
                <w:rFonts w:hint="eastAsia" w:ascii="宋体" w:hAnsi="宋体" w:cs="宋体"/>
                <w:bCs/>
                <w:szCs w:val="21"/>
              </w:rPr>
              <w:t>软件要求</w:t>
            </w:r>
          </w:p>
          <w:p>
            <w:pPr>
              <w:rPr>
                <w:rFonts w:ascii="宋体" w:hAnsi="宋体" w:cs="宋体"/>
                <w:b/>
                <w:szCs w:val="21"/>
              </w:rPr>
            </w:pPr>
            <w:r>
              <w:rPr>
                <w:rFonts w:hint="eastAsia" w:ascii="宋体" w:hAnsi="宋体" w:cs="宋体"/>
                <w:bCs/>
                <w:kern w:val="0"/>
                <w:szCs w:val="21"/>
              </w:rPr>
              <w:t xml:space="preserve">所投产品应用软件须保证系统兼容性良好，保障与行业主流厂家兼容对接能力。 </w:t>
            </w:r>
          </w:p>
          <w:p>
            <w:pPr>
              <w:numPr>
                <w:ilvl w:val="0"/>
                <w:numId w:val="3"/>
              </w:numPr>
              <w:rPr>
                <w:rFonts w:ascii="宋体" w:hAnsi="宋体" w:cs="宋体"/>
                <w:bCs/>
                <w:szCs w:val="21"/>
              </w:rPr>
            </w:pPr>
            <w:r>
              <w:rPr>
                <w:rFonts w:hint="eastAsia" w:ascii="宋体" w:hAnsi="宋体" w:cs="宋体"/>
                <w:bCs/>
                <w:szCs w:val="21"/>
              </w:rPr>
              <w:t>服务要求</w:t>
            </w:r>
          </w:p>
          <w:p>
            <w:pPr>
              <w:rPr>
                <w:rFonts w:ascii="宋体" w:hAnsi="宋体" w:cs="宋体"/>
                <w:bCs/>
                <w:kern w:val="0"/>
                <w:szCs w:val="21"/>
              </w:rPr>
            </w:pPr>
            <w:r>
              <w:rPr>
                <w:rFonts w:hint="eastAsia" w:ascii="宋体" w:hAnsi="宋体" w:cs="宋体"/>
                <w:bCs/>
                <w:kern w:val="0"/>
                <w:szCs w:val="21"/>
              </w:rPr>
              <w:t>1.供应商须提供设备配套驱动程序文件、相关图书馆业务应用程序文件。</w:t>
            </w:r>
          </w:p>
          <w:p>
            <w:pPr>
              <w:rPr>
                <w:rFonts w:ascii="宋体" w:hAnsi="宋体" w:cs="宋体"/>
                <w:b w:val="0"/>
                <w:bCs/>
                <w:color w:val="000000" w:themeColor="text1"/>
                <w:kern w:val="0"/>
                <w:szCs w:val="21"/>
                <w14:textFill>
                  <w14:solidFill>
                    <w14:schemeClr w14:val="tx1"/>
                  </w14:solidFill>
                </w14:textFill>
              </w:rPr>
            </w:pPr>
            <w:r>
              <w:rPr>
                <w:rFonts w:hint="eastAsia" w:ascii="宋体" w:hAnsi="宋体" w:cs="宋体"/>
                <w:b w:val="0"/>
                <w:bCs/>
                <w:kern w:val="0"/>
                <w:szCs w:val="21"/>
              </w:rPr>
              <w:t>★2.投标人或生产厂商须具备标准质量管理及安全环保生产的能力，并保证所投产品符合国家质量管理及环保要求，</w:t>
            </w:r>
            <w:r>
              <w:rPr>
                <w:rFonts w:hint="eastAsia" w:ascii="宋体" w:hAnsi="宋体" w:cs="宋体"/>
                <w:b w:val="0"/>
                <w:bCs/>
                <w:color w:val="000000" w:themeColor="text1"/>
                <w:kern w:val="0"/>
                <w:szCs w:val="21"/>
                <w14:textFill>
                  <w14:solidFill>
                    <w14:schemeClr w14:val="tx1"/>
                  </w14:solidFill>
                </w14:textFill>
              </w:rPr>
              <w:t>投标人或生产厂商须通过ISO9001质量管理体系认证、ISO14001环境管理体系认证、OHSMS18001职业健康安全管理体系认证，须提供相关证书复印件加盖投标人公章 。</w:t>
            </w:r>
          </w:p>
          <w:p>
            <w:pPr>
              <w:rPr>
                <w:rFonts w:ascii="宋体" w:hAnsi="宋体" w:cs="宋体"/>
                <w:b w:val="0"/>
                <w:bCs/>
                <w:kern w:val="0"/>
                <w:szCs w:val="21"/>
              </w:rPr>
            </w:pPr>
            <w:r>
              <w:rPr>
                <w:rFonts w:hint="eastAsia" w:ascii="宋体" w:hAnsi="宋体" w:cs="宋体"/>
                <w:b w:val="0"/>
                <w:bCs/>
                <w:kern w:val="0"/>
                <w:szCs w:val="21"/>
              </w:rPr>
              <w:t>★3.投标人或生产厂商须具备完善标准的信息安全管理能力，保证所投产品的信息安全防护能力符合招标人的使用要求，投标人或生产厂商须通过ISO27001信息安全管理体系认证，须提供相关证书复印件加盖投标人公章 。</w:t>
            </w:r>
          </w:p>
          <w:p>
            <w:pPr>
              <w:jc w:val="left"/>
              <w:rPr>
                <w:rFonts w:ascii="宋体" w:hAnsi="宋体" w:cs="宋体"/>
                <w:b w:val="0"/>
                <w:bCs/>
                <w:kern w:val="0"/>
                <w:szCs w:val="21"/>
              </w:rPr>
            </w:pPr>
            <w:r>
              <w:rPr>
                <w:rFonts w:hint="eastAsia" w:ascii="宋体" w:hAnsi="宋体" w:cs="宋体"/>
                <w:b w:val="0"/>
                <w:bCs/>
                <w:kern w:val="0"/>
                <w:szCs w:val="21"/>
              </w:rPr>
              <w:t>★4.投标人或生产厂商须具备持续创新的软硬件、服务升级能力，并保障招标人所采购设备符合国家知识产权规定，投标人或生产厂商须具有知识产权管理体系认证证书并符合《GB/T29490-2013》标准，须提供复印件加盖投标人公章 。</w:t>
            </w:r>
          </w:p>
          <w:p>
            <w:pPr>
              <w:jc w:val="left"/>
              <w:rPr>
                <w:rFonts w:ascii="宋体" w:hAnsi="宋体" w:cs="宋体"/>
                <w:szCs w:val="21"/>
              </w:rPr>
            </w:pPr>
            <w:r>
              <w:rPr>
                <w:rFonts w:hint="eastAsia" w:ascii="宋体" w:hAnsi="宋体" w:cs="宋体"/>
                <w:b w:val="0"/>
                <w:bCs/>
                <w:kern w:val="0"/>
                <w:szCs w:val="21"/>
              </w:rPr>
              <w:t>★5.所投产品如非投标人生产，投标人须提供所投产品原厂制造商针对本项目的售后服务承诺函加盖公章。</w:t>
            </w:r>
          </w:p>
        </w:tc>
        <w:tc>
          <w:tcPr>
            <w:tcW w:w="734" w:type="dxa"/>
            <w:vAlign w:val="center"/>
          </w:tcPr>
          <w:p>
            <w:pPr>
              <w:jc w:val="center"/>
              <w:rPr>
                <w:rFonts w:ascii="宋体" w:hAnsi="宋体" w:cs="宋体"/>
                <w:szCs w:val="21"/>
              </w:rPr>
            </w:pPr>
            <w:r>
              <w:rPr>
                <w:rFonts w:hint="eastAsia" w:ascii="宋体" w:hAnsi="宋体" w:cs="宋体"/>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2</w:t>
            </w:r>
          </w:p>
        </w:tc>
        <w:tc>
          <w:tcPr>
            <w:tcW w:w="1545" w:type="dxa"/>
            <w:vAlign w:val="center"/>
          </w:tcPr>
          <w:p>
            <w:pPr>
              <w:jc w:val="center"/>
              <w:rPr>
                <w:rFonts w:ascii="宋体" w:hAnsi="宋体" w:cs="宋体"/>
                <w:szCs w:val="21"/>
              </w:rPr>
            </w:pPr>
            <w:r>
              <w:rPr>
                <w:rFonts w:hint="eastAsia" w:ascii="宋体" w:hAnsi="宋体" w:cs="宋体"/>
                <w:szCs w:val="21"/>
              </w:rPr>
              <w:t>移动式盘点车</w:t>
            </w:r>
          </w:p>
        </w:tc>
        <w:tc>
          <w:tcPr>
            <w:tcW w:w="7335" w:type="dxa"/>
            <w:vAlign w:val="center"/>
          </w:tcPr>
          <w:p>
            <w:pPr>
              <w:numPr>
                <w:ilvl w:val="0"/>
                <w:numId w:val="4"/>
              </w:numPr>
              <w:rPr>
                <w:rFonts w:ascii="宋体" w:hAnsi="宋体" w:cs="宋体"/>
                <w:szCs w:val="21"/>
              </w:rPr>
            </w:pPr>
            <w:r>
              <w:rPr>
                <w:rFonts w:hint="eastAsia" w:ascii="宋体" w:hAnsi="宋体" w:cs="宋体"/>
                <w:szCs w:val="21"/>
              </w:rPr>
              <w:t>功能要求</w:t>
            </w:r>
          </w:p>
          <w:p>
            <w:pPr>
              <w:pStyle w:val="54"/>
              <w:ind w:firstLine="0" w:firstLineChars="0"/>
              <w:rPr>
                <w:rFonts w:ascii="宋体" w:hAnsi="宋体" w:cs="宋体"/>
                <w:color w:val="auto"/>
                <w:szCs w:val="21"/>
              </w:rPr>
            </w:pPr>
            <w:r>
              <w:rPr>
                <w:rFonts w:hint="eastAsia" w:ascii="宋体" w:hAnsi="宋体" w:cs="宋体"/>
                <w:color w:val="auto"/>
                <w:szCs w:val="21"/>
              </w:rPr>
              <w:t>1.须符合相关行业标准，如ISO 18000-6C标准。</w:t>
            </w:r>
          </w:p>
          <w:p>
            <w:pPr>
              <w:pStyle w:val="54"/>
              <w:ind w:firstLine="0" w:firstLineChars="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.设备采用移动推车式设计，集成≥19寸触摸屏一体机、RFID阅读器、RFID手持天线、蓄电池。</w:t>
            </w:r>
          </w:p>
          <w:p>
            <w:pPr>
              <w:pStyle w:val="54"/>
              <w:ind w:firstLine="0" w:firstLineChars="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.可以非接触式的快速识别粘贴在流通资料上的RFID标签。</w:t>
            </w:r>
          </w:p>
          <w:p>
            <w:pPr>
              <w:pStyle w:val="54"/>
              <w:ind w:firstLine="0" w:firstLineChars="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.具备充电组件，有效充电一次可使用时间≥10小时。</w:t>
            </w:r>
          </w:p>
          <w:p>
            <w:pPr>
              <w:pStyle w:val="54"/>
              <w:ind w:firstLine="0" w:firstLineChars="0"/>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.设备配套软件包括数据采集、图书清点、数据上传、数据下载、图书查找功能.</w:t>
            </w:r>
          </w:p>
          <w:p>
            <w:pPr>
              <w:pStyle w:val="54"/>
              <w:ind w:firstLine="0" w:firstLineChars="0"/>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.设备配套软件须实现以下功能：</w:t>
            </w:r>
          </w:p>
          <w:p>
            <w:pPr>
              <w:pStyle w:val="54"/>
              <w:ind w:firstLine="0" w:firstLineChars="0"/>
              <w:rPr>
                <w:rFonts w:ascii="宋体" w:hAnsi="宋体" w:cs="宋体"/>
                <w:bCs/>
                <w:color w:val="auto"/>
                <w:szCs w:val="21"/>
              </w:rPr>
            </w:pPr>
            <w:r>
              <w:rPr>
                <w:rFonts w:hint="eastAsia" w:ascii="宋体" w:hAnsi="宋体" w:cs="宋体"/>
                <w:color w:val="auto"/>
                <w:szCs w:val="21"/>
              </w:rPr>
              <w:t>（1）数据采集：移动清点设备触摸一体机安装数据采集软件，通过手持天线，可采集图书馆在架文献资料的RFID信息，并将信息存储于本地计算机设备</w:t>
            </w:r>
            <w:r>
              <w:rPr>
                <w:rFonts w:hint="eastAsia" w:ascii="宋体" w:hAnsi="宋体" w:cs="宋体"/>
                <w:bCs/>
                <w:color w:val="auto"/>
                <w:szCs w:val="21"/>
              </w:rPr>
              <w:t>。</w:t>
            </w:r>
            <w:r>
              <w:rPr>
                <w:rFonts w:hint="eastAsia" w:ascii="宋体" w:hAnsi="宋体" w:cs="宋体"/>
                <w:color w:val="auto"/>
                <w:szCs w:val="21"/>
              </w:rPr>
              <w:t>数据采集功能通过离线模式可实现</w:t>
            </w:r>
            <w:r>
              <w:rPr>
                <w:rFonts w:hint="eastAsia" w:ascii="宋体" w:hAnsi="宋体" w:cs="宋体"/>
                <w:bCs/>
                <w:color w:val="auto"/>
                <w:szCs w:val="21"/>
              </w:rPr>
              <w:t>。</w:t>
            </w:r>
          </w:p>
          <w:p>
            <w:pPr>
              <w:pStyle w:val="54"/>
              <w:ind w:firstLine="0" w:firstLineChars="0"/>
              <w:rPr>
                <w:rFonts w:ascii="宋体" w:hAnsi="宋体" w:cs="宋体"/>
                <w:bCs/>
                <w:color w:val="auto"/>
                <w:szCs w:val="21"/>
              </w:rPr>
            </w:pPr>
            <w:r>
              <w:rPr>
                <w:rFonts w:hint="eastAsia" w:ascii="宋体" w:hAnsi="宋体" w:cs="宋体"/>
                <w:color w:val="auto"/>
                <w:szCs w:val="21"/>
              </w:rPr>
              <w:t>（2）数据上传：工作人员把数据采集得到的在架文献资料RFID信息，通过数据上传软件上传到图书馆后台业务系统，实现文献资料架位号定位功能，该项功能必须通过有线网络或者无线网络与图书馆后台系统对接。</w:t>
            </w:r>
          </w:p>
          <w:p>
            <w:pPr>
              <w:pStyle w:val="54"/>
              <w:ind w:firstLine="0" w:firstLineChars="0"/>
              <w:rPr>
                <w:rFonts w:ascii="宋体" w:hAnsi="宋体" w:cs="宋体"/>
                <w:color w:val="auto"/>
                <w:szCs w:val="21"/>
              </w:rPr>
            </w:pPr>
            <w:r>
              <w:rPr>
                <w:rFonts w:hint="eastAsia" w:ascii="宋体" w:hAnsi="宋体" w:cs="宋体"/>
                <w:color w:val="auto"/>
                <w:szCs w:val="21"/>
              </w:rPr>
              <w:t>（3）数据下载：工作人员通过数据下载软件，与后台业务系统连接，将数据采集得到的在架文献信息下载到本地，形成本地基础数据库，该项功能必须通过有线网络或者无线网络与图书馆后台业务系统连接。</w:t>
            </w:r>
          </w:p>
          <w:p>
            <w:pPr>
              <w:pStyle w:val="54"/>
              <w:ind w:firstLine="0" w:firstLineChars="0"/>
              <w:rPr>
                <w:rFonts w:ascii="宋体" w:hAnsi="宋体" w:cs="宋体"/>
                <w:color w:val="auto"/>
                <w:szCs w:val="21"/>
              </w:rPr>
            </w:pPr>
            <w:r>
              <w:rPr>
                <w:rFonts w:hint="eastAsia" w:ascii="宋体" w:hAnsi="宋体" w:cs="宋体"/>
                <w:color w:val="auto"/>
                <w:szCs w:val="21"/>
              </w:rPr>
              <w:t>（4）图书错架整理：工作人员将数据下载得到的基础数据库安装于清点设备的触摸一体工控机，工作人员可实现在架文献的错架整理，对错架的图书进行自动提醒。</w:t>
            </w:r>
          </w:p>
          <w:p>
            <w:pPr>
              <w:pStyle w:val="54"/>
              <w:ind w:firstLine="0" w:firstLineChars="0"/>
              <w:rPr>
                <w:rFonts w:ascii="宋体" w:hAnsi="宋体" w:cs="宋体"/>
                <w:color w:val="auto"/>
                <w:szCs w:val="21"/>
              </w:rPr>
            </w:pPr>
            <w:r>
              <w:rPr>
                <w:rFonts w:hint="eastAsia" w:ascii="宋体" w:hAnsi="宋体" w:cs="宋体"/>
                <w:color w:val="auto"/>
                <w:szCs w:val="21"/>
              </w:rPr>
              <w:t>（5）图书查找：根据工作人提供的条码在配套软件中可实现图书查找功能，当扫描到指定图书，系统软件界面自动提醒。</w:t>
            </w:r>
          </w:p>
          <w:p>
            <w:pPr>
              <w:numPr>
                <w:ilvl w:val="0"/>
                <w:numId w:val="4"/>
              </w:numPr>
              <w:rPr>
                <w:rFonts w:ascii="宋体" w:hAnsi="宋体" w:cs="宋体"/>
                <w:color w:val="auto"/>
                <w:szCs w:val="21"/>
              </w:rPr>
            </w:pPr>
            <w:r>
              <w:rPr>
                <w:rFonts w:hint="eastAsia" w:ascii="宋体" w:hAnsi="宋体" w:cs="宋体"/>
                <w:color w:val="auto"/>
                <w:szCs w:val="21"/>
              </w:rPr>
              <w:t>技术要求</w:t>
            </w:r>
          </w:p>
          <w:p>
            <w:pPr>
              <w:pStyle w:val="54"/>
              <w:ind w:firstLine="0" w:firstLineChars="0"/>
              <w:rPr>
                <w:rFonts w:ascii="宋体" w:hAnsi="宋体" w:cs="宋体"/>
                <w:color w:val="auto"/>
                <w:szCs w:val="21"/>
              </w:rPr>
            </w:pPr>
            <w:r>
              <w:rPr>
                <w:rFonts w:hint="eastAsia" w:ascii="宋体" w:hAnsi="宋体" w:cs="宋体"/>
                <w:color w:val="auto"/>
                <w:szCs w:val="21"/>
              </w:rPr>
              <w:t>1.外观要求：占地面积≤0.4M²，视觉高度在0.9m-1.1m之间。</w:t>
            </w:r>
          </w:p>
          <w:p>
            <w:pPr>
              <w:pStyle w:val="54"/>
              <w:ind w:firstLine="0" w:firstLineChars="0"/>
              <w:rPr>
                <w:rFonts w:ascii="宋体" w:hAnsi="宋体" w:cs="宋体"/>
                <w:color w:val="auto"/>
                <w:szCs w:val="21"/>
              </w:rPr>
            </w:pPr>
            <w:r>
              <w:rPr>
                <w:rFonts w:hint="eastAsia" w:ascii="宋体" w:hAnsi="宋体" w:cs="宋体"/>
                <w:color w:val="auto"/>
                <w:szCs w:val="21"/>
              </w:rPr>
              <w:t>2.整体需求：采用静音万向轮，后置滑轮可锁死，防止无意推动。</w:t>
            </w:r>
          </w:p>
          <w:p>
            <w:pPr>
              <w:pStyle w:val="54"/>
              <w:ind w:firstLine="0" w:firstLineChars="0"/>
              <w:rPr>
                <w:rFonts w:ascii="宋体" w:hAnsi="宋体" w:cs="宋体"/>
                <w:color w:val="FF0000"/>
                <w:szCs w:val="21"/>
              </w:rPr>
            </w:pPr>
            <w:r>
              <w:rPr>
                <w:rFonts w:hint="eastAsia" w:ascii="宋体" w:hAnsi="宋体" w:cs="宋体"/>
                <w:color w:val="auto"/>
                <w:szCs w:val="21"/>
              </w:rPr>
              <w:t>3.设计要求：设备采用三层设计，第一层采用封装设计，内部集成蓄电池、阅读器、电源控制模块，第二层采用镂空设计，工作人员可在上架时将文献放置在该区域，第三层为触摸操作屏放置台，侧面挂接手持天线模块。</w:t>
            </w:r>
          </w:p>
          <w:p>
            <w:pPr>
              <w:pStyle w:val="54"/>
              <w:ind w:firstLine="0" w:firstLineChars="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.整体集成需求：设备采用移动推车式设计，集成≥19寸触摸屏一体机、RFID阅读器、RFID手持天线、蓄电池。</w:t>
            </w:r>
          </w:p>
          <w:p>
            <w:pPr>
              <w:pStyle w:val="54"/>
              <w:ind w:firstLine="0" w:firstLineChars="0"/>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.触摸显示：≥19英寸，红外触摸，中文界面。</w:t>
            </w:r>
          </w:p>
          <w:p>
            <w:pPr>
              <w:pStyle w:val="54"/>
              <w:ind w:firstLine="0" w:firstLineChars="0"/>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工控主机：不低于四核 CPU，4G DDR3，500G硬盘，不低于Windows 7 专业版</w:t>
            </w:r>
          </w:p>
          <w:p>
            <w:pPr>
              <w:numPr>
                <w:ilvl w:val="0"/>
                <w:numId w:val="4"/>
              </w:numPr>
              <w:rPr>
                <w:rFonts w:ascii="宋体" w:hAnsi="宋体" w:cs="宋体"/>
                <w:szCs w:val="21"/>
              </w:rPr>
            </w:pPr>
            <w:r>
              <w:rPr>
                <w:rFonts w:hint="eastAsia" w:ascii="宋体" w:hAnsi="宋体" w:cs="宋体"/>
                <w:szCs w:val="21"/>
              </w:rPr>
              <w:t>质量要求</w:t>
            </w:r>
          </w:p>
          <w:p>
            <w:pPr>
              <w:pStyle w:val="54"/>
              <w:ind w:firstLine="0" w:firstLineChars="0"/>
              <w:jc w:val="left"/>
              <w:rPr>
                <w:rFonts w:ascii="宋体" w:hAnsi="宋体" w:cs="宋体"/>
                <w:bCs/>
                <w:kern w:val="0"/>
                <w:szCs w:val="21"/>
              </w:rPr>
            </w:pPr>
            <w:r>
              <w:rPr>
                <w:rFonts w:hint="eastAsia" w:ascii="宋体" w:hAnsi="宋体" w:cs="宋体"/>
                <w:bCs/>
                <w:kern w:val="0"/>
                <w:szCs w:val="21"/>
              </w:rPr>
              <w:t>1.为响应环境标准要求，所投设备环保无污染，具备环保、节能减排证书。</w:t>
            </w:r>
          </w:p>
          <w:p>
            <w:pPr>
              <w:pStyle w:val="54"/>
              <w:ind w:firstLine="0" w:firstLineChars="0"/>
              <w:jc w:val="left"/>
              <w:rPr>
                <w:rFonts w:ascii="宋体" w:hAnsi="宋体" w:cs="宋体"/>
                <w:bCs/>
                <w:szCs w:val="21"/>
              </w:rPr>
            </w:pPr>
            <w:r>
              <w:rPr>
                <w:rFonts w:hint="eastAsia" w:ascii="宋体" w:hAnsi="宋体" w:cs="宋体"/>
                <w:bCs/>
                <w:kern w:val="0"/>
                <w:szCs w:val="21"/>
              </w:rPr>
              <w:t>2.所投</w:t>
            </w:r>
            <w:r>
              <w:rPr>
                <w:rFonts w:hint="eastAsia" w:ascii="宋体" w:hAnsi="宋体" w:cs="宋体"/>
                <w:bCs/>
                <w:szCs w:val="21"/>
              </w:rPr>
              <w:t>设备型号</w:t>
            </w:r>
            <w:r>
              <w:rPr>
                <w:rFonts w:hint="eastAsia" w:ascii="宋体" w:hAnsi="宋体" w:cs="宋体"/>
                <w:bCs/>
                <w:kern w:val="0"/>
                <w:szCs w:val="21"/>
              </w:rPr>
              <w:t>防水、防尘等级须≥IP65，符合GB/T4208-2017外壳防护等级，且通过 IP 防护等级测试，具有相关检测报告，提供第三方检测机构出具的检测报告及认证证书复印件加盖公章。</w:t>
            </w:r>
          </w:p>
          <w:p>
            <w:pPr>
              <w:numPr>
                <w:ilvl w:val="0"/>
                <w:numId w:val="4"/>
              </w:numPr>
              <w:rPr>
                <w:rFonts w:ascii="宋体" w:hAnsi="宋体" w:cs="宋体"/>
                <w:szCs w:val="21"/>
              </w:rPr>
            </w:pPr>
            <w:r>
              <w:rPr>
                <w:rFonts w:hint="eastAsia" w:ascii="宋体" w:hAnsi="宋体" w:cs="宋体"/>
                <w:szCs w:val="21"/>
              </w:rPr>
              <w:t>服务要求</w:t>
            </w:r>
          </w:p>
          <w:p>
            <w:pP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1.供应商须提供设备配套驱动程序文件、相关图书馆业务应用程序文件。</w:t>
            </w:r>
          </w:p>
          <w:p>
            <w:pP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投标人或生产厂商须具备标准质量管理及安全环保生产的能力，并保证所投产品符合国家质量管理及环保要求，投标人或生产厂商须通过ISO9001质量管理体系认证、ISO14001环境管理体系认证、OHSMS18001职业健康安全管理体系认证，须提供相关证书复印件加盖投标人公章 。</w:t>
            </w:r>
          </w:p>
          <w:p>
            <w:pP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投标人或生产厂商须具备完善标准的信息安全管理能力，保证所投产品的信息安全防护能力符合招标人的使用要求，投标人或生产厂商须通过ISO27001信息安全管理体系认证，须提供相关证书复印件加盖投标人公章 。</w:t>
            </w:r>
          </w:p>
          <w:p>
            <w:pP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投标人或生产厂商须具备持续创新的软硬件、服务升级能力，并保障招标人所采购设备符合国家知识产权规定，投标人或生产厂商须具有知识产权管理体系认证证书并符合《GB/T29490-2013》标准，须提供复印件加盖投标人公章 。</w:t>
            </w:r>
          </w:p>
          <w:p>
            <w:pPr>
              <w:jc w:val="left"/>
              <w:rPr>
                <w:rFonts w:ascii="宋体" w:hAnsi="宋体" w:cs="宋体"/>
                <w:bCs/>
                <w:kern w:val="0"/>
                <w:szCs w:val="21"/>
              </w:rPr>
            </w:pPr>
            <w:r>
              <w:rPr>
                <w:rFonts w:hint="eastAsia" w:ascii="宋体" w:hAnsi="宋体" w:eastAsia="宋体" w:cs="宋体"/>
                <w:bCs/>
                <w:kern w:val="2"/>
                <w:sz w:val="21"/>
                <w:szCs w:val="21"/>
                <w:lang w:val="en-US" w:eastAsia="zh-CN" w:bidi="ar-SA"/>
              </w:rPr>
              <w:t>★5.所投产品如非投标人生产，投标人须提供所投产品原厂制造商针对本项目的售后服务承诺函加盖公章。</w:t>
            </w:r>
          </w:p>
        </w:tc>
        <w:tc>
          <w:tcPr>
            <w:tcW w:w="734" w:type="dxa"/>
            <w:vAlign w:val="center"/>
          </w:tcPr>
          <w:p>
            <w:pPr>
              <w:jc w:val="center"/>
              <w:rPr>
                <w:rFonts w:ascii="宋体" w:hAnsi="宋体" w:cs="宋体"/>
                <w:szCs w:val="21"/>
              </w:rPr>
            </w:pPr>
            <w:r>
              <w:rPr>
                <w:rFonts w:hint="eastAsia" w:ascii="宋体" w:hAnsi="宋体" w:cs="宋体"/>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3</w:t>
            </w:r>
          </w:p>
        </w:tc>
        <w:tc>
          <w:tcPr>
            <w:tcW w:w="1545" w:type="dxa"/>
            <w:vAlign w:val="center"/>
          </w:tcPr>
          <w:p>
            <w:pPr>
              <w:jc w:val="center"/>
              <w:rPr>
                <w:rFonts w:ascii="宋体" w:hAnsi="宋体" w:cs="宋体"/>
                <w:szCs w:val="21"/>
              </w:rPr>
            </w:pPr>
            <w:r>
              <w:rPr>
                <w:rFonts w:hint="eastAsia" w:ascii="宋体" w:hAnsi="宋体" w:cs="宋体"/>
                <w:szCs w:val="21"/>
              </w:rPr>
              <w:t>查询机</w:t>
            </w:r>
          </w:p>
        </w:tc>
        <w:tc>
          <w:tcPr>
            <w:tcW w:w="7335" w:type="dxa"/>
            <w:vAlign w:val="center"/>
          </w:tcPr>
          <w:p>
            <w:pPr>
              <w:rPr>
                <w:rFonts w:ascii="宋体" w:hAnsi="宋体" w:cs="宋体"/>
                <w:szCs w:val="21"/>
              </w:rPr>
            </w:pPr>
            <w:r>
              <w:rPr>
                <w:rFonts w:hint="eastAsia" w:ascii="宋体" w:hAnsi="宋体" w:cs="宋体"/>
                <w:szCs w:val="21"/>
              </w:rPr>
              <w:t>一、软件功能：</w:t>
            </w:r>
          </w:p>
          <w:p>
            <w:pPr>
              <w:rPr>
                <w:rFonts w:ascii="宋体" w:hAnsi="宋体" w:cs="宋体"/>
                <w:szCs w:val="21"/>
              </w:rPr>
            </w:pPr>
            <w:r>
              <w:rPr>
                <w:rFonts w:hint="eastAsia" w:ascii="宋体" w:hAnsi="宋体" w:cs="宋体"/>
                <w:szCs w:val="21"/>
              </w:rPr>
              <w:t>1.可以滚动显示图书馆后台设置的公告、通知等信息。</w:t>
            </w:r>
          </w:p>
          <w:p>
            <w:pPr>
              <w:rPr>
                <w:rFonts w:ascii="宋体" w:hAnsi="宋体" w:cs="宋体"/>
                <w:szCs w:val="21"/>
              </w:rPr>
            </w:pPr>
            <w:r>
              <w:rPr>
                <w:rFonts w:hint="eastAsia" w:ascii="宋体" w:hAnsi="宋体" w:cs="宋体"/>
                <w:szCs w:val="21"/>
              </w:rPr>
              <w:t>2.可根据书名、作者、ISBN和出版社检索图书。并且选中检索到的图书，可以查看该图书的封面、书名、作者、ISBN、出版社、图书状态、图书位置、图书摘要等详细信息。</w:t>
            </w:r>
          </w:p>
          <w:p>
            <w:pPr>
              <w:rPr>
                <w:rFonts w:ascii="宋体" w:hAnsi="宋体" w:cs="宋体"/>
                <w:szCs w:val="21"/>
              </w:rPr>
            </w:pPr>
            <w:r>
              <w:rPr>
                <w:rFonts w:hint="eastAsia" w:ascii="宋体" w:hAnsi="宋体" w:cs="宋体"/>
                <w:szCs w:val="21"/>
              </w:rPr>
              <w:t>3.支持最新图书检索，可查看到图书馆最新录入系统的图书信息。</w:t>
            </w:r>
          </w:p>
          <w:p>
            <w:pPr>
              <w:rPr>
                <w:rFonts w:ascii="宋体" w:hAnsi="宋体" w:cs="宋体"/>
                <w:szCs w:val="21"/>
              </w:rPr>
            </w:pPr>
            <w:r>
              <w:rPr>
                <w:rFonts w:hint="eastAsia" w:ascii="宋体" w:hAnsi="宋体" w:cs="宋体"/>
                <w:szCs w:val="21"/>
              </w:rPr>
              <w:t>二、技术要求：</w:t>
            </w:r>
          </w:p>
          <w:p>
            <w:pPr>
              <w:rPr>
                <w:rFonts w:ascii="宋体" w:hAnsi="宋体" w:cs="宋体"/>
                <w:color w:val="FF0000"/>
                <w:szCs w:val="21"/>
              </w:rPr>
            </w:pPr>
            <w:r>
              <w:rPr>
                <w:rFonts w:hint="eastAsia" w:ascii="宋体" w:hAnsi="宋体" w:cs="宋体"/>
                <w:color w:val="auto"/>
                <w:szCs w:val="21"/>
              </w:rPr>
              <w:t>1.尺寸：</w:t>
            </w:r>
            <w:r>
              <w:rPr>
                <w:rFonts w:hint="eastAsia" w:ascii="宋体" w:hAnsi="宋体" w:cs="宋体"/>
                <w:color w:val="auto"/>
                <w:szCs w:val="21"/>
                <w:lang w:val="en-US" w:eastAsia="zh-CN"/>
              </w:rPr>
              <w:t>≥</w:t>
            </w:r>
            <w:r>
              <w:rPr>
                <w:rFonts w:hint="eastAsia" w:ascii="宋体" w:hAnsi="宋体" w:cs="宋体"/>
                <w:color w:val="auto"/>
                <w:szCs w:val="21"/>
              </w:rPr>
              <w:t>1120mm * 767 * 460 mm（高*宽*厚）</w:t>
            </w:r>
            <w:r>
              <w:rPr>
                <w:rFonts w:hint="eastAsia" w:ascii="宋体" w:hAnsi="宋体" w:cs="宋体"/>
                <w:color w:val="FF0000"/>
                <w:szCs w:val="21"/>
              </w:rPr>
              <w:t xml:space="preserve"> </w:t>
            </w:r>
          </w:p>
          <w:p>
            <w:pPr>
              <w:rPr>
                <w:rFonts w:ascii="宋体" w:hAnsi="宋体" w:cs="宋体"/>
                <w:szCs w:val="21"/>
              </w:rPr>
            </w:pPr>
            <w:r>
              <w:rPr>
                <w:rFonts w:hint="eastAsia" w:ascii="宋体" w:hAnsi="宋体" w:cs="宋体"/>
                <w:szCs w:val="21"/>
              </w:rPr>
              <w:t>2.屏幕尺寸：</w:t>
            </w:r>
            <w:r>
              <w:rPr>
                <w:rFonts w:hint="eastAsia" w:ascii="宋体" w:hAnsi="宋体" w:cs="宋体"/>
                <w:szCs w:val="21"/>
                <w:lang w:val="en-US" w:eastAsia="zh-CN"/>
              </w:rPr>
              <w:t>≥</w:t>
            </w:r>
            <w:r>
              <w:rPr>
                <w:rFonts w:hint="eastAsia" w:ascii="宋体" w:hAnsi="宋体" w:cs="宋体"/>
                <w:szCs w:val="21"/>
              </w:rPr>
              <w:t>32寸</w:t>
            </w:r>
          </w:p>
          <w:p>
            <w:pPr>
              <w:rPr>
                <w:rFonts w:ascii="宋体" w:hAnsi="宋体" w:cs="宋体"/>
                <w:szCs w:val="21"/>
              </w:rPr>
            </w:pPr>
            <w:r>
              <w:rPr>
                <w:rFonts w:hint="eastAsia" w:ascii="宋体" w:hAnsi="宋体" w:cs="宋体"/>
                <w:szCs w:val="21"/>
              </w:rPr>
              <w:t>3.供电输入：AC 220V，50Hz，</w:t>
            </w:r>
          </w:p>
          <w:p>
            <w:pPr>
              <w:rPr>
                <w:rFonts w:ascii="宋体" w:hAnsi="宋体" w:cs="宋体"/>
                <w:szCs w:val="21"/>
              </w:rPr>
            </w:pPr>
            <w:r>
              <w:rPr>
                <w:rFonts w:hint="eastAsia" w:ascii="宋体" w:hAnsi="宋体" w:cs="宋体"/>
                <w:szCs w:val="21"/>
              </w:rPr>
              <w:t xml:space="preserve">4.额定功率118W </w:t>
            </w:r>
          </w:p>
          <w:p>
            <w:pPr>
              <w:rPr>
                <w:rFonts w:ascii="宋体" w:hAnsi="宋体" w:cs="宋体"/>
                <w:szCs w:val="21"/>
              </w:rPr>
            </w:pPr>
            <w:r>
              <w:rPr>
                <w:rFonts w:hint="eastAsia" w:ascii="宋体" w:hAnsi="宋体" w:cs="宋体"/>
                <w:szCs w:val="21"/>
              </w:rPr>
              <w:t>5.触摸显示屏：电容式多点触摸屏，最大10点触摸，分辨率：1920 x 1080</w:t>
            </w:r>
          </w:p>
          <w:p>
            <w:pPr>
              <w:jc w:val="left"/>
              <w:rPr>
                <w:rFonts w:ascii="宋体" w:hAnsi="宋体" w:cs="宋体"/>
                <w:bCs/>
                <w:kern w:val="0"/>
                <w:szCs w:val="21"/>
              </w:rPr>
            </w:pPr>
            <w:r>
              <w:rPr>
                <w:rFonts w:hint="eastAsia" w:ascii="宋体" w:hAnsi="宋体" w:cs="宋体"/>
                <w:szCs w:val="21"/>
              </w:rPr>
              <w:t>工控电脑：I5 3317U 1.7GCPU，DDR3 4G ,1T HDD Windows 7</w:t>
            </w:r>
          </w:p>
        </w:tc>
        <w:tc>
          <w:tcPr>
            <w:tcW w:w="734" w:type="dxa"/>
            <w:vAlign w:val="center"/>
          </w:tcPr>
          <w:p>
            <w:pPr>
              <w:jc w:val="center"/>
              <w:rPr>
                <w:rFonts w:ascii="宋体" w:hAnsi="宋体" w:cs="宋体"/>
                <w:szCs w:val="21"/>
              </w:rPr>
            </w:pPr>
            <w:r>
              <w:rPr>
                <w:rFonts w:hint="eastAsia" w:ascii="宋体" w:hAnsi="宋体" w:cs="宋体"/>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4</w:t>
            </w:r>
          </w:p>
        </w:tc>
        <w:tc>
          <w:tcPr>
            <w:tcW w:w="1545" w:type="dxa"/>
            <w:vAlign w:val="center"/>
          </w:tcPr>
          <w:p>
            <w:pPr>
              <w:jc w:val="center"/>
              <w:rPr>
                <w:rFonts w:ascii="宋体" w:hAnsi="宋体" w:cs="宋体"/>
                <w:szCs w:val="21"/>
              </w:rPr>
            </w:pPr>
            <w:r>
              <w:rPr>
                <w:rFonts w:hint="eastAsia" w:ascii="宋体" w:hAnsi="宋体" w:cs="宋体"/>
                <w:szCs w:val="21"/>
              </w:rPr>
              <w:t>馆员工作站</w:t>
            </w:r>
          </w:p>
        </w:tc>
        <w:tc>
          <w:tcPr>
            <w:tcW w:w="7335" w:type="dxa"/>
            <w:vAlign w:val="center"/>
          </w:tcPr>
          <w:p>
            <w:pPr>
              <w:numPr>
                <w:ilvl w:val="0"/>
                <w:numId w:val="5"/>
              </w:numPr>
              <w:rPr>
                <w:rFonts w:ascii="宋体" w:hAnsi="宋体" w:cs="宋体"/>
                <w:szCs w:val="21"/>
              </w:rPr>
            </w:pPr>
            <w:r>
              <w:rPr>
                <w:rFonts w:hint="eastAsia" w:ascii="宋体" w:hAnsi="宋体" w:cs="宋体"/>
                <w:szCs w:val="21"/>
              </w:rPr>
              <w:t>功能要求</w:t>
            </w:r>
          </w:p>
          <w:p>
            <w:pPr>
              <w:pStyle w:val="54"/>
              <w:snapToGrid w:val="0"/>
              <w:ind w:firstLine="0" w:firstLineChars="0"/>
              <w:rPr>
                <w:rFonts w:ascii="宋体" w:hAnsi="宋体" w:cs="宋体"/>
                <w:szCs w:val="21"/>
              </w:rPr>
            </w:pPr>
            <w:r>
              <w:rPr>
                <w:rFonts w:hint="eastAsia" w:ascii="宋体" w:hAnsi="宋体" w:cs="宋体"/>
                <w:szCs w:val="21"/>
              </w:rPr>
              <w:t>1.须符合国际相关行业标准，如ISO18000-6C  标准。</w:t>
            </w:r>
          </w:p>
          <w:p>
            <w:pPr>
              <w:pStyle w:val="54"/>
              <w:snapToGrid w:val="0"/>
              <w:ind w:firstLine="0" w:firstLineChars="0"/>
              <w:rPr>
                <w:rFonts w:ascii="宋体" w:hAnsi="宋体" w:cs="宋体"/>
                <w:szCs w:val="21"/>
              </w:rPr>
            </w:pPr>
            <w:r>
              <w:rPr>
                <w:rFonts w:hint="eastAsia" w:ascii="宋体" w:hAnsi="宋体" w:cs="宋体"/>
                <w:szCs w:val="21"/>
              </w:rPr>
              <w:t>2.RFID阅读器、天线采用一体化设计，非散件方式，且轻便方便移动。</w:t>
            </w:r>
          </w:p>
          <w:p>
            <w:pPr>
              <w:pStyle w:val="54"/>
              <w:snapToGrid w:val="0"/>
              <w:ind w:firstLine="0" w:firstLineChars="0"/>
              <w:rPr>
                <w:rFonts w:ascii="宋体" w:hAnsi="宋体" w:cs="宋体"/>
                <w:szCs w:val="21"/>
              </w:rPr>
            </w:pPr>
            <w:r>
              <w:rPr>
                <w:rFonts w:hint="eastAsia" w:ascii="宋体" w:hAnsi="宋体" w:cs="宋体"/>
                <w:szCs w:val="21"/>
              </w:rPr>
              <w:t>3.通过标准串口或USB接口连接至计算机设备。</w:t>
            </w:r>
          </w:p>
          <w:p>
            <w:pPr>
              <w:pStyle w:val="54"/>
              <w:snapToGrid w:val="0"/>
              <w:ind w:firstLine="0" w:firstLineChars="0"/>
              <w:rPr>
                <w:rFonts w:ascii="宋体" w:hAnsi="宋体" w:cs="宋体"/>
                <w:szCs w:val="21"/>
              </w:rPr>
            </w:pPr>
            <w:r>
              <w:rPr>
                <w:rFonts w:hint="eastAsia" w:ascii="宋体" w:hAnsi="宋体" w:cs="宋体"/>
                <w:szCs w:val="21"/>
              </w:rPr>
              <w:t>4.可对RFID标签非接触式地进行阅读，可以将流通资料的相关信息快速写入标签。</w:t>
            </w:r>
          </w:p>
          <w:p>
            <w:pPr>
              <w:pStyle w:val="54"/>
              <w:snapToGrid w:val="0"/>
              <w:ind w:firstLine="0" w:firstLineChars="0"/>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.标签加工程序有准确的操作提示，若条码录入成功，能够显示录入的条码信息及预设信息，若录入失败，界面会显示录入失败提示。</w:t>
            </w:r>
          </w:p>
          <w:p>
            <w:pPr>
              <w:pStyle w:val="54"/>
              <w:snapToGrid w:val="0"/>
              <w:ind w:firstLine="0" w:firstLineChars="0"/>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.图书批量转换过程中，不需要按动鼠标或键盘操作RFID标签软件即可实现标签快速转换。</w:t>
            </w:r>
          </w:p>
          <w:p>
            <w:pPr>
              <w:pStyle w:val="54"/>
              <w:snapToGrid w:val="0"/>
              <w:ind w:firstLine="0" w:firstLineChars="0"/>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.具有RFID标签信息读取、写入功能，防盗位改写功能，可对条形码进行识别转换后，将条码号写入RFID标签。</w:t>
            </w:r>
          </w:p>
          <w:p>
            <w:pPr>
              <w:numPr>
                <w:ilvl w:val="0"/>
                <w:numId w:val="5"/>
              </w:numPr>
              <w:rPr>
                <w:rFonts w:ascii="宋体" w:hAnsi="宋体" w:cs="宋体"/>
                <w:color w:val="auto"/>
                <w:szCs w:val="21"/>
              </w:rPr>
            </w:pPr>
            <w:r>
              <w:rPr>
                <w:rFonts w:hint="eastAsia" w:ascii="宋体" w:hAnsi="宋体" w:cs="宋体"/>
                <w:color w:val="auto"/>
                <w:szCs w:val="21"/>
              </w:rPr>
              <w:t>技术要求</w:t>
            </w:r>
          </w:p>
          <w:p>
            <w:pPr>
              <w:pStyle w:val="54"/>
              <w:ind w:firstLine="0" w:firstLineChars="0"/>
              <w:jc w:val="left"/>
              <w:rPr>
                <w:rFonts w:ascii="宋体" w:hAnsi="宋体" w:cs="宋体"/>
                <w:bCs/>
                <w:color w:val="auto"/>
                <w:kern w:val="0"/>
                <w:szCs w:val="21"/>
              </w:rPr>
            </w:pPr>
            <w:r>
              <w:rPr>
                <w:rFonts w:hint="eastAsia" w:ascii="宋体" w:hAnsi="宋体" w:cs="宋体"/>
                <w:bCs/>
                <w:color w:val="auto"/>
                <w:kern w:val="0"/>
                <w:szCs w:val="21"/>
              </w:rPr>
              <w:t>1.工作频率/遵循标准：860-960MHz/ISO18000-6C  。</w:t>
            </w:r>
          </w:p>
          <w:p>
            <w:pPr>
              <w:pStyle w:val="54"/>
              <w:ind w:firstLine="0" w:firstLineChars="0"/>
              <w:jc w:val="left"/>
              <w:rPr>
                <w:rFonts w:ascii="宋体" w:hAnsi="宋体" w:cs="宋体"/>
                <w:bCs/>
                <w:color w:val="auto"/>
                <w:kern w:val="0"/>
                <w:szCs w:val="21"/>
              </w:rPr>
            </w:pPr>
            <w:r>
              <w:rPr>
                <w:rFonts w:hint="eastAsia" w:ascii="宋体" w:hAnsi="宋体" w:cs="宋体"/>
                <w:color w:val="auto"/>
                <w:szCs w:val="21"/>
              </w:rPr>
              <w:t>2.为考虑用户方使用习惯，所投产品</w:t>
            </w:r>
            <w:r>
              <w:rPr>
                <w:rFonts w:hint="eastAsia" w:ascii="宋体" w:hAnsi="宋体" w:cs="宋体"/>
                <w:bCs/>
                <w:color w:val="auto"/>
                <w:kern w:val="0"/>
                <w:szCs w:val="21"/>
              </w:rPr>
              <w:t>规格尺寸：≤430mm * 300mm * 32mm （长*宽*高）</w:t>
            </w:r>
          </w:p>
          <w:p>
            <w:pPr>
              <w:pStyle w:val="54"/>
              <w:ind w:firstLine="0" w:firstLineChars="0"/>
              <w:jc w:val="left"/>
              <w:rPr>
                <w:rFonts w:ascii="宋体" w:hAnsi="宋体" w:cs="宋体"/>
                <w:bCs/>
                <w:color w:val="auto"/>
                <w:kern w:val="0"/>
                <w:szCs w:val="21"/>
              </w:rPr>
            </w:pPr>
            <w:r>
              <w:rPr>
                <w:rFonts w:hint="eastAsia" w:ascii="宋体" w:hAnsi="宋体" w:cs="宋体"/>
                <w:bCs/>
                <w:color w:val="auto"/>
                <w:kern w:val="0"/>
                <w:szCs w:val="21"/>
              </w:rPr>
              <w:t xml:space="preserve">3.一体式馆员阅读器材质：铝合金和塑胶，表面 UV 喷漆或同等性能参数 </w:t>
            </w:r>
          </w:p>
          <w:p>
            <w:pPr>
              <w:numPr>
                <w:ilvl w:val="0"/>
                <w:numId w:val="5"/>
              </w:numPr>
              <w:rPr>
                <w:rFonts w:ascii="宋体" w:hAnsi="宋体" w:cs="宋体"/>
                <w:szCs w:val="21"/>
              </w:rPr>
            </w:pPr>
            <w:r>
              <w:rPr>
                <w:rFonts w:hint="eastAsia" w:ascii="宋体" w:hAnsi="宋体" w:cs="宋体"/>
                <w:szCs w:val="21"/>
              </w:rPr>
              <w:t>质量要求</w:t>
            </w:r>
          </w:p>
          <w:p>
            <w:pPr>
              <w:pStyle w:val="54"/>
              <w:ind w:firstLine="0" w:firstLineChars="0"/>
              <w:jc w:val="left"/>
              <w:rPr>
                <w:rFonts w:ascii="宋体" w:hAnsi="宋体" w:cs="宋体"/>
                <w:bCs/>
                <w:szCs w:val="21"/>
              </w:rPr>
            </w:pPr>
            <w:r>
              <w:rPr>
                <w:rFonts w:hint="eastAsia" w:ascii="宋体" w:hAnsi="宋体" w:cs="宋体"/>
                <w:bCs/>
                <w:kern w:val="0"/>
                <w:szCs w:val="21"/>
              </w:rPr>
              <w:t>所投设备防水、防尘等级须≥IP65，符合GB/T4208-2017外壳防护等级，且通过 IP 防护等级测试，具有相关检测报告，提供第三方检测机构出具的检测报告及认证证书</w:t>
            </w:r>
            <w:r>
              <w:rPr>
                <w:rFonts w:hint="eastAsia" w:ascii="宋体" w:hAnsi="宋体" w:cs="宋体"/>
                <w:bCs/>
                <w:szCs w:val="21"/>
              </w:rPr>
              <w:t>复印件加盖公章。</w:t>
            </w:r>
          </w:p>
          <w:p>
            <w:pPr>
              <w:numPr>
                <w:ilvl w:val="0"/>
                <w:numId w:val="5"/>
              </w:numPr>
              <w:rPr>
                <w:rFonts w:ascii="宋体" w:hAnsi="宋体" w:cs="宋体"/>
                <w:szCs w:val="21"/>
              </w:rPr>
            </w:pPr>
            <w:r>
              <w:rPr>
                <w:rFonts w:hint="eastAsia" w:ascii="宋体" w:hAnsi="宋体" w:cs="宋体"/>
                <w:szCs w:val="21"/>
              </w:rPr>
              <w:t>软件要求</w:t>
            </w:r>
          </w:p>
          <w:p>
            <w:pPr>
              <w:rPr>
                <w:rFonts w:ascii="宋体" w:hAnsi="宋体" w:cs="宋体"/>
                <w:b/>
                <w:bCs/>
                <w:szCs w:val="21"/>
              </w:rPr>
            </w:pPr>
            <w:r>
              <w:rPr>
                <w:rFonts w:hint="eastAsia" w:ascii="宋体" w:hAnsi="宋体" w:cs="宋体"/>
                <w:bCs/>
                <w:kern w:val="0"/>
                <w:szCs w:val="21"/>
              </w:rPr>
              <w:t>所投产品应用软件须保证系统兼容性良好，保障与行业主流厂家兼容对接。</w:t>
            </w:r>
          </w:p>
          <w:p>
            <w:pPr>
              <w:numPr>
                <w:ilvl w:val="0"/>
                <w:numId w:val="5"/>
              </w:numPr>
              <w:rPr>
                <w:rFonts w:ascii="宋体" w:hAnsi="宋体" w:cs="宋体"/>
                <w:szCs w:val="21"/>
              </w:rPr>
            </w:pPr>
            <w:r>
              <w:rPr>
                <w:rFonts w:hint="eastAsia" w:ascii="宋体" w:hAnsi="宋体" w:cs="宋体"/>
                <w:szCs w:val="21"/>
              </w:rPr>
              <w:t>服务要求</w:t>
            </w:r>
          </w:p>
          <w:p>
            <w:pPr>
              <w:rPr>
                <w:rFonts w:ascii="宋体" w:hAnsi="宋体" w:cs="宋体"/>
                <w:bCs/>
                <w:kern w:val="0"/>
                <w:szCs w:val="21"/>
              </w:rPr>
            </w:pPr>
            <w:r>
              <w:rPr>
                <w:rFonts w:hint="eastAsia" w:ascii="宋体" w:hAnsi="宋体" w:cs="宋体"/>
                <w:bCs/>
                <w:kern w:val="0"/>
                <w:szCs w:val="21"/>
              </w:rPr>
              <w:t>1.供应商须提供设备配套驱动程序文件、相关图书馆业务应用程序文件。</w:t>
            </w:r>
          </w:p>
          <w:p>
            <w:pPr>
              <w:rPr>
                <w:rFonts w:hint="eastAsia" w:ascii="宋体" w:hAnsi="宋体" w:cs="宋体"/>
                <w:bCs/>
                <w:kern w:val="0"/>
                <w:szCs w:val="21"/>
              </w:rPr>
            </w:pPr>
            <w:r>
              <w:rPr>
                <w:rFonts w:hint="eastAsia" w:ascii="宋体" w:hAnsi="宋体" w:cs="宋体"/>
                <w:bCs/>
                <w:kern w:val="0"/>
                <w:szCs w:val="21"/>
              </w:rPr>
              <w:t>★2.投标人或生产厂商须具备标准质量管理及安全环保生产的能力，并保证所投产品符合国家质量管理及环保要求，投标人或生产厂商须通过ISO9001质量管理体系认证、ISO14001环境管理体系认证、OHSMS18001职业健康安全管理体系认证，须提供相关证书复印件加盖投标人公章 。</w:t>
            </w:r>
          </w:p>
          <w:p>
            <w:pPr>
              <w:rPr>
                <w:rFonts w:hint="eastAsia" w:ascii="宋体" w:hAnsi="宋体" w:cs="宋体"/>
                <w:bCs/>
                <w:kern w:val="0"/>
                <w:szCs w:val="21"/>
              </w:rPr>
            </w:pPr>
            <w:r>
              <w:rPr>
                <w:rFonts w:hint="eastAsia" w:ascii="宋体" w:hAnsi="宋体" w:cs="宋体"/>
                <w:bCs/>
                <w:kern w:val="0"/>
                <w:szCs w:val="21"/>
              </w:rPr>
              <w:t>★3.投标人或生产厂商须具备完善标准的信息安全管理能力，保证所投产品的信息安全防护能力符合招标人的使用要求，投标人或生产厂商须通过ISO27001信息安全管理体系认证，须提供相关证书复印件加盖投标人公章 。</w:t>
            </w:r>
          </w:p>
          <w:p>
            <w:pPr>
              <w:rPr>
                <w:rFonts w:hint="eastAsia" w:ascii="宋体" w:hAnsi="宋体" w:cs="宋体"/>
                <w:bCs/>
                <w:kern w:val="0"/>
                <w:szCs w:val="21"/>
              </w:rPr>
            </w:pPr>
            <w:r>
              <w:rPr>
                <w:rFonts w:hint="eastAsia" w:ascii="宋体" w:hAnsi="宋体" w:cs="宋体"/>
                <w:bCs/>
                <w:kern w:val="0"/>
                <w:szCs w:val="21"/>
              </w:rPr>
              <w:t>★4.投标人或生产厂商须具备持续创新的软硬件、服务升级能力，并保障招标人所采购设备符合国家知识产权规定，投标人或生产厂商须具有知识产权管理体系认证证书并符合《GB/T29490-2013》标准，须提供复印件加盖投标人公章 。</w:t>
            </w:r>
          </w:p>
          <w:p>
            <w:pPr>
              <w:jc w:val="left"/>
              <w:rPr>
                <w:rFonts w:ascii="宋体" w:hAnsi="宋体" w:cs="宋体"/>
                <w:szCs w:val="21"/>
              </w:rPr>
            </w:pPr>
            <w:r>
              <w:rPr>
                <w:rFonts w:hint="eastAsia" w:ascii="宋体" w:hAnsi="宋体" w:cs="宋体"/>
                <w:bCs/>
                <w:kern w:val="0"/>
                <w:szCs w:val="21"/>
              </w:rPr>
              <w:t>★5.所投产品如非投标人生产，投标人须提供所投产品原厂制造商针对本项目的售后服务承诺函加盖公章。</w:t>
            </w:r>
          </w:p>
        </w:tc>
        <w:tc>
          <w:tcPr>
            <w:tcW w:w="734" w:type="dxa"/>
            <w:vAlign w:val="center"/>
          </w:tcPr>
          <w:p>
            <w:pPr>
              <w:jc w:val="center"/>
              <w:rPr>
                <w:rFonts w:ascii="宋体" w:hAnsi="宋体" w:cs="宋体"/>
                <w:szCs w:val="21"/>
              </w:rPr>
            </w:pPr>
            <w:r>
              <w:rPr>
                <w:rFonts w:hint="eastAsia" w:ascii="宋体" w:hAnsi="宋体" w:cs="宋体"/>
                <w:szCs w:val="21"/>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5</w:t>
            </w:r>
          </w:p>
        </w:tc>
        <w:tc>
          <w:tcPr>
            <w:tcW w:w="1545" w:type="dxa"/>
            <w:vAlign w:val="center"/>
          </w:tcPr>
          <w:p>
            <w:pPr>
              <w:jc w:val="center"/>
              <w:rPr>
                <w:rFonts w:ascii="宋体" w:hAnsi="宋体" w:cs="宋体"/>
                <w:szCs w:val="21"/>
              </w:rPr>
            </w:pPr>
            <w:r>
              <w:rPr>
                <w:rFonts w:hint="eastAsia" w:ascii="宋体" w:hAnsi="宋体" w:cs="宋体"/>
                <w:szCs w:val="21"/>
              </w:rPr>
              <w:t>移动图书馆</w:t>
            </w:r>
          </w:p>
        </w:tc>
        <w:tc>
          <w:tcPr>
            <w:tcW w:w="7335" w:type="dxa"/>
            <w:vAlign w:val="center"/>
          </w:tcPr>
          <w:p>
            <w:pPr>
              <w:rPr>
                <w:rFonts w:ascii="宋体" w:hAnsi="宋体" w:cs="宋体"/>
                <w:bCs/>
                <w:kern w:val="0"/>
                <w:szCs w:val="21"/>
              </w:rPr>
            </w:pPr>
            <w:r>
              <w:rPr>
                <w:rFonts w:hint="eastAsia" w:ascii="宋体" w:hAnsi="宋体" w:cs="宋体"/>
                <w:bCs/>
                <w:kern w:val="0"/>
                <w:szCs w:val="21"/>
              </w:rPr>
              <w:t>1.支持Android、IOS手机及移动客户端。</w:t>
            </w:r>
          </w:p>
          <w:p>
            <w:pPr>
              <w:rPr>
                <w:rFonts w:ascii="宋体" w:hAnsi="宋体" w:cs="宋体"/>
                <w:bCs/>
                <w:kern w:val="0"/>
                <w:szCs w:val="21"/>
              </w:rPr>
            </w:pPr>
            <w:r>
              <w:rPr>
                <w:rFonts w:hint="eastAsia" w:ascii="宋体" w:hAnsi="宋体" w:cs="宋体"/>
                <w:bCs/>
                <w:kern w:val="0"/>
                <w:szCs w:val="21"/>
              </w:rPr>
              <w:t>2.书目检索导航。多个词语搜索精确查询等多种查询方法，一个检索框，三个检索点（题名、责任者、ISBN），百万数据，毫秒检到。定位到某种书后显示基本书目信息，馆藏地址，外借信息。</w:t>
            </w:r>
          </w:p>
          <w:p>
            <w:pPr>
              <w:rPr>
                <w:rFonts w:ascii="宋体" w:hAnsi="宋体" w:cs="宋体"/>
                <w:bCs/>
                <w:kern w:val="0"/>
                <w:szCs w:val="21"/>
              </w:rPr>
            </w:pPr>
            <w:r>
              <w:rPr>
                <w:rFonts w:hint="eastAsia" w:ascii="宋体" w:hAnsi="宋体" w:cs="宋体"/>
                <w:bCs/>
                <w:kern w:val="0"/>
                <w:szCs w:val="21"/>
              </w:rPr>
              <w:t>3.分类检索。中图法标准分类检索。</w:t>
            </w:r>
          </w:p>
          <w:p>
            <w:pPr>
              <w:rPr>
                <w:rFonts w:ascii="宋体" w:hAnsi="宋体" w:cs="宋体"/>
                <w:bCs/>
                <w:kern w:val="0"/>
                <w:szCs w:val="21"/>
              </w:rPr>
            </w:pPr>
            <w:r>
              <w:rPr>
                <w:rFonts w:hint="eastAsia" w:ascii="宋体" w:hAnsi="宋体" w:cs="宋体"/>
                <w:bCs/>
                <w:kern w:val="0"/>
                <w:szCs w:val="21"/>
                <w:lang w:val="en-US" w:eastAsia="zh-CN"/>
              </w:rPr>
              <w:t>4</w:t>
            </w:r>
            <w:r>
              <w:rPr>
                <w:rFonts w:hint="eastAsia" w:ascii="宋体" w:hAnsi="宋体" w:cs="宋体"/>
                <w:bCs/>
                <w:kern w:val="0"/>
                <w:szCs w:val="21"/>
              </w:rPr>
              <w:t>.情报检索，期刊篇目，参考咨询等功能导航。</w:t>
            </w:r>
          </w:p>
          <w:p>
            <w:pPr>
              <w:rPr>
                <w:rFonts w:ascii="宋体" w:hAnsi="宋体" w:cs="宋体"/>
                <w:bCs/>
                <w:kern w:val="0"/>
                <w:szCs w:val="21"/>
              </w:rPr>
            </w:pPr>
            <w:r>
              <w:rPr>
                <w:rFonts w:hint="eastAsia" w:ascii="宋体" w:hAnsi="宋体" w:cs="宋体"/>
                <w:bCs/>
                <w:kern w:val="0"/>
                <w:szCs w:val="21"/>
                <w:lang w:val="en-US" w:eastAsia="zh-CN"/>
              </w:rPr>
              <w:t>5</w:t>
            </w:r>
            <w:r>
              <w:rPr>
                <w:rFonts w:hint="eastAsia" w:ascii="宋体" w:hAnsi="宋体" w:cs="宋体"/>
                <w:bCs/>
                <w:kern w:val="0"/>
                <w:szCs w:val="21"/>
              </w:rPr>
              <w:t>.读者证件号码登录后，系统自动判断读者输入信息。显示读者基本信息，显示读者当前借阅信息，可对当前借阅图书续借。可对自己感兴趣的书刊进行推荐。当读者证到期需要验证时系统自动发出验证通知，当读者证丢失时，读者可以通过手机发送特定信息进行挂失，读者可以修改登录密码。</w:t>
            </w:r>
          </w:p>
          <w:p>
            <w:pPr>
              <w:rPr>
                <w:rFonts w:ascii="宋体" w:hAnsi="宋体" w:cs="宋体"/>
                <w:bCs/>
                <w:kern w:val="0"/>
                <w:szCs w:val="21"/>
              </w:rPr>
            </w:pPr>
            <w:r>
              <w:rPr>
                <w:rFonts w:hint="eastAsia" w:ascii="宋体" w:hAnsi="宋体" w:cs="宋体"/>
                <w:bCs/>
                <w:kern w:val="0"/>
                <w:szCs w:val="21"/>
                <w:lang w:val="en-US" w:eastAsia="zh-CN"/>
              </w:rPr>
              <w:t>6</w:t>
            </w:r>
            <w:r>
              <w:rPr>
                <w:rFonts w:hint="eastAsia" w:ascii="宋体" w:hAnsi="宋体" w:cs="宋体"/>
                <w:bCs/>
                <w:kern w:val="0"/>
                <w:szCs w:val="21"/>
              </w:rPr>
              <w:t>.支持手机二维码的应用。</w:t>
            </w:r>
          </w:p>
          <w:p>
            <w:pPr>
              <w:rPr>
                <w:rFonts w:ascii="宋体" w:hAnsi="宋体" w:cs="宋体"/>
                <w:bCs/>
                <w:kern w:val="0"/>
                <w:szCs w:val="21"/>
              </w:rPr>
            </w:pPr>
            <w:r>
              <w:rPr>
                <w:rFonts w:hint="eastAsia" w:ascii="宋体" w:hAnsi="宋体" w:cs="宋体"/>
                <w:bCs/>
                <w:kern w:val="0"/>
                <w:szCs w:val="21"/>
                <w:lang w:val="en-US" w:eastAsia="zh-CN"/>
              </w:rPr>
              <w:t>7</w:t>
            </w:r>
            <w:r>
              <w:rPr>
                <w:rFonts w:hint="eastAsia" w:ascii="宋体" w:hAnsi="宋体" w:cs="宋体"/>
                <w:bCs/>
                <w:kern w:val="0"/>
                <w:szCs w:val="21"/>
              </w:rPr>
              <w:t>.手机图书馆系统须与图书馆集成管理软件互联互通，无缝对接，能实时共享图书馆集成管理系统的数据。</w:t>
            </w:r>
          </w:p>
        </w:tc>
        <w:tc>
          <w:tcPr>
            <w:tcW w:w="734" w:type="dxa"/>
            <w:vAlign w:val="center"/>
          </w:tcPr>
          <w:p>
            <w:pPr>
              <w:jc w:val="center"/>
              <w:rPr>
                <w:rFonts w:ascii="宋体" w:hAnsi="宋体" w:cs="宋体"/>
                <w:szCs w:val="21"/>
              </w:rPr>
            </w:pPr>
            <w:r>
              <w:rPr>
                <w:rFonts w:hint="eastAsia" w:ascii="宋体" w:hAnsi="宋体" w:cs="宋体"/>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6</w:t>
            </w:r>
          </w:p>
        </w:tc>
        <w:tc>
          <w:tcPr>
            <w:tcW w:w="1545" w:type="dxa"/>
            <w:vAlign w:val="center"/>
          </w:tcPr>
          <w:p>
            <w:pPr>
              <w:jc w:val="center"/>
              <w:rPr>
                <w:rFonts w:ascii="宋体" w:hAnsi="宋体" w:cs="宋体"/>
                <w:szCs w:val="21"/>
              </w:rPr>
            </w:pPr>
            <w:r>
              <w:rPr>
                <w:rFonts w:hint="eastAsia" w:ascii="宋体" w:hAnsi="宋体" w:cs="宋体"/>
                <w:szCs w:val="21"/>
              </w:rPr>
              <w:t>智能黑板</w:t>
            </w:r>
          </w:p>
        </w:tc>
        <w:tc>
          <w:tcPr>
            <w:tcW w:w="7335" w:type="dxa"/>
            <w:vAlign w:val="center"/>
          </w:tcPr>
          <w:p>
            <w:pPr>
              <w:pStyle w:val="54"/>
              <w:ind w:firstLine="0" w:firstLineChars="0"/>
              <w:rPr>
                <w:rFonts w:ascii="宋体" w:hAnsi="宋体" w:cs="宋体"/>
                <w:color w:val="000000"/>
                <w:kern w:val="0"/>
                <w:szCs w:val="21"/>
              </w:rPr>
            </w:pPr>
            <w:r>
              <w:rPr>
                <w:rFonts w:hint="eastAsia" w:ascii="宋体" w:hAnsi="宋体" w:cs="宋体"/>
                <w:color w:val="000000"/>
                <w:kern w:val="0"/>
                <w:szCs w:val="21"/>
              </w:rPr>
              <w:t>1.UHD液晶屏体：A规屏，显示尺寸≥86英寸；物理分辨率：3840×2160可无损播放4K片源；屏体亮度≥470cd/ M2，最大可视角度≥178度；交互平板屏体色彩覆盖率不低于120%，最高灰阶 256 灰阶zzh</w:t>
            </w:r>
          </w:p>
          <w:p>
            <w:pPr>
              <w:pStyle w:val="54"/>
              <w:ind w:firstLine="0" w:firstLineChars="0"/>
              <w:rPr>
                <w:rFonts w:ascii="宋体" w:hAnsi="宋体" w:cs="宋体"/>
                <w:color w:val="000000"/>
                <w:kern w:val="0"/>
                <w:szCs w:val="21"/>
              </w:rPr>
            </w:pPr>
            <w:r>
              <w:rPr>
                <w:rFonts w:hint="eastAsia" w:ascii="宋体" w:hAnsi="宋体" w:cs="宋体"/>
                <w:color w:val="000000"/>
                <w:kern w:val="0"/>
                <w:szCs w:val="21"/>
              </w:rPr>
              <w:t>2.交互平板采用金属材质，屏幕采用防眩光钢化玻璃保护，厚度≤3.2mm，雾度≤8%；交互平板表面玻璃采用高强度钢化玻璃，硬度可达莫氏7级，高于石墨1-9H硬度。</w:t>
            </w:r>
          </w:p>
          <w:p>
            <w:pPr>
              <w:pStyle w:val="54"/>
              <w:ind w:firstLine="0" w:firstLineChars="0"/>
              <w:rPr>
                <w:rFonts w:ascii="宋体" w:hAnsi="宋体" w:cs="宋体"/>
                <w:color w:val="000000"/>
                <w:kern w:val="0"/>
                <w:szCs w:val="21"/>
              </w:rPr>
            </w:pPr>
            <w:r>
              <w:rPr>
                <w:rFonts w:hint="eastAsia" w:ascii="宋体" w:hAnsi="宋体" w:cs="宋体"/>
                <w:color w:val="000000"/>
                <w:kern w:val="0"/>
                <w:szCs w:val="21"/>
              </w:rPr>
              <w:t>3.红外触控技术，在双系统下均支持不少于20点触控及同时书写，；触摸高度≤2mm；最小识别直径≤2mm，书写延迟速度≤15ms；</w:t>
            </w:r>
          </w:p>
          <w:p>
            <w:pPr>
              <w:pStyle w:val="54"/>
              <w:ind w:firstLine="0" w:firstLineChars="0"/>
              <w:rPr>
                <w:rFonts w:ascii="宋体" w:hAnsi="宋体" w:cs="宋体"/>
                <w:color w:val="000000"/>
                <w:kern w:val="0"/>
                <w:szCs w:val="21"/>
              </w:rPr>
            </w:pPr>
            <w:r>
              <w:rPr>
                <w:rFonts w:hint="eastAsia" w:ascii="宋体" w:hAnsi="宋体" w:cs="宋体"/>
                <w:color w:val="000000"/>
                <w:kern w:val="0"/>
                <w:szCs w:val="21"/>
              </w:rPr>
              <w:t>4.交互平板具备抗强光干扰，在≥400K LUX照度的光照下保证书写功能正常</w:t>
            </w:r>
          </w:p>
          <w:p>
            <w:pPr>
              <w:pStyle w:val="54"/>
              <w:ind w:firstLine="0" w:firstLineChars="0"/>
              <w:rPr>
                <w:rFonts w:ascii="宋体" w:hAnsi="宋体" w:cs="宋体"/>
                <w:color w:val="000000"/>
                <w:kern w:val="0"/>
                <w:szCs w:val="21"/>
              </w:rPr>
            </w:pPr>
            <w:r>
              <w:rPr>
                <w:rFonts w:hint="eastAsia" w:ascii="宋体" w:hAnsi="宋体" w:cs="宋体"/>
                <w:color w:val="000000"/>
                <w:kern w:val="0"/>
                <w:szCs w:val="21"/>
              </w:rPr>
              <w:t>5.交互平板可在通电关机状态下通过交互平板进行扩音,及提供网络无线热点，供教师设备连接使用；</w:t>
            </w:r>
          </w:p>
          <w:p>
            <w:pPr>
              <w:pStyle w:val="54"/>
              <w:ind w:firstLine="0" w:firstLineChars="0"/>
              <w:rPr>
                <w:rFonts w:ascii="宋体" w:hAnsi="宋体" w:cs="宋体"/>
                <w:color w:val="000000"/>
                <w:kern w:val="0"/>
                <w:szCs w:val="21"/>
              </w:rPr>
            </w:pPr>
            <w:r>
              <w:rPr>
                <w:rFonts w:hint="eastAsia" w:ascii="宋体" w:hAnsi="宋体" w:cs="宋体"/>
                <w:color w:val="000000"/>
                <w:kern w:val="0"/>
                <w:szCs w:val="21"/>
              </w:rPr>
              <w:t>6.整机内置具有无线网络与蓝牙模块，PC 模块无任何外接或转接天线、网卡可实现 Wi-Fi 无线上网连接。Wi-Fi 均支持频2.4GHz/5GHz ，满足 IEEE802.11a\b\g\n\ac标准。</w:t>
            </w:r>
          </w:p>
          <w:p>
            <w:pPr>
              <w:pStyle w:val="54"/>
              <w:ind w:firstLine="0" w:firstLineChars="0"/>
              <w:rPr>
                <w:rFonts w:ascii="宋体" w:hAnsi="宋体" w:cs="宋体"/>
                <w:color w:val="000000"/>
                <w:kern w:val="0"/>
                <w:szCs w:val="21"/>
              </w:rPr>
            </w:pPr>
            <w:r>
              <w:rPr>
                <w:rFonts w:hint="eastAsia" w:ascii="宋体" w:hAnsi="宋体" w:cs="宋体"/>
                <w:color w:val="000000"/>
                <w:kern w:val="0"/>
                <w:szCs w:val="21"/>
                <w:lang w:val="en-US" w:eastAsia="zh-CN"/>
              </w:rPr>
              <w:t>7</w:t>
            </w:r>
            <w:r>
              <w:rPr>
                <w:rFonts w:hint="eastAsia" w:ascii="宋体" w:hAnsi="宋体" w:cs="宋体"/>
                <w:color w:val="000000"/>
                <w:kern w:val="0"/>
                <w:szCs w:val="21"/>
              </w:rPr>
              <w:t>.交互平板具有一体化高清摄像头，像素不低于1200万，水平视角 120°；拾音单元有效保真拾音距离可达12米，全结构无外部连线与屏体齐平；高清摄像头模组支持远程巡课系统，使用摄像头单元可实现远程巡课，并可对接人脸识别软件进行使用并可对接人脸识别软件进行使用如点名、点数、互动游戏等功能</w:t>
            </w:r>
          </w:p>
          <w:p>
            <w:pPr>
              <w:pStyle w:val="54"/>
              <w:ind w:firstLine="0" w:firstLineChars="0"/>
              <w:rPr>
                <w:rFonts w:ascii="宋体" w:hAnsi="宋体" w:cs="宋体"/>
                <w:color w:val="000000"/>
                <w:kern w:val="0"/>
                <w:szCs w:val="21"/>
              </w:rPr>
            </w:pPr>
            <w:r>
              <w:rPr>
                <w:rFonts w:hint="eastAsia" w:ascii="宋体" w:hAnsi="宋体" w:cs="宋体"/>
                <w:color w:val="000000"/>
                <w:kern w:val="0"/>
                <w:szCs w:val="21"/>
                <w:lang w:val="en-US" w:eastAsia="zh-CN"/>
              </w:rPr>
              <w:t>8</w:t>
            </w:r>
            <w:r>
              <w:rPr>
                <w:rFonts w:hint="eastAsia" w:ascii="宋体" w:hAnsi="宋体" w:cs="宋体"/>
                <w:color w:val="000000"/>
                <w:kern w:val="0"/>
                <w:szCs w:val="21"/>
              </w:rPr>
              <w:t xml:space="preserve">.内置安卓辅助系统，采用四核CPU， ROM不小于8G, RAM不小于2G, 安卓系统版本不低于8.0； </w:t>
            </w:r>
          </w:p>
          <w:p>
            <w:pPr>
              <w:pStyle w:val="54"/>
              <w:spacing w:line="240" w:lineRule="exact"/>
              <w:ind w:firstLine="0" w:firstLineChars="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9</w:t>
            </w:r>
            <w:r>
              <w:rPr>
                <w:rFonts w:hint="eastAsia" w:ascii="宋体" w:hAnsi="宋体" w:cs="宋体"/>
                <w:color w:val="000000" w:themeColor="text1"/>
                <w:kern w:val="0"/>
                <w:szCs w:val="21"/>
                <w14:textFill>
                  <w14:solidFill>
                    <w14:schemeClr w14:val="tx1"/>
                  </w14:solidFill>
                </w14:textFill>
              </w:rPr>
              <w:t xml:space="preserve">.CPU采用Intel第9代及以上平台处理器酷睿I5处理器；内存：≥8G DDR4；硬盘：≥256G SSD固态硬盘； </w:t>
            </w:r>
          </w:p>
          <w:p>
            <w:pPr>
              <w:pStyle w:val="54"/>
              <w:ind w:firstLine="0" w:firstLineChars="0"/>
              <w:rPr>
                <w:rFonts w:ascii="宋体" w:hAnsi="宋体" w:cs="宋体"/>
                <w:color w:val="000000"/>
                <w:kern w:val="0"/>
                <w:szCs w:val="21"/>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kern w:val="0"/>
                <w:szCs w:val="21"/>
              </w:rPr>
              <w:t>3.接口：整机非外扩展具备5个USB接口；具有独立非外扩展的视频输出接口：≥1路HDMI ；≥1路DP等；</w:t>
            </w:r>
          </w:p>
          <w:p>
            <w:pPr>
              <w:pStyle w:val="54"/>
              <w:ind w:firstLine="0" w:firstLineChars="0"/>
              <w:rPr>
                <w:rFonts w:ascii="宋体" w:hAnsi="宋体" w:cs="宋体"/>
                <w:color w:val="000000"/>
                <w:kern w:val="0"/>
                <w:szCs w:val="21"/>
              </w:rPr>
            </w:pPr>
            <w:r>
              <w:rPr>
                <w:rFonts w:hint="eastAsia" w:ascii="宋体" w:hAnsi="宋体" w:cs="宋体"/>
                <w:color w:val="000000"/>
                <w:kern w:val="0"/>
                <w:szCs w:val="21"/>
                <w:lang w:val="en-US" w:eastAsia="zh-CN"/>
              </w:rPr>
              <w:t>10</w:t>
            </w:r>
            <w:r>
              <w:rPr>
                <w:rFonts w:hint="eastAsia" w:ascii="宋体" w:hAnsi="宋体" w:cs="宋体"/>
                <w:color w:val="000000"/>
                <w:kern w:val="0"/>
                <w:szCs w:val="21"/>
              </w:rPr>
              <w:t>.标配正版办公软件与办公系统</w:t>
            </w:r>
          </w:p>
          <w:p>
            <w:pPr>
              <w:pStyle w:val="54"/>
              <w:ind w:firstLine="0" w:firstLineChars="0"/>
              <w:rPr>
                <w:rFonts w:ascii="宋体" w:hAnsi="宋体" w:cs="宋体"/>
                <w:color w:val="000000"/>
                <w:kern w:val="0"/>
                <w:szCs w:val="21"/>
              </w:rPr>
            </w:pPr>
            <w:r>
              <w:rPr>
                <w:rFonts w:hint="eastAsia" w:ascii="宋体" w:hAnsi="宋体" w:cs="宋体"/>
                <w:color w:val="000000"/>
                <w:kern w:val="0"/>
                <w:szCs w:val="21"/>
                <w:lang w:val="en-US" w:eastAsia="zh-CN"/>
              </w:rPr>
              <w:t>11</w:t>
            </w:r>
            <w:r>
              <w:rPr>
                <w:rFonts w:hint="eastAsia" w:ascii="宋体" w:hAnsi="宋体" w:cs="宋体"/>
                <w:color w:val="000000"/>
                <w:kern w:val="0"/>
                <w:szCs w:val="21"/>
              </w:rPr>
              <w:t>.无线传屏器</w:t>
            </w:r>
          </w:p>
          <w:p>
            <w:pPr>
              <w:pStyle w:val="54"/>
              <w:ind w:firstLine="0" w:firstLineChars="0"/>
              <w:rPr>
                <w:rFonts w:ascii="宋体" w:hAnsi="宋体" w:cs="宋体"/>
                <w:color w:val="000000"/>
                <w:kern w:val="0"/>
                <w:szCs w:val="21"/>
              </w:rPr>
            </w:pPr>
            <w:r>
              <w:rPr>
                <w:rFonts w:hint="eastAsia" w:ascii="宋体" w:hAnsi="宋体" w:cs="宋体"/>
                <w:color w:val="000000"/>
                <w:kern w:val="0"/>
                <w:szCs w:val="21"/>
              </w:rPr>
              <w:t>（1）外置电脑无需连接网络，无需安装程序；传屏器usb按钮插入会议平板接收端usb口，会自动检测版本是否匹配，不匹配会自动升级usb按钮；插入外置电脑usb即可传屏，无需路由器，无需设置网络，即插即用，单usb接口设计，无需额外供电线及其他端口，兼容Windows 7/8/10,以及苹果Mac，传屏不占用外置电脑wifi，外置电脑仍可以上网</w:t>
            </w:r>
          </w:p>
          <w:p>
            <w:pPr>
              <w:pStyle w:val="54"/>
              <w:ind w:firstLine="0" w:firstLineChars="0"/>
              <w:rPr>
                <w:rFonts w:ascii="宋体" w:hAnsi="宋体" w:cs="宋体"/>
                <w:bCs/>
                <w:kern w:val="0"/>
                <w:szCs w:val="21"/>
              </w:rPr>
            </w:pPr>
            <w:r>
              <w:rPr>
                <w:rFonts w:hint="eastAsia" w:ascii="宋体" w:hAnsi="宋体" w:cs="宋体"/>
                <w:color w:val="000000"/>
                <w:kern w:val="0"/>
                <w:szCs w:val="21"/>
              </w:rPr>
              <w:t xml:space="preserve">（2）5.8G wifi传输信道，最低传输延迟小于120ms，支持1080P分辨率音视频镜像传屏，默认1080P HDMI输出，支持4K输出 </w:t>
            </w:r>
          </w:p>
        </w:tc>
        <w:tc>
          <w:tcPr>
            <w:tcW w:w="734" w:type="dxa"/>
            <w:vAlign w:val="center"/>
          </w:tcPr>
          <w:p>
            <w:pPr>
              <w:jc w:val="center"/>
              <w:rPr>
                <w:rFonts w:ascii="宋体" w:hAnsi="宋体" w:cs="宋体"/>
                <w:szCs w:val="21"/>
              </w:rPr>
            </w:pPr>
            <w:r>
              <w:rPr>
                <w:rFonts w:hint="eastAsia" w:ascii="宋体" w:hAnsi="宋体" w:cs="宋体"/>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7</w:t>
            </w:r>
          </w:p>
        </w:tc>
        <w:tc>
          <w:tcPr>
            <w:tcW w:w="1545" w:type="dxa"/>
            <w:vAlign w:val="center"/>
          </w:tcPr>
          <w:p>
            <w:pPr>
              <w:jc w:val="center"/>
              <w:rPr>
                <w:rFonts w:ascii="宋体" w:hAnsi="宋体" w:cs="宋体"/>
                <w:szCs w:val="21"/>
              </w:rPr>
            </w:pPr>
            <w:r>
              <w:rPr>
                <w:rFonts w:hint="eastAsia" w:ascii="宋体" w:hAnsi="宋体" w:cs="宋体"/>
                <w:szCs w:val="21"/>
              </w:rPr>
              <w:t>RFID系统管理软件</w:t>
            </w:r>
          </w:p>
        </w:tc>
        <w:tc>
          <w:tcPr>
            <w:tcW w:w="7335" w:type="dxa"/>
            <w:vAlign w:val="center"/>
          </w:tcPr>
          <w:p>
            <w:pPr>
              <w:rPr>
                <w:rFonts w:ascii="宋体" w:hAnsi="宋体" w:cs="宋体"/>
                <w:color w:val="auto"/>
                <w:szCs w:val="21"/>
              </w:rPr>
            </w:pPr>
            <w:r>
              <w:rPr>
                <w:rFonts w:hint="eastAsia" w:ascii="宋体" w:hAnsi="宋体" w:cs="宋体"/>
                <w:color w:val="auto"/>
                <w:szCs w:val="21"/>
              </w:rPr>
              <w:t>1.软件采用扁平化的简洁界面，以竖屏为主；</w:t>
            </w:r>
          </w:p>
          <w:p>
            <w:pPr>
              <w:rPr>
                <w:rFonts w:ascii="宋体" w:hAnsi="宋体" w:cs="宋体"/>
                <w:color w:val="auto"/>
                <w:szCs w:val="21"/>
              </w:rPr>
            </w:pPr>
            <w:r>
              <w:rPr>
                <w:rFonts w:hint="eastAsia" w:ascii="宋体" w:hAnsi="宋体" w:cs="宋体"/>
                <w:color w:val="auto"/>
                <w:szCs w:val="21"/>
              </w:rPr>
              <w:t>2.软件系统充分支持下列设备基础功能：</w:t>
            </w:r>
          </w:p>
          <w:p>
            <w:pPr>
              <w:rPr>
                <w:rFonts w:ascii="宋体" w:hAnsi="宋体" w:cs="宋体"/>
                <w:color w:val="auto"/>
                <w:szCs w:val="21"/>
              </w:rPr>
            </w:pPr>
            <w:r>
              <w:rPr>
                <w:rFonts w:hint="eastAsia" w:ascii="宋体" w:hAnsi="宋体" w:cs="宋体"/>
                <w:color w:val="auto"/>
                <w:szCs w:val="21"/>
              </w:rPr>
              <w:t xml:space="preserve">   借还书机：借还、续借、查询等；</w:t>
            </w:r>
          </w:p>
          <w:p>
            <w:pPr>
              <w:rPr>
                <w:rFonts w:ascii="宋体" w:hAnsi="宋体" w:cs="宋体"/>
                <w:color w:val="auto"/>
                <w:szCs w:val="21"/>
              </w:rPr>
            </w:pPr>
            <w:r>
              <w:rPr>
                <w:rFonts w:hint="eastAsia" w:ascii="宋体" w:hAnsi="宋体" w:cs="宋体"/>
                <w:color w:val="auto"/>
                <w:szCs w:val="21"/>
              </w:rPr>
              <w:t xml:space="preserve">   馆员工作站：借还、续借、查询等；</w:t>
            </w:r>
          </w:p>
          <w:p>
            <w:pPr>
              <w:rPr>
                <w:rFonts w:ascii="宋体" w:hAnsi="宋体" w:cs="宋体"/>
                <w:color w:val="auto"/>
                <w:szCs w:val="21"/>
              </w:rPr>
            </w:pPr>
            <w:r>
              <w:rPr>
                <w:rFonts w:hint="eastAsia" w:ascii="宋体" w:hAnsi="宋体" w:cs="宋体"/>
                <w:color w:val="auto"/>
                <w:szCs w:val="21"/>
              </w:rPr>
              <w:t xml:space="preserve">   盘点车：点检车下架、剔除、顺架、查找、采集等；</w:t>
            </w:r>
          </w:p>
          <w:p>
            <w:pPr>
              <w:rPr>
                <w:rFonts w:ascii="宋体" w:hAnsi="宋体" w:cs="宋体"/>
                <w:color w:val="auto"/>
                <w:szCs w:val="21"/>
              </w:rPr>
            </w:pPr>
            <w:r>
              <w:rPr>
                <w:rFonts w:hint="eastAsia" w:ascii="宋体" w:hAnsi="宋体" w:cs="宋体"/>
                <w:color w:val="auto"/>
                <w:szCs w:val="21"/>
              </w:rPr>
              <w:t>3.软件系统具有ILS/LMS接口SIP2 / NCIP，可支持与图书馆管理系统无缝对接，支持后期与学校建设的智慧校园管理平台（国内一线、主流的智慧校园管理平台）对接；</w:t>
            </w:r>
          </w:p>
          <w:p>
            <w:pPr>
              <w:rPr>
                <w:rFonts w:ascii="宋体" w:hAnsi="宋体" w:cs="宋体"/>
                <w:color w:val="auto"/>
                <w:szCs w:val="21"/>
              </w:rPr>
            </w:pPr>
            <w:r>
              <w:rPr>
                <w:rFonts w:hint="eastAsia" w:ascii="宋体" w:hAnsi="宋体" w:cs="宋体"/>
                <w:color w:val="auto"/>
                <w:szCs w:val="21"/>
              </w:rPr>
              <w:t>4.软件系统须具有自助服务扩展功能，二维码登录、微信支付、支付宝支付等功能；</w:t>
            </w:r>
          </w:p>
          <w:p>
            <w:pPr>
              <w:rPr>
                <w:rFonts w:ascii="宋体" w:hAnsi="宋体" w:cs="宋体"/>
                <w:color w:val="auto"/>
                <w:szCs w:val="21"/>
              </w:rPr>
            </w:pPr>
            <w:r>
              <w:rPr>
                <w:rFonts w:hint="eastAsia" w:ascii="宋体" w:hAnsi="宋体" w:cs="宋体"/>
                <w:color w:val="auto"/>
                <w:szCs w:val="21"/>
              </w:rPr>
              <w:t>5.软件系统标准配置中英文语言，可选配多种语言；</w:t>
            </w:r>
          </w:p>
          <w:p>
            <w:pPr>
              <w:widowControl/>
              <w:jc w:val="left"/>
              <w:rPr>
                <w:rFonts w:ascii="宋体" w:hAnsi="宋体" w:cs="宋体"/>
                <w:b/>
                <w:bCs/>
                <w:color w:val="auto"/>
                <w:szCs w:val="21"/>
              </w:rPr>
            </w:pPr>
            <w:r>
              <w:rPr>
                <w:rFonts w:hint="eastAsia" w:ascii="宋体" w:hAnsi="宋体" w:cs="宋体"/>
                <w:color w:val="auto"/>
                <w:szCs w:val="21"/>
              </w:rPr>
              <w:t>6.管理软件需包含三维定位管理软件：</w:t>
            </w:r>
          </w:p>
          <w:p>
            <w:pPr>
              <w:widowControl/>
              <w:jc w:val="left"/>
              <w:rPr>
                <w:rFonts w:ascii="宋体" w:hAnsi="宋体" w:cs="宋体"/>
                <w:color w:val="auto"/>
                <w:szCs w:val="21"/>
              </w:rPr>
            </w:pPr>
            <w:r>
              <w:rPr>
                <w:rFonts w:hint="eastAsia" w:ascii="宋体" w:hAnsi="宋体" w:cs="宋体"/>
                <w:color w:val="auto"/>
                <w:szCs w:val="21"/>
              </w:rPr>
              <w:t xml:space="preserve">6.1.后台软件需要覆盖已有RFID 数据区域的馆藏位置，在描绘三维图时需要完成指定区域的馆藏位置绘图。 </w:t>
            </w:r>
          </w:p>
          <w:p>
            <w:pPr>
              <w:widowControl/>
              <w:jc w:val="left"/>
              <w:rPr>
                <w:rFonts w:ascii="宋体" w:hAnsi="宋体" w:cs="宋体"/>
                <w:color w:val="auto"/>
                <w:szCs w:val="21"/>
              </w:rPr>
            </w:pPr>
            <w:r>
              <w:rPr>
                <w:rFonts w:hint="eastAsia" w:ascii="宋体" w:hAnsi="宋体" w:cs="宋体"/>
                <w:color w:val="auto"/>
                <w:szCs w:val="21"/>
              </w:rPr>
              <w:t>6.2.三维导航软件能够嵌入到图书馆现有的OPAC 查询系统，在读者检索图示信息时，提供导航指引连接。</w:t>
            </w:r>
          </w:p>
          <w:p>
            <w:pPr>
              <w:widowControl/>
              <w:jc w:val="left"/>
              <w:rPr>
                <w:rFonts w:ascii="宋体" w:hAnsi="宋体" w:cs="宋体"/>
                <w:color w:val="auto"/>
                <w:szCs w:val="21"/>
              </w:rPr>
            </w:pPr>
            <w:r>
              <w:rPr>
                <w:rFonts w:hint="eastAsia" w:ascii="宋体" w:hAnsi="宋体" w:cs="宋体"/>
                <w:color w:val="auto"/>
                <w:szCs w:val="21"/>
              </w:rPr>
              <w:t>6.3.导航内容至少包括文献所在书架的区域位置、书架位置、具体所在书架的层标信息。</w:t>
            </w:r>
          </w:p>
          <w:p>
            <w:pPr>
              <w:widowControl/>
              <w:jc w:val="left"/>
              <w:rPr>
                <w:rFonts w:ascii="宋体" w:hAnsi="宋体" w:cs="宋体"/>
                <w:color w:val="auto"/>
                <w:szCs w:val="21"/>
              </w:rPr>
            </w:pPr>
            <w:r>
              <w:rPr>
                <w:rFonts w:hint="eastAsia" w:ascii="宋体" w:hAnsi="宋体" w:cs="宋体"/>
                <w:color w:val="auto"/>
                <w:szCs w:val="21"/>
              </w:rPr>
              <w:t>6.4.系统提供接口，与图书馆移动盘点设备的数据上传软件对接。</w:t>
            </w:r>
          </w:p>
          <w:p>
            <w:pPr>
              <w:rPr>
                <w:rFonts w:ascii="宋体" w:hAnsi="宋体" w:cs="宋体"/>
                <w:bCs/>
                <w:kern w:val="0"/>
                <w:szCs w:val="21"/>
              </w:rPr>
            </w:pPr>
            <w:r>
              <w:rPr>
                <w:rFonts w:hint="eastAsia" w:ascii="宋体" w:hAnsi="宋体" w:cs="宋体"/>
                <w:color w:val="auto"/>
                <w:szCs w:val="21"/>
              </w:rPr>
              <w:t>6.5.以3D 技术形式详细显示每个单册所在层架位，方便读者和工作人员在任何OPAC 查询终端，及时找到单册位置并显示导航线路图。</w:t>
            </w:r>
          </w:p>
        </w:tc>
        <w:tc>
          <w:tcPr>
            <w:tcW w:w="734" w:type="dxa"/>
            <w:vAlign w:val="center"/>
          </w:tcPr>
          <w:p>
            <w:pPr>
              <w:jc w:val="center"/>
              <w:rPr>
                <w:rFonts w:ascii="宋体" w:hAnsi="宋体" w:cs="宋体"/>
                <w:szCs w:val="21"/>
              </w:rPr>
            </w:pPr>
            <w:r>
              <w:rPr>
                <w:rFonts w:hint="eastAsia" w:ascii="宋体" w:hAnsi="宋体" w:cs="宋体"/>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8</w:t>
            </w:r>
          </w:p>
        </w:tc>
        <w:tc>
          <w:tcPr>
            <w:tcW w:w="1545" w:type="dxa"/>
            <w:vAlign w:val="center"/>
          </w:tcPr>
          <w:p>
            <w:pPr>
              <w:jc w:val="center"/>
              <w:rPr>
                <w:rFonts w:ascii="宋体" w:hAnsi="宋体" w:cs="宋体"/>
                <w:szCs w:val="21"/>
              </w:rPr>
            </w:pPr>
            <w:r>
              <w:rPr>
                <w:rFonts w:hint="eastAsia" w:ascii="宋体" w:hAnsi="宋体" w:cs="宋体"/>
                <w:szCs w:val="21"/>
              </w:rPr>
              <w:t>RFID系统软件接口</w:t>
            </w:r>
          </w:p>
        </w:tc>
        <w:tc>
          <w:tcPr>
            <w:tcW w:w="7335" w:type="dxa"/>
            <w:vAlign w:val="center"/>
          </w:tcPr>
          <w:p>
            <w:pPr>
              <w:rPr>
                <w:rFonts w:ascii="宋体" w:hAnsi="宋体" w:cs="宋体"/>
                <w:szCs w:val="21"/>
              </w:rPr>
            </w:pPr>
            <w:r>
              <w:rPr>
                <w:rFonts w:hint="eastAsia" w:cs="宋体"/>
                <w:kern w:val="0"/>
                <w:szCs w:val="21"/>
              </w:rPr>
              <w:t>一</w:t>
            </w:r>
            <w:r>
              <w:rPr>
                <w:rFonts w:hint="eastAsia" w:ascii="宋体" w:hAnsi="宋体" w:cs="宋体"/>
                <w:szCs w:val="21"/>
              </w:rPr>
              <w:t>、功能要求</w:t>
            </w:r>
          </w:p>
          <w:p>
            <w:pPr>
              <w:rPr>
                <w:rFonts w:ascii="宋体" w:hAnsi="宋体" w:cs="宋体"/>
                <w:szCs w:val="21"/>
              </w:rPr>
            </w:pPr>
            <w:r>
              <w:rPr>
                <w:rFonts w:hint="eastAsia" w:ascii="宋体" w:hAnsi="宋体" w:cs="宋体"/>
                <w:szCs w:val="21"/>
              </w:rPr>
              <w:t>1.RFID前端系统中，凡是与系统直接通讯时，都必须采用通用的网络通讯接口和协议。</w:t>
            </w:r>
          </w:p>
          <w:p>
            <w:pPr>
              <w:rPr>
                <w:rFonts w:ascii="宋体" w:hAnsi="宋体" w:cs="宋体"/>
                <w:szCs w:val="21"/>
              </w:rPr>
            </w:pPr>
            <w:r>
              <w:rPr>
                <w:rFonts w:hint="eastAsia" w:ascii="宋体" w:hAnsi="宋体" w:cs="宋体"/>
                <w:szCs w:val="21"/>
              </w:rPr>
              <w:t xml:space="preserve">2.RFID前端系统中，凡是不直接与系统直接通讯时，各种设备的硬件接口要采用标准的串口、USB接口等。 </w:t>
            </w:r>
          </w:p>
          <w:p>
            <w:pPr>
              <w:rPr>
                <w:rFonts w:ascii="宋体" w:hAnsi="宋体" w:cs="宋体"/>
                <w:szCs w:val="21"/>
              </w:rPr>
            </w:pPr>
            <w:r>
              <w:rPr>
                <w:rFonts w:hint="eastAsia" w:ascii="宋体" w:hAnsi="宋体" w:cs="宋体"/>
                <w:szCs w:val="21"/>
              </w:rPr>
              <w:t xml:space="preserve">3.RFID系统在和图书系统进行数据通讯时，要遵守图书馆数据应用的规定，确保数据库数据的安全、准确。 </w:t>
            </w:r>
          </w:p>
          <w:p>
            <w:pPr>
              <w:rPr>
                <w:rFonts w:ascii="宋体" w:hAnsi="宋体" w:cs="宋体"/>
                <w:szCs w:val="21"/>
              </w:rPr>
            </w:pPr>
            <w:r>
              <w:rPr>
                <w:rFonts w:hint="eastAsia" w:ascii="宋体" w:hAnsi="宋体" w:cs="宋体"/>
                <w:szCs w:val="21"/>
              </w:rPr>
              <w:t>4、通过网络连接方式进行数据交换。能兼容图书馆业内相关数据协议和计算机网络协议。</w:t>
            </w:r>
          </w:p>
          <w:p>
            <w:pPr>
              <w:rPr>
                <w:rFonts w:ascii="宋体" w:hAnsi="宋体" w:cs="宋体"/>
                <w:szCs w:val="21"/>
              </w:rPr>
            </w:pPr>
            <w:r>
              <w:rPr>
                <w:rFonts w:hint="eastAsia" w:ascii="宋体" w:hAnsi="宋体" w:cs="宋体"/>
                <w:szCs w:val="21"/>
              </w:rPr>
              <w:t>二、技术要求</w:t>
            </w:r>
          </w:p>
          <w:p>
            <w:pPr>
              <w:rPr>
                <w:rFonts w:ascii="宋体" w:hAnsi="宋体" w:cs="宋体"/>
                <w:szCs w:val="21"/>
              </w:rPr>
            </w:pPr>
            <w:r>
              <w:rPr>
                <w:rFonts w:hint="eastAsia" w:ascii="宋体" w:hAnsi="宋体" w:cs="宋体"/>
                <w:szCs w:val="21"/>
              </w:rPr>
              <w:t xml:space="preserve">1.RFID应用服务器和系统接口：支持SIP2/NCIP协议，支持图书馆自动化管理系统，可以与现有市场上主流的图书馆管理系统进行连接；提供负载均衡工作方式，系统未来可扩容。 </w:t>
            </w:r>
          </w:p>
          <w:p>
            <w:pPr>
              <w:rPr>
                <w:rFonts w:ascii="宋体" w:hAnsi="宋体" w:cs="宋体"/>
                <w:szCs w:val="21"/>
              </w:rPr>
            </w:pPr>
            <w:r>
              <w:rPr>
                <w:rFonts w:hint="eastAsia" w:ascii="宋体" w:hAnsi="宋体" w:cs="宋体"/>
                <w:szCs w:val="21"/>
              </w:rPr>
              <w:t xml:space="preserve">2.要求该软件系统以面向网络化、标准化、数字化、为基本设计思想，具有完备的系统功能、友好的用户界面、灵活的参数设置，并遵循各类标准协议。 </w:t>
            </w:r>
          </w:p>
          <w:p>
            <w:pPr>
              <w:rPr>
                <w:rFonts w:ascii="宋体" w:hAnsi="宋体" w:cs="宋体"/>
                <w:szCs w:val="21"/>
              </w:rPr>
            </w:pPr>
            <w:r>
              <w:rPr>
                <w:rFonts w:hint="eastAsia" w:ascii="宋体" w:hAnsi="宋体" w:cs="宋体"/>
                <w:szCs w:val="21"/>
              </w:rPr>
              <w:t>3.实现读者和工作人员对文献信息的检索和文献查询。</w:t>
            </w:r>
          </w:p>
        </w:tc>
        <w:tc>
          <w:tcPr>
            <w:tcW w:w="734" w:type="dxa"/>
            <w:vAlign w:val="center"/>
          </w:tcPr>
          <w:p>
            <w:pPr>
              <w:jc w:val="center"/>
              <w:rPr>
                <w:rFonts w:ascii="宋体" w:hAnsi="宋体" w:cs="宋体"/>
                <w:szCs w:val="21"/>
              </w:rPr>
            </w:pPr>
            <w:r>
              <w:rPr>
                <w:rFonts w:hint="eastAsia" w:ascii="宋体" w:hAnsi="宋体" w:cs="宋体"/>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9</w:t>
            </w:r>
          </w:p>
        </w:tc>
        <w:tc>
          <w:tcPr>
            <w:tcW w:w="1545" w:type="dxa"/>
            <w:vAlign w:val="center"/>
          </w:tcPr>
          <w:p>
            <w:pPr>
              <w:jc w:val="center"/>
              <w:rPr>
                <w:rFonts w:ascii="宋体" w:hAnsi="宋体" w:cs="宋体"/>
                <w:szCs w:val="21"/>
              </w:rPr>
            </w:pPr>
            <w:r>
              <w:rPr>
                <w:rFonts w:hint="eastAsia" w:ascii="宋体" w:hAnsi="宋体" w:cs="宋体"/>
                <w:szCs w:val="21"/>
              </w:rPr>
              <w:t>扫码枪</w:t>
            </w:r>
          </w:p>
        </w:tc>
        <w:tc>
          <w:tcPr>
            <w:tcW w:w="7335" w:type="dxa"/>
            <w:vAlign w:val="center"/>
          </w:tcPr>
          <w:p>
            <w:pPr>
              <w:jc w:val="left"/>
              <w:rPr>
                <w:rFonts w:ascii="宋体" w:hAnsi="宋体" w:cs="宋体"/>
                <w:kern w:val="0"/>
                <w:szCs w:val="21"/>
              </w:rPr>
            </w:pPr>
            <w:r>
              <w:rPr>
                <w:rFonts w:hint="eastAsia" w:ascii="宋体" w:hAnsi="宋体"/>
                <w:szCs w:val="21"/>
              </w:rPr>
              <w:t>材质：ABS、TBU，扫描原理：镭射激光，接收范围：约100米（空旷区域），抗震能力：通过1.2m跌落测试，持续使用时间≥10小时。支持解码种类：AIM-128、Code11、Code39、Code93、Code128、Codebar、Deutsche12、Deutsche14、EAN-8、EAN-13、GS1-RSS14、GS1-RSSLimitedlndustrial、Interleaved2 of5、ISSN、ISBN、RSS-Expand、UPC-E、UPC-A等</w:t>
            </w:r>
          </w:p>
        </w:tc>
        <w:tc>
          <w:tcPr>
            <w:tcW w:w="734" w:type="dxa"/>
            <w:vAlign w:val="center"/>
          </w:tcPr>
          <w:p>
            <w:pPr>
              <w:jc w:val="center"/>
              <w:rPr>
                <w:rFonts w:ascii="宋体" w:hAnsi="宋体" w:cs="宋体"/>
                <w:szCs w:val="21"/>
              </w:rPr>
            </w:pPr>
            <w:r>
              <w:rPr>
                <w:rFonts w:hint="eastAsia" w:ascii="宋体" w:hAnsi="宋体" w:cs="宋体"/>
                <w:szCs w:val="21"/>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10</w:t>
            </w:r>
          </w:p>
        </w:tc>
        <w:tc>
          <w:tcPr>
            <w:tcW w:w="1545" w:type="dxa"/>
            <w:vAlign w:val="center"/>
          </w:tcPr>
          <w:p>
            <w:pPr>
              <w:jc w:val="center"/>
              <w:rPr>
                <w:rFonts w:ascii="宋体" w:hAnsi="宋体" w:cs="宋体"/>
                <w:szCs w:val="21"/>
              </w:rPr>
            </w:pPr>
            <w:r>
              <w:rPr>
                <w:rFonts w:hint="eastAsia" w:ascii="宋体" w:hAnsi="宋体" w:cs="宋体"/>
                <w:szCs w:val="21"/>
              </w:rPr>
              <w:t>朗读亭</w:t>
            </w:r>
          </w:p>
        </w:tc>
        <w:tc>
          <w:tcPr>
            <w:tcW w:w="7335" w:type="dxa"/>
            <w:vAlign w:val="center"/>
          </w:tcPr>
          <w:p>
            <w:pPr>
              <w:rPr>
                <w:rFonts w:ascii="宋体" w:hAnsi="宋体"/>
                <w:szCs w:val="21"/>
              </w:rPr>
            </w:pPr>
            <w:r>
              <w:rPr>
                <w:rFonts w:hint="eastAsia" w:ascii="宋体" w:hAnsi="宋体"/>
                <w:szCs w:val="21"/>
                <w:lang w:val="en-US" w:eastAsia="zh-CN"/>
              </w:rPr>
              <w:t>一、</w:t>
            </w:r>
            <w:r>
              <w:rPr>
                <w:rFonts w:hint="eastAsia" w:ascii="宋体" w:hAnsi="宋体"/>
                <w:szCs w:val="21"/>
              </w:rPr>
              <w:t>整体硬件</w:t>
            </w:r>
          </w:p>
          <w:p>
            <w:pPr>
              <w:rPr>
                <w:rFonts w:ascii="宋体" w:hAnsi="宋体"/>
                <w:szCs w:val="21"/>
                <w:lang w:val="zh-CN"/>
              </w:rPr>
            </w:pPr>
            <w:r>
              <w:rPr>
                <w:rFonts w:hint="eastAsia" w:ascii="宋体" w:hAnsi="宋体"/>
                <w:szCs w:val="21"/>
                <w:lang w:val="zh-CN"/>
              </w:rPr>
              <w:t>1.整机组成：</w:t>
            </w:r>
          </w:p>
          <w:p>
            <w:pPr>
              <w:rPr>
                <w:rFonts w:ascii="宋体" w:hAnsi="宋体"/>
                <w:szCs w:val="21"/>
                <w:lang w:val="zh-CN"/>
              </w:rPr>
            </w:pPr>
            <w:r>
              <w:rPr>
                <w:rFonts w:hint="eastAsia" w:ascii="宋体" w:hAnsi="宋体"/>
                <w:szCs w:val="21"/>
                <w:lang w:val="zh-CN"/>
              </w:rPr>
              <w:t>设备主体：标准朗读亭框体1 个(含灯光、玻璃、钣金框体、</w:t>
            </w:r>
            <w:r>
              <w:rPr>
                <w:rFonts w:hint="eastAsia" w:ascii="宋体" w:hAnsi="宋体"/>
                <w:szCs w:val="21"/>
              </w:rPr>
              <w:t>监控系统</w:t>
            </w:r>
            <w:r>
              <w:rPr>
                <w:rFonts w:hint="eastAsia" w:ascii="宋体" w:hAnsi="宋体"/>
                <w:szCs w:val="21"/>
                <w:lang w:val="zh-CN"/>
              </w:rPr>
              <w:t>)；</w:t>
            </w:r>
          </w:p>
          <w:p>
            <w:pPr>
              <w:rPr>
                <w:rFonts w:ascii="宋体" w:hAnsi="宋体"/>
                <w:szCs w:val="21"/>
                <w:lang w:val="zh-CN"/>
              </w:rPr>
            </w:pPr>
            <w:r>
              <w:rPr>
                <w:rFonts w:hint="eastAsia" w:ascii="宋体" w:hAnsi="宋体"/>
                <w:szCs w:val="21"/>
                <w:lang w:val="zh-CN"/>
              </w:rPr>
              <w:t>功能主件：触摸点播系统（屏）1 个；影像字幕显示屏1 个； 主控机1 个（含安卓主板、音频主板等）；</w:t>
            </w:r>
          </w:p>
          <w:p>
            <w:pPr>
              <w:rPr>
                <w:rFonts w:ascii="宋体" w:hAnsi="宋体"/>
                <w:szCs w:val="21"/>
                <w:lang w:val="zh-CN"/>
              </w:rPr>
            </w:pPr>
            <w:r>
              <w:rPr>
                <w:rFonts w:hint="eastAsia" w:ascii="宋体" w:hAnsi="宋体"/>
                <w:szCs w:val="21"/>
                <w:lang w:val="zh-CN"/>
              </w:rPr>
              <w:t>设备附件：专业动圈麦克风2 个；专业耳机2 个；实用可调节座椅2 个；</w:t>
            </w:r>
          </w:p>
          <w:p>
            <w:pPr>
              <w:rPr>
                <w:rFonts w:ascii="宋体" w:hAnsi="宋体"/>
                <w:szCs w:val="21"/>
                <w:lang w:val="zh-CN"/>
              </w:rPr>
            </w:pPr>
            <w:r>
              <w:rPr>
                <w:rFonts w:hint="eastAsia" w:ascii="宋体" w:hAnsi="宋体"/>
                <w:szCs w:val="21"/>
                <w:lang w:val="zh-CN"/>
              </w:rPr>
              <w:t>专业动圈麦克</w:t>
            </w:r>
            <w:r>
              <w:rPr>
                <w:rFonts w:hint="eastAsia" w:ascii="宋体" w:hAnsi="宋体"/>
                <w:szCs w:val="21"/>
              </w:rPr>
              <w:t>风</w:t>
            </w:r>
            <w:r>
              <w:rPr>
                <w:rFonts w:hint="eastAsia" w:ascii="宋体" w:hAnsi="宋体"/>
                <w:szCs w:val="21"/>
                <w:lang w:val="zh-CN"/>
              </w:rPr>
              <w:t>：高灵敏度动圈咪芯，频率响应：60Hz-18kHz，阻抗: 600Ω±30%，灵敏度：-50dB±3dB；</w:t>
            </w:r>
          </w:p>
          <w:p>
            <w:pPr>
              <w:rPr>
                <w:rFonts w:hint="eastAsia" w:ascii="宋体" w:hAnsi="宋体"/>
                <w:szCs w:val="21"/>
              </w:rPr>
            </w:pPr>
            <w:r>
              <w:rPr>
                <w:rFonts w:hint="eastAsia" w:ascii="宋体" w:hAnsi="宋体"/>
                <w:szCs w:val="21"/>
                <w:lang w:val="zh-CN"/>
              </w:rPr>
              <w:t>专业耳机：</w:t>
            </w:r>
            <w:r>
              <w:rPr>
                <w:rFonts w:hint="eastAsia" w:ascii="宋体" w:hAnsi="宋体"/>
                <w:szCs w:val="21"/>
              </w:rPr>
              <w:t>半开放式专业监听耳机，中频清晰，增强细节的调整，具备良好的中频分析性，灵敏度≥98dB/mW，阻抗≥32Ω，频率响应：10-30000Hz；</w:t>
            </w:r>
          </w:p>
          <w:p>
            <w:pPr>
              <w:rPr>
                <w:rFonts w:ascii="宋体" w:hAnsi="宋体"/>
                <w:szCs w:val="21"/>
                <w:lang w:val="zh-CN"/>
              </w:rPr>
            </w:pPr>
            <w:r>
              <w:rPr>
                <w:rFonts w:hint="eastAsia" w:ascii="宋体" w:hAnsi="宋体"/>
                <w:szCs w:val="21"/>
              </w:rPr>
              <w:t>全仓</w:t>
            </w:r>
            <w:r>
              <w:rPr>
                <w:rFonts w:hint="eastAsia" w:ascii="宋体" w:hAnsi="宋体"/>
                <w:szCs w:val="21"/>
                <w:lang w:val="zh-CN"/>
              </w:rPr>
              <w:t>紫外线杀菌，提供一</w:t>
            </w:r>
            <w:r>
              <w:rPr>
                <w:rFonts w:hint="eastAsia" w:ascii="宋体" w:hAnsi="宋体"/>
                <w:szCs w:val="21"/>
              </w:rPr>
              <w:t>个</w:t>
            </w:r>
            <w:r>
              <w:rPr>
                <w:rFonts w:hint="eastAsia" w:ascii="宋体" w:hAnsi="宋体"/>
                <w:szCs w:val="21"/>
                <w:lang w:val="zh-CN"/>
              </w:rPr>
              <w:t>健康安全的朗读</w:t>
            </w:r>
            <w:r>
              <w:rPr>
                <w:rFonts w:hint="eastAsia" w:ascii="宋体" w:hAnsi="宋体"/>
                <w:szCs w:val="21"/>
              </w:rPr>
              <w:t>空间</w:t>
            </w:r>
            <w:r>
              <w:rPr>
                <w:rFonts w:hint="eastAsia" w:ascii="宋体" w:hAnsi="宋体"/>
                <w:szCs w:val="21"/>
                <w:lang w:val="zh-CN"/>
              </w:rPr>
              <w:t>；</w:t>
            </w:r>
          </w:p>
          <w:p>
            <w:pPr>
              <w:rPr>
                <w:rFonts w:ascii="宋体" w:hAnsi="宋体"/>
                <w:szCs w:val="21"/>
              </w:rPr>
            </w:pPr>
            <w:r>
              <w:rPr>
                <w:rFonts w:hint="eastAsia" w:ascii="宋体" w:hAnsi="宋体"/>
                <w:szCs w:val="21"/>
                <w:lang w:val="zh-CN"/>
              </w:rPr>
              <w:t>柔和暖色灯光，对人眼无刺激，保护读者视力健康；</w:t>
            </w:r>
          </w:p>
          <w:p>
            <w:pPr>
              <w:rPr>
                <w:rFonts w:ascii="宋体" w:hAnsi="宋体"/>
                <w:szCs w:val="21"/>
                <w:lang w:val="zh-CN"/>
              </w:rPr>
            </w:pPr>
            <w:r>
              <w:rPr>
                <w:rFonts w:hint="eastAsia" w:ascii="宋体" w:hAnsi="宋体"/>
                <w:szCs w:val="21"/>
                <w:lang w:val="zh-CN"/>
              </w:rPr>
              <w:t>定时器：可以设置自动开关机，无需人工干预；</w:t>
            </w:r>
          </w:p>
          <w:p>
            <w:pPr>
              <w:rPr>
                <w:rFonts w:ascii="宋体" w:hAnsi="宋体"/>
                <w:szCs w:val="21"/>
              </w:rPr>
            </w:pPr>
            <w:r>
              <w:rPr>
                <w:rFonts w:hint="eastAsia" w:ascii="宋体" w:hAnsi="宋体"/>
                <w:szCs w:val="21"/>
              </w:rPr>
              <w:t>门禁：手动开门</w:t>
            </w:r>
          </w:p>
          <w:p>
            <w:pPr>
              <w:rPr>
                <w:rFonts w:ascii="宋体" w:hAnsi="宋体"/>
                <w:szCs w:val="21"/>
                <w:lang w:val="zh-CN"/>
              </w:rPr>
            </w:pPr>
            <w:r>
              <w:rPr>
                <w:rFonts w:hint="eastAsia" w:ascii="宋体" w:hAnsi="宋体"/>
                <w:szCs w:val="21"/>
                <w:lang w:val="zh-CN"/>
              </w:rPr>
              <w:t>2.规格尺寸</w:t>
            </w:r>
          </w:p>
          <w:p>
            <w:pPr>
              <w:rPr>
                <w:rFonts w:ascii="宋体" w:hAnsi="宋体"/>
                <w:szCs w:val="21"/>
                <w:lang w:val="zh-CN"/>
              </w:rPr>
            </w:pPr>
            <w:r>
              <w:rPr>
                <w:rFonts w:hint="eastAsia" w:ascii="宋体" w:hAnsi="宋体"/>
                <w:szCs w:val="21"/>
              </w:rPr>
              <w:t>1）</w:t>
            </w:r>
            <w:r>
              <w:rPr>
                <w:rFonts w:hint="eastAsia" w:ascii="宋体" w:hAnsi="宋体"/>
                <w:szCs w:val="21"/>
                <w:lang w:val="zh-CN"/>
              </w:rPr>
              <w:t>产品尺寸: 长（L）≥1.</w:t>
            </w:r>
            <w:r>
              <w:rPr>
                <w:rFonts w:ascii="宋体" w:hAnsi="宋体"/>
                <w:szCs w:val="21"/>
              </w:rPr>
              <w:t>5</w:t>
            </w:r>
            <w:r>
              <w:rPr>
                <w:rFonts w:hint="eastAsia" w:ascii="宋体" w:hAnsi="宋体"/>
                <w:szCs w:val="21"/>
              </w:rPr>
              <w:t>4</w:t>
            </w:r>
            <w:r>
              <w:rPr>
                <w:rFonts w:hint="eastAsia" w:ascii="宋体" w:hAnsi="宋体"/>
                <w:szCs w:val="21"/>
                <w:lang w:val="zh-CN"/>
              </w:rPr>
              <w:t xml:space="preserve"> X 宽（W）≥1.</w:t>
            </w:r>
            <w:r>
              <w:rPr>
                <w:rFonts w:ascii="宋体" w:hAnsi="宋体"/>
                <w:szCs w:val="21"/>
              </w:rPr>
              <w:t>5</w:t>
            </w:r>
            <w:r>
              <w:rPr>
                <w:rFonts w:hint="eastAsia" w:ascii="宋体" w:hAnsi="宋体"/>
                <w:szCs w:val="21"/>
              </w:rPr>
              <w:t>4</w:t>
            </w:r>
            <w:r>
              <w:rPr>
                <w:rFonts w:hint="eastAsia" w:ascii="宋体" w:hAnsi="宋体"/>
                <w:szCs w:val="21"/>
                <w:lang w:val="zh-CN"/>
              </w:rPr>
              <w:t xml:space="preserve"> X 高（H）≥2.</w:t>
            </w:r>
            <w:r>
              <w:rPr>
                <w:rFonts w:ascii="宋体" w:hAnsi="宋体"/>
                <w:szCs w:val="21"/>
              </w:rPr>
              <w:t>6</w:t>
            </w:r>
            <w:r>
              <w:rPr>
                <w:rFonts w:hint="eastAsia" w:ascii="宋体" w:hAnsi="宋体"/>
                <w:szCs w:val="21"/>
              </w:rPr>
              <w:t>0</w:t>
            </w:r>
            <w:r>
              <w:rPr>
                <w:rFonts w:hint="eastAsia" w:ascii="宋体" w:hAnsi="宋体"/>
                <w:szCs w:val="21"/>
                <w:lang w:val="zh-CN"/>
              </w:rPr>
              <w:t xml:space="preserve"> [m] </w:t>
            </w:r>
          </w:p>
          <w:p>
            <w:pPr>
              <w:rPr>
                <w:rFonts w:ascii="宋体" w:hAnsi="宋体"/>
                <w:szCs w:val="21"/>
                <w:lang w:val="zh-CN"/>
              </w:rPr>
            </w:pPr>
            <w:r>
              <w:rPr>
                <w:rFonts w:hint="eastAsia" w:ascii="宋体" w:hAnsi="宋体"/>
                <w:szCs w:val="21"/>
              </w:rPr>
              <w:t>2）</w:t>
            </w:r>
            <w:r>
              <w:rPr>
                <w:rFonts w:hint="eastAsia" w:ascii="宋体" w:hAnsi="宋体"/>
                <w:szCs w:val="21"/>
                <w:lang w:val="zh-CN"/>
              </w:rPr>
              <w:t>额定电源：AC220V  50HZ</w:t>
            </w:r>
          </w:p>
          <w:p>
            <w:pPr>
              <w:rPr>
                <w:rFonts w:ascii="宋体" w:hAnsi="宋体"/>
                <w:szCs w:val="21"/>
                <w:lang w:val="zh-CN"/>
              </w:rPr>
            </w:pPr>
            <w:r>
              <w:rPr>
                <w:rFonts w:hint="eastAsia" w:ascii="宋体" w:hAnsi="宋体"/>
                <w:szCs w:val="21"/>
              </w:rPr>
              <w:t>3）</w:t>
            </w:r>
            <w:r>
              <w:rPr>
                <w:rFonts w:hint="eastAsia" w:ascii="宋体" w:hAnsi="宋体"/>
                <w:szCs w:val="21"/>
                <w:lang w:val="zh-CN"/>
              </w:rPr>
              <w:t>额定功率：整机≥1</w:t>
            </w:r>
            <w:r>
              <w:rPr>
                <w:rFonts w:hint="eastAsia" w:ascii="宋体" w:hAnsi="宋体"/>
                <w:szCs w:val="21"/>
              </w:rPr>
              <w:t>2</w:t>
            </w:r>
            <w:r>
              <w:rPr>
                <w:rFonts w:hint="eastAsia" w:ascii="宋体" w:hAnsi="宋体"/>
                <w:szCs w:val="21"/>
                <w:lang w:val="zh-CN"/>
              </w:rPr>
              <w:t>00W；</w:t>
            </w:r>
          </w:p>
          <w:p>
            <w:pPr>
              <w:rPr>
                <w:rFonts w:ascii="宋体" w:hAnsi="宋体"/>
                <w:szCs w:val="21"/>
                <w:lang w:val="zh-CN"/>
              </w:rPr>
            </w:pPr>
            <w:r>
              <w:rPr>
                <w:rFonts w:hint="eastAsia" w:ascii="宋体" w:hAnsi="宋体"/>
                <w:szCs w:val="21"/>
              </w:rPr>
              <w:t>4）</w:t>
            </w:r>
            <w:r>
              <w:rPr>
                <w:rFonts w:hint="eastAsia" w:ascii="宋体" w:hAnsi="宋体"/>
                <w:szCs w:val="21"/>
                <w:lang w:val="zh-CN"/>
              </w:rPr>
              <w:t>显示部分：主显示器≥32寸，分辨率≥1920*1080；触摸屏≥21.5寸，分辨率≥1920*1080</w:t>
            </w:r>
          </w:p>
          <w:p>
            <w:pPr>
              <w:rPr>
                <w:rFonts w:ascii="宋体" w:hAnsi="宋体"/>
                <w:szCs w:val="21"/>
                <w:lang w:val="zh-CN"/>
              </w:rPr>
            </w:pPr>
            <w:r>
              <w:rPr>
                <w:rFonts w:hint="eastAsia" w:ascii="宋体" w:hAnsi="宋体"/>
                <w:szCs w:val="21"/>
              </w:rPr>
              <w:t>5）</w:t>
            </w:r>
            <w:r>
              <w:rPr>
                <w:rFonts w:hint="eastAsia" w:ascii="宋体" w:hAnsi="宋体"/>
                <w:szCs w:val="21"/>
                <w:lang w:val="zh-CN"/>
              </w:rPr>
              <w:t>网络：支持无线 和有线</w:t>
            </w:r>
          </w:p>
          <w:p>
            <w:pPr>
              <w:rPr>
                <w:rFonts w:ascii="宋体" w:hAnsi="宋体"/>
                <w:szCs w:val="21"/>
              </w:rPr>
            </w:pPr>
            <w:r>
              <w:rPr>
                <w:rFonts w:hint="eastAsia" w:ascii="宋体" w:hAnsi="宋体"/>
                <w:szCs w:val="21"/>
                <w:lang w:val="en-US" w:eastAsia="zh-CN"/>
              </w:rPr>
              <w:t>二、</w:t>
            </w:r>
            <w:r>
              <w:rPr>
                <w:rFonts w:hint="eastAsia" w:ascii="宋体" w:hAnsi="宋体"/>
                <w:szCs w:val="21"/>
              </w:rPr>
              <w:t>朗读亭APP软件功能</w:t>
            </w:r>
          </w:p>
          <w:p>
            <w:pPr>
              <w:rPr>
                <w:rFonts w:ascii="宋体" w:hAnsi="宋体"/>
                <w:szCs w:val="21"/>
              </w:rPr>
            </w:pPr>
            <w:r>
              <w:rPr>
                <w:rFonts w:ascii="宋体" w:hAnsi="宋体"/>
                <w:szCs w:val="21"/>
              </w:rPr>
              <w:t>1</w:t>
            </w:r>
            <w:r>
              <w:rPr>
                <w:rFonts w:hint="eastAsia" w:ascii="宋体" w:hAnsi="宋体"/>
                <w:szCs w:val="21"/>
              </w:rPr>
              <w:t>.作品打分：</w:t>
            </w:r>
          </w:p>
          <w:p>
            <w:pPr>
              <w:rPr>
                <w:rFonts w:ascii="宋体" w:hAnsi="宋体"/>
                <w:szCs w:val="21"/>
              </w:rPr>
            </w:pPr>
            <w:r>
              <w:rPr>
                <w:rFonts w:hint="eastAsia" w:ascii="宋体" w:hAnsi="宋体"/>
                <w:szCs w:val="21"/>
              </w:rPr>
              <w:t>读者朗读完成后系统会对作品生成评分，评分维度包含：①完整度 ②准确度 ③流利度 ④声调 ⑤发音</w:t>
            </w:r>
          </w:p>
          <w:p>
            <w:pPr>
              <w:rPr>
                <w:rFonts w:ascii="宋体" w:hAnsi="宋体"/>
                <w:szCs w:val="21"/>
              </w:rPr>
            </w:pPr>
            <w:r>
              <w:rPr>
                <w:rFonts w:ascii="宋体" w:hAnsi="宋体"/>
                <w:szCs w:val="21"/>
              </w:rPr>
              <w:t>2</w:t>
            </w:r>
            <w:r>
              <w:rPr>
                <w:rFonts w:hint="eastAsia" w:ascii="宋体" w:hAnsi="宋体"/>
                <w:szCs w:val="21"/>
              </w:rPr>
              <w:t>.移动端作品管理:</w:t>
            </w:r>
          </w:p>
          <w:p>
            <w:pPr>
              <w:rPr>
                <w:rFonts w:ascii="宋体" w:hAnsi="宋体"/>
                <w:szCs w:val="21"/>
              </w:rPr>
            </w:pPr>
            <w:r>
              <w:rPr>
                <w:rFonts w:hint="eastAsia" w:ascii="宋体" w:hAnsi="宋体"/>
                <w:szCs w:val="21"/>
              </w:rPr>
              <w:t>支持读者对朗读完的作品进行以下操作：①保存草稿箱 ②发布作品 ③参加主题比赛④删除作品⑤开启/关闭留言功能 ⑥扫描作品的二维码，直接分享</w:t>
            </w:r>
          </w:p>
          <w:p>
            <w:pPr>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.个人中心：</w:t>
            </w:r>
          </w:p>
          <w:p>
            <w:pPr>
              <w:rPr>
                <w:rFonts w:ascii="宋体" w:hAnsi="宋体"/>
                <w:szCs w:val="21"/>
              </w:rPr>
            </w:pPr>
            <w:r>
              <w:rPr>
                <w:rFonts w:hint="eastAsia" w:ascii="宋体" w:hAnsi="宋体"/>
                <w:szCs w:val="21"/>
              </w:rPr>
              <w:t xml:space="preserve">个人中心需包括：①我的作品（草稿箱、已发布、参赛作品）②点赞记录 ③朗读档案④朗读报告 ⑤朗读任务 ⑥测评中心 ⑦背诵记录 </w:t>
            </w:r>
          </w:p>
          <w:p>
            <w:pPr>
              <w:rPr>
                <w:rFonts w:hint="eastAsia" w:ascii="宋体" w:hAnsi="宋体"/>
                <w:szCs w:val="21"/>
              </w:rPr>
            </w:pPr>
            <w:r>
              <w:rPr>
                <w:rFonts w:hint="eastAsia" w:ascii="宋体" w:hAnsi="宋体"/>
                <w:szCs w:val="21"/>
              </w:rPr>
              <w:t>该条参数需提供对应功能截图；</w:t>
            </w:r>
          </w:p>
          <w:p>
            <w:pPr>
              <w:rPr>
                <w:rFonts w:ascii="宋体" w:hAnsi="宋体"/>
                <w:szCs w:val="21"/>
              </w:rPr>
            </w:pPr>
            <w:r>
              <w:rPr>
                <w:rFonts w:ascii="宋体" w:hAnsi="宋体"/>
                <w:szCs w:val="21"/>
              </w:rPr>
              <w:t>4</w:t>
            </w:r>
            <w:r>
              <w:rPr>
                <w:rFonts w:hint="eastAsia" w:ascii="宋体" w:hAnsi="宋体"/>
                <w:szCs w:val="21"/>
              </w:rPr>
              <w:t>.测评功能需包含如下功能点：</w:t>
            </w:r>
          </w:p>
          <w:p>
            <w:pPr>
              <w:rPr>
                <w:rFonts w:ascii="宋体" w:hAnsi="宋体"/>
                <w:szCs w:val="21"/>
              </w:rPr>
            </w:pPr>
            <w:r>
              <w:rPr>
                <w:rFonts w:hint="eastAsia" w:ascii="宋体" w:hAnsi="宋体"/>
                <w:szCs w:val="21"/>
              </w:rPr>
              <w:t>①测评类型包含普通话测评和英语测评两种</w:t>
            </w:r>
          </w:p>
          <w:p>
            <w:pPr>
              <w:rPr>
                <w:rFonts w:ascii="宋体" w:hAnsi="宋体"/>
                <w:szCs w:val="21"/>
              </w:rPr>
            </w:pPr>
            <w:r>
              <w:rPr>
                <w:rFonts w:hint="eastAsia" w:ascii="宋体" w:hAnsi="宋体"/>
                <w:szCs w:val="21"/>
              </w:rPr>
              <w:t>②测评报告评价维度包括：准确度、流利度、完整度、声调、发音</w:t>
            </w:r>
          </w:p>
          <w:p>
            <w:pPr>
              <w:rPr>
                <w:rFonts w:ascii="宋体" w:hAnsi="宋体"/>
                <w:szCs w:val="21"/>
              </w:rPr>
            </w:pPr>
            <w:r>
              <w:rPr>
                <w:rFonts w:hint="eastAsia" w:ascii="宋体" w:hAnsi="宋体"/>
                <w:szCs w:val="21"/>
              </w:rPr>
              <w:t>③需支持单句测评以及300秒以上全篇不间断测评</w:t>
            </w:r>
          </w:p>
          <w:p>
            <w:pPr>
              <w:rPr>
                <w:rFonts w:ascii="宋体" w:hAnsi="宋体"/>
                <w:szCs w:val="21"/>
              </w:rPr>
            </w:pPr>
            <w:r>
              <w:rPr>
                <w:rFonts w:hint="eastAsia" w:ascii="宋体" w:hAnsi="宋体"/>
                <w:szCs w:val="21"/>
              </w:rPr>
              <w:t>④普通话测评：字词模式、篇章模式、考试模式</w:t>
            </w:r>
          </w:p>
          <w:p>
            <w:pPr>
              <w:rPr>
                <w:rFonts w:ascii="宋体" w:hAnsi="宋体"/>
                <w:szCs w:val="21"/>
              </w:rPr>
            </w:pPr>
            <w:r>
              <w:rPr>
                <w:rFonts w:hint="eastAsia" w:ascii="宋体" w:hAnsi="宋体"/>
                <w:szCs w:val="21"/>
              </w:rPr>
              <w:t>⑤经验成长等级：小学生、秀才、举人、探花、榜眼、状元；</w:t>
            </w:r>
          </w:p>
          <w:p>
            <w:pPr>
              <w:rPr>
                <w:rFonts w:ascii="宋体" w:hAnsi="宋体"/>
                <w:szCs w:val="21"/>
              </w:rPr>
            </w:pPr>
            <w:r>
              <w:rPr>
                <w:rFonts w:hint="eastAsia" w:ascii="宋体" w:hAnsi="宋体"/>
                <w:szCs w:val="21"/>
              </w:rPr>
              <w:t>⑥在个人中心，可查看历史测评纪录</w:t>
            </w:r>
          </w:p>
          <w:p>
            <w:pPr>
              <w:rPr>
                <w:rFonts w:ascii="宋体" w:hAnsi="宋体"/>
                <w:szCs w:val="21"/>
              </w:rPr>
            </w:pPr>
            <w:r>
              <w:rPr>
                <w:rFonts w:hint="eastAsia" w:ascii="宋体" w:hAnsi="宋体"/>
                <w:szCs w:val="21"/>
              </w:rPr>
              <w:t>⑦在移动端可以进行绑定朗读卡，试听测评作品，看测评得分</w:t>
            </w:r>
          </w:p>
          <w:p>
            <w:pPr>
              <w:rPr>
                <w:rFonts w:ascii="宋体" w:hAnsi="宋体"/>
                <w:szCs w:val="21"/>
              </w:rPr>
            </w:pPr>
            <w:r>
              <w:rPr>
                <w:rFonts w:hint="eastAsia" w:ascii="宋体" w:hAnsi="宋体"/>
                <w:szCs w:val="21"/>
                <w:lang w:val="en-US" w:eastAsia="zh-CN"/>
              </w:rPr>
              <w:t>三、</w:t>
            </w:r>
            <w:r>
              <w:rPr>
                <w:rFonts w:hint="eastAsia" w:ascii="宋体" w:hAnsi="宋体"/>
                <w:szCs w:val="21"/>
              </w:rPr>
              <w:t>管理后台</w:t>
            </w:r>
          </w:p>
          <w:p>
            <w:pPr>
              <w:rPr>
                <w:rFonts w:ascii="宋体" w:hAnsi="宋体"/>
                <w:szCs w:val="21"/>
              </w:rPr>
            </w:pPr>
            <w:r>
              <w:rPr>
                <w:rFonts w:hint="eastAsia" w:ascii="宋体" w:hAnsi="宋体"/>
                <w:szCs w:val="21"/>
              </w:rPr>
              <w:t>登录管理：支持用户自定义设置单次登录时长限制、再次登录间隔、未操作退出时长,用户自定义设置机构专属的留声卡logo，所有的机构作品生成留声卡时，都显示机构专属的logo。</w:t>
            </w:r>
          </w:p>
        </w:tc>
        <w:tc>
          <w:tcPr>
            <w:tcW w:w="734" w:type="dxa"/>
            <w:vAlign w:val="center"/>
          </w:tcPr>
          <w:p>
            <w:pPr>
              <w:jc w:val="center"/>
              <w:rPr>
                <w:rFonts w:ascii="宋体" w:hAnsi="宋体" w:cs="宋体"/>
                <w:szCs w:val="21"/>
              </w:rPr>
            </w:pPr>
            <w:r>
              <w:rPr>
                <w:rFonts w:hint="eastAsia" w:ascii="宋体" w:hAnsi="宋体" w:cs="宋体"/>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11</w:t>
            </w:r>
          </w:p>
        </w:tc>
        <w:tc>
          <w:tcPr>
            <w:tcW w:w="1545" w:type="dxa"/>
            <w:vAlign w:val="center"/>
          </w:tcPr>
          <w:p>
            <w:pPr>
              <w:jc w:val="center"/>
              <w:rPr>
                <w:rFonts w:ascii="宋体" w:hAnsi="宋体" w:cs="宋体"/>
                <w:szCs w:val="21"/>
              </w:rPr>
            </w:pPr>
            <w:r>
              <w:rPr>
                <w:rFonts w:hint="eastAsia" w:ascii="宋体" w:hAnsi="宋体" w:cs="宋体"/>
                <w:szCs w:val="21"/>
              </w:rPr>
              <w:t>移动还书箱</w:t>
            </w:r>
          </w:p>
        </w:tc>
        <w:tc>
          <w:tcPr>
            <w:tcW w:w="7335" w:type="dxa"/>
            <w:vAlign w:val="center"/>
          </w:tcPr>
          <w:p>
            <w:pPr>
              <w:pStyle w:val="54"/>
              <w:widowControl/>
              <w:ind w:firstLine="0" w:firstLineChars="0"/>
              <w:jc w:val="left"/>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1.装书容量要求可达150L（可放80～200册）。</w:t>
            </w:r>
          </w:p>
          <w:p>
            <w:pPr>
              <w:pStyle w:val="54"/>
              <w:widowControl/>
              <w:ind w:firstLine="0" w:firstLineChars="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2.承载板自由升降，无负载时升降离高度约740 mm，负载行程约450 mm。侧面封板采用高强度PVC材板，耐瞬时冲击强度高，有抗变形能力。</w:t>
            </w:r>
          </w:p>
          <w:p>
            <w:pPr>
              <w:pStyle w:val="54"/>
              <w:widowControl/>
              <w:ind w:firstLine="0" w:firstLineChars="0"/>
              <w:jc w:val="left"/>
              <w:rPr>
                <w:rFonts w:ascii="宋体" w:hAnsi="宋体"/>
                <w:szCs w:val="21"/>
              </w:rPr>
            </w:pPr>
            <w:r>
              <w:rPr>
                <w:rFonts w:hint="eastAsia" w:ascii="宋体" w:hAnsi="宋体" w:cs="宋体"/>
                <w:color w:val="000000" w:themeColor="text1"/>
                <w:szCs w:val="21"/>
                <w14:textFill>
                  <w14:solidFill>
                    <w14:schemeClr w14:val="tx1"/>
                  </w14:solidFill>
                </w14:textFill>
              </w:rPr>
              <w:t>3.最大承重220KG，升降托架有效最大承重100KG, 抗变形数次10w。</w:t>
            </w:r>
          </w:p>
        </w:tc>
        <w:tc>
          <w:tcPr>
            <w:tcW w:w="734" w:type="dxa"/>
            <w:vAlign w:val="center"/>
          </w:tcPr>
          <w:p>
            <w:pPr>
              <w:jc w:val="center"/>
              <w:rPr>
                <w:rFonts w:ascii="宋体" w:hAnsi="宋体" w:cs="宋体"/>
                <w:szCs w:val="21"/>
              </w:rPr>
            </w:pPr>
            <w:r>
              <w:rPr>
                <w:rFonts w:hint="eastAsia" w:ascii="宋体" w:hAnsi="宋体" w:cs="宋体"/>
                <w:szCs w:val="21"/>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12</w:t>
            </w:r>
          </w:p>
        </w:tc>
        <w:tc>
          <w:tcPr>
            <w:tcW w:w="1545" w:type="dxa"/>
            <w:vAlign w:val="center"/>
          </w:tcPr>
          <w:p>
            <w:pPr>
              <w:jc w:val="center"/>
              <w:rPr>
                <w:rFonts w:ascii="宋体" w:hAnsi="宋体" w:cs="宋体"/>
                <w:szCs w:val="21"/>
              </w:rPr>
            </w:pPr>
            <w:r>
              <w:rPr>
                <w:rFonts w:hint="eastAsia" w:ascii="宋体" w:hAnsi="宋体" w:cs="宋体"/>
                <w:szCs w:val="21"/>
              </w:rPr>
              <w:t>图书杀菌机</w:t>
            </w:r>
          </w:p>
        </w:tc>
        <w:tc>
          <w:tcPr>
            <w:tcW w:w="7335" w:type="dxa"/>
            <w:vAlign w:val="center"/>
          </w:tcPr>
          <w:p>
            <w:pPr>
              <w:rPr>
                <w:rFonts w:ascii="宋体" w:hAnsi="宋体" w:cs="宋体"/>
                <w:szCs w:val="21"/>
              </w:rPr>
            </w:pPr>
            <w:r>
              <w:rPr>
                <w:rFonts w:hint="eastAsia" w:ascii="宋体" w:hAnsi="宋体" w:cs="宋体"/>
                <w:szCs w:val="21"/>
              </w:rPr>
              <w:t>1.杀菌册数：一次≥6本（单操作间）</w:t>
            </w:r>
          </w:p>
          <w:p>
            <w:pPr>
              <w:rPr>
                <w:rFonts w:ascii="宋体" w:hAnsi="宋体" w:cs="宋体"/>
                <w:szCs w:val="21"/>
              </w:rPr>
            </w:pPr>
            <w:r>
              <w:rPr>
                <w:rFonts w:hint="eastAsia" w:ascii="宋体" w:hAnsi="宋体" w:cs="宋体"/>
                <w:szCs w:val="21"/>
              </w:rPr>
              <w:t>2.横流双风机设计，吹展效果好且噪音小。</w:t>
            </w:r>
          </w:p>
          <w:p>
            <w:pPr>
              <w:rPr>
                <w:rFonts w:ascii="宋体" w:hAnsi="宋体" w:cs="宋体"/>
                <w:szCs w:val="21"/>
              </w:rPr>
            </w:pPr>
            <w:r>
              <w:rPr>
                <w:rFonts w:hint="eastAsia" w:ascii="宋体" w:hAnsi="宋体" w:cs="宋体"/>
                <w:szCs w:val="21"/>
              </w:rPr>
              <w:t>3.加装漏电保护装置，设备发生漏电故障时以及对有致命危险的人身触电进行保护。</w:t>
            </w:r>
          </w:p>
          <w:p>
            <w:pPr>
              <w:rPr>
                <w:rFonts w:ascii="宋体" w:hAnsi="宋体" w:cs="宋体"/>
                <w:szCs w:val="21"/>
              </w:rPr>
            </w:pPr>
            <w:r>
              <w:rPr>
                <w:rFonts w:hint="eastAsia" w:ascii="宋体" w:hAnsi="宋体" w:cs="宋体"/>
                <w:szCs w:val="21"/>
              </w:rPr>
              <w:t>4.采用内置上下双按键设计，适合任何身高的读者，便于读者使用</w:t>
            </w:r>
          </w:p>
          <w:p>
            <w:pPr>
              <w:rPr>
                <w:rFonts w:ascii="宋体" w:hAnsi="宋体" w:cs="宋体"/>
                <w:szCs w:val="21"/>
              </w:rPr>
            </w:pPr>
            <w:r>
              <w:rPr>
                <w:rFonts w:hint="eastAsia" w:ascii="宋体" w:hAnsi="宋体" w:cs="宋体"/>
                <w:szCs w:val="21"/>
              </w:rPr>
              <w:t>5.为保证读者体验设备和防止设备侧翻，设备高度≤1500mm。</w:t>
            </w:r>
          </w:p>
          <w:p>
            <w:pPr>
              <w:rPr>
                <w:rFonts w:ascii="宋体" w:hAnsi="宋体" w:cs="宋体"/>
                <w:color w:val="000000" w:themeColor="text1"/>
                <w:szCs w:val="21"/>
                <w14:textFill>
                  <w14:solidFill>
                    <w14:schemeClr w14:val="tx1"/>
                  </w14:solidFill>
                </w14:textFill>
              </w:rPr>
            </w:pPr>
            <w:r>
              <w:rPr>
                <w:rFonts w:hint="eastAsia" w:ascii="宋体" w:hAnsi="宋体" w:cs="宋体"/>
                <w:szCs w:val="21"/>
              </w:rPr>
              <w:t>6.其它：内胆耐脏、防划处理，为保证设备密闭性和耐用性，不接受模块化组装产品。</w:t>
            </w:r>
          </w:p>
        </w:tc>
        <w:tc>
          <w:tcPr>
            <w:tcW w:w="734" w:type="dxa"/>
            <w:vAlign w:val="center"/>
          </w:tcPr>
          <w:p>
            <w:pPr>
              <w:jc w:val="center"/>
              <w:rPr>
                <w:rFonts w:ascii="宋体" w:hAnsi="宋体" w:cs="宋体"/>
                <w:szCs w:val="21"/>
              </w:rPr>
            </w:pPr>
            <w:r>
              <w:rPr>
                <w:rFonts w:hint="eastAsia" w:ascii="宋体" w:hAnsi="宋体" w:cs="宋体"/>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13</w:t>
            </w:r>
          </w:p>
        </w:tc>
        <w:tc>
          <w:tcPr>
            <w:tcW w:w="1545" w:type="dxa"/>
            <w:vAlign w:val="center"/>
          </w:tcPr>
          <w:p>
            <w:pPr>
              <w:jc w:val="center"/>
              <w:rPr>
                <w:rFonts w:ascii="宋体" w:hAnsi="宋体" w:cs="宋体"/>
                <w:szCs w:val="21"/>
              </w:rPr>
            </w:pPr>
            <w:r>
              <w:rPr>
                <w:rFonts w:hint="eastAsia" w:ascii="宋体" w:hAnsi="宋体" w:cs="宋体"/>
                <w:szCs w:val="21"/>
              </w:rPr>
              <w:t>图书推车</w:t>
            </w:r>
          </w:p>
        </w:tc>
        <w:tc>
          <w:tcPr>
            <w:tcW w:w="7335" w:type="dxa"/>
            <w:vAlign w:val="center"/>
          </w:tcPr>
          <w:p>
            <w:pPr>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.载重：300-400斤</w:t>
            </w:r>
          </w:p>
          <w:p>
            <w:pPr>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.车板：采用全折弯花纹钢板</w:t>
            </w:r>
          </w:p>
          <w:p>
            <w:pPr>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.脚轮：4英寸热熔橡胶静音轴承轮</w:t>
            </w:r>
          </w:p>
        </w:tc>
        <w:tc>
          <w:tcPr>
            <w:tcW w:w="734" w:type="dxa"/>
            <w:vAlign w:val="center"/>
          </w:tcPr>
          <w:p>
            <w:pPr>
              <w:jc w:val="center"/>
              <w:rPr>
                <w:rFonts w:ascii="宋体" w:hAnsi="宋体" w:cs="宋体"/>
                <w:szCs w:val="21"/>
              </w:rPr>
            </w:pPr>
            <w:r>
              <w:rPr>
                <w:rFonts w:hint="eastAsia" w:ascii="宋体" w:hAnsi="宋体" w:cs="宋体"/>
                <w:szCs w:val="21"/>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14</w:t>
            </w:r>
          </w:p>
        </w:tc>
        <w:tc>
          <w:tcPr>
            <w:tcW w:w="1545" w:type="dxa"/>
            <w:vAlign w:val="center"/>
          </w:tcPr>
          <w:p>
            <w:pPr>
              <w:jc w:val="center"/>
              <w:rPr>
                <w:rFonts w:ascii="宋体" w:hAnsi="宋体" w:cs="宋体"/>
                <w:szCs w:val="21"/>
              </w:rPr>
            </w:pPr>
            <w:r>
              <w:rPr>
                <w:rFonts w:hint="eastAsia" w:ascii="宋体" w:hAnsi="宋体" w:cs="宋体"/>
                <w:szCs w:val="21"/>
              </w:rPr>
              <w:t>安全门</w:t>
            </w:r>
          </w:p>
        </w:tc>
        <w:tc>
          <w:tcPr>
            <w:tcW w:w="7335" w:type="dxa"/>
            <w:vAlign w:val="center"/>
          </w:tcPr>
          <w:p>
            <w:pPr>
              <w:numPr>
                <w:ilvl w:val="0"/>
                <w:numId w:val="6"/>
              </w:numPr>
              <w:rPr>
                <w:rFonts w:ascii="宋体" w:hAnsi="宋体" w:cs="宋体"/>
                <w:bCs/>
                <w:color w:val="auto"/>
                <w:szCs w:val="21"/>
              </w:rPr>
            </w:pPr>
            <w:r>
              <w:rPr>
                <w:rFonts w:hint="eastAsia" w:ascii="宋体" w:hAnsi="宋体" w:cs="宋体"/>
                <w:bCs/>
                <w:color w:val="auto"/>
                <w:szCs w:val="21"/>
              </w:rPr>
              <w:t>功能要求</w:t>
            </w:r>
          </w:p>
          <w:p>
            <w:pPr>
              <w:pStyle w:val="54"/>
              <w:ind w:firstLine="0" w:firstLineChars="0"/>
              <w:rPr>
                <w:rFonts w:ascii="宋体" w:hAnsi="宋体" w:cs="宋体"/>
                <w:snapToGrid w:val="0"/>
                <w:color w:val="auto"/>
                <w:szCs w:val="21"/>
              </w:rPr>
            </w:pPr>
            <w:r>
              <w:rPr>
                <w:rFonts w:hint="eastAsia" w:ascii="宋体" w:hAnsi="宋体" w:cs="宋体"/>
                <w:snapToGrid w:val="0"/>
                <w:color w:val="auto"/>
                <w:szCs w:val="21"/>
              </w:rPr>
              <w:t>1.设备设计紧凑，符合ADA相关标准要求，通道</w:t>
            </w:r>
            <w:r>
              <w:rPr>
                <w:rFonts w:hint="eastAsia" w:ascii="宋体" w:hAnsi="宋体" w:cs="宋体"/>
                <w:color w:val="auto"/>
                <w:szCs w:val="21"/>
              </w:rPr>
              <w:t>宽度≥800mm，</w:t>
            </w:r>
            <w:r>
              <w:rPr>
                <w:rFonts w:hint="eastAsia" w:ascii="宋体" w:hAnsi="宋体" w:cs="宋体"/>
                <w:snapToGrid w:val="0"/>
                <w:color w:val="auto"/>
                <w:szCs w:val="21"/>
              </w:rPr>
              <w:t>并且要能够方便地应用到图书馆的周边环境中。</w:t>
            </w:r>
          </w:p>
          <w:p>
            <w:pPr>
              <w:pStyle w:val="54"/>
              <w:ind w:firstLine="0" w:firstLineChars="0"/>
              <w:rPr>
                <w:rFonts w:ascii="宋体" w:hAnsi="宋体" w:cs="宋体"/>
                <w:snapToGrid w:val="0"/>
                <w:color w:val="auto"/>
                <w:szCs w:val="21"/>
              </w:rPr>
            </w:pPr>
            <w:r>
              <w:rPr>
                <w:rFonts w:hint="eastAsia" w:ascii="宋体" w:hAnsi="宋体" w:cs="宋体"/>
                <w:snapToGrid w:val="0"/>
                <w:color w:val="auto"/>
                <w:szCs w:val="21"/>
                <w:lang w:val="en-US" w:eastAsia="zh-CN"/>
              </w:rPr>
              <w:t>2</w:t>
            </w:r>
            <w:r>
              <w:rPr>
                <w:rFonts w:hint="eastAsia" w:ascii="宋体" w:hAnsi="宋体" w:cs="宋体"/>
                <w:snapToGrid w:val="0"/>
                <w:color w:val="auto"/>
                <w:szCs w:val="21"/>
              </w:rPr>
              <w:t>.要求对图书馆内的印刷品、视听出版物、CD及DVD等流通资料中的RFID标签进行安全扫描，不能损坏粘贴在流通资料中的磁性介质的资料，且不受流通资料中的磁条干扰。</w:t>
            </w:r>
          </w:p>
          <w:p>
            <w:pPr>
              <w:pStyle w:val="54"/>
              <w:ind w:firstLine="0" w:firstLineChars="0"/>
              <w:rPr>
                <w:rFonts w:ascii="宋体" w:hAnsi="宋体" w:cs="宋体"/>
                <w:snapToGrid w:val="0"/>
                <w:color w:val="auto"/>
                <w:szCs w:val="21"/>
              </w:rPr>
            </w:pPr>
            <w:r>
              <w:rPr>
                <w:rFonts w:hint="eastAsia" w:ascii="宋体" w:hAnsi="宋体" w:cs="宋体"/>
                <w:snapToGrid w:val="0"/>
                <w:color w:val="auto"/>
                <w:szCs w:val="21"/>
                <w:lang w:val="en-US" w:eastAsia="zh-CN"/>
              </w:rPr>
              <w:t>3</w:t>
            </w:r>
            <w:r>
              <w:rPr>
                <w:rFonts w:hint="eastAsia" w:ascii="宋体" w:hAnsi="宋体" w:cs="宋体"/>
                <w:snapToGrid w:val="0"/>
                <w:color w:val="auto"/>
                <w:szCs w:val="21"/>
              </w:rPr>
              <w:t>.设备能够同磁性安全监测门系统协同工作，如两种门前后独立安装，不会相互之间产生影响。</w:t>
            </w:r>
          </w:p>
          <w:p>
            <w:pPr>
              <w:pStyle w:val="54"/>
              <w:ind w:firstLine="0" w:firstLineChars="0"/>
              <w:rPr>
                <w:rFonts w:ascii="宋体" w:hAnsi="宋体" w:cs="宋体"/>
                <w:snapToGrid w:val="0"/>
                <w:color w:val="auto"/>
                <w:szCs w:val="21"/>
              </w:rPr>
            </w:pPr>
            <w:r>
              <w:rPr>
                <w:rFonts w:hint="eastAsia" w:ascii="宋体" w:hAnsi="宋体" w:cs="宋体"/>
                <w:snapToGrid w:val="0"/>
                <w:color w:val="auto"/>
                <w:szCs w:val="21"/>
                <w:lang w:val="en-US" w:eastAsia="zh-CN"/>
              </w:rPr>
              <w:t>4</w:t>
            </w:r>
            <w:r>
              <w:rPr>
                <w:rFonts w:hint="eastAsia" w:ascii="宋体" w:hAnsi="宋体" w:cs="宋体"/>
                <w:snapToGrid w:val="0"/>
                <w:color w:val="auto"/>
                <w:szCs w:val="21"/>
              </w:rPr>
              <w:t>.设备本身具备人员流量计数功能，数据可重置。（LCD人员流量统计显示有三种模式可供选择：人员进+出的总和，进的人数，出的人数），支持软上报人流量。</w:t>
            </w:r>
          </w:p>
          <w:p>
            <w:pPr>
              <w:pStyle w:val="54"/>
              <w:ind w:firstLine="0" w:firstLineChars="0"/>
              <w:rPr>
                <w:rFonts w:ascii="宋体" w:hAnsi="宋体" w:cs="宋体"/>
                <w:color w:val="auto"/>
                <w:szCs w:val="21"/>
              </w:rPr>
            </w:pPr>
            <w:r>
              <w:rPr>
                <w:rFonts w:hint="eastAsia" w:ascii="宋体" w:hAnsi="宋体" w:cs="宋体"/>
                <w:color w:val="auto"/>
                <w:szCs w:val="21"/>
              </w:rPr>
              <w:t>5.平均故障间隔时间（MTBF）：≥10000小时（提供第三方权威机构出具的检测报告</w:t>
            </w:r>
            <w:r>
              <w:rPr>
                <w:rFonts w:hint="eastAsia" w:ascii="宋体" w:hAnsi="宋体" w:cs="宋体"/>
                <w:snapToGrid w:val="0"/>
                <w:color w:val="auto"/>
                <w:szCs w:val="21"/>
              </w:rPr>
              <w:t>复印件加盖公章</w:t>
            </w:r>
            <w:r>
              <w:rPr>
                <w:rFonts w:hint="eastAsia" w:ascii="宋体" w:hAnsi="宋体" w:cs="宋体"/>
                <w:color w:val="auto"/>
                <w:szCs w:val="21"/>
              </w:rPr>
              <w:t>）。</w:t>
            </w:r>
          </w:p>
          <w:p>
            <w:pPr>
              <w:numPr>
                <w:ilvl w:val="0"/>
                <w:numId w:val="6"/>
              </w:numPr>
              <w:rPr>
                <w:rFonts w:ascii="宋体" w:hAnsi="宋体" w:cs="宋体"/>
                <w:bCs/>
                <w:szCs w:val="21"/>
              </w:rPr>
            </w:pPr>
            <w:r>
              <w:rPr>
                <w:rFonts w:hint="eastAsia" w:ascii="宋体" w:hAnsi="宋体" w:cs="宋体"/>
                <w:bCs/>
                <w:szCs w:val="21"/>
              </w:rPr>
              <w:t>技术要求</w:t>
            </w:r>
          </w:p>
          <w:p>
            <w:pPr>
              <w:pStyle w:val="54"/>
              <w:ind w:firstLine="0" w:firstLineChars="0"/>
              <w:rPr>
                <w:rFonts w:ascii="宋体" w:hAnsi="宋体" w:cs="宋体"/>
                <w:bCs/>
                <w:szCs w:val="21"/>
              </w:rPr>
            </w:pPr>
            <w:r>
              <w:rPr>
                <w:rFonts w:hint="eastAsia" w:ascii="宋体" w:hAnsi="宋体" w:cs="宋体"/>
                <w:bCs/>
                <w:szCs w:val="21"/>
              </w:rPr>
              <w:t>1.规格尺寸（单片门）: ≤1370×370×77mm（高*长*厚）；</w:t>
            </w:r>
          </w:p>
          <w:p>
            <w:pPr>
              <w:pStyle w:val="54"/>
              <w:ind w:firstLine="0" w:firstLineChars="0"/>
              <w:rPr>
                <w:rFonts w:ascii="宋体" w:hAnsi="宋体" w:cs="宋体"/>
                <w:bCs/>
                <w:szCs w:val="21"/>
              </w:rPr>
            </w:pPr>
            <w:r>
              <w:rPr>
                <w:rFonts w:hint="eastAsia" w:ascii="宋体" w:hAnsi="宋体" w:cs="宋体"/>
                <w:bCs/>
                <w:szCs w:val="21"/>
              </w:rPr>
              <w:t>2.机体材质：铝型材+ABS；</w:t>
            </w:r>
          </w:p>
          <w:p>
            <w:pPr>
              <w:pStyle w:val="54"/>
              <w:ind w:firstLine="0" w:firstLineChars="0"/>
              <w:rPr>
                <w:rFonts w:ascii="宋体" w:hAnsi="宋体" w:cs="宋体"/>
                <w:bCs/>
                <w:szCs w:val="21"/>
              </w:rPr>
            </w:pPr>
            <w:r>
              <w:rPr>
                <w:rFonts w:hint="eastAsia" w:ascii="宋体" w:hAnsi="宋体" w:cs="宋体"/>
                <w:bCs/>
                <w:szCs w:val="21"/>
              </w:rPr>
              <w:t>3.设备净重（单片门）：≤30kg；</w:t>
            </w:r>
          </w:p>
          <w:p>
            <w:pPr>
              <w:numPr>
                <w:ilvl w:val="0"/>
                <w:numId w:val="6"/>
              </w:numPr>
              <w:rPr>
                <w:rFonts w:ascii="宋体" w:hAnsi="宋体" w:cs="宋体"/>
                <w:bCs/>
                <w:szCs w:val="21"/>
              </w:rPr>
            </w:pPr>
            <w:r>
              <w:rPr>
                <w:rFonts w:hint="eastAsia" w:ascii="宋体" w:hAnsi="宋体" w:cs="宋体"/>
                <w:bCs/>
                <w:szCs w:val="21"/>
              </w:rPr>
              <w:t>质量要求</w:t>
            </w:r>
          </w:p>
          <w:p>
            <w:pPr>
              <w:pStyle w:val="54"/>
              <w:ind w:firstLine="0" w:firstLineChars="0"/>
              <w:rPr>
                <w:rFonts w:hint="eastAsia" w:ascii="宋体" w:hAnsi="宋体" w:cs="宋体"/>
                <w:snapToGrid w:val="0"/>
                <w:color w:val="auto"/>
                <w:szCs w:val="21"/>
              </w:rPr>
            </w:pPr>
            <w:r>
              <w:rPr>
                <w:rFonts w:hint="eastAsia" w:ascii="宋体" w:hAnsi="宋体" w:cs="宋体"/>
                <w:snapToGrid w:val="0"/>
                <w:color w:val="auto"/>
                <w:szCs w:val="21"/>
              </w:rPr>
              <w:t>★所投设备型号防水、防尘等级须≥IP65，符合GB/T4208-2017外壳防护等级，且通过 IP 防护等级测试，具有相关检测报告，提供第三方检测机构出具的检测报告及认证证书复印件加盖公章。</w:t>
            </w:r>
          </w:p>
          <w:p>
            <w:pPr>
              <w:numPr>
                <w:ilvl w:val="0"/>
                <w:numId w:val="6"/>
              </w:numPr>
              <w:rPr>
                <w:rFonts w:ascii="宋体" w:hAnsi="宋体" w:cs="宋体"/>
                <w:bCs/>
                <w:szCs w:val="21"/>
              </w:rPr>
            </w:pPr>
            <w:r>
              <w:rPr>
                <w:rFonts w:hint="eastAsia" w:ascii="宋体" w:hAnsi="宋体" w:cs="宋体"/>
                <w:bCs/>
                <w:szCs w:val="21"/>
              </w:rPr>
              <w:t>服务要求</w:t>
            </w:r>
          </w:p>
          <w:p>
            <w:pPr>
              <w:rPr>
                <w:rFonts w:ascii="宋体" w:hAnsi="宋体" w:cs="宋体"/>
                <w:bCs/>
                <w:kern w:val="0"/>
                <w:szCs w:val="21"/>
              </w:rPr>
            </w:pPr>
            <w:r>
              <w:rPr>
                <w:rFonts w:hint="eastAsia" w:ascii="宋体" w:hAnsi="宋体" w:cs="宋体"/>
                <w:bCs/>
                <w:kern w:val="0"/>
                <w:szCs w:val="21"/>
              </w:rPr>
              <w:t>1.供应商须提供设备配套驱动程序文件、相关图书馆业务应用程序文件。</w:t>
            </w:r>
          </w:p>
          <w:p>
            <w:pPr>
              <w:rPr>
                <w:rFonts w:hint="eastAsia" w:ascii="宋体" w:hAnsi="宋体" w:cs="宋体"/>
                <w:bCs/>
                <w:kern w:val="0"/>
                <w:szCs w:val="21"/>
              </w:rPr>
            </w:pPr>
            <w:r>
              <w:rPr>
                <w:rFonts w:hint="eastAsia" w:ascii="宋体" w:hAnsi="宋体" w:cs="宋体"/>
                <w:bCs/>
                <w:kern w:val="0"/>
                <w:szCs w:val="21"/>
              </w:rPr>
              <w:t>★2.投标人或生产厂商须具备标准质量管理及安全环保生产的能力，并保证所投产品符合国家质量管理及环保要求，投标人或生产厂商须通过ISO9001质量管理体系认证、ISO14001环境管理体系认证、OHSMS18001职业健康安全管理体系认证，须提供相关证书复印件加盖投标人公章 。</w:t>
            </w:r>
          </w:p>
          <w:p>
            <w:pPr>
              <w:rPr>
                <w:rFonts w:hint="eastAsia" w:ascii="宋体" w:hAnsi="宋体" w:cs="宋体"/>
                <w:bCs/>
                <w:kern w:val="0"/>
                <w:szCs w:val="21"/>
              </w:rPr>
            </w:pPr>
            <w:r>
              <w:rPr>
                <w:rFonts w:hint="eastAsia" w:ascii="宋体" w:hAnsi="宋体" w:cs="宋体"/>
                <w:bCs/>
                <w:kern w:val="0"/>
                <w:szCs w:val="21"/>
              </w:rPr>
              <w:t>★3.投标人或生产厂商须具备完善标准的信息安全管理能力，保证所投产品的信息安全防护能力符合招标人的使用要求，投标人或生产厂商须通过ISO27001信息安全管理体系认证，须提供相关证书复印件加盖投标人公章 。</w:t>
            </w:r>
          </w:p>
          <w:p>
            <w:pPr>
              <w:rPr>
                <w:rFonts w:hint="eastAsia" w:ascii="宋体" w:hAnsi="宋体" w:cs="宋体"/>
                <w:bCs/>
                <w:kern w:val="0"/>
                <w:szCs w:val="21"/>
              </w:rPr>
            </w:pPr>
            <w:r>
              <w:rPr>
                <w:rFonts w:hint="eastAsia" w:ascii="宋体" w:hAnsi="宋体" w:cs="宋体"/>
                <w:bCs/>
                <w:kern w:val="0"/>
                <w:szCs w:val="21"/>
              </w:rPr>
              <w:t>★4.投标人或生产厂商须具备持续创新的软硬件、服务升级能力，并保障招标人所采购设备符合国家知识产权规定，投标人或生产厂商须具有知识产权管理体系认证证书并符合《GB/T29490-2013》标准，须提供复印件加盖投标人公章 。</w:t>
            </w:r>
          </w:p>
          <w:p>
            <w:pPr>
              <w:rPr>
                <w:rFonts w:ascii="宋体" w:hAnsi="宋体" w:cs="宋体"/>
                <w:szCs w:val="21"/>
              </w:rPr>
            </w:pPr>
            <w:r>
              <w:rPr>
                <w:rFonts w:hint="eastAsia" w:ascii="宋体" w:hAnsi="宋体" w:cs="宋体"/>
                <w:bCs/>
                <w:kern w:val="0"/>
                <w:szCs w:val="21"/>
              </w:rPr>
              <w:t>★5.所投产品如非投标人生产，投标人须提供所投产品原厂制造商针对本项目的售后服务承诺函加盖公章。</w:t>
            </w:r>
          </w:p>
        </w:tc>
        <w:tc>
          <w:tcPr>
            <w:tcW w:w="734" w:type="dxa"/>
            <w:vAlign w:val="center"/>
          </w:tcPr>
          <w:p>
            <w:pPr>
              <w:jc w:val="center"/>
              <w:rPr>
                <w:rFonts w:ascii="宋体" w:hAnsi="宋体" w:cs="宋体"/>
                <w:szCs w:val="21"/>
              </w:rPr>
            </w:pPr>
            <w:r>
              <w:rPr>
                <w:rFonts w:hint="eastAsia" w:ascii="宋体" w:hAnsi="宋体" w:cs="宋体"/>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15</w:t>
            </w:r>
          </w:p>
        </w:tc>
        <w:tc>
          <w:tcPr>
            <w:tcW w:w="1545" w:type="dxa"/>
            <w:vAlign w:val="center"/>
          </w:tcPr>
          <w:p>
            <w:pPr>
              <w:jc w:val="center"/>
              <w:rPr>
                <w:rFonts w:ascii="宋体" w:hAnsi="宋体" w:cs="宋体"/>
                <w:szCs w:val="21"/>
              </w:rPr>
            </w:pPr>
            <w:r>
              <w:rPr>
                <w:rFonts w:hint="eastAsia" w:ascii="宋体" w:hAnsi="宋体" w:cs="宋体"/>
                <w:szCs w:val="21"/>
              </w:rPr>
              <w:t>RFID标签</w:t>
            </w:r>
          </w:p>
        </w:tc>
        <w:tc>
          <w:tcPr>
            <w:tcW w:w="7335" w:type="dxa"/>
            <w:vAlign w:val="center"/>
          </w:tcPr>
          <w:p>
            <w:pPr>
              <w:numPr>
                <w:ilvl w:val="0"/>
                <w:numId w:val="7"/>
              </w:numPr>
              <w:rPr>
                <w:rFonts w:ascii="宋体" w:hAnsi="宋体" w:cs="宋体"/>
                <w:bCs/>
                <w:color w:val="auto"/>
                <w:szCs w:val="21"/>
              </w:rPr>
            </w:pPr>
            <w:r>
              <w:rPr>
                <w:rFonts w:hint="eastAsia" w:ascii="宋体" w:hAnsi="宋体" w:cs="宋体"/>
                <w:bCs/>
                <w:color w:val="auto"/>
                <w:szCs w:val="21"/>
              </w:rPr>
              <w:t>功能要求</w:t>
            </w:r>
          </w:p>
          <w:p>
            <w:pPr>
              <w:jc w:val="left"/>
              <w:rPr>
                <w:rFonts w:ascii="宋体" w:hAnsi="宋体" w:cs="宋体"/>
                <w:color w:val="FF0000"/>
                <w:szCs w:val="21"/>
              </w:rPr>
            </w:pPr>
            <w:r>
              <w:rPr>
                <w:rFonts w:hint="eastAsia" w:ascii="宋体" w:hAnsi="宋体" w:cs="宋体"/>
                <w:color w:val="000000" w:themeColor="text1"/>
                <w:szCs w:val="21"/>
                <w14:textFill>
                  <w14:solidFill>
                    <w14:schemeClr w14:val="tx1"/>
                  </w14:solidFill>
                </w14:textFill>
              </w:rPr>
              <w:t>1.标签为无源标签，须符合国际标准ISO18000-6C 空中接口标准。</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.可重复擦写≥10万次。</w:t>
            </w:r>
          </w:p>
          <w:p>
            <w:pPr>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.标签采用AFI位或EAS作为防盗的安全标志方法，标志位可由用户自由修改。</w:t>
            </w:r>
          </w:p>
          <w:p>
            <w:pP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.标签应自带单面或双面粘性，所用胶水为中性环保胶水，不损伤图书纸张。</w:t>
            </w:r>
          </w:p>
          <w:p>
            <w:pPr>
              <w:numPr>
                <w:ilvl w:val="0"/>
                <w:numId w:val="7"/>
              </w:numPr>
              <w:rPr>
                <w:rFonts w:ascii="宋体" w:hAnsi="宋体" w:cs="宋体"/>
                <w:bCs/>
                <w:szCs w:val="21"/>
              </w:rPr>
            </w:pPr>
            <w:r>
              <w:rPr>
                <w:rFonts w:hint="eastAsia" w:ascii="宋体" w:hAnsi="宋体" w:cs="宋体"/>
                <w:bCs/>
                <w:szCs w:val="21"/>
              </w:rPr>
              <w:t>技术要求</w:t>
            </w:r>
          </w:p>
          <w:p>
            <w:pPr>
              <w:jc w:val="left"/>
              <w:rPr>
                <w:rFonts w:ascii="宋体" w:hAnsi="宋体" w:cs="宋体"/>
                <w:szCs w:val="21"/>
              </w:rPr>
            </w:pPr>
            <w:r>
              <w:rPr>
                <w:rFonts w:hint="eastAsia" w:ascii="宋体" w:hAnsi="宋体" w:cs="宋体"/>
                <w:szCs w:val="21"/>
              </w:rPr>
              <w:t>1.工作频率：860 ～ 960MHz</w:t>
            </w:r>
          </w:p>
          <w:p>
            <w:pPr>
              <w:rPr>
                <w:rFonts w:ascii="宋体" w:hAnsi="宋体" w:cs="宋体"/>
                <w:szCs w:val="21"/>
              </w:rPr>
            </w:pPr>
            <w:r>
              <w:rPr>
                <w:rFonts w:hint="eastAsia" w:ascii="宋体" w:hAnsi="宋体" w:cs="宋体"/>
                <w:szCs w:val="21"/>
              </w:rPr>
              <w:t>2.为考虑粘贴标签隐蔽性能以及粘贴便捷性，标签尺寸：≤ 124mm * 5mm （长*宽）</w:t>
            </w:r>
          </w:p>
          <w:p>
            <w:pPr>
              <w:rPr>
                <w:rFonts w:ascii="宋体" w:hAnsi="宋体" w:cs="宋体"/>
                <w:szCs w:val="21"/>
              </w:rPr>
            </w:pPr>
            <w:r>
              <w:rPr>
                <w:rFonts w:hint="eastAsia" w:ascii="宋体" w:hAnsi="宋体" w:cs="宋体"/>
                <w:szCs w:val="21"/>
              </w:rPr>
              <w:t>3.标签天线类型：铝质蚀刻天线，PET基底或同等性能材料</w:t>
            </w:r>
          </w:p>
          <w:p>
            <w:pPr>
              <w:rPr>
                <w:rFonts w:ascii="宋体" w:hAnsi="宋体" w:cs="宋体"/>
                <w:szCs w:val="21"/>
              </w:rPr>
            </w:pPr>
            <w:r>
              <w:rPr>
                <w:rFonts w:hint="eastAsia" w:ascii="宋体" w:hAnsi="宋体" w:cs="宋体"/>
                <w:szCs w:val="21"/>
              </w:rPr>
              <w:t>4.基材：格拉辛底纸或同等性能材料</w:t>
            </w:r>
          </w:p>
          <w:p>
            <w:pPr>
              <w:rPr>
                <w:rFonts w:ascii="宋体" w:hAnsi="宋体" w:cs="宋体"/>
                <w:szCs w:val="21"/>
              </w:rPr>
            </w:pPr>
            <w:r>
              <w:rPr>
                <w:rFonts w:hint="eastAsia" w:ascii="宋体" w:hAnsi="宋体" w:cs="宋体"/>
                <w:szCs w:val="21"/>
              </w:rPr>
              <w:t>5.芯片类型：Alien / Higgs3（C07）等同性能芯片</w:t>
            </w:r>
          </w:p>
          <w:p>
            <w:pPr>
              <w:rPr>
                <w:rFonts w:ascii="宋体" w:hAnsi="宋体" w:cs="宋体"/>
                <w:szCs w:val="21"/>
              </w:rPr>
            </w:pPr>
            <w:r>
              <w:rPr>
                <w:rFonts w:hint="eastAsia" w:ascii="宋体" w:hAnsi="宋体" w:cs="宋体"/>
                <w:szCs w:val="21"/>
              </w:rPr>
              <w:t>6.标签内存容量：≥ 96位EPC码，512位用户数据区</w:t>
            </w:r>
          </w:p>
          <w:p>
            <w:pPr>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.防冲突性：允许工作区间内多个标签的可靠识读</w:t>
            </w:r>
          </w:p>
          <w:p>
            <w:pP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.有效使用寿命：≥ 10年（标签要求10年内包换）</w:t>
            </w:r>
          </w:p>
          <w:p>
            <w:pPr>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.有效使用次数：≥10万次</w:t>
            </w:r>
          </w:p>
          <w:p>
            <w:pP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.访问密码：≥ 32bits</w:t>
            </w:r>
          </w:p>
          <w:p>
            <w:pPr>
              <w:numPr>
                <w:ilvl w:val="0"/>
                <w:numId w:val="7"/>
              </w:numPr>
              <w:rPr>
                <w:rFonts w:ascii="宋体" w:hAnsi="宋体" w:cs="宋体"/>
                <w:bCs/>
                <w:szCs w:val="21"/>
              </w:rPr>
            </w:pPr>
            <w:r>
              <w:rPr>
                <w:rFonts w:hint="eastAsia" w:ascii="宋体" w:hAnsi="宋体" w:cs="宋体"/>
                <w:bCs/>
                <w:szCs w:val="21"/>
              </w:rPr>
              <w:t>质量要求</w:t>
            </w:r>
          </w:p>
          <w:p>
            <w:pPr>
              <w:tabs>
                <w:tab w:val="left" w:pos="1080"/>
                <w:tab w:val="left" w:pos="1260"/>
              </w:tabs>
              <w:rPr>
                <w:rFonts w:ascii="宋体" w:hAnsi="宋体" w:cs="宋体"/>
                <w:b/>
                <w:szCs w:val="21"/>
              </w:rPr>
            </w:pPr>
            <w:r>
              <w:rPr>
                <w:rFonts w:hint="eastAsia" w:ascii="宋体" w:hAnsi="宋体" w:cs="宋体"/>
                <w:bCs/>
                <w:szCs w:val="21"/>
              </w:rPr>
              <w:t>为响应环境标准要求，所投RFID图书标签环保无污染，具备环保、节能减排证书</w:t>
            </w:r>
            <w:r>
              <w:rPr>
                <w:rFonts w:hint="eastAsia" w:ascii="宋体" w:hAnsi="宋体" w:cs="宋体"/>
                <w:szCs w:val="21"/>
              </w:rPr>
              <w:t>复印件加盖公章</w:t>
            </w:r>
            <w:r>
              <w:rPr>
                <w:rFonts w:hint="eastAsia" w:ascii="宋体" w:hAnsi="宋体" w:cs="宋体"/>
                <w:bCs/>
                <w:szCs w:val="21"/>
              </w:rPr>
              <w:t>。</w:t>
            </w:r>
          </w:p>
          <w:p>
            <w:pPr>
              <w:numPr>
                <w:ilvl w:val="0"/>
                <w:numId w:val="7"/>
              </w:numPr>
              <w:rPr>
                <w:rFonts w:ascii="宋体" w:hAnsi="宋体" w:cs="宋体"/>
                <w:bCs/>
                <w:szCs w:val="21"/>
              </w:rPr>
            </w:pPr>
            <w:r>
              <w:rPr>
                <w:rFonts w:hint="eastAsia" w:ascii="宋体" w:hAnsi="宋体" w:cs="宋体"/>
                <w:bCs/>
                <w:szCs w:val="21"/>
              </w:rPr>
              <w:t>服务要求</w:t>
            </w:r>
          </w:p>
          <w:p>
            <w:pPr>
              <w:rPr>
                <w:rFonts w:ascii="宋体" w:hAnsi="宋体" w:cs="宋体"/>
                <w:szCs w:val="21"/>
              </w:rPr>
            </w:pPr>
            <w:r>
              <w:rPr>
                <w:rFonts w:hint="eastAsia" w:ascii="宋体" w:hAnsi="宋体" w:cs="宋体"/>
                <w:szCs w:val="21"/>
              </w:rPr>
              <w:t>1.★保用期内对因质量问题不能正常使用的标签提供免费更换。</w:t>
            </w:r>
          </w:p>
          <w:p>
            <w:pPr>
              <w:rPr>
                <w:rFonts w:ascii="宋体" w:hAnsi="宋体" w:cs="宋体"/>
                <w:szCs w:val="21"/>
              </w:rPr>
            </w:pPr>
            <w:r>
              <w:rPr>
                <w:rFonts w:hint="eastAsia" w:ascii="宋体" w:hAnsi="宋体" w:cs="宋体"/>
                <w:szCs w:val="21"/>
              </w:rPr>
              <w:t>★2.投标人或生产厂商须具备标准质量管理及安全环保生产的能力，并保证所投产品符合国家质量管理及环保要求，</w:t>
            </w:r>
            <w:r>
              <w:rPr>
                <w:rFonts w:hint="eastAsia" w:ascii="宋体" w:hAnsi="宋体" w:cs="宋体"/>
                <w:b w:val="0"/>
                <w:bCs w:val="0"/>
                <w:szCs w:val="21"/>
              </w:rPr>
              <w:t>投标人或生产厂商须通过ISO9001质量管理体系认证、ISO14001环境管理体系认证、OHSMS18001职业健康安全管理体系认证，须提供相关证书复印件加盖投标人公章。</w:t>
            </w:r>
          </w:p>
          <w:p>
            <w:pPr>
              <w:rPr>
                <w:rFonts w:ascii="宋体" w:hAnsi="宋体" w:cs="宋体"/>
                <w:szCs w:val="21"/>
              </w:rPr>
            </w:pPr>
            <w:r>
              <w:rPr>
                <w:rFonts w:hint="eastAsia" w:ascii="宋体" w:hAnsi="宋体" w:cs="宋体"/>
                <w:szCs w:val="21"/>
              </w:rPr>
              <w:t>★3.投标人或生产厂商须具备完善标准的信息安全管理能力，保证所投产品的信息安全防护能力符合招标人的使用要求，</w:t>
            </w:r>
            <w:r>
              <w:rPr>
                <w:rFonts w:hint="eastAsia" w:ascii="宋体" w:hAnsi="宋体" w:cs="宋体"/>
                <w:b w:val="0"/>
                <w:bCs w:val="0"/>
                <w:szCs w:val="21"/>
              </w:rPr>
              <w:t>投标人或生产厂商须通过ISO27001信息安全管理体系认证，须提供相关证书复印件加盖投标人公章。</w:t>
            </w:r>
          </w:p>
          <w:p>
            <w:pPr>
              <w:rPr>
                <w:rFonts w:ascii="宋体" w:hAnsi="宋体" w:cs="宋体"/>
                <w:b w:val="0"/>
                <w:bCs w:val="0"/>
                <w:szCs w:val="21"/>
              </w:rPr>
            </w:pPr>
            <w:r>
              <w:rPr>
                <w:rFonts w:hint="eastAsia" w:ascii="宋体" w:hAnsi="宋体" w:cs="宋体"/>
                <w:szCs w:val="21"/>
              </w:rPr>
              <w:t>★4.投标人或生产厂商须具备持续创新的软硬件、服务升级能力，并保障招标人所采购设备符合国家知识产权规定</w:t>
            </w:r>
            <w:r>
              <w:rPr>
                <w:rFonts w:hint="eastAsia" w:ascii="宋体" w:hAnsi="宋体" w:cs="宋体"/>
                <w:b/>
                <w:bCs/>
                <w:szCs w:val="21"/>
              </w:rPr>
              <w:t>，</w:t>
            </w:r>
            <w:r>
              <w:rPr>
                <w:rFonts w:hint="eastAsia" w:ascii="宋体" w:hAnsi="宋体" w:cs="宋体"/>
                <w:b w:val="0"/>
                <w:bCs w:val="0"/>
                <w:szCs w:val="21"/>
              </w:rPr>
              <w:t>投标人或生产厂商须具有知识产权管理体系认证证书并符合《GB/T29490-2013》标准，须提供复印件加盖投标人公章。</w:t>
            </w:r>
          </w:p>
          <w:p>
            <w:pPr>
              <w:rPr>
                <w:rFonts w:ascii="宋体" w:hAnsi="宋体" w:cs="宋体"/>
                <w:bCs/>
                <w:kern w:val="0"/>
                <w:szCs w:val="21"/>
              </w:rPr>
            </w:pPr>
            <w:r>
              <w:rPr>
                <w:rFonts w:hint="eastAsia" w:ascii="宋体" w:hAnsi="宋体" w:cs="宋体"/>
                <w:bCs/>
                <w:kern w:val="0"/>
                <w:szCs w:val="21"/>
              </w:rPr>
              <w:t>★5.所投产品如非投标人生产，</w:t>
            </w:r>
            <w:r>
              <w:rPr>
                <w:rFonts w:hint="eastAsia" w:ascii="宋体" w:hAnsi="宋体" w:cs="宋体"/>
                <w:b w:val="0"/>
                <w:bCs/>
                <w:kern w:val="0"/>
                <w:szCs w:val="21"/>
              </w:rPr>
              <w:t>投标人须提供所投产品原厂制造商针对本项目的售后服务承诺函加盖公章。</w:t>
            </w:r>
          </w:p>
        </w:tc>
        <w:tc>
          <w:tcPr>
            <w:tcW w:w="734" w:type="dxa"/>
            <w:vAlign w:val="center"/>
          </w:tcPr>
          <w:p>
            <w:pPr>
              <w:jc w:val="center"/>
              <w:rPr>
                <w:rFonts w:ascii="宋体" w:hAnsi="宋体" w:cs="宋体"/>
                <w:szCs w:val="21"/>
              </w:rPr>
            </w:pPr>
            <w:r>
              <w:rPr>
                <w:rFonts w:hint="eastAsia" w:ascii="宋体" w:hAnsi="宋体" w:cs="宋体"/>
                <w:szCs w:val="21"/>
              </w:rPr>
              <w:t>20000个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16</w:t>
            </w:r>
          </w:p>
        </w:tc>
        <w:tc>
          <w:tcPr>
            <w:tcW w:w="1545" w:type="dxa"/>
            <w:vAlign w:val="center"/>
          </w:tcPr>
          <w:p>
            <w:pPr>
              <w:jc w:val="center"/>
              <w:rPr>
                <w:rFonts w:ascii="宋体" w:hAnsi="宋体" w:cs="宋体"/>
                <w:szCs w:val="21"/>
              </w:rPr>
            </w:pPr>
            <w:r>
              <w:rPr>
                <w:rFonts w:hint="eastAsia" w:ascii="宋体" w:hAnsi="宋体" w:cs="宋体"/>
                <w:szCs w:val="21"/>
              </w:rPr>
              <w:t>层架标</w:t>
            </w:r>
          </w:p>
        </w:tc>
        <w:tc>
          <w:tcPr>
            <w:tcW w:w="7335" w:type="dxa"/>
            <w:vAlign w:val="center"/>
          </w:tcPr>
          <w:p>
            <w:pPr>
              <w:numPr>
                <w:ilvl w:val="0"/>
                <w:numId w:val="8"/>
              </w:numPr>
              <w:rPr>
                <w:rFonts w:ascii="宋体" w:hAnsi="宋体" w:cs="宋体"/>
                <w:szCs w:val="21"/>
              </w:rPr>
            </w:pPr>
            <w:r>
              <w:rPr>
                <w:rFonts w:hint="eastAsia" w:ascii="宋体" w:hAnsi="宋体" w:cs="宋体"/>
                <w:szCs w:val="21"/>
              </w:rPr>
              <w:t>质性要求：</w:t>
            </w:r>
          </w:p>
          <w:p>
            <w:pPr>
              <w:rPr>
                <w:rFonts w:ascii="宋体" w:hAnsi="宋体" w:cs="宋体"/>
                <w:szCs w:val="21"/>
              </w:rPr>
            </w:pPr>
            <w:r>
              <w:rPr>
                <w:rFonts w:hint="eastAsia" w:ascii="宋体" w:hAnsi="宋体" w:cs="宋体"/>
                <w:szCs w:val="21"/>
              </w:rPr>
              <w:t>1.工作频率：860MHz ～ 960MHz</w:t>
            </w:r>
          </w:p>
          <w:p>
            <w:pPr>
              <w:rPr>
                <w:rFonts w:ascii="宋体" w:hAnsi="宋体" w:cs="宋体"/>
                <w:szCs w:val="21"/>
              </w:rPr>
            </w:pPr>
            <w:r>
              <w:rPr>
                <w:rFonts w:hint="eastAsia" w:ascii="宋体" w:hAnsi="宋体" w:cs="宋体"/>
                <w:szCs w:val="21"/>
              </w:rPr>
              <w:t>二、一般性要求：</w:t>
            </w:r>
          </w:p>
          <w:p>
            <w:pPr>
              <w:rPr>
                <w:rFonts w:ascii="宋体" w:hAnsi="宋体" w:cs="宋体"/>
                <w:szCs w:val="21"/>
              </w:rPr>
            </w:pPr>
            <w:r>
              <w:rPr>
                <w:rFonts w:hint="eastAsia" w:ascii="宋体" w:hAnsi="宋体" w:cs="宋体"/>
                <w:szCs w:val="21"/>
              </w:rPr>
              <w:t>（一）功能要求</w:t>
            </w:r>
          </w:p>
          <w:p>
            <w:pPr>
              <w:rPr>
                <w:rFonts w:ascii="宋体" w:hAnsi="宋体" w:cs="宋体"/>
                <w:szCs w:val="21"/>
              </w:rPr>
            </w:pPr>
            <w:r>
              <w:rPr>
                <w:rFonts w:hint="eastAsia" w:ascii="宋体" w:hAnsi="宋体" w:cs="宋体"/>
                <w:szCs w:val="21"/>
              </w:rPr>
              <w:t>1.标签为无源标签，须符合国际标准ISO18000-6C 空中接口标准。</w:t>
            </w:r>
          </w:p>
          <w:p>
            <w:pPr>
              <w:rPr>
                <w:rFonts w:ascii="宋体" w:hAnsi="宋体" w:cs="宋体"/>
                <w:szCs w:val="21"/>
              </w:rPr>
            </w:pPr>
            <w:r>
              <w:rPr>
                <w:rFonts w:hint="eastAsia" w:ascii="宋体" w:hAnsi="宋体" w:cs="宋体"/>
                <w:szCs w:val="21"/>
              </w:rPr>
              <w:t>2.可重复擦写≥10万次。</w:t>
            </w:r>
          </w:p>
          <w:p>
            <w:pPr>
              <w:rPr>
                <w:rFonts w:ascii="宋体" w:hAnsi="宋体" w:cs="宋体"/>
                <w:szCs w:val="21"/>
              </w:rPr>
            </w:pPr>
            <w:r>
              <w:rPr>
                <w:rFonts w:hint="eastAsia" w:ascii="宋体" w:hAnsi="宋体" w:cs="宋体"/>
                <w:szCs w:val="21"/>
              </w:rPr>
              <w:t>3.应可粘贴在金属书架层板表面，不影响标签的读取。</w:t>
            </w:r>
          </w:p>
          <w:p>
            <w:pPr>
              <w:rPr>
                <w:rFonts w:ascii="宋体" w:hAnsi="宋体" w:cs="宋体"/>
                <w:szCs w:val="21"/>
              </w:rPr>
            </w:pPr>
            <w:r>
              <w:rPr>
                <w:rFonts w:hint="eastAsia" w:ascii="宋体" w:hAnsi="宋体" w:cs="宋体"/>
                <w:szCs w:val="21"/>
              </w:rPr>
              <w:t>4.可按图书馆要求打印标签表面标识内容。</w:t>
            </w:r>
          </w:p>
          <w:p>
            <w:pPr>
              <w:rPr>
                <w:rFonts w:ascii="宋体" w:hAnsi="宋体" w:cs="宋体"/>
                <w:szCs w:val="21"/>
              </w:rPr>
            </w:pPr>
            <w:r>
              <w:rPr>
                <w:rFonts w:hint="eastAsia" w:ascii="宋体" w:hAnsi="宋体" w:cs="宋体"/>
                <w:szCs w:val="21"/>
              </w:rPr>
              <w:t>5.标签可以非接触式的读取和写入。</w:t>
            </w:r>
          </w:p>
          <w:p>
            <w:pPr>
              <w:rPr>
                <w:rFonts w:ascii="宋体" w:hAnsi="宋体" w:cs="宋体"/>
                <w:szCs w:val="21"/>
              </w:rPr>
            </w:pPr>
            <w:r>
              <w:rPr>
                <w:rFonts w:hint="eastAsia" w:ascii="宋体" w:hAnsi="宋体" w:cs="宋体"/>
                <w:szCs w:val="21"/>
              </w:rPr>
              <w:t>6.标签具有一定的抗冲突性，能保证多个标签的同时可靠识别。</w:t>
            </w:r>
          </w:p>
          <w:p>
            <w:pPr>
              <w:rPr>
                <w:rFonts w:ascii="宋体" w:hAnsi="宋体" w:cs="宋体"/>
                <w:szCs w:val="21"/>
              </w:rPr>
            </w:pPr>
            <w:r>
              <w:rPr>
                <w:rFonts w:hint="eastAsia" w:ascii="宋体" w:hAnsi="宋体" w:cs="宋体"/>
                <w:szCs w:val="21"/>
              </w:rPr>
              <w:t>7.标签具备耐高温、低温环境性能，并保证读取性能无差异。</w:t>
            </w:r>
          </w:p>
          <w:p>
            <w:pPr>
              <w:rPr>
                <w:rFonts w:ascii="宋体" w:hAnsi="宋体" w:cs="宋体"/>
                <w:szCs w:val="21"/>
              </w:rPr>
            </w:pPr>
            <w:r>
              <w:rPr>
                <w:rFonts w:hint="eastAsia" w:ascii="宋体" w:hAnsi="宋体" w:cs="宋体"/>
                <w:szCs w:val="21"/>
              </w:rPr>
              <w:t>（二）技术要求</w:t>
            </w:r>
          </w:p>
          <w:p>
            <w:pPr>
              <w:rPr>
                <w:rFonts w:ascii="宋体" w:hAnsi="宋体" w:cs="宋体"/>
                <w:szCs w:val="21"/>
              </w:rPr>
            </w:pPr>
            <w:r>
              <w:rPr>
                <w:rFonts w:hint="eastAsia" w:ascii="宋体" w:hAnsi="宋体" w:cs="宋体"/>
                <w:szCs w:val="21"/>
              </w:rPr>
              <w:t>1.图书标签尺寸：&lt;= 93mm * 20mm * 5.4mm （长*宽*厚）</w:t>
            </w:r>
          </w:p>
          <w:p>
            <w:pPr>
              <w:rPr>
                <w:rFonts w:ascii="宋体" w:hAnsi="宋体" w:cs="宋体"/>
                <w:szCs w:val="21"/>
              </w:rPr>
            </w:pPr>
            <w:r>
              <w:rPr>
                <w:rFonts w:hint="eastAsia" w:ascii="宋体" w:hAnsi="宋体" w:cs="宋体"/>
                <w:szCs w:val="21"/>
              </w:rPr>
              <w:t>2.标签天线类型：铝质蚀刻天线，PET基底或同性能类型</w:t>
            </w:r>
          </w:p>
          <w:p>
            <w:pPr>
              <w:rPr>
                <w:rFonts w:ascii="宋体" w:hAnsi="宋体" w:cs="宋体"/>
                <w:szCs w:val="21"/>
              </w:rPr>
            </w:pPr>
            <w:r>
              <w:rPr>
                <w:rFonts w:hint="eastAsia" w:ascii="宋体" w:hAnsi="宋体" w:cs="宋体"/>
                <w:szCs w:val="21"/>
              </w:rPr>
              <w:t>3.芯片类型：Impinj M5或同等性能芯片</w:t>
            </w:r>
          </w:p>
          <w:p>
            <w:pPr>
              <w:rPr>
                <w:rFonts w:ascii="宋体" w:hAnsi="宋体" w:cs="宋体"/>
                <w:szCs w:val="21"/>
              </w:rPr>
            </w:pPr>
            <w:r>
              <w:rPr>
                <w:rFonts w:hint="eastAsia" w:ascii="宋体" w:hAnsi="宋体" w:cs="宋体"/>
                <w:szCs w:val="21"/>
              </w:rPr>
              <w:t>4.标签内存容量：&gt;= 128 位 EPC 码</w:t>
            </w:r>
          </w:p>
          <w:p>
            <w:pPr>
              <w:rPr>
                <w:rFonts w:ascii="宋体" w:hAnsi="宋体" w:cs="宋体"/>
                <w:szCs w:val="21"/>
              </w:rPr>
            </w:pPr>
            <w:r>
              <w:rPr>
                <w:rFonts w:hint="eastAsia" w:ascii="宋体" w:hAnsi="宋体" w:cs="宋体"/>
                <w:szCs w:val="21"/>
              </w:rPr>
              <w:t>5.有效使用寿命：&gt;= 10年（标签要求10年内包换）</w:t>
            </w:r>
          </w:p>
          <w:p>
            <w:pPr>
              <w:rPr>
                <w:rFonts w:ascii="宋体" w:hAnsi="宋体" w:cs="宋体"/>
                <w:szCs w:val="21"/>
              </w:rPr>
            </w:pPr>
            <w:r>
              <w:rPr>
                <w:rFonts w:hint="eastAsia" w:ascii="宋体" w:hAnsi="宋体" w:cs="宋体"/>
                <w:szCs w:val="21"/>
              </w:rPr>
              <w:t>6.有效使用次数：&gt;= 10万次</w:t>
            </w:r>
          </w:p>
          <w:p>
            <w:pPr>
              <w:rPr>
                <w:rFonts w:ascii="宋体" w:hAnsi="宋体" w:cs="宋体"/>
                <w:szCs w:val="21"/>
              </w:rPr>
            </w:pPr>
            <w:r>
              <w:rPr>
                <w:rFonts w:hint="eastAsia" w:ascii="宋体" w:hAnsi="宋体" w:cs="宋体"/>
                <w:szCs w:val="21"/>
              </w:rPr>
              <w:t>（三）服务要求</w:t>
            </w:r>
          </w:p>
          <w:p>
            <w:pPr>
              <w:rPr>
                <w:rFonts w:ascii="宋体" w:hAnsi="宋体" w:cs="宋体"/>
                <w:b w:val="0"/>
                <w:bCs w:val="0"/>
                <w:szCs w:val="21"/>
              </w:rPr>
            </w:pPr>
            <w:r>
              <w:rPr>
                <w:rFonts w:hint="eastAsia" w:ascii="宋体" w:hAnsi="宋体" w:cs="宋体"/>
                <w:b w:val="0"/>
                <w:bCs w:val="0"/>
                <w:szCs w:val="21"/>
              </w:rPr>
              <w:t>★1.10年质保，保用期内对因质量问题不能正常使用的标签提供免费更换。</w:t>
            </w:r>
          </w:p>
          <w:p>
            <w:pPr>
              <w:rPr>
                <w:rFonts w:ascii="宋体" w:hAnsi="宋体" w:cs="宋体"/>
                <w:b w:val="0"/>
                <w:bCs w:val="0"/>
                <w:szCs w:val="21"/>
              </w:rPr>
            </w:pPr>
            <w:r>
              <w:rPr>
                <w:rFonts w:hint="eastAsia" w:ascii="宋体" w:hAnsi="宋体" w:cs="宋体"/>
                <w:b w:val="0"/>
                <w:bCs w:val="0"/>
                <w:kern w:val="0"/>
                <w:szCs w:val="21"/>
              </w:rPr>
              <w:t>★</w:t>
            </w:r>
            <w:r>
              <w:rPr>
                <w:rFonts w:hint="eastAsia" w:ascii="宋体" w:hAnsi="宋体" w:cs="宋体"/>
                <w:b w:val="0"/>
                <w:bCs w:val="0"/>
                <w:szCs w:val="21"/>
              </w:rPr>
              <w:t>2.投标人应提供最优化的数据结构存储方案和存取管理程序，优化读取速度，提高处理的效率。</w:t>
            </w:r>
          </w:p>
          <w:p>
            <w:pPr>
              <w:rPr>
                <w:rFonts w:ascii="宋体" w:hAnsi="宋体" w:cs="宋体"/>
                <w:b w:val="0"/>
                <w:bCs w:val="0"/>
                <w:szCs w:val="21"/>
              </w:rPr>
            </w:pPr>
            <w:r>
              <w:rPr>
                <w:rFonts w:hint="eastAsia" w:ascii="宋体" w:hAnsi="宋体" w:cs="宋体"/>
                <w:b w:val="0"/>
                <w:bCs w:val="0"/>
                <w:szCs w:val="21"/>
              </w:rPr>
              <w:t>★3.投标人或生产厂商须具备标准质量管理及安全环保生产的能力，并保证所投产品符合国家质量管理及环保要求，投标人或生产厂商须通过ISO9001质量管理体系认证、ISO14001环境管理体系认证、OHSMS18001职业健康安全管理体系认证，须提供相关证书复印件加盖投标人公章。</w:t>
            </w:r>
          </w:p>
          <w:p>
            <w:pPr>
              <w:rPr>
                <w:rFonts w:ascii="宋体" w:hAnsi="宋体" w:cs="宋体"/>
                <w:szCs w:val="21"/>
              </w:rPr>
            </w:pPr>
            <w:r>
              <w:rPr>
                <w:rFonts w:hint="eastAsia" w:ascii="宋体" w:hAnsi="宋体" w:cs="宋体"/>
                <w:b w:val="0"/>
                <w:bCs w:val="0"/>
                <w:szCs w:val="21"/>
              </w:rPr>
              <w:t>★4.投标人或生产厂商须具备完善标准的信息安全管理能力，保证所投产品的信息安全防护能力符合招标人的使用要求，投标人或生产厂商须通过ISO27001信息安全管理体系认证，须提供相关证书复印件加盖投标人公章。</w:t>
            </w:r>
          </w:p>
          <w:p>
            <w:pPr>
              <w:rPr>
                <w:rFonts w:ascii="宋体" w:hAnsi="宋体" w:cs="宋体"/>
                <w:szCs w:val="21"/>
              </w:rPr>
            </w:pPr>
            <w:r>
              <w:rPr>
                <w:rFonts w:hint="eastAsia" w:ascii="宋体" w:hAnsi="宋体" w:cs="宋体"/>
                <w:szCs w:val="21"/>
              </w:rPr>
              <w:t>★5.投标人或生产厂商须具备持续创新的软硬件、服务升级能力，并保障招标人所采购设备符合国家知识产权规定，投标人或生产厂商须具有知识产权管理体系认证证书并符合《GB/T29490-2013》标准，须提供复印件加盖投标人公章。</w:t>
            </w:r>
          </w:p>
          <w:p>
            <w:pPr>
              <w:rPr>
                <w:rFonts w:ascii="宋体" w:hAnsi="宋体" w:cs="宋体"/>
                <w:bCs/>
                <w:kern w:val="0"/>
                <w:szCs w:val="21"/>
              </w:rPr>
            </w:pPr>
            <w:r>
              <w:rPr>
                <w:rFonts w:hint="eastAsia" w:ascii="宋体" w:hAnsi="宋体" w:cs="宋体"/>
                <w:bCs/>
                <w:kern w:val="0"/>
                <w:szCs w:val="21"/>
              </w:rPr>
              <w:t>★6.所投产品如非投标人生产，投标人须提供所投产品原厂制造商针对本项目的售后服务承诺函加盖公章。</w:t>
            </w:r>
          </w:p>
        </w:tc>
        <w:tc>
          <w:tcPr>
            <w:tcW w:w="734" w:type="dxa"/>
            <w:vAlign w:val="center"/>
          </w:tcPr>
          <w:p>
            <w:pPr>
              <w:jc w:val="center"/>
              <w:rPr>
                <w:rFonts w:ascii="宋体" w:hAnsi="宋体" w:cs="宋体"/>
                <w:szCs w:val="21"/>
              </w:rPr>
            </w:pPr>
            <w:r>
              <w:rPr>
                <w:rFonts w:hint="eastAsia" w:ascii="宋体" w:hAnsi="宋体" w:cs="宋体"/>
                <w:szCs w:val="21"/>
              </w:rPr>
              <w:t>4500个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17</w:t>
            </w:r>
          </w:p>
        </w:tc>
        <w:tc>
          <w:tcPr>
            <w:tcW w:w="1545" w:type="dxa"/>
            <w:vAlign w:val="center"/>
          </w:tcPr>
          <w:p>
            <w:pPr>
              <w:jc w:val="center"/>
              <w:rPr>
                <w:rFonts w:ascii="宋体" w:hAnsi="宋体" w:cs="宋体"/>
                <w:szCs w:val="21"/>
              </w:rPr>
            </w:pPr>
            <w:r>
              <w:rPr>
                <w:rFonts w:hint="eastAsia" w:ascii="宋体" w:hAnsi="宋体" w:cs="宋体"/>
                <w:szCs w:val="21"/>
              </w:rPr>
              <w:t>标签及安装、转换</w:t>
            </w:r>
          </w:p>
        </w:tc>
        <w:tc>
          <w:tcPr>
            <w:tcW w:w="7335" w:type="dxa"/>
            <w:vAlign w:val="center"/>
          </w:tcPr>
          <w:p>
            <w:pPr>
              <w:rPr>
                <w:rFonts w:ascii="宋体" w:hAnsi="宋体" w:cs="宋体"/>
                <w:szCs w:val="21"/>
              </w:rPr>
            </w:pPr>
            <w:r>
              <w:rPr>
                <w:rFonts w:hint="eastAsia" w:ascii="宋体" w:hAnsi="宋体" w:cs="宋体"/>
                <w:szCs w:val="21"/>
              </w:rPr>
              <w:t>一、实质性要求：</w:t>
            </w:r>
          </w:p>
          <w:p>
            <w:pPr>
              <w:widowControl/>
              <w:rPr>
                <w:rFonts w:ascii="宋体" w:hAnsi="宋体" w:cs="宋体"/>
                <w:kern w:val="0"/>
                <w:szCs w:val="21"/>
              </w:rPr>
            </w:pPr>
            <w:r>
              <w:rPr>
                <w:rFonts w:hint="eastAsia" w:ascii="宋体" w:hAnsi="宋体" w:cs="宋体"/>
                <w:kern w:val="0"/>
                <w:szCs w:val="21"/>
              </w:rPr>
              <w:t>1.质保期内对因质量问题不能正常使用的标签提供免费上门更换。</w:t>
            </w:r>
          </w:p>
          <w:p>
            <w:pPr>
              <w:pStyle w:val="55"/>
              <w:ind w:firstLine="0" w:firstLineChars="0"/>
              <w:rPr>
                <w:rFonts w:ascii="宋体" w:hAnsi="宋体" w:cs="宋体"/>
                <w:kern w:val="0"/>
                <w:sz w:val="21"/>
                <w:szCs w:val="21"/>
              </w:rPr>
            </w:pPr>
            <w:r>
              <w:rPr>
                <w:rFonts w:hint="eastAsia" w:ascii="宋体" w:hAnsi="宋体" w:cs="宋体"/>
                <w:kern w:val="0"/>
                <w:sz w:val="21"/>
                <w:szCs w:val="21"/>
              </w:rPr>
              <w:t>2.投标人有责任将加工标签的编码格式告知使用方，不得通过数据加密等方式对行业其余厂家进行限制，并且优先选择高校通用加工模型，以防止后期使用方拓展应用及采购进行数据对接。</w:t>
            </w:r>
          </w:p>
          <w:p>
            <w:pPr>
              <w:pStyle w:val="55"/>
              <w:ind w:firstLine="0" w:firstLineChars="0"/>
              <w:rPr>
                <w:rFonts w:ascii="宋体" w:hAnsi="宋体" w:cs="宋体"/>
                <w:kern w:val="0"/>
                <w:sz w:val="21"/>
                <w:szCs w:val="21"/>
              </w:rPr>
            </w:pPr>
            <w:r>
              <w:rPr>
                <w:rFonts w:hint="eastAsia" w:ascii="宋体" w:hAnsi="宋体" w:cs="宋体"/>
                <w:kern w:val="0"/>
                <w:sz w:val="21"/>
                <w:szCs w:val="21"/>
              </w:rPr>
              <w:t>二、一般性要求：</w:t>
            </w:r>
          </w:p>
          <w:p>
            <w:pPr>
              <w:widowControl/>
              <w:rPr>
                <w:rFonts w:ascii="宋体" w:hAnsi="宋体" w:cs="宋体"/>
                <w:kern w:val="0"/>
                <w:szCs w:val="21"/>
              </w:rPr>
            </w:pPr>
            <w:r>
              <w:rPr>
                <w:rFonts w:hint="eastAsia" w:ascii="宋体" w:hAnsi="宋体" w:cs="宋体"/>
                <w:kern w:val="0"/>
                <w:szCs w:val="21"/>
              </w:rPr>
              <w:t>（一）技术要求</w:t>
            </w:r>
          </w:p>
          <w:p>
            <w:pPr>
              <w:widowControl/>
              <w:rPr>
                <w:rFonts w:ascii="宋体" w:hAnsi="宋体" w:cs="宋体"/>
                <w:kern w:val="0"/>
                <w:szCs w:val="21"/>
              </w:rPr>
            </w:pPr>
            <w:r>
              <w:rPr>
                <w:rFonts w:hint="eastAsia" w:ascii="宋体" w:hAnsi="宋体" w:cs="宋体"/>
                <w:kern w:val="0"/>
                <w:szCs w:val="21"/>
              </w:rPr>
              <w:t>1.图书电子标签的粘贴、信息转换及上架，负责将图书标签粘贴在图书书脊中间偏上部位，并保证粘贴于图书的倒数 50页以内，粘贴位置隐秘；（中标方也可按照用户方要求商议决定加工要求）</w:t>
            </w:r>
          </w:p>
          <w:p>
            <w:pPr>
              <w:widowControl/>
              <w:rPr>
                <w:rFonts w:ascii="宋体" w:hAnsi="宋体" w:cs="宋体"/>
                <w:kern w:val="0"/>
                <w:szCs w:val="21"/>
              </w:rPr>
            </w:pPr>
            <w:r>
              <w:rPr>
                <w:rFonts w:hint="eastAsia" w:ascii="宋体" w:hAnsi="宋体" w:cs="宋体"/>
                <w:kern w:val="0"/>
                <w:szCs w:val="21"/>
              </w:rPr>
              <w:t>服务要求</w:t>
            </w:r>
          </w:p>
          <w:p>
            <w:pPr>
              <w:widowControl/>
              <w:rPr>
                <w:rFonts w:ascii="宋体" w:hAnsi="宋体" w:cs="宋体"/>
                <w:kern w:val="0"/>
                <w:szCs w:val="21"/>
              </w:rPr>
            </w:pPr>
            <w:r>
              <w:rPr>
                <w:rFonts w:hint="eastAsia" w:ascii="宋体" w:hAnsi="宋体" w:cs="宋体"/>
                <w:kern w:val="0"/>
                <w:szCs w:val="21"/>
              </w:rPr>
              <w:t>2.提供符合标准的该种标签的供应渠道，方便以后图书电子标签的采购、补充。</w:t>
            </w:r>
          </w:p>
          <w:p>
            <w:pPr>
              <w:widowControl/>
              <w:rPr>
                <w:rFonts w:ascii="宋体" w:hAnsi="宋体" w:cs="宋体"/>
                <w:kern w:val="0"/>
                <w:szCs w:val="21"/>
              </w:rPr>
            </w:pPr>
            <w:r>
              <w:rPr>
                <w:rFonts w:hint="eastAsia" w:ascii="宋体" w:hAnsi="宋体" w:cs="宋体"/>
                <w:kern w:val="0"/>
                <w:szCs w:val="21"/>
              </w:rPr>
              <w:t>3.根据图书馆需要安排标签加工人员驻馆加工，完成图书的标签加工和数据转换。</w:t>
            </w:r>
          </w:p>
          <w:p>
            <w:pPr>
              <w:widowControl/>
              <w:rPr>
                <w:rFonts w:ascii="宋体" w:hAnsi="宋体" w:cs="宋体"/>
                <w:kern w:val="0"/>
                <w:szCs w:val="21"/>
              </w:rPr>
            </w:pPr>
            <w:r>
              <w:rPr>
                <w:rFonts w:hint="eastAsia" w:ascii="宋体" w:hAnsi="宋体" w:cs="宋体"/>
                <w:kern w:val="0"/>
                <w:szCs w:val="21"/>
              </w:rPr>
              <w:t>4.因加工人员操作不当造成图书损坏的，应按图书馆相关规定赔偿。</w:t>
            </w:r>
          </w:p>
          <w:p>
            <w:pPr>
              <w:rPr>
                <w:rFonts w:ascii="宋体" w:hAnsi="宋体" w:cs="宋体"/>
                <w:bCs/>
                <w:kern w:val="0"/>
                <w:szCs w:val="21"/>
              </w:rPr>
            </w:pPr>
            <w:r>
              <w:rPr>
                <w:rFonts w:hint="eastAsia" w:ascii="宋体" w:hAnsi="宋体" w:cs="宋体"/>
                <w:kern w:val="0"/>
                <w:szCs w:val="21"/>
              </w:rPr>
              <w:t>5.投标人应提供最优化的数据结构存储方案和存取管理程序，优化读取速度，提高处理的效率。</w:t>
            </w:r>
          </w:p>
        </w:tc>
        <w:tc>
          <w:tcPr>
            <w:tcW w:w="734" w:type="dxa"/>
            <w:vAlign w:val="center"/>
          </w:tcPr>
          <w:p>
            <w:pPr>
              <w:jc w:val="center"/>
              <w:rPr>
                <w:rFonts w:ascii="宋体" w:hAnsi="宋体" w:cs="宋体"/>
                <w:szCs w:val="21"/>
              </w:rPr>
            </w:pPr>
            <w:r>
              <w:rPr>
                <w:rFonts w:hint="eastAsia" w:ascii="宋体" w:hAnsi="宋体" w:cs="宋体"/>
                <w:szCs w:val="21"/>
              </w:rPr>
              <w:t>20000个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18</w:t>
            </w:r>
          </w:p>
        </w:tc>
        <w:tc>
          <w:tcPr>
            <w:tcW w:w="1545" w:type="dxa"/>
            <w:vAlign w:val="center"/>
          </w:tcPr>
          <w:p>
            <w:pPr>
              <w:jc w:val="center"/>
              <w:rPr>
                <w:rFonts w:ascii="宋体" w:hAnsi="宋体" w:cs="宋体"/>
                <w:szCs w:val="21"/>
              </w:rPr>
            </w:pPr>
            <w:r>
              <w:rPr>
                <w:rFonts w:hint="eastAsia" w:ascii="宋体" w:hAnsi="宋体" w:cs="宋体"/>
                <w:szCs w:val="21"/>
              </w:rPr>
              <w:t>全网行为管理</w:t>
            </w:r>
          </w:p>
        </w:tc>
        <w:tc>
          <w:tcPr>
            <w:tcW w:w="7335" w:type="dxa"/>
            <w:vAlign w:val="center"/>
          </w:tcPr>
          <w:p>
            <w:pPr>
              <w:rPr>
                <w:rFonts w:ascii="宋体" w:hAnsi="宋体" w:cs="宋体"/>
                <w:kern w:val="0"/>
                <w:szCs w:val="21"/>
              </w:rPr>
            </w:pPr>
            <w:r>
              <w:rPr>
                <w:rFonts w:hint="eastAsia" w:ascii="宋体" w:hAnsi="宋体" w:cs="宋体"/>
                <w:kern w:val="0"/>
                <w:szCs w:val="21"/>
              </w:rPr>
              <w:t>一、性能要求：</w:t>
            </w:r>
          </w:p>
          <w:p>
            <w:pPr>
              <w:rPr>
                <w:rFonts w:ascii="宋体" w:hAnsi="宋体" w:cs="宋体"/>
                <w:kern w:val="0"/>
                <w:szCs w:val="21"/>
              </w:rPr>
            </w:pPr>
            <w:r>
              <w:rPr>
                <w:rFonts w:hint="eastAsia" w:ascii="宋体" w:hAnsi="宋体" w:cs="宋体"/>
                <w:kern w:val="0"/>
                <w:szCs w:val="21"/>
              </w:rPr>
              <w:t>1.网络层吞吐量（大包）不少于5.8Gb，支持用户数不少于4000，准入终端数（默认客户端授权数）不少于2000，每秒新建连接数不低于10000，最大并发连接数不低于500000。</w:t>
            </w:r>
          </w:p>
          <w:p>
            <w:pPr>
              <w:rPr>
                <w:rFonts w:ascii="宋体" w:hAnsi="宋体" w:cs="宋体"/>
                <w:kern w:val="0"/>
                <w:szCs w:val="21"/>
              </w:rPr>
            </w:pPr>
            <w:r>
              <w:rPr>
                <w:rFonts w:hint="eastAsia" w:ascii="宋体" w:hAnsi="宋体" w:cs="宋体"/>
                <w:kern w:val="0"/>
                <w:szCs w:val="21"/>
              </w:rPr>
              <w:t>2.内存不低于4G，硬盘不低于1T SATA，接口不少于6千兆电口+2千兆光口SFP。</w:t>
            </w:r>
          </w:p>
          <w:p>
            <w:pPr>
              <w:rPr>
                <w:rFonts w:ascii="宋体" w:hAnsi="宋体" w:cs="宋体"/>
                <w:color w:val="auto"/>
                <w:kern w:val="0"/>
                <w:szCs w:val="21"/>
              </w:rPr>
            </w:pPr>
            <w:r>
              <w:rPr>
                <w:rFonts w:hint="eastAsia" w:ascii="宋体" w:hAnsi="宋体" w:cs="宋体"/>
                <w:color w:val="auto"/>
                <w:kern w:val="0"/>
                <w:szCs w:val="21"/>
              </w:rPr>
              <w:t>二、功能要求：</w:t>
            </w:r>
          </w:p>
          <w:p>
            <w:pPr>
              <w:rPr>
                <w:rFonts w:ascii="宋体" w:hAnsi="宋体" w:cs="宋体"/>
                <w:color w:val="auto"/>
                <w:kern w:val="0"/>
                <w:szCs w:val="21"/>
              </w:rPr>
            </w:pPr>
            <w:r>
              <w:rPr>
                <w:rFonts w:hint="eastAsia" w:ascii="宋体" w:hAnsi="宋体" w:cs="宋体"/>
                <w:color w:val="auto"/>
                <w:kern w:val="0"/>
                <w:szCs w:val="21"/>
              </w:rPr>
              <w:t>1.所有核心功能（上网认证、应用控制、流量控制、内容审计、日志报表等）都支持IPv6；；</w:t>
            </w:r>
          </w:p>
          <w:p>
            <w:pPr>
              <w:rPr>
                <w:rFonts w:ascii="宋体" w:hAnsi="宋体" w:cs="宋体"/>
                <w:color w:val="auto"/>
                <w:kern w:val="0"/>
                <w:szCs w:val="21"/>
              </w:rPr>
            </w:pPr>
            <w:r>
              <w:rPr>
                <w:rFonts w:hint="eastAsia" w:ascii="宋体" w:hAnsi="宋体" w:cs="宋体"/>
                <w:color w:val="auto"/>
                <w:kern w:val="0"/>
                <w:szCs w:val="21"/>
              </w:rPr>
              <w:t>2.支持网关模式，网桥模式，旁路模式，多路桥接，虚拟化模式</w:t>
            </w:r>
          </w:p>
          <w:p>
            <w:pPr>
              <w:rPr>
                <w:rFonts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.支持对单用户进行定向web访问质量检测</w:t>
            </w:r>
          </w:p>
          <w:p>
            <w:pPr>
              <w:rPr>
                <w:rFonts w:ascii="宋体" w:hAnsi="宋体" w:cs="宋体"/>
                <w:color w:val="auto"/>
                <w:kern w:val="0"/>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.支持PPS异常、丢包异常、ARP异常、内网DOS攻击等异常情况实时监测，显示每日异常事件个数及情况；</w:t>
            </w:r>
          </w:p>
          <w:p>
            <w:pPr>
              <w:rPr>
                <w:rFonts w:ascii="宋体" w:hAnsi="宋体" w:cs="宋体"/>
                <w:color w:val="auto"/>
                <w:kern w:val="0"/>
                <w:szCs w:val="21"/>
              </w:rPr>
            </w:pPr>
            <w:r>
              <w:rPr>
                <w:rFonts w:hint="eastAsia" w:ascii="宋体" w:hAnsi="宋体" w:cs="宋体"/>
                <w:color w:val="auto"/>
                <w:kern w:val="0"/>
                <w:szCs w:val="21"/>
                <w:lang w:val="en-US" w:eastAsia="zh-CN"/>
              </w:rPr>
              <w:t>5</w:t>
            </w:r>
            <w:r>
              <w:rPr>
                <w:rFonts w:hint="eastAsia" w:ascii="宋体" w:hAnsi="宋体" w:cs="宋体"/>
                <w:color w:val="auto"/>
                <w:kern w:val="0"/>
                <w:szCs w:val="21"/>
              </w:rPr>
              <w:t>.支持多种认证方式，包括本地用户名密码、第三方服务器、短信认证、微信认证、二维码认证等</w:t>
            </w:r>
          </w:p>
          <w:p>
            <w:pPr>
              <w:rPr>
                <w:rFonts w:ascii="宋体" w:hAnsi="宋体" w:cs="宋体"/>
                <w:kern w:val="0"/>
                <w:szCs w:val="21"/>
              </w:rPr>
            </w:pPr>
            <w:r>
              <w:rPr>
                <w:rFonts w:hint="eastAsia" w:ascii="宋体" w:hAnsi="宋体" w:cs="宋体"/>
                <w:kern w:val="0"/>
                <w:szCs w:val="21"/>
              </w:rPr>
              <w:t>三、产品资质要求：</w:t>
            </w:r>
          </w:p>
          <w:p>
            <w:pPr>
              <w:rPr>
                <w:rFonts w:ascii="宋体" w:hAnsi="宋体" w:cs="宋体"/>
                <w:kern w:val="0"/>
                <w:szCs w:val="21"/>
              </w:rPr>
            </w:pPr>
            <w:r>
              <w:rPr>
                <w:rFonts w:hint="eastAsia" w:ascii="宋体" w:hAnsi="宋体" w:cs="宋体"/>
                <w:kern w:val="0"/>
                <w:szCs w:val="21"/>
              </w:rPr>
              <w:t>1.公安部颁发的《终端接入控制（一级）安全专用产品销售许可证》</w:t>
            </w:r>
          </w:p>
          <w:p>
            <w:pPr>
              <w:rPr>
                <w:rFonts w:ascii="宋体" w:hAnsi="宋体" w:cs="宋体"/>
                <w:kern w:val="0"/>
                <w:szCs w:val="21"/>
              </w:rPr>
            </w:pPr>
            <w:r>
              <w:rPr>
                <w:rFonts w:hint="eastAsia" w:ascii="宋体" w:hAnsi="宋体" w:cs="宋体"/>
                <w:kern w:val="0"/>
                <w:szCs w:val="21"/>
              </w:rPr>
              <w:t>投标厂商要求：</w:t>
            </w:r>
          </w:p>
          <w:p>
            <w:pPr>
              <w:rPr>
                <w:rFonts w:ascii="宋体" w:hAnsi="宋体" w:cs="宋体"/>
                <w:b w:val="0"/>
                <w:bCs w:val="0"/>
                <w:kern w:val="0"/>
                <w:szCs w:val="21"/>
              </w:rPr>
            </w:pPr>
            <w:r>
              <w:rPr>
                <w:rFonts w:hint="eastAsia" w:ascii="宋体" w:hAnsi="宋体" w:cs="宋体"/>
                <w:b w:val="0"/>
                <w:bCs w:val="0"/>
                <w:kern w:val="0"/>
                <w:szCs w:val="21"/>
              </w:rPr>
              <w:t>★1.国家应急中心应急支撑单位CNCERT证书（国家级）</w:t>
            </w:r>
          </w:p>
          <w:p>
            <w:pPr>
              <w:rPr>
                <w:rFonts w:ascii="宋体" w:hAnsi="宋体" w:cs="宋体"/>
                <w:b w:val="0"/>
                <w:bCs w:val="0"/>
                <w:kern w:val="0"/>
                <w:szCs w:val="21"/>
              </w:rPr>
            </w:pPr>
            <w:r>
              <w:rPr>
                <w:rFonts w:hint="eastAsia" w:ascii="宋体" w:hAnsi="宋体" w:cs="宋体"/>
                <w:b w:val="0"/>
                <w:bCs w:val="0"/>
                <w:kern w:val="0"/>
                <w:szCs w:val="21"/>
              </w:rPr>
              <w:t>★2.厂商软件研发实力需通过CMMI L5认证</w:t>
            </w:r>
          </w:p>
          <w:p>
            <w:pPr>
              <w:rPr>
                <w:rFonts w:ascii="宋体" w:hAnsi="宋体" w:cs="宋体"/>
                <w:kern w:val="0"/>
                <w:szCs w:val="21"/>
              </w:rPr>
            </w:pPr>
            <w:r>
              <w:rPr>
                <w:rFonts w:hint="eastAsia" w:ascii="宋体" w:hAnsi="宋体" w:cs="宋体"/>
                <w:b w:val="0"/>
                <w:bCs w:val="0"/>
                <w:kern w:val="0"/>
                <w:szCs w:val="21"/>
              </w:rPr>
              <w:t>★3.要求所投产品的生产厂商具备中国网络安全审查技术与认证中心的信息安全软件开发服务资质，提供有效证书复印件。</w:t>
            </w:r>
          </w:p>
        </w:tc>
        <w:tc>
          <w:tcPr>
            <w:tcW w:w="734" w:type="dxa"/>
            <w:vAlign w:val="center"/>
          </w:tcPr>
          <w:p>
            <w:pPr>
              <w:jc w:val="center"/>
              <w:rPr>
                <w:rFonts w:ascii="宋体" w:hAnsi="宋体" w:cs="宋体"/>
                <w:szCs w:val="21"/>
              </w:rPr>
            </w:pPr>
            <w:r>
              <w:rPr>
                <w:rFonts w:hint="eastAsia" w:ascii="宋体" w:hAnsi="宋体" w:cs="宋体"/>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19</w:t>
            </w:r>
          </w:p>
        </w:tc>
        <w:tc>
          <w:tcPr>
            <w:tcW w:w="1545" w:type="dxa"/>
            <w:vAlign w:val="center"/>
          </w:tcPr>
          <w:p>
            <w:pPr>
              <w:jc w:val="center"/>
              <w:rPr>
                <w:rFonts w:ascii="宋体" w:hAnsi="宋体" w:cs="宋体"/>
                <w:szCs w:val="21"/>
              </w:rPr>
            </w:pPr>
            <w:r>
              <w:rPr>
                <w:rFonts w:hint="eastAsia" w:ascii="宋体" w:hAnsi="宋体" w:cs="宋体"/>
                <w:b w:val="0"/>
                <w:bCs w:val="0"/>
                <w:szCs w:val="21"/>
              </w:rPr>
              <w:t>终端杀毒检测</w:t>
            </w:r>
            <w:r>
              <w:rPr>
                <w:rFonts w:hint="eastAsia" w:ascii="宋体" w:hAnsi="宋体" w:cs="宋体"/>
                <w:b/>
                <w:bCs/>
                <w:szCs w:val="21"/>
              </w:rPr>
              <w:t>平台</w:t>
            </w:r>
          </w:p>
        </w:tc>
        <w:tc>
          <w:tcPr>
            <w:tcW w:w="7335" w:type="dxa"/>
            <w:vAlign w:val="center"/>
          </w:tcPr>
          <w:p>
            <w:pPr>
              <w:rPr>
                <w:rFonts w:ascii="宋体" w:hAnsi="宋体" w:cs="宋体"/>
                <w:kern w:val="0"/>
                <w:szCs w:val="21"/>
              </w:rPr>
            </w:pPr>
            <w:r>
              <w:rPr>
                <w:rFonts w:hint="eastAsia" w:ascii="宋体" w:hAnsi="宋体" w:cs="宋体"/>
                <w:kern w:val="0"/>
                <w:szCs w:val="21"/>
              </w:rPr>
              <w:t>一、性能要求：</w:t>
            </w:r>
          </w:p>
          <w:p>
            <w:pPr>
              <w:rPr>
                <w:rFonts w:ascii="宋体" w:hAnsi="宋体" w:cs="宋体"/>
                <w:color w:val="auto"/>
                <w:kern w:val="0"/>
                <w:szCs w:val="21"/>
              </w:rPr>
            </w:pPr>
            <w:r>
              <w:rPr>
                <w:rFonts w:hint="eastAsia" w:ascii="宋体" w:hAnsi="宋体" w:cs="宋体"/>
                <w:color w:val="auto"/>
                <w:kern w:val="0"/>
                <w:szCs w:val="21"/>
              </w:rPr>
              <w:t>1.最大支持管控2000点EDR客户端数量，提供不少于200套PC端端点安全防护软件，不少于5套服务器端端点安全防护软件。</w:t>
            </w:r>
          </w:p>
          <w:p>
            <w:pPr>
              <w:rPr>
                <w:rFonts w:ascii="宋体" w:hAnsi="宋体" w:cs="宋体"/>
                <w:color w:val="auto"/>
                <w:kern w:val="0"/>
                <w:szCs w:val="21"/>
              </w:rPr>
            </w:pPr>
            <w:r>
              <w:rPr>
                <w:rFonts w:hint="eastAsia" w:ascii="宋体" w:hAnsi="宋体" w:cs="宋体"/>
                <w:color w:val="auto"/>
                <w:kern w:val="0"/>
                <w:szCs w:val="21"/>
              </w:rPr>
              <w:t>功能要求：</w:t>
            </w:r>
          </w:p>
          <w:p>
            <w:pPr>
              <w:rPr>
                <w:rFonts w:ascii="宋体" w:hAnsi="宋体" w:cs="宋体"/>
                <w:color w:val="auto"/>
                <w:kern w:val="0"/>
                <w:szCs w:val="21"/>
              </w:rPr>
            </w:pPr>
            <w:r>
              <w:rPr>
                <w:rFonts w:hint="eastAsia" w:ascii="宋体" w:hAnsi="宋体" w:cs="宋体"/>
                <w:color w:val="auto"/>
                <w:kern w:val="0"/>
                <w:szCs w:val="21"/>
              </w:rPr>
              <w:t>2.产品为纯软件交付，包含管理控制中心软件及终端客户端软件；</w:t>
            </w:r>
          </w:p>
          <w:p>
            <w:pPr>
              <w:rPr>
                <w:rFonts w:ascii="宋体" w:hAnsi="宋体" w:cs="宋体"/>
                <w:color w:val="auto"/>
                <w:kern w:val="0"/>
                <w:szCs w:val="21"/>
              </w:rPr>
            </w:pPr>
            <w:r>
              <w:rPr>
                <w:rFonts w:hint="eastAsia" w:ascii="宋体" w:hAnsi="宋体" w:cs="宋体"/>
                <w:color w:val="auto"/>
                <w:kern w:val="0"/>
                <w:szCs w:val="21"/>
              </w:rPr>
              <w:t>3.管理平台支持在64位的Centos7或ubuntu操作系统环境部署</w:t>
            </w:r>
          </w:p>
          <w:p>
            <w:pPr>
              <w:rPr>
                <w:rFonts w:ascii="宋体" w:hAnsi="宋体" w:cs="宋体"/>
                <w:color w:val="auto"/>
                <w:kern w:val="0"/>
                <w:szCs w:val="21"/>
              </w:rPr>
            </w:pPr>
            <w:r>
              <w:rPr>
                <w:rFonts w:hint="eastAsia" w:ascii="宋体" w:hAnsi="宋体" w:cs="宋体"/>
                <w:color w:val="auto"/>
                <w:kern w:val="0"/>
                <w:szCs w:val="21"/>
              </w:rPr>
              <w:t>4.采用B/S架构的管理控制中心，具备终端安全可视，终端统一管理，统一威胁处置，统一漏洞修复，威胁响应处置，日志记录与查询等功能</w:t>
            </w:r>
          </w:p>
          <w:p>
            <w:pPr>
              <w:rPr>
                <w:rFonts w:ascii="宋体" w:hAnsi="宋体" w:cs="宋体"/>
                <w:color w:val="auto"/>
                <w:kern w:val="0"/>
                <w:szCs w:val="21"/>
              </w:rPr>
            </w:pPr>
            <w:r>
              <w:rPr>
                <w:rFonts w:hint="eastAsia" w:ascii="宋体" w:hAnsi="宋体" w:cs="宋体"/>
                <w:color w:val="auto"/>
                <w:kern w:val="0"/>
                <w:szCs w:val="21"/>
              </w:rPr>
              <w:t>5.支持导出针对全网终端的终端风险报告，从整体分析全网安全状况，快速了解业务和网络的安全风险，提供安全规划建设建议</w:t>
            </w:r>
          </w:p>
          <w:p>
            <w:pPr>
              <w:rPr>
                <w:rFonts w:ascii="宋体" w:hAnsi="宋体" w:cs="宋体"/>
                <w:b w:val="0"/>
                <w:bCs w:val="0"/>
                <w:kern w:val="0"/>
                <w:szCs w:val="21"/>
              </w:rPr>
            </w:pPr>
            <w:r>
              <w:rPr>
                <w:rFonts w:hint="eastAsia" w:ascii="宋体" w:hAnsi="宋体" w:cs="宋体"/>
                <w:b w:val="0"/>
                <w:bCs w:val="0"/>
                <w:kern w:val="0"/>
                <w:szCs w:val="21"/>
              </w:rPr>
              <w:t>二、产品资质要求：</w:t>
            </w:r>
          </w:p>
          <w:p>
            <w:pPr>
              <w:rPr>
                <w:rFonts w:ascii="宋体" w:hAnsi="宋体" w:cs="宋体"/>
                <w:b w:val="0"/>
                <w:bCs w:val="0"/>
                <w:kern w:val="0"/>
                <w:szCs w:val="21"/>
              </w:rPr>
            </w:pPr>
            <w:r>
              <w:rPr>
                <w:rFonts w:hint="eastAsia" w:ascii="宋体" w:hAnsi="宋体" w:cs="宋体"/>
                <w:b w:val="0"/>
                <w:bCs w:val="0"/>
                <w:kern w:val="0"/>
                <w:szCs w:val="21"/>
              </w:rPr>
              <w:t>★1.提供公安部网络安全保卫局颁发的《计算机信息系统安全专用产品销售许可证》网络版防病毒产品（一级品）资质证书</w:t>
            </w:r>
          </w:p>
          <w:p>
            <w:pPr>
              <w:rPr>
                <w:rFonts w:ascii="宋体" w:hAnsi="宋体" w:cs="宋体"/>
                <w:b w:val="0"/>
                <w:bCs w:val="0"/>
                <w:kern w:val="0"/>
                <w:szCs w:val="21"/>
              </w:rPr>
            </w:pPr>
            <w:r>
              <w:rPr>
                <w:rFonts w:hint="eastAsia" w:ascii="宋体" w:hAnsi="宋体" w:cs="宋体"/>
                <w:b w:val="0"/>
                <w:bCs w:val="0"/>
                <w:kern w:val="0"/>
                <w:szCs w:val="21"/>
              </w:rPr>
              <w:t>★2、提供中华人民共和国国家版权局颁发的《计算机软件著作权登记证书》，且该证书仅针对终端安全软件的客户端软件</w:t>
            </w:r>
          </w:p>
          <w:p>
            <w:pPr>
              <w:rPr>
                <w:rFonts w:ascii="宋体" w:hAnsi="宋体" w:cs="宋体"/>
                <w:b w:val="0"/>
                <w:bCs w:val="0"/>
                <w:kern w:val="0"/>
                <w:szCs w:val="21"/>
              </w:rPr>
            </w:pPr>
            <w:r>
              <w:rPr>
                <w:rFonts w:hint="eastAsia" w:ascii="宋体" w:hAnsi="宋体" w:cs="宋体"/>
                <w:b w:val="0"/>
                <w:bCs w:val="0"/>
                <w:kern w:val="0"/>
                <w:szCs w:val="21"/>
              </w:rPr>
              <w:t>★3、提供中华人民共和国国家版权局颁发的《计算机软件著作权登记证书》，且该证书仅针对终端安全软件的平台软件</w:t>
            </w:r>
          </w:p>
          <w:p>
            <w:pPr>
              <w:rPr>
                <w:rFonts w:ascii="宋体" w:hAnsi="宋体" w:cs="宋体"/>
                <w:b w:val="0"/>
                <w:bCs w:val="0"/>
                <w:kern w:val="0"/>
                <w:szCs w:val="21"/>
              </w:rPr>
            </w:pPr>
            <w:r>
              <w:rPr>
                <w:rFonts w:hint="eastAsia" w:ascii="宋体" w:hAnsi="宋体" w:cs="宋体"/>
                <w:b w:val="0"/>
                <w:bCs w:val="0"/>
                <w:kern w:val="0"/>
                <w:szCs w:val="21"/>
              </w:rPr>
              <w:t xml:space="preserve">4.提供国际权威机构AV-Test出具的测试报告  </w:t>
            </w:r>
          </w:p>
          <w:p>
            <w:pPr>
              <w:rPr>
                <w:rFonts w:ascii="宋体" w:hAnsi="宋体" w:cs="宋体"/>
                <w:kern w:val="0"/>
                <w:szCs w:val="21"/>
              </w:rPr>
            </w:pPr>
            <w:r>
              <w:rPr>
                <w:rFonts w:hint="eastAsia" w:ascii="宋体" w:hAnsi="宋体" w:cs="宋体"/>
                <w:b w:val="0"/>
                <w:bCs w:val="0"/>
                <w:kern w:val="0"/>
                <w:szCs w:val="21"/>
              </w:rPr>
              <w:t>5.提供终端安全产品所使用检测引擎入围VirusTotal平台的资质证明</w:t>
            </w:r>
          </w:p>
        </w:tc>
        <w:tc>
          <w:tcPr>
            <w:tcW w:w="734" w:type="dxa"/>
            <w:vAlign w:val="center"/>
          </w:tcPr>
          <w:p>
            <w:pPr>
              <w:jc w:val="center"/>
              <w:rPr>
                <w:rFonts w:ascii="宋体" w:hAnsi="宋体" w:cs="宋体"/>
                <w:szCs w:val="21"/>
              </w:rPr>
            </w:pPr>
            <w:r>
              <w:rPr>
                <w:rFonts w:hint="eastAsia" w:ascii="宋体" w:hAnsi="宋体" w:cs="宋体"/>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20</w:t>
            </w:r>
          </w:p>
        </w:tc>
        <w:tc>
          <w:tcPr>
            <w:tcW w:w="1545" w:type="dxa"/>
            <w:vAlign w:val="center"/>
          </w:tcPr>
          <w:p>
            <w:pPr>
              <w:jc w:val="center"/>
              <w:rPr>
                <w:rFonts w:ascii="宋体" w:hAnsi="宋体" w:cs="宋体"/>
                <w:szCs w:val="21"/>
              </w:rPr>
            </w:pPr>
            <w:r>
              <w:rPr>
                <w:rFonts w:hint="eastAsia" w:ascii="宋体" w:hAnsi="宋体" w:cs="宋体"/>
                <w:szCs w:val="21"/>
              </w:rPr>
              <w:t>日志审计</w:t>
            </w:r>
          </w:p>
        </w:tc>
        <w:tc>
          <w:tcPr>
            <w:tcW w:w="7335" w:type="dxa"/>
            <w:vAlign w:val="center"/>
          </w:tcPr>
          <w:p>
            <w:pPr>
              <w:rPr>
                <w:rFonts w:ascii="宋体" w:hAnsi="宋体" w:cs="宋体"/>
                <w:kern w:val="0"/>
                <w:szCs w:val="21"/>
              </w:rPr>
            </w:pPr>
            <w:r>
              <w:rPr>
                <w:rFonts w:hint="eastAsia" w:ascii="宋体" w:hAnsi="宋体" w:cs="宋体"/>
                <w:kern w:val="0"/>
                <w:szCs w:val="21"/>
              </w:rPr>
              <w:t>一、性能要求：</w:t>
            </w:r>
          </w:p>
          <w:p>
            <w:pPr>
              <w:rPr>
                <w:rFonts w:ascii="宋体" w:hAnsi="宋体" w:cs="宋体"/>
                <w:kern w:val="0"/>
                <w:szCs w:val="21"/>
              </w:rPr>
            </w:pPr>
            <w:r>
              <w:rPr>
                <w:rFonts w:hint="eastAsia" w:ascii="宋体" w:hAnsi="宋体" w:cs="宋体"/>
                <w:kern w:val="0"/>
                <w:szCs w:val="21"/>
              </w:rPr>
              <w:t>1.性能参数：主机审计许可证书数量不少于50，最大可扩展审计到150主机许可数，存储容量≥1TB；规格：2U，不少于6千兆电口。</w:t>
            </w:r>
          </w:p>
          <w:p>
            <w:pPr>
              <w:rPr>
                <w:rFonts w:ascii="宋体" w:hAnsi="宋体" w:cs="宋体"/>
                <w:kern w:val="0"/>
                <w:szCs w:val="21"/>
              </w:rPr>
            </w:pPr>
            <w:r>
              <w:rPr>
                <w:rFonts w:hint="eastAsia" w:ascii="宋体" w:hAnsi="宋体" w:cs="宋体"/>
                <w:kern w:val="0"/>
                <w:szCs w:val="21"/>
              </w:rPr>
              <w:t>功能要求：</w:t>
            </w:r>
          </w:p>
          <w:p>
            <w:pPr>
              <w:rPr>
                <w:rFonts w:ascii="宋体" w:hAnsi="宋体" w:cs="宋体"/>
                <w:color w:val="auto"/>
                <w:kern w:val="0"/>
                <w:szCs w:val="21"/>
              </w:rPr>
            </w:pPr>
            <w:r>
              <w:rPr>
                <w:rFonts w:hint="eastAsia" w:ascii="宋体" w:hAnsi="宋体" w:cs="宋体"/>
                <w:color w:val="auto"/>
                <w:kern w:val="0"/>
                <w:szCs w:val="21"/>
              </w:rPr>
              <w:t>1.基于审计总览形式，展示整体的审计状况，包括当前存储空间、关联事件、审计事件、日志传输趋势；支持自定义设置可显示的模块</w:t>
            </w:r>
          </w:p>
          <w:p>
            <w:pPr>
              <w:rPr>
                <w:rFonts w:ascii="宋体" w:hAnsi="宋体" w:cs="宋体"/>
                <w:color w:val="auto"/>
                <w:kern w:val="0"/>
                <w:szCs w:val="21"/>
              </w:rPr>
            </w:pPr>
            <w:r>
              <w:rPr>
                <w:rFonts w:hint="eastAsia" w:ascii="宋体" w:hAnsi="宋体" w:cs="宋体"/>
                <w:color w:val="auto"/>
                <w:kern w:val="0"/>
                <w:szCs w:val="21"/>
              </w:rPr>
              <w:t>2.支持展示关联事件类型分布TOP5、对象IP统计TOP5、事件等级分布、事件趋势、事件列表；点击查看日志可自动跳转到日志检索</w:t>
            </w:r>
          </w:p>
          <w:p>
            <w:pPr>
              <w:rPr>
                <w:rFonts w:ascii="宋体" w:hAnsi="宋体" w:cs="宋体"/>
                <w:color w:val="auto"/>
                <w:kern w:val="0"/>
                <w:szCs w:val="21"/>
              </w:rPr>
            </w:pPr>
            <w:r>
              <w:rPr>
                <w:rFonts w:hint="eastAsia" w:ascii="宋体" w:hAnsi="宋体" w:cs="宋体"/>
                <w:color w:val="auto"/>
                <w:kern w:val="0"/>
                <w:szCs w:val="21"/>
              </w:rPr>
              <w:t>3.支持多种输入方式、搜索框模糊搜索、指定语段进行语法搜索；可根据时间、严重等级等进行组合查询；可根据具体设备、来源/目的所属（可具体到外网、内网资产等）、IP地址、特征ID、URL进行具体条件搜索；支持日志进行定时刷新</w:t>
            </w:r>
          </w:p>
          <w:p>
            <w:pPr>
              <w:rPr>
                <w:rFonts w:ascii="宋体" w:hAnsi="宋体" w:cs="宋体"/>
                <w:color w:val="auto"/>
                <w:kern w:val="0"/>
                <w:szCs w:val="21"/>
              </w:rPr>
            </w:pPr>
            <w:r>
              <w:rPr>
                <w:rFonts w:hint="eastAsia" w:ascii="宋体" w:hAnsi="宋体" w:cs="宋体"/>
                <w:color w:val="auto"/>
                <w:kern w:val="0"/>
                <w:szCs w:val="21"/>
              </w:rPr>
              <w:t>4.管理员账号可对本设备及所有接入设备的任何登陆、编辑、删除等操作进行记录</w:t>
            </w:r>
          </w:p>
          <w:p>
            <w:pPr>
              <w:rPr>
                <w:rFonts w:ascii="宋体" w:hAnsi="宋体" w:cs="宋体"/>
                <w:color w:val="auto"/>
                <w:kern w:val="0"/>
                <w:szCs w:val="21"/>
              </w:rPr>
            </w:pPr>
            <w:r>
              <w:rPr>
                <w:rFonts w:hint="eastAsia" w:ascii="宋体" w:hAnsi="宋体" w:cs="宋体"/>
                <w:color w:val="auto"/>
                <w:kern w:val="0"/>
                <w:szCs w:val="21"/>
              </w:rPr>
              <w:t>5.支持以标准syslog等形式接收第三方设备的日志并存储；支持FTP、Webservice、JDBC的日志数据拉取接入方式；支持通过agent、wmi接口采集windows日志；支持对常见安全设备日志范式解析；支持通过SIEM日志解析引擎对第三方日志接入模块进行统一独立的升级维护</w:t>
            </w:r>
          </w:p>
          <w:p>
            <w:pPr>
              <w:rPr>
                <w:rFonts w:ascii="宋体" w:hAnsi="宋体" w:cs="宋体"/>
                <w:b w:val="0"/>
                <w:bCs w:val="0"/>
                <w:kern w:val="0"/>
                <w:szCs w:val="21"/>
              </w:rPr>
            </w:pPr>
            <w:r>
              <w:rPr>
                <w:rFonts w:hint="eastAsia" w:ascii="宋体" w:hAnsi="宋体" w:cs="宋体"/>
                <w:b w:val="0"/>
                <w:bCs w:val="0"/>
                <w:kern w:val="0"/>
                <w:szCs w:val="21"/>
              </w:rPr>
              <w:t>二、产品资质要求：</w:t>
            </w:r>
          </w:p>
          <w:p>
            <w:pPr>
              <w:rPr>
                <w:rFonts w:ascii="宋体" w:hAnsi="宋体" w:cs="宋体"/>
                <w:b w:val="0"/>
                <w:bCs w:val="0"/>
                <w:kern w:val="0"/>
                <w:szCs w:val="21"/>
              </w:rPr>
            </w:pPr>
            <w:r>
              <w:rPr>
                <w:rFonts w:hint="eastAsia" w:ascii="宋体" w:hAnsi="宋体" w:cs="宋体"/>
                <w:b w:val="0"/>
                <w:bCs w:val="0"/>
                <w:kern w:val="0"/>
                <w:szCs w:val="21"/>
              </w:rPr>
              <w:t>★1.要求具备公安颁发的日志分析（一级）安全专用产品销售许可证</w:t>
            </w:r>
          </w:p>
          <w:p>
            <w:pPr>
              <w:rPr>
                <w:rFonts w:ascii="宋体" w:hAnsi="宋体" w:cs="宋体"/>
                <w:kern w:val="0"/>
                <w:szCs w:val="21"/>
              </w:rPr>
            </w:pPr>
            <w:r>
              <w:rPr>
                <w:rFonts w:hint="eastAsia" w:ascii="宋体" w:hAnsi="宋体" w:cs="宋体"/>
                <w:b w:val="0"/>
                <w:bCs w:val="0"/>
                <w:kern w:val="0"/>
                <w:szCs w:val="21"/>
              </w:rPr>
              <w:t>★2.要求具备国家版权局颁发的软件著作权登记证书</w:t>
            </w:r>
          </w:p>
        </w:tc>
        <w:tc>
          <w:tcPr>
            <w:tcW w:w="734" w:type="dxa"/>
            <w:vAlign w:val="center"/>
          </w:tcPr>
          <w:p>
            <w:pPr>
              <w:jc w:val="center"/>
              <w:rPr>
                <w:rFonts w:ascii="宋体" w:hAnsi="宋体" w:cs="宋体"/>
                <w:szCs w:val="21"/>
              </w:rPr>
            </w:pPr>
            <w:r>
              <w:rPr>
                <w:rFonts w:hint="eastAsia" w:ascii="宋体" w:hAnsi="宋体" w:cs="宋体"/>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宋体" w:hAnsi="宋体" w:cs="宋体"/>
                <w:szCs w:val="21"/>
              </w:rPr>
            </w:pPr>
            <w:r>
              <w:rPr>
                <w:rFonts w:hint="eastAsia" w:ascii="宋体" w:hAnsi="宋体" w:cs="宋体"/>
                <w:szCs w:val="21"/>
              </w:rPr>
              <w:t>21</w:t>
            </w:r>
          </w:p>
        </w:tc>
        <w:tc>
          <w:tcPr>
            <w:tcW w:w="1545" w:type="dxa"/>
            <w:vAlign w:val="center"/>
          </w:tcPr>
          <w:p>
            <w:pPr>
              <w:jc w:val="center"/>
              <w:rPr>
                <w:rFonts w:ascii="宋体" w:hAnsi="宋体" w:cs="宋体"/>
                <w:szCs w:val="21"/>
              </w:rPr>
            </w:pPr>
            <w:r>
              <w:rPr>
                <w:rFonts w:hint="eastAsia" w:ascii="宋体" w:hAnsi="宋体" w:cs="宋体"/>
                <w:szCs w:val="21"/>
              </w:rPr>
              <w:t>数据库</w:t>
            </w:r>
          </w:p>
        </w:tc>
        <w:tc>
          <w:tcPr>
            <w:tcW w:w="7335" w:type="dxa"/>
            <w:vAlign w:val="center"/>
          </w:tcPr>
          <w:p>
            <w:pPr>
              <w:numPr>
                <w:ilvl w:val="0"/>
                <w:numId w:val="9"/>
              </w:numPr>
              <w:rPr>
                <w:rFonts w:hint="eastAsia" w:ascii="宋体" w:hAnsi="宋体" w:cs="宋体"/>
                <w:kern w:val="0"/>
                <w:szCs w:val="21"/>
              </w:rPr>
            </w:pPr>
            <w:r>
              <w:rPr>
                <w:rFonts w:hint="eastAsia" w:ascii="宋体" w:hAnsi="宋体" w:cs="宋体"/>
                <w:kern w:val="0"/>
                <w:szCs w:val="21"/>
              </w:rPr>
              <w:t>学术期刊（网络版）</w:t>
            </w:r>
          </w:p>
          <w:p>
            <w:pPr>
              <w:numPr>
                <w:ilvl w:val="0"/>
                <w:numId w:val="0"/>
              </w:numPr>
              <w:rPr>
                <w:rFonts w:ascii="宋体" w:hAnsi="宋体" w:cs="宋体"/>
                <w:kern w:val="0"/>
                <w:szCs w:val="21"/>
              </w:rPr>
            </w:pPr>
            <w:r>
              <w:rPr>
                <w:rFonts w:hint="eastAsia" w:ascii="宋体" w:hAnsi="宋体" w:cs="宋体"/>
                <w:kern w:val="0"/>
                <w:szCs w:val="21"/>
              </w:rPr>
              <w:t>收录范围：我国公开出版发行的学术期刊（含英文版）全文文献，包括基础与应用基础研究、技术研究、工程研究、工程与项目管理、技术开发、实用工程技术、行业技术发展与评论、高级科普、学科教育教学类期刊。</w:t>
            </w:r>
          </w:p>
          <w:p>
            <w:pPr>
              <w:rPr>
                <w:rFonts w:ascii="宋体" w:hAnsi="宋体" w:cs="宋体"/>
                <w:kern w:val="0"/>
                <w:szCs w:val="21"/>
              </w:rPr>
            </w:pPr>
            <w:r>
              <w:rPr>
                <w:rFonts w:hint="eastAsia" w:ascii="宋体" w:hAnsi="宋体" w:cs="宋体"/>
                <w:kern w:val="0"/>
                <w:szCs w:val="21"/>
              </w:rPr>
              <w:t>期刊文献收录完整率</w:t>
            </w:r>
            <w:r>
              <w:rPr>
                <w:rFonts w:hint="eastAsia" w:ascii="宋体" w:hAnsi="宋体" w:cs="宋体"/>
                <w:kern w:val="0"/>
                <w:szCs w:val="21"/>
                <w:lang w:eastAsia="zh-CN"/>
              </w:rPr>
              <w:t>：</w:t>
            </w:r>
            <w:r>
              <w:rPr>
                <w:rFonts w:hint="eastAsia" w:ascii="宋体" w:hAnsi="宋体" w:cs="宋体"/>
                <w:kern w:val="0"/>
                <w:szCs w:val="21"/>
              </w:rPr>
              <w:t>核心期刊、重要评价性数据库来源期刊完整率高于95%；其它学术期刊完整率高于93%。</w:t>
            </w:r>
          </w:p>
          <w:p>
            <w:pPr>
              <w:rPr>
                <w:rFonts w:hint="eastAsia" w:ascii="宋体" w:hAnsi="宋体" w:cs="宋体"/>
                <w:kern w:val="0"/>
                <w:szCs w:val="21"/>
              </w:rPr>
            </w:pPr>
            <w:r>
              <w:rPr>
                <w:rFonts w:hint="eastAsia" w:ascii="宋体" w:hAnsi="宋体" w:cs="宋体"/>
                <w:kern w:val="0"/>
                <w:szCs w:val="21"/>
              </w:rPr>
              <w:t>出版时效：网络数据每日更新。平均不迟于纸质期刊出版之后2个月。</w:t>
            </w:r>
          </w:p>
          <w:p>
            <w:pPr>
              <w:rPr>
                <w:rFonts w:ascii="宋体" w:hAnsi="宋体" w:cs="宋体"/>
                <w:kern w:val="0"/>
                <w:szCs w:val="21"/>
              </w:rPr>
            </w:pPr>
            <w:r>
              <w:rPr>
                <w:rFonts w:hint="eastAsia" w:ascii="宋体" w:hAnsi="宋体" w:cs="宋体"/>
                <w:kern w:val="0"/>
                <w:szCs w:val="21"/>
              </w:rPr>
              <w:t>服务年限：2022年-202</w:t>
            </w:r>
            <w:r>
              <w:rPr>
                <w:rFonts w:hint="eastAsia" w:ascii="宋体" w:hAnsi="宋体" w:cs="宋体"/>
                <w:kern w:val="0"/>
                <w:szCs w:val="21"/>
                <w:lang w:eastAsia="zh-CN"/>
              </w:rPr>
              <w:t>4</w:t>
            </w:r>
            <w:r>
              <w:rPr>
                <w:rFonts w:hint="eastAsia" w:ascii="宋体" w:hAnsi="宋体" w:cs="宋体"/>
                <w:kern w:val="0"/>
                <w:szCs w:val="21"/>
              </w:rPr>
              <w:t>年；</w:t>
            </w:r>
          </w:p>
          <w:p>
            <w:pPr>
              <w:rPr>
                <w:rFonts w:ascii="宋体" w:hAnsi="宋体" w:cs="宋体"/>
                <w:kern w:val="0"/>
                <w:szCs w:val="21"/>
              </w:rPr>
            </w:pPr>
            <w:r>
              <w:rPr>
                <w:rFonts w:hint="eastAsia" w:ascii="宋体" w:hAnsi="宋体" w:cs="宋体"/>
                <w:kern w:val="0"/>
                <w:szCs w:val="21"/>
              </w:rPr>
              <w:t>服务模式：托管模式</w:t>
            </w:r>
          </w:p>
          <w:p>
            <w:pPr>
              <w:rPr>
                <w:rFonts w:ascii="宋体" w:hAnsi="宋体" w:cs="宋体"/>
                <w:kern w:val="0"/>
                <w:szCs w:val="21"/>
              </w:rPr>
            </w:pPr>
            <w:r>
              <w:rPr>
                <w:rFonts w:hint="eastAsia" w:ascii="宋体" w:hAnsi="宋体" w:cs="宋体"/>
                <w:kern w:val="0"/>
                <w:szCs w:val="21"/>
              </w:rPr>
              <w:t>二、个刊数纸统发</w:t>
            </w:r>
          </w:p>
          <w:p>
            <w:pPr>
              <w:rPr>
                <w:rFonts w:ascii="宋体" w:hAnsi="宋体" w:cs="宋体"/>
                <w:kern w:val="0"/>
                <w:szCs w:val="21"/>
              </w:rPr>
            </w:pPr>
            <w:r>
              <w:rPr>
                <w:rFonts w:hint="eastAsia" w:ascii="宋体" w:hAnsi="宋体" w:cs="宋体"/>
                <w:kern w:val="0"/>
                <w:szCs w:val="21"/>
              </w:rPr>
              <w:t>收录范围：我国新闻出版总署审核批准公开发行的学术期刊，其中学术质量与使用量双优、且编辑部决策按个刊发行的期刊。</w:t>
            </w:r>
          </w:p>
          <w:p>
            <w:pPr>
              <w:rPr>
                <w:rFonts w:ascii="宋体" w:hAnsi="宋体" w:cs="宋体"/>
                <w:kern w:val="0"/>
                <w:szCs w:val="21"/>
              </w:rPr>
            </w:pPr>
            <w:r>
              <w:rPr>
                <w:rFonts w:hint="eastAsia" w:ascii="宋体" w:hAnsi="宋体" w:cs="宋体"/>
                <w:kern w:val="0"/>
                <w:szCs w:val="21"/>
              </w:rPr>
              <w:t>服务范围：全库；</w:t>
            </w:r>
          </w:p>
          <w:p>
            <w:pPr>
              <w:rPr>
                <w:rFonts w:ascii="宋体" w:hAnsi="宋体" w:cs="宋体"/>
                <w:kern w:val="0"/>
                <w:szCs w:val="21"/>
              </w:rPr>
            </w:pPr>
            <w:r>
              <w:rPr>
                <w:rFonts w:hint="eastAsia" w:ascii="宋体" w:hAnsi="宋体" w:cs="宋体"/>
                <w:kern w:val="0"/>
                <w:szCs w:val="21"/>
              </w:rPr>
              <w:t>服务年限：2022年-2024年；</w:t>
            </w:r>
          </w:p>
          <w:p>
            <w:pPr>
              <w:rPr>
                <w:rFonts w:ascii="宋体" w:hAnsi="宋体" w:cs="宋体"/>
                <w:kern w:val="0"/>
                <w:szCs w:val="21"/>
              </w:rPr>
            </w:pPr>
            <w:r>
              <w:rPr>
                <w:rFonts w:hint="eastAsia" w:ascii="宋体" w:hAnsi="宋体" w:cs="宋体"/>
                <w:kern w:val="0"/>
                <w:szCs w:val="21"/>
              </w:rPr>
              <w:t>服务模式：流量模式</w:t>
            </w:r>
          </w:p>
          <w:p>
            <w:pPr>
              <w:rPr>
                <w:rFonts w:ascii="宋体" w:hAnsi="宋体" w:cs="宋体"/>
                <w:kern w:val="0"/>
                <w:szCs w:val="21"/>
              </w:rPr>
            </w:pPr>
            <w:r>
              <w:rPr>
                <w:rFonts w:hint="eastAsia" w:ascii="宋体" w:hAnsi="宋体" w:cs="宋体"/>
                <w:kern w:val="0"/>
                <w:szCs w:val="21"/>
              </w:rPr>
              <w:t>三、优秀硕士学位论文全文数据库</w:t>
            </w:r>
          </w:p>
          <w:p>
            <w:pPr>
              <w:rPr>
                <w:rFonts w:hint="eastAsia" w:ascii="宋体" w:hAnsi="宋体" w:cs="宋体"/>
                <w:kern w:val="0"/>
                <w:szCs w:val="21"/>
              </w:rPr>
            </w:pPr>
            <w:r>
              <w:rPr>
                <w:rFonts w:hint="eastAsia" w:ascii="宋体" w:hAnsi="宋体" w:cs="宋体"/>
                <w:kern w:val="0"/>
                <w:szCs w:val="21"/>
              </w:rPr>
              <w:t>收录范围：具有博士学位授予权单位的硕士学位论文以及全国无博士学位授予权单位的优秀硕士学位论文。</w:t>
            </w:r>
          </w:p>
          <w:p>
            <w:pPr>
              <w:rPr>
                <w:rFonts w:ascii="宋体" w:hAnsi="宋体" w:cs="宋体"/>
                <w:kern w:val="0"/>
                <w:szCs w:val="21"/>
              </w:rPr>
            </w:pPr>
            <w:r>
              <w:rPr>
                <w:rFonts w:hint="eastAsia" w:ascii="宋体" w:hAnsi="宋体" w:cs="宋体"/>
                <w:kern w:val="0"/>
                <w:szCs w:val="21"/>
              </w:rPr>
              <w:t>收录年限</w:t>
            </w:r>
            <w:r>
              <w:rPr>
                <w:rFonts w:hint="eastAsia" w:ascii="宋体" w:hAnsi="宋体" w:cs="宋体"/>
                <w:kern w:val="0"/>
                <w:szCs w:val="21"/>
                <w:lang w:eastAsia="zh-CN"/>
              </w:rPr>
              <w:t>：</w:t>
            </w:r>
            <w:r>
              <w:rPr>
                <w:rFonts w:hint="eastAsia" w:ascii="宋体" w:hAnsi="宋体" w:cs="宋体"/>
                <w:kern w:val="0"/>
                <w:szCs w:val="21"/>
              </w:rPr>
              <w:t>从1984年至今的硕士学位论文。</w:t>
            </w:r>
          </w:p>
          <w:p>
            <w:pPr>
              <w:rPr>
                <w:rFonts w:ascii="宋体" w:hAnsi="宋体" w:cs="宋体"/>
                <w:kern w:val="0"/>
                <w:szCs w:val="21"/>
              </w:rPr>
            </w:pPr>
            <w:r>
              <w:rPr>
                <w:rFonts w:hint="eastAsia" w:ascii="宋体" w:hAnsi="宋体" w:cs="宋体"/>
                <w:kern w:val="0"/>
                <w:szCs w:val="21"/>
              </w:rPr>
              <w:t>服务范围：FGH专辑；</w:t>
            </w:r>
          </w:p>
          <w:p>
            <w:pPr>
              <w:rPr>
                <w:rFonts w:ascii="宋体" w:hAnsi="宋体" w:cs="宋体"/>
                <w:kern w:val="0"/>
                <w:szCs w:val="21"/>
              </w:rPr>
            </w:pPr>
            <w:r>
              <w:rPr>
                <w:rFonts w:hint="eastAsia" w:ascii="宋体" w:hAnsi="宋体" w:cs="宋体"/>
                <w:kern w:val="0"/>
                <w:szCs w:val="21"/>
              </w:rPr>
              <w:t>服务年限：2022年-2024年；</w:t>
            </w:r>
          </w:p>
          <w:p>
            <w:pPr>
              <w:rPr>
                <w:rFonts w:ascii="宋体" w:hAnsi="宋体" w:cs="宋体"/>
                <w:kern w:val="0"/>
                <w:szCs w:val="21"/>
              </w:rPr>
            </w:pPr>
            <w:r>
              <w:rPr>
                <w:rFonts w:hint="eastAsia" w:ascii="宋体" w:hAnsi="宋体" w:cs="宋体"/>
                <w:kern w:val="0"/>
                <w:szCs w:val="21"/>
              </w:rPr>
              <w:t>服务模式：托管模式</w:t>
            </w:r>
          </w:p>
        </w:tc>
        <w:tc>
          <w:tcPr>
            <w:tcW w:w="734" w:type="dxa"/>
            <w:vAlign w:val="center"/>
          </w:tcPr>
          <w:p>
            <w:pPr>
              <w:jc w:val="center"/>
              <w:rPr>
                <w:rFonts w:ascii="宋体" w:hAnsi="宋体" w:cs="宋体"/>
                <w:szCs w:val="21"/>
              </w:rPr>
            </w:pPr>
            <w:r>
              <w:rPr>
                <w:rFonts w:hint="eastAsia" w:ascii="宋体" w:hAnsi="宋体" w:cs="宋体"/>
                <w:szCs w:val="21"/>
              </w:rPr>
              <w:t>2年</w:t>
            </w:r>
          </w:p>
        </w:tc>
      </w:tr>
    </w:tbl>
    <w:p>
      <w:bookmarkStart w:id="63" w:name="_Toc10950"/>
      <w:bookmarkStart w:id="64" w:name="_Toc27891"/>
    </w:p>
    <w:p>
      <w:r>
        <w:rPr>
          <w:rFonts w:hint="eastAsia"/>
        </w:rPr>
        <w:br w:type="page"/>
      </w:r>
    </w:p>
    <w:p>
      <w:pPr>
        <w:pStyle w:val="3"/>
        <w:jc w:val="center"/>
      </w:pPr>
      <w:bookmarkStart w:id="65" w:name="_Toc17464"/>
      <w:r>
        <w:rPr>
          <w:rFonts w:hint="eastAsia"/>
        </w:rPr>
        <w:t>第四部分  合同条款</w:t>
      </w:r>
      <w:bookmarkEnd w:id="63"/>
      <w:bookmarkEnd w:id="64"/>
      <w:bookmarkEnd w:id="65"/>
    </w:p>
    <w:p>
      <w:pPr>
        <w:jc w:val="center"/>
        <w:rPr>
          <w:b/>
          <w:bCs/>
          <w:sz w:val="44"/>
          <w:szCs w:val="44"/>
        </w:rPr>
      </w:pPr>
      <w:r>
        <w:rPr>
          <w:rFonts w:hint="eastAsia"/>
          <w:b/>
          <w:bCs/>
          <w:sz w:val="44"/>
          <w:szCs w:val="44"/>
        </w:rPr>
        <w:t>政府采购合同</w:t>
      </w:r>
    </w:p>
    <w:p>
      <w:pPr>
        <w:spacing w:line="480" w:lineRule="auto"/>
        <w:jc w:val="center"/>
        <w:rPr>
          <w:rFonts w:ascii="宋体" w:hAnsi="宋体" w:cs="宋体"/>
          <w:b/>
          <w:sz w:val="24"/>
        </w:rPr>
      </w:pPr>
      <w:r>
        <w:rPr>
          <w:rFonts w:hint="eastAsia" w:ascii="宋体" w:hAnsi="宋体" w:cs="宋体"/>
          <w:b/>
          <w:sz w:val="24"/>
        </w:rPr>
        <w:t>（货物类）</w:t>
      </w:r>
    </w:p>
    <w:p>
      <w:pPr>
        <w:pStyle w:val="48"/>
        <w:ind w:firstLine="0"/>
        <w:rPr>
          <w:rFonts w:hAnsi="宋体" w:cs="宋体"/>
          <w:szCs w:val="24"/>
        </w:rPr>
      </w:pPr>
    </w:p>
    <w:p>
      <w:pPr>
        <w:adjustRightInd w:val="0"/>
        <w:snapToGrid w:val="0"/>
        <w:spacing w:line="460" w:lineRule="exact"/>
        <w:jc w:val="center"/>
        <w:rPr>
          <w:rFonts w:ascii="宋体" w:hAnsi="宋体" w:cs="宋体"/>
          <w:sz w:val="24"/>
          <w:szCs w:val="24"/>
        </w:rPr>
      </w:pPr>
      <w:r>
        <w:rPr>
          <w:rFonts w:hint="eastAsia" w:ascii="宋体" w:hAnsi="宋体" w:cs="宋体"/>
          <w:sz w:val="24"/>
          <w:szCs w:val="24"/>
        </w:rPr>
        <w:t>（本合同仅供参考，具体以实际签订的为准）</w:t>
      </w:r>
    </w:p>
    <w:p>
      <w:pPr>
        <w:pStyle w:val="48"/>
        <w:ind w:firstLine="0"/>
        <w:rPr>
          <w:rFonts w:hAnsi="宋体" w:cs="宋体"/>
          <w:szCs w:val="24"/>
        </w:rPr>
      </w:pPr>
    </w:p>
    <w:p>
      <w:pPr>
        <w:pStyle w:val="48"/>
        <w:ind w:firstLine="0"/>
        <w:rPr>
          <w:rFonts w:hAnsi="宋体" w:cs="宋体"/>
          <w:szCs w:val="24"/>
        </w:rPr>
      </w:pPr>
    </w:p>
    <w:p>
      <w:pPr>
        <w:pStyle w:val="27"/>
        <w:spacing w:line="480" w:lineRule="auto"/>
        <w:jc w:val="center"/>
        <w:rPr>
          <w:rFonts w:hAnsi="宋体" w:cs="宋体"/>
          <w:b/>
          <w:szCs w:val="28"/>
        </w:rPr>
      </w:pPr>
      <w:r>
        <w:rPr>
          <w:rFonts w:hint="eastAsia" w:hAnsi="宋体" w:cs="宋体"/>
          <w:b/>
          <w:sz w:val="48"/>
          <w:szCs w:val="48"/>
        </w:rPr>
        <w:t xml:space="preserve">采 购 合 同 （模板） </w:t>
      </w:r>
      <w:r>
        <w:rPr>
          <w:rFonts w:hint="eastAsia" w:hAnsi="宋体" w:cs="宋体"/>
          <w:sz w:val="48"/>
          <w:szCs w:val="48"/>
        </w:rPr>
        <w:t xml:space="preserve">             </w:t>
      </w:r>
      <w:r>
        <w:rPr>
          <w:rFonts w:hint="eastAsia" w:hAnsi="宋体" w:cs="宋体"/>
          <w:szCs w:val="28"/>
        </w:rPr>
        <w:t xml:space="preserve">  </w:t>
      </w:r>
    </w:p>
    <w:p>
      <w:pPr>
        <w:widowControl/>
        <w:spacing w:line="520" w:lineRule="exact"/>
        <w:ind w:left="2682" w:leftChars="608" w:hanging="1405" w:hangingChars="500"/>
        <w:rPr>
          <w:rFonts w:ascii="宋体" w:hAnsi="宋体" w:cs="宋体"/>
          <w:b/>
          <w:sz w:val="28"/>
          <w:szCs w:val="28"/>
        </w:rPr>
      </w:pPr>
    </w:p>
    <w:p>
      <w:pPr>
        <w:widowControl/>
        <w:spacing w:line="520" w:lineRule="exact"/>
        <w:ind w:left="2881" w:leftChars="760" w:hanging="1285" w:hangingChars="400"/>
        <w:rPr>
          <w:rFonts w:ascii="宋体" w:hAnsi="宋体" w:cs="宋体"/>
          <w:b/>
          <w:sz w:val="32"/>
          <w:szCs w:val="32"/>
        </w:rPr>
      </w:pPr>
    </w:p>
    <w:p>
      <w:pPr>
        <w:spacing w:line="480" w:lineRule="exact"/>
        <w:ind w:firstLine="1606" w:firstLineChars="500"/>
        <w:rPr>
          <w:rFonts w:ascii="宋体" w:hAnsi="宋体" w:cs="宋体"/>
          <w:b/>
          <w:sz w:val="32"/>
          <w:szCs w:val="32"/>
          <w:u w:val="single"/>
        </w:rPr>
      </w:pPr>
      <w:r>
        <w:rPr>
          <w:rFonts w:hint="eastAsia" w:ascii="宋体" w:hAnsi="宋体" w:cs="宋体"/>
          <w:b/>
          <w:sz w:val="32"/>
          <w:szCs w:val="32"/>
        </w:rPr>
        <w:t>项目名称：</w:t>
      </w:r>
      <w:r>
        <w:rPr>
          <w:rFonts w:hint="eastAsia" w:ascii="宋体" w:hAnsi="宋体" w:cs="宋体"/>
          <w:b/>
          <w:sz w:val="32"/>
          <w:szCs w:val="32"/>
          <w:u w:val="single"/>
        </w:rPr>
        <w:t xml:space="preserve">                        </w:t>
      </w:r>
    </w:p>
    <w:p>
      <w:pPr>
        <w:spacing w:line="520" w:lineRule="exact"/>
        <w:jc w:val="left"/>
        <w:rPr>
          <w:rFonts w:ascii="宋体" w:hAnsi="宋体" w:cs="宋体"/>
          <w:b/>
          <w:sz w:val="32"/>
          <w:szCs w:val="32"/>
        </w:rPr>
      </w:pPr>
      <w:r>
        <w:rPr>
          <w:rFonts w:hint="eastAsia" w:ascii="宋体" w:hAnsi="宋体" w:cs="宋体"/>
          <w:b/>
          <w:sz w:val="32"/>
          <w:szCs w:val="32"/>
        </w:rPr>
        <w:t xml:space="preserve">          </w:t>
      </w:r>
    </w:p>
    <w:p>
      <w:pPr>
        <w:spacing w:line="520" w:lineRule="exact"/>
        <w:ind w:firstLine="1606" w:firstLineChars="500"/>
        <w:jc w:val="left"/>
        <w:rPr>
          <w:rFonts w:ascii="宋体" w:hAnsi="宋体" w:cs="宋体"/>
          <w:b/>
          <w:bCs/>
          <w:sz w:val="32"/>
          <w:szCs w:val="32"/>
        </w:rPr>
      </w:pPr>
      <w:r>
        <w:rPr>
          <w:rFonts w:hint="eastAsia" w:ascii="宋体" w:hAnsi="宋体" w:cs="宋体"/>
          <w:b/>
          <w:sz w:val="32"/>
          <w:szCs w:val="32"/>
        </w:rPr>
        <w:t>甲方名称：</w:t>
      </w:r>
      <w:bookmarkStart w:id="66" w:name="_Hlk11877179"/>
      <w:r>
        <w:rPr>
          <w:rFonts w:hint="eastAsia" w:ascii="宋体" w:hAnsi="宋体" w:cs="宋体"/>
          <w:b/>
          <w:bCs/>
          <w:sz w:val="32"/>
          <w:szCs w:val="32"/>
          <w:u w:val="single"/>
        </w:rPr>
        <w:t xml:space="preserve"> </w:t>
      </w:r>
      <w:bookmarkEnd w:id="66"/>
      <w:r>
        <w:rPr>
          <w:rFonts w:hint="eastAsia" w:ascii="宋体" w:hAnsi="宋体" w:cs="宋体"/>
          <w:b/>
          <w:bCs/>
          <w:sz w:val="32"/>
          <w:szCs w:val="32"/>
          <w:u w:val="single"/>
        </w:rPr>
        <w:t xml:space="preserve">                        </w:t>
      </w:r>
    </w:p>
    <w:p>
      <w:pPr>
        <w:spacing w:line="560" w:lineRule="exact"/>
        <w:jc w:val="left"/>
        <w:rPr>
          <w:rFonts w:ascii="宋体" w:hAnsi="宋体" w:cs="宋体"/>
          <w:b/>
          <w:sz w:val="32"/>
          <w:szCs w:val="32"/>
        </w:rPr>
      </w:pPr>
    </w:p>
    <w:p>
      <w:pPr>
        <w:spacing w:line="560" w:lineRule="exact"/>
        <w:ind w:firstLine="1606" w:firstLineChars="500"/>
        <w:jc w:val="left"/>
        <w:rPr>
          <w:rStyle w:val="56"/>
          <w:rFonts w:ascii="宋体" w:hAnsi="宋体" w:cs="宋体"/>
          <w:b/>
          <w:sz w:val="32"/>
          <w:szCs w:val="32"/>
          <w:u w:val="single"/>
        </w:rPr>
      </w:pPr>
      <w:r>
        <w:rPr>
          <w:rFonts w:hint="eastAsia" w:ascii="宋体" w:hAnsi="宋体" w:cs="宋体"/>
          <w:b/>
          <w:sz w:val="32"/>
          <w:szCs w:val="32"/>
        </w:rPr>
        <w:t>乙方名称：</w:t>
      </w:r>
      <w:r>
        <w:rPr>
          <w:rFonts w:hint="eastAsia" w:ascii="宋体" w:hAnsi="宋体" w:cs="宋体"/>
          <w:b/>
          <w:sz w:val="32"/>
          <w:szCs w:val="32"/>
          <w:u w:val="single"/>
        </w:rPr>
        <w:t xml:space="preserve">                         </w:t>
      </w:r>
    </w:p>
    <w:p>
      <w:pPr>
        <w:spacing w:line="520" w:lineRule="exact"/>
        <w:ind w:firstLine="1285" w:firstLineChars="400"/>
        <w:rPr>
          <w:rFonts w:ascii="宋体" w:hAnsi="宋体" w:cs="宋体"/>
          <w:b/>
          <w:sz w:val="32"/>
          <w:szCs w:val="32"/>
          <w:u w:val="single"/>
        </w:rPr>
      </w:pPr>
    </w:p>
    <w:p>
      <w:pPr>
        <w:pStyle w:val="27"/>
        <w:adjustRightInd/>
        <w:spacing w:line="520" w:lineRule="exact"/>
        <w:rPr>
          <w:rFonts w:hAnsi="宋体" w:cs="宋体"/>
          <w:b/>
          <w:sz w:val="32"/>
          <w:szCs w:val="32"/>
        </w:rPr>
      </w:pPr>
      <w:r>
        <w:rPr>
          <w:rFonts w:hint="eastAsia" w:hAnsi="宋体" w:cs="宋体"/>
          <w:b/>
          <w:sz w:val="32"/>
          <w:szCs w:val="32"/>
        </w:rPr>
        <w:t xml:space="preserve">         </w:t>
      </w:r>
    </w:p>
    <w:p>
      <w:pPr>
        <w:pStyle w:val="27"/>
        <w:adjustRightInd/>
        <w:spacing w:line="520" w:lineRule="exact"/>
        <w:ind w:firstLine="1606" w:firstLineChars="500"/>
        <w:rPr>
          <w:rFonts w:hAnsi="宋体" w:cs="宋体"/>
          <w:b/>
          <w:sz w:val="44"/>
          <w:szCs w:val="44"/>
        </w:rPr>
      </w:pPr>
      <w:r>
        <w:rPr>
          <w:rFonts w:hint="eastAsia" w:hAnsi="宋体" w:cs="宋体"/>
          <w:b/>
          <w:sz w:val="32"/>
          <w:szCs w:val="32"/>
        </w:rPr>
        <w:t xml:space="preserve">签订时间: </w:t>
      </w:r>
      <w:r>
        <w:rPr>
          <w:rFonts w:hint="eastAsia" w:hAnsi="宋体" w:cs="宋体"/>
          <w:b/>
          <w:sz w:val="32"/>
          <w:szCs w:val="32"/>
          <w:u w:val="single"/>
        </w:rPr>
        <w:t xml:space="preserve">        </w:t>
      </w:r>
      <w:r>
        <w:rPr>
          <w:rFonts w:hint="eastAsia" w:hAnsi="宋体" w:cs="宋体"/>
          <w:b/>
          <w:sz w:val="32"/>
          <w:szCs w:val="32"/>
        </w:rPr>
        <w:t>年</w:t>
      </w:r>
      <w:r>
        <w:rPr>
          <w:rFonts w:hint="eastAsia" w:hAnsi="宋体" w:cs="宋体"/>
          <w:b/>
          <w:sz w:val="32"/>
          <w:szCs w:val="32"/>
          <w:u w:val="single"/>
        </w:rPr>
        <w:t xml:space="preserve">      </w:t>
      </w:r>
      <w:r>
        <w:rPr>
          <w:rFonts w:hint="eastAsia" w:hAnsi="宋体" w:cs="宋体"/>
          <w:b/>
          <w:sz w:val="32"/>
          <w:szCs w:val="32"/>
        </w:rPr>
        <w:t>月</w:t>
      </w:r>
      <w:r>
        <w:rPr>
          <w:rFonts w:hint="eastAsia" w:hAnsi="宋体" w:cs="宋体"/>
          <w:b/>
          <w:sz w:val="32"/>
          <w:szCs w:val="32"/>
          <w:u w:val="single"/>
        </w:rPr>
        <w:t xml:space="preserve">      </w:t>
      </w:r>
      <w:r>
        <w:rPr>
          <w:rFonts w:hint="eastAsia" w:hAnsi="宋体" w:cs="宋体"/>
          <w:b/>
          <w:sz w:val="32"/>
          <w:szCs w:val="32"/>
        </w:rPr>
        <w:t>日</w:t>
      </w:r>
    </w:p>
    <w:p>
      <w:pPr>
        <w:pStyle w:val="27"/>
        <w:spacing w:line="520" w:lineRule="exact"/>
        <w:jc w:val="center"/>
        <w:rPr>
          <w:rFonts w:hAnsi="宋体" w:cs="宋体"/>
          <w:b/>
          <w:sz w:val="44"/>
          <w:szCs w:val="44"/>
        </w:rPr>
      </w:pPr>
    </w:p>
    <w:p>
      <w:pPr>
        <w:pStyle w:val="27"/>
        <w:spacing w:line="520" w:lineRule="exact"/>
        <w:jc w:val="center"/>
        <w:rPr>
          <w:rFonts w:hAnsi="宋体" w:cs="宋体"/>
          <w:b/>
          <w:sz w:val="44"/>
          <w:szCs w:val="44"/>
        </w:rPr>
      </w:pPr>
    </w:p>
    <w:p>
      <w:pPr>
        <w:pStyle w:val="27"/>
        <w:spacing w:line="520" w:lineRule="exact"/>
        <w:jc w:val="center"/>
        <w:rPr>
          <w:rFonts w:hAnsi="宋体" w:cs="宋体"/>
          <w:b/>
          <w:sz w:val="44"/>
          <w:szCs w:val="44"/>
        </w:rPr>
      </w:pPr>
    </w:p>
    <w:p>
      <w:pPr>
        <w:pStyle w:val="27"/>
        <w:spacing w:line="520" w:lineRule="exact"/>
        <w:jc w:val="center"/>
        <w:rPr>
          <w:rFonts w:hAnsi="宋体" w:cs="宋体"/>
          <w:b/>
          <w:sz w:val="44"/>
          <w:szCs w:val="44"/>
        </w:rPr>
      </w:pPr>
    </w:p>
    <w:p>
      <w:pPr>
        <w:pStyle w:val="27"/>
        <w:spacing w:line="520" w:lineRule="exact"/>
        <w:jc w:val="center"/>
        <w:rPr>
          <w:rFonts w:hAnsi="宋体" w:cs="宋体"/>
          <w:b/>
          <w:sz w:val="44"/>
          <w:szCs w:val="44"/>
        </w:rPr>
      </w:pPr>
    </w:p>
    <w:p>
      <w:pPr>
        <w:pStyle w:val="27"/>
        <w:spacing w:line="520" w:lineRule="exact"/>
        <w:jc w:val="center"/>
        <w:rPr>
          <w:rFonts w:hAnsi="宋体" w:cs="宋体"/>
          <w:b/>
          <w:sz w:val="44"/>
          <w:szCs w:val="44"/>
        </w:rPr>
      </w:pPr>
    </w:p>
    <w:p>
      <w:pPr>
        <w:pStyle w:val="27"/>
        <w:spacing w:line="520" w:lineRule="exact"/>
        <w:jc w:val="center"/>
        <w:rPr>
          <w:rFonts w:hAnsi="宋体" w:cs="宋体"/>
          <w:b/>
          <w:sz w:val="44"/>
          <w:szCs w:val="44"/>
        </w:rPr>
      </w:pPr>
    </w:p>
    <w:p>
      <w:pPr>
        <w:pStyle w:val="27"/>
        <w:spacing w:line="520" w:lineRule="exact"/>
        <w:jc w:val="center"/>
        <w:rPr>
          <w:rFonts w:hAnsi="宋体" w:cs="宋体"/>
          <w:b/>
          <w:sz w:val="44"/>
          <w:szCs w:val="44"/>
        </w:rPr>
      </w:pPr>
    </w:p>
    <w:p>
      <w:pPr>
        <w:pStyle w:val="27"/>
        <w:spacing w:line="520" w:lineRule="exact"/>
        <w:jc w:val="center"/>
        <w:rPr>
          <w:rFonts w:hAnsi="宋体" w:cs="宋体"/>
          <w:b/>
          <w:sz w:val="44"/>
          <w:szCs w:val="44"/>
        </w:rPr>
      </w:pPr>
      <w:r>
        <w:rPr>
          <w:rFonts w:hint="eastAsia" w:hAnsi="宋体" w:cs="宋体"/>
          <w:b/>
          <w:sz w:val="44"/>
          <w:szCs w:val="44"/>
        </w:rPr>
        <w:t>采 购 合 同</w:t>
      </w:r>
    </w:p>
    <w:p>
      <w:pPr>
        <w:spacing w:line="5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甲方（买方）： </w:t>
      </w:r>
    </w:p>
    <w:p>
      <w:pPr>
        <w:pStyle w:val="27"/>
        <w:spacing w:line="560" w:lineRule="exact"/>
        <w:rPr>
          <w:rFonts w:asciiTheme="minorEastAsia" w:hAnsiTheme="minorEastAsia" w:eastAsiaTheme="minorEastAsia" w:cstheme="minorEastAsia"/>
        </w:rPr>
      </w:pPr>
      <w:r>
        <w:rPr>
          <w:rFonts w:hint="eastAsia" w:asciiTheme="minorEastAsia" w:hAnsiTheme="minorEastAsia" w:eastAsiaTheme="minorEastAsia" w:cstheme="minorEastAsia"/>
        </w:rPr>
        <w:t>地址：</w:t>
      </w:r>
      <w:r>
        <w:rPr>
          <w:rFonts w:hint="eastAsia" w:asciiTheme="minorEastAsia" w:hAnsiTheme="minorEastAsia" w:eastAsiaTheme="minorEastAsia" w:cstheme="minorEastAsia"/>
          <w:bCs/>
        </w:rPr>
        <w:t xml:space="preserve"> </w:t>
      </w:r>
    </w:p>
    <w:p>
      <w:pPr>
        <w:pStyle w:val="27"/>
        <w:spacing w:line="560" w:lineRule="exact"/>
        <w:rPr>
          <w:rFonts w:asciiTheme="minorEastAsia" w:hAnsiTheme="minorEastAsia" w:eastAsiaTheme="minorEastAsia" w:cstheme="minorEastAsia"/>
        </w:rPr>
      </w:pPr>
      <w:r>
        <w:rPr>
          <w:rFonts w:hint="eastAsia" w:asciiTheme="minorEastAsia" w:hAnsiTheme="minorEastAsia" w:eastAsiaTheme="minorEastAsia" w:cstheme="minorEastAsia"/>
        </w:rPr>
        <w:t>电话：</w:t>
      </w:r>
      <w:r>
        <w:rPr>
          <w:rFonts w:hint="eastAsia" w:asciiTheme="minorEastAsia" w:hAnsiTheme="minorEastAsia" w:eastAsiaTheme="minorEastAsia" w:cstheme="minorEastAsia"/>
          <w:bCs/>
        </w:rPr>
        <w:t xml:space="preserve">    </w:t>
      </w:r>
    </w:p>
    <w:p>
      <w:pPr>
        <w:spacing w:line="56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乙方（卖方）：</w:t>
      </w:r>
    </w:p>
    <w:p>
      <w:pPr>
        <w:spacing w:line="56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spacing w:line="5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pPr>
        <w:pStyle w:val="27"/>
        <w:adjustRightInd/>
        <w:spacing w:line="560" w:lineRule="exact"/>
        <w:ind w:firstLine="480" w:firstLineChars="200"/>
        <w:rPr>
          <w:rStyle w:val="56"/>
          <w:rFonts w:asciiTheme="minorEastAsia" w:hAnsiTheme="minorEastAsia" w:eastAsiaTheme="minorEastAsia" w:cstheme="minorEastAsia"/>
        </w:rPr>
      </w:pPr>
      <w:r>
        <w:rPr>
          <w:rFonts w:hint="eastAsia" w:asciiTheme="minorEastAsia" w:hAnsiTheme="minorEastAsia" w:eastAsiaTheme="minorEastAsia" w:cstheme="minorEastAsia"/>
        </w:rPr>
        <w:t>（以下简称甲方）与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（以下简称乙方）就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采购事宜，根据《中华人民共和国政府采购法》、《中华人民共和国民法典》等规定，本着平等、自愿、互利、互惠的原则，经各方协商一致，订立本合同。</w:t>
      </w:r>
    </w:p>
    <w:p>
      <w:pPr>
        <w:pStyle w:val="16"/>
        <w:rPr>
          <w:rFonts w:asciiTheme="minorEastAsia" w:hAnsiTheme="minorEastAsia" w:eastAsiaTheme="minorEastAsia" w:cstheme="minorEastAsia"/>
        </w:rPr>
      </w:pPr>
    </w:p>
    <w:p>
      <w:pPr>
        <w:spacing w:line="560" w:lineRule="exact"/>
        <w:ind w:firstLine="482" w:firstLineChars="20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第一部分 通用条款</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在此供应的货物，乙方同意做如下保证:</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一、乙方供应的全部货物，必须在不涉及任何担保、留置权、专利权使用费的情况下，交付与本合同规定完全相同的货物。</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二、不能将甲方全部或部分付款看作是对有缺陷的工艺或不合格货物的认可。</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三、所供货物均须符合相应图纸和技术规范中的相关规定，并且不涉及到任何侵权行为或任何索赔。</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甲方未提出异议的，乙方仍应于货物质保期内承担保固责任。甲方对货物的验收手续仅仅证明乙方交货的行为，并不能免除乙方应当承担的货物质量责任。</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因乙方货物质量瑕疵原因导致甲方对其他第三方承担的违约金、损失赔偿等任何赔偿责任，甲方均有权将该赔偿责任转移给乙方，乙方对此无异议。 </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五、甲方有要求乙方延迟一段合理时间再行交货的权利。     </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六、除非甲方要求，乙方必须在本合同规定时间内进行交货。乙方同意偿付甲方可能因无法按照本合同约定时间进行交货而引起的所有额外的违约金、赔偿金以及其他费用。 </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七、在项目终止或甲方订立本合同所依据的本项目合同终止时，甲方经书面通知可解除本合同，此种情况不作违约处理。 </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八、所有交付到甲方现场的货物必须附有交货单。签字的交货单必须附在所有发票上作为本合同付款的前提条件。    </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九、所有交货费用均由乙方承担，乙方保证使甲方免于承担全部运费、快递费、保险费、装卸费、其他杂费以及由此带来的任何索赔，本合同专用条款有特别约定的，从特别约定。    </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十二、因乙方全部或部分违约导致双方发生的诉讼/仲裁或甲方与第三方发生的诉讼/仲裁，乙方同意承担甲方因此而支出的全部诉讼费、律师费、调查费、交通费及其他合理费用。    </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十三、未经甲方书面同意，乙方不得将本合同的工作内容全部或部分转让给任何第三人。 </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十四、乙方声明、陈述和保证其是合法设立并有效存续的独立法人，其授权代表已获得法人授权可代表其签署合同。</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spacing w:line="560" w:lineRule="exact"/>
        <w:ind w:firstLine="482" w:firstLineChars="200"/>
        <w:jc w:val="center"/>
        <w:rPr>
          <w:rFonts w:asciiTheme="minorEastAsia" w:hAnsiTheme="minorEastAsia" w:eastAsiaTheme="minorEastAsia" w:cstheme="minorEastAsia"/>
          <w:b/>
          <w:sz w:val="24"/>
          <w:szCs w:val="24"/>
        </w:rPr>
      </w:pPr>
    </w:p>
    <w:p>
      <w:pPr>
        <w:spacing w:line="560" w:lineRule="exact"/>
        <w:ind w:firstLine="482" w:firstLineChars="20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第二部分 专用条款</w:t>
      </w:r>
    </w:p>
    <w:p>
      <w:pPr>
        <w:spacing w:line="560" w:lineRule="exact"/>
        <w:ind w:firstLine="361" w:firstLineChars="15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一、 合同标的 </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1.货物 </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spacing w:line="560" w:lineRule="exact"/>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注:乙方应保证，甲方在中华人民共和国使用该货物或货物的任何一部分时，免受第三方提出的侵犯其专利权、商标权、工业设计权或其他知识产权的起诉。</w:t>
      </w:r>
    </w:p>
    <w:p>
      <w:pPr>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2.数量及价格：详细技术要求见附件</w:t>
      </w:r>
    </w:p>
    <w:tbl>
      <w:tblPr>
        <w:tblStyle w:val="20"/>
        <w:tblpPr w:leftFromText="180" w:rightFromText="180" w:vertAnchor="text" w:horzAnchor="margin" w:tblpX="-463" w:tblpY="11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1680"/>
        <w:gridCol w:w="1260"/>
        <w:gridCol w:w="1410"/>
        <w:gridCol w:w="840"/>
        <w:gridCol w:w="780"/>
        <w:gridCol w:w="915"/>
        <w:gridCol w:w="1275"/>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品牌</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技术要求</w:t>
            </w:r>
          </w:p>
        </w:tc>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规格</w:t>
            </w:r>
          </w:p>
        </w:tc>
        <w:tc>
          <w:tcPr>
            <w:tcW w:w="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单位</w:t>
            </w:r>
          </w:p>
        </w:tc>
        <w:tc>
          <w:tcPr>
            <w:tcW w:w="9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壹年暂定数量</w:t>
            </w: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固定单价</w:t>
            </w:r>
          </w:p>
          <w:p>
            <w:pPr>
              <w:snapToGrid w:val="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(元)</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20" w:lineRule="exact"/>
              <w:jc w:val="center"/>
              <w:rPr>
                <w:rFonts w:asciiTheme="minorEastAsia" w:hAnsiTheme="minorEastAsia" w:eastAsiaTheme="minorEastAsia" w:cstheme="minorEastAsia"/>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4"/>
                <w:szCs w:val="24"/>
              </w:rPr>
            </w:pPr>
          </w:p>
        </w:tc>
        <w:tc>
          <w:tcPr>
            <w:tcW w:w="141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Theme="minorEastAsia" w:hAnsiTheme="minorEastAsia" w:eastAsiaTheme="minorEastAsia" w:cs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Theme="minorEastAsia" w:hAnsiTheme="minorEastAsia" w:eastAsiaTheme="minorEastAsia" w:cstheme="minorEastAsia"/>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4"/>
                <w:szCs w:val="24"/>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4"/>
                <w:szCs w:val="24"/>
              </w:rPr>
            </w:pPr>
          </w:p>
        </w:tc>
        <w:tc>
          <w:tcPr>
            <w:tcW w:w="108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20" w:lineRule="exact"/>
              <w:jc w:val="center"/>
              <w:rPr>
                <w:rFonts w:asciiTheme="minorEastAsia" w:hAnsiTheme="minorEastAsia" w:eastAsiaTheme="minorEastAsia" w:cstheme="minorEastAsia"/>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4"/>
                <w:szCs w:val="24"/>
              </w:rPr>
            </w:pPr>
          </w:p>
        </w:tc>
        <w:tc>
          <w:tcPr>
            <w:tcW w:w="141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Theme="minorEastAsia" w:hAnsiTheme="minorEastAsia" w:eastAsiaTheme="minorEastAsia" w:cs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Theme="minorEastAsia" w:hAnsiTheme="minorEastAsia" w:eastAsiaTheme="minorEastAsia" w:cstheme="minorEastAsia"/>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4"/>
                <w:szCs w:val="24"/>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4"/>
                <w:szCs w:val="24"/>
              </w:rPr>
            </w:pPr>
          </w:p>
        </w:tc>
        <w:tc>
          <w:tcPr>
            <w:tcW w:w="108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20" w:lineRule="exact"/>
              <w:jc w:val="center"/>
              <w:rPr>
                <w:rFonts w:asciiTheme="minorEastAsia" w:hAnsiTheme="minorEastAsia" w:eastAsiaTheme="minorEastAsia" w:cstheme="minorEastAsia"/>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4"/>
                <w:szCs w:val="24"/>
              </w:rPr>
            </w:pPr>
          </w:p>
        </w:tc>
        <w:tc>
          <w:tcPr>
            <w:tcW w:w="141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Theme="minorEastAsia" w:hAnsiTheme="minorEastAsia" w:eastAsiaTheme="minorEastAsia" w:cstheme="minorEastAsia"/>
                <w:sz w:val="24"/>
                <w:szCs w:val="24"/>
              </w:rPr>
            </w:pPr>
          </w:p>
        </w:tc>
        <w:tc>
          <w:tcPr>
            <w:tcW w:w="84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Theme="minorEastAsia" w:hAnsiTheme="minorEastAsia" w:eastAsiaTheme="minorEastAsia" w:cstheme="minorEastAsia"/>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4"/>
                <w:szCs w:val="24"/>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4"/>
                <w:szCs w:val="24"/>
              </w:rPr>
            </w:pPr>
          </w:p>
        </w:tc>
        <w:tc>
          <w:tcPr>
            <w:tcW w:w="108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9930" w:type="dxa"/>
            <w:gridSpan w:val="9"/>
            <w:tcBorders>
              <w:top w:val="single" w:color="auto" w:sz="4" w:space="0"/>
              <w:left w:val="single" w:color="auto" w:sz="4" w:space="0"/>
              <w:bottom w:val="single" w:color="auto" w:sz="4" w:space="0"/>
              <w:right w:val="single" w:color="auto" w:sz="4" w:space="0"/>
            </w:tcBorders>
          </w:tcPr>
          <w:p>
            <w:pPr>
              <w:spacing w:line="520" w:lineRule="exact"/>
              <w:ind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暂定总价：人民币（大写）                                小写：￥          元</w:t>
            </w:r>
          </w:p>
        </w:tc>
      </w:tr>
    </w:tbl>
    <w:p>
      <w:pPr>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3.本合同暂定总价为人民币大写：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元整（小写：¥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元），包含增值税。合同价格已包括货物供给、货物包装、运输费、装卸费、技术指导和保险等的全部费用及相关税费。乙方应保证甲方除支付合同约定货款之外无需再行支付其他任何费用和款项。 </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pPr>
        <w:spacing w:line="560" w:lineRule="exact"/>
        <w:ind w:firstLine="361" w:firstLineChars="1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二、质量保证</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2.乙方保证本合同货物是全新的、未使用过的，并符合国家技术规格和国家质量标准的出厂原装合格产品，产品型号、数量、规格及技术、质量标准、售后服务必须满足甲方和自治区政府采购合同定点采购要求。</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3.乙方的项目项目负责人有义务对甲方使用人员进行免费培训。</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60" w:lineRule="exact"/>
        <w:ind w:firstLine="361" w:firstLineChars="1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三、质量保证期</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1.合同内货物质保期为</w:t>
      </w:r>
      <w:bookmarkStart w:id="67" w:name="_Hlk19447395"/>
      <w:r>
        <w:rPr>
          <w:rFonts w:hint="eastAsia" w:asciiTheme="minorEastAsia" w:hAnsiTheme="minorEastAsia" w:eastAsiaTheme="minorEastAsia" w:cstheme="minorEastAsia"/>
          <w:sz w:val="24"/>
          <w:szCs w:val="24"/>
          <w:u w:val="single"/>
        </w:rPr>
        <w:t>壹</w:t>
      </w:r>
      <w:bookmarkEnd w:id="67"/>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rPr>
        <w:t>，质保期自甲乙双方验收合格之日起开始计算。在质量保证期内，因产品质量出现问题，乙方负责免费更换，并承担与更换相关的运费、保险等一切费用。</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2.质保期内，如产品发生质量问题，乙方应在48小时内进行更换。乙方接到甲方通知后未依照约定时间更换的，则应承担本合同规定的违约责任。</w:t>
      </w:r>
    </w:p>
    <w:p>
      <w:pPr>
        <w:spacing w:line="560" w:lineRule="exact"/>
        <w:ind w:firstLine="361" w:firstLineChars="1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四、交货时间、地点</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1.合同签订后乙方接到甲方送货通知后2日内将货物送达至以下指定地点：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，并确保在</w:t>
      </w:r>
      <w:r>
        <w:rPr>
          <w:rFonts w:hint="eastAsia" w:asciiTheme="minorEastAsia" w:hAnsiTheme="minorEastAsia" w:eastAsiaTheme="minorEastAsia" w:cstheme="minorEastAsia"/>
          <w:sz w:val="24"/>
          <w:szCs w:val="24"/>
          <w:u w:val="single"/>
        </w:rPr>
        <w:t xml:space="preserve"> 当 </w:t>
      </w:r>
      <w:r>
        <w:rPr>
          <w:rFonts w:hint="eastAsia" w:asciiTheme="minorEastAsia" w:hAnsiTheme="minorEastAsia" w:eastAsiaTheme="minorEastAsia" w:cstheme="minorEastAsia"/>
          <w:sz w:val="24"/>
          <w:szCs w:val="24"/>
        </w:rPr>
        <w:t>天内配合甲方完成验收工作。</w:t>
      </w:r>
    </w:p>
    <w:p>
      <w:pPr>
        <w:spacing w:line="560" w:lineRule="exact"/>
        <w:ind w:firstLine="360" w:firstLineChars="15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2.甲方指定的接货人为：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；双方明确，除该指定接货人外，其他任何人员（包括甲方的其他任何工作人员）签署的接货单，甲方均不予认可。</w:t>
      </w:r>
    </w:p>
    <w:p>
      <w:pPr>
        <w:spacing w:line="5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3.在交付时，乙方必须向甲方提供质量合格证书、技术资料（操作、维修、保养）、保修凭证等一切相关资料及配件，否则，甲方有权不予付款且不承担违约责任。</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4.交货完成前（即货物交付完成且经甲方验收完毕前），本合同项下商品的损毁灭失风险由乙方承担，交货完成后，商品的所有权及损毁灭失风险转移至甲方。</w:t>
      </w:r>
    </w:p>
    <w:p>
      <w:pPr>
        <w:spacing w:line="560" w:lineRule="exact"/>
        <w:ind w:firstLine="361" w:firstLineChars="1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五、产品包装及运输</w:t>
      </w:r>
    </w:p>
    <w:p>
      <w:pPr>
        <w:spacing w:line="560" w:lineRule="exact"/>
        <w:ind w:firstLine="360" w:firstLineChars="15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１.包装必须与运输方式相适应，包装方式的确定和包装费用均由乙方负责;由于不适当的包装而造成的货物有任何的损坏由乙方负责。 </w:t>
      </w:r>
    </w:p>
    <w:p>
      <w:pPr>
        <w:spacing w:line="560" w:lineRule="exact"/>
        <w:ind w:firstLine="360" w:firstLineChars="15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pPr>
        <w:spacing w:line="560" w:lineRule="exact"/>
        <w:ind w:firstLine="360" w:firstLineChars="15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3.包装费、运输费、装卸费和保险费均已包含在合同单价内。</w:t>
      </w:r>
    </w:p>
    <w:p>
      <w:pPr>
        <w:spacing w:line="560" w:lineRule="exact"/>
        <w:ind w:firstLine="360" w:firstLineChars="15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4.运输途中的货物安全问题均由乙方负责。</w:t>
      </w:r>
    </w:p>
    <w:p>
      <w:pPr>
        <w:spacing w:line="560" w:lineRule="exact"/>
        <w:ind w:firstLine="361" w:firstLineChars="15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六、验收</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2.数量:提货验收或按乙方发货结算单验收。 </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5.乙方交货并保证货物出厂无瑕疵，经甲方验收合格后进入保修期。</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6.乙方要向甲方提供送货单一式三联（甲方留一联、乙方留二联），并在送货单上注明物品名称、品牌、型号规格验收合格后由甲方签字以备双方结算用。</w:t>
      </w:r>
    </w:p>
    <w:p>
      <w:pPr>
        <w:spacing w:line="5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七、售后服务</w:t>
      </w:r>
    </w:p>
    <w:p>
      <w:pPr>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1.上述产品的质保期为交货并验收合格后</w:t>
      </w:r>
      <w:r>
        <w:rPr>
          <w:rFonts w:hint="eastAsia" w:asciiTheme="minorEastAsia" w:hAnsiTheme="minorEastAsia" w:eastAsiaTheme="minorEastAsia" w:cstheme="minorEastAsia"/>
          <w:sz w:val="24"/>
          <w:szCs w:val="24"/>
          <w:u w:val="single"/>
        </w:rPr>
        <w:t xml:space="preserve"> 壹年 </w:t>
      </w:r>
      <w:r>
        <w:rPr>
          <w:rFonts w:hint="eastAsia" w:asciiTheme="minorEastAsia" w:hAnsiTheme="minorEastAsia" w:eastAsiaTheme="minorEastAsia" w:cstheme="minorEastAsia"/>
          <w:sz w:val="24"/>
          <w:szCs w:val="24"/>
        </w:rPr>
        <w:t>；免费更换时间为交货并验收合格后</w:t>
      </w:r>
      <w:r>
        <w:rPr>
          <w:rFonts w:hint="eastAsia" w:asciiTheme="minorEastAsia" w:hAnsiTheme="minorEastAsia" w:eastAsiaTheme="minorEastAsia" w:cstheme="minorEastAsia"/>
          <w:sz w:val="24"/>
          <w:szCs w:val="24"/>
          <w:u w:val="single"/>
        </w:rPr>
        <w:t xml:space="preserve"> 壹年 </w:t>
      </w:r>
      <w:r>
        <w:rPr>
          <w:rFonts w:hint="eastAsia" w:asciiTheme="minorEastAsia" w:hAnsiTheme="minorEastAsia" w:eastAsiaTheme="minorEastAsia" w:cstheme="minorEastAsia"/>
          <w:sz w:val="24"/>
          <w:szCs w:val="24"/>
        </w:rPr>
        <w:t>；</w:t>
      </w:r>
    </w:p>
    <w:p>
      <w:pPr>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2.乙方售后服务地址：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，售后服务联系人：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质保期内所发生的一切费用由乙方承担，质保期内出现问题时，接到甲方反映问题的通知后乙方应积极与甲方保持沟通联络，双方共同协商解决办法，甲方有权决定最终解决办法，乙方应在48小时内采取措施解决所有问题，逾期则应承担本合同规定的违约责任。</w:t>
      </w:r>
    </w:p>
    <w:p>
      <w:pPr>
        <w:spacing w:line="560" w:lineRule="exact"/>
        <w:ind w:firstLine="361" w:firstLineChars="1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八、货款的支付</w:t>
      </w:r>
    </w:p>
    <w:p>
      <w:pPr>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以与业主签订的合同为准。</w:t>
      </w:r>
      <w:r>
        <w:rPr>
          <w:rFonts w:hint="eastAsia" w:asciiTheme="minorEastAsia" w:hAnsiTheme="minorEastAsia" w:eastAsiaTheme="minorEastAsia" w:cstheme="minorEastAsia"/>
          <w:sz w:val="24"/>
          <w:szCs w:val="24"/>
        </w:rPr>
        <w:t xml:space="preserve">   </w:t>
      </w:r>
    </w:p>
    <w:p>
      <w:pPr>
        <w:spacing w:line="560" w:lineRule="exact"/>
        <w:ind w:firstLine="361" w:firstLineChars="1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九、违约责任</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1.甲方违约责任</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w:t>
      </w:r>
    </w:p>
    <w:p>
      <w:pPr>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（2）甲方应按合同规定的付款要求履约，由于非不可抗力原因不能在本合同规定的时间内支付合同款项时，应事先告知乙方，乙方应给予30个工作日的宽限期。</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2、乙方违约责任</w:t>
      </w:r>
    </w:p>
    <w:p>
      <w:pPr>
        <w:autoSpaceDE w:val="0"/>
        <w:autoSpaceDN w:val="0"/>
        <w:adjustRightInd w:val="0"/>
        <w:spacing w:line="560" w:lineRule="exact"/>
        <w:ind w:left="-61" w:leftChars="-29" w:firstLine="240" w:firstLineChars="1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kern w:val="0"/>
          <w:sz w:val="24"/>
          <w:szCs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（3）乙方所交产品品种、型号、规格、质量、性能不符合合同规定的，由乙方负责调换或退货，并承担调换或退货而支付的实际费用。乙方不能调换或退货的，按合同总额的20%承担违约金。</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60" w:lineRule="exact"/>
        <w:ind w:firstLine="361" w:firstLineChars="1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十、不可抗力</w:t>
      </w:r>
    </w:p>
    <w:p>
      <w:pPr>
        <w:spacing w:line="560" w:lineRule="exact"/>
        <w:ind w:firstLine="360" w:firstLineChars="15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60" w:lineRule="exact"/>
        <w:ind w:firstLine="360" w:firstLineChars="15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60" w:lineRule="exact"/>
        <w:ind w:firstLine="361" w:firstLineChars="1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十一、争议解决</w:t>
      </w:r>
    </w:p>
    <w:p>
      <w:pPr>
        <w:spacing w:line="5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本合同如发生纠纷，当事人双方应当及时协商解决，协商不成时，可向甲方所在地人民法院起诉。</w:t>
      </w:r>
    </w:p>
    <w:p>
      <w:pPr>
        <w:spacing w:line="560" w:lineRule="exact"/>
        <w:ind w:firstLine="361" w:firstLineChars="15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十二、合同的文本及生效</w:t>
      </w:r>
    </w:p>
    <w:p>
      <w:pPr>
        <w:spacing w:line="560" w:lineRule="exact"/>
        <w:ind w:firstLine="360" w:firstLineChars="15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1.本合同一式陆份，甲方伍份、乙方壹份。</w:t>
      </w:r>
    </w:p>
    <w:p>
      <w:pPr>
        <w:spacing w:line="560" w:lineRule="exact"/>
        <w:ind w:firstLine="360" w:firstLineChars="15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2.本合同有效期为壹年。</w:t>
      </w:r>
    </w:p>
    <w:p>
      <w:pPr>
        <w:spacing w:line="560" w:lineRule="exact"/>
        <w:ind w:firstLine="360" w:firstLineChars="15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3.本合同经双方法定代表人签字或单位盖章或双方委托代理人签字成立生效。</w:t>
      </w:r>
    </w:p>
    <w:p>
      <w:pPr>
        <w:spacing w:line="560" w:lineRule="exact"/>
        <w:ind w:firstLine="360" w:firstLineChars="15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4.合同内容如遇国家法律、法规及政策另有规定的，从其规定。</w:t>
      </w:r>
    </w:p>
    <w:p>
      <w:pPr>
        <w:spacing w:line="560" w:lineRule="exact"/>
        <w:ind w:firstLine="361" w:firstLineChars="1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十三、其他约定事项</w:t>
      </w:r>
    </w:p>
    <w:p>
      <w:pPr>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Style w:val="56"/>
          <w:rFonts w:hint="eastAsia" w:asciiTheme="minorEastAsia" w:hAnsiTheme="minorEastAsia" w:eastAsiaTheme="minorEastAsia" w:cstheme="minorEastAsia"/>
          <w:sz w:val="24"/>
          <w:szCs w:val="24"/>
        </w:rPr>
        <w:t>签定的采购合同以及与本合同有关的招响应文件、答疑附件是本合同不可分割的组成部分，与本合同具有同等法律效力，其他未尽事宜，从其规定。</w:t>
      </w:r>
    </w:p>
    <w:p>
      <w:pPr>
        <w:spacing w:line="520" w:lineRule="exact"/>
        <w:ind w:firstLine="1440" w:firstLineChars="600"/>
        <w:rPr>
          <w:rFonts w:asciiTheme="minorEastAsia" w:hAnsiTheme="minorEastAsia" w:eastAsiaTheme="minorEastAsia" w:cstheme="minorEastAsia"/>
          <w:sz w:val="24"/>
          <w:szCs w:val="24"/>
        </w:rPr>
      </w:pPr>
    </w:p>
    <w:p>
      <w:pPr>
        <w:spacing w:line="520" w:lineRule="exact"/>
        <w:ind w:firstLine="1440" w:firstLineChars="6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（以下无正文，为本合同签署页）</w:t>
      </w:r>
    </w:p>
    <w:p>
      <w:pPr>
        <w:spacing w:line="520" w:lineRule="exact"/>
        <w:rPr>
          <w:rFonts w:asciiTheme="minorEastAsia" w:hAnsiTheme="minorEastAsia" w:eastAsiaTheme="minorEastAsia" w:cstheme="minorEastAsia"/>
          <w:sz w:val="24"/>
          <w:szCs w:val="24"/>
        </w:rPr>
      </w:pPr>
    </w:p>
    <w:p>
      <w:pPr>
        <w:pStyle w:val="16"/>
        <w:rPr>
          <w:rFonts w:asciiTheme="minorEastAsia" w:hAnsiTheme="minorEastAsia" w:eastAsiaTheme="minorEastAsia" w:cstheme="minorEastAsia"/>
        </w:rPr>
      </w:pPr>
    </w:p>
    <w:p>
      <w:pPr>
        <w:spacing w:line="400" w:lineRule="exact"/>
        <w:rPr>
          <w:rFonts w:asciiTheme="minorEastAsia" w:hAnsiTheme="minorEastAsia" w:eastAsiaTheme="minorEastAsia" w:cstheme="minorEastAsia"/>
          <w:sz w:val="24"/>
          <w:szCs w:val="24"/>
        </w:rPr>
      </w:pP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乙方（盖章）：</w:t>
      </w:r>
    </w:p>
    <w:p>
      <w:pPr>
        <w:pStyle w:val="16"/>
        <w:rPr>
          <w:rFonts w:asciiTheme="minorEastAsia" w:hAnsiTheme="minorEastAsia" w:eastAsiaTheme="minorEastAsia" w:cstheme="minorEastAsia"/>
        </w:rPr>
      </w:pPr>
    </w:p>
    <w:p>
      <w:pPr>
        <w:pStyle w:val="16"/>
        <w:rPr>
          <w:rFonts w:asciiTheme="minorEastAsia" w:hAnsiTheme="minorEastAsia" w:eastAsiaTheme="minorEastAsia" w:cstheme="minorEastAsia"/>
        </w:rPr>
      </w:pPr>
    </w:p>
    <w:p>
      <w:pPr>
        <w:spacing w:line="400" w:lineRule="exact"/>
        <w:rPr>
          <w:rFonts w:asciiTheme="minorEastAsia" w:hAnsiTheme="minorEastAsia" w:eastAsiaTheme="minorEastAsia" w:cstheme="minorEastAsia"/>
          <w:sz w:val="24"/>
          <w:szCs w:val="24"/>
        </w:rPr>
      </w:pP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法人（签字）：                          法人（签字）：</w:t>
      </w:r>
    </w:p>
    <w:p>
      <w:pPr>
        <w:pStyle w:val="16"/>
        <w:rPr>
          <w:rFonts w:asciiTheme="minorEastAsia" w:hAnsiTheme="minorEastAsia" w:eastAsiaTheme="minorEastAsia" w:cstheme="minorEastAsia"/>
        </w:rPr>
      </w:pPr>
    </w:p>
    <w:p>
      <w:pPr>
        <w:pStyle w:val="16"/>
        <w:widowControl w:val="0"/>
        <w:spacing w:line="400" w:lineRule="exact"/>
        <w:rPr>
          <w:rFonts w:asciiTheme="minorEastAsia" w:hAnsiTheme="minorEastAsia" w:eastAsiaTheme="minorEastAsia" w:cstheme="minorEastAsia"/>
        </w:rPr>
      </w:pPr>
    </w:p>
    <w:p>
      <w:pPr>
        <w:pStyle w:val="16"/>
        <w:widowControl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授权代表（签字）：                     授权代表（签字）：</w:t>
      </w:r>
    </w:p>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              日期：    年    月    日</w:t>
      </w:r>
    </w:p>
    <w:p>
      <w:pPr>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3"/>
        <w:jc w:val="center"/>
      </w:pPr>
      <w:bookmarkStart w:id="68" w:name="_Toc4670"/>
      <w:bookmarkStart w:id="69" w:name="_Toc2048"/>
      <w:bookmarkStart w:id="70" w:name="_Toc16289"/>
      <w:r>
        <w:rPr>
          <w:rFonts w:hint="eastAsia"/>
        </w:rPr>
        <w:t xml:space="preserve">第五部分   </w:t>
      </w:r>
      <w:bookmarkEnd w:id="68"/>
      <w:bookmarkEnd w:id="69"/>
      <w:r>
        <w:rPr>
          <w:rFonts w:hint="eastAsia"/>
        </w:rPr>
        <w:t>附    件</w:t>
      </w:r>
      <w:bookmarkEnd w:id="70"/>
    </w:p>
    <w:p>
      <w:pPr>
        <w:adjustRightInd w:val="0"/>
        <w:snapToGrid w:val="0"/>
        <w:spacing w:line="460" w:lineRule="exact"/>
        <w:jc w:val="center"/>
        <w:rPr>
          <w:rFonts w:ascii="宋体" w:hAnsi="宋体" w:cs="宋体"/>
          <w:sz w:val="24"/>
          <w:szCs w:val="24"/>
        </w:rPr>
      </w:pPr>
      <w:r>
        <w:rPr>
          <w:rFonts w:hint="eastAsia" w:ascii="宋体" w:hAnsi="宋体" w:cs="宋体"/>
          <w:sz w:val="24"/>
          <w:szCs w:val="24"/>
        </w:rPr>
        <w:t>响应文件格式</w:t>
      </w:r>
    </w:p>
    <w:p>
      <w:pPr>
        <w:adjustRightInd w:val="0"/>
        <w:snapToGrid w:val="0"/>
        <w:spacing w:line="460" w:lineRule="exact"/>
        <w:jc w:val="center"/>
        <w:rPr>
          <w:rFonts w:ascii="宋体" w:hAnsi="宋体" w:cs="宋体"/>
          <w:sz w:val="24"/>
          <w:szCs w:val="24"/>
        </w:rPr>
      </w:pPr>
      <w:r>
        <w:rPr>
          <w:rFonts w:hint="eastAsia" w:ascii="宋体" w:hAnsi="宋体" w:cs="宋体"/>
          <w:sz w:val="24"/>
          <w:szCs w:val="24"/>
        </w:rPr>
        <w:t>（响应文件制作格式，仅供参考）</w:t>
      </w:r>
    </w:p>
    <w:p>
      <w:pPr>
        <w:adjustRightInd w:val="0"/>
        <w:snapToGrid w:val="0"/>
        <w:spacing w:line="460" w:lineRule="exact"/>
        <w:rPr>
          <w:rFonts w:ascii="宋体" w:hAnsi="宋体" w:cs="宋体"/>
          <w:sz w:val="24"/>
          <w:szCs w:val="24"/>
        </w:rPr>
      </w:pPr>
      <w:bookmarkStart w:id="71" w:name="_Toc30289"/>
      <w:r>
        <w:rPr>
          <w:rFonts w:hint="eastAsia" w:ascii="宋体" w:hAnsi="宋体" w:cs="宋体"/>
          <w:sz w:val="24"/>
          <w:szCs w:val="24"/>
        </w:rPr>
        <w:t>响应文件封面示例</w:t>
      </w:r>
      <w:bookmarkEnd w:id="71"/>
    </w:p>
    <w:p>
      <w:pPr>
        <w:adjustRightInd w:val="0"/>
        <w:snapToGrid w:val="0"/>
        <w:spacing w:line="460" w:lineRule="exact"/>
        <w:rPr>
          <w:rFonts w:ascii="宋体" w:hAnsi="宋体" w:cs="宋体"/>
          <w:sz w:val="24"/>
          <w:szCs w:val="24"/>
        </w:rPr>
      </w:pPr>
    </w:p>
    <w:p>
      <w:pPr>
        <w:adjustRightInd w:val="0"/>
        <w:snapToGrid w:val="0"/>
        <w:spacing w:line="460" w:lineRule="exact"/>
        <w:jc w:val="right"/>
        <w:rPr>
          <w:rFonts w:ascii="宋体" w:hAnsi="宋体" w:cs="宋体"/>
          <w:sz w:val="24"/>
          <w:szCs w:val="24"/>
        </w:rPr>
      </w:pPr>
      <w:bookmarkStart w:id="72" w:name="_Toc10291"/>
      <w:bookmarkStart w:id="73" w:name="_Toc31368"/>
      <w:bookmarkStart w:id="74" w:name="_Toc26694"/>
      <w:r>
        <w:rPr>
          <w:rFonts w:hint="eastAsia" w:ascii="宋体" w:hAnsi="宋体" w:cs="宋体"/>
          <w:sz w:val="24"/>
          <w:szCs w:val="24"/>
        </w:rPr>
        <w:t>正本或副本</w:t>
      </w:r>
      <w:bookmarkEnd w:id="72"/>
      <w:bookmarkEnd w:id="73"/>
      <w:bookmarkEnd w:id="74"/>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jc w:val="center"/>
        <w:rPr>
          <w:rFonts w:ascii="宋体" w:hAnsi="宋体" w:cs="宋体"/>
          <w:sz w:val="24"/>
          <w:szCs w:val="24"/>
        </w:rPr>
      </w:pPr>
      <w:bookmarkStart w:id="75" w:name="_Toc30758"/>
      <w:bookmarkStart w:id="76" w:name="_Toc29783"/>
      <w:bookmarkStart w:id="77" w:name="_Toc18654"/>
      <w:r>
        <w:rPr>
          <w:rFonts w:hint="eastAsia" w:ascii="宋体" w:hAnsi="宋体" w:cs="宋体"/>
          <w:sz w:val="24"/>
          <w:szCs w:val="24"/>
        </w:rPr>
        <w:t>响应文件</w:t>
      </w:r>
      <w:bookmarkEnd w:id="75"/>
      <w:bookmarkEnd w:id="76"/>
      <w:bookmarkEnd w:id="77"/>
    </w:p>
    <w:p>
      <w:pPr>
        <w:adjustRightInd w:val="0"/>
        <w:snapToGrid w:val="0"/>
        <w:spacing w:line="460" w:lineRule="exact"/>
        <w:rPr>
          <w:rFonts w:ascii="宋体" w:hAnsi="宋体" w:cs="宋体"/>
          <w:sz w:val="24"/>
          <w:szCs w:val="24"/>
        </w:rPr>
      </w:pPr>
    </w:p>
    <w:p/>
    <w:p>
      <w:pPr>
        <w:adjustRightInd w:val="0"/>
        <w:snapToGrid w:val="0"/>
        <w:spacing w:line="460" w:lineRule="exact"/>
        <w:rPr>
          <w:rFonts w:ascii="宋体" w:hAnsi="宋体" w:cs="宋体"/>
          <w:sz w:val="24"/>
          <w:szCs w:val="24"/>
        </w:rPr>
      </w:pPr>
      <w:r>
        <w:rPr>
          <w:rFonts w:hint="eastAsia" w:ascii="宋体" w:hAnsi="宋体" w:cs="宋体"/>
          <w:sz w:val="24"/>
          <w:szCs w:val="24"/>
        </w:rPr>
        <w:t>项目名称：×××××</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供应商单位名称（盖章）：×××××</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法定代表人或授权代理人（签字或盖章）：×××××</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项目联系人：×××××</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联系方式：×××××</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sectPr>
          <w:headerReference r:id="rId4" w:type="default"/>
          <w:footerReference r:id="rId5" w:type="default"/>
          <w:pgSz w:w="11906" w:h="16838"/>
          <w:pgMar w:top="1440" w:right="1080" w:bottom="1440" w:left="1080" w:header="851" w:footer="992" w:gutter="0"/>
          <w:pgNumType w:fmt="decimal" w:start="1"/>
          <w:cols w:space="425" w:num="1"/>
          <w:docGrid w:type="lines" w:linePitch="312" w:charSpace="0"/>
        </w:sectPr>
      </w:pPr>
      <w:r>
        <w:rPr>
          <w:rFonts w:hint="eastAsia" w:ascii="宋体" w:hAnsi="宋体" w:cs="宋体"/>
          <w:sz w:val="24"/>
          <w:szCs w:val="24"/>
        </w:rPr>
        <w:t>日    期：××××</w:t>
      </w:r>
    </w:p>
    <w:p>
      <w:pPr>
        <w:pStyle w:val="4"/>
      </w:pPr>
      <w:bookmarkStart w:id="78" w:name="_Toc13911"/>
      <w:bookmarkStart w:id="79" w:name="_Toc32523"/>
      <w:bookmarkStart w:id="80" w:name="_Toc15245"/>
      <w:r>
        <w:rPr>
          <w:rFonts w:hint="eastAsia"/>
        </w:rPr>
        <w:t>响应文件编制顺序</w:t>
      </w:r>
      <w:bookmarkEnd w:id="78"/>
      <w:bookmarkEnd w:id="79"/>
      <w:bookmarkEnd w:id="80"/>
    </w:p>
    <w:p>
      <w:pPr>
        <w:adjustRightInd w:val="0"/>
        <w:snapToGrid w:val="0"/>
        <w:spacing w:line="460" w:lineRule="exact"/>
        <w:rPr>
          <w:rFonts w:ascii="宋体" w:hAnsi="宋体" w:cs="宋体"/>
          <w:sz w:val="24"/>
          <w:szCs w:val="24"/>
        </w:rPr>
      </w:pPr>
      <w:bookmarkStart w:id="81" w:name="_Toc25"/>
      <w:bookmarkStart w:id="82" w:name="_Toc19389"/>
      <w:r>
        <w:rPr>
          <w:rFonts w:hint="eastAsia" w:ascii="宋体" w:hAnsi="宋体" w:cs="宋体"/>
          <w:sz w:val="24"/>
          <w:szCs w:val="24"/>
        </w:rPr>
        <w:t>资格部分</w:t>
      </w:r>
      <w:bookmarkEnd w:id="81"/>
      <w:bookmarkEnd w:id="82"/>
    </w:p>
    <w:p>
      <w:pPr>
        <w:adjustRightInd w:val="0"/>
        <w:snapToGrid w:val="0"/>
        <w:spacing w:line="460" w:lineRule="exact"/>
        <w:rPr>
          <w:rFonts w:ascii="宋体" w:hAnsi="宋体" w:cs="宋体"/>
          <w:sz w:val="24"/>
          <w:szCs w:val="24"/>
        </w:rPr>
      </w:pPr>
      <w:r>
        <w:rPr>
          <w:rFonts w:hint="eastAsia" w:ascii="宋体" w:hAnsi="宋体" w:cs="宋体"/>
          <w:sz w:val="24"/>
          <w:szCs w:val="24"/>
        </w:rPr>
        <w:t>一、参加政府采购活动的供应商应当具备《政府采购法》第二十二条第一款规定的条件，</w:t>
      </w:r>
    </w:p>
    <w:p>
      <w:pPr>
        <w:adjustRightInd w:val="0"/>
        <w:snapToGrid w:val="0"/>
        <w:spacing w:line="460" w:lineRule="exact"/>
        <w:rPr>
          <w:rFonts w:ascii="宋体" w:hAnsi="宋体" w:cs="宋体"/>
          <w:sz w:val="24"/>
          <w:szCs w:val="24"/>
        </w:rPr>
      </w:pPr>
      <w:r>
        <w:rPr>
          <w:rFonts w:hint="eastAsia" w:ascii="宋体" w:hAnsi="宋体" w:cs="宋体"/>
          <w:sz w:val="24"/>
          <w:szCs w:val="24"/>
        </w:rPr>
        <w:t>提供下列材料：</w:t>
      </w:r>
    </w:p>
    <w:p>
      <w:pPr>
        <w:adjustRightInd w:val="0"/>
        <w:snapToGrid w:val="0"/>
        <w:spacing w:line="460" w:lineRule="exact"/>
        <w:rPr>
          <w:rFonts w:ascii="宋体" w:hAnsi="宋体" w:cs="宋体"/>
          <w:sz w:val="24"/>
          <w:szCs w:val="24"/>
        </w:rPr>
      </w:pPr>
      <w:r>
        <w:rPr>
          <w:rFonts w:hint="eastAsia" w:ascii="宋体" w:hAnsi="宋体" w:cs="宋体"/>
          <w:sz w:val="24"/>
          <w:szCs w:val="24"/>
        </w:rPr>
        <w:t>1 营业执照副本复印件</w:t>
      </w:r>
    </w:p>
    <w:p>
      <w:pPr>
        <w:adjustRightInd w:val="0"/>
        <w:snapToGrid w:val="0"/>
        <w:spacing w:line="460" w:lineRule="exact"/>
        <w:rPr>
          <w:rFonts w:ascii="宋体" w:hAnsi="宋体" w:cs="宋体"/>
          <w:sz w:val="24"/>
          <w:szCs w:val="24"/>
        </w:rPr>
      </w:pPr>
      <w:r>
        <w:rPr>
          <w:rFonts w:hint="eastAsia" w:ascii="宋体" w:hAnsi="宋体" w:cs="宋体"/>
          <w:sz w:val="24"/>
          <w:szCs w:val="24"/>
        </w:rPr>
        <w:t>2 提供上年度经审计财务会计报告或半年内任意一个月财务报表</w:t>
      </w:r>
    </w:p>
    <w:p>
      <w:pPr>
        <w:adjustRightInd w:val="0"/>
        <w:snapToGrid w:val="0"/>
        <w:spacing w:line="460" w:lineRule="exact"/>
        <w:rPr>
          <w:rFonts w:ascii="宋体" w:hAnsi="宋体" w:cs="宋体"/>
          <w:sz w:val="24"/>
          <w:szCs w:val="24"/>
        </w:rPr>
      </w:pPr>
      <w:r>
        <w:rPr>
          <w:rFonts w:hint="eastAsia" w:ascii="宋体" w:hAnsi="宋体" w:cs="宋体"/>
          <w:sz w:val="24"/>
          <w:szCs w:val="24"/>
        </w:rPr>
        <w:t>（财务报表应至少包括资产负债表、损益表、现金流量表或财务状况变动表，当月新成立公司不需提供）</w:t>
      </w:r>
    </w:p>
    <w:p>
      <w:pPr>
        <w:adjustRightInd w:val="0"/>
        <w:snapToGrid w:val="0"/>
        <w:spacing w:line="460" w:lineRule="exact"/>
        <w:rPr>
          <w:rFonts w:ascii="宋体" w:hAnsi="宋体" w:cs="宋体"/>
          <w:sz w:val="24"/>
          <w:szCs w:val="24"/>
        </w:rPr>
      </w:pPr>
      <w:r>
        <w:rPr>
          <w:rFonts w:hint="eastAsia" w:ascii="宋体" w:hAnsi="宋体" w:cs="宋体"/>
          <w:sz w:val="24"/>
          <w:szCs w:val="24"/>
        </w:rPr>
        <w:t>3 提供的近半年内任意一月依法缴纳税收证明</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（提供的近半年内任意一月依法缴纳税收证明，当月新成立公司不需提供；无需纳税或免税的也需提供相应证明材料。）</w:t>
      </w:r>
    </w:p>
    <w:p>
      <w:pPr>
        <w:adjustRightInd w:val="0"/>
        <w:snapToGrid w:val="0"/>
        <w:spacing w:line="460" w:lineRule="exact"/>
        <w:rPr>
          <w:rFonts w:ascii="宋体" w:hAnsi="宋体" w:cs="宋体"/>
          <w:sz w:val="24"/>
          <w:szCs w:val="24"/>
        </w:rPr>
      </w:pPr>
      <w:r>
        <w:rPr>
          <w:rFonts w:hint="eastAsia" w:ascii="宋体" w:hAnsi="宋体" w:cs="宋体"/>
          <w:sz w:val="24"/>
          <w:szCs w:val="24"/>
        </w:rPr>
        <w:t>4 提供社会保险登记证或社保缴纳证明</w:t>
      </w:r>
    </w:p>
    <w:p>
      <w:pPr>
        <w:adjustRightInd w:val="0"/>
        <w:snapToGrid w:val="0"/>
        <w:spacing w:line="460" w:lineRule="exact"/>
        <w:rPr>
          <w:rFonts w:ascii="宋体" w:hAnsi="宋体" w:cs="宋体"/>
          <w:sz w:val="24"/>
          <w:szCs w:val="24"/>
        </w:rPr>
      </w:pPr>
      <w:r>
        <w:rPr>
          <w:rFonts w:hint="eastAsia" w:ascii="宋体" w:hAnsi="宋体" w:cs="宋体"/>
          <w:sz w:val="24"/>
          <w:szCs w:val="24"/>
        </w:rPr>
        <w:t>（近半年内任意一月社保缴纳证明，当月新成立公司不需提供）</w:t>
      </w:r>
    </w:p>
    <w:p>
      <w:pPr>
        <w:adjustRightInd w:val="0"/>
        <w:snapToGrid w:val="0"/>
        <w:spacing w:line="460" w:lineRule="exact"/>
        <w:rPr>
          <w:rFonts w:ascii="宋体" w:hAnsi="宋体" w:cs="宋体"/>
          <w:sz w:val="24"/>
          <w:szCs w:val="24"/>
        </w:rPr>
      </w:pPr>
      <w:r>
        <w:rPr>
          <w:rFonts w:hint="eastAsia" w:ascii="宋体" w:hAnsi="宋体" w:cs="宋体"/>
          <w:sz w:val="24"/>
          <w:szCs w:val="24"/>
        </w:rPr>
        <w:t>5 具有履行合同所必需的设备和专业技术能力的证明材料或声明(由供应商根据项目需求提供说明材料)</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6 参加政府采购活动前三年内在经营活动中没有重大违法记录的书面声明</w:t>
      </w:r>
    </w:p>
    <w:p>
      <w:pPr>
        <w:adjustRightInd w:val="0"/>
        <w:snapToGrid w:val="0"/>
        <w:spacing w:line="460" w:lineRule="exact"/>
        <w:rPr>
          <w:rFonts w:ascii="宋体" w:hAnsi="宋体" w:cs="宋体"/>
          <w:sz w:val="24"/>
          <w:szCs w:val="24"/>
        </w:rPr>
      </w:pPr>
      <w:bookmarkStart w:id="83" w:name="_Toc28307"/>
      <w:bookmarkStart w:id="84" w:name="_Toc20351"/>
      <w:r>
        <w:rPr>
          <w:rFonts w:hint="eastAsia" w:ascii="宋体" w:hAnsi="宋体" w:cs="宋体"/>
          <w:sz w:val="24"/>
          <w:szCs w:val="24"/>
        </w:rPr>
        <w:t>二、投标人代表身份证明</w:t>
      </w:r>
      <w:bookmarkEnd w:id="83"/>
      <w:bookmarkEnd w:id="84"/>
    </w:p>
    <w:p>
      <w:pPr>
        <w:adjustRightInd w:val="0"/>
        <w:snapToGrid w:val="0"/>
        <w:spacing w:line="460" w:lineRule="exact"/>
        <w:rPr>
          <w:rFonts w:ascii="宋体" w:hAnsi="宋体" w:cs="宋体"/>
          <w:sz w:val="24"/>
          <w:szCs w:val="24"/>
        </w:rPr>
      </w:pPr>
      <w:r>
        <w:rPr>
          <w:rFonts w:hint="eastAsia" w:ascii="宋体" w:hAnsi="宋体" w:cs="宋体"/>
          <w:sz w:val="24"/>
          <w:szCs w:val="24"/>
        </w:rPr>
        <w:t>1  法定代表人身份证明复印件(法定代表人参加投标)</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2  法定代表人授权委托书(授权代表参加投标)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3  授权委托书 (适用于自然人委托投标) </w:t>
      </w:r>
    </w:p>
    <w:p>
      <w:pPr>
        <w:adjustRightInd w:val="0"/>
        <w:snapToGrid w:val="0"/>
        <w:spacing w:line="460" w:lineRule="exact"/>
        <w:rPr>
          <w:rFonts w:ascii="宋体" w:hAnsi="宋体" w:cs="宋体"/>
          <w:sz w:val="24"/>
          <w:szCs w:val="24"/>
        </w:rPr>
      </w:pPr>
      <w:bookmarkStart w:id="85" w:name="_Toc4995"/>
      <w:bookmarkStart w:id="86" w:name="_Toc16815"/>
      <w:r>
        <w:rPr>
          <w:rFonts w:hint="eastAsia" w:ascii="宋体" w:hAnsi="宋体" w:cs="宋体"/>
          <w:sz w:val="24"/>
          <w:szCs w:val="24"/>
        </w:rPr>
        <w:t>三、其他资料</w:t>
      </w:r>
      <w:bookmarkEnd w:id="85"/>
      <w:bookmarkEnd w:id="86"/>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1不参与围标串标承诺书； </w:t>
      </w:r>
    </w:p>
    <w:p>
      <w:pPr>
        <w:adjustRightInd w:val="0"/>
        <w:snapToGrid w:val="0"/>
        <w:spacing w:line="460" w:lineRule="exac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rPr>
        <w:tab/>
      </w:r>
      <w:r>
        <w:rPr>
          <w:rFonts w:hint="eastAsia" w:ascii="宋体" w:hAnsi="宋体" w:cs="宋体"/>
          <w:sz w:val="24"/>
          <w:szCs w:val="24"/>
        </w:rPr>
        <w:t>投标保证金缴纳凭证（电汇凭证）复印件</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br w:type="page"/>
      </w:r>
    </w:p>
    <w:p>
      <w:pPr>
        <w:pStyle w:val="4"/>
      </w:pPr>
      <w:bookmarkStart w:id="87" w:name="_Toc24621"/>
      <w:bookmarkStart w:id="88" w:name="_Toc26239"/>
      <w:bookmarkStart w:id="89" w:name="_Toc6274"/>
      <w:r>
        <w:rPr>
          <w:rFonts w:hint="eastAsia"/>
        </w:rPr>
        <w:t>商务部分</w:t>
      </w:r>
      <w:bookmarkEnd w:id="87"/>
      <w:bookmarkEnd w:id="88"/>
      <w:bookmarkEnd w:id="89"/>
    </w:p>
    <w:p>
      <w:pPr>
        <w:adjustRightInd w:val="0"/>
        <w:snapToGrid w:val="0"/>
        <w:spacing w:line="440" w:lineRule="exact"/>
        <w:rPr>
          <w:rFonts w:ascii="宋体" w:hAnsi="宋体" w:cs="宋体"/>
          <w:sz w:val="24"/>
          <w:szCs w:val="24"/>
        </w:rPr>
      </w:pPr>
      <w:r>
        <w:rPr>
          <w:rFonts w:hint="eastAsia" w:ascii="宋体" w:hAnsi="宋体" w:cs="宋体"/>
          <w:sz w:val="24"/>
          <w:szCs w:val="24"/>
        </w:rPr>
        <w:t>一、投标函</w:t>
      </w:r>
    </w:p>
    <w:p>
      <w:pPr>
        <w:adjustRightInd w:val="0"/>
        <w:snapToGrid w:val="0"/>
        <w:spacing w:line="440" w:lineRule="exact"/>
        <w:rPr>
          <w:rFonts w:ascii="宋体" w:hAnsi="宋体" w:cs="宋体"/>
          <w:sz w:val="24"/>
          <w:szCs w:val="24"/>
        </w:rPr>
      </w:pPr>
      <w:r>
        <w:rPr>
          <w:rFonts w:hint="eastAsia" w:ascii="宋体" w:hAnsi="宋体" w:cs="宋体"/>
          <w:sz w:val="24"/>
          <w:szCs w:val="24"/>
        </w:rPr>
        <w:t>二、投标人资格声明函</w:t>
      </w:r>
    </w:p>
    <w:p>
      <w:pPr>
        <w:adjustRightInd w:val="0"/>
        <w:snapToGrid w:val="0"/>
        <w:spacing w:line="440" w:lineRule="exact"/>
        <w:rPr>
          <w:rFonts w:ascii="宋体" w:hAnsi="宋体" w:cs="宋体"/>
          <w:sz w:val="24"/>
          <w:szCs w:val="24"/>
        </w:rPr>
      </w:pPr>
      <w:r>
        <w:rPr>
          <w:rFonts w:hint="eastAsia" w:ascii="宋体" w:hAnsi="宋体" w:cs="宋体"/>
          <w:sz w:val="24"/>
          <w:szCs w:val="24"/>
        </w:rPr>
        <w:t>三、投标报价</w:t>
      </w:r>
    </w:p>
    <w:p>
      <w:pPr>
        <w:adjustRightInd w:val="0"/>
        <w:snapToGrid w:val="0"/>
        <w:spacing w:line="440" w:lineRule="exact"/>
        <w:rPr>
          <w:rFonts w:ascii="宋体" w:hAnsi="宋体" w:cs="宋体"/>
          <w:sz w:val="24"/>
          <w:szCs w:val="24"/>
        </w:rPr>
      </w:pPr>
      <w:r>
        <w:rPr>
          <w:rFonts w:hint="eastAsia" w:ascii="宋体" w:hAnsi="宋体" w:cs="宋体"/>
          <w:sz w:val="24"/>
          <w:szCs w:val="24"/>
        </w:rPr>
        <w:t>1 报价表</w:t>
      </w:r>
    </w:p>
    <w:p>
      <w:pPr>
        <w:adjustRightInd w:val="0"/>
        <w:snapToGrid w:val="0"/>
        <w:spacing w:line="440" w:lineRule="exact"/>
        <w:rPr>
          <w:rFonts w:ascii="宋体" w:hAnsi="宋体" w:cs="宋体"/>
          <w:sz w:val="24"/>
          <w:szCs w:val="24"/>
        </w:rPr>
      </w:pPr>
      <w:r>
        <w:rPr>
          <w:rFonts w:hint="eastAsia" w:ascii="宋体" w:hAnsi="宋体" w:cs="宋体"/>
          <w:sz w:val="24"/>
          <w:szCs w:val="24"/>
        </w:rPr>
        <w:t>2 明细报价表</w:t>
      </w:r>
    </w:p>
    <w:p>
      <w:pPr>
        <w:adjustRightInd w:val="0"/>
        <w:snapToGrid w:val="0"/>
        <w:spacing w:line="440" w:lineRule="exact"/>
        <w:rPr>
          <w:rFonts w:ascii="宋体" w:hAnsi="宋体" w:cs="宋体"/>
          <w:sz w:val="24"/>
          <w:szCs w:val="24"/>
        </w:rPr>
      </w:pPr>
      <w:r>
        <w:rPr>
          <w:rFonts w:hint="eastAsia" w:ascii="宋体" w:hAnsi="宋体" w:cs="宋体"/>
          <w:sz w:val="24"/>
          <w:szCs w:val="24"/>
        </w:rPr>
        <w:t>四、投标人概况</w:t>
      </w:r>
    </w:p>
    <w:p>
      <w:pPr>
        <w:adjustRightInd w:val="0"/>
        <w:snapToGrid w:val="0"/>
        <w:spacing w:line="440" w:lineRule="exact"/>
        <w:rPr>
          <w:rFonts w:ascii="宋体" w:hAnsi="宋体" w:cs="宋体"/>
          <w:sz w:val="24"/>
          <w:szCs w:val="24"/>
        </w:rPr>
      </w:pPr>
      <w:r>
        <w:rPr>
          <w:rFonts w:hint="eastAsia" w:ascii="宋体" w:hAnsi="宋体" w:cs="宋体"/>
          <w:sz w:val="24"/>
          <w:szCs w:val="24"/>
        </w:rPr>
        <w:t>五、商务响应条款一览表</w:t>
      </w:r>
    </w:p>
    <w:p>
      <w:pPr>
        <w:adjustRightInd w:val="0"/>
        <w:snapToGrid w:val="0"/>
        <w:spacing w:line="440" w:lineRule="exact"/>
        <w:rPr>
          <w:rFonts w:ascii="宋体" w:hAnsi="宋体" w:cs="宋体"/>
          <w:sz w:val="24"/>
          <w:szCs w:val="24"/>
        </w:rPr>
      </w:pPr>
      <w:r>
        <w:rPr>
          <w:rFonts w:hint="eastAsia" w:ascii="宋体" w:hAnsi="宋体" w:cs="宋体"/>
          <w:sz w:val="24"/>
          <w:szCs w:val="24"/>
        </w:rPr>
        <w:t>六、业绩表</w:t>
      </w:r>
    </w:p>
    <w:p>
      <w:pPr>
        <w:adjustRightInd w:val="0"/>
        <w:snapToGrid w:val="0"/>
        <w:spacing w:line="440" w:lineRule="exact"/>
        <w:rPr>
          <w:rFonts w:ascii="宋体" w:hAnsi="宋体" w:cs="宋体"/>
          <w:sz w:val="24"/>
          <w:szCs w:val="24"/>
        </w:rPr>
      </w:pPr>
      <w:r>
        <w:rPr>
          <w:rFonts w:hint="eastAsia" w:ascii="宋体" w:hAnsi="宋体" w:cs="宋体"/>
          <w:sz w:val="24"/>
          <w:szCs w:val="24"/>
        </w:rPr>
        <w:t>七、详细物流计划配送方案（例如配送车辆安排、人员安排、及到指定地点的时间、安装等）</w:t>
      </w:r>
    </w:p>
    <w:p>
      <w:pPr>
        <w:adjustRightInd w:val="0"/>
        <w:snapToGrid w:val="0"/>
        <w:spacing w:line="440" w:lineRule="exact"/>
        <w:rPr>
          <w:rFonts w:ascii="宋体" w:hAnsi="宋体" w:cs="宋体"/>
          <w:sz w:val="24"/>
          <w:szCs w:val="24"/>
        </w:rPr>
      </w:pPr>
      <w:r>
        <w:rPr>
          <w:rFonts w:hint="eastAsia" w:ascii="宋体" w:hAnsi="宋体" w:cs="宋体"/>
          <w:sz w:val="24"/>
          <w:szCs w:val="24"/>
        </w:rPr>
        <w:t>八、企业信誉及履约能力1、生产商资格能力2、产品检测报告及相关证明材料</w:t>
      </w:r>
    </w:p>
    <w:p>
      <w:pPr>
        <w:adjustRightInd w:val="0"/>
        <w:snapToGrid w:val="0"/>
        <w:spacing w:line="440" w:lineRule="exact"/>
        <w:rPr>
          <w:rFonts w:ascii="宋体" w:hAnsi="宋体" w:cs="宋体"/>
          <w:sz w:val="24"/>
          <w:szCs w:val="24"/>
        </w:rPr>
      </w:pPr>
      <w:r>
        <w:rPr>
          <w:rFonts w:hint="eastAsia" w:ascii="宋体" w:hAnsi="宋体" w:cs="宋体"/>
          <w:sz w:val="24"/>
          <w:szCs w:val="24"/>
        </w:rPr>
        <w:t>九、重大违法记录的声明函</w:t>
      </w:r>
    </w:p>
    <w:p>
      <w:pPr>
        <w:adjustRightInd w:val="0"/>
        <w:snapToGrid w:val="0"/>
        <w:spacing w:line="440" w:lineRule="exact"/>
        <w:rPr>
          <w:rFonts w:ascii="宋体" w:hAnsi="宋体" w:cs="宋体"/>
          <w:sz w:val="24"/>
          <w:szCs w:val="24"/>
        </w:rPr>
      </w:pPr>
      <w:r>
        <w:rPr>
          <w:rFonts w:hint="eastAsia" w:ascii="宋体" w:hAnsi="宋体" w:cs="宋体"/>
          <w:sz w:val="24"/>
          <w:szCs w:val="24"/>
        </w:rPr>
        <w:t>十、偏离表</w:t>
      </w:r>
    </w:p>
    <w:p>
      <w:pPr>
        <w:adjustRightInd w:val="0"/>
        <w:snapToGrid w:val="0"/>
        <w:spacing w:line="440" w:lineRule="exact"/>
        <w:rPr>
          <w:rFonts w:ascii="宋体" w:hAnsi="宋体" w:cs="宋体"/>
          <w:sz w:val="24"/>
          <w:szCs w:val="24"/>
        </w:rPr>
      </w:pPr>
      <w:r>
        <w:rPr>
          <w:rFonts w:hint="eastAsia" w:ascii="宋体" w:hAnsi="宋体" w:cs="宋体"/>
          <w:sz w:val="24"/>
          <w:szCs w:val="24"/>
        </w:rPr>
        <w:t>十一、提供符合政府采购政策的证明材料（如有提供，不享受相关政策的投标人无需提供。）</w:t>
      </w:r>
    </w:p>
    <w:p>
      <w:pPr>
        <w:adjustRightInd w:val="0"/>
        <w:snapToGrid w:val="0"/>
        <w:spacing w:line="440" w:lineRule="exact"/>
        <w:rPr>
          <w:rFonts w:ascii="宋体" w:hAnsi="宋体" w:cs="宋体"/>
          <w:sz w:val="24"/>
          <w:szCs w:val="24"/>
        </w:rPr>
      </w:pPr>
      <w:r>
        <w:rPr>
          <w:rFonts w:hint="eastAsia" w:ascii="宋体" w:hAnsi="宋体" w:cs="宋体"/>
          <w:sz w:val="24"/>
          <w:szCs w:val="24"/>
        </w:rPr>
        <w:t>1中小企业声明函</w:t>
      </w:r>
    </w:p>
    <w:p>
      <w:pPr>
        <w:adjustRightInd w:val="0"/>
        <w:snapToGrid w:val="0"/>
        <w:spacing w:line="440" w:lineRule="exact"/>
        <w:rPr>
          <w:rFonts w:ascii="宋体" w:hAnsi="宋体" w:cs="宋体"/>
          <w:sz w:val="24"/>
          <w:szCs w:val="24"/>
        </w:rPr>
      </w:pPr>
      <w:r>
        <w:rPr>
          <w:rFonts w:hint="eastAsia" w:ascii="宋体" w:hAnsi="宋体" w:cs="宋体"/>
          <w:sz w:val="24"/>
          <w:szCs w:val="24"/>
        </w:rPr>
        <w:t>2监狱企业声明函</w:t>
      </w:r>
    </w:p>
    <w:p>
      <w:pPr>
        <w:adjustRightInd w:val="0"/>
        <w:snapToGrid w:val="0"/>
        <w:spacing w:line="440" w:lineRule="exact"/>
        <w:rPr>
          <w:rFonts w:ascii="宋体" w:hAnsi="宋体" w:cs="宋体"/>
          <w:sz w:val="24"/>
          <w:szCs w:val="24"/>
        </w:rPr>
      </w:pPr>
      <w:r>
        <w:rPr>
          <w:rFonts w:hint="eastAsia" w:ascii="宋体" w:hAnsi="宋体" w:cs="宋体"/>
          <w:sz w:val="24"/>
          <w:szCs w:val="24"/>
        </w:rPr>
        <w:t>3残疾人福利性单位声明函</w:t>
      </w:r>
    </w:p>
    <w:p>
      <w:pPr>
        <w:adjustRightInd w:val="0"/>
        <w:snapToGrid w:val="0"/>
        <w:spacing w:line="440" w:lineRule="exact"/>
        <w:rPr>
          <w:rFonts w:ascii="宋体" w:hAnsi="宋体" w:cs="宋体"/>
          <w:sz w:val="24"/>
          <w:szCs w:val="24"/>
        </w:rPr>
      </w:pPr>
      <w:r>
        <w:rPr>
          <w:rFonts w:hint="eastAsia" w:ascii="宋体" w:hAnsi="宋体" w:cs="宋体"/>
          <w:sz w:val="24"/>
          <w:szCs w:val="24"/>
        </w:rPr>
        <w:t>4节能环保产品的证明材料</w:t>
      </w:r>
    </w:p>
    <w:p>
      <w:pPr>
        <w:adjustRightInd w:val="0"/>
        <w:snapToGrid w:val="0"/>
        <w:spacing w:line="440" w:lineRule="exact"/>
        <w:rPr>
          <w:rFonts w:ascii="宋体" w:hAnsi="宋体" w:cs="宋体"/>
          <w:sz w:val="24"/>
          <w:szCs w:val="24"/>
        </w:rPr>
      </w:pPr>
      <w:r>
        <w:rPr>
          <w:rFonts w:hint="eastAsia" w:ascii="宋体" w:hAnsi="宋体" w:cs="宋体"/>
          <w:sz w:val="24"/>
          <w:szCs w:val="24"/>
        </w:rPr>
        <w:t>十二、投标单位反商业贿赂承诺书</w:t>
      </w:r>
    </w:p>
    <w:p>
      <w:pPr>
        <w:adjustRightInd w:val="0"/>
        <w:snapToGrid w:val="0"/>
        <w:spacing w:line="440" w:lineRule="exact"/>
        <w:rPr>
          <w:rFonts w:ascii="宋体" w:hAnsi="宋体" w:cs="宋体"/>
          <w:sz w:val="24"/>
          <w:szCs w:val="24"/>
        </w:rPr>
      </w:pPr>
      <w:r>
        <w:rPr>
          <w:rFonts w:hint="eastAsia" w:ascii="宋体" w:hAnsi="宋体" w:cs="宋体"/>
          <w:sz w:val="24"/>
          <w:szCs w:val="24"/>
        </w:rPr>
        <w:t>十三、售后服务承诺书</w:t>
      </w:r>
    </w:p>
    <w:p>
      <w:pPr>
        <w:adjustRightInd w:val="0"/>
        <w:snapToGrid w:val="0"/>
        <w:spacing w:line="440" w:lineRule="exact"/>
        <w:rPr>
          <w:rFonts w:ascii="宋体" w:hAnsi="宋体" w:cs="宋体"/>
          <w:sz w:val="24"/>
          <w:szCs w:val="24"/>
        </w:rPr>
      </w:pPr>
      <w:r>
        <w:rPr>
          <w:rFonts w:hint="eastAsia" w:ascii="宋体" w:hAnsi="宋体" w:cs="宋体"/>
          <w:sz w:val="24"/>
          <w:szCs w:val="24"/>
        </w:rPr>
        <w:t>十四、质量保证承诺书</w:t>
      </w:r>
    </w:p>
    <w:p>
      <w:pPr>
        <w:adjustRightInd w:val="0"/>
        <w:snapToGrid w:val="0"/>
        <w:spacing w:line="440" w:lineRule="exact"/>
        <w:rPr>
          <w:rFonts w:ascii="宋体" w:hAnsi="宋体" w:cs="宋体"/>
          <w:sz w:val="24"/>
          <w:szCs w:val="24"/>
        </w:rPr>
      </w:pPr>
      <w:r>
        <w:rPr>
          <w:rFonts w:hint="eastAsia" w:ascii="宋体" w:hAnsi="宋体" w:cs="宋体"/>
          <w:sz w:val="24"/>
          <w:szCs w:val="24"/>
        </w:rPr>
        <w:t>十五、磋商文件中要求提交的和投标人认为需要提供的其它说明和资料。</w:t>
      </w:r>
    </w:p>
    <w:p>
      <w:pPr>
        <w:adjustRightInd w:val="0"/>
        <w:snapToGrid w:val="0"/>
        <w:spacing w:line="440" w:lineRule="exact"/>
        <w:rPr>
          <w:rFonts w:ascii="宋体" w:hAnsi="宋体" w:cs="宋体"/>
          <w:sz w:val="24"/>
          <w:szCs w:val="24"/>
        </w:rPr>
      </w:pPr>
      <w:r>
        <w:rPr>
          <w:rFonts w:hint="eastAsia" w:ascii="宋体" w:hAnsi="宋体" w:cs="宋体"/>
          <w:sz w:val="24"/>
          <w:szCs w:val="24"/>
        </w:rPr>
        <w:t>注：1.投标人制作响应文件，应按照响应文件组成顺序制作，编好始末页码且在响应文件目录中一一列明并对应。</w:t>
      </w:r>
    </w:p>
    <w:p>
      <w:pPr>
        <w:adjustRightInd w:val="0"/>
        <w:snapToGrid w:val="0"/>
        <w:spacing w:line="440" w:lineRule="exact"/>
        <w:rPr>
          <w:rFonts w:ascii="宋体" w:hAnsi="宋体" w:cs="宋体"/>
          <w:sz w:val="24"/>
          <w:szCs w:val="24"/>
        </w:rPr>
      </w:pPr>
      <w:r>
        <w:rPr>
          <w:rFonts w:hint="eastAsia" w:ascii="宋体" w:hAnsi="宋体" w:cs="宋体"/>
          <w:sz w:val="24"/>
          <w:szCs w:val="24"/>
        </w:rPr>
        <w:t>2.磋商文件没有提供格式的，投标人可自行设置。3.投标人制作响应文件，应按照响应文件组成顺序制作，编好始末页码且在响应文件目录中一一列明并对应。</w:t>
      </w:r>
    </w:p>
    <w:p>
      <w:pPr>
        <w:adjustRightInd w:val="0"/>
        <w:snapToGrid w:val="0"/>
        <w:spacing w:line="460" w:lineRule="exact"/>
        <w:rPr>
          <w:rFonts w:ascii="宋体" w:hAnsi="宋体" w:cs="宋体"/>
          <w:sz w:val="24"/>
          <w:szCs w:val="24"/>
        </w:rPr>
      </w:pPr>
      <w:r>
        <w:rPr>
          <w:rFonts w:hint="eastAsia" w:ascii="宋体" w:hAnsi="宋体" w:cs="宋体"/>
          <w:sz w:val="24"/>
          <w:szCs w:val="24"/>
        </w:rPr>
        <w:br w:type="page"/>
      </w:r>
    </w:p>
    <w:p>
      <w:pPr>
        <w:pStyle w:val="4"/>
      </w:pPr>
      <w:bookmarkStart w:id="90" w:name="_Toc3574"/>
      <w:bookmarkStart w:id="91" w:name="_Toc19571"/>
      <w:bookmarkStart w:id="92" w:name="_Toc31186"/>
      <w:bookmarkStart w:id="93" w:name="_Toc13556"/>
      <w:r>
        <w:rPr>
          <w:rFonts w:hint="eastAsia"/>
        </w:rPr>
        <w:t>报价函</w:t>
      </w:r>
      <w:bookmarkEnd w:id="90"/>
      <w:bookmarkEnd w:id="91"/>
      <w:bookmarkEnd w:id="92"/>
      <w:bookmarkEnd w:id="93"/>
    </w:p>
    <w:p>
      <w:pPr>
        <w:adjustRightInd w:val="0"/>
        <w:snapToGrid w:val="0"/>
        <w:spacing w:line="460" w:lineRule="exact"/>
        <w:rPr>
          <w:rFonts w:ascii="宋体" w:hAnsi="宋体" w:cs="宋体"/>
          <w:sz w:val="24"/>
          <w:szCs w:val="24"/>
        </w:rPr>
      </w:pPr>
      <w:bookmarkStart w:id="94" w:name="_Toc8264"/>
      <w:bookmarkStart w:id="95" w:name="_Toc17093"/>
      <w:bookmarkStart w:id="96" w:name="_Toc6841"/>
      <w:r>
        <w:rPr>
          <w:rFonts w:hint="eastAsia" w:ascii="宋体" w:hAnsi="宋体" w:cs="宋体"/>
          <w:sz w:val="24"/>
          <w:szCs w:val="24"/>
        </w:rPr>
        <w:t>一、竞标报价</w:t>
      </w:r>
      <w:bookmarkEnd w:id="94"/>
      <w:bookmarkEnd w:id="95"/>
      <w:bookmarkEnd w:id="96"/>
    </w:p>
    <w:p>
      <w:pPr>
        <w:adjustRightInd w:val="0"/>
        <w:snapToGrid w:val="0"/>
        <w:spacing w:line="460" w:lineRule="exact"/>
        <w:rPr>
          <w:rFonts w:ascii="宋体" w:hAnsi="宋体" w:cs="宋体"/>
          <w:sz w:val="24"/>
          <w:szCs w:val="24"/>
        </w:rPr>
      </w:pPr>
      <w:r>
        <w:rPr>
          <w:rFonts w:hint="eastAsia" w:ascii="宋体" w:hAnsi="宋体" w:cs="宋体"/>
          <w:sz w:val="24"/>
          <w:szCs w:val="24"/>
        </w:rPr>
        <w:t>1.我公司就 （项目名称） 的  项目编号  的竞标初始报价为（大写）：   元人民币，小写：   元。本报价为验收合格并交付使用价，包含专利费、人力资源费、调研费、专用工具价、培训费、税费等一切成本费用。合同价以最终报价为准，最终报价在竞标有效期内固定不变，并在合同有效期内不受利率波动的影响。</w:t>
      </w:r>
    </w:p>
    <w:p>
      <w:pPr>
        <w:adjustRightInd w:val="0"/>
        <w:snapToGrid w:val="0"/>
        <w:spacing w:line="460" w:lineRule="exact"/>
        <w:rPr>
          <w:rFonts w:ascii="宋体" w:hAnsi="宋体" w:cs="宋体"/>
          <w:sz w:val="24"/>
          <w:szCs w:val="24"/>
        </w:rPr>
      </w:pPr>
      <w:r>
        <w:rPr>
          <w:rFonts w:hint="eastAsia" w:ascii="宋体" w:hAnsi="宋体" w:cs="宋体"/>
          <w:sz w:val="24"/>
          <w:szCs w:val="24"/>
        </w:rPr>
        <w:t>2.交货期、安装期：</w:t>
      </w:r>
    </w:p>
    <w:p>
      <w:pPr>
        <w:adjustRightInd w:val="0"/>
        <w:snapToGrid w:val="0"/>
        <w:spacing w:line="460" w:lineRule="exact"/>
        <w:rPr>
          <w:rFonts w:ascii="宋体" w:hAnsi="宋体" w:cs="宋体"/>
          <w:sz w:val="24"/>
          <w:szCs w:val="24"/>
        </w:rPr>
      </w:pPr>
      <w:bookmarkStart w:id="97" w:name="_Toc12786"/>
      <w:bookmarkStart w:id="98" w:name="_Toc11645"/>
      <w:bookmarkStart w:id="99" w:name="_Toc4525"/>
      <w:bookmarkStart w:id="100" w:name="_Toc7861"/>
      <w:bookmarkStart w:id="101" w:name="_Toc31241"/>
      <w:r>
        <w:rPr>
          <w:rFonts w:hint="eastAsia" w:ascii="宋体" w:hAnsi="宋体" w:cs="宋体"/>
          <w:sz w:val="24"/>
          <w:szCs w:val="24"/>
        </w:rPr>
        <w:t>3.投标有效期：</w:t>
      </w:r>
      <w:bookmarkEnd w:id="97"/>
      <w:bookmarkEnd w:id="98"/>
      <w:bookmarkEnd w:id="99"/>
      <w:bookmarkEnd w:id="100"/>
      <w:bookmarkEnd w:id="101"/>
    </w:p>
    <w:p>
      <w:pPr>
        <w:adjustRightInd w:val="0"/>
        <w:snapToGrid w:val="0"/>
        <w:spacing w:line="460" w:lineRule="exact"/>
        <w:rPr>
          <w:rFonts w:ascii="宋体" w:hAnsi="宋体" w:cs="宋体"/>
          <w:sz w:val="24"/>
          <w:szCs w:val="24"/>
        </w:rPr>
      </w:pPr>
      <w:r>
        <w:rPr>
          <w:rFonts w:hint="eastAsia" w:ascii="宋体" w:hAnsi="宋体" w:cs="宋体"/>
          <w:sz w:val="24"/>
          <w:szCs w:val="24"/>
        </w:rPr>
        <w:t>4.质保期：</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5.其他：              </w:t>
      </w:r>
    </w:p>
    <w:p>
      <w:pPr>
        <w:adjustRightInd w:val="0"/>
        <w:snapToGrid w:val="0"/>
        <w:spacing w:line="460" w:lineRule="exact"/>
        <w:rPr>
          <w:rFonts w:ascii="宋体" w:hAnsi="宋体" w:cs="宋体"/>
          <w:sz w:val="24"/>
          <w:szCs w:val="24"/>
        </w:rPr>
      </w:pPr>
      <w:bookmarkStart w:id="102" w:name="_Toc16901"/>
      <w:bookmarkStart w:id="103" w:name="_Toc18156"/>
      <w:bookmarkStart w:id="104" w:name="_Toc22671"/>
      <w:r>
        <w:rPr>
          <w:rFonts w:hint="eastAsia" w:ascii="宋体" w:hAnsi="宋体" w:cs="宋体"/>
          <w:sz w:val="24"/>
          <w:szCs w:val="24"/>
        </w:rPr>
        <w:t>二、递交资料</w:t>
      </w:r>
      <w:bookmarkEnd w:id="102"/>
      <w:bookmarkEnd w:id="103"/>
      <w:bookmarkEnd w:id="104"/>
    </w:p>
    <w:p>
      <w:pPr>
        <w:adjustRightInd w:val="0"/>
        <w:snapToGrid w:val="0"/>
        <w:spacing w:line="460" w:lineRule="exact"/>
        <w:rPr>
          <w:rFonts w:ascii="宋体" w:hAnsi="宋体" w:cs="宋体"/>
          <w:sz w:val="24"/>
          <w:szCs w:val="24"/>
        </w:rPr>
      </w:pPr>
      <w:r>
        <w:rPr>
          <w:rFonts w:hint="eastAsia" w:ascii="宋体" w:hAnsi="宋体" w:cs="宋体"/>
          <w:sz w:val="24"/>
          <w:szCs w:val="24"/>
        </w:rPr>
        <w:t>响应文件正本 1份，副本2份,电子响应文件1份，样品各一份</w:t>
      </w:r>
    </w:p>
    <w:p>
      <w:pPr>
        <w:adjustRightInd w:val="0"/>
        <w:snapToGrid w:val="0"/>
        <w:spacing w:line="460" w:lineRule="exact"/>
        <w:rPr>
          <w:rFonts w:ascii="宋体" w:hAnsi="宋体" w:cs="宋体"/>
          <w:sz w:val="24"/>
          <w:szCs w:val="24"/>
        </w:rPr>
      </w:pPr>
      <w:bookmarkStart w:id="105" w:name="_Toc5847"/>
      <w:bookmarkStart w:id="106" w:name="_Toc28253"/>
      <w:bookmarkStart w:id="107" w:name="_Toc15696"/>
      <w:r>
        <w:rPr>
          <w:rFonts w:hint="eastAsia" w:ascii="宋体" w:hAnsi="宋体" w:cs="宋体"/>
          <w:sz w:val="24"/>
          <w:szCs w:val="24"/>
        </w:rPr>
        <w:t>三、相关承诺</w:t>
      </w:r>
      <w:bookmarkEnd w:id="105"/>
      <w:bookmarkEnd w:id="106"/>
      <w:bookmarkEnd w:id="107"/>
    </w:p>
    <w:p>
      <w:pPr>
        <w:adjustRightInd w:val="0"/>
        <w:snapToGrid w:val="0"/>
        <w:spacing w:line="460" w:lineRule="exact"/>
        <w:rPr>
          <w:rFonts w:ascii="宋体" w:hAnsi="宋体" w:cs="宋体"/>
          <w:sz w:val="24"/>
          <w:szCs w:val="24"/>
        </w:rPr>
      </w:pPr>
      <w:r>
        <w:rPr>
          <w:rFonts w:hint="eastAsia" w:ascii="宋体" w:hAnsi="宋体" w:cs="宋体"/>
          <w:sz w:val="24"/>
          <w:szCs w:val="24"/>
        </w:rPr>
        <w:t>1.最终报价在法律法规及磋商采购文件规定的竞标有效期内有效。</w:t>
      </w:r>
    </w:p>
    <w:p>
      <w:pPr>
        <w:adjustRightInd w:val="0"/>
        <w:snapToGrid w:val="0"/>
        <w:spacing w:line="460" w:lineRule="exact"/>
        <w:rPr>
          <w:rFonts w:ascii="宋体" w:hAnsi="宋体" w:cs="宋体"/>
          <w:sz w:val="24"/>
          <w:szCs w:val="24"/>
        </w:rPr>
      </w:pPr>
      <w:r>
        <w:rPr>
          <w:rFonts w:hint="eastAsia" w:ascii="宋体" w:hAnsi="宋体" w:cs="宋体"/>
          <w:sz w:val="24"/>
          <w:szCs w:val="24"/>
        </w:rPr>
        <w:t>2.我方不是采购人的附属机构；在获知本项目采购信息后，与采购人聘请的为此项目提供咨询服务的公司及其附属机构没有任何联系。</w:t>
      </w:r>
    </w:p>
    <w:p>
      <w:pPr>
        <w:adjustRightInd w:val="0"/>
        <w:snapToGrid w:val="0"/>
        <w:spacing w:line="460" w:lineRule="exact"/>
        <w:rPr>
          <w:rFonts w:ascii="宋体" w:hAnsi="宋体" w:cs="宋体"/>
          <w:sz w:val="24"/>
          <w:szCs w:val="24"/>
        </w:rPr>
      </w:pPr>
      <w:r>
        <w:rPr>
          <w:rFonts w:hint="eastAsia" w:ascii="宋体" w:hAnsi="宋体" w:cs="宋体"/>
          <w:sz w:val="24"/>
          <w:szCs w:val="24"/>
        </w:rPr>
        <w:t>3.我公司已详细审查全部磋商采购文件及有关的澄清/修改文件，完全理解和同意，并保证遵守磋商采购文件有关条款规定。</w:t>
      </w:r>
    </w:p>
    <w:p>
      <w:pPr>
        <w:adjustRightInd w:val="0"/>
        <w:snapToGrid w:val="0"/>
        <w:spacing w:line="460" w:lineRule="exact"/>
        <w:rPr>
          <w:rFonts w:ascii="宋体" w:hAnsi="宋体" w:cs="宋体"/>
          <w:sz w:val="24"/>
          <w:szCs w:val="24"/>
        </w:rPr>
      </w:pPr>
      <w:r>
        <w:rPr>
          <w:rFonts w:hint="eastAsia" w:ascii="宋体" w:hAnsi="宋体" w:cs="宋体"/>
          <w:sz w:val="24"/>
          <w:szCs w:val="24"/>
        </w:rPr>
        <w:t>4.保证在中标后忠实地执行与采购人所签署的合同，并承担合同规定的责任义务。保证在中标后按照磋商采购文件的规定支付中标服务费。</w:t>
      </w:r>
    </w:p>
    <w:p>
      <w:pPr>
        <w:adjustRightInd w:val="0"/>
        <w:snapToGrid w:val="0"/>
        <w:spacing w:line="460" w:lineRule="exact"/>
        <w:rPr>
          <w:rFonts w:ascii="宋体" w:hAnsi="宋体" w:cs="宋体"/>
          <w:sz w:val="24"/>
          <w:szCs w:val="24"/>
        </w:rPr>
      </w:pPr>
      <w:r>
        <w:rPr>
          <w:rFonts w:hint="eastAsia" w:ascii="宋体" w:hAnsi="宋体" w:cs="宋体"/>
          <w:sz w:val="24"/>
          <w:szCs w:val="24"/>
        </w:rPr>
        <w:t>5.承诺应贵方要求提供任何与该项目竞标有关的数据、情况和技术资料。</w:t>
      </w:r>
    </w:p>
    <w:p>
      <w:pPr>
        <w:adjustRightInd w:val="0"/>
        <w:snapToGrid w:val="0"/>
        <w:spacing w:line="460" w:lineRule="exact"/>
        <w:rPr>
          <w:rFonts w:ascii="宋体" w:hAnsi="宋体" w:cs="宋体"/>
          <w:sz w:val="24"/>
          <w:szCs w:val="24"/>
        </w:rPr>
      </w:pPr>
      <w:r>
        <w:rPr>
          <w:rFonts w:hint="eastAsia" w:ascii="宋体" w:hAnsi="宋体" w:cs="宋体"/>
          <w:sz w:val="24"/>
          <w:szCs w:val="24"/>
        </w:rPr>
        <w:t>6.本响应文件提供的报价、资格、技术、商务等文件均真实、有效、准确。若有违背，我方愿意承担由此而产生的一切后果。</w:t>
      </w:r>
    </w:p>
    <w:p>
      <w:pPr>
        <w:adjustRightInd w:val="0"/>
        <w:snapToGrid w:val="0"/>
        <w:spacing w:line="460" w:lineRule="exact"/>
        <w:rPr>
          <w:rFonts w:ascii="宋体" w:hAnsi="宋体" w:cs="宋体"/>
          <w:sz w:val="24"/>
          <w:szCs w:val="24"/>
        </w:rPr>
      </w:pPr>
      <w:r>
        <w:rPr>
          <w:rFonts w:hint="eastAsia" w:ascii="宋体" w:hAnsi="宋体" w:cs="宋体"/>
          <w:sz w:val="24"/>
          <w:szCs w:val="24"/>
        </w:rPr>
        <w:t>供应商名称（盖章）：</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法定代表人或授权代表（签字或盖章）：                </w:t>
      </w:r>
    </w:p>
    <w:p>
      <w:pPr>
        <w:adjustRightInd w:val="0"/>
        <w:snapToGrid w:val="0"/>
        <w:spacing w:line="460" w:lineRule="exact"/>
        <w:rPr>
          <w:rFonts w:ascii="宋体" w:hAnsi="宋体" w:cs="宋体"/>
          <w:sz w:val="24"/>
          <w:szCs w:val="24"/>
        </w:rPr>
      </w:pPr>
      <w:r>
        <w:rPr>
          <w:rFonts w:hint="eastAsia" w:ascii="宋体" w:hAnsi="宋体" w:cs="宋体"/>
          <w:sz w:val="24"/>
          <w:szCs w:val="24"/>
        </w:rPr>
        <w:t>投标日期：</w:t>
      </w:r>
    </w:p>
    <w:p>
      <w:pPr>
        <w:adjustRightInd w:val="0"/>
        <w:snapToGrid w:val="0"/>
        <w:spacing w:line="460" w:lineRule="exact"/>
        <w:rPr>
          <w:rFonts w:ascii="宋体" w:hAnsi="宋体" w:cs="宋体"/>
          <w:sz w:val="24"/>
          <w:szCs w:val="24"/>
        </w:rPr>
      </w:pPr>
      <w:bookmarkStart w:id="108" w:name="_Toc31411"/>
    </w:p>
    <w:p>
      <w:pPr>
        <w:adjustRightInd w:val="0"/>
        <w:snapToGrid w:val="0"/>
        <w:spacing w:line="460" w:lineRule="exact"/>
        <w:rPr>
          <w:rFonts w:ascii="宋体" w:hAnsi="宋体" w:cs="宋体"/>
          <w:sz w:val="24"/>
          <w:szCs w:val="24"/>
        </w:rPr>
      </w:pPr>
    </w:p>
    <w:p>
      <w:pPr>
        <w:pStyle w:val="4"/>
      </w:pPr>
      <w:bookmarkStart w:id="109" w:name="_Toc20826"/>
      <w:bookmarkStart w:id="110" w:name="_Toc12828"/>
      <w:bookmarkStart w:id="111" w:name="_Toc8993"/>
      <w:r>
        <w:rPr>
          <w:rFonts w:hint="eastAsia"/>
        </w:rPr>
        <w:t>投标人资格声明函</w:t>
      </w:r>
      <w:bookmarkEnd w:id="109"/>
      <w:bookmarkEnd w:id="110"/>
      <w:bookmarkEnd w:id="111"/>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（采购代理机构）：</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关于贵方　 　年　　月　　日发布关于“          项目” (项目编号：            )的采购公告，我方愿意参加投标，并已清楚磋商文件的要求及有关文件规定：</w:t>
      </w:r>
    </w:p>
    <w:p>
      <w:pPr>
        <w:adjustRightInd w:val="0"/>
        <w:snapToGrid w:val="0"/>
        <w:spacing w:line="460" w:lineRule="exact"/>
        <w:rPr>
          <w:rFonts w:ascii="宋体" w:hAnsi="宋体" w:cs="宋体"/>
          <w:sz w:val="24"/>
          <w:szCs w:val="24"/>
        </w:rPr>
      </w:pPr>
      <w:r>
        <w:rPr>
          <w:rFonts w:hint="eastAsia" w:ascii="宋体" w:hAnsi="宋体" w:cs="宋体"/>
          <w:sz w:val="24"/>
          <w:szCs w:val="24"/>
        </w:rPr>
        <w:t>我方具备《中华人民共和国政府采购法》第二十二条所规定的条件。</w:t>
      </w:r>
    </w:p>
    <w:p>
      <w:pPr>
        <w:adjustRightInd w:val="0"/>
        <w:snapToGrid w:val="0"/>
        <w:spacing w:line="460" w:lineRule="exact"/>
        <w:rPr>
          <w:rFonts w:ascii="宋体" w:hAnsi="宋体" w:cs="宋体"/>
          <w:sz w:val="24"/>
          <w:szCs w:val="24"/>
        </w:rPr>
      </w:pPr>
      <w:r>
        <w:rPr>
          <w:rFonts w:hint="eastAsia" w:ascii="宋体" w:hAnsi="宋体" w:cs="宋体"/>
          <w:sz w:val="24"/>
          <w:szCs w:val="24"/>
        </w:rPr>
        <w:t>（一）具有独立承担民事责任的能力;</w:t>
      </w:r>
    </w:p>
    <w:p>
      <w:pPr>
        <w:adjustRightInd w:val="0"/>
        <w:snapToGrid w:val="0"/>
        <w:spacing w:line="460" w:lineRule="exact"/>
        <w:rPr>
          <w:rFonts w:ascii="宋体" w:hAnsi="宋体" w:cs="宋体"/>
          <w:sz w:val="24"/>
          <w:szCs w:val="24"/>
        </w:rPr>
      </w:pPr>
      <w:r>
        <w:rPr>
          <w:rFonts w:hint="eastAsia" w:ascii="宋体" w:hAnsi="宋体" w:cs="宋体"/>
          <w:sz w:val="24"/>
          <w:szCs w:val="24"/>
        </w:rPr>
        <w:t>（二）具有良好的商业信誉和健全的财务会计制度；</w:t>
      </w:r>
    </w:p>
    <w:p>
      <w:pPr>
        <w:adjustRightInd w:val="0"/>
        <w:snapToGrid w:val="0"/>
        <w:spacing w:line="460" w:lineRule="exact"/>
        <w:rPr>
          <w:rFonts w:ascii="宋体" w:hAnsi="宋体" w:cs="宋体"/>
          <w:sz w:val="24"/>
          <w:szCs w:val="24"/>
        </w:rPr>
      </w:pPr>
      <w:r>
        <w:rPr>
          <w:rFonts w:hint="eastAsia" w:ascii="宋体" w:hAnsi="宋体" w:cs="宋体"/>
          <w:sz w:val="24"/>
          <w:szCs w:val="24"/>
        </w:rPr>
        <w:t>（三）具有履行合同所必需的设备和专业技术能力；</w:t>
      </w:r>
    </w:p>
    <w:p>
      <w:pPr>
        <w:adjustRightInd w:val="0"/>
        <w:snapToGrid w:val="0"/>
        <w:spacing w:line="460" w:lineRule="exact"/>
        <w:rPr>
          <w:rFonts w:ascii="宋体" w:hAnsi="宋体" w:cs="宋体"/>
          <w:sz w:val="24"/>
          <w:szCs w:val="24"/>
        </w:rPr>
      </w:pPr>
      <w:r>
        <w:rPr>
          <w:rFonts w:hint="eastAsia" w:ascii="宋体" w:hAnsi="宋体" w:cs="宋体"/>
          <w:sz w:val="24"/>
          <w:szCs w:val="24"/>
        </w:rPr>
        <w:t>（四）有依法缴纳税收和社会保障资金的良好记录；</w:t>
      </w:r>
    </w:p>
    <w:p>
      <w:pPr>
        <w:adjustRightInd w:val="0"/>
        <w:snapToGrid w:val="0"/>
        <w:spacing w:line="460" w:lineRule="exact"/>
        <w:rPr>
          <w:rFonts w:ascii="宋体" w:hAnsi="宋体" w:cs="宋体"/>
          <w:sz w:val="24"/>
          <w:szCs w:val="24"/>
        </w:rPr>
      </w:pPr>
      <w:r>
        <w:rPr>
          <w:rFonts w:hint="eastAsia" w:ascii="宋体" w:hAnsi="宋体" w:cs="宋体"/>
          <w:sz w:val="24"/>
          <w:szCs w:val="24"/>
        </w:rPr>
        <w:t>（五）参加政府采购活动前三年内，在经营活动中没有重大违法记录；</w:t>
      </w:r>
    </w:p>
    <w:p>
      <w:pPr>
        <w:adjustRightInd w:val="0"/>
        <w:snapToGrid w:val="0"/>
        <w:spacing w:line="460" w:lineRule="exact"/>
        <w:rPr>
          <w:rFonts w:ascii="宋体" w:hAnsi="宋体" w:cs="宋体"/>
          <w:sz w:val="24"/>
          <w:szCs w:val="24"/>
        </w:rPr>
      </w:pPr>
      <w:r>
        <w:rPr>
          <w:rFonts w:hint="eastAsia" w:ascii="宋体" w:hAnsi="宋体" w:cs="宋体"/>
          <w:sz w:val="24"/>
          <w:szCs w:val="24"/>
        </w:rPr>
        <w:t>（六）法律、行政法规规定的其他条件。</w:t>
      </w:r>
    </w:p>
    <w:p>
      <w:pPr>
        <w:adjustRightInd w:val="0"/>
        <w:snapToGrid w:val="0"/>
        <w:spacing w:line="460" w:lineRule="exact"/>
        <w:rPr>
          <w:rFonts w:ascii="宋体" w:hAnsi="宋体" w:cs="宋体"/>
          <w:sz w:val="24"/>
          <w:szCs w:val="24"/>
        </w:rPr>
      </w:pPr>
      <w:r>
        <w:rPr>
          <w:rFonts w:hint="eastAsia" w:ascii="宋体" w:hAnsi="宋体" w:cs="宋体"/>
          <w:sz w:val="24"/>
          <w:szCs w:val="24"/>
        </w:rPr>
        <w:t>本次招标采购活动中，如有违法、违规、弄虚作假行为，所造成的损失、不良后果及法律责任，一律由我方承担。</w:t>
      </w:r>
    </w:p>
    <w:p>
      <w:pPr>
        <w:adjustRightInd w:val="0"/>
        <w:snapToGrid w:val="0"/>
        <w:spacing w:line="460" w:lineRule="exact"/>
        <w:rPr>
          <w:rFonts w:ascii="宋体" w:hAnsi="宋体" w:cs="宋体"/>
          <w:sz w:val="24"/>
          <w:szCs w:val="24"/>
        </w:rPr>
      </w:pPr>
      <w:r>
        <w:rPr>
          <w:rFonts w:hint="eastAsia" w:ascii="宋体" w:hAnsi="宋体" w:cs="宋体"/>
          <w:sz w:val="24"/>
          <w:szCs w:val="24"/>
        </w:rPr>
        <w:t>特此声明！</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法定代表人或被授权人（签字或盖章）：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单位名称（盖章）：                          </w:t>
      </w:r>
    </w:p>
    <w:p>
      <w:pPr>
        <w:adjustRightInd w:val="0"/>
        <w:snapToGrid w:val="0"/>
        <w:spacing w:line="460" w:lineRule="exact"/>
        <w:rPr>
          <w:rFonts w:ascii="宋体" w:hAnsi="宋体" w:cs="宋体"/>
          <w:sz w:val="24"/>
          <w:szCs w:val="24"/>
        </w:rPr>
      </w:pPr>
      <w:r>
        <w:rPr>
          <w:rFonts w:hint="eastAsia" w:ascii="宋体" w:hAnsi="宋体" w:cs="宋体"/>
          <w:sz w:val="24"/>
          <w:szCs w:val="24"/>
        </w:rPr>
        <w:t>日期：20  年   月   日</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pStyle w:val="2"/>
      </w:pPr>
    </w:p>
    <w:p/>
    <w:p>
      <w:pPr>
        <w:pStyle w:val="4"/>
      </w:pPr>
      <w:bookmarkStart w:id="112" w:name="_Toc450"/>
      <w:bookmarkStart w:id="113" w:name="_Toc28475"/>
      <w:bookmarkStart w:id="114" w:name="_Toc12544"/>
      <w:r>
        <w:rPr>
          <w:rFonts w:hint="eastAsia"/>
        </w:rPr>
        <w:t>授权委托证明书</w:t>
      </w:r>
      <w:bookmarkEnd w:id="108"/>
      <w:bookmarkEnd w:id="112"/>
      <w:bookmarkEnd w:id="113"/>
      <w:bookmarkEnd w:id="114"/>
    </w:p>
    <w:p>
      <w:pPr>
        <w:adjustRightInd w:val="0"/>
        <w:snapToGrid w:val="0"/>
        <w:spacing w:line="460" w:lineRule="exact"/>
        <w:rPr>
          <w:rFonts w:ascii="宋体" w:hAnsi="宋体" w:cs="宋体"/>
          <w:sz w:val="24"/>
          <w:szCs w:val="24"/>
        </w:rPr>
      </w:pPr>
      <w:r>
        <w:rPr>
          <w:rFonts w:hint="eastAsia" w:ascii="宋体" w:hAnsi="宋体" w:cs="宋体"/>
          <w:sz w:val="24"/>
          <w:szCs w:val="24"/>
        </w:rPr>
        <w:t>兹授权                  （委托代理人姓名）为我方委托代理人，其权限是：办理新疆融盛源工程项目管理有限公司组织的</w:t>
      </w:r>
      <w:bookmarkStart w:id="115" w:name="_Hlk45755316"/>
      <w:r>
        <w:rPr>
          <w:rFonts w:hint="eastAsia" w:ascii="宋体" w:hAnsi="宋体" w:cs="宋体"/>
          <w:sz w:val="24"/>
          <w:szCs w:val="24"/>
        </w:rPr>
        <w:t>“           项目” (项目编号：       )</w:t>
      </w:r>
      <w:bookmarkEnd w:id="115"/>
      <w:r>
        <w:rPr>
          <w:rFonts w:hint="eastAsia" w:ascii="宋体" w:hAnsi="宋体" w:cs="宋体"/>
          <w:sz w:val="24"/>
          <w:szCs w:val="24"/>
        </w:rPr>
        <w:t>的投标事宜。</w:t>
      </w:r>
      <w:r>
        <w:rPr>
          <w:rFonts w:hint="eastAsia" w:ascii="宋体" w:hAnsi="宋体" w:cs="宋体"/>
          <w:sz w:val="24"/>
          <w:szCs w:val="24"/>
          <w:lang w:val="en-GB"/>
        </w:rPr>
        <w:t>本</w:t>
      </w:r>
      <w:r>
        <w:rPr>
          <w:rFonts w:hint="eastAsia" w:ascii="宋体" w:hAnsi="宋体" w:cs="宋体"/>
          <w:sz w:val="24"/>
          <w:szCs w:val="24"/>
        </w:rPr>
        <w:t>授权书</w:t>
      </w:r>
      <w:r>
        <w:rPr>
          <w:rFonts w:hint="eastAsia" w:ascii="宋体" w:hAnsi="宋体" w:cs="宋体"/>
          <w:sz w:val="24"/>
          <w:szCs w:val="24"/>
          <w:lang w:val="en-GB"/>
        </w:rPr>
        <w:t>有效期与我方</w:t>
      </w:r>
      <w:r>
        <w:rPr>
          <w:rFonts w:hint="eastAsia" w:ascii="宋体" w:hAnsi="宋体" w:cs="宋体"/>
          <w:sz w:val="24"/>
          <w:szCs w:val="24"/>
        </w:rPr>
        <w:t>响应</w:t>
      </w:r>
      <w:r>
        <w:rPr>
          <w:rFonts w:hint="eastAsia" w:ascii="宋体" w:hAnsi="宋体" w:cs="宋体"/>
          <w:sz w:val="24"/>
          <w:szCs w:val="24"/>
          <w:lang w:val="en-GB"/>
        </w:rPr>
        <w:t>文件中标注的</w:t>
      </w:r>
      <w:r>
        <w:rPr>
          <w:rFonts w:hint="eastAsia" w:ascii="宋体" w:hAnsi="宋体" w:cs="宋体"/>
          <w:sz w:val="24"/>
          <w:szCs w:val="24"/>
        </w:rPr>
        <w:t>磋商</w:t>
      </w:r>
      <w:r>
        <w:rPr>
          <w:rFonts w:hint="eastAsia" w:ascii="宋体" w:hAnsi="宋体" w:cs="宋体"/>
          <w:sz w:val="24"/>
          <w:szCs w:val="24"/>
          <w:lang w:val="en-GB"/>
        </w:rPr>
        <w:t>有效期相同，自签章之日起生效。</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附：代理人性别：       年龄：        职务：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身份证号码：                     </w:t>
      </w:r>
    </w:p>
    <w:p>
      <w:pPr>
        <w:adjustRightInd w:val="0"/>
        <w:snapToGrid w:val="0"/>
        <w:spacing w:line="460" w:lineRule="exact"/>
        <w:rPr>
          <w:rFonts w:ascii="宋体" w:hAnsi="宋体" w:cs="宋体"/>
          <w:sz w:val="24"/>
          <w:szCs w:val="24"/>
        </w:rPr>
      </w:pPr>
      <w:r>
        <w:rPr>
          <w:rFonts w:hint="eastAsia" w:ascii="宋体" w:hAnsi="宋体" w:cs="宋体"/>
          <w:sz w:val="24"/>
          <w:szCs w:val="24"/>
        </w:rPr>
        <w:t>　　附法定代表人及被授权人身份证复印件</w:t>
      </w:r>
    </w:p>
    <w:p>
      <w:pPr>
        <w:adjustRightInd w:val="0"/>
        <w:snapToGrid w:val="0"/>
        <w:spacing w:line="460" w:lineRule="exact"/>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2588260</wp:posOffset>
                </wp:positionH>
                <wp:positionV relativeFrom="paragraph">
                  <wp:posOffset>151130</wp:posOffset>
                </wp:positionV>
                <wp:extent cx="1885315" cy="935990"/>
                <wp:effectExtent l="4445" t="4445" r="15240" b="1968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法定代表人身份证背面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3.8pt;margin-top:11.9pt;height:73.7pt;width:148.45pt;z-index:251660288;mso-width-relative:page;mso-height-relative:page;" fillcolor="#FFFFFF" filled="t" stroked="t" coordsize="21600,21600" o:gfxdata="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IosvHZAAAACgEAAA8AAAAAAAAAAQAgAAAAIgAA&#10;AGRycy9kb3ducmV2LnhtbFBLAQIUABQAAAAIAIdO4kC8F+FbQAIAAIcEAAAOAAAAAAAAAAEAIAAA&#10;ACgBAABkcnMvZTJvRG9jLnhtbFBLBQYAAAAABgAGAFkBAADaBQAAAAA=&#10;">
                <v:fill on="t" focussize="0,0"/>
                <v:stroke color="#000000" miterlimit="8" joinstyle="miter"/>
                <v:imagedata o:title=""/>
                <o:lock v:ext="edit" aspectratio="f"/>
                <v:textbox>
                  <w:txbxContent>
                    <w:p>
                      <w:r>
                        <w:rPr>
                          <w:rFonts w:hint="eastAsia"/>
                        </w:rPr>
                        <w:t>法定代表人身份证背面</w:t>
                      </w:r>
                    </w:p>
                    <w:p/>
                  </w:txbxContent>
                </v:textbox>
              </v:shape>
            </w:pict>
          </mc:Fallback>
        </mc:AlternateContent>
      </w:r>
      <w:r>
        <w:rPr>
          <w:rFonts w:hint="eastAsia"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220345</wp:posOffset>
                </wp:positionH>
                <wp:positionV relativeFrom="paragraph">
                  <wp:posOffset>132715</wp:posOffset>
                </wp:positionV>
                <wp:extent cx="1885315" cy="935990"/>
                <wp:effectExtent l="4445" t="4445" r="15240" b="1968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35pt;margin-top:10.45pt;height:73.7pt;width:148.45pt;z-index:251659264;mso-width-relative:page;mso-height-relative:page;" fillcolor="#FFFFFF" filled="t" stroked="t" coordsize="21600,21600" o:gfxdata="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iNQJvZAAAACQEAAA8AAAAAAAAAAQAgAAAAIgAA&#10;AGRycy9kb3ducmV2LnhtbFBLAQIUABQAAAAIAIdO4kDGmtKEQAIAAIcEAAAOAAAAAAAAAAEAIAAA&#10;ACgBAABkcnMvZTJvRG9jLnhtbFBLBQYAAAAABgAGAFkBAADaBQAAAAA=&#10;">
                <v:fill on="t" focussize="0,0"/>
                <v:stroke color="#000000" miterlimit="8" joinstyle="miter"/>
                <v:imagedata o:title=""/>
                <o:lock v:ext="edit" aspectratio="f"/>
                <v:textbox>
                  <w:txbxContent>
                    <w:p>
                      <w:r>
                        <w:rPr>
                          <w:rFonts w:hint="eastAsia"/>
                        </w:rPr>
                        <w:t>法定代表人身份证正面</w:t>
                      </w:r>
                    </w:p>
                  </w:txbxContent>
                </v:textbox>
              </v:shape>
            </w:pict>
          </mc:Fallback>
        </mc:AlternateConten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2639695</wp:posOffset>
                </wp:positionH>
                <wp:positionV relativeFrom="paragraph">
                  <wp:posOffset>88900</wp:posOffset>
                </wp:positionV>
                <wp:extent cx="1885315" cy="935990"/>
                <wp:effectExtent l="4445" t="4445" r="15240"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被授权人身份证背面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7.85pt;margin-top:7pt;height:73.7pt;width:148.45pt;z-index:251662336;mso-width-relative:page;mso-height-relative:page;" fillcolor="#FFFFFF" filled="t" stroked="t" coordsize="21600,21600" o:gfxdata="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8xycNgAAAAKAQAADwAAAAAAAAABACAAAAAiAAAA&#10;ZHJzL2Rvd25yZXYueG1sUEsBAhQAFAAAAAgAh07iQAkL9z5AAgAAhwQAAA4AAAAAAAAAAQAgAAAA&#10;JwEAAGRycy9lMm9Eb2MueG1sUEsFBgAAAAAGAAYAWQEAANkFAAAAAA==&#10;">
                <v:fill on="t" focussize="0,0"/>
                <v:stroke color="#000000" miterlimit="8" joinstyle="miter"/>
                <v:imagedata o:title=""/>
                <o:lock v:ext="edit" aspectratio="f"/>
                <v:textbox>
                  <w:txbxContent>
                    <w:p>
                      <w:r>
                        <w:rPr>
                          <w:rFonts w:hint="eastAsia"/>
                        </w:rPr>
                        <w:t>被授权人身份证背面</w:t>
                      </w:r>
                    </w:p>
                  </w:txbxContent>
                </v:textbox>
              </v:shape>
            </w:pict>
          </mc:Fallback>
        </mc:AlternateContent>
      </w:r>
      <w:r>
        <w:rPr>
          <w:rFonts w:hint="eastAsia"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243205</wp:posOffset>
                </wp:positionH>
                <wp:positionV relativeFrom="paragraph">
                  <wp:posOffset>13335</wp:posOffset>
                </wp:positionV>
                <wp:extent cx="1885315" cy="935990"/>
                <wp:effectExtent l="4445" t="4445" r="15240" b="1968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被授权人身份证正面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1.05pt;height:73.7pt;width:148.45pt;z-index:251661312;mso-width-relative:page;mso-height-relative:page;" fillcolor="#FFFFFF" filled="t" stroked="t" coordsize="21600,21600" o:gfxdata="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a7TKNgAAAAIAQAADwAAAAAAAAABACAAAAAiAAAA&#10;ZHJzL2Rvd25yZXYueG1sUEsBAhQAFAAAAAgAh07iQLTNblFAAgAAhwQAAA4AAAAAAAAAAQAgAAAA&#10;JwEAAGRycy9lMm9Eb2MueG1sUEsFBgAAAAAGAAYAWQEAANkFAAAAAA==&#10;">
                <v:fill on="t" focussize="0,0"/>
                <v:stroke color="#000000" miterlimit="8" joinstyle="miter"/>
                <v:imagedata o:title=""/>
                <o:lock v:ext="edit" aspectratio="f"/>
                <v:textbox>
                  <w:txbxContent>
                    <w:p>
                      <w:r>
                        <w:rPr>
                          <w:rFonts w:hint="eastAsia"/>
                        </w:rPr>
                        <w:t>被授权人身份证正面</w:t>
                      </w:r>
                    </w:p>
                    <w:p/>
                  </w:txbxContent>
                </v:textbox>
              </v:shape>
            </w:pict>
          </mc:Fallback>
        </mc:AlternateConten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法定代表人或被授权人（签字或盖章）：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单位名称（盖章）：                          </w:t>
      </w:r>
    </w:p>
    <w:p>
      <w:pPr>
        <w:adjustRightInd w:val="0"/>
        <w:snapToGrid w:val="0"/>
        <w:spacing w:line="460" w:lineRule="exact"/>
        <w:rPr>
          <w:rFonts w:ascii="宋体" w:hAnsi="宋体" w:cs="宋体"/>
          <w:sz w:val="24"/>
          <w:szCs w:val="24"/>
        </w:rPr>
      </w:pPr>
      <w:r>
        <w:rPr>
          <w:rFonts w:hint="eastAsia" w:ascii="宋体" w:hAnsi="宋体" w:cs="宋体"/>
          <w:sz w:val="24"/>
          <w:szCs w:val="24"/>
        </w:rPr>
        <w:t>日期：20  年   月   日</w:t>
      </w:r>
    </w:p>
    <w:p>
      <w:pPr>
        <w:adjustRightInd w:val="0"/>
        <w:snapToGrid w:val="0"/>
        <w:spacing w:line="460" w:lineRule="exact"/>
        <w:rPr>
          <w:rFonts w:ascii="宋体" w:hAnsi="宋体" w:cs="宋体"/>
          <w:sz w:val="24"/>
          <w:szCs w:val="24"/>
        </w:rPr>
      </w:pPr>
      <w:r>
        <w:rPr>
          <w:rFonts w:hint="eastAsia" w:ascii="宋体" w:hAnsi="宋体" w:cs="宋体"/>
          <w:sz w:val="24"/>
          <w:szCs w:val="24"/>
        </w:rPr>
        <w:t>说明：法定代表人亲自办理投标事宜的，无需提交本授权委托证明书。</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br w:type="page"/>
      </w:r>
    </w:p>
    <w:p>
      <w:pPr>
        <w:pStyle w:val="4"/>
      </w:pPr>
      <w:bookmarkStart w:id="116" w:name="_Toc9454"/>
      <w:bookmarkStart w:id="117" w:name="_Toc11498"/>
      <w:bookmarkStart w:id="118" w:name="_Toc14036"/>
      <w:bookmarkStart w:id="119" w:name="_Toc18686"/>
      <w:r>
        <w:rPr>
          <w:rFonts w:hint="eastAsia"/>
        </w:rPr>
        <w:t>法定代表人身份证明</w:t>
      </w:r>
      <w:bookmarkEnd w:id="116"/>
      <w:bookmarkEnd w:id="117"/>
      <w:bookmarkEnd w:id="118"/>
      <w:bookmarkEnd w:id="119"/>
    </w:p>
    <w:p>
      <w:pPr>
        <w:adjustRightInd w:val="0"/>
        <w:snapToGrid w:val="0"/>
        <w:spacing w:line="460" w:lineRule="exact"/>
        <w:rPr>
          <w:rFonts w:ascii="宋体" w:hAnsi="宋体" w:cs="宋体"/>
          <w:sz w:val="24"/>
          <w:szCs w:val="24"/>
        </w:rPr>
      </w:pPr>
      <w:r>
        <w:rPr>
          <w:rFonts w:hint="eastAsia" w:ascii="宋体" w:hAnsi="宋体" w:cs="宋体"/>
          <w:sz w:val="24"/>
          <w:szCs w:val="24"/>
        </w:rPr>
        <w:t>致（采购代理机构）：</w:t>
      </w:r>
    </w:p>
    <w:p>
      <w:pPr>
        <w:adjustRightInd w:val="0"/>
        <w:snapToGrid w:val="0"/>
        <w:spacing w:line="460" w:lineRule="exact"/>
        <w:rPr>
          <w:rFonts w:ascii="宋体" w:hAnsi="宋体" w:cs="宋体"/>
          <w:sz w:val="24"/>
          <w:szCs w:val="24"/>
        </w:rPr>
      </w:pPr>
      <w:r>
        <w:rPr>
          <w:rFonts w:hint="eastAsia" w:ascii="宋体" w:hAnsi="宋体" w:cs="宋体"/>
          <w:sz w:val="24"/>
          <w:szCs w:val="24"/>
        </w:rPr>
        <w:t>（投标单位全称） 法定代表人 姓名（身份证号码：），参加贵方组织的项目名称“   项目” (项目编号：         )的招标投标活动，代表本公司处理招标投标活动中的一切事宜。</w:t>
      </w:r>
    </w:p>
    <w:tbl>
      <w:tblPr>
        <w:tblStyle w:val="20"/>
        <w:tblW w:w="91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4"/>
        <w:gridCol w:w="4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4604"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法定代表人身份证复印件</w:t>
            </w:r>
          </w:p>
          <w:p>
            <w:pPr>
              <w:adjustRightInd w:val="0"/>
              <w:snapToGrid w:val="0"/>
              <w:spacing w:line="460" w:lineRule="exact"/>
              <w:rPr>
                <w:rFonts w:ascii="宋体" w:hAnsi="宋体" w:cs="宋体"/>
                <w:sz w:val="24"/>
                <w:szCs w:val="24"/>
              </w:rPr>
            </w:pPr>
            <w:r>
              <w:rPr>
                <w:rFonts w:hint="eastAsia" w:ascii="宋体" w:hAnsi="宋体" w:cs="宋体"/>
                <w:sz w:val="24"/>
                <w:szCs w:val="24"/>
              </w:rPr>
              <w:t>正面</w:t>
            </w:r>
          </w:p>
          <w:p>
            <w:pPr>
              <w:adjustRightInd w:val="0"/>
              <w:snapToGrid w:val="0"/>
              <w:spacing w:line="460" w:lineRule="exact"/>
              <w:rPr>
                <w:rFonts w:ascii="宋体" w:hAnsi="宋体" w:cs="宋体"/>
                <w:sz w:val="24"/>
                <w:szCs w:val="24"/>
              </w:rPr>
            </w:pPr>
            <w:r>
              <w:rPr>
                <w:rFonts w:hint="eastAsia" w:ascii="宋体" w:hAnsi="宋体" w:cs="宋体"/>
                <w:sz w:val="24"/>
                <w:szCs w:val="24"/>
              </w:rPr>
              <w:t>（身份证复印件需清晰可辨认）</w:t>
            </w:r>
          </w:p>
        </w:tc>
        <w:tc>
          <w:tcPr>
            <w:tcW w:w="4555"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法定代表人身份证复印件</w:t>
            </w:r>
          </w:p>
          <w:p>
            <w:pPr>
              <w:adjustRightInd w:val="0"/>
              <w:snapToGrid w:val="0"/>
              <w:spacing w:line="460" w:lineRule="exact"/>
              <w:rPr>
                <w:rFonts w:ascii="宋体" w:hAnsi="宋体" w:cs="宋体"/>
                <w:sz w:val="24"/>
                <w:szCs w:val="24"/>
              </w:rPr>
            </w:pPr>
            <w:r>
              <w:rPr>
                <w:rFonts w:hint="eastAsia" w:ascii="宋体" w:hAnsi="宋体" w:cs="宋体"/>
                <w:sz w:val="24"/>
                <w:szCs w:val="24"/>
              </w:rPr>
              <w:t>反面</w:t>
            </w:r>
          </w:p>
          <w:p>
            <w:pPr>
              <w:adjustRightInd w:val="0"/>
              <w:snapToGrid w:val="0"/>
              <w:spacing w:line="460" w:lineRule="exact"/>
              <w:rPr>
                <w:rFonts w:ascii="宋体" w:hAnsi="宋体" w:cs="宋体"/>
                <w:sz w:val="24"/>
                <w:szCs w:val="24"/>
              </w:rPr>
            </w:pPr>
            <w:r>
              <w:rPr>
                <w:rFonts w:hint="eastAsia" w:ascii="宋体" w:hAnsi="宋体" w:cs="宋体"/>
                <w:sz w:val="24"/>
                <w:szCs w:val="24"/>
              </w:rPr>
              <w:t>（身份证复印件需清晰可辨认）</w:t>
            </w:r>
          </w:p>
        </w:tc>
      </w:tr>
    </w:tbl>
    <w:p>
      <w:pPr>
        <w:adjustRightInd w:val="0"/>
        <w:snapToGrid w:val="0"/>
        <w:spacing w:line="460" w:lineRule="exact"/>
        <w:rPr>
          <w:rFonts w:ascii="宋体" w:hAnsi="宋体" w:cs="宋体"/>
          <w:sz w:val="24"/>
          <w:szCs w:val="24"/>
        </w:rPr>
      </w:pPr>
      <w:r>
        <w:rPr>
          <w:rFonts w:hint="eastAsia" w:ascii="宋体" w:hAnsi="宋体" w:cs="宋体"/>
          <w:sz w:val="24"/>
          <w:szCs w:val="24"/>
        </w:rPr>
        <w:t>注：身份证复印件如为粘贴的，须在身份证复印件与本页接缝处加盖公章。</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法定代表人（签字或盖章）：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单位名称（盖章）：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日期：20  年   月   日</w:t>
      </w:r>
    </w:p>
    <w:p>
      <w:pPr>
        <w:adjustRightInd w:val="0"/>
        <w:snapToGrid w:val="0"/>
        <w:spacing w:line="460" w:lineRule="exact"/>
        <w:rPr>
          <w:rFonts w:ascii="宋体" w:hAnsi="宋体" w:cs="宋体"/>
          <w:sz w:val="24"/>
          <w:szCs w:val="24"/>
        </w:rPr>
      </w:pPr>
      <w:r>
        <w:rPr>
          <w:rFonts w:hint="eastAsia" w:ascii="宋体" w:hAnsi="宋体" w:cs="宋体"/>
          <w:sz w:val="24"/>
          <w:szCs w:val="24"/>
        </w:rPr>
        <w:t>说明：法定代表人亲自办理投标事宜的，需提交本证明文件。</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br w:type="page"/>
      </w:r>
    </w:p>
    <w:p>
      <w:pPr>
        <w:pStyle w:val="4"/>
      </w:pPr>
      <w:bookmarkStart w:id="120" w:name="_Toc24096"/>
      <w:bookmarkStart w:id="121" w:name="_Toc24387"/>
      <w:bookmarkStart w:id="122" w:name="_Toc20834"/>
      <w:bookmarkStart w:id="123" w:name="_Toc27199"/>
      <w:r>
        <w:rPr>
          <w:rFonts w:hint="eastAsia"/>
        </w:rPr>
        <w:t>报价表（另需单独密封提交）</w:t>
      </w:r>
      <w:bookmarkEnd w:id="120"/>
      <w:bookmarkEnd w:id="121"/>
      <w:bookmarkEnd w:id="122"/>
      <w:bookmarkEnd w:id="123"/>
    </w:p>
    <w:p>
      <w:pPr>
        <w:adjustRightInd w:val="0"/>
        <w:snapToGrid w:val="0"/>
        <w:spacing w:line="460" w:lineRule="exact"/>
        <w:rPr>
          <w:rFonts w:ascii="宋体" w:hAnsi="宋体" w:cs="宋体"/>
          <w:sz w:val="24"/>
          <w:szCs w:val="24"/>
        </w:rPr>
      </w:pPr>
      <w:r>
        <w:rPr>
          <w:rFonts w:hint="eastAsia" w:ascii="宋体" w:hAnsi="宋体" w:cs="宋体"/>
          <w:sz w:val="24"/>
          <w:szCs w:val="24"/>
        </w:rPr>
        <w:t>项目名称：</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磋商文件编号：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所投内容：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投标内容</w:t>
            </w:r>
          </w:p>
        </w:tc>
        <w:tc>
          <w:tcPr>
            <w:tcW w:w="668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adjustRightInd w:val="0"/>
              <w:snapToGrid w:val="0"/>
              <w:spacing w:line="460" w:lineRule="exact"/>
              <w:rPr>
                <w:rFonts w:ascii="宋体" w:hAnsi="宋体" w:cs="宋体"/>
                <w:sz w:val="24"/>
                <w:szCs w:val="24"/>
              </w:rPr>
            </w:pPr>
          </w:p>
        </w:tc>
        <w:tc>
          <w:tcPr>
            <w:tcW w:w="668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adjustRightInd w:val="0"/>
              <w:snapToGrid w:val="0"/>
              <w:spacing w:line="460" w:lineRule="exact"/>
              <w:rPr>
                <w:rFonts w:ascii="宋体" w:hAnsi="宋体" w:cs="宋体"/>
                <w:sz w:val="24"/>
                <w:szCs w:val="24"/>
              </w:rPr>
            </w:pPr>
          </w:p>
        </w:tc>
        <w:tc>
          <w:tcPr>
            <w:tcW w:w="668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交货期、安装期：</w:t>
            </w:r>
          </w:p>
        </w:tc>
        <w:tc>
          <w:tcPr>
            <w:tcW w:w="6687" w:type="dxa"/>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质保期：</w:t>
            </w:r>
          </w:p>
        </w:tc>
        <w:tc>
          <w:tcPr>
            <w:tcW w:w="6687" w:type="dxa"/>
            <w:vAlign w:val="center"/>
          </w:tcPr>
          <w:p>
            <w:pPr>
              <w:adjustRightInd w:val="0"/>
              <w:snapToGrid w:val="0"/>
              <w:spacing w:line="460" w:lineRule="exact"/>
              <w:rPr>
                <w:rFonts w:ascii="宋体" w:hAnsi="宋体" w:cs="宋体"/>
                <w:sz w:val="24"/>
                <w:szCs w:val="24"/>
              </w:rPr>
            </w:pPr>
          </w:p>
        </w:tc>
      </w:tr>
    </w:tbl>
    <w:p>
      <w:pPr>
        <w:adjustRightInd w:val="0"/>
        <w:snapToGrid w:val="0"/>
        <w:spacing w:line="460" w:lineRule="exact"/>
        <w:rPr>
          <w:rFonts w:ascii="宋体" w:hAnsi="宋体" w:cs="宋体"/>
          <w:sz w:val="24"/>
          <w:szCs w:val="24"/>
        </w:rPr>
      </w:pPr>
      <w:r>
        <w:rPr>
          <w:rFonts w:hint="eastAsia" w:ascii="宋体" w:hAnsi="宋体" w:cs="宋体"/>
          <w:sz w:val="24"/>
          <w:szCs w:val="24"/>
        </w:rPr>
        <w:t>兹声明：以上投标报价在投标有效期内一直有效。</w:t>
      </w:r>
    </w:p>
    <w:p>
      <w:pPr>
        <w:adjustRightInd w:val="0"/>
        <w:snapToGrid w:val="0"/>
        <w:spacing w:line="460" w:lineRule="exact"/>
        <w:rPr>
          <w:rFonts w:ascii="宋体" w:hAnsi="宋体" w:cs="宋体"/>
          <w:sz w:val="24"/>
          <w:szCs w:val="24"/>
        </w:rPr>
      </w:pPr>
      <w:bookmarkStart w:id="124" w:name="_Toc495414124"/>
      <w:r>
        <w:rPr>
          <w:rFonts w:hint="eastAsia" w:ascii="宋体" w:hAnsi="宋体" w:cs="宋体"/>
          <w:sz w:val="24"/>
          <w:szCs w:val="24"/>
        </w:rPr>
        <w:t xml:space="preserve">法定代表人或被授权人（签字或盖章）：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单位名称（盖章）：                          </w:t>
      </w:r>
    </w:p>
    <w:p>
      <w:pPr>
        <w:adjustRightInd w:val="0"/>
        <w:snapToGrid w:val="0"/>
        <w:spacing w:line="460" w:lineRule="exact"/>
        <w:rPr>
          <w:rFonts w:ascii="宋体" w:hAnsi="宋体" w:cs="宋体"/>
          <w:sz w:val="24"/>
          <w:szCs w:val="24"/>
        </w:rPr>
      </w:pPr>
      <w:r>
        <w:rPr>
          <w:rFonts w:hint="eastAsia" w:ascii="宋体" w:hAnsi="宋体" w:cs="宋体"/>
          <w:sz w:val="24"/>
          <w:szCs w:val="24"/>
        </w:rPr>
        <w:t>日期：20  年   月   日</w:t>
      </w:r>
    </w:p>
    <w:p>
      <w:pPr>
        <w:adjustRightInd w:val="0"/>
        <w:snapToGrid w:val="0"/>
        <w:spacing w:line="460" w:lineRule="exact"/>
        <w:rPr>
          <w:rFonts w:ascii="宋体" w:hAnsi="宋体" w:cs="宋体"/>
          <w:sz w:val="24"/>
          <w:szCs w:val="24"/>
        </w:rPr>
      </w:pPr>
      <w:r>
        <w:rPr>
          <w:rFonts w:hint="eastAsia" w:ascii="宋体" w:hAnsi="宋体" w:cs="宋体"/>
          <w:sz w:val="24"/>
          <w:szCs w:val="24"/>
        </w:rPr>
        <w:t>注：1、此表需密封后单独提交。</w:t>
      </w:r>
      <w:bookmarkEnd w:id="124"/>
    </w:p>
    <w:p>
      <w:pPr>
        <w:adjustRightInd w:val="0"/>
        <w:snapToGrid w:val="0"/>
        <w:spacing w:line="460" w:lineRule="exact"/>
        <w:rPr>
          <w:rFonts w:ascii="宋体" w:hAnsi="宋体" w:cs="宋体"/>
          <w:sz w:val="24"/>
          <w:szCs w:val="24"/>
        </w:rPr>
      </w:pPr>
      <w:r>
        <w:rPr>
          <w:rFonts w:hint="eastAsia" w:ascii="宋体" w:hAnsi="宋体" w:cs="宋体"/>
          <w:sz w:val="24"/>
          <w:szCs w:val="24"/>
        </w:rPr>
        <w:t>本表格式不得更改，投标人只能按要求填报，否则将被视为无效投标。</w:t>
      </w:r>
    </w:p>
    <w:p>
      <w:pPr>
        <w:adjustRightInd w:val="0"/>
        <w:snapToGrid w:val="0"/>
        <w:spacing w:line="460" w:lineRule="exact"/>
        <w:rPr>
          <w:rFonts w:ascii="宋体" w:hAnsi="宋体" w:cs="宋体"/>
          <w:sz w:val="24"/>
          <w:szCs w:val="24"/>
        </w:rPr>
      </w:pPr>
      <w:r>
        <w:rPr>
          <w:rFonts w:hint="eastAsia" w:ascii="宋体" w:hAnsi="宋体" w:cs="宋体"/>
          <w:sz w:val="24"/>
          <w:szCs w:val="24"/>
        </w:rPr>
        <w:t>3、报价包含运费、安装、辅材、税等</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bookmarkStart w:id="125" w:name="_Toc43086031"/>
      <w:bookmarkStart w:id="126" w:name="_Toc43086619"/>
      <w:bookmarkStart w:id="127" w:name="_Toc21422"/>
      <w:bookmarkStart w:id="128" w:name="_Toc43627848"/>
      <w:bookmarkStart w:id="129" w:name="_Toc37581431"/>
    </w:p>
    <w:p>
      <w:pPr>
        <w:adjustRightInd w:val="0"/>
        <w:snapToGrid w:val="0"/>
        <w:spacing w:line="460" w:lineRule="exact"/>
        <w:rPr>
          <w:rFonts w:ascii="宋体" w:hAnsi="宋体" w:cs="宋体"/>
          <w:sz w:val="24"/>
          <w:szCs w:val="24"/>
        </w:rPr>
      </w:pPr>
    </w:p>
    <w:p>
      <w:pPr>
        <w:pStyle w:val="4"/>
      </w:pPr>
      <w:bookmarkStart w:id="130" w:name="_Toc2498"/>
      <w:bookmarkStart w:id="131" w:name="_Toc28559"/>
      <w:bookmarkStart w:id="132" w:name="_Toc10144"/>
      <w:r>
        <w:rPr>
          <w:rFonts w:hint="eastAsia"/>
        </w:rPr>
        <w:t>报价明细表</w:t>
      </w:r>
      <w:bookmarkEnd w:id="125"/>
      <w:bookmarkEnd w:id="126"/>
      <w:bookmarkEnd w:id="127"/>
      <w:bookmarkEnd w:id="130"/>
      <w:bookmarkEnd w:id="131"/>
      <w:bookmarkEnd w:id="132"/>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项目名称：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项目编号：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[货币单位：人民币元]</w:t>
      </w:r>
      <w:bookmarkEnd w:id="128"/>
      <w:bookmarkEnd w:id="129"/>
    </w:p>
    <w:tbl>
      <w:tblPr>
        <w:tblStyle w:val="20"/>
        <w:tblW w:w="5000" w:type="pct"/>
        <w:tblInd w:w="0" w:type="dxa"/>
        <w:tblLayout w:type="autofit"/>
        <w:tblCellMar>
          <w:top w:w="0" w:type="dxa"/>
          <w:left w:w="30" w:type="dxa"/>
          <w:bottom w:w="0" w:type="dxa"/>
          <w:right w:w="30" w:type="dxa"/>
        </w:tblCellMar>
      </w:tblPr>
      <w:tblGrid>
        <w:gridCol w:w="565"/>
        <w:gridCol w:w="1744"/>
        <w:gridCol w:w="1602"/>
        <w:gridCol w:w="1349"/>
        <w:gridCol w:w="1210"/>
        <w:gridCol w:w="845"/>
        <w:gridCol w:w="1171"/>
        <w:gridCol w:w="1320"/>
      </w:tblGrid>
      <w:tr>
        <w:tblPrEx>
          <w:tblCellMar>
            <w:top w:w="0" w:type="dxa"/>
            <w:left w:w="30" w:type="dxa"/>
            <w:bottom w:w="0" w:type="dxa"/>
            <w:right w:w="30" w:type="dxa"/>
          </w:tblCellMar>
        </w:tblPrEx>
        <w:trPr>
          <w:cantSplit/>
          <w:trHeight w:val="530" w:hRule="atLeast"/>
        </w:trPr>
        <w:tc>
          <w:tcPr>
            <w:tcW w:w="288" w:type="pct"/>
            <w:tcBorders>
              <w:top w:val="single" w:color="auto" w:sz="4" w:space="0"/>
              <w:left w:val="single" w:color="auto" w:sz="4" w:space="0"/>
              <w:bottom w:val="single" w:color="auto" w:sz="4" w:space="0"/>
              <w:right w:val="single" w:color="auto" w:sz="6"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序号</w:t>
            </w:r>
          </w:p>
        </w:tc>
        <w:tc>
          <w:tcPr>
            <w:tcW w:w="889" w:type="pct"/>
            <w:tcBorders>
              <w:top w:val="single" w:color="auto" w:sz="4" w:space="0"/>
              <w:left w:val="single" w:color="auto" w:sz="6" w:space="0"/>
              <w:bottom w:val="single" w:color="auto" w:sz="4" w:space="0"/>
              <w:right w:val="single" w:color="auto" w:sz="6"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报价项目</w:t>
            </w:r>
          </w:p>
        </w:tc>
        <w:tc>
          <w:tcPr>
            <w:tcW w:w="817" w:type="pct"/>
            <w:tcBorders>
              <w:top w:val="single" w:color="auto" w:sz="4" w:space="0"/>
              <w:left w:val="single" w:color="auto" w:sz="6" w:space="0"/>
              <w:bottom w:val="single" w:color="auto" w:sz="4" w:space="0"/>
              <w:right w:val="single" w:color="auto" w:sz="6"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关键、主要内容描述，如品牌、产地等</w:t>
            </w:r>
          </w:p>
        </w:tc>
        <w:tc>
          <w:tcPr>
            <w:tcW w:w="688" w:type="pct"/>
            <w:tcBorders>
              <w:top w:val="single" w:color="auto" w:sz="4" w:space="0"/>
              <w:left w:val="single" w:color="auto" w:sz="6" w:space="0"/>
              <w:bottom w:val="single" w:color="auto" w:sz="4" w:space="0"/>
              <w:right w:val="single" w:color="auto" w:sz="6"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型号规格</w:t>
            </w:r>
          </w:p>
        </w:tc>
        <w:tc>
          <w:tcPr>
            <w:tcW w:w="617" w:type="pct"/>
            <w:tcBorders>
              <w:top w:val="single" w:color="auto" w:sz="4" w:space="0"/>
              <w:left w:val="single" w:color="auto" w:sz="6" w:space="0"/>
              <w:bottom w:val="single" w:color="auto" w:sz="4" w:space="0"/>
              <w:right w:val="single" w:color="auto" w:sz="6"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数量</w:t>
            </w:r>
          </w:p>
        </w:tc>
        <w:tc>
          <w:tcPr>
            <w:tcW w:w="431" w:type="pct"/>
            <w:tcBorders>
              <w:top w:val="single" w:color="auto" w:sz="4" w:space="0"/>
              <w:left w:val="single" w:color="auto" w:sz="6" w:space="0"/>
              <w:bottom w:val="single" w:color="auto" w:sz="4" w:space="0"/>
              <w:right w:val="single" w:color="auto" w:sz="4"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单价</w:t>
            </w:r>
          </w:p>
        </w:tc>
        <w:tc>
          <w:tcPr>
            <w:tcW w:w="597" w:type="pct"/>
            <w:tcBorders>
              <w:top w:val="single" w:color="auto" w:sz="4" w:space="0"/>
              <w:left w:val="single" w:color="auto" w:sz="4" w:space="0"/>
              <w:bottom w:val="single" w:color="auto" w:sz="4" w:space="0"/>
              <w:right w:val="single" w:color="auto" w:sz="6"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总价</w:t>
            </w:r>
          </w:p>
        </w:tc>
        <w:tc>
          <w:tcPr>
            <w:tcW w:w="673" w:type="pct"/>
            <w:tcBorders>
              <w:top w:val="single" w:color="auto" w:sz="4" w:space="0"/>
              <w:left w:val="single" w:color="auto" w:sz="6" w:space="0"/>
              <w:bottom w:val="single" w:color="auto" w:sz="4" w:space="0"/>
              <w:right w:val="single" w:color="auto" w:sz="4"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备注</w:t>
            </w:r>
          </w:p>
        </w:tc>
      </w:tr>
      <w:tr>
        <w:tblPrEx>
          <w:tblCellMar>
            <w:top w:w="0" w:type="dxa"/>
            <w:left w:w="30" w:type="dxa"/>
            <w:bottom w:w="0" w:type="dxa"/>
            <w:right w:w="30" w:type="dxa"/>
          </w:tblCellMar>
        </w:tblPrEx>
        <w:trPr>
          <w:cantSplit/>
          <w:trHeight w:val="318" w:hRule="atLeast"/>
        </w:trPr>
        <w:tc>
          <w:tcPr>
            <w:tcW w:w="288" w:type="pct"/>
            <w:tcBorders>
              <w:top w:val="single" w:color="auto" w:sz="4"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1</w:t>
            </w:r>
          </w:p>
        </w:tc>
        <w:tc>
          <w:tcPr>
            <w:tcW w:w="889" w:type="pct"/>
            <w:tcBorders>
              <w:top w:val="single" w:color="auto" w:sz="4" w:space="0"/>
              <w:left w:val="single" w:color="auto" w:sz="6" w:space="0"/>
              <w:bottom w:val="single" w:color="auto" w:sz="6" w:space="0"/>
              <w:right w:val="single" w:color="auto" w:sz="6" w:space="0"/>
            </w:tcBorders>
          </w:tcPr>
          <w:p>
            <w:pPr>
              <w:adjustRightInd w:val="0"/>
              <w:snapToGrid w:val="0"/>
              <w:spacing w:line="460" w:lineRule="exact"/>
              <w:rPr>
                <w:rFonts w:ascii="宋体" w:hAnsi="宋体" w:cs="宋体"/>
                <w:sz w:val="24"/>
                <w:szCs w:val="24"/>
              </w:rPr>
            </w:pPr>
          </w:p>
        </w:tc>
        <w:tc>
          <w:tcPr>
            <w:tcW w:w="817" w:type="pct"/>
            <w:tcBorders>
              <w:top w:val="single" w:color="auto" w:sz="4"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88" w:type="pct"/>
            <w:tcBorders>
              <w:top w:val="single" w:color="auto" w:sz="4"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17" w:type="pct"/>
            <w:tcBorders>
              <w:top w:val="single" w:color="auto" w:sz="4"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431" w:type="pct"/>
            <w:tcBorders>
              <w:top w:val="single" w:color="auto" w:sz="4"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c>
          <w:tcPr>
            <w:tcW w:w="597" w:type="pct"/>
            <w:tcBorders>
              <w:top w:val="single" w:color="auto" w:sz="4"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73" w:type="pct"/>
            <w:tcBorders>
              <w:top w:val="single" w:color="auto" w:sz="4"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r>
      <w:tr>
        <w:tblPrEx>
          <w:tblCellMar>
            <w:top w:w="0" w:type="dxa"/>
            <w:left w:w="30" w:type="dxa"/>
            <w:bottom w:w="0" w:type="dxa"/>
            <w:right w:w="30" w:type="dxa"/>
          </w:tblCellMar>
        </w:tblPrEx>
        <w:trPr>
          <w:cantSplit/>
          <w:trHeight w:val="318" w:hRule="atLeast"/>
        </w:trPr>
        <w:tc>
          <w:tcPr>
            <w:tcW w:w="288"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2</w:t>
            </w:r>
          </w:p>
        </w:tc>
        <w:tc>
          <w:tcPr>
            <w:tcW w:w="889" w:type="pct"/>
            <w:tcBorders>
              <w:top w:val="single" w:color="auto" w:sz="6" w:space="0"/>
              <w:left w:val="single" w:color="auto" w:sz="6" w:space="0"/>
              <w:bottom w:val="single" w:color="auto" w:sz="6" w:space="0"/>
              <w:right w:val="single" w:color="auto" w:sz="6" w:space="0"/>
            </w:tcBorders>
          </w:tcPr>
          <w:p>
            <w:pPr>
              <w:adjustRightInd w:val="0"/>
              <w:snapToGrid w:val="0"/>
              <w:spacing w:line="460" w:lineRule="exact"/>
              <w:rPr>
                <w:rFonts w:ascii="宋体" w:hAnsi="宋体" w:cs="宋体"/>
                <w:sz w:val="24"/>
                <w:szCs w:val="24"/>
              </w:rPr>
            </w:pPr>
          </w:p>
        </w:tc>
        <w:tc>
          <w:tcPr>
            <w:tcW w:w="8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8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431"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c>
          <w:tcPr>
            <w:tcW w:w="597"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73"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r>
      <w:tr>
        <w:tblPrEx>
          <w:tblCellMar>
            <w:top w:w="0" w:type="dxa"/>
            <w:left w:w="30" w:type="dxa"/>
            <w:bottom w:w="0" w:type="dxa"/>
            <w:right w:w="30" w:type="dxa"/>
          </w:tblCellMar>
        </w:tblPrEx>
        <w:trPr>
          <w:cantSplit/>
          <w:trHeight w:val="318" w:hRule="atLeast"/>
        </w:trPr>
        <w:tc>
          <w:tcPr>
            <w:tcW w:w="288"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3</w:t>
            </w:r>
          </w:p>
        </w:tc>
        <w:tc>
          <w:tcPr>
            <w:tcW w:w="889" w:type="pct"/>
            <w:tcBorders>
              <w:top w:val="single" w:color="auto" w:sz="6" w:space="0"/>
              <w:left w:val="single" w:color="auto" w:sz="6" w:space="0"/>
              <w:bottom w:val="single" w:color="auto" w:sz="6" w:space="0"/>
              <w:right w:val="single" w:color="auto" w:sz="6" w:space="0"/>
            </w:tcBorders>
          </w:tcPr>
          <w:p>
            <w:pPr>
              <w:adjustRightInd w:val="0"/>
              <w:snapToGrid w:val="0"/>
              <w:spacing w:line="460" w:lineRule="exact"/>
              <w:rPr>
                <w:rFonts w:ascii="宋体" w:hAnsi="宋体" w:cs="宋体"/>
                <w:sz w:val="24"/>
                <w:szCs w:val="24"/>
              </w:rPr>
            </w:pPr>
          </w:p>
        </w:tc>
        <w:tc>
          <w:tcPr>
            <w:tcW w:w="8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8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431"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c>
          <w:tcPr>
            <w:tcW w:w="597"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73"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r>
      <w:tr>
        <w:tblPrEx>
          <w:tblCellMar>
            <w:top w:w="0" w:type="dxa"/>
            <w:left w:w="30" w:type="dxa"/>
            <w:bottom w:w="0" w:type="dxa"/>
            <w:right w:w="30" w:type="dxa"/>
          </w:tblCellMar>
        </w:tblPrEx>
        <w:trPr>
          <w:cantSplit/>
          <w:trHeight w:val="318" w:hRule="atLeast"/>
        </w:trPr>
        <w:tc>
          <w:tcPr>
            <w:tcW w:w="288"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4</w:t>
            </w:r>
          </w:p>
        </w:tc>
        <w:tc>
          <w:tcPr>
            <w:tcW w:w="889" w:type="pct"/>
            <w:tcBorders>
              <w:top w:val="single" w:color="auto" w:sz="6" w:space="0"/>
              <w:left w:val="single" w:color="auto" w:sz="6" w:space="0"/>
              <w:bottom w:val="single" w:color="auto" w:sz="6" w:space="0"/>
              <w:right w:val="single" w:color="auto" w:sz="6" w:space="0"/>
            </w:tcBorders>
          </w:tcPr>
          <w:p>
            <w:pPr>
              <w:adjustRightInd w:val="0"/>
              <w:snapToGrid w:val="0"/>
              <w:spacing w:line="460" w:lineRule="exact"/>
              <w:rPr>
                <w:rFonts w:ascii="宋体" w:hAnsi="宋体" w:cs="宋体"/>
                <w:sz w:val="24"/>
                <w:szCs w:val="24"/>
              </w:rPr>
            </w:pPr>
          </w:p>
        </w:tc>
        <w:tc>
          <w:tcPr>
            <w:tcW w:w="8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8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431"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c>
          <w:tcPr>
            <w:tcW w:w="597"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73"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r>
      <w:tr>
        <w:tblPrEx>
          <w:tblCellMar>
            <w:top w:w="0" w:type="dxa"/>
            <w:left w:w="30" w:type="dxa"/>
            <w:bottom w:w="0" w:type="dxa"/>
            <w:right w:w="30" w:type="dxa"/>
          </w:tblCellMar>
        </w:tblPrEx>
        <w:trPr>
          <w:cantSplit/>
          <w:trHeight w:val="318" w:hRule="atLeast"/>
        </w:trPr>
        <w:tc>
          <w:tcPr>
            <w:tcW w:w="288"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5</w:t>
            </w:r>
          </w:p>
        </w:tc>
        <w:tc>
          <w:tcPr>
            <w:tcW w:w="889" w:type="pct"/>
            <w:tcBorders>
              <w:top w:val="single" w:color="auto" w:sz="6" w:space="0"/>
              <w:left w:val="single" w:color="auto" w:sz="6" w:space="0"/>
              <w:bottom w:val="single" w:color="auto" w:sz="6" w:space="0"/>
              <w:right w:val="single" w:color="auto" w:sz="6" w:space="0"/>
            </w:tcBorders>
          </w:tcPr>
          <w:p>
            <w:pPr>
              <w:adjustRightInd w:val="0"/>
              <w:snapToGrid w:val="0"/>
              <w:spacing w:line="460" w:lineRule="exact"/>
              <w:rPr>
                <w:rFonts w:ascii="宋体" w:hAnsi="宋体" w:cs="宋体"/>
                <w:sz w:val="24"/>
                <w:szCs w:val="24"/>
              </w:rPr>
            </w:pPr>
          </w:p>
        </w:tc>
        <w:tc>
          <w:tcPr>
            <w:tcW w:w="8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8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431"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c>
          <w:tcPr>
            <w:tcW w:w="597"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73"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r>
      <w:tr>
        <w:tblPrEx>
          <w:tblCellMar>
            <w:top w:w="0" w:type="dxa"/>
            <w:left w:w="30" w:type="dxa"/>
            <w:bottom w:w="0" w:type="dxa"/>
            <w:right w:w="30" w:type="dxa"/>
          </w:tblCellMar>
        </w:tblPrEx>
        <w:trPr>
          <w:cantSplit/>
          <w:trHeight w:val="318" w:hRule="atLeast"/>
        </w:trPr>
        <w:tc>
          <w:tcPr>
            <w:tcW w:w="288"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6</w:t>
            </w:r>
          </w:p>
        </w:tc>
        <w:tc>
          <w:tcPr>
            <w:tcW w:w="889" w:type="pct"/>
            <w:tcBorders>
              <w:top w:val="single" w:color="auto" w:sz="6" w:space="0"/>
              <w:left w:val="single" w:color="auto" w:sz="6" w:space="0"/>
              <w:bottom w:val="single" w:color="auto" w:sz="6" w:space="0"/>
              <w:right w:val="single" w:color="auto" w:sz="6" w:space="0"/>
            </w:tcBorders>
          </w:tcPr>
          <w:p>
            <w:pPr>
              <w:adjustRightInd w:val="0"/>
              <w:snapToGrid w:val="0"/>
              <w:spacing w:line="460" w:lineRule="exact"/>
              <w:rPr>
                <w:rFonts w:ascii="宋体" w:hAnsi="宋体" w:cs="宋体"/>
                <w:sz w:val="24"/>
                <w:szCs w:val="24"/>
              </w:rPr>
            </w:pPr>
          </w:p>
        </w:tc>
        <w:tc>
          <w:tcPr>
            <w:tcW w:w="8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8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431"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c>
          <w:tcPr>
            <w:tcW w:w="597"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73"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r>
      <w:tr>
        <w:tblPrEx>
          <w:tblCellMar>
            <w:top w:w="0" w:type="dxa"/>
            <w:left w:w="30" w:type="dxa"/>
            <w:bottom w:w="0" w:type="dxa"/>
            <w:right w:w="30" w:type="dxa"/>
          </w:tblCellMar>
        </w:tblPrEx>
        <w:trPr>
          <w:cantSplit/>
          <w:trHeight w:val="318" w:hRule="atLeast"/>
        </w:trPr>
        <w:tc>
          <w:tcPr>
            <w:tcW w:w="288"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7</w:t>
            </w:r>
          </w:p>
        </w:tc>
        <w:tc>
          <w:tcPr>
            <w:tcW w:w="889" w:type="pct"/>
            <w:tcBorders>
              <w:top w:val="single" w:color="auto" w:sz="6" w:space="0"/>
              <w:left w:val="single" w:color="auto" w:sz="6" w:space="0"/>
              <w:bottom w:val="single" w:color="auto" w:sz="6" w:space="0"/>
              <w:right w:val="single" w:color="auto" w:sz="6" w:space="0"/>
            </w:tcBorders>
          </w:tcPr>
          <w:p>
            <w:pPr>
              <w:adjustRightInd w:val="0"/>
              <w:snapToGrid w:val="0"/>
              <w:spacing w:line="460" w:lineRule="exact"/>
              <w:rPr>
                <w:rFonts w:ascii="宋体" w:hAnsi="宋体" w:cs="宋体"/>
                <w:sz w:val="24"/>
                <w:szCs w:val="24"/>
              </w:rPr>
            </w:pPr>
          </w:p>
        </w:tc>
        <w:tc>
          <w:tcPr>
            <w:tcW w:w="8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8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431"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c>
          <w:tcPr>
            <w:tcW w:w="597"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73"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r>
      <w:tr>
        <w:tblPrEx>
          <w:tblCellMar>
            <w:top w:w="0" w:type="dxa"/>
            <w:left w:w="30" w:type="dxa"/>
            <w:bottom w:w="0" w:type="dxa"/>
            <w:right w:w="30" w:type="dxa"/>
          </w:tblCellMar>
        </w:tblPrEx>
        <w:trPr>
          <w:cantSplit/>
          <w:trHeight w:val="318" w:hRule="atLeast"/>
        </w:trPr>
        <w:tc>
          <w:tcPr>
            <w:tcW w:w="288"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8</w:t>
            </w:r>
          </w:p>
        </w:tc>
        <w:tc>
          <w:tcPr>
            <w:tcW w:w="889" w:type="pct"/>
            <w:tcBorders>
              <w:top w:val="single" w:color="auto" w:sz="6" w:space="0"/>
              <w:left w:val="single" w:color="auto" w:sz="6" w:space="0"/>
              <w:bottom w:val="single" w:color="auto" w:sz="6" w:space="0"/>
              <w:right w:val="single" w:color="auto" w:sz="6" w:space="0"/>
            </w:tcBorders>
          </w:tcPr>
          <w:p>
            <w:pPr>
              <w:adjustRightInd w:val="0"/>
              <w:snapToGrid w:val="0"/>
              <w:spacing w:line="460" w:lineRule="exact"/>
              <w:rPr>
                <w:rFonts w:ascii="宋体" w:hAnsi="宋体" w:cs="宋体"/>
                <w:sz w:val="24"/>
                <w:szCs w:val="24"/>
              </w:rPr>
            </w:pPr>
          </w:p>
        </w:tc>
        <w:tc>
          <w:tcPr>
            <w:tcW w:w="8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8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431"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c>
          <w:tcPr>
            <w:tcW w:w="597"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73"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r>
      <w:tr>
        <w:tblPrEx>
          <w:tblCellMar>
            <w:top w:w="0" w:type="dxa"/>
            <w:left w:w="30" w:type="dxa"/>
            <w:bottom w:w="0" w:type="dxa"/>
            <w:right w:w="30" w:type="dxa"/>
          </w:tblCellMar>
        </w:tblPrEx>
        <w:trPr>
          <w:cantSplit/>
          <w:trHeight w:val="318" w:hRule="atLeast"/>
        </w:trPr>
        <w:tc>
          <w:tcPr>
            <w:tcW w:w="288"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9</w:t>
            </w:r>
          </w:p>
        </w:tc>
        <w:tc>
          <w:tcPr>
            <w:tcW w:w="889" w:type="pct"/>
            <w:tcBorders>
              <w:top w:val="single" w:color="auto" w:sz="6" w:space="0"/>
              <w:left w:val="single" w:color="auto" w:sz="6" w:space="0"/>
              <w:bottom w:val="single" w:color="auto" w:sz="6" w:space="0"/>
              <w:right w:val="single" w:color="auto" w:sz="6" w:space="0"/>
            </w:tcBorders>
          </w:tcPr>
          <w:p>
            <w:pPr>
              <w:adjustRightInd w:val="0"/>
              <w:snapToGrid w:val="0"/>
              <w:spacing w:line="460" w:lineRule="exact"/>
              <w:rPr>
                <w:rFonts w:ascii="宋体" w:hAnsi="宋体" w:cs="宋体"/>
                <w:sz w:val="24"/>
                <w:szCs w:val="24"/>
              </w:rPr>
            </w:pPr>
          </w:p>
        </w:tc>
        <w:tc>
          <w:tcPr>
            <w:tcW w:w="8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8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431"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c>
          <w:tcPr>
            <w:tcW w:w="597"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73"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r>
      <w:tr>
        <w:tblPrEx>
          <w:tblCellMar>
            <w:top w:w="0" w:type="dxa"/>
            <w:left w:w="30" w:type="dxa"/>
            <w:bottom w:w="0" w:type="dxa"/>
            <w:right w:w="30" w:type="dxa"/>
          </w:tblCellMar>
        </w:tblPrEx>
        <w:trPr>
          <w:cantSplit/>
          <w:trHeight w:val="318" w:hRule="atLeast"/>
        </w:trPr>
        <w:tc>
          <w:tcPr>
            <w:tcW w:w="288"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10</w:t>
            </w:r>
          </w:p>
        </w:tc>
        <w:tc>
          <w:tcPr>
            <w:tcW w:w="88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8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8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431"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c>
          <w:tcPr>
            <w:tcW w:w="597"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73"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r>
      <w:tr>
        <w:tblPrEx>
          <w:tblCellMar>
            <w:top w:w="0" w:type="dxa"/>
            <w:left w:w="30" w:type="dxa"/>
            <w:bottom w:w="0" w:type="dxa"/>
            <w:right w:w="30" w:type="dxa"/>
          </w:tblCellMar>
        </w:tblPrEx>
        <w:trPr>
          <w:cantSplit/>
          <w:trHeight w:val="318" w:hRule="atLeast"/>
        </w:trPr>
        <w:tc>
          <w:tcPr>
            <w:tcW w:w="288"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w:t>
            </w:r>
          </w:p>
        </w:tc>
        <w:tc>
          <w:tcPr>
            <w:tcW w:w="88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8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8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431"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c>
          <w:tcPr>
            <w:tcW w:w="597"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460" w:lineRule="exact"/>
              <w:rPr>
                <w:rFonts w:ascii="宋体" w:hAnsi="宋体" w:cs="宋体"/>
                <w:sz w:val="24"/>
                <w:szCs w:val="24"/>
              </w:rPr>
            </w:pPr>
          </w:p>
        </w:tc>
        <w:tc>
          <w:tcPr>
            <w:tcW w:w="673"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line="460" w:lineRule="exact"/>
              <w:rPr>
                <w:rFonts w:ascii="宋体" w:hAnsi="宋体" w:cs="宋体"/>
                <w:sz w:val="24"/>
                <w:szCs w:val="24"/>
              </w:rPr>
            </w:pPr>
          </w:p>
        </w:tc>
      </w:tr>
      <w:tr>
        <w:tblPrEx>
          <w:tblCellMar>
            <w:top w:w="0" w:type="dxa"/>
            <w:left w:w="30" w:type="dxa"/>
            <w:bottom w:w="0" w:type="dxa"/>
            <w:right w:w="30" w:type="dxa"/>
          </w:tblCellMar>
        </w:tblPrEx>
        <w:trPr>
          <w:cantSplit/>
          <w:trHeight w:val="410" w:hRule="atLeast"/>
        </w:trPr>
        <w:tc>
          <w:tcPr>
            <w:tcW w:w="288" w:type="pct"/>
            <w:tcBorders>
              <w:top w:val="single" w:color="auto" w:sz="6" w:space="0"/>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合计</w:t>
            </w:r>
          </w:p>
        </w:tc>
        <w:tc>
          <w:tcPr>
            <w:tcW w:w="4712" w:type="pct"/>
            <w:gridSpan w:val="7"/>
            <w:tcBorders>
              <w:top w:val="single" w:color="auto" w:sz="6" w:space="0"/>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w:t>
            </w:r>
          </w:p>
        </w:tc>
      </w:tr>
    </w:tbl>
    <w:p>
      <w:pPr>
        <w:adjustRightInd w:val="0"/>
        <w:snapToGrid w:val="0"/>
        <w:spacing w:line="460" w:lineRule="exact"/>
        <w:rPr>
          <w:rFonts w:ascii="宋体" w:hAnsi="宋体" w:cs="宋体"/>
          <w:sz w:val="24"/>
          <w:szCs w:val="24"/>
        </w:rPr>
      </w:pPr>
      <w:r>
        <w:rPr>
          <w:rFonts w:hint="eastAsia" w:ascii="宋体" w:hAnsi="宋体" w:cs="宋体"/>
          <w:sz w:val="24"/>
          <w:szCs w:val="24"/>
        </w:rPr>
        <w:t>填报要求：</w:t>
      </w:r>
    </w:p>
    <w:p>
      <w:pPr>
        <w:adjustRightInd w:val="0"/>
        <w:snapToGrid w:val="0"/>
        <w:spacing w:line="460" w:lineRule="exact"/>
        <w:rPr>
          <w:rFonts w:ascii="宋体" w:hAnsi="宋体" w:cs="宋体"/>
          <w:sz w:val="24"/>
          <w:szCs w:val="24"/>
          <w:lang w:val="zh-CN"/>
        </w:rPr>
      </w:pPr>
      <w:r>
        <w:rPr>
          <w:rFonts w:hint="eastAsia" w:ascii="宋体" w:hAnsi="宋体" w:cs="宋体"/>
          <w:sz w:val="24"/>
          <w:szCs w:val="24"/>
          <w:lang w:val="zh-CN"/>
        </w:rPr>
        <w:t>注：1.供应商须按“报价明细表”的格式详细报出竞标总价的各个</w:t>
      </w:r>
      <w:r>
        <w:rPr>
          <w:rFonts w:hint="eastAsia" w:ascii="宋体" w:hAnsi="宋体" w:cs="宋体"/>
          <w:sz w:val="24"/>
          <w:szCs w:val="24"/>
        </w:rPr>
        <w:t>要求</w:t>
      </w:r>
      <w:r>
        <w:rPr>
          <w:rFonts w:hint="eastAsia" w:ascii="宋体" w:hAnsi="宋体" w:cs="宋体"/>
          <w:sz w:val="24"/>
          <w:szCs w:val="24"/>
          <w:lang w:val="zh-CN"/>
        </w:rPr>
        <w:t>内容组成部分的报价。</w:t>
      </w:r>
    </w:p>
    <w:p>
      <w:pPr>
        <w:adjustRightInd w:val="0"/>
        <w:snapToGrid w:val="0"/>
        <w:spacing w:line="460" w:lineRule="exact"/>
        <w:rPr>
          <w:rFonts w:ascii="宋体" w:hAnsi="宋体" w:cs="宋体"/>
          <w:sz w:val="24"/>
          <w:szCs w:val="24"/>
        </w:rPr>
      </w:pPr>
      <w:r>
        <w:rPr>
          <w:rFonts w:hint="eastAsia" w:ascii="宋体" w:hAnsi="宋体" w:cs="宋体"/>
          <w:sz w:val="24"/>
          <w:szCs w:val="24"/>
          <w:lang w:val="zh-CN"/>
        </w:rPr>
        <w:t>2.“报价明细表”各项</w:t>
      </w:r>
      <w:r>
        <w:rPr>
          <w:rFonts w:hint="eastAsia" w:ascii="宋体" w:hAnsi="宋体" w:cs="宋体"/>
          <w:sz w:val="24"/>
          <w:szCs w:val="24"/>
        </w:rPr>
        <w:t>要求</w:t>
      </w:r>
      <w:r>
        <w:rPr>
          <w:rFonts w:hint="eastAsia" w:ascii="宋体" w:hAnsi="宋体" w:cs="宋体"/>
          <w:sz w:val="24"/>
          <w:szCs w:val="24"/>
          <w:lang w:val="zh-CN"/>
        </w:rPr>
        <w:t>内容报价合计应当与“报价函”中初始报价合计相等。</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3. 请尽量完整、准确的填写“型号规格”，否则将影响投标人的得分。  </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法定代表人或被授权人（签字或盖章）：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单位名称（盖章）：                          </w:t>
      </w:r>
    </w:p>
    <w:p>
      <w:pPr>
        <w:adjustRightInd w:val="0"/>
        <w:snapToGrid w:val="0"/>
        <w:spacing w:line="460" w:lineRule="exact"/>
        <w:rPr>
          <w:rFonts w:ascii="宋体" w:hAnsi="宋体" w:cs="宋体"/>
          <w:sz w:val="24"/>
          <w:szCs w:val="24"/>
        </w:rPr>
      </w:pPr>
      <w:r>
        <w:rPr>
          <w:rFonts w:hint="eastAsia" w:ascii="宋体" w:hAnsi="宋体" w:cs="宋体"/>
          <w:sz w:val="24"/>
          <w:szCs w:val="24"/>
        </w:rPr>
        <w:t>日期：20  年   月   日</w:t>
      </w:r>
    </w:p>
    <w:p>
      <w:pPr>
        <w:adjustRightInd w:val="0"/>
        <w:snapToGrid w:val="0"/>
        <w:spacing w:line="460" w:lineRule="exact"/>
        <w:rPr>
          <w:rFonts w:ascii="宋体" w:hAnsi="宋体" w:cs="宋体"/>
          <w:sz w:val="24"/>
          <w:szCs w:val="24"/>
        </w:rPr>
      </w:pPr>
    </w:p>
    <w:p>
      <w:pPr>
        <w:pStyle w:val="4"/>
      </w:pPr>
      <w:bookmarkStart w:id="133" w:name="_Toc24763"/>
      <w:bookmarkStart w:id="134" w:name="_Toc20536"/>
      <w:bookmarkStart w:id="135" w:name="_Toc31122"/>
      <w:bookmarkStart w:id="136" w:name="_Toc13511"/>
      <w:r>
        <w:rPr>
          <w:rFonts w:hint="eastAsia"/>
        </w:rPr>
        <w:t>投标人概况</w:t>
      </w:r>
      <w:bookmarkEnd w:id="133"/>
      <w:bookmarkEnd w:id="134"/>
      <w:bookmarkEnd w:id="135"/>
      <w:bookmarkEnd w:id="136"/>
    </w:p>
    <w:p>
      <w:pPr>
        <w:pStyle w:val="2"/>
        <w:jc w:val="center"/>
      </w:pPr>
    </w:p>
    <w:p>
      <w:pPr>
        <w:adjustRightInd w:val="0"/>
        <w:snapToGrid w:val="0"/>
        <w:spacing w:line="460" w:lineRule="exact"/>
        <w:rPr>
          <w:rFonts w:ascii="宋体" w:hAnsi="宋体" w:cs="宋体"/>
          <w:sz w:val="24"/>
          <w:szCs w:val="24"/>
        </w:rPr>
      </w:pPr>
      <w:r>
        <w:rPr>
          <w:rFonts w:hint="eastAsia" w:ascii="宋体" w:hAnsi="宋体" w:cs="宋体"/>
          <w:sz w:val="24"/>
          <w:szCs w:val="24"/>
        </w:rPr>
        <w:t>1、投标人名称：</w:t>
      </w:r>
    </w:p>
    <w:p>
      <w:pPr>
        <w:adjustRightInd w:val="0"/>
        <w:snapToGrid w:val="0"/>
        <w:spacing w:line="460" w:lineRule="exact"/>
        <w:rPr>
          <w:rFonts w:ascii="宋体" w:hAnsi="宋体" w:cs="宋体"/>
          <w:sz w:val="24"/>
          <w:szCs w:val="24"/>
        </w:rPr>
      </w:pPr>
      <w:r>
        <w:rPr>
          <w:rFonts w:hint="eastAsia" w:ascii="宋体" w:hAnsi="宋体" w:cs="宋体"/>
          <w:sz w:val="24"/>
          <w:szCs w:val="24"/>
        </w:rPr>
        <w:t>2、资质等级：</w:t>
      </w:r>
    </w:p>
    <w:p>
      <w:pPr>
        <w:adjustRightInd w:val="0"/>
        <w:snapToGrid w:val="0"/>
        <w:spacing w:line="460" w:lineRule="exact"/>
        <w:rPr>
          <w:rFonts w:ascii="宋体" w:hAnsi="宋体" w:cs="宋体"/>
          <w:sz w:val="24"/>
          <w:szCs w:val="24"/>
        </w:rPr>
      </w:pPr>
      <w:r>
        <w:rPr>
          <w:rFonts w:hint="eastAsia" w:ascii="宋体" w:hAnsi="宋体" w:cs="宋体"/>
          <w:sz w:val="24"/>
          <w:szCs w:val="24"/>
        </w:rPr>
        <w:t>3、投标人地址：</w:t>
      </w:r>
    </w:p>
    <w:p>
      <w:pPr>
        <w:adjustRightInd w:val="0"/>
        <w:snapToGrid w:val="0"/>
        <w:spacing w:line="460" w:lineRule="exact"/>
        <w:rPr>
          <w:rFonts w:ascii="宋体" w:hAnsi="宋体" w:cs="宋体"/>
          <w:sz w:val="24"/>
          <w:szCs w:val="24"/>
        </w:rPr>
      </w:pPr>
      <w:r>
        <w:rPr>
          <w:rFonts w:hint="eastAsia" w:ascii="宋体" w:hAnsi="宋体" w:cs="宋体"/>
          <w:sz w:val="24"/>
          <w:szCs w:val="24"/>
        </w:rPr>
        <w:t>4、经营范围：</w:t>
      </w:r>
    </w:p>
    <w:p>
      <w:pPr>
        <w:adjustRightInd w:val="0"/>
        <w:snapToGrid w:val="0"/>
        <w:spacing w:line="460" w:lineRule="exact"/>
        <w:rPr>
          <w:rFonts w:ascii="宋体" w:hAnsi="宋体" w:cs="宋体"/>
          <w:sz w:val="24"/>
          <w:szCs w:val="24"/>
        </w:rPr>
      </w:pPr>
      <w:r>
        <w:rPr>
          <w:rFonts w:hint="eastAsia" w:ascii="宋体" w:hAnsi="宋体" w:cs="宋体"/>
          <w:sz w:val="24"/>
          <w:szCs w:val="24"/>
        </w:rPr>
        <w:t>5、投标人自我介绍：</w:t>
      </w:r>
    </w:p>
    <w:p>
      <w:pPr>
        <w:adjustRightInd w:val="0"/>
        <w:snapToGrid w:val="0"/>
        <w:spacing w:line="460" w:lineRule="exact"/>
        <w:rPr>
          <w:rFonts w:ascii="宋体" w:hAnsi="宋体" w:cs="宋体"/>
          <w:sz w:val="24"/>
          <w:szCs w:val="24"/>
        </w:rPr>
      </w:pPr>
      <w:r>
        <w:rPr>
          <w:rFonts w:hint="eastAsia" w:ascii="宋体" w:hAnsi="宋体" w:cs="宋体"/>
          <w:sz w:val="24"/>
          <w:szCs w:val="24"/>
        </w:rPr>
        <w:t>6、投标人企业（三证合一的供营业执照副本）、磋商保证金汇款凭证或收据等相关证件。</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pStyle w:val="5"/>
      </w:pPr>
    </w:p>
    <w:p>
      <w:pPr>
        <w:pStyle w:val="4"/>
      </w:pPr>
      <w:bookmarkStart w:id="137" w:name="_Toc20279"/>
      <w:bookmarkStart w:id="138" w:name="_Toc23786"/>
      <w:bookmarkStart w:id="139" w:name="_Toc8908"/>
      <w:bookmarkStart w:id="140" w:name="_Toc8283"/>
      <w:r>
        <w:rPr>
          <w:rFonts w:hint="eastAsia"/>
        </w:rPr>
        <w:t>商务响应条款一览表</w:t>
      </w:r>
      <w:bookmarkEnd w:id="137"/>
      <w:bookmarkEnd w:id="138"/>
      <w:bookmarkEnd w:id="139"/>
      <w:bookmarkEnd w:id="140"/>
    </w:p>
    <w:tbl>
      <w:tblPr>
        <w:tblStyle w:val="2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8"/>
        <w:gridCol w:w="1376"/>
        <w:gridCol w:w="2250"/>
        <w:gridCol w:w="1889"/>
        <w:gridCol w:w="1534"/>
        <w:gridCol w:w="1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506" w:type="pct"/>
          </w:tcPr>
          <w:p>
            <w:pPr>
              <w:adjustRightInd w:val="0"/>
              <w:snapToGrid w:val="0"/>
              <w:spacing w:line="460" w:lineRule="exact"/>
              <w:rPr>
                <w:rFonts w:ascii="宋体" w:hAnsi="宋体" w:cs="宋体"/>
                <w:sz w:val="24"/>
                <w:szCs w:val="24"/>
              </w:rPr>
            </w:pPr>
            <w:r>
              <w:rPr>
                <w:rFonts w:hint="eastAsia" w:ascii="宋体" w:hAnsi="宋体" w:cs="宋体"/>
                <w:sz w:val="24"/>
                <w:szCs w:val="24"/>
              </w:rPr>
              <w:t>序号</w:t>
            </w:r>
          </w:p>
        </w:tc>
        <w:tc>
          <w:tcPr>
            <w:tcW w:w="705" w:type="pct"/>
          </w:tcPr>
          <w:p>
            <w:pPr>
              <w:adjustRightInd w:val="0"/>
              <w:snapToGrid w:val="0"/>
              <w:spacing w:line="460" w:lineRule="exact"/>
              <w:rPr>
                <w:rFonts w:ascii="宋体" w:hAnsi="宋体" w:cs="宋体"/>
                <w:sz w:val="24"/>
                <w:szCs w:val="24"/>
              </w:rPr>
            </w:pPr>
            <w:r>
              <w:rPr>
                <w:rFonts w:hint="eastAsia" w:ascii="宋体" w:hAnsi="宋体" w:cs="宋体"/>
                <w:sz w:val="24"/>
                <w:szCs w:val="24"/>
              </w:rPr>
              <w:t>项目名称</w:t>
            </w:r>
          </w:p>
        </w:tc>
        <w:tc>
          <w:tcPr>
            <w:tcW w:w="1153" w:type="pct"/>
          </w:tcPr>
          <w:p>
            <w:pPr>
              <w:adjustRightInd w:val="0"/>
              <w:snapToGrid w:val="0"/>
              <w:spacing w:line="460" w:lineRule="exact"/>
              <w:rPr>
                <w:rFonts w:ascii="宋体" w:hAnsi="宋体" w:cs="宋体"/>
                <w:sz w:val="24"/>
                <w:szCs w:val="24"/>
              </w:rPr>
            </w:pPr>
            <w:r>
              <w:rPr>
                <w:rFonts w:hint="eastAsia" w:ascii="宋体" w:hAnsi="宋体" w:cs="宋体"/>
                <w:sz w:val="24"/>
                <w:szCs w:val="24"/>
              </w:rPr>
              <w:t>招标商务参数</w:t>
            </w:r>
          </w:p>
        </w:tc>
        <w:tc>
          <w:tcPr>
            <w:tcW w:w="968" w:type="pct"/>
          </w:tcPr>
          <w:p>
            <w:pPr>
              <w:adjustRightInd w:val="0"/>
              <w:snapToGrid w:val="0"/>
              <w:spacing w:line="460" w:lineRule="exact"/>
              <w:rPr>
                <w:rFonts w:ascii="宋体" w:hAnsi="宋体" w:cs="宋体"/>
                <w:sz w:val="24"/>
                <w:szCs w:val="24"/>
              </w:rPr>
            </w:pPr>
            <w:r>
              <w:rPr>
                <w:rFonts w:hint="eastAsia" w:ascii="宋体" w:hAnsi="宋体" w:cs="宋体"/>
                <w:sz w:val="24"/>
                <w:szCs w:val="24"/>
              </w:rPr>
              <w:t>响应商务参数</w:t>
            </w:r>
          </w:p>
        </w:tc>
        <w:tc>
          <w:tcPr>
            <w:tcW w:w="786" w:type="pct"/>
          </w:tcPr>
          <w:p>
            <w:pPr>
              <w:adjustRightInd w:val="0"/>
              <w:snapToGrid w:val="0"/>
              <w:spacing w:line="460" w:lineRule="exact"/>
              <w:rPr>
                <w:rFonts w:ascii="宋体" w:hAnsi="宋体" w:cs="宋体"/>
                <w:sz w:val="24"/>
                <w:szCs w:val="24"/>
              </w:rPr>
            </w:pPr>
            <w:r>
              <w:rPr>
                <w:rFonts w:hint="eastAsia" w:ascii="宋体" w:hAnsi="宋体" w:cs="宋体"/>
                <w:sz w:val="24"/>
                <w:szCs w:val="24"/>
              </w:rPr>
              <w:t>偏离情况</w:t>
            </w:r>
          </w:p>
        </w:tc>
        <w:tc>
          <w:tcPr>
            <w:tcW w:w="879" w:type="pct"/>
          </w:tcPr>
          <w:p>
            <w:pPr>
              <w:adjustRightInd w:val="0"/>
              <w:snapToGrid w:val="0"/>
              <w:spacing w:line="460" w:lineRule="exact"/>
              <w:rPr>
                <w:rFonts w:ascii="宋体" w:hAnsi="宋体" w:cs="宋体"/>
                <w:sz w:val="24"/>
                <w:szCs w:val="24"/>
              </w:rPr>
            </w:pPr>
            <w:r>
              <w:rPr>
                <w:rFonts w:hint="eastAsia" w:ascii="宋体" w:hAnsi="宋体" w:cs="宋体"/>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506" w:type="pct"/>
          </w:tcPr>
          <w:p>
            <w:pPr>
              <w:adjustRightInd w:val="0"/>
              <w:snapToGrid w:val="0"/>
              <w:spacing w:line="460" w:lineRule="exact"/>
              <w:rPr>
                <w:rFonts w:ascii="宋体" w:hAnsi="宋体" w:cs="宋体"/>
                <w:sz w:val="24"/>
                <w:szCs w:val="24"/>
              </w:rPr>
            </w:pPr>
            <w:r>
              <w:rPr>
                <w:rFonts w:hint="eastAsia" w:ascii="宋体" w:hAnsi="宋体" w:cs="宋体"/>
                <w:sz w:val="24"/>
                <w:szCs w:val="24"/>
              </w:rPr>
              <w:t>1</w:t>
            </w:r>
          </w:p>
        </w:tc>
        <w:tc>
          <w:tcPr>
            <w:tcW w:w="705" w:type="pct"/>
          </w:tcPr>
          <w:p>
            <w:pPr>
              <w:adjustRightInd w:val="0"/>
              <w:snapToGrid w:val="0"/>
              <w:spacing w:line="460" w:lineRule="exact"/>
              <w:rPr>
                <w:rFonts w:ascii="宋体" w:hAnsi="宋体" w:cs="宋体"/>
                <w:sz w:val="24"/>
                <w:szCs w:val="24"/>
              </w:rPr>
            </w:pPr>
          </w:p>
        </w:tc>
        <w:tc>
          <w:tcPr>
            <w:tcW w:w="1153" w:type="pct"/>
          </w:tcPr>
          <w:p>
            <w:pPr>
              <w:adjustRightInd w:val="0"/>
              <w:snapToGrid w:val="0"/>
              <w:spacing w:line="460" w:lineRule="exact"/>
              <w:rPr>
                <w:rFonts w:ascii="宋体" w:hAnsi="宋体" w:cs="宋体"/>
                <w:sz w:val="24"/>
                <w:szCs w:val="24"/>
              </w:rPr>
            </w:pPr>
          </w:p>
        </w:tc>
        <w:tc>
          <w:tcPr>
            <w:tcW w:w="968" w:type="pct"/>
          </w:tcPr>
          <w:p>
            <w:pPr>
              <w:adjustRightInd w:val="0"/>
              <w:snapToGrid w:val="0"/>
              <w:spacing w:line="460" w:lineRule="exact"/>
              <w:rPr>
                <w:rFonts w:ascii="宋体" w:hAnsi="宋体" w:cs="宋体"/>
                <w:sz w:val="24"/>
                <w:szCs w:val="24"/>
              </w:rPr>
            </w:pPr>
          </w:p>
        </w:tc>
        <w:tc>
          <w:tcPr>
            <w:tcW w:w="786" w:type="pct"/>
          </w:tcPr>
          <w:p>
            <w:pPr>
              <w:adjustRightInd w:val="0"/>
              <w:snapToGrid w:val="0"/>
              <w:spacing w:line="460" w:lineRule="exact"/>
              <w:rPr>
                <w:rFonts w:ascii="宋体" w:hAnsi="宋体" w:cs="宋体"/>
                <w:sz w:val="24"/>
                <w:szCs w:val="24"/>
              </w:rPr>
            </w:pPr>
          </w:p>
        </w:tc>
        <w:tc>
          <w:tcPr>
            <w:tcW w:w="879" w:type="pct"/>
          </w:tcPr>
          <w:p>
            <w:pPr>
              <w:adjustRightInd w:val="0"/>
              <w:snapToGrid w:val="0"/>
              <w:spacing w:line="46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506" w:type="pct"/>
          </w:tcPr>
          <w:p>
            <w:pPr>
              <w:adjustRightInd w:val="0"/>
              <w:snapToGrid w:val="0"/>
              <w:spacing w:line="460" w:lineRule="exact"/>
              <w:rPr>
                <w:rFonts w:ascii="宋体" w:hAnsi="宋体" w:cs="宋体"/>
                <w:sz w:val="24"/>
                <w:szCs w:val="24"/>
              </w:rPr>
            </w:pPr>
            <w:r>
              <w:rPr>
                <w:rFonts w:hint="eastAsia" w:ascii="宋体" w:hAnsi="宋体" w:cs="宋体"/>
                <w:sz w:val="24"/>
                <w:szCs w:val="24"/>
              </w:rPr>
              <w:t>2</w:t>
            </w:r>
          </w:p>
        </w:tc>
        <w:tc>
          <w:tcPr>
            <w:tcW w:w="705" w:type="pct"/>
          </w:tcPr>
          <w:p>
            <w:pPr>
              <w:adjustRightInd w:val="0"/>
              <w:snapToGrid w:val="0"/>
              <w:spacing w:line="460" w:lineRule="exact"/>
              <w:rPr>
                <w:rFonts w:ascii="宋体" w:hAnsi="宋体" w:cs="宋体"/>
                <w:sz w:val="24"/>
                <w:szCs w:val="24"/>
              </w:rPr>
            </w:pPr>
          </w:p>
        </w:tc>
        <w:tc>
          <w:tcPr>
            <w:tcW w:w="1153" w:type="pct"/>
          </w:tcPr>
          <w:p>
            <w:pPr>
              <w:adjustRightInd w:val="0"/>
              <w:snapToGrid w:val="0"/>
              <w:spacing w:line="460" w:lineRule="exact"/>
              <w:rPr>
                <w:rFonts w:ascii="宋体" w:hAnsi="宋体" w:cs="宋体"/>
                <w:sz w:val="24"/>
                <w:szCs w:val="24"/>
              </w:rPr>
            </w:pPr>
          </w:p>
        </w:tc>
        <w:tc>
          <w:tcPr>
            <w:tcW w:w="968" w:type="pct"/>
          </w:tcPr>
          <w:p>
            <w:pPr>
              <w:adjustRightInd w:val="0"/>
              <w:snapToGrid w:val="0"/>
              <w:spacing w:line="460" w:lineRule="exact"/>
              <w:rPr>
                <w:rFonts w:ascii="宋体" w:hAnsi="宋体" w:cs="宋体"/>
                <w:sz w:val="24"/>
                <w:szCs w:val="24"/>
              </w:rPr>
            </w:pPr>
          </w:p>
        </w:tc>
        <w:tc>
          <w:tcPr>
            <w:tcW w:w="786" w:type="pct"/>
          </w:tcPr>
          <w:p>
            <w:pPr>
              <w:adjustRightInd w:val="0"/>
              <w:snapToGrid w:val="0"/>
              <w:spacing w:line="460" w:lineRule="exact"/>
              <w:rPr>
                <w:rFonts w:ascii="宋体" w:hAnsi="宋体" w:cs="宋体"/>
                <w:sz w:val="24"/>
                <w:szCs w:val="24"/>
              </w:rPr>
            </w:pPr>
          </w:p>
        </w:tc>
        <w:tc>
          <w:tcPr>
            <w:tcW w:w="879" w:type="pct"/>
          </w:tcPr>
          <w:p>
            <w:pPr>
              <w:adjustRightInd w:val="0"/>
              <w:snapToGrid w:val="0"/>
              <w:spacing w:line="46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506" w:type="pct"/>
          </w:tcPr>
          <w:p>
            <w:pPr>
              <w:adjustRightInd w:val="0"/>
              <w:snapToGrid w:val="0"/>
              <w:spacing w:line="460" w:lineRule="exact"/>
              <w:rPr>
                <w:rFonts w:ascii="宋体" w:hAnsi="宋体" w:cs="宋体"/>
                <w:sz w:val="24"/>
                <w:szCs w:val="24"/>
              </w:rPr>
            </w:pPr>
            <w:r>
              <w:rPr>
                <w:rFonts w:hint="eastAsia" w:ascii="宋体" w:hAnsi="宋体" w:cs="宋体"/>
                <w:sz w:val="24"/>
                <w:szCs w:val="24"/>
              </w:rPr>
              <w:t>3</w:t>
            </w:r>
          </w:p>
        </w:tc>
        <w:tc>
          <w:tcPr>
            <w:tcW w:w="705" w:type="pct"/>
          </w:tcPr>
          <w:p>
            <w:pPr>
              <w:adjustRightInd w:val="0"/>
              <w:snapToGrid w:val="0"/>
              <w:spacing w:line="460" w:lineRule="exact"/>
              <w:rPr>
                <w:rFonts w:ascii="宋体" w:hAnsi="宋体" w:cs="宋体"/>
                <w:sz w:val="24"/>
                <w:szCs w:val="24"/>
              </w:rPr>
            </w:pPr>
          </w:p>
        </w:tc>
        <w:tc>
          <w:tcPr>
            <w:tcW w:w="1153" w:type="pct"/>
          </w:tcPr>
          <w:p>
            <w:pPr>
              <w:adjustRightInd w:val="0"/>
              <w:snapToGrid w:val="0"/>
              <w:spacing w:line="460" w:lineRule="exact"/>
              <w:rPr>
                <w:rFonts w:ascii="宋体" w:hAnsi="宋体" w:cs="宋体"/>
                <w:sz w:val="24"/>
                <w:szCs w:val="24"/>
              </w:rPr>
            </w:pPr>
          </w:p>
        </w:tc>
        <w:tc>
          <w:tcPr>
            <w:tcW w:w="968" w:type="pct"/>
          </w:tcPr>
          <w:p>
            <w:pPr>
              <w:adjustRightInd w:val="0"/>
              <w:snapToGrid w:val="0"/>
              <w:spacing w:line="460" w:lineRule="exact"/>
              <w:rPr>
                <w:rFonts w:ascii="宋体" w:hAnsi="宋体" w:cs="宋体"/>
                <w:sz w:val="24"/>
                <w:szCs w:val="24"/>
              </w:rPr>
            </w:pPr>
          </w:p>
        </w:tc>
        <w:tc>
          <w:tcPr>
            <w:tcW w:w="786" w:type="pct"/>
          </w:tcPr>
          <w:p>
            <w:pPr>
              <w:adjustRightInd w:val="0"/>
              <w:snapToGrid w:val="0"/>
              <w:spacing w:line="460" w:lineRule="exact"/>
              <w:rPr>
                <w:rFonts w:ascii="宋体" w:hAnsi="宋体" w:cs="宋体"/>
                <w:sz w:val="24"/>
                <w:szCs w:val="24"/>
              </w:rPr>
            </w:pPr>
          </w:p>
        </w:tc>
        <w:tc>
          <w:tcPr>
            <w:tcW w:w="879" w:type="pct"/>
          </w:tcPr>
          <w:p>
            <w:pPr>
              <w:adjustRightInd w:val="0"/>
              <w:snapToGrid w:val="0"/>
              <w:spacing w:line="46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06" w:type="pct"/>
          </w:tcPr>
          <w:p>
            <w:pPr>
              <w:adjustRightInd w:val="0"/>
              <w:snapToGrid w:val="0"/>
              <w:spacing w:line="460" w:lineRule="exact"/>
              <w:rPr>
                <w:rFonts w:ascii="宋体" w:hAnsi="宋体" w:cs="宋体"/>
                <w:sz w:val="24"/>
                <w:szCs w:val="24"/>
              </w:rPr>
            </w:pPr>
            <w:r>
              <w:rPr>
                <w:rFonts w:hint="eastAsia" w:ascii="宋体" w:hAnsi="宋体" w:cs="宋体"/>
                <w:sz w:val="24"/>
                <w:szCs w:val="24"/>
              </w:rPr>
              <w:t>……</w:t>
            </w:r>
          </w:p>
        </w:tc>
        <w:tc>
          <w:tcPr>
            <w:tcW w:w="705" w:type="pct"/>
          </w:tcPr>
          <w:p>
            <w:pPr>
              <w:adjustRightInd w:val="0"/>
              <w:snapToGrid w:val="0"/>
              <w:spacing w:line="460" w:lineRule="exact"/>
              <w:rPr>
                <w:rFonts w:ascii="宋体" w:hAnsi="宋体" w:cs="宋体"/>
                <w:sz w:val="24"/>
                <w:szCs w:val="24"/>
              </w:rPr>
            </w:pPr>
          </w:p>
        </w:tc>
        <w:tc>
          <w:tcPr>
            <w:tcW w:w="1153" w:type="pct"/>
          </w:tcPr>
          <w:p>
            <w:pPr>
              <w:adjustRightInd w:val="0"/>
              <w:snapToGrid w:val="0"/>
              <w:spacing w:line="460" w:lineRule="exact"/>
              <w:rPr>
                <w:rFonts w:ascii="宋体" w:hAnsi="宋体" w:cs="宋体"/>
                <w:sz w:val="24"/>
                <w:szCs w:val="24"/>
              </w:rPr>
            </w:pPr>
          </w:p>
        </w:tc>
        <w:tc>
          <w:tcPr>
            <w:tcW w:w="968" w:type="pct"/>
          </w:tcPr>
          <w:p>
            <w:pPr>
              <w:adjustRightInd w:val="0"/>
              <w:snapToGrid w:val="0"/>
              <w:spacing w:line="460" w:lineRule="exact"/>
              <w:rPr>
                <w:rFonts w:ascii="宋体" w:hAnsi="宋体" w:cs="宋体"/>
                <w:sz w:val="24"/>
                <w:szCs w:val="24"/>
              </w:rPr>
            </w:pPr>
          </w:p>
        </w:tc>
        <w:tc>
          <w:tcPr>
            <w:tcW w:w="786" w:type="pct"/>
          </w:tcPr>
          <w:p>
            <w:pPr>
              <w:adjustRightInd w:val="0"/>
              <w:snapToGrid w:val="0"/>
              <w:spacing w:line="460" w:lineRule="exact"/>
              <w:rPr>
                <w:rFonts w:ascii="宋体" w:hAnsi="宋体" w:cs="宋体"/>
                <w:sz w:val="24"/>
                <w:szCs w:val="24"/>
              </w:rPr>
            </w:pPr>
          </w:p>
        </w:tc>
        <w:tc>
          <w:tcPr>
            <w:tcW w:w="879" w:type="pct"/>
          </w:tcPr>
          <w:p>
            <w:pPr>
              <w:adjustRightInd w:val="0"/>
              <w:snapToGrid w:val="0"/>
              <w:spacing w:line="46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06" w:type="pct"/>
          </w:tcPr>
          <w:p>
            <w:pPr>
              <w:adjustRightInd w:val="0"/>
              <w:snapToGrid w:val="0"/>
              <w:spacing w:line="460" w:lineRule="exact"/>
              <w:rPr>
                <w:rFonts w:ascii="宋体" w:hAnsi="宋体" w:cs="宋体"/>
                <w:sz w:val="24"/>
                <w:szCs w:val="24"/>
              </w:rPr>
            </w:pPr>
          </w:p>
        </w:tc>
        <w:tc>
          <w:tcPr>
            <w:tcW w:w="705" w:type="pct"/>
          </w:tcPr>
          <w:p>
            <w:pPr>
              <w:adjustRightInd w:val="0"/>
              <w:snapToGrid w:val="0"/>
              <w:spacing w:line="460" w:lineRule="exact"/>
              <w:rPr>
                <w:rFonts w:ascii="宋体" w:hAnsi="宋体" w:cs="宋体"/>
                <w:sz w:val="24"/>
                <w:szCs w:val="24"/>
              </w:rPr>
            </w:pPr>
          </w:p>
        </w:tc>
        <w:tc>
          <w:tcPr>
            <w:tcW w:w="1153" w:type="pct"/>
          </w:tcPr>
          <w:p>
            <w:pPr>
              <w:adjustRightInd w:val="0"/>
              <w:snapToGrid w:val="0"/>
              <w:spacing w:line="460" w:lineRule="exact"/>
              <w:rPr>
                <w:rFonts w:ascii="宋体" w:hAnsi="宋体" w:cs="宋体"/>
                <w:sz w:val="24"/>
                <w:szCs w:val="24"/>
              </w:rPr>
            </w:pPr>
          </w:p>
        </w:tc>
        <w:tc>
          <w:tcPr>
            <w:tcW w:w="968" w:type="pct"/>
          </w:tcPr>
          <w:p>
            <w:pPr>
              <w:adjustRightInd w:val="0"/>
              <w:snapToGrid w:val="0"/>
              <w:spacing w:line="460" w:lineRule="exact"/>
              <w:rPr>
                <w:rFonts w:ascii="宋体" w:hAnsi="宋体" w:cs="宋体"/>
                <w:sz w:val="24"/>
                <w:szCs w:val="24"/>
              </w:rPr>
            </w:pPr>
          </w:p>
        </w:tc>
        <w:tc>
          <w:tcPr>
            <w:tcW w:w="786" w:type="pct"/>
          </w:tcPr>
          <w:p>
            <w:pPr>
              <w:adjustRightInd w:val="0"/>
              <w:snapToGrid w:val="0"/>
              <w:spacing w:line="460" w:lineRule="exact"/>
              <w:rPr>
                <w:rFonts w:ascii="宋体" w:hAnsi="宋体" w:cs="宋体"/>
                <w:sz w:val="24"/>
                <w:szCs w:val="24"/>
              </w:rPr>
            </w:pPr>
          </w:p>
        </w:tc>
        <w:tc>
          <w:tcPr>
            <w:tcW w:w="879" w:type="pct"/>
          </w:tcPr>
          <w:p>
            <w:pPr>
              <w:adjustRightInd w:val="0"/>
              <w:snapToGrid w:val="0"/>
              <w:spacing w:line="46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06" w:type="pct"/>
          </w:tcPr>
          <w:p>
            <w:pPr>
              <w:adjustRightInd w:val="0"/>
              <w:snapToGrid w:val="0"/>
              <w:spacing w:line="460" w:lineRule="exact"/>
              <w:rPr>
                <w:rFonts w:ascii="宋体" w:hAnsi="宋体" w:cs="宋体"/>
                <w:sz w:val="24"/>
                <w:szCs w:val="24"/>
              </w:rPr>
            </w:pPr>
          </w:p>
        </w:tc>
        <w:tc>
          <w:tcPr>
            <w:tcW w:w="705" w:type="pct"/>
          </w:tcPr>
          <w:p>
            <w:pPr>
              <w:adjustRightInd w:val="0"/>
              <w:snapToGrid w:val="0"/>
              <w:spacing w:line="460" w:lineRule="exact"/>
              <w:rPr>
                <w:rFonts w:ascii="宋体" w:hAnsi="宋体" w:cs="宋体"/>
                <w:sz w:val="24"/>
                <w:szCs w:val="24"/>
              </w:rPr>
            </w:pPr>
          </w:p>
        </w:tc>
        <w:tc>
          <w:tcPr>
            <w:tcW w:w="1153" w:type="pct"/>
          </w:tcPr>
          <w:p>
            <w:pPr>
              <w:adjustRightInd w:val="0"/>
              <w:snapToGrid w:val="0"/>
              <w:spacing w:line="460" w:lineRule="exact"/>
              <w:rPr>
                <w:rFonts w:ascii="宋体" w:hAnsi="宋体" w:cs="宋体"/>
                <w:sz w:val="24"/>
                <w:szCs w:val="24"/>
              </w:rPr>
            </w:pPr>
          </w:p>
        </w:tc>
        <w:tc>
          <w:tcPr>
            <w:tcW w:w="968" w:type="pct"/>
          </w:tcPr>
          <w:p>
            <w:pPr>
              <w:adjustRightInd w:val="0"/>
              <w:snapToGrid w:val="0"/>
              <w:spacing w:line="460" w:lineRule="exact"/>
              <w:rPr>
                <w:rFonts w:ascii="宋体" w:hAnsi="宋体" w:cs="宋体"/>
                <w:sz w:val="24"/>
                <w:szCs w:val="24"/>
              </w:rPr>
            </w:pPr>
          </w:p>
        </w:tc>
        <w:tc>
          <w:tcPr>
            <w:tcW w:w="786" w:type="pct"/>
          </w:tcPr>
          <w:p>
            <w:pPr>
              <w:adjustRightInd w:val="0"/>
              <w:snapToGrid w:val="0"/>
              <w:spacing w:line="460" w:lineRule="exact"/>
              <w:rPr>
                <w:rFonts w:ascii="宋体" w:hAnsi="宋体" w:cs="宋体"/>
                <w:sz w:val="24"/>
                <w:szCs w:val="24"/>
              </w:rPr>
            </w:pPr>
          </w:p>
        </w:tc>
        <w:tc>
          <w:tcPr>
            <w:tcW w:w="879" w:type="pct"/>
          </w:tcPr>
          <w:p>
            <w:pPr>
              <w:adjustRightInd w:val="0"/>
              <w:snapToGrid w:val="0"/>
              <w:spacing w:line="460" w:lineRule="exact"/>
              <w:rPr>
                <w:rFonts w:ascii="宋体" w:hAnsi="宋体" w:cs="宋体"/>
                <w:sz w:val="24"/>
                <w:szCs w:val="24"/>
              </w:rPr>
            </w:pPr>
          </w:p>
        </w:tc>
      </w:tr>
    </w:tbl>
    <w:p>
      <w:pPr>
        <w:adjustRightInd w:val="0"/>
        <w:snapToGrid w:val="0"/>
        <w:spacing w:line="460" w:lineRule="exact"/>
        <w:rPr>
          <w:rFonts w:ascii="宋体" w:hAnsi="宋体" w:cs="宋体"/>
          <w:sz w:val="24"/>
          <w:szCs w:val="24"/>
        </w:rPr>
      </w:pPr>
      <w:r>
        <w:rPr>
          <w:rFonts w:hint="eastAsia" w:ascii="宋体" w:hAnsi="宋体" w:cs="宋体"/>
          <w:sz w:val="24"/>
          <w:szCs w:val="24"/>
        </w:rPr>
        <w:t>注：凡磋商文件中商务条款（包括实施期、付款、合同条款以及其它所有商务内容）与磋商文件有偏差的，均应在此表中列出（内容较多的可以标注见响应文件第几页，偏差包括正偏差和负偏差），未在此表中列出的视同完全满足磋商文件要求。</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法定代表人或被授权人（签字或盖章）：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单位名称（盖章）：                          </w:t>
      </w:r>
    </w:p>
    <w:p>
      <w:pPr>
        <w:adjustRightInd w:val="0"/>
        <w:snapToGrid w:val="0"/>
        <w:spacing w:line="460" w:lineRule="exact"/>
        <w:rPr>
          <w:rFonts w:ascii="宋体" w:hAnsi="宋体" w:cs="宋体"/>
          <w:sz w:val="24"/>
          <w:szCs w:val="24"/>
        </w:rPr>
      </w:pPr>
      <w:r>
        <w:rPr>
          <w:rFonts w:hint="eastAsia" w:ascii="宋体" w:hAnsi="宋体" w:cs="宋体"/>
          <w:sz w:val="24"/>
          <w:szCs w:val="24"/>
        </w:rPr>
        <w:t>日期：20  年   月   日</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jc w:val="center"/>
        <w:outlineLvl w:val="2"/>
        <w:rPr>
          <w:b/>
          <w:bCs/>
          <w:sz w:val="32"/>
          <w:szCs w:val="32"/>
        </w:rPr>
      </w:pPr>
      <w:bookmarkStart w:id="141" w:name="_Toc977"/>
      <w:bookmarkStart w:id="142" w:name="_Toc25038"/>
      <w:bookmarkStart w:id="143" w:name="_Toc17627"/>
      <w:bookmarkStart w:id="144" w:name="_Toc29463"/>
      <w:bookmarkStart w:id="145" w:name="_Toc31764"/>
      <w:r>
        <w:rPr>
          <w:rFonts w:hint="eastAsia"/>
          <w:b/>
          <w:bCs/>
          <w:sz w:val="32"/>
          <w:szCs w:val="32"/>
        </w:rPr>
        <w:t>技术实质性条款响应一览表</w:t>
      </w:r>
      <w:bookmarkEnd w:id="141"/>
      <w:bookmarkEnd w:id="142"/>
      <w:bookmarkEnd w:id="143"/>
      <w:bookmarkEnd w:id="144"/>
      <w:bookmarkEnd w:id="145"/>
    </w:p>
    <w:tbl>
      <w:tblPr>
        <w:tblStyle w:val="20"/>
        <w:tblW w:w="44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9"/>
        <w:gridCol w:w="2224"/>
        <w:gridCol w:w="1542"/>
        <w:gridCol w:w="1599"/>
        <w:gridCol w:w="1346"/>
        <w:gridCol w:w="11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29" w:type="pct"/>
            <w:vAlign w:val="center"/>
          </w:tcPr>
          <w:p>
            <w:pPr>
              <w:adjustRightInd w:val="0"/>
              <w:snapToGrid w:val="0"/>
              <w:spacing w:line="460" w:lineRule="exact"/>
              <w:jc w:val="center"/>
              <w:rPr>
                <w:rFonts w:ascii="宋体" w:hAnsi="宋体" w:cs="宋体"/>
                <w:sz w:val="24"/>
                <w:szCs w:val="24"/>
              </w:rPr>
            </w:pPr>
            <w:r>
              <w:rPr>
                <w:rFonts w:hint="eastAsia" w:ascii="宋体" w:hAnsi="宋体" w:cs="宋体"/>
                <w:sz w:val="24"/>
                <w:szCs w:val="24"/>
              </w:rPr>
              <w:t>序号</w:t>
            </w:r>
          </w:p>
        </w:tc>
        <w:tc>
          <w:tcPr>
            <w:tcW w:w="1291" w:type="pct"/>
            <w:vAlign w:val="center"/>
          </w:tcPr>
          <w:p>
            <w:pPr>
              <w:adjustRightInd w:val="0"/>
              <w:snapToGrid w:val="0"/>
              <w:spacing w:line="460" w:lineRule="exact"/>
              <w:jc w:val="center"/>
              <w:rPr>
                <w:rFonts w:ascii="宋体" w:hAnsi="宋体" w:cs="宋体"/>
                <w:sz w:val="24"/>
                <w:szCs w:val="24"/>
              </w:rPr>
            </w:pPr>
            <w:r>
              <w:rPr>
                <w:rFonts w:hint="eastAsia" w:ascii="宋体" w:hAnsi="宋体" w:cs="宋体"/>
                <w:sz w:val="24"/>
                <w:szCs w:val="24"/>
              </w:rPr>
              <w:t>项目名称</w:t>
            </w:r>
          </w:p>
        </w:tc>
        <w:tc>
          <w:tcPr>
            <w:tcW w:w="895" w:type="pct"/>
          </w:tcPr>
          <w:p>
            <w:pPr>
              <w:adjustRightInd w:val="0"/>
              <w:snapToGrid w:val="0"/>
              <w:spacing w:line="460" w:lineRule="exact"/>
              <w:rPr>
                <w:rFonts w:ascii="宋体" w:hAnsi="宋体" w:cs="宋体"/>
                <w:sz w:val="24"/>
                <w:szCs w:val="24"/>
              </w:rPr>
            </w:pPr>
            <w:r>
              <w:rPr>
                <w:rFonts w:hint="eastAsia" w:ascii="宋体" w:hAnsi="宋体" w:cs="宋体"/>
                <w:sz w:val="24"/>
                <w:szCs w:val="24"/>
              </w:rPr>
              <w:t>招标技术参数</w:t>
            </w:r>
          </w:p>
        </w:tc>
        <w:tc>
          <w:tcPr>
            <w:tcW w:w="928" w:type="pct"/>
          </w:tcPr>
          <w:p>
            <w:pPr>
              <w:adjustRightInd w:val="0"/>
              <w:snapToGrid w:val="0"/>
              <w:spacing w:line="460" w:lineRule="exact"/>
              <w:rPr>
                <w:rFonts w:ascii="宋体" w:hAnsi="宋体" w:cs="宋体"/>
                <w:sz w:val="24"/>
                <w:szCs w:val="24"/>
              </w:rPr>
            </w:pPr>
            <w:r>
              <w:rPr>
                <w:rFonts w:hint="eastAsia" w:ascii="宋体" w:hAnsi="宋体" w:cs="宋体"/>
                <w:sz w:val="24"/>
                <w:szCs w:val="24"/>
              </w:rPr>
              <w:t>响应技术参数</w:t>
            </w:r>
          </w:p>
        </w:tc>
        <w:tc>
          <w:tcPr>
            <w:tcW w:w="781" w:type="pct"/>
          </w:tcPr>
          <w:p>
            <w:pPr>
              <w:adjustRightInd w:val="0"/>
              <w:snapToGrid w:val="0"/>
              <w:spacing w:line="460" w:lineRule="exact"/>
              <w:rPr>
                <w:rFonts w:ascii="宋体" w:hAnsi="宋体" w:cs="宋体"/>
                <w:sz w:val="24"/>
                <w:szCs w:val="24"/>
              </w:rPr>
            </w:pPr>
            <w:r>
              <w:rPr>
                <w:rFonts w:hint="eastAsia" w:ascii="宋体" w:hAnsi="宋体" w:cs="宋体"/>
                <w:sz w:val="24"/>
                <w:szCs w:val="24"/>
              </w:rPr>
              <w:t>偏离情况</w:t>
            </w:r>
          </w:p>
        </w:tc>
        <w:tc>
          <w:tcPr>
            <w:tcW w:w="673" w:type="pct"/>
          </w:tcPr>
          <w:p>
            <w:pPr>
              <w:adjustRightInd w:val="0"/>
              <w:snapToGrid w:val="0"/>
              <w:spacing w:line="460" w:lineRule="exact"/>
              <w:rPr>
                <w:rFonts w:ascii="宋体" w:hAnsi="宋体" w:cs="宋体"/>
                <w:sz w:val="24"/>
                <w:szCs w:val="24"/>
              </w:rPr>
            </w:pPr>
            <w:r>
              <w:rPr>
                <w:rFonts w:hint="eastAsia" w:ascii="宋体" w:hAnsi="宋体" w:cs="宋体"/>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29" w:type="pct"/>
          </w:tcPr>
          <w:p>
            <w:pPr>
              <w:adjustRightInd w:val="0"/>
              <w:snapToGrid w:val="0"/>
              <w:spacing w:line="460" w:lineRule="exact"/>
              <w:rPr>
                <w:rFonts w:ascii="宋体" w:hAnsi="宋体" w:cs="宋体"/>
                <w:sz w:val="24"/>
                <w:szCs w:val="24"/>
              </w:rPr>
            </w:pPr>
          </w:p>
        </w:tc>
        <w:tc>
          <w:tcPr>
            <w:tcW w:w="1291" w:type="pct"/>
          </w:tcPr>
          <w:p>
            <w:pPr>
              <w:adjustRightInd w:val="0"/>
              <w:snapToGrid w:val="0"/>
              <w:spacing w:line="460" w:lineRule="exact"/>
              <w:rPr>
                <w:rFonts w:ascii="宋体" w:hAnsi="宋体" w:cs="宋体"/>
                <w:sz w:val="24"/>
                <w:szCs w:val="24"/>
              </w:rPr>
            </w:pPr>
          </w:p>
        </w:tc>
        <w:tc>
          <w:tcPr>
            <w:tcW w:w="895" w:type="pct"/>
          </w:tcPr>
          <w:p>
            <w:pPr>
              <w:adjustRightInd w:val="0"/>
              <w:snapToGrid w:val="0"/>
              <w:spacing w:line="460" w:lineRule="exact"/>
              <w:rPr>
                <w:rFonts w:ascii="宋体" w:hAnsi="宋体" w:cs="宋体"/>
                <w:sz w:val="24"/>
                <w:szCs w:val="24"/>
              </w:rPr>
            </w:pPr>
          </w:p>
        </w:tc>
        <w:tc>
          <w:tcPr>
            <w:tcW w:w="928" w:type="pct"/>
          </w:tcPr>
          <w:p>
            <w:pPr>
              <w:adjustRightInd w:val="0"/>
              <w:snapToGrid w:val="0"/>
              <w:spacing w:line="460" w:lineRule="exact"/>
              <w:rPr>
                <w:rFonts w:ascii="宋体" w:hAnsi="宋体" w:cs="宋体"/>
                <w:sz w:val="24"/>
                <w:szCs w:val="24"/>
              </w:rPr>
            </w:pPr>
          </w:p>
        </w:tc>
        <w:tc>
          <w:tcPr>
            <w:tcW w:w="781" w:type="pct"/>
          </w:tcPr>
          <w:p>
            <w:pPr>
              <w:adjustRightInd w:val="0"/>
              <w:snapToGrid w:val="0"/>
              <w:spacing w:line="460" w:lineRule="exact"/>
              <w:rPr>
                <w:rFonts w:ascii="宋体" w:hAnsi="宋体" w:cs="宋体"/>
                <w:sz w:val="24"/>
                <w:szCs w:val="24"/>
              </w:rPr>
            </w:pPr>
          </w:p>
        </w:tc>
        <w:tc>
          <w:tcPr>
            <w:tcW w:w="673" w:type="pct"/>
          </w:tcPr>
          <w:p>
            <w:pPr>
              <w:adjustRightInd w:val="0"/>
              <w:snapToGrid w:val="0"/>
              <w:spacing w:line="46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429" w:type="pct"/>
          </w:tcPr>
          <w:p>
            <w:pPr>
              <w:adjustRightInd w:val="0"/>
              <w:snapToGrid w:val="0"/>
              <w:spacing w:line="460" w:lineRule="exact"/>
              <w:rPr>
                <w:rFonts w:ascii="宋体" w:hAnsi="宋体" w:cs="宋体"/>
                <w:sz w:val="24"/>
                <w:szCs w:val="24"/>
              </w:rPr>
            </w:pPr>
          </w:p>
        </w:tc>
        <w:tc>
          <w:tcPr>
            <w:tcW w:w="1291" w:type="pct"/>
          </w:tcPr>
          <w:p>
            <w:pPr>
              <w:adjustRightInd w:val="0"/>
              <w:snapToGrid w:val="0"/>
              <w:spacing w:line="460" w:lineRule="exact"/>
              <w:rPr>
                <w:rFonts w:ascii="宋体" w:hAnsi="宋体" w:cs="宋体"/>
                <w:sz w:val="24"/>
                <w:szCs w:val="24"/>
              </w:rPr>
            </w:pPr>
          </w:p>
        </w:tc>
        <w:tc>
          <w:tcPr>
            <w:tcW w:w="895" w:type="pct"/>
          </w:tcPr>
          <w:p>
            <w:pPr>
              <w:adjustRightInd w:val="0"/>
              <w:snapToGrid w:val="0"/>
              <w:spacing w:line="460" w:lineRule="exact"/>
              <w:rPr>
                <w:rFonts w:ascii="宋体" w:hAnsi="宋体" w:cs="宋体"/>
                <w:sz w:val="24"/>
                <w:szCs w:val="24"/>
              </w:rPr>
            </w:pPr>
          </w:p>
        </w:tc>
        <w:tc>
          <w:tcPr>
            <w:tcW w:w="928" w:type="pct"/>
          </w:tcPr>
          <w:p>
            <w:pPr>
              <w:adjustRightInd w:val="0"/>
              <w:snapToGrid w:val="0"/>
              <w:spacing w:line="460" w:lineRule="exact"/>
              <w:rPr>
                <w:rFonts w:ascii="宋体" w:hAnsi="宋体" w:cs="宋体"/>
                <w:sz w:val="24"/>
                <w:szCs w:val="24"/>
              </w:rPr>
            </w:pPr>
          </w:p>
        </w:tc>
        <w:tc>
          <w:tcPr>
            <w:tcW w:w="781" w:type="pct"/>
          </w:tcPr>
          <w:p>
            <w:pPr>
              <w:adjustRightInd w:val="0"/>
              <w:snapToGrid w:val="0"/>
              <w:spacing w:line="460" w:lineRule="exact"/>
              <w:rPr>
                <w:rFonts w:ascii="宋体" w:hAnsi="宋体" w:cs="宋体"/>
                <w:sz w:val="24"/>
                <w:szCs w:val="24"/>
              </w:rPr>
            </w:pPr>
          </w:p>
        </w:tc>
        <w:tc>
          <w:tcPr>
            <w:tcW w:w="673" w:type="pct"/>
          </w:tcPr>
          <w:p>
            <w:pPr>
              <w:adjustRightInd w:val="0"/>
              <w:snapToGrid w:val="0"/>
              <w:spacing w:line="46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29" w:type="pct"/>
          </w:tcPr>
          <w:p>
            <w:pPr>
              <w:adjustRightInd w:val="0"/>
              <w:snapToGrid w:val="0"/>
              <w:spacing w:line="460" w:lineRule="exact"/>
              <w:rPr>
                <w:rFonts w:ascii="宋体" w:hAnsi="宋体" w:cs="宋体"/>
                <w:sz w:val="24"/>
                <w:szCs w:val="24"/>
              </w:rPr>
            </w:pPr>
          </w:p>
        </w:tc>
        <w:tc>
          <w:tcPr>
            <w:tcW w:w="1291" w:type="pct"/>
          </w:tcPr>
          <w:p>
            <w:pPr>
              <w:adjustRightInd w:val="0"/>
              <w:snapToGrid w:val="0"/>
              <w:spacing w:line="460" w:lineRule="exact"/>
              <w:rPr>
                <w:rFonts w:ascii="宋体" w:hAnsi="宋体" w:cs="宋体"/>
                <w:sz w:val="24"/>
                <w:szCs w:val="24"/>
              </w:rPr>
            </w:pPr>
          </w:p>
        </w:tc>
        <w:tc>
          <w:tcPr>
            <w:tcW w:w="895" w:type="pct"/>
          </w:tcPr>
          <w:p>
            <w:pPr>
              <w:adjustRightInd w:val="0"/>
              <w:snapToGrid w:val="0"/>
              <w:spacing w:line="460" w:lineRule="exact"/>
              <w:rPr>
                <w:rFonts w:ascii="宋体" w:hAnsi="宋体" w:cs="宋体"/>
                <w:sz w:val="24"/>
                <w:szCs w:val="24"/>
              </w:rPr>
            </w:pPr>
          </w:p>
        </w:tc>
        <w:tc>
          <w:tcPr>
            <w:tcW w:w="928" w:type="pct"/>
          </w:tcPr>
          <w:p>
            <w:pPr>
              <w:adjustRightInd w:val="0"/>
              <w:snapToGrid w:val="0"/>
              <w:spacing w:line="460" w:lineRule="exact"/>
              <w:rPr>
                <w:rFonts w:ascii="宋体" w:hAnsi="宋体" w:cs="宋体"/>
                <w:sz w:val="24"/>
                <w:szCs w:val="24"/>
              </w:rPr>
            </w:pPr>
          </w:p>
        </w:tc>
        <w:tc>
          <w:tcPr>
            <w:tcW w:w="781" w:type="pct"/>
          </w:tcPr>
          <w:p>
            <w:pPr>
              <w:adjustRightInd w:val="0"/>
              <w:snapToGrid w:val="0"/>
              <w:spacing w:line="460" w:lineRule="exact"/>
              <w:rPr>
                <w:rFonts w:ascii="宋体" w:hAnsi="宋体" w:cs="宋体"/>
                <w:sz w:val="24"/>
                <w:szCs w:val="24"/>
              </w:rPr>
            </w:pPr>
          </w:p>
        </w:tc>
        <w:tc>
          <w:tcPr>
            <w:tcW w:w="673" w:type="pct"/>
          </w:tcPr>
          <w:p>
            <w:pPr>
              <w:adjustRightInd w:val="0"/>
              <w:snapToGrid w:val="0"/>
              <w:spacing w:line="46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29" w:type="pct"/>
          </w:tcPr>
          <w:p>
            <w:pPr>
              <w:adjustRightInd w:val="0"/>
              <w:snapToGrid w:val="0"/>
              <w:spacing w:line="460" w:lineRule="exact"/>
              <w:rPr>
                <w:rFonts w:ascii="宋体" w:hAnsi="宋体" w:cs="宋体"/>
                <w:sz w:val="24"/>
                <w:szCs w:val="24"/>
              </w:rPr>
            </w:pPr>
          </w:p>
        </w:tc>
        <w:tc>
          <w:tcPr>
            <w:tcW w:w="1291" w:type="pct"/>
          </w:tcPr>
          <w:p>
            <w:pPr>
              <w:adjustRightInd w:val="0"/>
              <w:snapToGrid w:val="0"/>
              <w:spacing w:line="460" w:lineRule="exact"/>
              <w:rPr>
                <w:rFonts w:ascii="宋体" w:hAnsi="宋体" w:cs="宋体"/>
                <w:sz w:val="24"/>
                <w:szCs w:val="24"/>
              </w:rPr>
            </w:pPr>
          </w:p>
        </w:tc>
        <w:tc>
          <w:tcPr>
            <w:tcW w:w="895" w:type="pct"/>
          </w:tcPr>
          <w:p>
            <w:pPr>
              <w:adjustRightInd w:val="0"/>
              <w:snapToGrid w:val="0"/>
              <w:spacing w:line="460" w:lineRule="exact"/>
              <w:rPr>
                <w:rFonts w:ascii="宋体" w:hAnsi="宋体" w:cs="宋体"/>
                <w:sz w:val="24"/>
                <w:szCs w:val="24"/>
              </w:rPr>
            </w:pPr>
          </w:p>
        </w:tc>
        <w:tc>
          <w:tcPr>
            <w:tcW w:w="928" w:type="pct"/>
          </w:tcPr>
          <w:p>
            <w:pPr>
              <w:adjustRightInd w:val="0"/>
              <w:snapToGrid w:val="0"/>
              <w:spacing w:line="460" w:lineRule="exact"/>
              <w:rPr>
                <w:rFonts w:ascii="宋体" w:hAnsi="宋体" w:cs="宋体"/>
                <w:sz w:val="24"/>
                <w:szCs w:val="24"/>
              </w:rPr>
            </w:pPr>
          </w:p>
        </w:tc>
        <w:tc>
          <w:tcPr>
            <w:tcW w:w="781" w:type="pct"/>
          </w:tcPr>
          <w:p>
            <w:pPr>
              <w:adjustRightInd w:val="0"/>
              <w:snapToGrid w:val="0"/>
              <w:spacing w:line="460" w:lineRule="exact"/>
              <w:rPr>
                <w:rFonts w:ascii="宋体" w:hAnsi="宋体" w:cs="宋体"/>
                <w:sz w:val="24"/>
                <w:szCs w:val="24"/>
              </w:rPr>
            </w:pPr>
          </w:p>
        </w:tc>
        <w:tc>
          <w:tcPr>
            <w:tcW w:w="673" w:type="pct"/>
          </w:tcPr>
          <w:p>
            <w:pPr>
              <w:adjustRightInd w:val="0"/>
              <w:snapToGrid w:val="0"/>
              <w:spacing w:line="46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29" w:type="pct"/>
          </w:tcPr>
          <w:p>
            <w:pPr>
              <w:adjustRightInd w:val="0"/>
              <w:snapToGrid w:val="0"/>
              <w:spacing w:line="460" w:lineRule="exact"/>
              <w:rPr>
                <w:rFonts w:ascii="宋体" w:hAnsi="宋体" w:cs="宋体"/>
                <w:sz w:val="24"/>
                <w:szCs w:val="24"/>
              </w:rPr>
            </w:pPr>
          </w:p>
        </w:tc>
        <w:tc>
          <w:tcPr>
            <w:tcW w:w="1291" w:type="pct"/>
          </w:tcPr>
          <w:p>
            <w:pPr>
              <w:adjustRightInd w:val="0"/>
              <w:snapToGrid w:val="0"/>
              <w:spacing w:line="460" w:lineRule="exact"/>
              <w:rPr>
                <w:rFonts w:ascii="宋体" w:hAnsi="宋体" w:cs="宋体"/>
                <w:sz w:val="24"/>
                <w:szCs w:val="24"/>
              </w:rPr>
            </w:pPr>
          </w:p>
        </w:tc>
        <w:tc>
          <w:tcPr>
            <w:tcW w:w="895" w:type="pct"/>
          </w:tcPr>
          <w:p>
            <w:pPr>
              <w:adjustRightInd w:val="0"/>
              <w:snapToGrid w:val="0"/>
              <w:spacing w:line="460" w:lineRule="exact"/>
              <w:rPr>
                <w:rFonts w:ascii="宋体" w:hAnsi="宋体" w:cs="宋体"/>
                <w:sz w:val="24"/>
                <w:szCs w:val="24"/>
              </w:rPr>
            </w:pPr>
          </w:p>
        </w:tc>
        <w:tc>
          <w:tcPr>
            <w:tcW w:w="928" w:type="pct"/>
          </w:tcPr>
          <w:p>
            <w:pPr>
              <w:adjustRightInd w:val="0"/>
              <w:snapToGrid w:val="0"/>
              <w:spacing w:line="460" w:lineRule="exact"/>
              <w:rPr>
                <w:rFonts w:ascii="宋体" w:hAnsi="宋体" w:cs="宋体"/>
                <w:sz w:val="24"/>
                <w:szCs w:val="24"/>
              </w:rPr>
            </w:pPr>
          </w:p>
        </w:tc>
        <w:tc>
          <w:tcPr>
            <w:tcW w:w="781" w:type="pct"/>
          </w:tcPr>
          <w:p>
            <w:pPr>
              <w:adjustRightInd w:val="0"/>
              <w:snapToGrid w:val="0"/>
              <w:spacing w:line="460" w:lineRule="exact"/>
              <w:rPr>
                <w:rFonts w:ascii="宋体" w:hAnsi="宋体" w:cs="宋体"/>
                <w:sz w:val="24"/>
                <w:szCs w:val="24"/>
              </w:rPr>
            </w:pPr>
          </w:p>
        </w:tc>
        <w:tc>
          <w:tcPr>
            <w:tcW w:w="673" w:type="pct"/>
          </w:tcPr>
          <w:p>
            <w:pPr>
              <w:adjustRightInd w:val="0"/>
              <w:snapToGrid w:val="0"/>
              <w:spacing w:line="46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29" w:type="pct"/>
          </w:tcPr>
          <w:p>
            <w:pPr>
              <w:adjustRightInd w:val="0"/>
              <w:snapToGrid w:val="0"/>
              <w:spacing w:line="460" w:lineRule="exact"/>
              <w:rPr>
                <w:rFonts w:ascii="宋体" w:hAnsi="宋体" w:cs="宋体"/>
                <w:sz w:val="24"/>
                <w:szCs w:val="24"/>
              </w:rPr>
            </w:pPr>
          </w:p>
        </w:tc>
        <w:tc>
          <w:tcPr>
            <w:tcW w:w="1291" w:type="pct"/>
          </w:tcPr>
          <w:p>
            <w:pPr>
              <w:adjustRightInd w:val="0"/>
              <w:snapToGrid w:val="0"/>
              <w:spacing w:line="460" w:lineRule="exact"/>
              <w:rPr>
                <w:rFonts w:ascii="宋体" w:hAnsi="宋体" w:cs="宋体"/>
                <w:sz w:val="24"/>
                <w:szCs w:val="24"/>
              </w:rPr>
            </w:pPr>
          </w:p>
        </w:tc>
        <w:tc>
          <w:tcPr>
            <w:tcW w:w="895" w:type="pct"/>
          </w:tcPr>
          <w:p>
            <w:pPr>
              <w:adjustRightInd w:val="0"/>
              <w:snapToGrid w:val="0"/>
              <w:spacing w:line="460" w:lineRule="exact"/>
              <w:rPr>
                <w:rFonts w:ascii="宋体" w:hAnsi="宋体" w:cs="宋体"/>
                <w:sz w:val="24"/>
                <w:szCs w:val="24"/>
              </w:rPr>
            </w:pPr>
          </w:p>
        </w:tc>
        <w:tc>
          <w:tcPr>
            <w:tcW w:w="928" w:type="pct"/>
          </w:tcPr>
          <w:p>
            <w:pPr>
              <w:adjustRightInd w:val="0"/>
              <w:snapToGrid w:val="0"/>
              <w:spacing w:line="460" w:lineRule="exact"/>
              <w:rPr>
                <w:rFonts w:ascii="宋体" w:hAnsi="宋体" w:cs="宋体"/>
                <w:sz w:val="24"/>
                <w:szCs w:val="24"/>
              </w:rPr>
            </w:pPr>
          </w:p>
        </w:tc>
        <w:tc>
          <w:tcPr>
            <w:tcW w:w="781" w:type="pct"/>
          </w:tcPr>
          <w:p>
            <w:pPr>
              <w:adjustRightInd w:val="0"/>
              <w:snapToGrid w:val="0"/>
              <w:spacing w:line="460" w:lineRule="exact"/>
              <w:rPr>
                <w:rFonts w:ascii="宋体" w:hAnsi="宋体" w:cs="宋体"/>
                <w:sz w:val="24"/>
                <w:szCs w:val="24"/>
              </w:rPr>
            </w:pPr>
          </w:p>
        </w:tc>
        <w:tc>
          <w:tcPr>
            <w:tcW w:w="673" w:type="pct"/>
          </w:tcPr>
          <w:p>
            <w:pPr>
              <w:adjustRightInd w:val="0"/>
              <w:snapToGrid w:val="0"/>
              <w:spacing w:line="46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429" w:type="pct"/>
          </w:tcPr>
          <w:p>
            <w:pPr>
              <w:adjustRightInd w:val="0"/>
              <w:snapToGrid w:val="0"/>
              <w:spacing w:line="460" w:lineRule="exact"/>
              <w:rPr>
                <w:rFonts w:ascii="宋体" w:hAnsi="宋体" w:cs="宋体"/>
                <w:sz w:val="24"/>
                <w:szCs w:val="24"/>
              </w:rPr>
            </w:pPr>
          </w:p>
        </w:tc>
        <w:tc>
          <w:tcPr>
            <w:tcW w:w="1291" w:type="pct"/>
          </w:tcPr>
          <w:p>
            <w:pPr>
              <w:adjustRightInd w:val="0"/>
              <w:snapToGrid w:val="0"/>
              <w:spacing w:line="460" w:lineRule="exact"/>
              <w:rPr>
                <w:rFonts w:ascii="宋体" w:hAnsi="宋体" w:cs="宋体"/>
                <w:sz w:val="24"/>
                <w:szCs w:val="24"/>
              </w:rPr>
            </w:pPr>
          </w:p>
        </w:tc>
        <w:tc>
          <w:tcPr>
            <w:tcW w:w="895" w:type="pct"/>
          </w:tcPr>
          <w:p>
            <w:pPr>
              <w:adjustRightInd w:val="0"/>
              <w:snapToGrid w:val="0"/>
              <w:spacing w:line="460" w:lineRule="exact"/>
              <w:rPr>
                <w:rFonts w:ascii="宋体" w:hAnsi="宋体" w:cs="宋体"/>
                <w:sz w:val="24"/>
                <w:szCs w:val="24"/>
              </w:rPr>
            </w:pPr>
          </w:p>
        </w:tc>
        <w:tc>
          <w:tcPr>
            <w:tcW w:w="928" w:type="pct"/>
          </w:tcPr>
          <w:p>
            <w:pPr>
              <w:adjustRightInd w:val="0"/>
              <w:snapToGrid w:val="0"/>
              <w:spacing w:line="460" w:lineRule="exact"/>
              <w:rPr>
                <w:rFonts w:ascii="宋体" w:hAnsi="宋体" w:cs="宋体"/>
                <w:sz w:val="24"/>
                <w:szCs w:val="24"/>
              </w:rPr>
            </w:pPr>
          </w:p>
        </w:tc>
        <w:tc>
          <w:tcPr>
            <w:tcW w:w="781" w:type="pct"/>
          </w:tcPr>
          <w:p>
            <w:pPr>
              <w:adjustRightInd w:val="0"/>
              <w:snapToGrid w:val="0"/>
              <w:spacing w:line="460" w:lineRule="exact"/>
              <w:rPr>
                <w:rFonts w:ascii="宋体" w:hAnsi="宋体" w:cs="宋体"/>
                <w:sz w:val="24"/>
                <w:szCs w:val="24"/>
              </w:rPr>
            </w:pPr>
          </w:p>
        </w:tc>
        <w:tc>
          <w:tcPr>
            <w:tcW w:w="673" w:type="pct"/>
          </w:tcPr>
          <w:p>
            <w:pPr>
              <w:adjustRightInd w:val="0"/>
              <w:snapToGrid w:val="0"/>
              <w:spacing w:line="46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29" w:type="pct"/>
          </w:tcPr>
          <w:p>
            <w:pPr>
              <w:adjustRightInd w:val="0"/>
              <w:snapToGrid w:val="0"/>
              <w:spacing w:line="460" w:lineRule="exact"/>
              <w:rPr>
                <w:rFonts w:ascii="宋体" w:hAnsi="宋体" w:cs="宋体"/>
                <w:sz w:val="24"/>
                <w:szCs w:val="24"/>
              </w:rPr>
            </w:pPr>
          </w:p>
        </w:tc>
        <w:tc>
          <w:tcPr>
            <w:tcW w:w="1291" w:type="pct"/>
          </w:tcPr>
          <w:p>
            <w:pPr>
              <w:adjustRightInd w:val="0"/>
              <w:snapToGrid w:val="0"/>
              <w:spacing w:line="460" w:lineRule="exact"/>
              <w:rPr>
                <w:rFonts w:ascii="宋体" w:hAnsi="宋体" w:cs="宋体"/>
                <w:sz w:val="24"/>
                <w:szCs w:val="24"/>
              </w:rPr>
            </w:pPr>
          </w:p>
        </w:tc>
        <w:tc>
          <w:tcPr>
            <w:tcW w:w="895" w:type="pct"/>
          </w:tcPr>
          <w:p>
            <w:pPr>
              <w:adjustRightInd w:val="0"/>
              <w:snapToGrid w:val="0"/>
              <w:spacing w:line="460" w:lineRule="exact"/>
              <w:rPr>
                <w:rFonts w:ascii="宋体" w:hAnsi="宋体" w:cs="宋体"/>
                <w:sz w:val="24"/>
                <w:szCs w:val="24"/>
              </w:rPr>
            </w:pPr>
          </w:p>
        </w:tc>
        <w:tc>
          <w:tcPr>
            <w:tcW w:w="928" w:type="pct"/>
          </w:tcPr>
          <w:p>
            <w:pPr>
              <w:adjustRightInd w:val="0"/>
              <w:snapToGrid w:val="0"/>
              <w:spacing w:line="460" w:lineRule="exact"/>
              <w:rPr>
                <w:rFonts w:ascii="宋体" w:hAnsi="宋体" w:cs="宋体"/>
                <w:sz w:val="24"/>
                <w:szCs w:val="24"/>
              </w:rPr>
            </w:pPr>
          </w:p>
        </w:tc>
        <w:tc>
          <w:tcPr>
            <w:tcW w:w="781" w:type="pct"/>
          </w:tcPr>
          <w:p>
            <w:pPr>
              <w:adjustRightInd w:val="0"/>
              <w:snapToGrid w:val="0"/>
              <w:spacing w:line="460" w:lineRule="exact"/>
              <w:rPr>
                <w:rFonts w:ascii="宋体" w:hAnsi="宋体" w:cs="宋体"/>
                <w:sz w:val="24"/>
                <w:szCs w:val="24"/>
              </w:rPr>
            </w:pPr>
          </w:p>
        </w:tc>
        <w:tc>
          <w:tcPr>
            <w:tcW w:w="673" w:type="pct"/>
          </w:tcPr>
          <w:p>
            <w:pPr>
              <w:adjustRightInd w:val="0"/>
              <w:snapToGrid w:val="0"/>
              <w:spacing w:line="46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429" w:type="pct"/>
          </w:tcPr>
          <w:p>
            <w:pPr>
              <w:adjustRightInd w:val="0"/>
              <w:snapToGrid w:val="0"/>
              <w:spacing w:line="460" w:lineRule="exact"/>
              <w:rPr>
                <w:rFonts w:ascii="宋体" w:hAnsi="宋体" w:cs="宋体"/>
                <w:sz w:val="24"/>
                <w:szCs w:val="24"/>
              </w:rPr>
            </w:pPr>
          </w:p>
        </w:tc>
        <w:tc>
          <w:tcPr>
            <w:tcW w:w="1291" w:type="pct"/>
          </w:tcPr>
          <w:p>
            <w:pPr>
              <w:adjustRightInd w:val="0"/>
              <w:snapToGrid w:val="0"/>
              <w:spacing w:line="460" w:lineRule="exact"/>
              <w:rPr>
                <w:rFonts w:ascii="宋体" w:hAnsi="宋体" w:cs="宋体"/>
                <w:sz w:val="24"/>
                <w:szCs w:val="24"/>
              </w:rPr>
            </w:pPr>
          </w:p>
        </w:tc>
        <w:tc>
          <w:tcPr>
            <w:tcW w:w="895" w:type="pct"/>
          </w:tcPr>
          <w:p>
            <w:pPr>
              <w:adjustRightInd w:val="0"/>
              <w:snapToGrid w:val="0"/>
              <w:spacing w:line="460" w:lineRule="exact"/>
              <w:rPr>
                <w:rFonts w:ascii="宋体" w:hAnsi="宋体" w:cs="宋体"/>
                <w:sz w:val="24"/>
                <w:szCs w:val="24"/>
              </w:rPr>
            </w:pPr>
          </w:p>
        </w:tc>
        <w:tc>
          <w:tcPr>
            <w:tcW w:w="928" w:type="pct"/>
          </w:tcPr>
          <w:p>
            <w:pPr>
              <w:adjustRightInd w:val="0"/>
              <w:snapToGrid w:val="0"/>
              <w:spacing w:line="460" w:lineRule="exact"/>
              <w:rPr>
                <w:rFonts w:ascii="宋体" w:hAnsi="宋体" w:cs="宋体"/>
                <w:sz w:val="24"/>
                <w:szCs w:val="24"/>
              </w:rPr>
            </w:pPr>
          </w:p>
        </w:tc>
        <w:tc>
          <w:tcPr>
            <w:tcW w:w="781" w:type="pct"/>
          </w:tcPr>
          <w:p>
            <w:pPr>
              <w:adjustRightInd w:val="0"/>
              <w:snapToGrid w:val="0"/>
              <w:spacing w:line="460" w:lineRule="exact"/>
              <w:rPr>
                <w:rFonts w:ascii="宋体" w:hAnsi="宋体" w:cs="宋体"/>
                <w:sz w:val="24"/>
                <w:szCs w:val="24"/>
              </w:rPr>
            </w:pPr>
          </w:p>
        </w:tc>
        <w:tc>
          <w:tcPr>
            <w:tcW w:w="673" w:type="pct"/>
          </w:tcPr>
          <w:p>
            <w:pPr>
              <w:adjustRightInd w:val="0"/>
              <w:snapToGrid w:val="0"/>
              <w:spacing w:line="46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429" w:type="pct"/>
          </w:tcPr>
          <w:p>
            <w:pPr>
              <w:adjustRightInd w:val="0"/>
              <w:snapToGrid w:val="0"/>
              <w:spacing w:line="460" w:lineRule="exact"/>
              <w:rPr>
                <w:rFonts w:ascii="宋体" w:hAnsi="宋体" w:cs="宋体"/>
                <w:sz w:val="24"/>
                <w:szCs w:val="24"/>
              </w:rPr>
            </w:pPr>
          </w:p>
        </w:tc>
        <w:tc>
          <w:tcPr>
            <w:tcW w:w="1291" w:type="pct"/>
          </w:tcPr>
          <w:p>
            <w:pPr>
              <w:adjustRightInd w:val="0"/>
              <w:snapToGrid w:val="0"/>
              <w:spacing w:line="460" w:lineRule="exact"/>
              <w:rPr>
                <w:rFonts w:ascii="宋体" w:hAnsi="宋体" w:cs="宋体"/>
                <w:sz w:val="24"/>
                <w:szCs w:val="24"/>
              </w:rPr>
            </w:pPr>
          </w:p>
        </w:tc>
        <w:tc>
          <w:tcPr>
            <w:tcW w:w="895" w:type="pct"/>
          </w:tcPr>
          <w:p>
            <w:pPr>
              <w:adjustRightInd w:val="0"/>
              <w:snapToGrid w:val="0"/>
              <w:spacing w:line="460" w:lineRule="exact"/>
              <w:rPr>
                <w:rFonts w:ascii="宋体" w:hAnsi="宋体" w:cs="宋体"/>
                <w:sz w:val="24"/>
                <w:szCs w:val="24"/>
              </w:rPr>
            </w:pPr>
          </w:p>
        </w:tc>
        <w:tc>
          <w:tcPr>
            <w:tcW w:w="928" w:type="pct"/>
          </w:tcPr>
          <w:p>
            <w:pPr>
              <w:adjustRightInd w:val="0"/>
              <w:snapToGrid w:val="0"/>
              <w:spacing w:line="460" w:lineRule="exact"/>
              <w:rPr>
                <w:rFonts w:ascii="宋体" w:hAnsi="宋体" w:cs="宋体"/>
                <w:sz w:val="24"/>
                <w:szCs w:val="24"/>
              </w:rPr>
            </w:pPr>
          </w:p>
        </w:tc>
        <w:tc>
          <w:tcPr>
            <w:tcW w:w="781" w:type="pct"/>
          </w:tcPr>
          <w:p>
            <w:pPr>
              <w:adjustRightInd w:val="0"/>
              <w:snapToGrid w:val="0"/>
              <w:spacing w:line="460" w:lineRule="exact"/>
              <w:rPr>
                <w:rFonts w:ascii="宋体" w:hAnsi="宋体" w:cs="宋体"/>
                <w:sz w:val="24"/>
                <w:szCs w:val="24"/>
              </w:rPr>
            </w:pPr>
          </w:p>
        </w:tc>
        <w:tc>
          <w:tcPr>
            <w:tcW w:w="673" w:type="pct"/>
          </w:tcPr>
          <w:p>
            <w:pPr>
              <w:adjustRightInd w:val="0"/>
              <w:snapToGrid w:val="0"/>
              <w:spacing w:line="46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429" w:type="pct"/>
          </w:tcPr>
          <w:p>
            <w:pPr>
              <w:adjustRightInd w:val="0"/>
              <w:snapToGrid w:val="0"/>
              <w:spacing w:line="460" w:lineRule="exact"/>
              <w:rPr>
                <w:rFonts w:ascii="宋体" w:hAnsi="宋体" w:cs="宋体"/>
                <w:sz w:val="24"/>
                <w:szCs w:val="24"/>
              </w:rPr>
            </w:pPr>
          </w:p>
        </w:tc>
        <w:tc>
          <w:tcPr>
            <w:tcW w:w="1291" w:type="pct"/>
          </w:tcPr>
          <w:p>
            <w:pPr>
              <w:adjustRightInd w:val="0"/>
              <w:snapToGrid w:val="0"/>
              <w:spacing w:line="460" w:lineRule="exact"/>
              <w:rPr>
                <w:rFonts w:ascii="宋体" w:hAnsi="宋体" w:cs="宋体"/>
                <w:sz w:val="24"/>
                <w:szCs w:val="24"/>
              </w:rPr>
            </w:pPr>
          </w:p>
        </w:tc>
        <w:tc>
          <w:tcPr>
            <w:tcW w:w="895" w:type="pct"/>
          </w:tcPr>
          <w:p>
            <w:pPr>
              <w:adjustRightInd w:val="0"/>
              <w:snapToGrid w:val="0"/>
              <w:spacing w:line="460" w:lineRule="exact"/>
              <w:rPr>
                <w:rFonts w:ascii="宋体" w:hAnsi="宋体" w:cs="宋体"/>
                <w:sz w:val="24"/>
                <w:szCs w:val="24"/>
              </w:rPr>
            </w:pPr>
          </w:p>
        </w:tc>
        <w:tc>
          <w:tcPr>
            <w:tcW w:w="928" w:type="pct"/>
          </w:tcPr>
          <w:p>
            <w:pPr>
              <w:adjustRightInd w:val="0"/>
              <w:snapToGrid w:val="0"/>
              <w:spacing w:line="460" w:lineRule="exact"/>
              <w:rPr>
                <w:rFonts w:ascii="宋体" w:hAnsi="宋体" w:cs="宋体"/>
                <w:sz w:val="24"/>
                <w:szCs w:val="24"/>
              </w:rPr>
            </w:pPr>
          </w:p>
        </w:tc>
        <w:tc>
          <w:tcPr>
            <w:tcW w:w="781" w:type="pct"/>
          </w:tcPr>
          <w:p>
            <w:pPr>
              <w:adjustRightInd w:val="0"/>
              <w:snapToGrid w:val="0"/>
              <w:spacing w:line="460" w:lineRule="exact"/>
              <w:rPr>
                <w:rFonts w:ascii="宋体" w:hAnsi="宋体" w:cs="宋体"/>
                <w:sz w:val="24"/>
                <w:szCs w:val="24"/>
              </w:rPr>
            </w:pPr>
          </w:p>
        </w:tc>
        <w:tc>
          <w:tcPr>
            <w:tcW w:w="673" w:type="pct"/>
          </w:tcPr>
          <w:p>
            <w:pPr>
              <w:adjustRightInd w:val="0"/>
              <w:snapToGrid w:val="0"/>
              <w:spacing w:line="46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429" w:type="pct"/>
          </w:tcPr>
          <w:p>
            <w:pPr>
              <w:adjustRightInd w:val="0"/>
              <w:snapToGrid w:val="0"/>
              <w:spacing w:line="460" w:lineRule="exact"/>
              <w:rPr>
                <w:rFonts w:ascii="宋体" w:hAnsi="宋体" w:cs="宋体"/>
                <w:sz w:val="24"/>
                <w:szCs w:val="24"/>
              </w:rPr>
            </w:pPr>
          </w:p>
        </w:tc>
        <w:tc>
          <w:tcPr>
            <w:tcW w:w="1291" w:type="pct"/>
          </w:tcPr>
          <w:p>
            <w:pPr>
              <w:adjustRightInd w:val="0"/>
              <w:snapToGrid w:val="0"/>
              <w:spacing w:line="460" w:lineRule="exact"/>
              <w:rPr>
                <w:rFonts w:ascii="宋体" w:hAnsi="宋体" w:cs="宋体"/>
                <w:sz w:val="24"/>
                <w:szCs w:val="24"/>
              </w:rPr>
            </w:pPr>
          </w:p>
        </w:tc>
        <w:tc>
          <w:tcPr>
            <w:tcW w:w="895" w:type="pct"/>
          </w:tcPr>
          <w:p>
            <w:pPr>
              <w:adjustRightInd w:val="0"/>
              <w:snapToGrid w:val="0"/>
              <w:spacing w:line="460" w:lineRule="exact"/>
              <w:rPr>
                <w:rFonts w:ascii="宋体" w:hAnsi="宋体" w:cs="宋体"/>
                <w:sz w:val="24"/>
                <w:szCs w:val="24"/>
              </w:rPr>
            </w:pPr>
          </w:p>
        </w:tc>
        <w:tc>
          <w:tcPr>
            <w:tcW w:w="928" w:type="pct"/>
          </w:tcPr>
          <w:p>
            <w:pPr>
              <w:adjustRightInd w:val="0"/>
              <w:snapToGrid w:val="0"/>
              <w:spacing w:line="460" w:lineRule="exact"/>
              <w:rPr>
                <w:rFonts w:ascii="宋体" w:hAnsi="宋体" w:cs="宋体"/>
                <w:sz w:val="24"/>
                <w:szCs w:val="24"/>
              </w:rPr>
            </w:pPr>
          </w:p>
        </w:tc>
        <w:tc>
          <w:tcPr>
            <w:tcW w:w="781" w:type="pct"/>
          </w:tcPr>
          <w:p>
            <w:pPr>
              <w:adjustRightInd w:val="0"/>
              <w:snapToGrid w:val="0"/>
              <w:spacing w:line="460" w:lineRule="exact"/>
              <w:rPr>
                <w:rFonts w:ascii="宋体" w:hAnsi="宋体" w:cs="宋体"/>
                <w:sz w:val="24"/>
                <w:szCs w:val="24"/>
              </w:rPr>
            </w:pPr>
          </w:p>
        </w:tc>
        <w:tc>
          <w:tcPr>
            <w:tcW w:w="673" w:type="pct"/>
          </w:tcPr>
          <w:p>
            <w:pPr>
              <w:adjustRightInd w:val="0"/>
              <w:snapToGrid w:val="0"/>
              <w:spacing w:line="46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429" w:type="pct"/>
          </w:tcPr>
          <w:p>
            <w:pPr>
              <w:adjustRightInd w:val="0"/>
              <w:snapToGrid w:val="0"/>
              <w:spacing w:line="460" w:lineRule="exact"/>
              <w:rPr>
                <w:rFonts w:ascii="宋体" w:hAnsi="宋体" w:cs="宋体"/>
                <w:sz w:val="24"/>
                <w:szCs w:val="24"/>
              </w:rPr>
            </w:pPr>
          </w:p>
        </w:tc>
        <w:tc>
          <w:tcPr>
            <w:tcW w:w="1291" w:type="pct"/>
          </w:tcPr>
          <w:p>
            <w:pPr>
              <w:adjustRightInd w:val="0"/>
              <w:snapToGrid w:val="0"/>
              <w:spacing w:line="460" w:lineRule="exact"/>
              <w:rPr>
                <w:rFonts w:ascii="宋体" w:hAnsi="宋体" w:cs="宋体"/>
                <w:sz w:val="24"/>
                <w:szCs w:val="24"/>
              </w:rPr>
            </w:pPr>
          </w:p>
        </w:tc>
        <w:tc>
          <w:tcPr>
            <w:tcW w:w="895" w:type="pct"/>
          </w:tcPr>
          <w:p>
            <w:pPr>
              <w:adjustRightInd w:val="0"/>
              <w:snapToGrid w:val="0"/>
              <w:spacing w:line="460" w:lineRule="exact"/>
              <w:rPr>
                <w:rFonts w:ascii="宋体" w:hAnsi="宋体" w:cs="宋体"/>
                <w:sz w:val="24"/>
                <w:szCs w:val="24"/>
              </w:rPr>
            </w:pPr>
          </w:p>
        </w:tc>
        <w:tc>
          <w:tcPr>
            <w:tcW w:w="928" w:type="pct"/>
          </w:tcPr>
          <w:p>
            <w:pPr>
              <w:adjustRightInd w:val="0"/>
              <w:snapToGrid w:val="0"/>
              <w:spacing w:line="460" w:lineRule="exact"/>
              <w:rPr>
                <w:rFonts w:ascii="宋体" w:hAnsi="宋体" w:cs="宋体"/>
                <w:sz w:val="24"/>
                <w:szCs w:val="24"/>
              </w:rPr>
            </w:pPr>
          </w:p>
        </w:tc>
        <w:tc>
          <w:tcPr>
            <w:tcW w:w="781" w:type="pct"/>
          </w:tcPr>
          <w:p>
            <w:pPr>
              <w:adjustRightInd w:val="0"/>
              <w:snapToGrid w:val="0"/>
              <w:spacing w:line="460" w:lineRule="exact"/>
              <w:rPr>
                <w:rFonts w:ascii="宋体" w:hAnsi="宋体" w:cs="宋体"/>
                <w:sz w:val="24"/>
                <w:szCs w:val="24"/>
              </w:rPr>
            </w:pPr>
          </w:p>
        </w:tc>
        <w:tc>
          <w:tcPr>
            <w:tcW w:w="673" w:type="pct"/>
          </w:tcPr>
          <w:p>
            <w:pPr>
              <w:adjustRightInd w:val="0"/>
              <w:snapToGrid w:val="0"/>
              <w:spacing w:line="460" w:lineRule="exact"/>
              <w:rPr>
                <w:rFonts w:ascii="宋体" w:hAnsi="宋体" w:cs="宋体"/>
                <w:sz w:val="24"/>
                <w:szCs w:val="24"/>
              </w:rPr>
            </w:pPr>
          </w:p>
        </w:tc>
      </w:tr>
    </w:tbl>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注：凡响应文件中技术条款与磋商文件有偏差的，均应在此表中列出（内容较多的可以标注见响应文件第几页，偏差包括正偏差和负偏差），未在此表中列出的视同完全满足磋商文件要求。</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法定代表人或被授权人（签字或盖章）：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单位名称（盖章）：                          </w:t>
      </w:r>
    </w:p>
    <w:p>
      <w:pPr>
        <w:adjustRightInd w:val="0"/>
        <w:snapToGrid w:val="0"/>
        <w:spacing w:line="460" w:lineRule="exact"/>
        <w:rPr>
          <w:rFonts w:ascii="宋体" w:hAnsi="宋体" w:cs="宋体"/>
          <w:sz w:val="24"/>
          <w:szCs w:val="24"/>
        </w:rPr>
      </w:pPr>
      <w:r>
        <w:rPr>
          <w:rFonts w:hint="eastAsia" w:ascii="宋体" w:hAnsi="宋体" w:cs="宋体"/>
          <w:sz w:val="24"/>
          <w:szCs w:val="24"/>
        </w:rPr>
        <w:t>日期：20  年   月   日</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pStyle w:val="4"/>
        <w:rPr>
          <w:rFonts w:ascii="宋体" w:hAnsi="宋体" w:cs="宋体"/>
          <w:szCs w:val="24"/>
        </w:rPr>
      </w:pPr>
      <w:bookmarkStart w:id="146" w:name="_Toc30993"/>
      <w:bookmarkStart w:id="147" w:name="_Toc22284"/>
      <w:bookmarkStart w:id="148" w:name="_Toc27722"/>
      <w:bookmarkStart w:id="149" w:name="_Toc3782"/>
      <w:r>
        <w:rPr>
          <w:rFonts w:hint="eastAsia"/>
        </w:rPr>
        <w:t>售后服务情况表</w:t>
      </w:r>
      <w:bookmarkEnd w:id="146"/>
      <w:bookmarkEnd w:id="147"/>
      <w:bookmarkEnd w:id="148"/>
      <w:bookmarkEnd w:id="149"/>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项目名称：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项目编号：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751"/>
        <w:gridCol w:w="474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序号</w:t>
            </w:r>
          </w:p>
        </w:tc>
        <w:tc>
          <w:tcPr>
            <w:tcW w:w="13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项目</w:t>
            </w:r>
          </w:p>
        </w:tc>
        <w:tc>
          <w:tcPr>
            <w:tcW w:w="23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投标人承诺</w:t>
            </w:r>
          </w:p>
        </w:tc>
        <w:tc>
          <w:tcPr>
            <w:tcW w:w="8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432"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1</w:t>
            </w:r>
          </w:p>
        </w:tc>
        <w:tc>
          <w:tcPr>
            <w:tcW w:w="138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保修期内售后服务情况(可用附页和宣传材料)</w:t>
            </w:r>
          </w:p>
        </w:tc>
        <w:tc>
          <w:tcPr>
            <w:tcW w:w="2380" w:type="pct"/>
            <w:tcBorders>
              <w:top w:val="single" w:color="auto" w:sz="4" w:space="0"/>
              <w:left w:val="single" w:color="auto" w:sz="4" w:space="0"/>
              <w:bottom w:val="single" w:color="auto" w:sz="4" w:space="0"/>
              <w:right w:val="single" w:color="auto" w:sz="4" w:space="0"/>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生产厂商售后服务情况：</w:t>
            </w:r>
          </w:p>
        </w:tc>
        <w:tc>
          <w:tcPr>
            <w:tcW w:w="805" w:type="pct"/>
            <w:tcBorders>
              <w:top w:val="single" w:color="auto" w:sz="4" w:space="0"/>
              <w:left w:val="single" w:color="auto" w:sz="4" w:space="0"/>
              <w:bottom w:val="single" w:color="auto" w:sz="4" w:space="0"/>
              <w:right w:val="single" w:color="auto" w:sz="4" w:space="0"/>
            </w:tcBorders>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sz w:val="24"/>
                <w:szCs w:val="24"/>
              </w:rPr>
            </w:pPr>
          </w:p>
        </w:tc>
        <w:tc>
          <w:tcPr>
            <w:tcW w:w="2380" w:type="pct"/>
            <w:tcBorders>
              <w:top w:val="single" w:color="auto" w:sz="4" w:space="0"/>
              <w:left w:val="single" w:color="auto" w:sz="4" w:space="0"/>
              <w:bottom w:val="single" w:color="auto" w:sz="4" w:space="0"/>
              <w:right w:val="single" w:color="auto" w:sz="4" w:space="0"/>
            </w:tcBorders>
          </w:tcPr>
          <w:p>
            <w:pPr>
              <w:adjustRightInd w:val="0"/>
              <w:snapToGrid w:val="0"/>
              <w:spacing w:line="460" w:lineRule="exact"/>
              <w:rPr>
                <w:rFonts w:ascii="宋体" w:hAnsi="宋体" w:cs="宋体"/>
                <w:sz w:val="24"/>
                <w:szCs w:val="24"/>
              </w:rPr>
            </w:pPr>
            <w:r>
              <w:rPr>
                <w:rFonts w:hint="eastAsia" w:ascii="宋体" w:hAnsi="宋体" w:cs="宋体"/>
                <w:sz w:val="24"/>
                <w:szCs w:val="24"/>
              </w:rPr>
              <w:t>投标人售后服务情况：</w:t>
            </w:r>
          </w:p>
        </w:tc>
        <w:tc>
          <w:tcPr>
            <w:tcW w:w="805" w:type="pct"/>
            <w:tcBorders>
              <w:top w:val="single" w:color="auto" w:sz="4" w:space="0"/>
              <w:left w:val="single" w:color="auto" w:sz="4" w:space="0"/>
              <w:bottom w:val="single" w:color="auto" w:sz="4" w:space="0"/>
              <w:right w:val="single" w:color="auto" w:sz="4" w:space="0"/>
            </w:tcBorders>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2</w:t>
            </w:r>
          </w:p>
        </w:tc>
        <w:tc>
          <w:tcPr>
            <w:tcW w:w="13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保修期后售后服务</w:t>
            </w:r>
          </w:p>
        </w:tc>
        <w:tc>
          <w:tcPr>
            <w:tcW w:w="2380" w:type="pct"/>
            <w:tcBorders>
              <w:top w:val="single" w:color="auto" w:sz="4" w:space="0"/>
              <w:left w:val="single" w:color="auto" w:sz="4" w:space="0"/>
              <w:bottom w:val="single" w:color="auto" w:sz="4" w:space="0"/>
              <w:right w:val="single" w:color="auto" w:sz="4" w:space="0"/>
            </w:tcBorders>
          </w:tcPr>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tc>
        <w:tc>
          <w:tcPr>
            <w:tcW w:w="805" w:type="pct"/>
            <w:tcBorders>
              <w:top w:val="single" w:color="auto" w:sz="4" w:space="0"/>
              <w:left w:val="single" w:color="auto" w:sz="4" w:space="0"/>
              <w:bottom w:val="single" w:color="auto" w:sz="4" w:space="0"/>
              <w:right w:val="single" w:color="auto" w:sz="4" w:space="0"/>
            </w:tcBorders>
          </w:tcPr>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tc>
      </w:tr>
    </w:tbl>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法定代表人或被授权人（签字或盖章）：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单位名称（盖章）：                          </w:t>
      </w:r>
    </w:p>
    <w:p>
      <w:pPr>
        <w:adjustRightInd w:val="0"/>
        <w:snapToGrid w:val="0"/>
        <w:spacing w:line="460" w:lineRule="exact"/>
        <w:rPr>
          <w:rFonts w:ascii="宋体" w:hAnsi="宋体" w:cs="宋体"/>
          <w:sz w:val="24"/>
          <w:szCs w:val="24"/>
        </w:rPr>
      </w:pPr>
      <w:r>
        <w:rPr>
          <w:rFonts w:hint="eastAsia" w:ascii="宋体" w:hAnsi="宋体" w:cs="宋体"/>
          <w:sz w:val="24"/>
          <w:szCs w:val="24"/>
        </w:rPr>
        <w:t>日期：20  年   月   日</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pStyle w:val="4"/>
      </w:pPr>
      <w:bookmarkStart w:id="150" w:name="_Toc31105"/>
      <w:bookmarkStart w:id="151" w:name="_Toc22523"/>
      <w:bookmarkStart w:id="152" w:name="_Toc21954"/>
      <w:bookmarkStart w:id="153" w:name="_Toc878"/>
      <w:r>
        <w:rPr>
          <w:rFonts w:hint="eastAsia"/>
        </w:rPr>
        <w:t>重大违法记录的声明函</w:t>
      </w:r>
      <w:bookmarkEnd w:id="150"/>
      <w:bookmarkEnd w:id="151"/>
      <w:bookmarkEnd w:id="152"/>
      <w:bookmarkEnd w:id="153"/>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致：   （采购人或采购代理机构）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（供应商全称）            ，参加贵单位组织的项目编号为：         ，项目名称：            的政府采购活动，在此郑重声明：我单位在参加本项目政府采购活动前3年内在经营活动中未因违法经营受到刑事处罚或者责令停产停业、吊销许可证或者执照、较大数额罚款等行政处罚。</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法定代表人或被授权人（签字或盖章）：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单位名称（盖章）：                          </w:t>
      </w:r>
    </w:p>
    <w:p>
      <w:pPr>
        <w:adjustRightInd w:val="0"/>
        <w:snapToGrid w:val="0"/>
        <w:spacing w:line="460" w:lineRule="exact"/>
        <w:rPr>
          <w:rFonts w:ascii="宋体" w:hAnsi="宋体" w:cs="宋体"/>
          <w:sz w:val="24"/>
          <w:szCs w:val="24"/>
        </w:rPr>
      </w:pPr>
      <w:r>
        <w:rPr>
          <w:rFonts w:hint="eastAsia" w:ascii="宋体" w:hAnsi="宋体" w:cs="宋体"/>
          <w:sz w:val="24"/>
          <w:szCs w:val="24"/>
        </w:rPr>
        <w:t>声明日期：20  年   月   日</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br w:type="page"/>
      </w:r>
    </w:p>
    <w:p>
      <w:pPr>
        <w:pStyle w:val="4"/>
      </w:pPr>
      <w:bookmarkStart w:id="154" w:name="_Toc14915"/>
      <w:bookmarkStart w:id="155" w:name="_Toc30061"/>
      <w:bookmarkStart w:id="156" w:name="_Toc19614"/>
      <w:bookmarkStart w:id="157" w:name="_Toc8643"/>
      <w:r>
        <w:rPr>
          <w:rFonts w:hint="eastAsia"/>
        </w:rPr>
        <w:t>技术一般性条款响应差异表</w:t>
      </w:r>
      <w:bookmarkEnd w:id="154"/>
      <w:bookmarkEnd w:id="155"/>
      <w:bookmarkEnd w:id="156"/>
      <w:bookmarkEnd w:id="157"/>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项目名称：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项目编号：                            </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788"/>
        <w:gridCol w:w="1788"/>
        <w:gridCol w:w="1788"/>
        <w:gridCol w:w="1788"/>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12"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序号</w:t>
            </w:r>
          </w:p>
        </w:tc>
        <w:tc>
          <w:tcPr>
            <w:tcW w:w="897"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货物名称</w:t>
            </w:r>
          </w:p>
        </w:tc>
        <w:tc>
          <w:tcPr>
            <w:tcW w:w="897"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招标参数</w:t>
            </w:r>
          </w:p>
        </w:tc>
        <w:tc>
          <w:tcPr>
            <w:tcW w:w="897"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投标参数</w:t>
            </w:r>
          </w:p>
        </w:tc>
        <w:tc>
          <w:tcPr>
            <w:tcW w:w="897"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偏离情况</w:t>
            </w:r>
          </w:p>
        </w:tc>
        <w:tc>
          <w:tcPr>
            <w:tcW w:w="897"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厂家资料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512"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1</w:t>
            </w: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512"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2</w:t>
            </w: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512"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3</w:t>
            </w: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512"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w:t>
            </w: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512"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512"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512"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512"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12"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c>
          <w:tcPr>
            <w:tcW w:w="897"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12" w:type="pct"/>
            <w:tcBorders>
              <w:bottom w:val="single" w:color="auto" w:sz="4" w:space="0"/>
            </w:tcBorders>
            <w:vAlign w:val="center"/>
          </w:tcPr>
          <w:p>
            <w:pPr>
              <w:adjustRightInd w:val="0"/>
              <w:snapToGrid w:val="0"/>
              <w:spacing w:line="460" w:lineRule="exact"/>
              <w:rPr>
                <w:rFonts w:ascii="宋体" w:hAnsi="宋体" w:cs="宋体"/>
                <w:sz w:val="24"/>
                <w:szCs w:val="24"/>
              </w:rPr>
            </w:pPr>
          </w:p>
        </w:tc>
        <w:tc>
          <w:tcPr>
            <w:tcW w:w="897" w:type="pct"/>
            <w:tcBorders>
              <w:bottom w:val="single" w:color="auto" w:sz="4" w:space="0"/>
            </w:tcBorders>
            <w:vAlign w:val="center"/>
          </w:tcPr>
          <w:p>
            <w:pPr>
              <w:adjustRightInd w:val="0"/>
              <w:snapToGrid w:val="0"/>
              <w:spacing w:line="460" w:lineRule="exact"/>
              <w:rPr>
                <w:rFonts w:ascii="宋体" w:hAnsi="宋体" w:cs="宋体"/>
                <w:sz w:val="24"/>
                <w:szCs w:val="24"/>
              </w:rPr>
            </w:pPr>
          </w:p>
        </w:tc>
        <w:tc>
          <w:tcPr>
            <w:tcW w:w="897" w:type="pct"/>
            <w:tcBorders>
              <w:bottom w:val="single" w:color="auto" w:sz="4" w:space="0"/>
            </w:tcBorders>
            <w:vAlign w:val="center"/>
          </w:tcPr>
          <w:p>
            <w:pPr>
              <w:adjustRightInd w:val="0"/>
              <w:snapToGrid w:val="0"/>
              <w:spacing w:line="460" w:lineRule="exact"/>
              <w:rPr>
                <w:rFonts w:ascii="宋体" w:hAnsi="宋体" w:cs="宋体"/>
                <w:sz w:val="24"/>
                <w:szCs w:val="24"/>
              </w:rPr>
            </w:pPr>
          </w:p>
        </w:tc>
        <w:tc>
          <w:tcPr>
            <w:tcW w:w="897" w:type="pct"/>
            <w:tcBorders>
              <w:bottom w:val="single" w:color="auto" w:sz="4" w:space="0"/>
            </w:tcBorders>
            <w:vAlign w:val="center"/>
          </w:tcPr>
          <w:p>
            <w:pPr>
              <w:adjustRightInd w:val="0"/>
              <w:snapToGrid w:val="0"/>
              <w:spacing w:line="460" w:lineRule="exact"/>
              <w:rPr>
                <w:rFonts w:ascii="宋体" w:hAnsi="宋体" w:cs="宋体"/>
                <w:sz w:val="24"/>
                <w:szCs w:val="24"/>
              </w:rPr>
            </w:pPr>
          </w:p>
        </w:tc>
        <w:tc>
          <w:tcPr>
            <w:tcW w:w="897" w:type="pct"/>
            <w:tcBorders>
              <w:bottom w:val="single" w:color="auto" w:sz="4" w:space="0"/>
            </w:tcBorders>
            <w:vAlign w:val="center"/>
          </w:tcPr>
          <w:p>
            <w:pPr>
              <w:adjustRightInd w:val="0"/>
              <w:snapToGrid w:val="0"/>
              <w:spacing w:line="460" w:lineRule="exact"/>
              <w:rPr>
                <w:rFonts w:ascii="宋体" w:hAnsi="宋体" w:cs="宋体"/>
                <w:sz w:val="24"/>
                <w:szCs w:val="24"/>
              </w:rPr>
            </w:pPr>
          </w:p>
        </w:tc>
        <w:tc>
          <w:tcPr>
            <w:tcW w:w="897" w:type="pct"/>
            <w:tcBorders>
              <w:bottom w:val="single" w:color="auto" w:sz="4" w:space="0"/>
            </w:tcBorders>
            <w:vAlign w:val="center"/>
          </w:tcPr>
          <w:p>
            <w:pPr>
              <w:adjustRightInd w:val="0"/>
              <w:snapToGrid w:val="0"/>
              <w:spacing w:line="460" w:lineRule="exact"/>
              <w:rPr>
                <w:rFonts w:ascii="宋体" w:hAnsi="宋体" w:cs="宋体"/>
                <w:sz w:val="24"/>
                <w:szCs w:val="24"/>
              </w:rPr>
            </w:pPr>
          </w:p>
        </w:tc>
      </w:tr>
    </w:tbl>
    <w:p>
      <w:pPr>
        <w:adjustRightInd w:val="0"/>
        <w:snapToGrid w:val="0"/>
        <w:spacing w:line="460" w:lineRule="exact"/>
        <w:rPr>
          <w:rFonts w:ascii="宋体" w:hAnsi="宋体" w:cs="宋体"/>
          <w:sz w:val="24"/>
          <w:szCs w:val="24"/>
        </w:rPr>
      </w:pPr>
      <w:r>
        <w:rPr>
          <w:rFonts w:hint="eastAsia" w:ascii="宋体" w:hAnsi="宋体" w:cs="宋体"/>
          <w:sz w:val="24"/>
          <w:szCs w:val="24"/>
        </w:rPr>
        <w:t>填报要求：</w:t>
      </w:r>
    </w:p>
    <w:p>
      <w:pPr>
        <w:adjustRightInd w:val="0"/>
        <w:snapToGrid w:val="0"/>
        <w:spacing w:line="460" w:lineRule="exact"/>
        <w:rPr>
          <w:rFonts w:ascii="宋体" w:hAnsi="宋体" w:cs="宋体"/>
          <w:sz w:val="24"/>
          <w:szCs w:val="24"/>
        </w:rPr>
      </w:pPr>
      <w:r>
        <w:rPr>
          <w:rFonts w:hint="eastAsia" w:ascii="宋体" w:hAnsi="宋体" w:cs="宋体"/>
          <w:sz w:val="24"/>
          <w:szCs w:val="24"/>
        </w:rPr>
        <w:t>本表的货物名称须与《报价明细表》一致。</w:t>
      </w:r>
    </w:p>
    <w:p>
      <w:pPr>
        <w:adjustRightInd w:val="0"/>
        <w:snapToGrid w:val="0"/>
        <w:spacing w:line="460" w:lineRule="exact"/>
        <w:rPr>
          <w:rFonts w:ascii="宋体" w:hAnsi="宋体" w:cs="宋体"/>
          <w:sz w:val="24"/>
          <w:szCs w:val="24"/>
        </w:rPr>
      </w:pPr>
      <w:r>
        <w:rPr>
          <w:rFonts w:hint="eastAsia" w:ascii="宋体" w:hAnsi="宋体" w:cs="宋体"/>
          <w:sz w:val="24"/>
          <w:szCs w:val="24"/>
        </w:rPr>
        <w:t>投标人必须按招标参数的格式描述投标参数，并在偏离情况栏标明“无偏离”、“正偏离”或“负偏离”。</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法定代表人或被授权人（签字或盖章）：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单位名称（盖章）：                          </w:t>
      </w:r>
    </w:p>
    <w:p>
      <w:pPr>
        <w:adjustRightInd w:val="0"/>
        <w:snapToGrid w:val="0"/>
        <w:spacing w:line="460" w:lineRule="exact"/>
        <w:rPr>
          <w:rFonts w:ascii="宋体" w:hAnsi="宋体" w:cs="宋体"/>
          <w:sz w:val="24"/>
          <w:szCs w:val="24"/>
        </w:rPr>
      </w:pPr>
      <w:r>
        <w:rPr>
          <w:rFonts w:hint="eastAsia" w:ascii="宋体" w:hAnsi="宋体" w:cs="宋体"/>
          <w:sz w:val="24"/>
          <w:szCs w:val="24"/>
        </w:rPr>
        <w:t>日期：20  年   月   日</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pStyle w:val="4"/>
        <w:rPr>
          <w:rFonts w:ascii="宋体" w:hAnsi="宋体" w:cs="宋体"/>
          <w:szCs w:val="24"/>
        </w:rPr>
      </w:pPr>
      <w:bookmarkStart w:id="158" w:name="_Toc30603"/>
      <w:r>
        <w:rPr>
          <w:rFonts w:hint="eastAsia"/>
        </w:rPr>
        <w:t>附表：易损件、备品备件（如有）报价表</w:t>
      </w:r>
      <w:bookmarkEnd w:id="158"/>
    </w:p>
    <w:p>
      <w:pPr>
        <w:adjustRightInd w:val="0"/>
        <w:snapToGrid w:val="0"/>
        <w:spacing w:line="460" w:lineRule="exact"/>
        <w:rPr>
          <w:rFonts w:ascii="宋体" w:hAnsi="宋体" w:cs="宋体"/>
          <w:sz w:val="24"/>
          <w:szCs w:val="24"/>
        </w:rPr>
      </w:pPr>
      <w:r>
        <w:rPr>
          <w:rFonts w:hint="eastAsia" w:ascii="宋体" w:hAnsi="宋体" w:cs="宋体"/>
          <w:sz w:val="24"/>
          <w:szCs w:val="24"/>
        </w:rPr>
        <w:t>供应商名称：         　　　　　  项目编号/合同包号：　　　　　　　　　　　</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2156"/>
        <w:gridCol w:w="1836"/>
        <w:gridCol w:w="1605"/>
        <w:gridCol w:w="916"/>
        <w:gridCol w:w="1167"/>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48"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序号</w:t>
            </w:r>
          </w:p>
        </w:tc>
        <w:tc>
          <w:tcPr>
            <w:tcW w:w="1083"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产品名称</w:t>
            </w:r>
          </w:p>
        </w:tc>
        <w:tc>
          <w:tcPr>
            <w:tcW w:w="922"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规格型号</w:t>
            </w:r>
          </w:p>
        </w:tc>
        <w:tc>
          <w:tcPr>
            <w:tcW w:w="806"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制造商</w:t>
            </w:r>
          </w:p>
        </w:tc>
        <w:tc>
          <w:tcPr>
            <w:tcW w:w="460"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数量</w:t>
            </w:r>
          </w:p>
        </w:tc>
        <w:tc>
          <w:tcPr>
            <w:tcW w:w="586"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单价</w:t>
            </w:r>
          </w:p>
        </w:tc>
        <w:tc>
          <w:tcPr>
            <w:tcW w:w="691"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备注 （优惠程度）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000" w:type="pct"/>
            <w:gridSpan w:val="7"/>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以下为质保期内随货免费提供的备品备件和常用配件等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448"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1</w:t>
            </w:r>
          </w:p>
        </w:tc>
        <w:tc>
          <w:tcPr>
            <w:tcW w:w="1083" w:type="pct"/>
            <w:vAlign w:val="center"/>
          </w:tcPr>
          <w:p>
            <w:pPr>
              <w:adjustRightInd w:val="0"/>
              <w:snapToGrid w:val="0"/>
              <w:spacing w:line="460" w:lineRule="exact"/>
              <w:rPr>
                <w:rFonts w:ascii="宋体" w:hAnsi="宋体" w:cs="宋体"/>
                <w:sz w:val="24"/>
                <w:szCs w:val="24"/>
              </w:rPr>
            </w:pPr>
          </w:p>
        </w:tc>
        <w:tc>
          <w:tcPr>
            <w:tcW w:w="922" w:type="pct"/>
            <w:vAlign w:val="center"/>
          </w:tcPr>
          <w:p>
            <w:pPr>
              <w:adjustRightInd w:val="0"/>
              <w:snapToGrid w:val="0"/>
              <w:spacing w:line="460" w:lineRule="exact"/>
              <w:rPr>
                <w:rFonts w:ascii="宋体" w:hAnsi="宋体" w:cs="宋体"/>
                <w:sz w:val="24"/>
                <w:szCs w:val="24"/>
              </w:rPr>
            </w:pPr>
          </w:p>
        </w:tc>
        <w:tc>
          <w:tcPr>
            <w:tcW w:w="806" w:type="pct"/>
            <w:vAlign w:val="center"/>
          </w:tcPr>
          <w:p>
            <w:pPr>
              <w:adjustRightInd w:val="0"/>
              <w:snapToGrid w:val="0"/>
              <w:spacing w:line="460" w:lineRule="exact"/>
              <w:rPr>
                <w:rFonts w:ascii="宋体" w:hAnsi="宋体" w:cs="宋体"/>
                <w:sz w:val="24"/>
                <w:szCs w:val="24"/>
              </w:rPr>
            </w:pPr>
          </w:p>
        </w:tc>
        <w:tc>
          <w:tcPr>
            <w:tcW w:w="460" w:type="pct"/>
            <w:vAlign w:val="center"/>
          </w:tcPr>
          <w:p>
            <w:pPr>
              <w:adjustRightInd w:val="0"/>
              <w:snapToGrid w:val="0"/>
              <w:spacing w:line="460" w:lineRule="exact"/>
              <w:rPr>
                <w:rFonts w:ascii="宋体" w:hAnsi="宋体" w:cs="宋体"/>
                <w:sz w:val="24"/>
                <w:szCs w:val="24"/>
              </w:rPr>
            </w:pPr>
          </w:p>
        </w:tc>
        <w:tc>
          <w:tcPr>
            <w:tcW w:w="586" w:type="pct"/>
            <w:vAlign w:val="center"/>
          </w:tcPr>
          <w:p>
            <w:pPr>
              <w:adjustRightInd w:val="0"/>
              <w:snapToGrid w:val="0"/>
              <w:spacing w:line="460" w:lineRule="exact"/>
              <w:rPr>
                <w:rFonts w:ascii="宋体" w:hAnsi="宋体" w:cs="宋体"/>
                <w:sz w:val="24"/>
                <w:szCs w:val="24"/>
              </w:rPr>
            </w:pPr>
          </w:p>
        </w:tc>
        <w:tc>
          <w:tcPr>
            <w:tcW w:w="691"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448"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2</w:t>
            </w:r>
          </w:p>
        </w:tc>
        <w:tc>
          <w:tcPr>
            <w:tcW w:w="1083" w:type="pct"/>
            <w:vAlign w:val="center"/>
          </w:tcPr>
          <w:p>
            <w:pPr>
              <w:adjustRightInd w:val="0"/>
              <w:snapToGrid w:val="0"/>
              <w:spacing w:line="460" w:lineRule="exact"/>
              <w:rPr>
                <w:rFonts w:ascii="宋体" w:hAnsi="宋体" w:cs="宋体"/>
                <w:sz w:val="24"/>
                <w:szCs w:val="24"/>
              </w:rPr>
            </w:pPr>
          </w:p>
        </w:tc>
        <w:tc>
          <w:tcPr>
            <w:tcW w:w="922" w:type="pct"/>
            <w:vAlign w:val="center"/>
          </w:tcPr>
          <w:p>
            <w:pPr>
              <w:adjustRightInd w:val="0"/>
              <w:snapToGrid w:val="0"/>
              <w:spacing w:line="460" w:lineRule="exact"/>
              <w:rPr>
                <w:rFonts w:ascii="宋体" w:hAnsi="宋体" w:cs="宋体"/>
                <w:sz w:val="24"/>
                <w:szCs w:val="24"/>
              </w:rPr>
            </w:pPr>
          </w:p>
        </w:tc>
        <w:tc>
          <w:tcPr>
            <w:tcW w:w="806" w:type="pct"/>
            <w:vAlign w:val="center"/>
          </w:tcPr>
          <w:p>
            <w:pPr>
              <w:adjustRightInd w:val="0"/>
              <w:snapToGrid w:val="0"/>
              <w:spacing w:line="460" w:lineRule="exact"/>
              <w:rPr>
                <w:rFonts w:ascii="宋体" w:hAnsi="宋体" w:cs="宋体"/>
                <w:sz w:val="24"/>
                <w:szCs w:val="24"/>
              </w:rPr>
            </w:pPr>
          </w:p>
        </w:tc>
        <w:tc>
          <w:tcPr>
            <w:tcW w:w="460" w:type="pct"/>
            <w:vAlign w:val="center"/>
          </w:tcPr>
          <w:p>
            <w:pPr>
              <w:adjustRightInd w:val="0"/>
              <w:snapToGrid w:val="0"/>
              <w:spacing w:line="460" w:lineRule="exact"/>
              <w:rPr>
                <w:rFonts w:ascii="宋体" w:hAnsi="宋体" w:cs="宋体"/>
                <w:sz w:val="24"/>
                <w:szCs w:val="24"/>
              </w:rPr>
            </w:pPr>
          </w:p>
        </w:tc>
        <w:tc>
          <w:tcPr>
            <w:tcW w:w="586" w:type="pct"/>
            <w:vAlign w:val="center"/>
          </w:tcPr>
          <w:p>
            <w:pPr>
              <w:adjustRightInd w:val="0"/>
              <w:snapToGrid w:val="0"/>
              <w:spacing w:line="460" w:lineRule="exact"/>
              <w:rPr>
                <w:rFonts w:ascii="宋体" w:hAnsi="宋体" w:cs="宋体"/>
                <w:sz w:val="24"/>
                <w:szCs w:val="24"/>
              </w:rPr>
            </w:pPr>
          </w:p>
        </w:tc>
        <w:tc>
          <w:tcPr>
            <w:tcW w:w="691"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48"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3</w:t>
            </w:r>
          </w:p>
        </w:tc>
        <w:tc>
          <w:tcPr>
            <w:tcW w:w="1083" w:type="pct"/>
            <w:vAlign w:val="center"/>
          </w:tcPr>
          <w:p>
            <w:pPr>
              <w:adjustRightInd w:val="0"/>
              <w:snapToGrid w:val="0"/>
              <w:spacing w:line="460" w:lineRule="exact"/>
              <w:rPr>
                <w:rFonts w:ascii="宋体" w:hAnsi="宋体" w:cs="宋体"/>
                <w:sz w:val="24"/>
                <w:szCs w:val="24"/>
              </w:rPr>
            </w:pPr>
          </w:p>
        </w:tc>
        <w:tc>
          <w:tcPr>
            <w:tcW w:w="922" w:type="pct"/>
            <w:vAlign w:val="center"/>
          </w:tcPr>
          <w:p>
            <w:pPr>
              <w:adjustRightInd w:val="0"/>
              <w:snapToGrid w:val="0"/>
              <w:spacing w:line="460" w:lineRule="exact"/>
              <w:rPr>
                <w:rFonts w:ascii="宋体" w:hAnsi="宋体" w:cs="宋体"/>
                <w:sz w:val="24"/>
                <w:szCs w:val="24"/>
              </w:rPr>
            </w:pPr>
          </w:p>
        </w:tc>
        <w:tc>
          <w:tcPr>
            <w:tcW w:w="806" w:type="pct"/>
            <w:vAlign w:val="center"/>
          </w:tcPr>
          <w:p>
            <w:pPr>
              <w:adjustRightInd w:val="0"/>
              <w:snapToGrid w:val="0"/>
              <w:spacing w:line="460" w:lineRule="exact"/>
              <w:rPr>
                <w:rFonts w:ascii="宋体" w:hAnsi="宋体" w:cs="宋体"/>
                <w:sz w:val="24"/>
                <w:szCs w:val="24"/>
              </w:rPr>
            </w:pPr>
          </w:p>
        </w:tc>
        <w:tc>
          <w:tcPr>
            <w:tcW w:w="460" w:type="pct"/>
            <w:vAlign w:val="center"/>
          </w:tcPr>
          <w:p>
            <w:pPr>
              <w:adjustRightInd w:val="0"/>
              <w:snapToGrid w:val="0"/>
              <w:spacing w:line="460" w:lineRule="exact"/>
              <w:rPr>
                <w:rFonts w:ascii="宋体" w:hAnsi="宋体" w:cs="宋体"/>
                <w:sz w:val="24"/>
                <w:szCs w:val="24"/>
              </w:rPr>
            </w:pPr>
          </w:p>
        </w:tc>
        <w:tc>
          <w:tcPr>
            <w:tcW w:w="586" w:type="pct"/>
            <w:vAlign w:val="center"/>
          </w:tcPr>
          <w:p>
            <w:pPr>
              <w:adjustRightInd w:val="0"/>
              <w:snapToGrid w:val="0"/>
              <w:spacing w:line="460" w:lineRule="exact"/>
              <w:rPr>
                <w:rFonts w:ascii="宋体" w:hAnsi="宋体" w:cs="宋体"/>
                <w:sz w:val="24"/>
                <w:szCs w:val="24"/>
              </w:rPr>
            </w:pPr>
          </w:p>
        </w:tc>
        <w:tc>
          <w:tcPr>
            <w:tcW w:w="691"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48" w:type="pct"/>
            <w:vAlign w:val="center"/>
          </w:tcPr>
          <w:p>
            <w:pPr>
              <w:adjustRightInd w:val="0"/>
              <w:snapToGrid w:val="0"/>
              <w:spacing w:line="460" w:lineRule="exact"/>
              <w:rPr>
                <w:rFonts w:ascii="宋体" w:hAnsi="宋体" w:cs="宋体"/>
                <w:sz w:val="24"/>
                <w:szCs w:val="24"/>
              </w:rPr>
            </w:pPr>
          </w:p>
        </w:tc>
        <w:tc>
          <w:tcPr>
            <w:tcW w:w="1083" w:type="pct"/>
            <w:vAlign w:val="center"/>
          </w:tcPr>
          <w:p>
            <w:pPr>
              <w:adjustRightInd w:val="0"/>
              <w:snapToGrid w:val="0"/>
              <w:spacing w:line="460" w:lineRule="exact"/>
              <w:rPr>
                <w:rFonts w:ascii="宋体" w:hAnsi="宋体" w:cs="宋体"/>
                <w:sz w:val="24"/>
                <w:szCs w:val="24"/>
              </w:rPr>
            </w:pPr>
          </w:p>
        </w:tc>
        <w:tc>
          <w:tcPr>
            <w:tcW w:w="922" w:type="pct"/>
            <w:vAlign w:val="center"/>
          </w:tcPr>
          <w:p>
            <w:pPr>
              <w:adjustRightInd w:val="0"/>
              <w:snapToGrid w:val="0"/>
              <w:spacing w:line="460" w:lineRule="exact"/>
              <w:rPr>
                <w:rFonts w:ascii="宋体" w:hAnsi="宋体" w:cs="宋体"/>
                <w:sz w:val="24"/>
                <w:szCs w:val="24"/>
              </w:rPr>
            </w:pPr>
          </w:p>
        </w:tc>
        <w:tc>
          <w:tcPr>
            <w:tcW w:w="806" w:type="pct"/>
            <w:vAlign w:val="center"/>
          </w:tcPr>
          <w:p>
            <w:pPr>
              <w:adjustRightInd w:val="0"/>
              <w:snapToGrid w:val="0"/>
              <w:spacing w:line="460" w:lineRule="exact"/>
              <w:rPr>
                <w:rFonts w:ascii="宋体" w:hAnsi="宋体" w:cs="宋体"/>
                <w:sz w:val="24"/>
                <w:szCs w:val="24"/>
              </w:rPr>
            </w:pPr>
          </w:p>
        </w:tc>
        <w:tc>
          <w:tcPr>
            <w:tcW w:w="460" w:type="pct"/>
            <w:vAlign w:val="center"/>
          </w:tcPr>
          <w:p>
            <w:pPr>
              <w:adjustRightInd w:val="0"/>
              <w:snapToGrid w:val="0"/>
              <w:spacing w:line="460" w:lineRule="exact"/>
              <w:rPr>
                <w:rFonts w:ascii="宋体" w:hAnsi="宋体" w:cs="宋体"/>
                <w:sz w:val="24"/>
                <w:szCs w:val="24"/>
              </w:rPr>
            </w:pPr>
          </w:p>
        </w:tc>
        <w:tc>
          <w:tcPr>
            <w:tcW w:w="586" w:type="pct"/>
            <w:vAlign w:val="center"/>
          </w:tcPr>
          <w:p>
            <w:pPr>
              <w:adjustRightInd w:val="0"/>
              <w:snapToGrid w:val="0"/>
              <w:spacing w:line="460" w:lineRule="exact"/>
              <w:rPr>
                <w:rFonts w:ascii="宋体" w:hAnsi="宋体" w:cs="宋体"/>
                <w:sz w:val="24"/>
                <w:szCs w:val="24"/>
              </w:rPr>
            </w:pPr>
          </w:p>
        </w:tc>
        <w:tc>
          <w:tcPr>
            <w:tcW w:w="691"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48"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w:t>
            </w:r>
          </w:p>
        </w:tc>
        <w:tc>
          <w:tcPr>
            <w:tcW w:w="1083" w:type="pct"/>
            <w:vAlign w:val="center"/>
          </w:tcPr>
          <w:p>
            <w:pPr>
              <w:adjustRightInd w:val="0"/>
              <w:snapToGrid w:val="0"/>
              <w:spacing w:line="460" w:lineRule="exact"/>
              <w:rPr>
                <w:rFonts w:ascii="宋体" w:hAnsi="宋体" w:cs="宋体"/>
                <w:sz w:val="24"/>
                <w:szCs w:val="24"/>
              </w:rPr>
            </w:pPr>
          </w:p>
        </w:tc>
        <w:tc>
          <w:tcPr>
            <w:tcW w:w="922" w:type="pct"/>
            <w:vAlign w:val="center"/>
          </w:tcPr>
          <w:p>
            <w:pPr>
              <w:adjustRightInd w:val="0"/>
              <w:snapToGrid w:val="0"/>
              <w:spacing w:line="460" w:lineRule="exact"/>
              <w:rPr>
                <w:rFonts w:ascii="宋体" w:hAnsi="宋体" w:cs="宋体"/>
                <w:sz w:val="24"/>
                <w:szCs w:val="24"/>
              </w:rPr>
            </w:pPr>
          </w:p>
        </w:tc>
        <w:tc>
          <w:tcPr>
            <w:tcW w:w="806" w:type="pct"/>
            <w:vAlign w:val="center"/>
          </w:tcPr>
          <w:p>
            <w:pPr>
              <w:adjustRightInd w:val="0"/>
              <w:snapToGrid w:val="0"/>
              <w:spacing w:line="460" w:lineRule="exact"/>
              <w:rPr>
                <w:rFonts w:ascii="宋体" w:hAnsi="宋体" w:cs="宋体"/>
                <w:sz w:val="24"/>
                <w:szCs w:val="24"/>
              </w:rPr>
            </w:pPr>
          </w:p>
        </w:tc>
        <w:tc>
          <w:tcPr>
            <w:tcW w:w="460" w:type="pct"/>
            <w:vAlign w:val="center"/>
          </w:tcPr>
          <w:p>
            <w:pPr>
              <w:adjustRightInd w:val="0"/>
              <w:snapToGrid w:val="0"/>
              <w:spacing w:line="460" w:lineRule="exact"/>
              <w:rPr>
                <w:rFonts w:ascii="宋体" w:hAnsi="宋体" w:cs="宋体"/>
                <w:sz w:val="24"/>
                <w:szCs w:val="24"/>
              </w:rPr>
            </w:pPr>
          </w:p>
        </w:tc>
        <w:tc>
          <w:tcPr>
            <w:tcW w:w="586" w:type="pct"/>
            <w:vAlign w:val="center"/>
          </w:tcPr>
          <w:p>
            <w:pPr>
              <w:adjustRightInd w:val="0"/>
              <w:snapToGrid w:val="0"/>
              <w:spacing w:line="460" w:lineRule="exact"/>
              <w:rPr>
                <w:rFonts w:ascii="宋体" w:hAnsi="宋体" w:cs="宋体"/>
                <w:sz w:val="24"/>
                <w:szCs w:val="24"/>
              </w:rPr>
            </w:pPr>
          </w:p>
        </w:tc>
        <w:tc>
          <w:tcPr>
            <w:tcW w:w="691"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000" w:type="pct"/>
            <w:gridSpan w:val="7"/>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以下为质保期满后优惠提供的备品备件和常用配件、耗材等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48"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1</w:t>
            </w:r>
          </w:p>
        </w:tc>
        <w:tc>
          <w:tcPr>
            <w:tcW w:w="1083" w:type="pct"/>
            <w:vAlign w:val="center"/>
          </w:tcPr>
          <w:p>
            <w:pPr>
              <w:adjustRightInd w:val="0"/>
              <w:snapToGrid w:val="0"/>
              <w:spacing w:line="460" w:lineRule="exact"/>
              <w:rPr>
                <w:rFonts w:ascii="宋体" w:hAnsi="宋体" w:cs="宋体"/>
                <w:sz w:val="24"/>
                <w:szCs w:val="24"/>
              </w:rPr>
            </w:pPr>
          </w:p>
        </w:tc>
        <w:tc>
          <w:tcPr>
            <w:tcW w:w="922" w:type="pct"/>
            <w:vAlign w:val="center"/>
          </w:tcPr>
          <w:p>
            <w:pPr>
              <w:adjustRightInd w:val="0"/>
              <w:snapToGrid w:val="0"/>
              <w:spacing w:line="460" w:lineRule="exact"/>
              <w:rPr>
                <w:rFonts w:ascii="宋体" w:hAnsi="宋体" w:cs="宋体"/>
                <w:sz w:val="24"/>
                <w:szCs w:val="24"/>
              </w:rPr>
            </w:pPr>
          </w:p>
        </w:tc>
        <w:tc>
          <w:tcPr>
            <w:tcW w:w="806" w:type="pct"/>
            <w:vAlign w:val="center"/>
          </w:tcPr>
          <w:p>
            <w:pPr>
              <w:adjustRightInd w:val="0"/>
              <w:snapToGrid w:val="0"/>
              <w:spacing w:line="460" w:lineRule="exact"/>
              <w:rPr>
                <w:rFonts w:ascii="宋体" w:hAnsi="宋体" w:cs="宋体"/>
                <w:sz w:val="24"/>
                <w:szCs w:val="24"/>
              </w:rPr>
            </w:pPr>
          </w:p>
        </w:tc>
        <w:tc>
          <w:tcPr>
            <w:tcW w:w="460" w:type="pct"/>
            <w:vAlign w:val="center"/>
          </w:tcPr>
          <w:p>
            <w:pPr>
              <w:adjustRightInd w:val="0"/>
              <w:snapToGrid w:val="0"/>
              <w:spacing w:line="460" w:lineRule="exact"/>
              <w:rPr>
                <w:rFonts w:ascii="宋体" w:hAnsi="宋体" w:cs="宋体"/>
                <w:sz w:val="24"/>
                <w:szCs w:val="24"/>
              </w:rPr>
            </w:pPr>
          </w:p>
        </w:tc>
        <w:tc>
          <w:tcPr>
            <w:tcW w:w="586" w:type="pct"/>
            <w:vAlign w:val="center"/>
          </w:tcPr>
          <w:p>
            <w:pPr>
              <w:adjustRightInd w:val="0"/>
              <w:snapToGrid w:val="0"/>
              <w:spacing w:line="460" w:lineRule="exact"/>
              <w:rPr>
                <w:rFonts w:ascii="宋体" w:hAnsi="宋体" w:cs="宋体"/>
                <w:sz w:val="24"/>
                <w:szCs w:val="24"/>
              </w:rPr>
            </w:pPr>
          </w:p>
        </w:tc>
        <w:tc>
          <w:tcPr>
            <w:tcW w:w="691"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48"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2</w:t>
            </w:r>
          </w:p>
        </w:tc>
        <w:tc>
          <w:tcPr>
            <w:tcW w:w="1083" w:type="pct"/>
            <w:vAlign w:val="center"/>
          </w:tcPr>
          <w:p>
            <w:pPr>
              <w:adjustRightInd w:val="0"/>
              <w:snapToGrid w:val="0"/>
              <w:spacing w:line="460" w:lineRule="exact"/>
              <w:rPr>
                <w:rFonts w:ascii="宋体" w:hAnsi="宋体" w:cs="宋体"/>
                <w:sz w:val="24"/>
                <w:szCs w:val="24"/>
              </w:rPr>
            </w:pPr>
          </w:p>
        </w:tc>
        <w:tc>
          <w:tcPr>
            <w:tcW w:w="922" w:type="pct"/>
            <w:vAlign w:val="center"/>
          </w:tcPr>
          <w:p>
            <w:pPr>
              <w:adjustRightInd w:val="0"/>
              <w:snapToGrid w:val="0"/>
              <w:spacing w:line="460" w:lineRule="exact"/>
              <w:rPr>
                <w:rFonts w:ascii="宋体" w:hAnsi="宋体" w:cs="宋体"/>
                <w:sz w:val="24"/>
                <w:szCs w:val="24"/>
              </w:rPr>
            </w:pPr>
          </w:p>
        </w:tc>
        <w:tc>
          <w:tcPr>
            <w:tcW w:w="806" w:type="pct"/>
            <w:vAlign w:val="center"/>
          </w:tcPr>
          <w:p>
            <w:pPr>
              <w:adjustRightInd w:val="0"/>
              <w:snapToGrid w:val="0"/>
              <w:spacing w:line="460" w:lineRule="exact"/>
              <w:rPr>
                <w:rFonts w:ascii="宋体" w:hAnsi="宋体" w:cs="宋体"/>
                <w:sz w:val="24"/>
                <w:szCs w:val="24"/>
              </w:rPr>
            </w:pPr>
          </w:p>
        </w:tc>
        <w:tc>
          <w:tcPr>
            <w:tcW w:w="460" w:type="pct"/>
            <w:vAlign w:val="center"/>
          </w:tcPr>
          <w:p>
            <w:pPr>
              <w:adjustRightInd w:val="0"/>
              <w:snapToGrid w:val="0"/>
              <w:spacing w:line="460" w:lineRule="exact"/>
              <w:rPr>
                <w:rFonts w:ascii="宋体" w:hAnsi="宋体" w:cs="宋体"/>
                <w:sz w:val="24"/>
                <w:szCs w:val="24"/>
              </w:rPr>
            </w:pPr>
          </w:p>
        </w:tc>
        <w:tc>
          <w:tcPr>
            <w:tcW w:w="586" w:type="pct"/>
            <w:vAlign w:val="center"/>
          </w:tcPr>
          <w:p>
            <w:pPr>
              <w:adjustRightInd w:val="0"/>
              <w:snapToGrid w:val="0"/>
              <w:spacing w:line="460" w:lineRule="exact"/>
              <w:rPr>
                <w:rFonts w:ascii="宋体" w:hAnsi="宋体" w:cs="宋体"/>
                <w:sz w:val="24"/>
                <w:szCs w:val="24"/>
              </w:rPr>
            </w:pPr>
          </w:p>
        </w:tc>
        <w:tc>
          <w:tcPr>
            <w:tcW w:w="691"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48"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3</w:t>
            </w:r>
          </w:p>
        </w:tc>
        <w:tc>
          <w:tcPr>
            <w:tcW w:w="1083" w:type="pct"/>
            <w:vAlign w:val="center"/>
          </w:tcPr>
          <w:p>
            <w:pPr>
              <w:adjustRightInd w:val="0"/>
              <w:snapToGrid w:val="0"/>
              <w:spacing w:line="460" w:lineRule="exact"/>
              <w:rPr>
                <w:rFonts w:ascii="宋体" w:hAnsi="宋体" w:cs="宋体"/>
                <w:sz w:val="24"/>
                <w:szCs w:val="24"/>
              </w:rPr>
            </w:pPr>
          </w:p>
        </w:tc>
        <w:tc>
          <w:tcPr>
            <w:tcW w:w="922" w:type="pct"/>
            <w:vAlign w:val="center"/>
          </w:tcPr>
          <w:p>
            <w:pPr>
              <w:adjustRightInd w:val="0"/>
              <w:snapToGrid w:val="0"/>
              <w:spacing w:line="460" w:lineRule="exact"/>
              <w:rPr>
                <w:rFonts w:ascii="宋体" w:hAnsi="宋体" w:cs="宋体"/>
                <w:sz w:val="24"/>
                <w:szCs w:val="24"/>
              </w:rPr>
            </w:pPr>
          </w:p>
        </w:tc>
        <w:tc>
          <w:tcPr>
            <w:tcW w:w="806" w:type="pct"/>
            <w:vAlign w:val="center"/>
          </w:tcPr>
          <w:p>
            <w:pPr>
              <w:adjustRightInd w:val="0"/>
              <w:snapToGrid w:val="0"/>
              <w:spacing w:line="460" w:lineRule="exact"/>
              <w:rPr>
                <w:rFonts w:ascii="宋体" w:hAnsi="宋体" w:cs="宋体"/>
                <w:sz w:val="24"/>
                <w:szCs w:val="24"/>
              </w:rPr>
            </w:pPr>
          </w:p>
        </w:tc>
        <w:tc>
          <w:tcPr>
            <w:tcW w:w="460" w:type="pct"/>
            <w:vAlign w:val="center"/>
          </w:tcPr>
          <w:p>
            <w:pPr>
              <w:adjustRightInd w:val="0"/>
              <w:snapToGrid w:val="0"/>
              <w:spacing w:line="460" w:lineRule="exact"/>
              <w:rPr>
                <w:rFonts w:ascii="宋体" w:hAnsi="宋体" w:cs="宋体"/>
                <w:sz w:val="24"/>
                <w:szCs w:val="24"/>
              </w:rPr>
            </w:pPr>
          </w:p>
        </w:tc>
        <w:tc>
          <w:tcPr>
            <w:tcW w:w="586" w:type="pct"/>
            <w:vAlign w:val="center"/>
          </w:tcPr>
          <w:p>
            <w:pPr>
              <w:adjustRightInd w:val="0"/>
              <w:snapToGrid w:val="0"/>
              <w:spacing w:line="460" w:lineRule="exact"/>
              <w:rPr>
                <w:rFonts w:ascii="宋体" w:hAnsi="宋体" w:cs="宋体"/>
                <w:sz w:val="24"/>
                <w:szCs w:val="24"/>
              </w:rPr>
            </w:pPr>
          </w:p>
        </w:tc>
        <w:tc>
          <w:tcPr>
            <w:tcW w:w="691"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48"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w:t>
            </w:r>
          </w:p>
        </w:tc>
        <w:tc>
          <w:tcPr>
            <w:tcW w:w="1083" w:type="pct"/>
            <w:vAlign w:val="center"/>
          </w:tcPr>
          <w:p>
            <w:pPr>
              <w:adjustRightInd w:val="0"/>
              <w:snapToGrid w:val="0"/>
              <w:spacing w:line="460" w:lineRule="exact"/>
              <w:rPr>
                <w:rFonts w:ascii="宋体" w:hAnsi="宋体" w:cs="宋体"/>
                <w:sz w:val="24"/>
                <w:szCs w:val="24"/>
              </w:rPr>
            </w:pPr>
          </w:p>
        </w:tc>
        <w:tc>
          <w:tcPr>
            <w:tcW w:w="922" w:type="pct"/>
            <w:vAlign w:val="center"/>
          </w:tcPr>
          <w:p>
            <w:pPr>
              <w:adjustRightInd w:val="0"/>
              <w:snapToGrid w:val="0"/>
              <w:spacing w:line="460" w:lineRule="exact"/>
              <w:rPr>
                <w:rFonts w:ascii="宋体" w:hAnsi="宋体" w:cs="宋体"/>
                <w:sz w:val="24"/>
                <w:szCs w:val="24"/>
              </w:rPr>
            </w:pPr>
          </w:p>
        </w:tc>
        <w:tc>
          <w:tcPr>
            <w:tcW w:w="806" w:type="pct"/>
            <w:vAlign w:val="center"/>
          </w:tcPr>
          <w:p>
            <w:pPr>
              <w:adjustRightInd w:val="0"/>
              <w:snapToGrid w:val="0"/>
              <w:spacing w:line="460" w:lineRule="exact"/>
              <w:rPr>
                <w:rFonts w:ascii="宋体" w:hAnsi="宋体" w:cs="宋体"/>
                <w:sz w:val="24"/>
                <w:szCs w:val="24"/>
              </w:rPr>
            </w:pPr>
          </w:p>
        </w:tc>
        <w:tc>
          <w:tcPr>
            <w:tcW w:w="460" w:type="pct"/>
            <w:vAlign w:val="center"/>
          </w:tcPr>
          <w:p>
            <w:pPr>
              <w:adjustRightInd w:val="0"/>
              <w:snapToGrid w:val="0"/>
              <w:spacing w:line="460" w:lineRule="exact"/>
              <w:rPr>
                <w:rFonts w:ascii="宋体" w:hAnsi="宋体" w:cs="宋体"/>
                <w:sz w:val="24"/>
                <w:szCs w:val="24"/>
              </w:rPr>
            </w:pPr>
          </w:p>
        </w:tc>
        <w:tc>
          <w:tcPr>
            <w:tcW w:w="586" w:type="pct"/>
            <w:vAlign w:val="center"/>
          </w:tcPr>
          <w:p>
            <w:pPr>
              <w:adjustRightInd w:val="0"/>
              <w:snapToGrid w:val="0"/>
              <w:spacing w:line="460" w:lineRule="exact"/>
              <w:rPr>
                <w:rFonts w:ascii="宋体" w:hAnsi="宋体" w:cs="宋体"/>
                <w:sz w:val="24"/>
                <w:szCs w:val="24"/>
              </w:rPr>
            </w:pPr>
          </w:p>
        </w:tc>
        <w:tc>
          <w:tcPr>
            <w:tcW w:w="691"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000" w:type="pct"/>
            <w:gridSpan w:val="7"/>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以下为质保期满后优惠提供的维保费用报价（供采购人参考）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48" w:type="pct"/>
            <w:vAlign w:val="center"/>
          </w:tcPr>
          <w:p>
            <w:pPr>
              <w:adjustRightInd w:val="0"/>
              <w:snapToGrid w:val="0"/>
              <w:spacing w:line="460" w:lineRule="exact"/>
              <w:rPr>
                <w:rFonts w:ascii="宋体" w:hAnsi="宋体" w:cs="宋体"/>
                <w:sz w:val="24"/>
                <w:szCs w:val="24"/>
              </w:rPr>
            </w:pPr>
          </w:p>
        </w:tc>
        <w:tc>
          <w:tcPr>
            <w:tcW w:w="1083" w:type="pct"/>
            <w:vAlign w:val="center"/>
          </w:tcPr>
          <w:p>
            <w:pPr>
              <w:adjustRightInd w:val="0"/>
              <w:snapToGrid w:val="0"/>
              <w:spacing w:line="460" w:lineRule="exact"/>
              <w:rPr>
                <w:rFonts w:ascii="宋体" w:hAnsi="宋体" w:cs="宋体"/>
                <w:sz w:val="24"/>
                <w:szCs w:val="24"/>
              </w:rPr>
            </w:pPr>
          </w:p>
        </w:tc>
        <w:tc>
          <w:tcPr>
            <w:tcW w:w="922" w:type="pct"/>
            <w:vAlign w:val="center"/>
          </w:tcPr>
          <w:p>
            <w:pPr>
              <w:adjustRightInd w:val="0"/>
              <w:snapToGrid w:val="0"/>
              <w:spacing w:line="460" w:lineRule="exact"/>
              <w:rPr>
                <w:rFonts w:ascii="宋体" w:hAnsi="宋体" w:cs="宋体"/>
                <w:sz w:val="24"/>
                <w:szCs w:val="24"/>
              </w:rPr>
            </w:pPr>
          </w:p>
        </w:tc>
        <w:tc>
          <w:tcPr>
            <w:tcW w:w="806" w:type="pct"/>
            <w:vAlign w:val="center"/>
          </w:tcPr>
          <w:p>
            <w:pPr>
              <w:adjustRightInd w:val="0"/>
              <w:snapToGrid w:val="0"/>
              <w:spacing w:line="460" w:lineRule="exact"/>
              <w:rPr>
                <w:rFonts w:ascii="宋体" w:hAnsi="宋体" w:cs="宋体"/>
                <w:sz w:val="24"/>
                <w:szCs w:val="24"/>
              </w:rPr>
            </w:pPr>
          </w:p>
        </w:tc>
        <w:tc>
          <w:tcPr>
            <w:tcW w:w="460" w:type="pct"/>
            <w:vAlign w:val="center"/>
          </w:tcPr>
          <w:p>
            <w:pPr>
              <w:adjustRightInd w:val="0"/>
              <w:snapToGrid w:val="0"/>
              <w:spacing w:line="460" w:lineRule="exact"/>
              <w:rPr>
                <w:rFonts w:ascii="宋体" w:hAnsi="宋体" w:cs="宋体"/>
                <w:sz w:val="24"/>
                <w:szCs w:val="24"/>
              </w:rPr>
            </w:pPr>
          </w:p>
        </w:tc>
        <w:tc>
          <w:tcPr>
            <w:tcW w:w="586" w:type="pct"/>
            <w:vAlign w:val="center"/>
          </w:tcPr>
          <w:p>
            <w:pPr>
              <w:adjustRightInd w:val="0"/>
              <w:snapToGrid w:val="0"/>
              <w:spacing w:line="460" w:lineRule="exact"/>
              <w:rPr>
                <w:rFonts w:ascii="宋体" w:hAnsi="宋体" w:cs="宋体"/>
                <w:sz w:val="24"/>
                <w:szCs w:val="24"/>
              </w:rPr>
            </w:pPr>
          </w:p>
        </w:tc>
        <w:tc>
          <w:tcPr>
            <w:tcW w:w="691"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48" w:type="pct"/>
            <w:vAlign w:val="center"/>
          </w:tcPr>
          <w:p>
            <w:pPr>
              <w:adjustRightInd w:val="0"/>
              <w:snapToGrid w:val="0"/>
              <w:spacing w:line="460" w:lineRule="exact"/>
              <w:rPr>
                <w:rFonts w:ascii="宋体" w:hAnsi="宋体" w:cs="宋体"/>
                <w:sz w:val="24"/>
                <w:szCs w:val="24"/>
              </w:rPr>
            </w:pPr>
          </w:p>
        </w:tc>
        <w:tc>
          <w:tcPr>
            <w:tcW w:w="1083" w:type="pct"/>
            <w:vAlign w:val="center"/>
          </w:tcPr>
          <w:p>
            <w:pPr>
              <w:adjustRightInd w:val="0"/>
              <w:snapToGrid w:val="0"/>
              <w:spacing w:line="460" w:lineRule="exact"/>
              <w:rPr>
                <w:rFonts w:ascii="宋体" w:hAnsi="宋体" w:cs="宋体"/>
                <w:sz w:val="24"/>
                <w:szCs w:val="24"/>
              </w:rPr>
            </w:pPr>
          </w:p>
        </w:tc>
        <w:tc>
          <w:tcPr>
            <w:tcW w:w="922" w:type="pct"/>
            <w:vAlign w:val="center"/>
          </w:tcPr>
          <w:p>
            <w:pPr>
              <w:adjustRightInd w:val="0"/>
              <w:snapToGrid w:val="0"/>
              <w:spacing w:line="460" w:lineRule="exact"/>
              <w:rPr>
                <w:rFonts w:ascii="宋体" w:hAnsi="宋体" w:cs="宋体"/>
                <w:sz w:val="24"/>
                <w:szCs w:val="24"/>
              </w:rPr>
            </w:pPr>
          </w:p>
        </w:tc>
        <w:tc>
          <w:tcPr>
            <w:tcW w:w="806" w:type="pct"/>
            <w:vAlign w:val="center"/>
          </w:tcPr>
          <w:p>
            <w:pPr>
              <w:adjustRightInd w:val="0"/>
              <w:snapToGrid w:val="0"/>
              <w:spacing w:line="460" w:lineRule="exact"/>
              <w:rPr>
                <w:rFonts w:ascii="宋体" w:hAnsi="宋体" w:cs="宋体"/>
                <w:sz w:val="24"/>
                <w:szCs w:val="24"/>
              </w:rPr>
            </w:pPr>
          </w:p>
        </w:tc>
        <w:tc>
          <w:tcPr>
            <w:tcW w:w="460" w:type="pct"/>
            <w:vAlign w:val="center"/>
          </w:tcPr>
          <w:p>
            <w:pPr>
              <w:adjustRightInd w:val="0"/>
              <w:snapToGrid w:val="0"/>
              <w:spacing w:line="460" w:lineRule="exact"/>
              <w:rPr>
                <w:rFonts w:ascii="宋体" w:hAnsi="宋体" w:cs="宋体"/>
                <w:sz w:val="24"/>
                <w:szCs w:val="24"/>
              </w:rPr>
            </w:pPr>
          </w:p>
        </w:tc>
        <w:tc>
          <w:tcPr>
            <w:tcW w:w="586" w:type="pct"/>
            <w:vAlign w:val="center"/>
          </w:tcPr>
          <w:p>
            <w:pPr>
              <w:adjustRightInd w:val="0"/>
              <w:snapToGrid w:val="0"/>
              <w:spacing w:line="460" w:lineRule="exact"/>
              <w:rPr>
                <w:rFonts w:ascii="宋体" w:hAnsi="宋体" w:cs="宋体"/>
                <w:sz w:val="24"/>
                <w:szCs w:val="24"/>
              </w:rPr>
            </w:pPr>
          </w:p>
        </w:tc>
        <w:tc>
          <w:tcPr>
            <w:tcW w:w="691"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48" w:type="pct"/>
            <w:vAlign w:val="center"/>
          </w:tcPr>
          <w:p>
            <w:pPr>
              <w:adjustRightInd w:val="0"/>
              <w:snapToGrid w:val="0"/>
              <w:spacing w:line="460" w:lineRule="exact"/>
              <w:rPr>
                <w:rFonts w:ascii="宋体" w:hAnsi="宋体" w:cs="宋体"/>
                <w:sz w:val="24"/>
                <w:szCs w:val="24"/>
              </w:rPr>
            </w:pPr>
          </w:p>
        </w:tc>
        <w:tc>
          <w:tcPr>
            <w:tcW w:w="1083" w:type="pct"/>
            <w:vAlign w:val="center"/>
          </w:tcPr>
          <w:p>
            <w:pPr>
              <w:adjustRightInd w:val="0"/>
              <w:snapToGrid w:val="0"/>
              <w:spacing w:line="460" w:lineRule="exact"/>
              <w:rPr>
                <w:rFonts w:ascii="宋体" w:hAnsi="宋体" w:cs="宋体"/>
                <w:sz w:val="24"/>
                <w:szCs w:val="24"/>
              </w:rPr>
            </w:pPr>
          </w:p>
        </w:tc>
        <w:tc>
          <w:tcPr>
            <w:tcW w:w="922" w:type="pct"/>
            <w:vAlign w:val="center"/>
          </w:tcPr>
          <w:p>
            <w:pPr>
              <w:adjustRightInd w:val="0"/>
              <w:snapToGrid w:val="0"/>
              <w:spacing w:line="460" w:lineRule="exact"/>
              <w:rPr>
                <w:rFonts w:ascii="宋体" w:hAnsi="宋体" w:cs="宋体"/>
                <w:sz w:val="24"/>
                <w:szCs w:val="24"/>
              </w:rPr>
            </w:pPr>
          </w:p>
        </w:tc>
        <w:tc>
          <w:tcPr>
            <w:tcW w:w="806" w:type="pct"/>
            <w:vAlign w:val="center"/>
          </w:tcPr>
          <w:p>
            <w:pPr>
              <w:adjustRightInd w:val="0"/>
              <w:snapToGrid w:val="0"/>
              <w:spacing w:line="460" w:lineRule="exact"/>
              <w:rPr>
                <w:rFonts w:ascii="宋体" w:hAnsi="宋体" w:cs="宋体"/>
                <w:sz w:val="24"/>
                <w:szCs w:val="24"/>
              </w:rPr>
            </w:pPr>
          </w:p>
        </w:tc>
        <w:tc>
          <w:tcPr>
            <w:tcW w:w="460" w:type="pct"/>
            <w:vAlign w:val="center"/>
          </w:tcPr>
          <w:p>
            <w:pPr>
              <w:adjustRightInd w:val="0"/>
              <w:snapToGrid w:val="0"/>
              <w:spacing w:line="460" w:lineRule="exact"/>
              <w:rPr>
                <w:rFonts w:ascii="宋体" w:hAnsi="宋体" w:cs="宋体"/>
                <w:sz w:val="24"/>
                <w:szCs w:val="24"/>
              </w:rPr>
            </w:pPr>
          </w:p>
        </w:tc>
        <w:tc>
          <w:tcPr>
            <w:tcW w:w="586" w:type="pct"/>
            <w:vAlign w:val="center"/>
          </w:tcPr>
          <w:p>
            <w:pPr>
              <w:adjustRightInd w:val="0"/>
              <w:snapToGrid w:val="0"/>
              <w:spacing w:line="460" w:lineRule="exact"/>
              <w:rPr>
                <w:rFonts w:ascii="宋体" w:hAnsi="宋体" w:cs="宋体"/>
                <w:sz w:val="24"/>
                <w:szCs w:val="24"/>
              </w:rPr>
            </w:pPr>
          </w:p>
        </w:tc>
        <w:tc>
          <w:tcPr>
            <w:tcW w:w="691" w:type="pct"/>
            <w:vAlign w:val="center"/>
          </w:tcPr>
          <w:p>
            <w:pPr>
              <w:adjustRightInd w:val="0"/>
              <w:snapToGrid w:val="0"/>
              <w:spacing w:line="4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48" w:type="pct"/>
            <w:vAlign w:val="center"/>
          </w:tcPr>
          <w:p>
            <w:pPr>
              <w:adjustRightInd w:val="0"/>
              <w:snapToGrid w:val="0"/>
              <w:spacing w:line="460" w:lineRule="exact"/>
              <w:rPr>
                <w:rFonts w:ascii="宋体" w:hAnsi="宋体" w:cs="宋体"/>
                <w:sz w:val="24"/>
                <w:szCs w:val="24"/>
              </w:rPr>
            </w:pPr>
          </w:p>
        </w:tc>
        <w:tc>
          <w:tcPr>
            <w:tcW w:w="1083" w:type="pct"/>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合    计</w:t>
            </w:r>
          </w:p>
        </w:tc>
        <w:tc>
          <w:tcPr>
            <w:tcW w:w="922" w:type="pct"/>
            <w:vAlign w:val="center"/>
          </w:tcPr>
          <w:p>
            <w:pPr>
              <w:adjustRightInd w:val="0"/>
              <w:snapToGrid w:val="0"/>
              <w:spacing w:line="460" w:lineRule="exact"/>
              <w:rPr>
                <w:rFonts w:ascii="宋体" w:hAnsi="宋体" w:cs="宋体"/>
                <w:sz w:val="24"/>
                <w:szCs w:val="24"/>
              </w:rPr>
            </w:pPr>
          </w:p>
        </w:tc>
        <w:tc>
          <w:tcPr>
            <w:tcW w:w="806" w:type="pct"/>
            <w:vAlign w:val="center"/>
          </w:tcPr>
          <w:p>
            <w:pPr>
              <w:adjustRightInd w:val="0"/>
              <w:snapToGrid w:val="0"/>
              <w:spacing w:line="460" w:lineRule="exact"/>
              <w:rPr>
                <w:rFonts w:ascii="宋体" w:hAnsi="宋体" w:cs="宋体"/>
                <w:sz w:val="24"/>
                <w:szCs w:val="24"/>
              </w:rPr>
            </w:pPr>
          </w:p>
        </w:tc>
        <w:tc>
          <w:tcPr>
            <w:tcW w:w="460" w:type="pct"/>
            <w:vAlign w:val="center"/>
          </w:tcPr>
          <w:p>
            <w:pPr>
              <w:adjustRightInd w:val="0"/>
              <w:snapToGrid w:val="0"/>
              <w:spacing w:line="460" w:lineRule="exact"/>
              <w:rPr>
                <w:rFonts w:ascii="宋体" w:hAnsi="宋体" w:cs="宋体"/>
                <w:sz w:val="24"/>
                <w:szCs w:val="24"/>
              </w:rPr>
            </w:pPr>
          </w:p>
        </w:tc>
        <w:tc>
          <w:tcPr>
            <w:tcW w:w="586" w:type="pct"/>
            <w:vAlign w:val="center"/>
          </w:tcPr>
          <w:p>
            <w:pPr>
              <w:adjustRightInd w:val="0"/>
              <w:snapToGrid w:val="0"/>
              <w:spacing w:line="460" w:lineRule="exact"/>
              <w:rPr>
                <w:rFonts w:ascii="宋体" w:hAnsi="宋体" w:cs="宋体"/>
                <w:sz w:val="24"/>
                <w:szCs w:val="24"/>
              </w:rPr>
            </w:pPr>
          </w:p>
        </w:tc>
        <w:tc>
          <w:tcPr>
            <w:tcW w:w="691" w:type="pct"/>
            <w:vAlign w:val="center"/>
          </w:tcPr>
          <w:p>
            <w:pPr>
              <w:adjustRightInd w:val="0"/>
              <w:snapToGrid w:val="0"/>
              <w:spacing w:line="460" w:lineRule="exact"/>
              <w:rPr>
                <w:rFonts w:ascii="宋体" w:hAnsi="宋体" w:cs="宋体"/>
                <w:sz w:val="24"/>
                <w:szCs w:val="24"/>
              </w:rPr>
            </w:pPr>
          </w:p>
        </w:tc>
      </w:tr>
    </w:tbl>
    <w:p>
      <w:pPr>
        <w:adjustRightInd w:val="0"/>
        <w:snapToGrid w:val="0"/>
        <w:spacing w:line="460" w:lineRule="exact"/>
        <w:rPr>
          <w:rFonts w:ascii="宋体" w:hAnsi="宋体" w:cs="宋体"/>
          <w:sz w:val="24"/>
          <w:szCs w:val="24"/>
        </w:rPr>
      </w:pPr>
      <w:r>
        <w:rPr>
          <w:rFonts w:hint="eastAsia" w:ascii="宋体" w:hAnsi="宋体" w:cs="宋体"/>
          <w:sz w:val="24"/>
          <w:szCs w:val="24"/>
        </w:rPr>
        <w:t xml:space="preserve">投标单位：   （全称）（盖章）   </w:t>
      </w:r>
    </w:p>
    <w:p>
      <w:pPr>
        <w:adjustRightInd w:val="0"/>
        <w:snapToGrid w:val="0"/>
        <w:spacing w:line="460" w:lineRule="exact"/>
        <w:rPr>
          <w:rFonts w:ascii="宋体" w:hAnsi="宋体" w:cs="宋体"/>
          <w:sz w:val="24"/>
          <w:szCs w:val="24"/>
        </w:rPr>
      </w:pPr>
      <w:r>
        <w:rPr>
          <w:rFonts w:hint="eastAsia" w:ascii="宋体" w:hAnsi="宋体" w:cs="宋体"/>
          <w:sz w:val="24"/>
          <w:szCs w:val="24"/>
        </w:rPr>
        <w:t>法定代表人或委托代理人：（签字或盖章）</w:t>
      </w:r>
    </w:p>
    <w:p>
      <w:pPr>
        <w:adjustRightInd w:val="0"/>
        <w:snapToGrid w:val="0"/>
        <w:spacing w:line="460" w:lineRule="exact"/>
        <w:rPr>
          <w:rFonts w:ascii="宋体" w:hAnsi="宋体" w:cs="宋体"/>
          <w:sz w:val="24"/>
          <w:szCs w:val="24"/>
        </w:rPr>
      </w:pPr>
      <w:r>
        <w:rPr>
          <w:rFonts w:hint="eastAsia" w:ascii="宋体" w:hAnsi="宋体" w:cs="宋体"/>
          <w:sz w:val="24"/>
          <w:szCs w:val="24"/>
        </w:rPr>
        <w:t>日 期：20　　年　月  日</w:t>
      </w:r>
    </w:p>
    <w:p>
      <w:pPr>
        <w:adjustRightInd w:val="0"/>
        <w:snapToGrid w:val="0"/>
        <w:spacing w:line="460" w:lineRule="exact"/>
        <w:rPr>
          <w:rFonts w:ascii="宋体" w:hAnsi="宋体" w:cs="宋体"/>
          <w:sz w:val="24"/>
          <w:szCs w:val="24"/>
        </w:rPr>
      </w:pPr>
      <w:r>
        <w:rPr>
          <w:rFonts w:hint="eastAsia" w:ascii="宋体" w:hAnsi="宋体" w:cs="宋体"/>
          <w:sz w:val="24"/>
          <w:szCs w:val="24"/>
        </w:rPr>
        <w:t>注：1、此表需详列各类投标产品在质保期内，供应商自愿免费提供的常用配件清单及耗材报价单，质保期内免费提供的备品备件应已包含在报价内，采购人不再另行支付费用。</w:t>
      </w:r>
    </w:p>
    <w:p>
      <w:pPr>
        <w:adjustRightInd w:val="0"/>
        <w:snapToGrid w:val="0"/>
        <w:spacing w:line="460" w:lineRule="exact"/>
        <w:rPr>
          <w:rFonts w:ascii="宋体" w:hAnsi="宋体" w:cs="宋体"/>
          <w:sz w:val="24"/>
          <w:szCs w:val="24"/>
        </w:rPr>
      </w:pPr>
      <w:r>
        <w:rPr>
          <w:rFonts w:hint="eastAsia" w:ascii="宋体" w:hAnsi="宋体" w:cs="宋体"/>
          <w:sz w:val="24"/>
          <w:szCs w:val="24"/>
        </w:rPr>
        <w:t>2、质保期满后优惠提供的备品备件产品，仅作为维保期间的材料采购价格参考，不含在报价内。供货价格须真实，采购人或评委将依此评价投标设备投入运行后的运行成本。</w:t>
      </w:r>
    </w:p>
    <w:p>
      <w:pPr>
        <w:adjustRightInd w:val="0"/>
        <w:snapToGrid w:val="0"/>
        <w:spacing w:line="460" w:lineRule="exact"/>
        <w:rPr>
          <w:rFonts w:ascii="宋体" w:hAnsi="宋体" w:cs="宋体"/>
          <w:sz w:val="24"/>
          <w:szCs w:val="24"/>
        </w:rPr>
      </w:pPr>
      <w:r>
        <w:rPr>
          <w:rFonts w:hint="eastAsia" w:ascii="宋体" w:hAnsi="宋体" w:cs="宋体"/>
          <w:sz w:val="24"/>
          <w:szCs w:val="24"/>
        </w:rPr>
        <w:t>3、请详细列明常用配件清单及耗材（备品、备件）可能给予供应的优惠条件或程度。</w:t>
      </w:r>
    </w:p>
    <w:p>
      <w:pPr>
        <w:pStyle w:val="4"/>
      </w:pPr>
      <w:bookmarkStart w:id="159" w:name="_Toc21049"/>
      <w:bookmarkStart w:id="160" w:name="_Toc6650"/>
      <w:r>
        <w:rPr>
          <w:rFonts w:hint="eastAsia"/>
        </w:rPr>
        <w:t>中小企业声明函（货物）</w:t>
      </w:r>
      <w:bookmarkEnd w:id="159"/>
      <w:bookmarkEnd w:id="160"/>
    </w:p>
    <w:p>
      <w:pPr>
        <w:adjustRightInd w:val="0"/>
        <w:snapToGrid w:val="0"/>
        <w:spacing w:line="460" w:lineRule="exact"/>
        <w:rPr>
          <w:rFonts w:ascii="宋体" w:hAnsi="宋体" w:cs="宋体"/>
          <w:sz w:val="24"/>
          <w:szCs w:val="24"/>
        </w:rPr>
      </w:pPr>
      <w:r>
        <w:rPr>
          <w:rFonts w:hint="eastAsia" w:ascii="宋体" w:hAnsi="宋体" w:cs="宋体"/>
          <w:sz w:val="24"/>
          <w:szCs w:val="24"/>
        </w:rPr>
        <w:t>本公司（联合体） 郑重声明， 根据《政府采购促进中小企业发展管理办法》（财库﹝ 2020﹞ 46 号） 的规定， 本公司（联合体） 参加（单位名称） 的（项目名称） 采购活动，服务全部由符合政策要求的中小企业承接。相关企业（含联合体中的中小企业、 签订分包意向协议的中小企业）的具体情况如下：</w:t>
      </w:r>
    </w:p>
    <w:p>
      <w:pPr>
        <w:adjustRightInd w:val="0"/>
        <w:snapToGrid w:val="0"/>
        <w:spacing w:line="460" w:lineRule="exact"/>
        <w:rPr>
          <w:rFonts w:ascii="宋体" w:hAnsi="宋体" w:cs="宋体"/>
          <w:sz w:val="24"/>
          <w:szCs w:val="24"/>
        </w:rPr>
      </w:pPr>
      <w:r>
        <w:rPr>
          <w:rFonts w:hint="eastAsia" w:ascii="宋体" w:hAnsi="宋体" w:cs="宋体"/>
          <w:sz w:val="24"/>
          <w:szCs w:val="24"/>
        </w:rPr>
        <w:t>1. （标的名称） ， 属于（采购文件中明确的所属行业）行业； 制造商为（ 企业名称）， 从业人员      人， 营业收入为     万元， 资产总额为      万元1， 属于（中型企业、 小型企业、 微型企业）；</w:t>
      </w:r>
    </w:p>
    <w:p>
      <w:pPr>
        <w:adjustRightInd w:val="0"/>
        <w:snapToGrid w:val="0"/>
        <w:spacing w:line="460" w:lineRule="exact"/>
        <w:rPr>
          <w:rFonts w:ascii="宋体" w:hAnsi="宋体" w:cs="宋体"/>
          <w:sz w:val="24"/>
          <w:szCs w:val="24"/>
        </w:rPr>
      </w:pPr>
      <w:r>
        <w:rPr>
          <w:rFonts w:hint="eastAsia" w:ascii="宋体" w:hAnsi="宋体" w:cs="宋体"/>
          <w:sz w:val="24"/>
          <w:szCs w:val="24"/>
        </w:rPr>
        <w:t>2. （标的名称） ， 属于（采购文件中明确的所属行业）行业； 制造商为（ 企业名称）， 从业人员      人， 营业收为      万元， 资产总额为   万元， 属于（中型企业、 小型企业、 微型企业）；</w:t>
      </w:r>
    </w:p>
    <w:p>
      <w:pPr>
        <w:adjustRightInd w:val="0"/>
        <w:snapToGrid w:val="0"/>
        <w:spacing w:line="460" w:lineRule="exact"/>
        <w:rPr>
          <w:rFonts w:ascii="宋体" w:hAnsi="宋体" w:cs="宋体"/>
          <w:sz w:val="24"/>
          <w:szCs w:val="24"/>
        </w:rPr>
      </w:pPr>
      <w:r>
        <w:rPr>
          <w:rFonts w:hint="eastAsia" w:ascii="宋体" w:hAnsi="宋体" w:cs="宋体"/>
          <w:sz w:val="24"/>
          <w:szCs w:val="24"/>
        </w:rPr>
        <w:t>……</w:t>
      </w:r>
    </w:p>
    <w:p>
      <w:pPr>
        <w:adjustRightInd w:val="0"/>
        <w:snapToGrid w:val="0"/>
        <w:spacing w:line="460" w:lineRule="exact"/>
        <w:rPr>
          <w:rFonts w:ascii="宋体" w:hAnsi="宋体" w:cs="宋体"/>
          <w:sz w:val="24"/>
          <w:szCs w:val="24"/>
        </w:rPr>
      </w:pPr>
      <w:r>
        <w:rPr>
          <w:rFonts w:hint="eastAsia" w:ascii="宋体" w:hAnsi="宋体" w:cs="宋体"/>
          <w:sz w:val="24"/>
          <w:szCs w:val="24"/>
        </w:rPr>
        <w:t>以上企业， 不属于大企业的分支机构， 不存在控股股东为大企业的情形， 也不存在与大企业的负责人为同一人的情形。</w:t>
      </w:r>
    </w:p>
    <w:p>
      <w:pPr>
        <w:adjustRightInd w:val="0"/>
        <w:snapToGrid w:val="0"/>
        <w:spacing w:line="460" w:lineRule="exact"/>
        <w:rPr>
          <w:rFonts w:ascii="宋体" w:hAnsi="宋体" w:cs="宋体"/>
          <w:sz w:val="24"/>
          <w:szCs w:val="24"/>
        </w:rPr>
      </w:pPr>
      <w:r>
        <w:rPr>
          <w:rFonts w:hint="eastAsia" w:ascii="宋体" w:hAnsi="宋体" w:cs="宋体"/>
          <w:sz w:val="24"/>
          <w:szCs w:val="24"/>
        </w:rPr>
        <w:t>本企业对上述声明内容的真实性负责。 如有虚假， 将依法承担相应责任。</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企业名称（盖章）：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日 期：</w:t>
      </w:r>
    </w:p>
    <w:p>
      <w:pPr>
        <w:adjustRightInd w:val="0"/>
        <w:snapToGrid w:val="0"/>
        <w:spacing w:line="460" w:lineRule="exact"/>
        <w:rPr>
          <w:rFonts w:ascii="宋体" w:hAnsi="宋体" w:cs="宋体"/>
          <w:sz w:val="24"/>
          <w:szCs w:val="24"/>
        </w:rPr>
      </w:pPr>
      <w:r>
        <w:rPr>
          <w:rFonts w:hint="eastAsia" w:ascii="宋体" w:hAnsi="宋体" w:cs="宋体"/>
          <w:sz w:val="24"/>
          <w:szCs w:val="24"/>
        </w:rPr>
        <w:t>1从业人员、 营业收入、 资产总额填报上一年度数据， 无上一年度数据的新成立企业可不填报。</w:t>
      </w:r>
    </w:p>
    <w:p>
      <w:pPr>
        <w:adjustRightInd w:val="0"/>
        <w:snapToGrid w:val="0"/>
        <w:spacing w:line="460" w:lineRule="exact"/>
        <w:rPr>
          <w:rFonts w:ascii="宋体" w:hAnsi="宋体" w:cs="宋体"/>
          <w:sz w:val="24"/>
          <w:szCs w:val="24"/>
        </w:rPr>
      </w:pPr>
      <w:r>
        <w:rPr>
          <w:rFonts w:hint="eastAsia" w:ascii="宋体" w:hAnsi="宋体" w:cs="宋体"/>
          <w:sz w:val="24"/>
          <w:szCs w:val="24"/>
        </w:rPr>
        <w:t>（若响应文件中无上述企业类型声明函，则在评审时不考虑对该小、微企业的相关优惠。）</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pStyle w:val="4"/>
      </w:pPr>
      <w:bookmarkStart w:id="161" w:name="_Toc5903"/>
      <w:bookmarkStart w:id="162" w:name="_Toc7788"/>
      <w:bookmarkStart w:id="163" w:name="_Toc24009"/>
      <w:r>
        <w:rPr>
          <w:rFonts w:hint="eastAsia"/>
        </w:rPr>
        <w:t>监狱企业证明文件（如有）</w:t>
      </w:r>
      <w:bookmarkEnd w:id="161"/>
      <w:bookmarkEnd w:id="162"/>
      <w:bookmarkEnd w:id="163"/>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1. 监狱企业证明（如属于监狱企业，需提供由省级以上监狱管理局、戒毒管理局（含新疆生产建设兵团）出具的属于监狱企业的证明文件）；</w:t>
      </w:r>
    </w:p>
    <w:p>
      <w:pPr>
        <w:adjustRightInd w:val="0"/>
        <w:snapToGrid w:val="0"/>
        <w:spacing w:line="460" w:lineRule="exact"/>
        <w:rPr>
          <w:rFonts w:ascii="宋体" w:hAnsi="宋体" w:cs="宋体"/>
          <w:sz w:val="24"/>
          <w:szCs w:val="24"/>
        </w:rPr>
      </w:pPr>
      <w:r>
        <w:rPr>
          <w:rFonts w:hint="eastAsia" w:ascii="宋体" w:hAnsi="宋体" w:cs="宋体"/>
          <w:sz w:val="24"/>
          <w:szCs w:val="24"/>
        </w:rPr>
        <w:t>2.证明材料加盖投标人公章。</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tabs>
          <w:tab w:val="left" w:pos="3600"/>
        </w:tabs>
        <w:adjustRightInd w:val="0"/>
        <w:snapToGrid w:val="0"/>
        <w:spacing w:line="440" w:lineRule="exact"/>
        <w:jc w:val="center"/>
        <w:outlineLvl w:val="0"/>
        <w:rPr>
          <w:rFonts w:ascii="宋体" w:hAnsi="宋体" w:cs="宋体"/>
          <w:b/>
          <w:bCs/>
          <w:spacing w:val="6"/>
          <w:sz w:val="32"/>
          <w:szCs w:val="32"/>
        </w:rPr>
      </w:pPr>
      <w:r>
        <w:rPr>
          <w:rFonts w:hint="eastAsia" w:ascii="宋体" w:hAnsi="宋体" w:cs="宋体"/>
          <w:b/>
          <w:bCs/>
          <w:spacing w:val="6"/>
          <w:sz w:val="32"/>
          <w:szCs w:val="32"/>
        </w:rPr>
        <w:t>残疾人福利性单位声明函（如有）</w:t>
      </w:r>
    </w:p>
    <w:p>
      <w:pPr>
        <w:autoSpaceDE w:val="0"/>
        <w:autoSpaceDN w:val="0"/>
        <w:adjustRightInd w:val="0"/>
        <w:spacing w:line="440" w:lineRule="exact"/>
        <w:rPr>
          <w:rFonts w:ascii="宋体" w:hAnsi="宋体" w:cs="宋体"/>
          <w:b/>
          <w:bCs/>
          <w:spacing w:val="6"/>
        </w:rPr>
      </w:pPr>
    </w:p>
    <w:p>
      <w:pPr>
        <w:adjustRightInd w:val="0"/>
        <w:snapToGrid w:val="0"/>
        <w:spacing w:line="440"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440" w:lineRule="exact"/>
        <w:ind w:firstLine="504" w:firstLineChars="200"/>
        <w:rPr>
          <w:rFonts w:ascii="宋体" w:hAnsi="宋体" w:cs="宋体"/>
          <w:spacing w:val="6"/>
          <w:sz w:val="24"/>
          <w:szCs w:val="24"/>
        </w:rPr>
      </w:pPr>
      <w:r>
        <w:rPr>
          <w:rFonts w:hint="eastAsia" w:ascii="宋体" w:hAnsi="宋体" w:cs="宋体"/>
          <w:spacing w:val="6"/>
          <w:sz w:val="24"/>
          <w:szCs w:val="24"/>
        </w:rPr>
        <w:t xml:space="preserve">本单位对上述声明的真实性负责。如有虚假，将依法承担相应责任。 </w:t>
      </w:r>
    </w:p>
    <w:p>
      <w:pPr>
        <w:adjustRightInd w:val="0"/>
        <w:snapToGrid w:val="0"/>
        <w:spacing w:line="440" w:lineRule="exact"/>
        <w:ind w:firstLine="5544" w:firstLineChars="2200"/>
        <w:rPr>
          <w:rFonts w:ascii="宋体" w:hAnsi="宋体" w:cs="宋体"/>
          <w:spacing w:val="6"/>
          <w:sz w:val="24"/>
          <w:szCs w:val="24"/>
        </w:rPr>
      </w:pPr>
      <w:r>
        <w:rPr>
          <w:rFonts w:hint="eastAsia" w:ascii="宋体" w:hAnsi="宋体" w:cs="宋体"/>
          <w:spacing w:val="6"/>
          <w:sz w:val="24"/>
          <w:szCs w:val="24"/>
        </w:rPr>
        <w:t>单位名称（盖章）：</w:t>
      </w:r>
    </w:p>
    <w:p>
      <w:pPr>
        <w:adjustRightInd w:val="0"/>
        <w:snapToGrid w:val="0"/>
        <w:spacing w:line="440" w:lineRule="exact"/>
        <w:ind w:firstLine="504" w:firstLineChars="200"/>
        <w:rPr>
          <w:rFonts w:ascii="宋体" w:hAnsi="宋体" w:cs="宋体"/>
          <w:spacing w:val="6"/>
          <w:sz w:val="24"/>
          <w:szCs w:val="24"/>
        </w:rPr>
      </w:pPr>
      <w:r>
        <w:rPr>
          <w:rFonts w:hint="eastAsia" w:ascii="宋体" w:hAnsi="宋体" w:cs="宋体"/>
          <w:spacing w:val="6"/>
          <w:sz w:val="24"/>
          <w:szCs w:val="24"/>
        </w:rPr>
        <w:t xml:space="preserve">                                      日  期：</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br w:type="page"/>
      </w:r>
    </w:p>
    <w:p>
      <w:pPr>
        <w:jc w:val="center"/>
        <w:outlineLvl w:val="2"/>
        <w:rPr>
          <w:rFonts w:asciiTheme="minorEastAsia" w:hAnsiTheme="minorEastAsia" w:eastAsiaTheme="minorEastAsia" w:cstheme="minorEastAsia"/>
          <w:color w:val="000000"/>
          <w:kern w:val="0"/>
          <w:sz w:val="32"/>
          <w:szCs w:val="32"/>
          <w:shd w:val="clear" w:color="auto" w:fill="FFFFFF"/>
          <w:lang w:bidi="ar"/>
        </w:rPr>
      </w:pPr>
      <w:bookmarkStart w:id="164" w:name="_Toc20253"/>
      <w:r>
        <w:rPr>
          <w:rFonts w:hint="eastAsia" w:asciiTheme="minorEastAsia" w:hAnsiTheme="minorEastAsia" w:eastAsiaTheme="minorEastAsia" w:cstheme="minorEastAsia"/>
          <w:b/>
          <w:bCs/>
          <w:color w:val="000000"/>
          <w:kern w:val="0"/>
          <w:sz w:val="32"/>
          <w:szCs w:val="32"/>
          <w:shd w:val="clear" w:color="auto" w:fill="FFFFFF"/>
          <w:lang w:bidi="ar"/>
        </w:rPr>
        <w:t>节能环保产品声明</w:t>
      </w:r>
      <w:bookmarkEnd w:id="164"/>
    </w:p>
    <w:p>
      <w:pPr>
        <w:rPr>
          <w:rFonts w:asciiTheme="minorEastAsia" w:hAnsiTheme="minorEastAsia" w:eastAsiaTheme="minorEastAsia" w:cstheme="minorEastAsia"/>
          <w:color w:val="000000"/>
          <w:kern w:val="0"/>
          <w:sz w:val="24"/>
          <w:szCs w:val="24"/>
          <w:shd w:val="clear" w:color="auto" w:fill="FFFFFF"/>
          <w:lang w:bidi="ar"/>
        </w:rPr>
      </w:pPr>
      <w:r>
        <w:rPr>
          <w:rFonts w:hint="eastAsia" w:asciiTheme="minorEastAsia" w:hAnsiTheme="minorEastAsia" w:eastAsiaTheme="minorEastAsia" w:cstheme="minorEastAsia"/>
          <w:color w:val="000000"/>
          <w:kern w:val="0"/>
          <w:sz w:val="24"/>
          <w:szCs w:val="24"/>
          <w:shd w:val="clear" w:color="auto" w:fill="FFFFFF"/>
          <w:lang w:bidi="ar"/>
        </w:rPr>
        <w:t> </w:t>
      </w:r>
    </w:p>
    <w:p>
      <w:pPr>
        <w:rPr>
          <w:rFonts w:asciiTheme="minorEastAsia" w:hAnsiTheme="minorEastAsia" w:eastAsiaTheme="minorEastAsia" w:cstheme="minorEastAsia"/>
          <w:color w:val="000000"/>
          <w:kern w:val="0"/>
          <w:sz w:val="28"/>
          <w:szCs w:val="28"/>
          <w:shd w:val="clear" w:color="auto" w:fill="FFFFFF"/>
          <w:lang w:bidi="ar"/>
        </w:rPr>
      </w:pPr>
      <w:r>
        <w:rPr>
          <w:rFonts w:hint="eastAsia" w:asciiTheme="minorEastAsia" w:hAnsiTheme="minorEastAsia" w:eastAsiaTheme="minorEastAsia" w:cstheme="minorEastAsia"/>
          <w:color w:val="000000"/>
          <w:kern w:val="0"/>
          <w:sz w:val="28"/>
          <w:szCs w:val="28"/>
          <w:shd w:val="clear" w:color="auto" w:fill="FFFFFF"/>
          <w:lang w:bidi="ar"/>
        </w:rPr>
        <w:t>致：</w:t>
      </w:r>
      <w:r>
        <w:rPr>
          <w:rFonts w:hint="eastAsia" w:asciiTheme="minorEastAsia" w:hAnsiTheme="minorEastAsia" w:eastAsiaTheme="minorEastAsia" w:cstheme="minorEastAsia"/>
          <w:color w:val="000000"/>
          <w:kern w:val="0"/>
          <w:sz w:val="28"/>
          <w:szCs w:val="28"/>
          <w:u w:val="single"/>
          <w:shd w:val="clear" w:color="auto" w:fill="FFFFFF"/>
          <w:lang w:bidi="ar"/>
        </w:rPr>
        <w:t>  （采购人全称）     </w:t>
      </w:r>
      <w:r>
        <w:rPr>
          <w:rFonts w:hint="eastAsia" w:asciiTheme="minorEastAsia" w:hAnsiTheme="minorEastAsia" w:eastAsiaTheme="minorEastAsia" w:cstheme="minorEastAsia"/>
          <w:color w:val="000000"/>
          <w:kern w:val="0"/>
          <w:sz w:val="28"/>
          <w:szCs w:val="28"/>
          <w:shd w:val="clear" w:color="auto" w:fill="FFFFFF"/>
          <w:lang w:bidi="ar"/>
        </w:rPr>
        <w:t>：</w:t>
      </w:r>
    </w:p>
    <w:p>
      <w:pPr>
        <w:ind w:firstLine="560" w:firstLineChars="200"/>
        <w:rPr>
          <w:rFonts w:asciiTheme="minorEastAsia" w:hAnsiTheme="minorEastAsia" w:eastAsiaTheme="minorEastAsia" w:cstheme="minorEastAsia"/>
          <w:color w:val="000000"/>
          <w:kern w:val="0"/>
          <w:sz w:val="28"/>
          <w:szCs w:val="28"/>
          <w:shd w:val="clear" w:color="auto" w:fill="FFFFFF"/>
          <w:lang w:bidi="ar"/>
        </w:rPr>
      </w:pPr>
      <w:r>
        <w:rPr>
          <w:rFonts w:hint="eastAsia" w:asciiTheme="minorEastAsia" w:hAnsiTheme="minorEastAsia" w:eastAsiaTheme="minorEastAsia" w:cstheme="minorEastAsia"/>
          <w:color w:val="000000"/>
          <w:kern w:val="0"/>
          <w:sz w:val="28"/>
          <w:szCs w:val="28"/>
          <w:shd w:val="clear" w:color="auto" w:fill="FFFFFF"/>
          <w:lang w:bidi="ar"/>
        </w:rPr>
        <w:t>本公司郑重声明，本次投标中本公司所投产品为财政部、国家发展改革委关期节能产品政府采购清单产品，制造商为</w:t>
      </w:r>
      <w:r>
        <w:rPr>
          <w:rFonts w:hint="eastAsia" w:asciiTheme="minorEastAsia" w:hAnsiTheme="minorEastAsia" w:eastAsiaTheme="minorEastAsia" w:cstheme="minorEastAsia"/>
          <w:color w:val="000000"/>
          <w:kern w:val="0"/>
          <w:sz w:val="28"/>
          <w:szCs w:val="28"/>
          <w:u w:val="single"/>
          <w:shd w:val="clear" w:color="auto" w:fill="FFFFFF"/>
          <w:lang w:bidi="ar"/>
        </w:rPr>
        <w:t>        </w:t>
      </w:r>
      <w:r>
        <w:rPr>
          <w:rFonts w:hint="eastAsia" w:asciiTheme="minorEastAsia" w:hAnsiTheme="minorEastAsia" w:eastAsiaTheme="minorEastAsia" w:cstheme="minorEastAsia"/>
          <w:color w:val="000000"/>
          <w:kern w:val="0"/>
          <w:sz w:val="28"/>
          <w:szCs w:val="28"/>
          <w:shd w:val="clear" w:color="auto" w:fill="FFFFFF"/>
          <w:lang w:bidi="ar"/>
        </w:rPr>
        <w:t>，品牌为</w:t>
      </w:r>
      <w:r>
        <w:rPr>
          <w:rFonts w:hint="eastAsia" w:asciiTheme="minorEastAsia" w:hAnsiTheme="minorEastAsia" w:eastAsiaTheme="minorEastAsia" w:cstheme="minorEastAsia"/>
          <w:color w:val="000000"/>
          <w:kern w:val="0"/>
          <w:sz w:val="28"/>
          <w:szCs w:val="28"/>
          <w:u w:val="single"/>
          <w:shd w:val="clear" w:color="auto" w:fill="FFFFFF"/>
          <w:lang w:bidi="ar"/>
        </w:rPr>
        <w:t>         </w:t>
      </w:r>
      <w:r>
        <w:rPr>
          <w:rFonts w:hint="eastAsia" w:asciiTheme="minorEastAsia" w:hAnsiTheme="minorEastAsia" w:eastAsiaTheme="minorEastAsia" w:cstheme="minorEastAsia"/>
          <w:color w:val="000000"/>
          <w:kern w:val="0"/>
          <w:sz w:val="28"/>
          <w:szCs w:val="28"/>
          <w:shd w:val="clear" w:color="auto" w:fill="FFFFFF"/>
          <w:lang w:bidi="ar"/>
        </w:rPr>
        <w:t>，产品型号为：</w:t>
      </w:r>
      <w:r>
        <w:rPr>
          <w:rFonts w:hint="eastAsia" w:asciiTheme="minorEastAsia" w:hAnsiTheme="minorEastAsia" w:eastAsiaTheme="minorEastAsia" w:cstheme="minorEastAsia"/>
          <w:color w:val="000000"/>
          <w:kern w:val="0"/>
          <w:sz w:val="28"/>
          <w:szCs w:val="28"/>
          <w:u w:val="single"/>
          <w:shd w:val="clear" w:color="auto" w:fill="FFFFFF"/>
          <w:lang w:bidi="ar"/>
        </w:rPr>
        <w:t>         </w:t>
      </w:r>
      <w:r>
        <w:rPr>
          <w:rFonts w:hint="eastAsia" w:asciiTheme="minorEastAsia" w:hAnsiTheme="minorEastAsia" w:eastAsiaTheme="minorEastAsia" w:cstheme="minorEastAsia"/>
          <w:color w:val="000000"/>
          <w:kern w:val="0"/>
          <w:sz w:val="28"/>
          <w:szCs w:val="28"/>
          <w:shd w:val="clear" w:color="auto" w:fill="FFFFFF"/>
          <w:lang w:bidi="ar"/>
        </w:rPr>
        <w:t>，         ，节字标志认证证书号为</w:t>
      </w:r>
      <w:r>
        <w:rPr>
          <w:rFonts w:hint="eastAsia" w:asciiTheme="minorEastAsia" w:hAnsiTheme="minorEastAsia" w:eastAsiaTheme="minorEastAsia" w:cstheme="minorEastAsia"/>
          <w:color w:val="000000"/>
          <w:kern w:val="0"/>
          <w:sz w:val="28"/>
          <w:szCs w:val="28"/>
          <w:u w:val="single"/>
          <w:shd w:val="clear" w:color="auto" w:fill="FFFFFF"/>
          <w:lang w:bidi="ar"/>
        </w:rPr>
        <w:t>        </w:t>
      </w:r>
      <w:r>
        <w:rPr>
          <w:rFonts w:hint="eastAsia" w:asciiTheme="minorEastAsia" w:hAnsiTheme="minorEastAsia" w:eastAsiaTheme="minorEastAsia" w:cstheme="minorEastAsia"/>
          <w:color w:val="000000"/>
          <w:kern w:val="0"/>
          <w:sz w:val="28"/>
          <w:szCs w:val="28"/>
          <w:shd w:val="clear" w:color="auto" w:fill="FFFFFF"/>
          <w:lang w:bidi="ar"/>
        </w:rPr>
        <w:t>，节能产品认证证书有效期截止日期为</w:t>
      </w:r>
      <w:r>
        <w:rPr>
          <w:rFonts w:hint="eastAsia" w:asciiTheme="minorEastAsia" w:hAnsiTheme="minorEastAsia" w:eastAsiaTheme="minorEastAsia" w:cstheme="minorEastAsia"/>
          <w:color w:val="000000"/>
          <w:kern w:val="0"/>
          <w:sz w:val="28"/>
          <w:szCs w:val="28"/>
          <w:u w:val="single"/>
          <w:shd w:val="clear" w:color="auto" w:fill="FFFFFF"/>
          <w:lang w:bidi="ar"/>
        </w:rPr>
        <w:t>         </w:t>
      </w:r>
      <w:r>
        <w:rPr>
          <w:rFonts w:hint="eastAsia" w:asciiTheme="minorEastAsia" w:hAnsiTheme="minorEastAsia" w:eastAsiaTheme="minorEastAsia" w:cstheme="minorEastAsia"/>
          <w:color w:val="000000"/>
          <w:kern w:val="0"/>
          <w:sz w:val="28"/>
          <w:szCs w:val="28"/>
          <w:shd w:val="clear" w:color="auto" w:fill="FFFFFF"/>
          <w:lang w:bidi="ar"/>
        </w:rPr>
        <w:t>。</w:t>
      </w:r>
    </w:p>
    <w:p>
      <w:pPr>
        <w:ind w:firstLine="560" w:firstLineChars="200"/>
        <w:rPr>
          <w:rFonts w:asciiTheme="minorEastAsia" w:hAnsiTheme="minorEastAsia" w:eastAsiaTheme="minorEastAsia" w:cstheme="minorEastAsia"/>
          <w:color w:val="000000"/>
          <w:kern w:val="0"/>
          <w:sz w:val="28"/>
          <w:szCs w:val="28"/>
          <w:shd w:val="clear" w:color="auto" w:fill="FFFFFF"/>
          <w:lang w:bidi="ar"/>
        </w:rPr>
      </w:pPr>
      <w:r>
        <w:rPr>
          <w:rFonts w:hint="eastAsia" w:asciiTheme="minorEastAsia" w:hAnsiTheme="minorEastAsia" w:eastAsiaTheme="minorEastAsia" w:cstheme="minorEastAsia"/>
          <w:color w:val="000000"/>
          <w:kern w:val="0"/>
          <w:sz w:val="28"/>
          <w:szCs w:val="28"/>
          <w:shd w:val="clear" w:color="auto" w:fill="FFFFFF"/>
          <w:lang w:bidi="ar"/>
        </w:rPr>
        <w:t>本公司对上述声明的真实性负责。如有虚假，将依法承担相应责任。</w:t>
      </w:r>
    </w:p>
    <w:p>
      <w:pPr>
        <w:rPr>
          <w:rFonts w:asciiTheme="minorEastAsia" w:hAnsiTheme="minorEastAsia" w:eastAsiaTheme="minorEastAsia" w:cstheme="minorEastAsia"/>
          <w:color w:val="000000"/>
          <w:kern w:val="0"/>
          <w:sz w:val="28"/>
          <w:szCs w:val="28"/>
          <w:shd w:val="clear" w:color="auto" w:fill="FFFFFF"/>
          <w:lang w:bidi="ar"/>
        </w:rPr>
      </w:pPr>
      <w:r>
        <w:rPr>
          <w:rFonts w:hint="eastAsia" w:asciiTheme="minorEastAsia" w:hAnsiTheme="minorEastAsia" w:eastAsiaTheme="minorEastAsia" w:cstheme="minorEastAsia"/>
          <w:color w:val="000000"/>
          <w:kern w:val="0"/>
          <w:sz w:val="28"/>
          <w:szCs w:val="28"/>
          <w:shd w:val="clear" w:color="auto" w:fill="FFFFFF"/>
          <w:lang w:bidi="ar"/>
        </w:rPr>
        <w:t> </w:t>
      </w:r>
    </w:p>
    <w:p>
      <w:pPr>
        <w:rPr>
          <w:rFonts w:asciiTheme="minorEastAsia" w:hAnsiTheme="minorEastAsia" w:eastAsiaTheme="minorEastAsia" w:cstheme="minorEastAsia"/>
          <w:color w:val="000000"/>
          <w:kern w:val="0"/>
          <w:sz w:val="28"/>
          <w:szCs w:val="28"/>
          <w:shd w:val="clear" w:color="auto" w:fill="FFFFFF"/>
          <w:lang w:bidi="ar"/>
        </w:rPr>
      </w:pPr>
      <w:r>
        <w:rPr>
          <w:rFonts w:hint="eastAsia" w:asciiTheme="minorEastAsia" w:hAnsiTheme="minorEastAsia" w:eastAsiaTheme="minorEastAsia" w:cstheme="minorEastAsia"/>
          <w:color w:val="000000"/>
          <w:kern w:val="0"/>
          <w:sz w:val="28"/>
          <w:szCs w:val="28"/>
          <w:shd w:val="clear" w:color="auto" w:fill="FFFFFF"/>
          <w:lang w:bidi="ar"/>
        </w:rPr>
        <w:t> </w:t>
      </w:r>
    </w:p>
    <w:p>
      <w:pPr>
        <w:rPr>
          <w:rFonts w:asciiTheme="minorEastAsia" w:hAnsiTheme="minorEastAsia" w:eastAsiaTheme="minorEastAsia" w:cstheme="minorEastAsia"/>
          <w:color w:val="000000"/>
          <w:kern w:val="0"/>
          <w:sz w:val="28"/>
          <w:szCs w:val="28"/>
          <w:u w:val="single"/>
          <w:shd w:val="clear" w:color="auto" w:fill="FFFFFF"/>
          <w:lang w:bidi="ar"/>
        </w:rPr>
      </w:pPr>
      <w:r>
        <w:rPr>
          <w:rFonts w:hint="eastAsia" w:asciiTheme="minorEastAsia" w:hAnsiTheme="minorEastAsia" w:eastAsiaTheme="minorEastAsia" w:cstheme="minorEastAsia"/>
          <w:color w:val="000000"/>
          <w:kern w:val="0"/>
          <w:sz w:val="28"/>
          <w:szCs w:val="28"/>
          <w:shd w:val="clear" w:color="auto" w:fill="FFFFFF"/>
          <w:lang w:bidi="ar"/>
        </w:rPr>
        <w:t>供应商名称（盖章）：</w:t>
      </w:r>
      <w:r>
        <w:rPr>
          <w:rFonts w:hint="eastAsia" w:asciiTheme="minorEastAsia" w:hAnsiTheme="minorEastAsia" w:eastAsiaTheme="minorEastAsia" w:cstheme="minorEastAsia"/>
          <w:color w:val="000000"/>
          <w:kern w:val="0"/>
          <w:sz w:val="28"/>
          <w:szCs w:val="28"/>
          <w:u w:val="single"/>
          <w:shd w:val="clear" w:color="auto" w:fill="FFFFFF"/>
          <w:lang w:bidi="ar"/>
        </w:rPr>
        <w:t>     </w:t>
      </w:r>
    </w:p>
    <w:p/>
    <w:p>
      <w:pPr>
        <w:rPr>
          <w:rFonts w:asciiTheme="minorEastAsia" w:hAnsiTheme="minorEastAsia" w:eastAsiaTheme="minorEastAsia" w:cstheme="minorEastAsia"/>
          <w:color w:val="000000"/>
          <w:kern w:val="0"/>
          <w:sz w:val="28"/>
          <w:szCs w:val="28"/>
          <w:shd w:val="clear" w:color="auto" w:fill="FFFFFF"/>
          <w:lang w:bidi="ar"/>
        </w:rPr>
      </w:pPr>
      <w:r>
        <w:rPr>
          <w:rFonts w:hint="eastAsia" w:asciiTheme="minorEastAsia" w:hAnsiTheme="minorEastAsia" w:eastAsiaTheme="minorEastAsia" w:cstheme="minorEastAsia"/>
          <w:color w:val="000000"/>
          <w:kern w:val="0"/>
          <w:sz w:val="28"/>
          <w:szCs w:val="28"/>
          <w:shd w:val="clear" w:color="auto" w:fill="FFFFFF"/>
          <w:lang w:bidi="ar"/>
        </w:rPr>
        <w:t>法定代表人或授权代表（签字）：</w:t>
      </w:r>
      <w:r>
        <w:rPr>
          <w:rFonts w:hint="eastAsia" w:asciiTheme="minorEastAsia" w:hAnsiTheme="minorEastAsia" w:eastAsiaTheme="minorEastAsia" w:cstheme="minorEastAsia"/>
          <w:color w:val="000000"/>
          <w:kern w:val="0"/>
          <w:sz w:val="28"/>
          <w:szCs w:val="28"/>
          <w:u w:val="single"/>
          <w:shd w:val="clear" w:color="auto" w:fill="FFFFFF"/>
          <w:lang w:bidi="ar"/>
        </w:rPr>
        <w:t>        </w:t>
      </w:r>
      <w:r>
        <w:rPr>
          <w:rFonts w:hint="eastAsia" w:asciiTheme="minorEastAsia" w:hAnsiTheme="minorEastAsia" w:eastAsiaTheme="minorEastAsia" w:cstheme="minorEastAsia"/>
          <w:color w:val="000000"/>
          <w:kern w:val="0"/>
          <w:sz w:val="28"/>
          <w:szCs w:val="28"/>
          <w:shd w:val="clear" w:color="auto" w:fill="FFFFFF"/>
          <w:lang w:bidi="ar"/>
        </w:rPr>
        <w:t> </w:t>
      </w:r>
    </w:p>
    <w:p/>
    <w:p>
      <w:pPr>
        <w:rPr>
          <w:rFonts w:asciiTheme="minorEastAsia" w:hAnsiTheme="minorEastAsia" w:eastAsiaTheme="minorEastAsia" w:cstheme="minorEastAsia"/>
          <w:color w:val="000000"/>
          <w:kern w:val="0"/>
          <w:sz w:val="28"/>
          <w:szCs w:val="28"/>
          <w:shd w:val="clear" w:color="auto" w:fill="FFFFFF"/>
          <w:lang w:bidi="ar"/>
        </w:rPr>
      </w:pPr>
      <w:r>
        <w:rPr>
          <w:rFonts w:hint="eastAsia" w:asciiTheme="minorEastAsia" w:hAnsiTheme="minorEastAsia" w:eastAsiaTheme="minorEastAsia" w:cstheme="minorEastAsia"/>
          <w:color w:val="000000"/>
          <w:kern w:val="0"/>
          <w:sz w:val="28"/>
          <w:szCs w:val="28"/>
          <w:shd w:val="clear" w:color="auto" w:fill="FFFFFF"/>
          <w:lang w:bidi="ar"/>
        </w:rPr>
        <w:t>日期：</w:t>
      </w:r>
    </w:p>
    <w:p>
      <w:pPr>
        <w:adjustRightInd w:val="0"/>
        <w:snapToGrid w:val="0"/>
        <w:spacing w:line="440" w:lineRule="exact"/>
        <w:ind w:right="24"/>
        <w:jc w:val="center"/>
        <w:outlineLvl w:val="0"/>
        <w:rPr>
          <w:rFonts w:ascii="宋体" w:hAnsi="宋体" w:cs="宋体"/>
          <w:b/>
          <w:bCs/>
          <w:sz w:val="32"/>
          <w:szCs w:val="32"/>
        </w:rPr>
      </w:pPr>
      <w:r>
        <w:rPr>
          <w:rFonts w:hint="eastAsia" w:ascii="宋体" w:hAnsi="宋体" w:cs="宋体"/>
          <w:b/>
          <w:sz w:val="32"/>
          <w:szCs w:val="32"/>
        </w:rPr>
        <w:t>节能、环境标志产品证明材料</w:t>
      </w:r>
    </w:p>
    <w:p>
      <w:pPr>
        <w:adjustRightInd w:val="0"/>
        <w:snapToGrid w:val="0"/>
        <w:spacing w:line="440" w:lineRule="exact"/>
        <w:ind w:right="24"/>
        <w:rPr>
          <w:rFonts w:ascii="宋体" w:hAnsi="宋体" w:cs="宋体"/>
          <w:bCs/>
          <w:sz w:val="28"/>
          <w:szCs w:val="28"/>
        </w:rPr>
      </w:pPr>
    </w:p>
    <w:p>
      <w:pPr>
        <w:spacing w:line="440" w:lineRule="exact"/>
        <w:ind w:firstLine="420"/>
        <w:rPr>
          <w:rFonts w:ascii="宋体" w:hAnsi="宋体" w:cs="宋体"/>
          <w:sz w:val="28"/>
          <w:szCs w:val="28"/>
        </w:rPr>
      </w:pPr>
      <w:r>
        <w:rPr>
          <w:rFonts w:hint="eastAsia" w:ascii="宋体" w:hAnsi="宋体" w:cs="宋体"/>
          <w:sz w:val="28"/>
          <w:szCs w:val="28"/>
        </w:rPr>
        <w:t>1.节能产品：应在</w:t>
      </w:r>
    </w:p>
    <w:p>
      <w:pPr>
        <w:spacing w:line="440" w:lineRule="exact"/>
        <w:ind w:firstLine="420"/>
        <w:rPr>
          <w:rFonts w:ascii="宋体" w:hAnsi="宋体" w:cs="宋体"/>
          <w:sz w:val="28"/>
          <w:szCs w:val="28"/>
        </w:rPr>
      </w:pPr>
      <w:r>
        <w:rPr>
          <w:rFonts w:hint="eastAsia" w:ascii="宋体" w:hAnsi="宋体" w:cs="宋体"/>
          <w:sz w:val="28"/>
          <w:szCs w:val="28"/>
        </w:rPr>
        <w:t>中国政府采购网（ http://www.ccgp.gov.cn ）</w:t>
      </w:r>
    </w:p>
    <w:p>
      <w:pPr>
        <w:spacing w:line="440" w:lineRule="exact"/>
        <w:ind w:firstLine="420"/>
        <w:rPr>
          <w:rFonts w:ascii="宋体" w:hAnsi="宋体" w:cs="宋体"/>
          <w:sz w:val="28"/>
          <w:szCs w:val="28"/>
        </w:rPr>
      </w:pPr>
      <w:r>
        <w:rPr>
          <w:rFonts w:hint="eastAsia" w:ascii="宋体" w:hAnsi="宋体" w:cs="宋体"/>
          <w:sz w:val="28"/>
          <w:szCs w:val="28"/>
        </w:rPr>
        <w:t>2.环境标志产品：应在</w:t>
      </w:r>
    </w:p>
    <w:p>
      <w:pPr>
        <w:spacing w:line="440" w:lineRule="exact"/>
        <w:ind w:firstLine="420"/>
        <w:rPr>
          <w:rFonts w:ascii="宋体" w:hAnsi="宋体" w:cs="宋体"/>
          <w:sz w:val="28"/>
          <w:szCs w:val="28"/>
        </w:rPr>
      </w:pPr>
      <w:r>
        <w:rPr>
          <w:rFonts w:hint="eastAsia" w:ascii="宋体" w:hAnsi="宋体" w:cs="宋体"/>
          <w:sz w:val="28"/>
          <w:szCs w:val="28"/>
        </w:rPr>
        <w:t>中国政府采购网（ http://www.ccgp.gov.cn ）</w:t>
      </w:r>
    </w:p>
    <w:p>
      <w:pPr>
        <w:spacing w:line="440" w:lineRule="exact"/>
        <w:ind w:firstLine="420"/>
        <w:rPr>
          <w:rFonts w:ascii="宋体" w:hAnsi="宋体" w:cs="宋体"/>
          <w:sz w:val="28"/>
          <w:szCs w:val="28"/>
        </w:rPr>
      </w:pPr>
      <w:r>
        <w:rPr>
          <w:rFonts w:hint="eastAsia" w:ascii="宋体" w:hAnsi="宋体" w:cs="宋体"/>
          <w:sz w:val="28"/>
          <w:szCs w:val="28"/>
        </w:rPr>
        <w:t>3.属优先采购节能、环境标志产品须从以上权威媒体网站上查询并打印结果。</w:t>
      </w:r>
    </w:p>
    <w:p>
      <w:pPr>
        <w:spacing w:line="440" w:lineRule="exact"/>
        <w:ind w:firstLine="420" w:firstLineChars="150"/>
        <w:rPr>
          <w:rFonts w:ascii="宋体" w:hAnsi="宋体" w:cs="宋体"/>
          <w:b/>
          <w:sz w:val="28"/>
          <w:szCs w:val="28"/>
        </w:rPr>
      </w:pPr>
      <w:r>
        <w:rPr>
          <w:rFonts w:hint="eastAsia" w:ascii="宋体" w:hAnsi="宋体" w:cs="宋体"/>
          <w:sz w:val="28"/>
          <w:szCs w:val="28"/>
        </w:rPr>
        <w:t>4.证明材料加盖投标人公章。</w:t>
      </w:r>
    </w:p>
    <w:p>
      <w:pP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8"/>
          <w:szCs w:val="28"/>
          <w:shd w:val="clear" w:color="auto" w:fill="FFFFFF"/>
          <w:lang w:bidi="ar"/>
        </w:rPr>
        <w:br w:type="page"/>
      </w:r>
      <w:r>
        <w:rPr>
          <w:rFonts w:hint="eastAsia" w:asciiTheme="minorEastAsia" w:hAnsiTheme="minorEastAsia" w:eastAsiaTheme="minorEastAsia" w:cstheme="minorEastAsia"/>
          <w:color w:val="000000"/>
          <w:kern w:val="0"/>
          <w:sz w:val="24"/>
          <w:szCs w:val="24"/>
          <w:shd w:val="clear" w:color="auto" w:fill="FFFFFF"/>
          <w:lang w:bidi="ar"/>
        </w:rPr>
        <w:t>         </w:t>
      </w:r>
    </w:p>
    <w:p>
      <w:pPr>
        <w:pStyle w:val="4"/>
      </w:pPr>
      <w:bookmarkStart w:id="165" w:name="_Toc17327"/>
      <w:r>
        <w:rPr>
          <w:rFonts w:hint="eastAsia"/>
        </w:rPr>
        <w:t>投标单位反商业贿赂承诺书</w:t>
      </w:r>
      <w:bookmarkEnd w:id="165"/>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w:t>
      </w:r>
      <w:bookmarkStart w:id="166" w:name="_Toc25299"/>
      <w:bookmarkStart w:id="167" w:name="_Toc10574"/>
      <w:r>
        <w:rPr>
          <w:rFonts w:hint="eastAsia" w:ascii="宋体" w:hAnsi="宋体" w:cs="宋体"/>
          <w:sz w:val="24"/>
          <w:szCs w:val="24"/>
        </w:rPr>
        <w:t>承诺书（1）</w:t>
      </w:r>
      <w:bookmarkEnd w:id="166"/>
      <w:bookmarkEnd w:id="167"/>
    </w:p>
    <w:p>
      <w:pPr>
        <w:adjustRightInd w:val="0"/>
        <w:snapToGrid w:val="0"/>
        <w:spacing w:line="460" w:lineRule="exact"/>
        <w:ind w:firstLine="240" w:firstLineChars="100"/>
        <w:rPr>
          <w:rFonts w:ascii="宋体" w:hAnsi="宋体" w:cs="宋体"/>
          <w:sz w:val="24"/>
          <w:szCs w:val="24"/>
        </w:rPr>
      </w:pPr>
      <w:r>
        <w:rPr>
          <w:rFonts w:hint="eastAsia" w:ascii="宋体" w:hAnsi="宋体" w:cs="宋体"/>
          <w:sz w:val="24"/>
          <w:szCs w:val="24"/>
        </w:rPr>
        <w:t>我公司承诺在（项目编号、项目名称）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投标单位：（盖章）</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法定代表人或授权代理人：（签字或盖章）    </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年    月   日</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w:t>
      </w:r>
    </w:p>
    <w:p>
      <w:bookmarkStart w:id="168" w:name="_Toc20129"/>
      <w:bookmarkStart w:id="169" w:name="_Toc30477"/>
      <w:r>
        <w:rPr>
          <w:rFonts w:hint="eastAsia"/>
        </w:rPr>
        <w:br w:type="page"/>
      </w:r>
    </w:p>
    <w:p>
      <w:pPr>
        <w:pStyle w:val="4"/>
      </w:pPr>
      <w:bookmarkStart w:id="170" w:name="_Toc30872"/>
      <w:r>
        <w:rPr>
          <w:rFonts w:hint="eastAsia"/>
        </w:rPr>
        <w:t>承诺书（2）</w:t>
      </w:r>
      <w:bookmarkEnd w:id="168"/>
      <w:bookmarkEnd w:id="169"/>
      <w:bookmarkEnd w:id="170"/>
    </w:p>
    <w:p>
      <w:pPr>
        <w:adjustRightInd w:val="0"/>
        <w:snapToGrid w:val="0"/>
        <w:spacing w:line="460" w:lineRule="exact"/>
        <w:rPr>
          <w:rFonts w:ascii="宋体" w:hAnsi="宋体" w:cs="宋体"/>
          <w:sz w:val="24"/>
          <w:szCs w:val="24"/>
        </w:rPr>
      </w:pPr>
    </w:p>
    <w:p>
      <w:pPr>
        <w:adjustRightInd w:val="0"/>
        <w:snapToGrid w:val="0"/>
        <w:spacing w:line="460" w:lineRule="exact"/>
        <w:ind w:firstLine="3600" w:firstLineChars="1500"/>
        <w:rPr>
          <w:rFonts w:ascii="宋体" w:hAnsi="宋体" w:cs="宋体"/>
          <w:sz w:val="24"/>
          <w:szCs w:val="24"/>
        </w:rPr>
      </w:pPr>
      <w:r>
        <w:rPr>
          <w:rFonts w:hint="eastAsia" w:ascii="宋体" w:hAnsi="宋体" w:cs="宋体"/>
          <w:sz w:val="24"/>
          <w:szCs w:val="24"/>
        </w:rPr>
        <w:t>投标单位承诺书 </w:t>
      </w:r>
    </w:p>
    <w:p>
      <w:pPr>
        <w:adjustRightInd w:val="0"/>
        <w:snapToGrid w:val="0"/>
        <w:spacing w:line="460" w:lineRule="exact"/>
        <w:rPr>
          <w:rFonts w:ascii="宋体" w:hAnsi="宋体" w:cs="宋体"/>
          <w:sz w:val="24"/>
          <w:szCs w:val="24"/>
        </w:rPr>
      </w:pPr>
      <w:r>
        <w:rPr>
          <w:rFonts w:hint="eastAsia" w:ascii="宋体" w:hAnsi="宋体" w:cs="宋体"/>
          <w:sz w:val="24"/>
          <w:szCs w:val="24"/>
        </w:rPr>
        <w:t>我公司承诺在参加本次（项目编号、项目名称）投标前三年内，无以下行为：</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重大违法行为；</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商业贿赂行为；</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政府采购法《第七十七条》，列入不良行为记录名单的各种行为；</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如有上述行为，我公司及项目参与人员自愿放弃本次项目的投标、报价资格，若为预中标、成交人，也自愿放弃中标、成交资格。 </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投标单位：（盖章）</w:t>
      </w: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法定代表人或授权代理人：（签字或盖章）    </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 xml:space="preserve">                                             年    月   日</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sectPr>
          <w:pgSz w:w="11906" w:h="16838"/>
          <w:pgMar w:top="1440" w:right="1080" w:bottom="1440" w:left="1080" w:header="851" w:footer="992" w:gutter="0"/>
          <w:pgNumType w:fmt="decimal"/>
          <w:cols w:space="425" w:num="1"/>
          <w:docGrid w:type="lines" w:linePitch="312" w:charSpace="0"/>
        </w:sectPr>
      </w:pPr>
    </w:p>
    <w:p>
      <w:pPr>
        <w:pStyle w:val="4"/>
      </w:pPr>
      <w:bookmarkStart w:id="171" w:name="_Toc21033"/>
      <w:bookmarkStart w:id="172" w:name="_Toc28405"/>
      <w:bookmarkStart w:id="173" w:name="_Toc9809"/>
      <w:r>
        <w:rPr>
          <w:rFonts w:hint="eastAsia"/>
        </w:rPr>
        <w:t>售后服务承诺书</w:t>
      </w:r>
      <w:bookmarkEnd w:id="171"/>
      <w:bookmarkEnd w:id="172"/>
      <w:bookmarkEnd w:id="173"/>
    </w:p>
    <w:p>
      <w:pPr>
        <w:adjustRightInd w:val="0"/>
        <w:snapToGrid w:val="0"/>
        <w:spacing w:line="460" w:lineRule="exact"/>
        <w:jc w:val="center"/>
        <w:rPr>
          <w:rFonts w:ascii="宋体" w:hAnsi="宋体" w:cs="宋体"/>
          <w:sz w:val="24"/>
          <w:szCs w:val="24"/>
        </w:rPr>
      </w:pPr>
    </w:p>
    <w:p>
      <w:pPr>
        <w:jc w:val="center"/>
      </w:pPr>
      <w:r>
        <w:rPr>
          <w:rFonts w:hint="eastAsia"/>
        </w:rPr>
        <w:t>（格式自拟）</w:t>
      </w:r>
    </w:p>
    <w:p>
      <w:pPr>
        <w:pStyle w:val="5"/>
      </w:pPr>
    </w:p>
    <w:p/>
    <w:p/>
    <w:p/>
    <w:p/>
    <w:p/>
    <w:p>
      <w:pPr>
        <w:pStyle w:val="4"/>
      </w:pPr>
      <w:bookmarkStart w:id="174" w:name="_Toc28948"/>
      <w:r>
        <w:rPr>
          <w:rFonts w:hint="eastAsia"/>
        </w:rPr>
        <w:t>质量保证承诺书</w:t>
      </w:r>
      <w:bookmarkEnd w:id="174"/>
    </w:p>
    <w:p>
      <w:pPr>
        <w:jc w:val="center"/>
      </w:pPr>
      <w:r>
        <w:rPr>
          <w:rFonts w:hint="eastAsia"/>
        </w:rPr>
        <w:tab/>
      </w:r>
      <w:r>
        <w:rPr>
          <w:rFonts w:hint="eastAsia"/>
        </w:rPr>
        <w:t>（格式自拟）</w:t>
      </w:r>
    </w:p>
    <w:p>
      <w:r>
        <w:rPr>
          <w:rFonts w:hint="eastAsia"/>
        </w:rPr>
        <w:tab/>
      </w:r>
    </w:p>
    <w:p/>
    <w:p/>
    <w:p>
      <w:pPr>
        <w:tabs>
          <w:tab w:val="left" w:pos="3596"/>
          <w:tab w:val="center" w:pos="5653"/>
        </w:tabs>
        <w:jc w:val="left"/>
      </w:pPr>
      <w:bookmarkStart w:id="175" w:name="_Toc30651"/>
      <w:bookmarkStart w:id="176" w:name="_Toc30936"/>
      <w:r>
        <w:rPr>
          <w:rFonts w:hint="eastAsia"/>
        </w:rPr>
        <w:br w:type="page"/>
      </w:r>
    </w:p>
    <w:p>
      <w:pPr>
        <w:pStyle w:val="4"/>
      </w:pPr>
      <w:bookmarkStart w:id="177" w:name="_Toc196"/>
      <w:r>
        <w:rPr>
          <w:rFonts w:hint="eastAsia"/>
        </w:rPr>
        <w:t>信用查询记录</w:t>
      </w:r>
      <w:bookmarkEnd w:id="175"/>
      <w:bookmarkEnd w:id="176"/>
      <w:bookmarkEnd w:id="177"/>
    </w:p>
    <w:p>
      <w:pPr>
        <w:adjustRightInd w:val="0"/>
        <w:snapToGrid w:val="0"/>
        <w:spacing w:line="460" w:lineRule="exact"/>
        <w:rPr>
          <w:rFonts w:ascii="宋体" w:hAnsi="宋体" w:cs="宋体"/>
          <w:sz w:val="24"/>
          <w:szCs w:val="24"/>
        </w:rPr>
      </w:pPr>
      <w:r>
        <w:rPr>
          <w:rFonts w:hint="eastAsia" w:ascii="宋体" w:hAnsi="宋体" w:cs="宋体"/>
          <w:sz w:val="24"/>
          <w:szCs w:val="24"/>
        </w:rPr>
        <w:t>主体信用记录符合政府采购活动要求供应商参加政府采购活动前三年内未被列入“信用中国”网站(www.creditchina.gov.cn)重大税收违法案件当事人、“中国执行信息公开网”（http://zxgk.court.gov.cn/）未被列入失信被执行人和“中国政府采购”网站（www.ccgp.gov.cn）政府采购严重违法失信行为记录名单的供应商截屏打印件（加盖投标企业公章），信用信息截止时间点为开标当日。</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br w:type="page"/>
      </w:r>
    </w:p>
    <w:p>
      <w:pPr>
        <w:pStyle w:val="4"/>
      </w:pPr>
      <w:bookmarkStart w:id="178" w:name="_Toc32377"/>
      <w:bookmarkStart w:id="179" w:name="_Toc4989"/>
      <w:bookmarkStart w:id="180" w:name="_Toc16769"/>
      <w:bookmarkStart w:id="181" w:name="_Toc22978"/>
      <w:r>
        <w:rPr>
          <w:rFonts w:hint="eastAsia"/>
        </w:rPr>
        <w:t>竞标人认为响应文件范本尚未涵盖的信息内容</w:t>
      </w:r>
      <w:bookmarkEnd w:id="178"/>
      <w:bookmarkEnd w:id="179"/>
      <w:bookmarkEnd w:id="180"/>
      <w:bookmarkEnd w:id="181"/>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注意事项：竞标供应商格式自拟对补充内容须加盖供应商公章。</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bookmarkStart w:id="182" w:name="_Toc15516"/>
      <w:bookmarkStart w:id="183" w:name="_Toc4456"/>
      <w:bookmarkStart w:id="184" w:name="_Toc24581"/>
      <w:r>
        <w:rPr>
          <w:rFonts w:hint="eastAsia" w:ascii="宋体" w:hAnsi="宋体" w:cs="宋体"/>
          <w:sz w:val="24"/>
          <w:szCs w:val="24"/>
        </w:rPr>
        <w:t>其他</w:t>
      </w:r>
      <w:bookmarkEnd w:id="182"/>
      <w:bookmarkEnd w:id="183"/>
      <w:bookmarkEnd w:id="184"/>
    </w:p>
    <w:p>
      <w:pPr>
        <w:adjustRightInd w:val="0"/>
        <w:snapToGrid w:val="0"/>
        <w:spacing w:line="460" w:lineRule="exact"/>
        <w:rPr>
          <w:rFonts w:ascii="宋体" w:hAnsi="宋体" w:cs="宋体"/>
          <w:sz w:val="24"/>
          <w:szCs w:val="24"/>
        </w:rPr>
      </w:pPr>
      <w:r>
        <w:rPr>
          <w:rFonts w:hint="eastAsia" w:ascii="宋体" w:hAnsi="宋体" w:cs="宋体"/>
          <w:sz w:val="24"/>
          <w:szCs w:val="24"/>
        </w:rPr>
        <w:t>注意事项：竞标供应商认为与采购项目相关的磋商文件未提供格式的其他佐证文件、资料、声明及承诺等（格式自拟，复印或扫描件须加盖竞标供应商公章），非国家行政机关出具的证明文件，由专家磋商小组评审其有效性。</w:t>
      </w:r>
    </w:p>
    <w:p>
      <w:pPr>
        <w:adjustRightInd w:val="0"/>
        <w:snapToGrid w:val="0"/>
        <w:spacing w:line="460" w:lineRule="exact"/>
        <w:rPr>
          <w:rFonts w:ascii="宋体" w:hAnsi="宋体" w:cs="宋体"/>
          <w:sz w:val="24"/>
          <w:szCs w:val="24"/>
        </w:rPr>
      </w:pPr>
      <w:r>
        <w:rPr>
          <w:rFonts w:hint="eastAsia" w:ascii="宋体" w:hAnsi="宋体" w:cs="宋体"/>
          <w:sz w:val="24"/>
          <w:szCs w:val="24"/>
        </w:rPr>
        <w:br w:type="page"/>
      </w:r>
    </w:p>
    <w:p>
      <w:pPr>
        <w:jc w:val="left"/>
        <w:rPr>
          <w:sz w:val="24"/>
          <w:szCs w:val="24"/>
        </w:rPr>
      </w:pPr>
      <w:bookmarkStart w:id="185" w:name="_Toc12663"/>
      <w:bookmarkStart w:id="186" w:name="_Toc14648"/>
      <w:r>
        <w:rPr>
          <w:rFonts w:hint="eastAsia"/>
          <w:sz w:val="24"/>
          <w:szCs w:val="24"/>
        </w:rPr>
        <w:t xml:space="preserve">附件资料一    </w:t>
      </w:r>
    </w:p>
    <w:p>
      <w:pPr>
        <w:pStyle w:val="4"/>
      </w:pPr>
      <w:bookmarkStart w:id="187" w:name="_Toc29249"/>
      <w:r>
        <w:rPr>
          <w:rFonts w:hint="eastAsia"/>
        </w:rPr>
        <w:t>招标代理服务收费标准</w:t>
      </w:r>
      <w:bookmarkEnd w:id="185"/>
      <w:bookmarkEnd w:id="186"/>
      <w:bookmarkEnd w:id="187"/>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招标代理服务费的计算执行“《国家发展改革委关于进一步放开建设项目专业服务价格的通知》 [2015] 299号文件”、“国家发展改革委办公厅关于招标代理服务收费有关问题的通知（ 发改价格[2011]534号）文件”及计价格[2002]1980号的规定，招标代理服务费下浮20%收取；</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1923"/>
        <w:gridCol w:w="1912"/>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2895" w:type="dxa"/>
            <w:tcBorders>
              <w:tl2br w:val="single" w:color="auto" w:sz="4" w:space="0"/>
            </w:tcBorders>
          </w:tcPr>
          <w:p>
            <w:pPr>
              <w:adjustRightInd w:val="0"/>
              <w:snapToGrid w:val="0"/>
              <w:spacing w:line="460" w:lineRule="exact"/>
              <w:rPr>
                <w:rFonts w:ascii="宋体" w:hAnsi="宋体" w:cs="宋体"/>
                <w:sz w:val="24"/>
                <w:szCs w:val="24"/>
              </w:rPr>
            </w:pPr>
            <w:r>
              <w:rPr>
                <w:rFonts w:hint="eastAsia" w:ascii="宋体" w:hAnsi="宋体" w:cs="宋体"/>
                <w:sz w:val="24"/>
                <w:szCs w:val="24"/>
              </w:rPr>
              <w:t>费率</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rPr>
            </w:pPr>
            <w:r>
              <w:rPr>
                <w:rFonts w:hint="eastAsia" w:ascii="宋体" w:hAnsi="宋体" w:cs="宋体"/>
                <w:sz w:val="24"/>
                <w:szCs w:val="24"/>
              </w:rPr>
              <w:t>中标金额</w:t>
            </w:r>
          </w:p>
        </w:tc>
        <w:tc>
          <w:tcPr>
            <w:tcW w:w="1923"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货物招标</w:t>
            </w:r>
          </w:p>
        </w:tc>
        <w:tc>
          <w:tcPr>
            <w:tcW w:w="1912"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服务招标</w:t>
            </w:r>
          </w:p>
        </w:tc>
        <w:tc>
          <w:tcPr>
            <w:tcW w:w="174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100万元以下</w:t>
            </w:r>
          </w:p>
        </w:tc>
        <w:tc>
          <w:tcPr>
            <w:tcW w:w="1923"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1.5%</w:t>
            </w:r>
          </w:p>
        </w:tc>
        <w:tc>
          <w:tcPr>
            <w:tcW w:w="1912"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1.5%</w:t>
            </w:r>
          </w:p>
        </w:tc>
        <w:tc>
          <w:tcPr>
            <w:tcW w:w="174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100～500万元</w:t>
            </w:r>
          </w:p>
        </w:tc>
        <w:tc>
          <w:tcPr>
            <w:tcW w:w="1923"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1.1%</w:t>
            </w:r>
          </w:p>
        </w:tc>
        <w:tc>
          <w:tcPr>
            <w:tcW w:w="1912"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0.8%</w:t>
            </w:r>
          </w:p>
        </w:tc>
        <w:tc>
          <w:tcPr>
            <w:tcW w:w="174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500～1000万元</w:t>
            </w:r>
          </w:p>
        </w:tc>
        <w:tc>
          <w:tcPr>
            <w:tcW w:w="1923"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0.8%</w:t>
            </w:r>
          </w:p>
        </w:tc>
        <w:tc>
          <w:tcPr>
            <w:tcW w:w="1912"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0.45%</w:t>
            </w:r>
          </w:p>
        </w:tc>
        <w:tc>
          <w:tcPr>
            <w:tcW w:w="174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1000～5000万元</w:t>
            </w:r>
          </w:p>
        </w:tc>
        <w:tc>
          <w:tcPr>
            <w:tcW w:w="1923"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0.5%</w:t>
            </w:r>
          </w:p>
        </w:tc>
        <w:tc>
          <w:tcPr>
            <w:tcW w:w="1912"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0.25%</w:t>
            </w:r>
          </w:p>
        </w:tc>
        <w:tc>
          <w:tcPr>
            <w:tcW w:w="174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5000万元～1亿元</w:t>
            </w:r>
          </w:p>
        </w:tc>
        <w:tc>
          <w:tcPr>
            <w:tcW w:w="1923"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0.25%</w:t>
            </w:r>
          </w:p>
        </w:tc>
        <w:tc>
          <w:tcPr>
            <w:tcW w:w="1912"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0.1%</w:t>
            </w:r>
          </w:p>
        </w:tc>
        <w:tc>
          <w:tcPr>
            <w:tcW w:w="174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1～5亿元</w:t>
            </w:r>
          </w:p>
        </w:tc>
        <w:tc>
          <w:tcPr>
            <w:tcW w:w="1923"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0.05%</w:t>
            </w:r>
          </w:p>
        </w:tc>
        <w:tc>
          <w:tcPr>
            <w:tcW w:w="1912"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0.05%</w:t>
            </w:r>
          </w:p>
        </w:tc>
        <w:tc>
          <w:tcPr>
            <w:tcW w:w="174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5～10亿元</w:t>
            </w:r>
          </w:p>
        </w:tc>
        <w:tc>
          <w:tcPr>
            <w:tcW w:w="1923"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0.035%</w:t>
            </w:r>
          </w:p>
        </w:tc>
        <w:tc>
          <w:tcPr>
            <w:tcW w:w="1912"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0.035%</w:t>
            </w:r>
          </w:p>
        </w:tc>
        <w:tc>
          <w:tcPr>
            <w:tcW w:w="174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10～50亿元</w:t>
            </w:r>
          </w:p>
        </w:tc>
        <w:tc>
          <w:tcPr>
            <w:tcW w:w="1923"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0.008%</w:t>
            </w:r>
          </w:p>
        </w:tc>
        <w:tc>
          <w:tcPr>
            <w:tcW w:w="1912"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0.008%</w:t>
            </w:r>
          </w:p>
        </w:tc>
        <w:tc>
          <w:tcPr>
            <w:tcW w:w="174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50～100亿元</w:t>
            </w:r>
          </w:p>
        </w:tc>
        <w:tc>
          <w:tcPr>
            <w:tcW w:w="1923"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0.006%</w:t>
            </w:r>
          </w:p>
        </w:tc>
        <w:tc>
          <w:tcPr>
            <w:tcW w:w="1912"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0.006%</w:t>
            </w:r>
          </w:p>
        </w:tc>
        <w:tc>
          <w:tcPr>
            <w:tcW w:w="174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895"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100亿以上</w:t>
            </w:r>
          </w:p>
        </w:tc>
        <w:tc>
          <w:tcPr>
            <w:tcW w:w="1923"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0.004%</w:t>
            </w:r>
          </w:p>
        </w:tc>
        <w:tc>
          <w:tcPr>
            <w:tcW w:w="1912"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0.004%</w:t>
            </w:r>
          </w:p>
        </w:tc>
        <w:tc>
          <w:tcPr>
            <w:tcW w:w="1747" w:type="dxa"/>
            <w:vAlign w:val="center"/>
          </w:tcPr>
          <w:p>
            <w:pPr>
              <w:adjustRightInd w:val="0"/>
              <w:snapToGrid w:val="0"/>
              <w:spacing w:line="460" w:lineRule="exact"/>
              <w:rPr>
                <w:rFonts w:ascii="宋体" w:hAnsi="宋体" w:cs="宋体"/>
                <w:sz w:val="24"/>
                <w:szCs w:val="24"/>
              </w:rPr>
            </w:pPr>
            <w:r>
              <w:rPr>
                <w:rFonts w:hint="eastAsia" w:ascii="宋体" w:hAnsi="宋体" w:cs="宋体"/>
                <w:sz w:val="24"/>
                <w:szCs w:val="24"/>
              </w:rPr>
              <w:t>0.004%</w:t>
            </w:r>
          </w:p>
        </w:tc>
      </w:tr>
    </w:tbl>
    <w:p>
      <w:pPr>
        <w:adjustRightInd w:val="0"/>
        <w:snapToGrid w:val="0"/>
        <w:spacing w:line="460" w:lineRule="exact"/>
        <w:rPr>
          <w:rFonts w:ascii="宋体" w:hAnsi="宋体" w:cs="宋体"/>
          <w:sz w:val="24"/>
          <w:szCs w:val="24"/>
        </w:rPr>
      </w:pPr>
      <w:r>
        <w:rPr>
          <w:rFonts w:hint="eastAsia" w:ascii="宋体" w:hAnsi="宋体" w:cs="宋体"/>
          <w:sz w:val="24"/>
          <w:szCs w:val="24"/>
        </w:rPr>
        <w:t>招标代理服务收费按差额定率累进法计算。例如：某货物采购项目招标代理业务中标金额为200万元，计算招标代理服务收费额如下：</w:t>
      </w:r>
    </w:p>
    <w:p>
      <w:pPr>
        <w:adjustRightInd w:val="0"/>
        <w:snapToGrid w:val="0"/>
        <w:spacing w:line="460" w:lineRule="exact"/>
        <w:rPr>
          <w:rFonts w:ascii="宋体" w:hAnsi="宋体" w:cs="宋体"/>
          <w:sz w:val="24"/>
          <w:szCs w:val="24"/>
        </w:rPr>
      </w:pPr>
      <w:r>
        <w:rPr>
          <w:rFonts w:hint="eastAsia" w:ascii="宋体" w:hAnsi="宋体" w:cs="宋体"/>
          <w:sz w:val="24"/>
          <w:szCs w:val="24"/>
        </w:rPr>
        <w:t>100×1.5％=1.5万元</w:t>
      </w:r>
    </w:p>
    <w:p>
      <w:pPr>
        <w:adjustRightInd w:val="0"/>
        <w:snapToGrid w:val="0"/>
        <w:spacing w:line="460" w:lineRule="exact"/>
        <w:rPr>
          <w:rFonts w:ascii="宋体" w:hAnsi="宋体" w:cs="宋体"/>
          <w:sz w:val="24"/>
          <w:szCs w:val="24"/>
        </w:rPr>
      </w:pPr>
      <w:r>
        <w:rPr>
          <w:rFonts w:hint="eastAsia" w:ascii="宋体" w:hAnsi="宋体" w:cs="宋体"/>
          <w:sz w:val="24"/>
          <w:szCs w:val="24"/>
        </w:rPr>
        <w:t>（200-100）万元×1.1％=1.1万元</w:t>
      </w:r>
    </w:p>
    <w:p>
      <w:pPr>
        <w:adjustRightInd w:val="0"/>
        <w:snapToGrid w:val="0"/>
        <w:spacing w:line="460" w:lineRule="exact"/>
        <w:rPr>
          <w:rFonts w:ascii="宋体" w:hAnsi="宋体" w:cs="宋体"/>
          <w:sz w:val="24"/>
          <w:szCs w:val="24"/>
        </w:rPr>
      </w:pPr>
      <w:r>
        <w:rPr>
          <w:rFonts w:hint="eastAsia" w:ascii="宋体" w:hAnsi="宋体" w:cs="宋体"/>
          <w:sz w:val="24"/>
          <w:szCs w:val="24"/>
        </w:rPr>
        <w:t>合计收费=1.5+1.1=2.6万元。</w:t>
      </w:r>
    </w:p>
    <w:sectPr>
      <w:head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threeDEngrave" w:color="auto" w:sz="18" w:space="1"/>
      </w:pBdr>
    </w:pPr>
    <w:r>
      <w:rPr>
        <w:rFonts w:hint="eastAsia"/>
      </w:rPr>
      <w:drawing>
        <wp:inline distT="0" distB="0" distL="114300" distR="114300">
          <wp:extent cx="374015" cy="370205"/>
          <wp:effectExtent l="0" t="0" r="6985" b="10795"/>
          <wp:docPr id="10" name="图片 10"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LOGO"/>
                  <pic:cNvPicPr>
                    <a:picLocks noChangeAspect="1"/>
                  </pic:cNvPicPr>
                </pic:nvPicPr>
                <pic:blipFill>
                  <a:blip r:embed="rId1"/>
                  <a:stretch>
                    <a:fillRect/>
                  </a:stretch>
                </pic:blipFill>
                <pic:spPr>
                  <a:xfrm>
                    <a:off x="0" y="0"/>
                    <a:ext cx="374015" cy="370205"/>
                  </a:xfrm>
                  <a:prstGeom prst="rect">
                    <a:avLst/>
                  </a:prstGeom>
                </pic:spPr>
              </pic:pic>
            </a:graphicData>
          </a:graphic>
        </wp:inline>
      </w:drawing>
    </w:r>
    <w:r>
      <w:rPr>
        <w:rFonts w:hint="eastAsia"/>
      </w:rPr>
      <w:t xml:space="preserve">                                                            </w:t>
    </w:r>
    <w:r>
      <w:rPr>
        <w:rFonts w:hint="eastAsia"/>
        <w:b/>
        <w:bCs/>
        <w:sz w:val="24"/>
      </w:rPr>
      <w:t>新疆融盛源工程项目管理有限公司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threeDEngrave" w:color="auto" w:sz="18" w:space="1"/>
      </w:pBdr>
      <w:jc w:val="left"/>
    </w:pPr>
    <w:r>
      <w:rPr>
        <w:rFonts w:hint="eastAsia"/>
      </w:rPr>
      <w:drawing>
        <wp:inline distT="0" distB="0" distL="114300" distR="114300">
          <wp:extent cx="374015" cy="370205"/>
          <wp:effectExtent l="0" t="0" r="6985" b="10795"/>
          <wp:docPr id="18" name="图片 1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公司LOGO"/>
                  <pic:cNvPicPr>
                    <a:picLocks noChangeAspect="1"/>
                  </pic:cNvPicPr>
                </pic:nvPicPr>
                <pic:blipFill>
                  <a:blip r:embed="rId1"/>
                  <a:stretch>
                    <a:fillRect/>
                  </a:stretch>
                </pic:blipFill>
                <pic:spPr>
                  <a:xfrm>
                    <a:off x="0" y="0"/>
                    <a:ext cx="374015" cy="370205"/>
                  </a:xfrm>
                  <a:prstGeom prst="rect">
                    <a:avLst/>
                  </a:prstGeom>
                </pic:spPr>
              </pic:pic>
            </a:graphicData>
          </a:graphic>
        </wp:inline>
      </w:drawing>
    </w:r>
    <w:r>
      <w:rPr>
        <w:rFonts w:hint="eastAsia"/>
      </w:rPr>
      <w:t xml:space="preserve">                                                    </w:t>
    </w:r>
    <w:r>
      <w:rPr>
        <w:rFonts w:hint="eastAsia"/>
        <w:b/>
        <w:bCs/>
        <w:sz w:val="24"/>
      </w:rPr>
      <w:t>新疆融盛源工程项目管理有限公司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threeDEngrave" w:color="auto" w:sz="18" w:space="1"/>
      </w:pBdr>
      <w:rPr>
        <w:rFonts w:eastAsiaTheme="minorEastAsia"/>
      </w:rPr>
    </w:pPr>
    <w:r>
      <w:rPr>
        <w:rFonts w:hint="eastAsia"/>
      </w:rPr>
      <w:drawing>
        <wp:inline distT="0" distB="0" distL="114300" distR="114300">
          <wp:extent cx="374015" cy="370205"/>
          <wp:effectExtent l="0" t="0" r="6985" b="10795"/>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pic:cNvPicPr>
                </pic:nvPicPr>
                <pic:blipFill>
                  <a:blip r:embed="rId1"/>
                  <a:stretch>
                    <a:fillRect/>
                  </a:stretch>
                </pic:blipFill>
                <pic:spPr>
                  <a:xfrm>
                    <a:off x="0" y="0"/>
                    <a:ext cx="374015" cy="370205"/>
                  </a:xfrm>
                  <a:prstGeom prst="rect">
                    <a:avLst/>
                  </a:prstGeom>
                  <a:noFill/>
                  <a:ln>
                    <a:noFill/>
                  </a:ln>
                </pic:spPr>
              </pic:pic>
            </a:graphicData>
          </a:graphic>
        </wp:inline>
      </w:drawing>
    </w:r>
    <w:r>
      <w:rPr>
        <w:rFonts w:hint="eastAsia"/>
      </w:rPr>
      <w:t xml:space="preserve">                                         </w:t>
    </w:r>
    <w:r>
      <w:rPr>
        <w:rFonts w:hint="eastAsia" w:ascii="宋体" w:hAnsi="宋体"/>
        <w:b/>
        <w:sz w:val="21"/>
        <w:szCs w:val="21"/>
      </w:rPr>
      <w:t xml:space="preserve">   </w:t>
    </w:r>
    <w:r>
      <w:rPr>
        <w:rFonts w:hint="eastAsia"/>
        <w:b/>
        <w:bCs/>
        <w:sz w:val="24"/>
      </w:rPr>
      <w:t>新疆融盛源工程项目管理有限公司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B4E97"/>
    <w:multiLevelType w:val="singleLevel"/>
    <w:tmpl w:val="876B4E97"/>
    <w:lvl w:ilvl="0" w:tentative="0">
      <w:start w:val="1"/>
      <w:numFmt w:val="chineseCounting"/>
      <w:suff w:val="nothing"/>
      <w:lvlText w:val="%1、"/>
      <w:lvlJc w:val="left"/>
      <w:rPr>
        <w:rFonts w:hint="eastAsia"/>
      </w:rPr>
    </w:lvl>
  </w:abstractNum>
  <w:abstractNum w:abstractNumId="1">
    <w:nsid w:val="915B6A47"/>
    <w:multiLevelType w:val="singleLevel"/>
    <w:tmpl w:val="915B6A47"/>
    <w:lvl w:ilvl="0" w:tentative="0">
      <w:start w:val="1"/>
      <w:numFmt w:val="chineseCounting"/>
      <w:suff w:val="nothing"/>
      <w:lvlText w:val="%1、"/>
      <w:lvlJc w:val="left"/>
      <w:rPr>
        <w:rFonts w:hint="eastAsia"/>
      </w:rPr>
    </w:lvl>
  </w:abstractNum>
  <w:abstractNum w:abstractNumId="2">
    <w:nsid w:val="B8E492B8"/>
    <w:multiLevelType w:val="singleLevel"/>
    <w:tmpl w:val="B8E492B8"/>
    <w:lvl w:ilvl="0" w:tentative="0">
      <w:start w:val="1"/>
      <w:numFmt w:val="chineseCounting"/>
      <w:suff w:val="nothing"/>
      <w:lvlText w:val="%1、"/>
      <w:lvlJc w:val="left"/>
      <w:rPr>
        <w:rFonts w:hint="eastAsia"/>
      </w:rPr>
    </w:lvl>
  </w:abstractNum>
  <w:abstractNum w:abstractNumId="3">
    <w:nsid w:val="BBAE9696"/>
    <w:multiLevelType w:val="singleLevel"/>
    <w:tmpl w:val="BBAE9696"/>
    <w:lvl w:ilvl="0" w:tentative="0">
      <w:start w:val="1"/>
      <w:numFmt w:val="chineseCounting"/>
      <w:suff w:val="nothing"/>
      <w:lvlText w:val="%1、"/>
      <w:lvlJc w:val="left"/>
      <w:pPr>
        <w:ind w:left="420"/>
      </w:pPr>
      <w:rPr>
        <w:rFonts w:hint="eastAsia"/>
      </w:rPr>
    </w:lvl>
  </w:abstractNum>
  <w:abstractNum w:abstractNumId="4">
    <w:nsid w:val="C67C6E6E"/>
    <w:multiLevelType w:val="singleLevel"/>
    <w:tmpl w:val="C67C6E6E"/>
    <w:lvl w:ilvl="0" w:tentative="0">
      <w:start w:val="1"/>
      <w:numFmt w:val="chineseCounting"/>
      <w:suff w:val="space"/>
      <w:lvlText w:val="第%1部分"/>
      <w:lvlJc w:val="left"/>
      <w:rPr>
        <w:rFonts w:hint="eastAsia"/>
        <w:sz w:val="36"/>
        <w:szCs w:val="36"/>
      </w:rPr>
    </w:lvl>
  </w:abstractNum>
  <w:abstractNum w:abstractNumId="5">
    <w:nsid w:val="DC8DC915"/>
    <w:multiLevelType w:val="singleLevel"/>
    <w:tmpl w:val="DC8DC915"/>
    <w:lvl w:ilvl="0" w:tentative="0">
      <w:start w:val="1"/>
      <w:numFmt w:val="chineseCounting"/>
      <w:suff w:val="nothing"/>
      <w:lvlText w:val="%1、"/>
      <w:lvlJc w:val="left"/>
      <w:rPr>
        <w:rFonts w:hint="eastAsia"/>
      </w:rPr>
    </w:lvl>
  </w:abstractNum>
  <w:abstractNum w:abstractNumId="6">
    <w:nsid w:val="E8403239"/>
    <w:multiLevelType w:val="singleLevel"/>
    <w:tmpl w:val="E8403239"/>
    <w:lvl w:ilvl="0" w:tentative="0">
      <w:start w:val="1"/>
      <w:numFmt w:val="chineseCounting"/>
      <w:suff w:val="nothing"/>
      <w:lvlText w:val="%1、"/>
      <w:lvlJc w:val="left"/>
      <w:rPr>
        <w:rFonts w:hint="eastAsia"/>
      </w:rPr>
    </w:lvl>
  </w:abstractNum>
  <w:abstractNum w:abstractNumId="7">
    <w:nsid w:val="0245A3B6"/>
    <w:multiLevelType w:val="singleLevel"/>
    <w:tmpl w:val="0245A3B6"/>
    <w:lvl w:ilvl="0" w:tentative="0">
      <w:start w:val="1"/>
      <w:numFmt w:val="chineseCounting"/>
      <w:suff w:val="nothing"/>
      <w:lvlText w:val="%1、"/>
      <w:lvlJc w:val="left"/>
      <w:rPr>
        <w:rFonts w:hint="eastAsia"/>
      </w:rPr>
    </w:lvl>
  </w:abstractNum>
  <w:abstractNum w:abstractNumId="8">
    <w:nsid w:val="42821DCB"/>
    <w:multiLevelType w:val="singleLevel"/>
    <w:tmpl w:val="42821DCB"/>
    <w:lvl w:ilvl="0" w:tentative="0">
      <w:start w:val="6"/>
      <w:numFmt w:val="chineseCounting"/>
      <w:suff w:val="nothing"/>
      <w:lvlText w:val="%1、"/>
      <w:lvlJc w:val="left"/>
      <w:rPr>
        <w:rFonts w:hint="eastAsia"/>
      </w:rPr>
    </w:lvl>
  </w:abstractNum>
  <w:num w:numId="1">
    <w:abstractNumId w:val="4"/>
  </w:num>
  <w:num w:numId="2">
    <w:abstractNumId w:val="8"/>
  </w:num>
  <w:num w:numId="3">
    <w:abstractNumId w:val="6"/>
  </w:num>
  <w:num w:numId="4">
    <w:abstractNumId w:val="0"/>
  </w:num>
  <w:num w:numId="5">
    <w:abstractNumId w:val="5"/>
  </w:num>
  <w:num w:numId="6">
    <w:abstractNumId w:val="1"/>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0MDAzOWJmMjhiMGFhNWRmZTcyZjhjMmZmMGZkZWUifQ=="/>
  </w:docVars>
  <w:rsids>
    <w:rsidRoot w:val="6AB93E3A"/>
    <w:rsid w:val="004010AE"/>
    <w:rsid w:val="0050260A"/>
    <w:rsid w:val="00596664"/>
    <w:rsid w:val="006F43FC"/>
    <w:rsid w:val="00725334"/>
    <w:rsid w:val="00857154"/>
    <w:rsid w:val="00AF4989"/>
    <w:rsid w:val="00B46A8B"/>
    <w:rsid w:val="00D11D20"/>
    <w:rsid w:val="00FF01F7"/>
    <w:rsid w:val="01253D67"/>
    <w:rsid w:val="0152579D"/>
    <w:rsid w:val="017149DC"/>
    <w:rsid w:val="01985013"/>
    <w:rsid w:val="01B05529"/>
    <w:rsid w:val="01F6757A"/>
    <w:rsid w:val="02186A33"/>
    <w:rsid w:val="02405F8A"/>
    <w:rsid w:val="02914CD0"/>
    <w:rsid w:val="02BE0103"/>
    <w:rsid w:val="034F1EB7"/>
    <w:rsid w:val="03DB53A2"/>
    <w:rsid w:val="03F35D6B"/>
    <w:rsid w:val="03FB660C"/>
    <w:rsid w:val="0543590B"/>
    <w:rsid w:val="056A1C9B"/>
    <w:rsid w:val="064A61E9"/>
    <w:rsid w:val="06B71397"/>
    <w:rsid w:val="06EC6286"/>
    <w:rsid w:val="0783156B"/>
    <w:rsid w:val="09CB4CD3"/>
    <w:rsid w:val="0A537DF6"/>
    <w:rsid w:val="0B4F70C6"/>
    <w:rsid w:val="0B50723E"/>
    <w:rsid w:val="0B8708CB"/>
    <w:rsid w:val="0B941320"/>
    <w:rsid w:val="0BE27F34"/>
    <w:rsid w:val="0BF57D3C"/>
    <w:rsid w:val="0BFB6BA1"/>
    <w:rsid w:val="0D0A559F"/>
    <w:rsid w:val="0D5648B3"/>
    <w:rsid w:val="0D766B14"/>
    <w:rsid w:val="0DC9777B"/>
    <w:rsid w:val="0DD028B8"/>
    <w:rsid w:val="0E7E6BB4"/>
    <w:rsid w:val="0F3A448D"/>
    <w:rsid w:val="0FC21262"/>
    <w:rsid w:val="110364C1"/>
    <w:rsid w:val="11610221"/>
    <w:rsid w:val="1163601F"/>
    <w:rsid w:val="116B441C"/>
    <w:rsid w:val="121027B2"/>
    <w:rsid w:val="12F1042C"/>
    <w:rsid w:val="131A3751"/>
    <w:rsid w:val="131D659F"/>
    <w:rsid w:val="131F5D30"/>
    <w:rsid w:val="13B55464"/>
    <w:rsid w:val="146B69B1"/>
    <w:rsid w:val="14ED7BA3"/>
    <w:rsid w:val="150968E5"/>
    <w:rsid w:val="15F5110D"/>
    <w:rsid w:val="16071A5E"/>
    <w:rsid w:val="172F4AF3"/>
    <w:rsid w:val="174C7530"/>
    <w:rsid w:val="17EC4792"/>
    <w:rsid w:val="184F0207"/>
    <w:rsid w:val="18880991"/>
    <w:rsid w:val="190A069D"/>
    <w:rsid w:val="19635C67"/>
    <w:rsid w:val="19D96F98"/>
    <w:rsid w:val="1A21709D"/>
    <w:rsid w:val="1B5878EC"/>
    <w:rsid w:val="1B7C00DD"/>
    <w:rsid w:val="1BB77BAB"/>
    <w:rsid w:val="1CC9265A"/>
    <w:rsid w:val="1D0B6191"/>
    <w:rsid w:val="1D0E0D07"/>
    <w:rsid w:val="1DAE6A54"/>
    <w:rsid w:val="1E9847E9"/>
    <w:rsid w:val="1EA81D85"/>
    <w:rsid w:val="1EBC17EC"/>
    <w:rsid w:val="1ECB38E7"/>
    <w:rsid w:val="1EEA476F"/>
    <w:rsid w:val="1F27136A"/>
    <w:rsid w:val="1F345915"/>
    <w:rsid w:val="1F5E5ECC"/>
    <w:rsid w:val="2004317D"/>
    <w:rsid w:val="213901A8"/>
    <w:rsid w:val="215F5FD5"/>
    <w:rsid w:val="21754EB3"/>
    <w:rsid w:val="21C978F2"/>
    <w:rsid w:val="21E30CC0"/>
    <w:rsid w:val="21E36C06"/>
    <w:rsid w:val="222B4109"/>
    <w:rsid w:val="22624FAA"/>
    <w:rsid w:val="22BD3DE7"/>
    <w:rsid w:val="22F844E3"/>
    <w:rsid w:val="231B417D"/>
    <w:rsid w:val="23596408"/>
    <w:rsid w:val="24005D3D"/>
    <w:rsid w:val="2440225B"/>
    <w:rsid w:val="245C67FB"/>
    <w:rsid w:val="250F5258"/>
    <w:rsid w:val="25A575F3"/>
    <w:rsid w:val="25DC5A84"/>
    <w:rsid w:val="264659B5"/>
    <w:rsid w:val="26467763"/>
    <w:rsid w:val="268D4FF5"/>
    <w:rsid w:val="26951654"/>
    <w:rsid w:val="26EA3CE1"/>
    <w:rsid w:val="275B48F1"/>
    <w:rsid w:val="277125BE"/>
    <w:rsid w:val="279F3713"/>
    <w:rsid w:val="280D4A4A"/>
    <w:rsid w:val="28793E20"/>
    <w:rsid w:val="290D5BA2"/>
    <w:rsid w:val="29280F9F"/>
    <w:rsid w:val="292E4C0A"/>
    <w:rsid w:val="29FE009F"/>
    <w:rsid w:val="2A046496"/>
    <w:rsid w:val="2B164F94"/>
    <w:rsid w:val="2BC713C3"/>
    <w:rsid w:val="2C0C5146"/>
    <w:rsid w:val="2C7212B2"/>
    <w:rsid w:val="2EED4659"/>
    <w:rsid w:val="2F245316"/>
    <w:rsid w:val="2F680D0C"/>
    <w:rsid w:val="2F7964B4"/>
    <w:rsid w:val="2F9714B7"/>
    <w:rsid w:val="2FB21EB8"/>
    <w:rsid w:val="2FDA4AFC"/>
    <w:rsid w:val="310D3357"/>
    <w:rsid w:val="31785D6A"/>
    <w:rsid w:val="31D66DF1"/>
    <w:rsid w:val="33B70B19"/>
    <w:rsid w:val="33D859B1"/>
    <w:rsid w:val="34013104"/>
    <w:rsid w:val="34645254"/>
    <w:rsid w:val="34D808EA"/>
    <w:rsid w:val="35241670"/>
    <w:rsid w:val="35513316"/>
    <w:rsid w:val="35BF3207"/>
    <w:rsid w:val="36207B50"/>
    <w:rsid w:val="364C7C3A"/>
    <w:rsid w:val="367E560D"/>
    <w:rsid w:val="36A658C0"/>
    <w:rsid w:val="36B63824"/>
    <w:rsid w:val="36B64491"/>
    <w:rsid w:val="3795143D"/>
    <w:rsid w:val="37AC672F"/>
    <w:rsid w:val="384D2386"/>
    <w:rsid w:val="38BD4B43"/>
    <w:rsid w:val="39423DBA"/>
    <w:rsid w:val="39F723AA"/>
    <w:rsid w:val="39F72DF7"/>
    <w:rsid w:val="3A4859AE"/>
    <w:rsid w:val="3B241FBC"/>
    <w:rsid w:val="3B541AB2"/>
    <w:rsid w:val="3BA77944"/>
    <w:rsid w:val="3BF620B7"/>
    <w:rsid w:val="3C445B43"/>
    <w:rsid w:val="3C7A35C9"/>
    <w:rsid w:val="3C91267D"/>
    <w:rsid w:val="3DC07D6D"/>
    <w:rsid w:val="3E8A248B"/>
    <w:rsid w:val="3F097401"/>
    <w:rsid w:val="3F0D20EB"/>
    <w:rsid w:val="3FBB6CFB"/>
    <w:rsid w:val="402B508D"/>
    <w:rsid w:val="41747019"/>
    <w:rsid w:val="425A02DC"/>
    <w:rsid w:val="428C45E0"/>
    <w:rsid w:val="4292190E"/>
    <w:rsid w:val="43930D04"/>
    <w:rsid w:val="43C24475"/>
    <w:rsid w:val="44B34600"/>
    <w:rsid w:val="45CB58A9"/>
    <w:rsid w:val="45D64F73"/>
    <w:rsid w:val="45DD1A56"/>
    <w:rsid w:val="45E6171D"/>
    <w:rsid w:val="45E76415"/>
    <w:rsid w:val="47073DBC"/>
    <w:rsid w:val="470E1D27"/>
    <w:rsid w:val="48013092"/>
    <w:rsid w:val="48BE0390"/>
    <w:rsid w:val="49170DBF"/>
    <w:rsid w:val="49332183"/>
    <w:rsid w:val="4943699D"/>
    <w:rsid w:val="49A07007"/>
    <w:rsid w:val="4A2B59C4"/>
    <w:rsid w:val="4A7810A6"/>
    <w:rsid w:val="4A7E27B9"/>
    <w:rsid w:val="4AB6704E"/>
    <w:rsid w:val="4B00613E"/>
    <w:rsid w:val="4B183A12"/>
    <w:rsid w:val="4BA66B95"/>
    <w:rsid w:val="4C4F4134"/>
    <w:rsid w:val="4D89589D"/>
    <w:rsid w:val="4E6546B6"/>
    <w:rsid w:val="4E8E726D"/>
    <w:rsid w:val="4EAF7BD9"/>
    <w:rsid w:val="4EE320F5"/>
    <w:rsid w:val="4F4F2935"/>
    <w:rsid w:val="4F544C68"/>
    <w:rsid w:val="4F560168"/>
    <w:rsid w:val="4F814516"/>
    <w:rsid w:val="4FA22BB7"/>
    <w:rsid w:val="501D3CDA"/>
    <w:rsid w:val="508E41BF"/>
    <w:rsid w:val="509F439D"/>
    <w:rsid w:val="50F92FF0"/>
    <w:rsid w:val="51701CD8"/>
    <w:rsid w:val="518B72C9"/>
    <w:rsid w:val="51C00FA9"/>
    <w:rsid w:val="51DB3ADD"/>
    <w:rsid w:val="534B7BAC"/>
    <w:rsid w:val="53527D2C"/>
    <w:rsid w:val="538A00DC"/>
    <w:rsid w:val="543E18F6"/>
    <w:rsid w:val="550A68C5"/>
    <w:rsid w:val="553447AA"/>
    <w:rsid w:val="55561106"/>
    <w:rsid w:val="55615FA2"/>
    <w:rsid w:val="5568032D"/>
    <w:rsid w:val="559E7614"/>
    <w:rsid w:val="566D7DDD"/>
    <w:rsid w:val="56D97372"/>
    <w:rsid w:val="57B62B49"/>
    <w:rsid w:val="5805272B"/>
    <w:rsid w:val="58230CB0"/>
    <w:rsid w:val="59396B30"/>
    <w:rsid w:val="59A92B1B"/>
    <w:rsid w:val="59DC7E12"/>
    <w:rsid w:val="5A137418"/>
    <w:rsid w:val="5A2534AB"/>
    <w:rsid w:val="5A3C3A22"/>
    <w:rsid w:val="5A997ED1"/>
    <w:rsid w:val="5B347D18"/>
    <w:rsid w:val="5B671D27"/>
    <w:rsid w:val="5B8C26D4"/>
    <w:rsid w:val="5BED2FB4"/>
    <w:rsid w:val="5C102676"/>
    <w:rsid w:val="5E1F1C5A"/>
    <w:rsid w:val="5E3C3C7B"/>
    <w:rsid w:val="5E9D11B7"/>
    <w:rsid w:val="5EFB7093"/>
    <w:rsid w:val="5F2139AE"/>
    <w:rsid w:val="5F2E2567"/>
    <w:rsid w:val="5F694AAB"/>
    <w:rsid w:val="60073A6B"/>
    <w:rsid w:val="60260635"/>
    <w:rsid w:val="606A7670"/>
    <w:rsid w:val="60B80D90"/>
    <w:rsid w:val="61374834"/>
    <w:rsid w:val="614065D9"/>
    <w:rsid w:val="616363F5"/>
    <w:rsid w:val="61824E34"/>
    <w:rsid w:val="61CC26DD"/>
    <w:rsid w:val="620F0B35"/>
    <w:rsid w:val="63450197"/>
    <w:rsid w:val="642407A0"/>
    <w:rsid w:val="66E61D4F"/>
    <w:rsid w:val="6738592E"/>
    <w:rsid w:val="67872550"/>
    <w:rsid w:val="67E67ECC"/>
    <w:rsid w:val="68183DB4"/>
    <w:rsid w:val="68BE02EC"/>
    <w:rsid w:val="69392234"/>
    <w:rsid w:val="69786494"/>
    <w:rsid w:val="699671EA"/>
    <w:rsid w:val="6A095B88"/>
    <w:rsid w:val="6A2F0588"/>
    <w:rsid w:val="6A6D21C1"/>
    <w:rsid w:val="6A9935B7"/>
    <w:rsid w:val="6AB93E3A"/>
    <w:rsid w:val="6B146AB5"/>
    <w:rsid w:val="6B7D7325"/>
    <w:rsid w:val="6B9634C4"/>
    <w:rsid w:val="6BA4226C"/>
    <w:rsid w:val="6BCD60A1"/>
    <w:rsid w:val="6BF31F30"/>
    <w:rsid w:val="6C336D8D"/>
    <w:rsid w:val="6C3C2E51"/>
    <w:rsid w:val="6DCC7B1B"/>
    <w:rsid w:val="6DFB3F54"/>
    <w:rsid w:val="6E3F02ED"/>
    <w:rsid w:val="6EBA5AFD"/>
    <w:rsid w:val="6EBD7464"/>
    <w:rsid w:val="6EDC5B3C"/>
    <w:rsid w:val="6F225677"/>
    <w:rsid w:val="6FB453E5"/>
    <w:rsid w:val="6FB811DE"/>
    <w:rsid w:val="6FF41FD0"/>
    <w:rsid w:val="70022672"/>
    <w:rsid w:val="70346A71"/>
    <w:rsid w:val="70440DA2"/>
    <w:rsid w:val="70556A0B"/>
    <w:rsid w:val="70B34C79"/>
    <w:rsid w:val="70F25738"/>
    <w:rsid w:val="70F36B77"/>
    <w:rsid w:val="722246E2"/>
    <w:rsid w:val="72B017B9"/>
    <w:rsid w:val="734E4B2E"/>
    <w:rsid w:val="735E323C"/>
    <w:rsid w:val="737C647B"/>
    <w:rsid w:val="74376E5D"/>
    <w:rsid w:val="747A719C"/>
    <w:rsid w:val="74947D50"/>
    <w:rsid w:val="74ED7885"/>
    <w:rsid w:val="751F2C26"/>
    <w:rsid w:val="75803757"/>
    <w:rsid w:val="75B43907"/>
    <w:rsid w:val="763B4062"/>
    <w:rsid w:val="768E0063"/>
    <w:rsid w:val="76A7526C"/>
    <w:rsid w:val="77004391"/>
    <w:rsid w:val="778D3C53"/>
    <w:rsid w:val="778E7BEF"/>
    <w:rsid w:val="77CB40DE"/>
    <w:rsid w:val="77F42148"/>
    <w:rsid w:val="78183467"/>
    <w:rsid w:val="781A02CD"/>
    <w:rsid w:val="78306EF8"/>
    <w:rsid w:val="79B627B4"/>
    <w:rsid w:val="79D479B8"/>
    <w:rsid w:val="79EB641B"/>
    <w:rsid w:val="7A2D4BF2"/>
    <w:rsid w:val="7B8E02F4"/>
    <w:rsid w:val="7BDD1145"/>
    <w:rsid w:val="7BFA7F22"/>
    <w:rsid w:val="7CFC55FB"/>
    <w:rsid w:val="7D742C90"/>
    <w:rsid w:val="7EAC583D"/>
    <w:rsid w:val="7ED07B1F"/>
    <w:rsid w:val="7EFC100F"/>
    <w:rsid w:val="7F724C13"/>
    <w:rsid w:val="7FBD3A4E"/>
    <w:rsid w:val="7FE66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rPr>
  </w:style>
  <w:style w:type="paragraph" w:styleId="2">
    <w:name w:val="heading 2"/>
    <w:basedOn w:val="1"/>
    <w:next w:val="1"/>
    <w:link w:val="46"/>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6" w:lineRule="auto"/>
      <w:jc w:val="center"/>
      <w:outlineLvl w:val="2"/>
    </w:pPr>
    <w:rPr>
      <w:b/>
      <w:bCs/>
      <w:sz w:val="32"/>
      <w:szCs w:val="3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kern w:val="0"/>
      <w:sz w:val="20"/>
    </w:rPr>
  </w:style>
  <w:style w:type="paragraph" w:styleId="6">
    <w:name w:val="toa heading"/>
    <w:basedOn w:val="1"/>
    <w:next w:val="1"/>
    <w:qFormat/>
    <w:uiPriority w:val="0"/>
    <w:pPr>
      <w:spacing w:before="120"/>
    </w:pPr>
    <w:rPr>
      <w:rFonts w:ascii="Cambria" w:hAnsi="Cambria"/>
      <w:sz w:val="24"/>
    </w:rPr>
  </w:style>
  <w:style w:type="paragraph" w:styleId="7">
    <w:name w:val="Body Text"/>
    <w:basedOn w:val="1"/>
    <w:next w:val="8"/>
    <w:qFormat/>
    <w:uiPriority w:val="0"/>
    <w:pPr>
      <w:autoSpaceDE w:val="0"/>
      <w:autoSpaceDN w:val="0"/>
      <w:adjustRightInd w:val="0"/>
      <w:spacing w:line="360" w:lineRule="auto"/>
      <w:jc w:val="left"/>
    </w:pPr>
    <w:rPr>
      <w:rFonts w:ascii="宋体" w:hAnsi="Calibri"/>
      <w:color w:val="000000"/>
      <w:sz w:val="28"/>
      <w:szCs w:val="32"/>
    </w:rPr>
  </w:style>
  <w:style w:type="paragraph" w:styleId="8">
    <w:name w:val="Body Text Indent"/>
    <w:basedOn w:val="1"/>
    <w:next w:val="1"/>
    <w:qFormat/>
    <w:uiPriority w:val="0"/>
    <w:pPr>
      <w:spacing w:line="380" w:lineRule="exact"/>
      <w:ind w:firstLine="480"/>
    </w:pPr>
    <w:rPr>
      <w:rFonts w:eastAsia="方正书宋简体"/>
      <w:kern w:val="0"/>
      <w:sz w:val="24"/>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宋体"/>
    </w:rPr>
  </w:style>
  <w:style w:type="paragraph" w:styleId="11">
    <w:name w:val="Body Text Indent 2"/>
    <w:basedOn w:val="1"/>
    <w:qFormat/>
    <w:uiPriority w:val="99"/>
    <w:pPr>
      <w:ind w:firstLine="48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toc 2"/>
    <w:basedOn w:val="1"/>
    <w:next w:val="1"/>
    <w:qFormat/>
    <w:uiPriority w:val="39"/>
    <w:pPr>
      <w:tabs>
        <w:tab w:val="right" w:leader="dot" w:pos="9628"/>
      </w:tabs>
      <w:ind w:left="419" w:hanging="419" w:hangingChars="116"/>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17">
    <w:name w:val="Normal (Web)"/>
    <w:basedOn w:val="1"/>
    <w:unhideWhenUsed/>
    <w:qFormat/>
    <w:uiPriority w:val="0"/>
    <w:rPr>
      <w:sz w:val="24"/>
    </w:rPr>
  </w:style>
  <w:style w:type="paragraph" w:styleId="18">
    <w:name w:val="Body Text First Indent"/>
    <w:basedOn w:val="7"/>
    <w:qFormat/>
    <w:uiPriority w:val="0"/>
    <w:pPr>
      <w:autoSpaceDE/>
      <w:autoSpaceDN/>
      <w:adjustRightInd/>
      <w:spacing w:after="120" w:line="240" w:lineRule="auto"/>
      <w:ind w:firstLine="420" w:firstLineChars="100"/>
      <w:jc w:val="both"/>
    </w:pPr>
    <w:rPr>
      <w:sz w:val="21"/>
    </w:rPr>
  </w:style>
  <w:style w:type="paragraph" w:styleId="19">
    <w:name w:val="Body Text First Indent 2"/>
    <w:basedOn w:val="1"/>
    <w:next w:val="7"/>
    <w:qFormat/>
    <w:uiPriority w:val="0"/>
    <w:pPr>
      <w:spacing w:after="120"/>
      <w:ind w:left="420" w:leftChars="200" w:firstLine="420" w:firstLineChars="200"/>
    </w:pPr>
    <w:rPr>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HTML Sample"/>
    <w:basedOn w:val="22"/>
    <w:unhideWhenUsed/>
    <w:qFormat/>
    <w:uiPriority w:val="99"/>
    <w:rPr>
      <w:rFonts w:ascii="Courier New" w:hAnsi="Courier New"/>
    </w:rPr>
  </w:style>
  <w:style w:type="paragraph" w:customStyle="1" w:styleId="2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29">
    <w:name w:val="采购正文"/>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paragraph" w:customStyle="1" w:styleId="30">
    <w:name w:val="纯文本_0_0"/>
    <w:basedOn w:val="31"/>
    <w:unhideWhenUsed/>
    <w:qFormat/>
    <w:uiPriority w:val="0"/>
    <w:pPr>
      <w:widowControl/>
      <w:jc w:val="left"/>
    </w:pPr>
    <w:rPr>
      <w:rFonts w:ascii="宋体" w:hAnsi="Courier New"/>
      <w:kern w:val="0"/>
      <w:sz w:val="20"/>
      <w:szCs w:val="21"/>
      <w:lang w:val="zh-CN"/>
    </w:rPr>
  </w:style>
  <w:style w:type="paragraph" w:customStyle="1" w:styleId="31">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1_0"/>
    <w:basedOn w:val="1"/>
    <w:next w:val="34"/>
    <w:qFormat/>
    <w:uiPriority w:val="0"/>
    <w:rPr>
      <w:rFonts w:ascii="宋体" w:hAnsi="Courier New"/>
    </w:rPr>
  </w:style>
  <w:style w:type="paragraph" w:customStyle="1" w:styleId="34">
    <w:name w:val="纯文本_1"/>
    <w:basedOn w:val="1"/>
    <w:qFormat/>
    <w:uiPriority w:val="0"/>
    <w:pPr>
      <w:widowControl/>
      <w:jc w:val="left"/>
    </w:pPr>
    <w:rPr>
      <w:rFonts w:ascii="宋体" w:hAnsi="Courier New"/>
      <w:kern w:val="0"/>
      <w:sz w:val="20"/>
      <w:szCs w:val="21"/>
      <w:lang w:val="zh-CN"/>
    </w:rPr>
  </w:style>
  <w:style w:type="paragraph" w:customStyle="1" w:styleId="35">
    <w:name w:val="纯文本_2"/>
    <w:basedOn w:val="36"/>
    <w:unhideWhenUsed/>
    <w:qFormat/>
    <w:uiPriority w:val="0"/>
    <w:pPr>
      <w:widowControl/>
      <w:jc w:val="left"/>
    </w:pPr>
    <w:rPr>
      <w:rFonts w:ascii="宋体" w:hAnsi="Courier New"/>
      <w:kern w:val="0"/>
      <w:sz w:val="20"/>
      <w:szCs w:val="21"/>
      <w:lang w:val="zh-CN"/>
    </w:rPr>
  </w:style>
  <w:style w:type="paragraph" w:customStyle="1" w:styleId="3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纯文本_3"/>
    <w:basedOn w:val="37"/>
    <w:qFormat/>
    <w:uiPriority w:val="0"/>
    <w:rPr>
      <w:rFonts w:ascii="宋体" w:hAnsi="Courier New"/>
      <w:kern w:val="0"/>
      <w:sz w:val="20"/>
      <w:szCs w:val="20"/>
      <w:lang w:val="zh-CN"/>
    </w:rPr>
  </w:style>
  <w:style w:type="paragraph" w:customStyle="1" w:styleId="39">
    <w:name w:val="Table Paragraph"/>
    <w:basedOn w:val="1"/>
    <w:qFormat/>
    <w:uiPriority w:val="1"/>
    <w:rPr>
      <w:rFonts w:ascii="宋体" w:hAnsi="宋体" w:cs="宋体"/>
      <w:lang w:val="zh-CN" w:bidi="zh-CN"/>
    </w:rPr>
  </w:style>
  <w:style w:type="paragraph" w:customStyle="1" w:styleId="40">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È±Ê¡ÎÄ±¾"/>
    <w:basedOn w:val="1"/>
    <w:qFormat/>
    <w:uiPriority w:val="0"/>
    <w:pPr>
      <w:widowControl/>
      <w:overflowPunct w:val="0"/>
      <w:autoSpaceDE w:val="0"/>
      <w:autoSpaceDN w:val="0"/>
      <w:adjustRightInd w:val="0"/>
      <w:jc w:val="left"/>
      <w:textAlignment w:val="baseline"/>
    </w:pPr>
    <w:rPr>
      <w:kern w:val="0"/>
      <w:sz w:val="24"/>
    </w:rPr>
  </w:style>
  <w:style w:type="character" w:customStyle="1" w:styleId="43">
    <w:name w:val="标题 1 字符"/>
    <w:link w:val="3"/>
    <w:qFormat/>
    <w:uiPriority w:val="0"/>
    <w:rPr>
      <w:b/>
      <w:kern w:val="44"/>
      <w:sz w:val="44"/>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46">
    <w:name w:val="标题 2 字符"/>
    <w:link w:val="2"/>
    <w:qFormat/>
    <w:uiPriority w:val="0"/>
    <w:rPr>
      <w:rFonts w:ascii="Arial" w:hAnsi="Arial" w:eastAsia="黑体"/>
      <w:b/>
      <w:sz w:val="32"/>
    </w:rPr>
  </w:style>
  <w:style w:type="paragraph" w:customStyle="1" w:styleId="4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8">
    <w:name w:val="正文缩进1"/>
    <w:basedOn w:val="1"/>
    <w:qFormat/>
    <w:uiPriority w:val="0"/>
    <w:pPr>
      <w:autoSpaceDE w:val="0"/>
      <w:autoSpaceDN w:val="0"/>
      <w:adjustRightInd w:val="0"/>
      <w:ind w:firstLine="420"/>
    </w:pPr>
    <w:rPr>
      <w:rFonts w:ascii="宋体"/>
      <w:sz w:val="24"/>
    </w:rPr>
  </w:style>
  <w:style w:type="paragraph" w:customStyle="1" w:styleId="49">
    <w:name w:val="正文_1"/>
    <w:next w:val="5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文本_0"/>
    <w:basedOn w:val="49"/>
    <w:next w:val="49"/>
    <w:qFormat/>
    <w:uiPriority w:val="0"/>
    <w:pPr>
      <w:spacing w:after="120"/>
    </w:pPr>
    <w:rPr>
      <w:rFonts w:ascii="Calibri" w:hAnsi="Calibri"/>
      <w:kern w:val="0"/>
      <w:sz w:val="20"/>
    </w:rPr>
  </w:style>
  <w:style w:type="paragraph" w:customStyle="1" w:styleId="51">
    <w:name w:val="正文_3_1"/>
    <w:basedOn w:val="37"/>
    <w:qFormat/>
    <w:uiPriority w:val="0"/>
    <w:rPr>
      <w:szCs w:val="21"/>
    </w:rPr>
  </w:style>
  <w:style w:type="paragraph" w:customStyle="1" w:styleId="52">
    <w:name w:val="_Style 3"/>
    <w:qFormat/>
    <w:uiPriority w:val="1"/>
    <w:pPr>
      <w:widowControl w:val="0"/>
      <w:jc w:val="both"/>
    </w:pPr>
    <w:rPr>
      <w:rFonts w:ascii="Calibri" w:hAnsi="Calibri" w:eastAsia="微软雅黑" w:cs="Times New Roman"/>
      <w:kern w:val="2"/>
      <w:sz w:val="21"/>
      <w:szCs w:val="22"/>
      <w:lang w:val="en-US" w:eastAsia="zh-CN" w:bidi="ar-SA"/>
    </w:rPr>
  </w:style>
  <w:style w:type="paragraph" w:customStyle="1" w:styleId="53">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4">
    <w:name w:val="List Paragraph"/>
    <w:basedOn w:val="1"/>
    <w:qFormat/>
    <w:uiPriority w:val="34"/>
    <w:pPr>
      <w:ind w:firstLine="420" w:firstLineChars="200"/>
    </w:pPr>
  </w:style>
  <w:style w:type="paragraph" w:customStyle="1" w:styleId="55">
    <w:name w:val="无间隔1"/>
    <w:qFormat/>
    <w:uiPriority w:val="99"/>
    <w:pPr>
      <w:widowControl w:val="0"/>
      <w:ind w:firstLine="200" w:firstLineChars="200"/>
      <w:jc w:val="both"/>
    </w:pPr>
    <w:rPr>
      <w:rFonts w:ascii="Calibri" w:hAnsi="Calibri" w:eastAsia="宋体" w:cs="Times New Roman"/>
      <w:kern w:val="2"/>
      <w:sz w:val="24"/>
      <w:szCs w:val="22"/>
      <w:lang w:val="en-US" w:eastAsia="zh-CN" w:bidi="ar-SA"/>
    </w:rPr>
  </w:style>
  <w:style w:type="character" w:customStyle="1" w:styleId="5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44638</Words>
  <Characters>48184</Characters>
  <Lines>460</Lines>
  <Paragraphs>129</Paragraphs>
  <TotalTime>8</TotalTime>
  <ScaleCrop>false</ScaleCrop>
  <LinksUpToDate>false</LinksUpToDate>
  <CharactersWithSpaces>50881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2022-06-07T11:54:00Z</dcterms:created>
  <dc:creator>冷暖自知@</dc:creator>
  <cp:lastModifiedBy>晨辉</cp:lastModifiedBy>
  <cp:lastPrinted>2022-06-01T08:17:00Z</cp:lastPrinted>
  <dcterms:modified xsi:type="dcterms:W3CDTF">2022-06-13T05:09:05Z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72DEBE69B92C46DD96D4E1885FCE9870</vt:lpwstr>
  </property>
</Properties>
</file>